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E26C7" w14:textId="77777777" w:rsidR="00B56061" w:rsidRPr="007F1D69" w:rsidRDefault="007F1D69" w:rsidP="007F1D69">
      <w:pPr>
        <w:pStyle w:val="Balk1"/>
        <w:spacing w:before="0" w:after="120" w:line="276" w:lineRule="auto"/>
        <w:jc w:val="right"/>
        <w:rPr>
          <w:rFonts w:cs="Times New Roman"/>
          <w:b w:val="0"/>
          <w:bCs/>
          <w:szCs w:val="24"/>
        </w:rPr>
      </w:pPr>
      <w:bookmarkStart w:id="0" w:name="_GoBack"/>
      <w:bookmarkEnd w:id="0"/>
      <w:r>
        <w:rPr>
          <w:rFonts w:cs="Times New Roman"/>
          <w:bCs/>
          <w:szCs w:val="24"/>
        </w:rPr>
        <w:t>EK-1</w:t>
      </w:r>
    </w:p>
    <w:p w14:paraId="37429688" w14:textId="77777777" w:rsidR="00B56061" w:rsidRPr="007F1D69" w:rsidRDefault="007F1D69" w:rsidP="007F1D69">
      <w:pPr>
        <w:pStyle w:val="Balk1"/>
        <w:spacing w:before="0" w:after="120" w:line="276" w:lineRule="auto"/>
        <w:jc w:val="center"/>
        <w:rPr>
          <w:rFonts w:cs="Times New Roman"/>
          <w:b w:val="0"/>
          <w:bCs/>
          <w:szCs w:val="24"/>
        </w:rPr>
      </w:pPr>
      <w:r>
        <w:rPr>
          <w:rFonts w:cs="Times New Roman"/>
          <w:bCs/>
          <w:szCs w:val="24"/>
        </w:rPr>
        <w:t>BÖLÜM 1</w:t>
      </w:r>
    </w:p>
    <w:p w14:paraId="1095AB29" w14:textId="77777777" w:rsidR="007F1D69" w:rsidRPr="008D517B" w:rsidRDefault="008D517B" w:rsidP="008D517B">
      <w:pPr>
        <w:pStyle w:val="Balk1"/>
        <w:spacing w:before="0" w:after="120" w:line="276" w:lineRule="auto"/>
        <w:jc w:val="both"/>
        <w:rPr>
          <w:rFonts w:cs="Times New Roman"/>
          <w:b w:val="0"/>
          <w:bCs/>
          <w:szCs w:val="24"/>
        </w:rPr>
      </w:pPr>
      <w:r>
        <w:rPr>
          <w:rFonts w:cs="Times New Roman"/>
          <w:bCs/>
          <w:szCs w:val="24"/>
        </w:rPr>
        <w:t>TANIMLAR</w:t>
      </w:r>
    </w:p>
    <w:p w14:paraId="58D40FDF" w14:textId="77777777" w:rsidR="00256A98" w:rsidRPr="009600E3" w:rsidRDefault="00961DF0" w:rsidP="009600E3">
      <w:pPr>
        <w:pStyle w:val="Balk2"/>
        <w:spacing w:before="0" w:after="120" w:line="276" w:lineRule="auto"/>
        <w:jc w:val="both"/>
        <w:rPr>
          <w:rFonts w:cs="Times New Roman"/>
          <w:b/>
          <w:bCs/>
          <w:szCs w:val="24"/>
        </w:rPr>
      </w:pPr>
      <w:r>
        <w:rPr>
          <w:rFonts w:cs="Times New Roman"/>
          <w:b/>
          <w:bCs/>
          <w:szCs w:val="24"/>
        </w:rPr>
        <w:t xml:space="preserve">(1) </w:t>
      </w:r>
      <w:r w:rsidR="00BA34D0">
        <w:rPr>
          <w:rFonts w:cs="Times New Roman"/>
          <w:b/>
          <w:bCs/>
          <w:szCs w:val="24"/>
        </w:rPr>
        <w:t>Kağıt Hamuru, Kağıt ve Karton</w:t>
      </w:r>
      <w:r>
        <w:rPr>
          <w:rFonts w:cs="Times New Roman"/>
          <w:b/>
          <w:bCs/>
          <w:szCs w:val="24"/>
        </w:rPr>
        <w:t xml:space="preserve"> Sektörü</w:t>
      </w:r>
    </w:p>
    <w:tbl>
      <w:tblPr>
        <w:tblStyle w:val="TabloKlavuzu"/>
        <w:tblW w:w="0" w:type="auto"/>
        <w:jc w:val="center"/>
        <w:tblLook w:val="04A0" w:firstRow="1" w:lastRow="0" w:firstColumn="1" w:lastColumn="0" w:noHBand="0" w:noVBand="1"/>
      </w:tblPr>
      <w:tblGrid>
        <w:gridCol w:w="2972"/>
        <w:gridCol w:w="6090"/>
      </w:tblGrid>
      <w:tr w:rsidR="00BA34D0" w:rsidRPr="00BA34D0" w14:paraId="395ABAC3" w14:textId="77777777" w:rsidTr="008A431D">
        <w:trPr>
          <w:tblHeader/>
          <w:jc w:val="center"/>
        </w:trPr>
        <w:tc>
          <w:tcPr>
            <w:tcW w:w="2972" w:type="dxa"/>
            <w:vAlign w:val="center"/>
          </w:tcPr>
          <w:p w14:paraId="5A71BEE5" w14:textId="77777777" w:rsidR="00BA34D0" w:rsidRPr="00BA34D0" w:rsidRDefault="00FF0D5F" w:rsidP="00BA34D0">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58B52BB6" w14:textId="77777777" w:rsidR="00BA34D0" w:rsidRPr="00BA34D0" w:rsidRDefault="00FF0D5F" w:rsidP="00BA34D0">
            <w:pPr>
              <w:jc w:val="center"/>
              <w:rPr>
                <w:rFonts w:ascii="Times New Roman" w:hAnsi="Times New Roman" w:cs="Times New Roman"/>
                <w:b/>
                <w:bCs/>
              </w:rPr>
            </w:pPr>
            <w:r>
              <w:rPr>
                <w:rFonts w:ascii="Times New Roman" w:hAnsi="Times New Roman" w:cs="Times New Roman"/>
                <w:b/>
                <w:bCs/>
              </w:rPr>
              <w:t>Tanım</w:t>
            </w:r>
          </w:p>
        </w:tc>
      </w:tr>
      <w:tr w:rsidR="00BA34D0" w:rsidRPr="00BA34D0" w14:paraId="015FD309" w14:textId="77777777" w:rsidTr="008A431D">
        <w:trPr>
          <w:jc w:val="center"/>
        </w:trPr>
        <w:tc>
          <w:tcPr>
            <w:tcW w:w="2972" w:type="dxa"/>
            <w:vAlign w:val="center"/>
          </w:tcPr>
          <w:p w14:paraId="68BB95EA" w14:textId="77777777" w:rsidR="00BA34D0" w:rsidRPr="00BA34D0" w:rsidRDefault="00487575" w:rsidP="00BA34D0">
            <w:pPr>
              <w:jc w:val="both"/>
              <w:rPr>
                <w:rFonts w:ascii="Times New Roman" w:hAnsi="Times New Roman" w:cs="Times New Roman"/>
              </w:rPr>
            </w:pPr>
            <w:r>
              <w:rPr>
                <w:rFonts w:ascii="Times New Roman" w:hAnsi="Times New Roman" w:cs="Times New Roman"/>
              </w:rPr>
              <w:t>Yeni Tesis</w:t>
            </w:r>
          </w:p>
        </w:tc>
        <w:tc>
          <w:tcPr>
            <w:tcW w:w="6090" w:type="dxa"/>
            <w:vAlign w:val="center"/>
          </w:tcPr>
          <w:p w14:paraId="7F73325B" w14:textId="5C4F06D9" w:rsidR="00BA34D0" w:rsidRPr="00BA34D0" w:rsidRDefault="0082590D" w:rsidP="00BA34D0">
            <w:pPr>
              <w:jc w:val="both"/>
              <w:rPr>
                <w:rFonts w:ascii="Times New Roman" w:hAnsi="Times New Roman" w:cs="Times New Roman"/>
              </w:rPr>
            </w:pPr>
            <w:r w:rsidRPr="0082590D">
              <w:rPr>
                <w:rFonts w:ascii="Times New Roman" w:hAnsi="Times New Roman" w:cs="Times New Roman"/>
              </w:rPr>
              <w:t>Bu Tebliğin yürürlüğe girdi</w:t>
            </w:r>
            <w:r>
              <w:rPr>
                <w:rFonts w:ascii="Times New Roman" w:hAnsi="Times New Roman" w:cs="Times New Roman"/>
              </w:rPr>
              <w:t xml:space="preserve">kten </w:t>
            </w:r>
            <w:r w:rsidR="00E626B0">
              <w:rPr>
                <w:rFonts w:ascii="Times New Roman" w:hAnsi="Times New Roman" w:cs="Times New Roman"/>
              </w:rPr>
              <w:t xml:space="preserve">sonra, işletme sahasında kurulan bir tesis veya işletmenin mevcut temelleri üzerinde tamamen </w:t>
            </w:r>
            <w:r w:rsidR="000222AB">
              <w:rPr>
                <w:rFonts w:ascii="Times New Roman" w:hAnsi="Times New Roman" w:cs="Times New Roman"/>
              </w:rPr>
              <w:t>yenilenmiş</w:t>
            </w:r>
            <w:r w:rsidR="00E626B0">
              <w:rPr>
                <w:rFonts w:ascii="Times New Roman" w:hAnsi="Times New Roman" w:cs="Times New Roman"/>
              </w:rPr>
              <w:t xml:space="preserve"> bir tesis.</w:t>
            </w:r>
          </w:p>
        </w:tc>
      </w:tr>
      <w:tr w:rsidR="00BA34D0" w:rsidRPr="00BA34D0" w14:paraId="0595C0FD" w14:textId="77777777" w:rsidTr="008A431D">
        <w:trPr>
          <w:jc w:val="center"/>
        </w:trPr>
        <w:tc>
          <w:tcPr>
            <w:tcW w:w="2972" w:type="dxa"/>
            <w:vAlign w:val="center"/>
          </w:tcPr>
          <w:p w14:paraId="542FAB0D" w14:textId="77777777" w:rsidR="00BA34D0" w:rsidRPr="00BA34D0" w:rsidRDefault="00E626B0" w:rsidP="00BA34D0">
            <w:pPr>
              <w:jc w:val="both"/>
              <w:rPr>
                <w:rFonts w:ascii="Times New Roman" w:hAnsi="Times New Roman" w:cs="Times New Roman"/>
              </w:rPr>
            </w:pPr>
            <w:r>
              <w:rPr>
                <w:rFonts w:ascii="Times New Roman" w:hAnsi="Times New Roman" w:cs="Times New Roman"/>
              </w:rPr>
              <w:t>Mevcut Tesis</w:t>
            </w:r>
          </w:p>
        </w:tc>
        <w:tc>
          <w:tcPr>
            <w:tcW w:w="6090" w:type="dxa"/>
            <w:vAlign w:val="center"/>
          </w:tcPr>
          <w:p w14:paraId="43C20710" w14:textId="6FFAB524" w:rsidR="00BA34D0" w:rsidRPr="00BA34D0" w:rsidRDefault="0082590D" w:rsidP="00BA34D0">
            <w:pPr>
              <w:jc w:val="both"/>
              <w:rPr>
                <w:rFonts w:ascii="Times New Roman" w:hAnsi="Times New Roman" w:cs="Times New Roman"/>
              </w:rPr>
            </w:pPr>
            <w:r w:rsidRPr="0082590D">
              <w:rPr>
                <w:rFonts w:ascii="Times New Roman" w:hAnsi="Times New Roman" w:cs="Times New Roman"/>
              </w:rPr>
              <w:t>Bu Tebliğin yürürlüğe girdiği tarihte faaliyette olan veya çevresel etki değerlendirmesi mevzuatına göre başvurusu bulunan tesisi</w:t>
            </w:r>
          </w:p>
        </w:tc>
      </w:tr>
      <w:tr w:rsidR="00BA34D0" w:rsidRPr="00BA34D0" w14:paraId="2A9D3EB5" w14:textId="77777777" w:rsidTr="008A431D">
        <w:trPr>
          <w:jc w:val="center"/>
        </w:trPr>
        <w:tc>
          <w:tcPr>
            <w:tcW w:w="2972" w:type="dxa"/>
            <w:vAlign w:val="center"/>
          </w:tcPr>
          <w:p w14:paraId="5D196B05" w14:textId="77777777" w:rsidR="00BA34D0" w:rsidRPr="00BA34D0" w:rsidRDefault="00E626B0" w:rsidP="00BA34D0">
            <w:pPr>
              <w:jc w:val="both"/>
              <w:rPr>
                <w:rFonts w:ascii="Times New Roman" w:hAnsi="Times New Roman" w:cs="Times New Roman"/>
              </w:rPr>
            </w:pPr>
            <w:r>
              <w:rPr>
                <w:rFonts w:ascii="Times New Roman" w:hAnsi="Times New Roman" w:cs="Times New Roman"/>
              </w:rPr>
              <w:t>Büyük İyileştirme</w:t>
            </w:r>
          </w:p>
        </w:tc>
        <w:tc>
          <w:tcPr>
            <w:tcW w:w="6090" w:type="dxa"/>
            <w:vAlign w:val="center"/>
          </w:tcPr>
          <w:p w14:paraId="332B991A" w14:textId="77777777" w:rsidR="00BA34D0" w:rsidRPr="00BA34D0" w:rsidRDefault="00E626B0" w:rsidP="00BA34D0">
            <w:pPr>
              <w:jc w:val="both"/>
              <w:rPr>
                <w:rFonts w:ascii="Times New Roman" w:hAnsi="Times New Roman" w:cs="Times New Roman"/>
              </w:rPr>
            </w:pPr>
            <w:r>
              <w:rPr>
                <w:rFonts w:ascii="Times New Roman" w:hAnsi="Times New Roman" w:cs="Times New Roman"/>
              </w:rPr>
              <w:t>Bir tesisin/azaltım sisteminin tasarımında veya teknolojisinde büyük bir değişiklik veya proses ünitelerinde ve ilgili ekipmanlarda büyük düzenlemeler veya değişiklikler.</w:t>
            </w:r>
          </w:p>
        </w:tc>
      </w:tr>
      <w:tr w:rsidR="00BA34D0" w:rsidRPr="00BA34D0" w14:paraId="4369AEB4" w14:textId="77777777" w:rsidTr="008A431D">
        <w:trPr>
          <w:jc w:val="center"/>
        </w:trPr>
        <w:tc>
          <w:tcPr>
            <w:tcW w:w="2972" w:type="dxa"/>
            <w:vAlign w:val="center"/>
          </w:tcPr>
          <w:p w14:paraId="6D7B6B6F" w14:textId="77777777" w:rsidR="00BA34D0" w:rsidRPr="00BA34D0" w:rsidRDefault="00E626B0" w:rsidP="00BA34D0">
            <w:pPr>
              <w:jc w:val="both"/>
              <w:rPr>
                <w:rFonts w:ascii="Times New Roman" w:hAnsi="Times New Roman" w:cs="Times New Roman"/>
              </w:rPr>
            </w:pPr>
            <w:r>
              <w:rPr>
                <w:rFonts w:ascii="Times New Roman" w:hAnsi="Times New Roman" w:cs="Times New Roman"/>
              </w:rPr>
              <w:t>Yeni Toz Azaltım Sistemi</w:t>
            </w:r>
          </w:p>
        </w:tc>
        <w:tc>
          <w:tcPr>
            <w:tcW w:w="6090" w:type="dxa"/>
            <w:vAlign w:val="center"/>
          </w:tcPr>
          <w:p w14:paraId="32D57EAE" w14:textId="2F4C5AD2" w:rsidR="00BA34D0" w:rsidRPr="00BA34D0" w:rsidRDefault="0082590D" w:rsidP="00BA34D0">
            <w:pPr>
              <w:jc w:val="both"/>
              <w:rPr>
                <w:rFonts w:ascii="Times New Roman" w:hAnsi="Times New Roman" w:cs="Times New Roman"/>
              </w:rPr>
            </w:pPr>
            <w:r w:rsidRPr="0082590D">
              <w:rPr>
                <w:rFonts w:ascii="Times New Roman" w:hAnsi="Times New Roman" w:cs="Times New Roman"/>
              </w:rPr>
              <w:t>Bu Tebliğin yürürlüğe girdi</w:t>
            </w:r>
            <w:r>
              <w:rPr>
                <w:rFonts w:ascii="Times New Roman" w:hAnsi="Times New Roman" w:cs="Times New Roman"/>
              </w:rPr>
              <w:t xml:space="preserve">kten sonra, </w:t>
            </w:r>
            <w:r w:rsidR="00DF72FF">
              <w:rPr>
                <w:rFonts w:ascii="Times New Roman" w:hAnsi="Times New Roman" w:cs="Times New Roman"/>
              </w:rPr>
              <w:t>tesis sahasında ilk kez çalıştırılan bir toz azaltım sistemi.</w:t>
            </w:r>
          </w:p>
        </w:tc>
      </w:tr>
      <w:tr w:rsidR="00BA34D0" w:rsidRPr="00BA34D0" w14:paraId="2B8CB718" w14:textId="77777777" w:rsidTr="004C4263">
        <w:trPr>
          <w:trHeight w:val="770"/>
          <w:jc w:val="center"/>
        </w:trPr>
        <w:tc>
          <w:tcPr>
            <w:tcW w:w="2972" w:type="dxa"/>
            <w:vAlign w:val="center"/>
          </w:tcPr>
          <w:p w14:paraId="486012E5" w14:textId="77777777" w:rsidR="00BA34D0" w:rsidRPr="00BA34D0" w:rsidRDefault="00DF72FF" w:rsidP="00BA34D0">
            <w:pPr>
              <w:jc w:val="both"/>
              <w:rPr>
                <w:rFonts w:ascii="Times New Roman" w:hAnsi="Times New Roman" w:cs="Times New Roman"/>
              </w:rPr>
            </w:pPr>
            <w:r>
              <w:rPr>
                <w:rFonts w:ascii="Times New Roman" w:hAnsi="Times New Roman" w:cs="Times New Roman"/>
              </w:rPr>
              <w:t>Mevcut Toz Azaltım Sistemi</w:t>
            </w:r>
          </w:p>
        </w:tc>
        <w:tc>
          <w:tcPr>
            <w:tcW w:w="6090" w:type="dxa"/>
            <w:vAlign w:val="center"/>
          </w:tcPr>
          <w:p w14:paraId="28C1BD6D" w14:textId="1C4C1A60" w:rsidR="00BA34D0" w:rsidRPr="00BA34D0" w:rsidRDefault="0082590D" w:rsidP="00BA34D0">
            <w:pPr>
              <w:jc w:val="both"/>
              <w:rPr>
                <w:rFonts w:ascii="Times New Roman" w:hAnsi="Times New Roman" w:cs="Times New Roman"/>
              </w:rPr>
            </w:pPr>
            <w:r w:rsidRPr="0082590D">
              <w:rPr>
                <w:rFonts w:ascii="Times New Roman" w:hAnsi="Times New Roman" w:cs="Times New Roman"/>
              </w:rPr>
              <w:t xml:space="preserve">Bu Tebliğin yürürlüğe girdiği tarihte faaliyette olan </w:t>
            </w:r>
            <w:r w:rsidR="001D2219">
              <w:rPr>
                <w:rFonts w:ascii="Times New Roman" w:hAnsi="Times New Roman" w:cs="Times New Roman"/>
              </w:rPr>
              <w:t>bir toz azaltım sistemi.</w:t>
            </w:r>
          </w:p>
        </w:tc>
      </w:tr>
      <w:tr w:rsidR="00DF72FF" w:rsidRPr="00BA34D0" w14:paraId="21AD8B8F" w14:textId="77777777" w:rsidTr="008A431D">
        <w:trPr>
          <w:jc w:val="center"/>
        </w:trPr>
        <w:tc>
          <w:tcPr>
            <w:tcW w:w="2972" w:type="dxa"/>
            <w:vAlign w:val="center"/>
          </w:tcPr>
          <w:p w14:paraId="5058EBE9" w14:textId="77777777" w:rsidR="00DF72FF" w:rsidRDefault="001D2219" w:rsidP="00BA34D0">
            <w:pPr>
              <w:jc w:val="both"/>
              <w:rPr>
                <w:rFonts w:ascii="Times New Roman" w:hAnsi="Times New Roman" w:cs="Times New Roman"/>
              </w:rPr>
            </w:pPr>
            <w:r>
              <w:rPr>
                <w:rFonts w:ascii="Times New Roman" w:hAnsi="Times New Roman" w:cs="Times New Roman"/>
              </w:rPr>
              <w:t>Yoğuşmayan Kokulu Gaz (NCG)</w:t>
            </w:r>
          </w:p>
        </w:tc>
        <w:tc>
          <w:tcPr>
            <w:tcW w:w="6090" w:type="dxa"/>
            <w:vAlign w:val="center"/>
          </w:tcPr>
          <w:p w14:paraId="7E5F1B76" w14:textId="77777777" w:rsidR="00DF72FF" w:rsidRPr="00BA34D0" w:rsidRDefault="001D2219" w:rsidP="00BA34D0">
            <w:pPr>
              <w:jc w:val="both"/>
              <w:rPr>
                <w:rFonts w:ascii="Times New Roman" w:hAnsi="Times New Roman" w:cs="Times New Roman"/>
              </w:rPr>
            </w:pPr>
            <w:r>
              <w:rPr>
                <w:rFonts w:ascii="Times New Roman" w:hAnsi="Times New Roman" w:cs="Times New Roman"/>
              </w:rPr>
              <w:t>Kraft kağıt hamurundan kaynaklanan kötü kokulu gazları ifade eder.</w:t>
            </w:r>
          </w:p>
        </w:tc>
      </w:tr>
      <w:tr w:rsidR="00DF72FF" w:rsidRPr="00BA34D0" w14:paraId="09D39058" w14:textId="77777777" w:rsidTr="008A431D">
        <w:trPr>
          <w:jc w:val="center"/>
        </w:trPr>
        <w:tc>
          <w:tcPr>
            <w:tcW w:w="2972" w:type="dxa"/>
            <w:vAlign w:val="center"/>
          </w:tcPr>
          <w:p w14:paraId="19CFB303" w14:textId="77777777" w:rsidR="00DF72FF" w:rsidRDefault="001D2219" w:rsidP="00BA34D0">
            <w:pPr>
              <w:jc w:val="both"/>
              <w:rPr>
                <w:rFonts w:ascii="Times New Roman" w:hAnsi="Times New Roman" w:cs="Times New Roman"/>
              </w:rPr>
            </w:pPr>
            <w:r>
              <w:rPr>
                <w:rFonts w:ascii="Times New Roman" w:hAnsi="Times New Roman" w:cs="Times New Roman"/>
              </w:rPr>
              <w:t>Konsantre Yoğuşmayan Kokulu Gaz (CNCG)</w:t>
            </w:r>
          </w:p>
        </w:tc>
        <w:tc>
          <w:tcPr>
            <w:tcW w:w="6090" w:type="dxa"/>
            <w:vAlign w:val="center"/>
          </w:tcPr>
          <w:p w14:paraId="50132732" w14:textId="77777777" w:rsidR="00DF72FF" w:rsidRPr="00BA34D0" w:rsidRDefault="001D2219" w:rsidP="00BA34D0">
            <w:pPr>
              <w:jc w:val="both"/>
              <w:rPr>
                <w:rFonts w:ascii="Times New Roman" w:hAnsi="Times New Roman" w:cs="Times New Roman"/>
              </w:rPr>
            </w:pPr>
            <w:r>
              <w:rPr>
                <w:rFonts w:ascii="Times New Roman" w:hAnsi="Times New Roman" w:cs="Times New Roman"/>
              </w:rPr>
              <w:t xml:space="preserve">Konsantre yoğuşmayan kokulu gazlar (ya da “güçlü kokulu gazlar”): </w:t>
            </w:r>
            <w:r w:rsidR="00CA1188">
              <w:rPr>
                <w:rFonts w:ascii="Times New Roman" w:hAnsi="Times New Roman" w:cs="Times New Roman"/>
              </w:rPr>
              <w:t>Pişirme, buharlaşma ve yoğuşuk maddelerin uzaklaştırılmasından kaynaklanan TRS içerikli gazlar.</w:t>
            </w:r>
          </w:p>
        </w:tc>
      </w:tr>
      <w:tr w:rsidR="00DF72FF" w:rsidRPr="00BA34D0" w14:paraId="168A56B7" w14:textId="77777777" w:rsidTr="008A431D">
        <w:trPr>
          <w:jc w:val="center"/>
        </w:trPr>
        <w:tc>
          <w:tcPr>
            <w:tcW w:w="2972" w:type="dxa"/>
            <w:vAlign w:val="center"/>
          </w:tcPr>
          <w:p w14:paraId="14553805" w14:textId="77777777" w:rsidR="00DF72FF" w:rsidRDefault="003B34D1" w:rsidP="00BA34D0">
            <w:pPr>
              <w:jc w:val="both"/>
              <w:rPr>
                <w:rFonts w:ascii="Times New Roman" w:hAnsi="Times New Roman" w:cs="Times New Roman"/>
              </w:rPr>
            </w:pPr>
            <w:r>
              <w:rPr>
                <w:rFonts w:ascii="Times New Roman" w:hAnsi="Times New Roman" w:cs="Times New Roman"/>
              </w:rPr>
              <w:t>Güçlü Kokulu Gazlar</w:t>
            </w:r>
          </w:p>
        </w:tc>
        <w:tc>
          <w:tcPr>
            <w:tcW w:w="6090" w:type="dxa"/>
            <w:vAlign w:val="center"/>
          </w:tcPr>
          <w:p w14:paraId="2452C633" w14:textId="77777777" w:rsidR="00DF72FF" w:rsidRPr="00BA34D0" w:rsidRDefault="003B34D1" w:rsidP="00BA34D0">
            <w:pPr>
              <w:jc w:val="both"/>
              <w:rPr>
                <w:rFonts w:ascii="Times New Roman" w:hAnsi="Times New Roman" w:cs="Times New Roman"/>
              </w:rPr>
            </w:pPr>
            <w:r>
              <w:rPr>
                <w:rFonts w:ascii="Times New Roman" w:hAnsi="Times New Roman" w:cs="Times New Roman"/>
              </w:rPr>
              <w:t>Konsantre yoğuşmayan kokulu gazlar (CNCG).</w:t>
            </w:r>
          </w:p>
        </w:tc>
      </w:tr>
      <w:tr w:rsidR="00DF72FF" w:rsidRPr="00BA34D0" w14:paraId="6BDE3ED6" w14:textId="77777777" w:rsidTr="008A431D">
        <w:trPr>
          <w:jc w:val="center"/>
        </w:trPr>
        <w:tc>
          <w:tcPr>
            <w:tcW w:w="2972" w:type="dxa"/>
            <w:vAlign w:val="center"/>
          </w:tcPr>
          <w:p w14:paraId="542D6932" w14:textId="77777777" w:rsidR="00DF72FF" w:rsidRDefault="003B34D1" w:rsidP="00BA34D0">
            <w:pPr>
              <w:jc w:val="both"/>
              <w:rPr>
                <w:rFonts w:ascii="Times New Roman" w:hAnsi="Times New Roman" w:cs="Times New Roman"/>
              </w:rPr>
            </w:pPr>
            <w:r>
              <w:rPr>
                <w:rFonts w:ascii="Times New Roman" w:hAnsi="Times New Roman" w:cs="Times New Roman"/>
              </w:rPr>
              <w:t>Zayıf Kokulu Gazlar</w:t>
            </w:r>
          </w:p>
        </w:tc>
        <w:tc>
          <w:tcPr>
            <w:tcW w:w="6090" w:type="dxa"/>
            <w:vAlign w:val="center"/>
          </w:tcPr>
          <w:p w14:paraId="6D297E46" w14:textId="77777777" w:rsidR="00DF72FF" w:rsidRPr="00BA34D0" w:rsidRDefault="003B34D1" w:rsidP="00BA34D0">
            <w:pPr>
              <w:jc w:val="both"/>
              <w:rPr>
                <w:rFonts w:ascii="Times New Roman" w:hAnsi="Times New Roman" w:cs="Times New Roman"/>
              </w:rPr>
            </w:pPr>
            <w:r>
              <w:rPr>
                <w:rFonts w:ascii="Times New Roman" w:hAnsi="Times New Roman" w:cs="Times New Roman"/>
              </w:rPr>
              <w:t>Seyreltik yoğuşmayan kokulu gazlar: Güçlü kokulu olmayan TRS içerikli gazlar (örn. tanklardan, yıkama filtrelerinden, yonga kutularından, kireç çamuru filtrelerinden, kurutma makinelerinden kaynaklanan gazlar).</w:t>
            </w:r>
          </w:p>
        </w:tc>
      </w:tr>
      <w:tr w:rsidR="00DF72FF" w:rsidRPr="00BA34D0" w14:paraId="08165A8D" w14:textId="77777777" w:rsidTr="008A431D">
        <w:trPr>
          <w:jc w:val="center"/>
        </w:trPr>
        <w:tc>
          <w:tcPr>
            <w:tcW w:w="2972" w:type="dxa"/>
            <w:vAlign w:val="center"/>
          </w:tcPr>
          <w:p w14:paraId="481D77E0" w14:textId="77777777" w:rsidR="00DF72FF" w:rsidRDefault="003B34D1" w:rsidP="00BA34D0">
            <w:pPr>
              <w:jc w:val="both"/>
              <w:rPr>
                <w:rFonts w:ascii="Times New Roman" w:hAnsi="Times New Roman" w:cs="Times New Roman"/>
              </w:rPr>
            </w:pPr>
            <w:r>
              <w:rPr>
                <w:rFonts w:ascii="Times New Roman" w:hAnsi="Times New Roman" w:cs="Times New Roman"/>
              </w:rPr>
              <w:t>Artık Zayıf Gazlar</w:t>
            </w:r>
          </w:p>
        </w:tc>
        <w:tc>
          <w:tcPr>
            <w:tcW w:w="6090" w:type="dxa"/>
            <w:vAlign w:val="center"/>
          </w:tcPr>
          <w:p w14:paraId="2D8CA804" w14:textId="77777777" w:rsidR="003B34D1" w:rsidRPr="00BA34D0" w:rsidRDefault="003B34D1" w:rsidP="003B34D1">
            <w:pPr>
              <w:jc w:val="both"/>
              <w:rPr>
                <w:rFonts w:ascii="Times New Roman" w:hAnsi="Times New Roman" w:cs="Times New Roman"/>
              </w:rPr>
            </w:pPr>
            <w:r>
              <w:rPr>
                <w:rFonts w:ascii="Times New Roman" w:hAnsi="Times New Roman" w:cs="Times New Roman"/>
              </w:rPr>
              <w:t>Geri kazanım kazanı, kireç fırını veya TRS brülörü haricindeki işlemlerden kaynaklanan zayıf gazlar.</w:t>
            </w:r>
          </w:p>
        </w:tc>
      </w:tr>
      <w:tr w:rsidR="00DF72FF" w:rsidRPr="00BA34D0" w14:paraId="107C5376" w14:textId="77777777" w:rsidTr="008A431D">
        <w:trPr>
          <w:jc w:val="center"/>
        </w:trPr>
        <w:tc>
          <w:tcPr>
            <w:tcW w:w="2972" w:type="dxa"/>
            <w:vAlign w:val="center"/>
          </w:tcPr>
          <w:p w14:paraId="5C9C966F" w14:textId="77777777" w:rsidR="00DF72FF" w:rsidRDefault="003B34D1" w:rsidP="00BA34D0">
            <w:pPr>
              <w:jc w:val="both"/>
              <w:rPr>
                <w:rFonts w:ascii="Times New Roman" w:hAnsi="Times New Roman" w:cs="Times New Roman"/>
              </w:rPr>
            </w:pPr>
            <w:r>
              <w:rPr>
                <w:rFonts w:ascii="Times New Roman" w:hAnsi="Times New Roman" w:cs="Times New Roman"/>
              </w:rPr>
              <w:t>Sürekli Ölçüm</w:t>
            </w:r>
          </w:p>
        </w:tc>
        <w:tc>
          <w:tcPr>
            <w:tcW w:w="6090" w:type="dxa"/>
            <w:vAlign w:val="center"/>
          </w:tcPr>
          <w:p w14:paraId="7E43F78A" w14:textId="77777777" w:rsidR="00DF72FF" w:rsidRPr="00BA34D0" w:rsidRDefault="003B34D1" w:rsidP="00BA34D0">
            <w:pPr>
              <w:jc w:val="both"/>
              <w:rPr>
                <w:rFonts w:ascii="Times New Roman" w:hAnsi="Times New Roman" w:cs="Times New Roman"/>
              </w:rPr>
            </w:pPr>
            <w:r>
              <w:rPr>
                <w:rFonts w:ascii="Times New Roman" w:hAnsi="Times New Roman" w:cs="Times New Roman"/>
              </w:rPr>
              <w:t>Saha sürekli olarak kurulu olan bir otomatik ölçüm sistemi (AMS) kullanılan ölçümler.</w:t>
            </w:r>
          </w:p>
        </w:tc>
      </w:tr>
      <w:tr w:rsidR="003B34D1" w:rsidRPr="00BA34D0" w14:paraId="600368F6" w14:textId="77777777" w:rsidTr="008A431D">
        <w:trPr>
          <w:jc w:val="center"/>
        </w:trPr>
        <w:tc>
          <w:tcPr>
            <w:tcW w:w="2972" w:type="dxa"/>
            <w:vAlign w:val="center"/>
          </w:tcPr>
          <w:p w14:paraId="0C9A7FC1" w14:textId="77777777" w:rsidR="003B34D1" w:rsidRDefault="003B34D1" w:rsidP="00BA34D0">
            <w:pPr>
              <w:jc w:val="both"/>
              <w:rPr>
                <w:rFonts w:ascii="Times New Roman" w:hAnsi="Times New Roman" w:cs="Times New Roman"/>
              </w:rPr>
            </w:pPr>
            <w:r>
              <w:rPr>
                <w:rFonts w:ascii="Times New Roman" w:hAnsi="Times New Roman" w:cs="Times New Roman"/>
              </w:rPr>
              <w:t>Periyodik Ölçüm</w:t>
            </w:r>
          </w:p>
        </w:tc>
        <w:tc>
          <w:tcPr>
            <w:tcW w:w="6090" w:type="dxa"/>
            <w:vAlign w:val="center"/>
          </w:tcPr>
          <w:p w14:paraId="1E23D732" w14:textId="77777777" w:rsidR="003B34D1" w:rsidRDefault="003B34D1" w:rsidP="00BA34D0">
            <w:pPr>
              <w:jc w:val="both"/>
              <w:rPr>
                <w:rFonts w:ascii="Times New Roman" w:hAnsi="Times New Roman" w:cs="Times New Roman"/>
              </w:rPr>
            </w:pPr>
            <w:r>
              <w:rPr>
                <w:rFonts w:ascii="Times New Roman" w:hAnsi="Times New Roman" w:cs="Times New Roman"/>
              </w:rPr>
              <w:t>Manuel veya otomatik yöntemler kullanılarak belirli zaman aralıklarında ölçülen büyüklüğün (ölçüme tabi belirli bir miktar) belirlenmesi.</w:t>
            </w:r>
          </w:p>
        </w:tc>
      </w:tr>
      <w:tr w:rsidR="003B34D1" w:rsidRPr="00BA34D0" w14:paraId="03F84787" w14:textId="77777777" w:rsidTr="008A431D">
        <w:trPr>
          <w:jc w:val="center"/>
        </w:trPr>
        <w:tc>
          <w:tcPr>
            <w:tcW w:w="2972" w:type="dxa"/>
            <w:vAlign w:val="center"/>
          </w:tcPr>
          <w:p w14:paraId="7DDE905D" w14:textId="77777777" w:rsidR="003B34D1" w:rsidRDefault="003B34D1" w:rsidP="00BA34D0">
            <w:pPr>
              <w:jc w:val="both"/>
              <w:rPr>
                <w:rFonts w:ascii="Times New Roman" w:hAnsi="Times New Roman" w:cs="Times New Roman"/>
              </w:rPr>
            </w:pPr>
            <w:r>
              <w:rPr>
                <w:rFonts w:ascii="Times New Roman" w:hAnsi="Times New Roman" w:cs="Times New Roman"/>
              </w:rPr>
              <w:t>Yayılı Emisyonlar</w:t>
            </w:r>
          </w:p>
        </w:tc>
        <w:tc>
          <w:tcPr>
            <w:tcW w:w="6090" w:type="dxa"/>
            <w:vAlign w:val="center"/>
          </w:tcPr>
          <w:p w14:paraId="5E55284F" w14:textId="77777777" w:rsidR="003B34D1" w:rsidRDefault="003B34D1" w:rsidP="00BA34D0">
            <w:pPr>
              <w:jc w:val="both"/>
              <w:rPr>
                <w:rFonts w:ascii="Times New Roman" w:hAnsi="Times New Roman" w:cs="Times New Roman"/>
              </w:rPr>
            </w:pPr>
            <w:r>
              <w:rPr>
                <w:rFonts w:ascii="Times New Roman" w:hAnsi="Times New Roman" w:cs="Times New Roman"/>
              </w:rPr>
              <w:t>Uçucu maddelerin veya tozun, normal çalışma koşulları altında çevre ile doğrudan temasından kaynaklanan emisyonlar.</w:t>
            </w:r>
          </w:p>
        </w:tc>
      </w:tr>
      <w:tr w:rsidR="003B34D1" w:rsidRPr="00BA34D0" w14:paraId="7B8ECED8" w14:textId="77777777" w:rsidTr="008A431D">
        <w:trPr>
          <w:jc w:val="center"/>
        </w:trPr>
        <w:tc>
          <w:tcPr>
            <w:tcW w:w="2972" w:type="dxa"/>
            <w:vAlign w:val="center"/>
          </w:tcPr>
          <w:p w14:paraId="66DCBDF0" w14:textId="77777777" w:rsidR="003B34D1" w:rsidRDefault="003B34D1" w:rsidP="00BA34D0">
            <w:pPr>
              <w:jc w:val="both"/>
              <w:rPr>
                <w:rFonts w:ascii="Times New Roman" w:hAnsi="Times New Roman" w:cs="Times New Roman"/>
              </w:rPr>
            </w:pPr>
            <w:r>
              <w:rPr>
                <w:rFonts w:ascii="Times New Roman" w:hAnsi="Times New Roman" w:cs="Times New Roman"/>
              </w:rPr>
              <w:t>Entegre Üretim</w:t>
            </w:r>
          </w:p>
        </w:tc>
        <w:tc>
          <w:tcPr>
            <w:tcW w:w="6090" w:type="dxa"/>
            <w:vAlign w:val="center"/>
          </w:tcPr>
          <w:p w14:paraId="3D6F8D5C" w14:textId="77777777" w:rsidR="003B34D1" w:rsidRDefault="001B35D9" w:rsidP="00BA34D0">
            <w:pPr>
              <w:jc w:val="both"/>
              <w:rPr>
                <w:rFonts w:ascii="Times New Roman" w:hAnsi="Times New Roman" w:cs="Times New Roman"/>
              </w:rPr>
            </w:pPr>
            <w:r>
              <w:rPr>
                <w:rFonts w:ascii="Times New Roman" w:hAnsi="Times New Roman" w:cs="Times New Roman"/>
              </w:rPr>
              <w:t xml:space="preserve">Kağıt hamuru ve kağıt/karton aynı </w:t>
            </w:r>
            <w:r w:rsidR="00A76FAF">
              <w:rPr>
                <w:rFonts w:ascii="Times New Roman" w:hAnsi="Times New Roman" w:cs="Times New Roman"/>
              </w:rPr>
              <w:t>tesiste üretilir. Kağıt hamuru normalde, kağıt/karton üretiminden önce kurutulmaz.</w:t>
            </w:r>
          </w:p>
        </w:tc>
      </w:tr>
      <w:tr w:rsidR="003B34D1" w:rsidRPr="00BA34D0" w14:paraId="3CEBAC7C" w14:textId="77777777" w:rsidTr="008A431D">
        <w:trPr>
          <w:jc w:val="center"/>
        </w:trPr>
        <w:tc>
          <w:tcPr>
            <w:tcW w:w="2972" w:type="dxa"/>
            <w:vAlign w:val="center"/>
          </w:tcPr>
          <w:p w14:paraId="30A23F2A" w14:textId="77777777" w:rsidR="003B34D1" w:rsidRDefault="00A76FAF" w:rsidP="00BA34D0">
            <w:pPr>
              <w:jc w:val="both"/>
              <w:rPr>
                <w:rFonts w:ascii="Times New Roman" w:hAnsi="Times New Roman" w:cs="Times New Roman"/>
              </w:rPr>
            </w:pPr>
            <w:r>
              <w:rPr>
                <w:rFonts w:ascii="Times New Roman" w:hAnsi="Times New Roman" w:cs="Times New Roman"/>
              </w:rPr>
              <w:t>Entegre Olmayan Üretim</w:t>
            </w:r>
          </w:p>
        </w:tc>
        <w:tc>
          <w:tcPr>
            <w:tcW w:w="6090" w:type="dxa"/>
            <w:vAlign w:val="center"/>
          </w:tcPr>
          <w:p w14:paraId="5B5DEA20" w14:textId="77777777" w:rsidR="003B34D1" w:rsidRDefault="00A76FAF" w:rsidP="00BA34D0">
            <w:pPr>
              <w:jc w:val="both"/>
              <w:rPr>
                <w:rFonts w:ascii="Times New Roman" w:hAnsi="Times New Roman" w:cs="Times New Roman"/>
              </w:rPr>
            </w:pPr>
            <w:r>
              <w:rPr>
                <w:rFonts w:ascii="Times New Roman" w:hAnsi="Times New Roman" w:cs="Times New Roman"/>
              </w:rPr>
              <w:t xml:space="preserve">Ya (a) kağıt makinesi kullanmayan fabrikalarda </w:t>
            </w:r>
            <w:r w:rsidR="00B3796F">
              <w:rPr>
                <w:rFonts w:ascii="Times New Roman" w:hAnsi="Times New Roman" w:cs="Times New Roman"/>
              </w:rPr>
              <w:t>piyasaya sürülen</w:t>
            </w:r>
            <w:r>
              <w:rPr>
                <w:rFonts w:ascii="Times New Roman" w:hAnsi="Times New Roman" w:cs="Times New Roman"/>
              </w:rPr>
              <w:t xml:space="preserve"> kağıt hamuru (satış için) üretimi ya da (b) sadece diğer tesislerde üretilen kağıt hamuru (</w:t>
            </w:r>
            <w:r w:rsidR="00B3796F">
              <w:rPr>
                <w:rFonts w:ascii="Times New Roman" w:hAnsi="Times New Roman" w:cs="Times New Roman"/>
              </w:rPr>
              <w:t>piyasaya sürülen</w:t>
            </w:r>
            <w:r>
              <w:rPr>
                <w:rFonts w:ascii="Times New Roman" w:hAnsi="Times New Roman" w:cs="Times New Roman"/>
              </w:rPr>
              <w:t xml:space="preserve"> kağıt hamuru) kullanılarak kağıt/karton üretimi.</w:t>
            </w:r>
          </w:p>
        </w:tc>
      </w:tr>
      <w:tr w:rsidR="003B34D1" w:rsidRPr="00BA34D0" w14:paraId="018CE505" w14:textId="77777777" w:rsidTr="008A431D">
        <w:trPr>
          <w:jc w:val="center"/>
        </w:trPr>
        <w:tc>
          <w:tcPr>
            <w:tcW w:w="2972" w:type="dxa"/>
            <w:vAlign w:val="center"/>
          </w:tcPr>
          <w:p w14:paraId="3844E93D" w14:textId="77777777" w:rsidR="003B34D1" w:rsidRDefault="00A76FAF" w:rsidP="00BA34D0">
            <w:pPr>
              <w:jc w:val="both"/>
              <w:rPr>
                <w:rFonts w:ascii="Times New Roman" w:hAnsi="Times New Roman" w:cs="Times New Roman"/>
              </w:rPr>
            </w:pPr>
            <w:r>
              <w:rPr>
                <w:rFonts w:ascii="Times New Roman" w:hAnsi="Times New Roman" w:cs="Times New Roman"/>
              </w:rPr>
              <w:t>Net Üretim</w:t>
            </w:r>
          </w:p>
        </w:tc>
        <w:tc>
          <w:tcPr>
            <w:tcW w:w="6090" w:type="dxa"/>
            <w:vAlign w:val="center"/>
          </w:tcPr>
          <w:p w14:paraId="46B49AFB" w14:textId="77777777" w:rsidR="003B34D1" w:rsidRDefault="00A76FAF" w:rsidP="00BA34D0">
            <w:pPr>
              <w:jc w:val="both"/>
              <w:rPr>
                <w:rFonts w:ascii="Times New Roman" w:hAnsi="Times New Roman" w:cs="Times New Roman"/>
              </w:rPr>
            </w:pPr>
            <w:r>
              <w:rPr>
                <w:rFonts w:ascii="Times New Roman" w:hAnsi="Times New Roman" w:cs="Times New Roman"/>
              </w:rPr>
              <w:t>(i) Kağıt fabrikaları için: Son bobin sarıcıdan sonra, yani dönüştürmeden önce, ambalajsız, satılabilir üretim.</w:t>
            </w:r>
          </w:p>
          <w:p w14:paraId="19AA7683" w14:textId="77777777" w:rsidR="00A76FAF" w:rsidRDefault="00A76FAF" w:rsidP="00BA34D0">
            <w:pPr>
              <w:jc w:val="both"/>
              <w:rPr>
                <w:rFonts w:ascii="Times New Roman" w:hAnsi="Times New Roman" w:cs="Times New Roman"/>
              </w:rPr>
            </w:pPr>
            <w:r>
              <w:rPr>
                <w:rFonts w:ascii="Times New Roman" w:hAnsi="Times New Roman" w:cs="Times New Roman"/>
              </w:rPr>
              <w:t>(ii) Çevrim dışı kaplayıcılar için: Kaplamadan sonraki üretim.</w:t>
            </w:r>
          </w:p>
          <w:p w14:paraId="3B914593" w14:textId="77777777" w:rsidR="00A76FAF" w:rsidRDefault="00A76FAF" w:rsidP="00BA34D0">
            <w:pPr>
              <w:jc w:val="both"/>
              <w:rPr>
                <w:rFonts w:ascii="Times New Roman" w:hAnsi="Times New Roman" w:cs="Times New Roman"/>
              </w:rPr>
            </w:pPr>
            <w:r>
              <w:rPr>
                <w:rFonts w:ascii="Times New Roman" w:hAnsi="Times New Roman" w:cs="Times New Roman"/>
              </w:rPr>
              <w:t xml:space="preserve">(iii) Kağıt mendil fabrikaları için: Kağıt mendil makinesinden sonra, herhangi bir geri sarma işleminden önce ve </w:t>
            </w:r>
            <w:r w:rsidR="00687FB1">
              <w:rPr>
                <w:rFonts w:ascii="Times New Roman" w:hAnsi="Times New Roman" w:cs="Times New Roman"/>
              </w:rPr>
              <w:t>herhangi bir maça dökümcülük</w:t>
            </w:r>
            <w:r>
              <w:rPr>
                <w:rFonts w:ascii="Times New Roman" w:hAnsi="Times New Roman" w:cs="Times New Roman"/>
              </w:rPr>
              <w:t xml:space="preserve"> hariç, satılabilir üretim.</w:t>
            </w:r>
          </w:p>
          <w:p w14:paraId="4F26E4E7" w14:textId="77777777" w:rsidR="00687FB1" w:rsidRDefault="00687FB1" w:rsidP="00BA34D0">
            <w:pPr>
              <w:jc w:val="both"/>
              <w:rPr>
                <w:rFonts w:ascii="Times New Roman" w:hAnsi="Times New Roman" w:cs="Times New Roman"/>
              </w:rPr>
            </w:pPr>
            <w:r>
              <w:rPr>
                <w:rFonts w:ascii="Times New Roman" w:hAnsi="Times New Roman" w:cs="Times New Roman"/>
              </w:rPr>
              <w:t xml:space="preserve">(iv) </w:t>
            </w:r>
            <w:r w:rsidR="00B3796F">
              <w:rPr>
                <w:rFonts w:ascii="Times New Roman" w:hAnsi="Times New Roman" w:cs="Times New Roman"/>
              </w:rPr>
              <w:t>Piyasaya sürülen</w:t>
            </w:r>
            <w:r>
              <w:rPr>
                <w:rFonts w:ascii="Times New Roman" w:hAnsi="Times New Roman" w:cs="Times New Roman"/>
              </w:rPr>
              <w:t xml:space="preserve"> kağıt hamuru fabrikaları için: </w:t>
            </w:r>
            <w:r w:rsidR="00965B67">
              <w:rPr>
                <w:rFonts w:ascii="Times New Roman" w:hAnsi="Times New Roman" w:cs="Times New Roman"/>
              </w:rPr>
              <w:t>Ambalajlamadan sonraki üretim (ADt).</w:t>
            </w:r>
          </w:p>
          <w:p w14:paraId="22285D38" w14:textId="77777777" w:rsidR="00965B67" w:rsidRDefault="00965B67" w:rsidP="00BA34D0">
            <w:pPr>
              <w:jc w:val="both"/>
              <w:rPr>
                <w:rFonts w:ascii="Times New Roman" w:hAnsi="Times New Roman" w:cs="Times New Roman"/>
              </w:rPr>
            </w:pPr>
            <w:r>
              <w:rPr>
                <w:rFonts w:ascii="Times New Roman" w:hAnsi="Times New Roman" w:cs="Times New Roman"/>
              </w:rPr>
              <w:lastRenderedPageBreak/>
              <w:t xml:space="preserve">(v) </w:t>
            </w:r>
            <w:r w:rsidR="002E2A79">
              <w:rPr>
                <w:rFonts w:ascii="Times New Roman" w:hAnsi="Times New Roman" w:cs="Times New Roman"/>
              </w:rPr>
              <w:t>Entegre fabrikalar için: Net kağıt hamuru üretimi, ambalajlamadan sonraki üretim (ADt) ile kağıt fabrikasına gönderilen kağıt hamurunun (%90 kurulukta, açık hava kuruması, hesaplanan kağıt hamuru) toplamı. Net kağıt üretimi: (i) maddesi ile aynı.</w:t>
            </w:r>
          </w:p>
        </w:tc>
      </w:tr>
      <w:tr w:rsidR="003B34D1" w:rsidRPr="00BA34D0" w14:paraId="4B59468F" w14:textId="77777777" w:rsidTr="008A431D">
        <w:trPr>
          <w:jc w:val="center"/>
        </w:trPr>
        <w:tc>
          <w:tcPr>
            <w:tcW w:w="2972" w:type="dxa"/>
            <w:vAlign w:val="center"/>
          </w:tcPr>
          <w:p w14:paraId="153AA2B9" w14:textId="77777777" w:rsidR="003B34D1" w:rsidRDefault="002E2A79" w:rsidP="00BA34D0">
            <w:pPr>
              <w:jc w:val="both"/>
              <w:rPr>
                <w:rFonts w:ascii="Times New Roman" w:hAnsi="Times New Roman" w:cs="Times New Roman"/>
              </w:rPr>
            </w:pPr>
            <w:r>
              <w:rPr>
                <w:rFonts w:ascii="Times New Roman" w:hAnsi="Times New Roman" w:cs="Times New Roman"/>
              </w:rPr>
              <w:lastRenderedPageBreak/>
              <w:t>Özel Kağıt Fabrikası</w:t>
            </w:r>
          </w:p>
        </w:tc>
        <w:tc>
          <w:tcPr>
            <w:tcW w:w="6090" w:type="dxa"/>
            <w:vAlign w:val="center"/>
          </w:tcPr>
          <w:p w14:paraId="058145A4" w14:textId="77777777" w:rsidR="003B34D1" w:rsidRDefault="002E2A79" w:rsidP="00BA34D0">
            <w:pPr>
              <w:jc w:val="both"/>
              <w:rPr>
                <w:rFonts w:ascii="Times New Roman" w:hAnsi="Times New Roman" w:cs="Times New Roman"/>
              </w:rPr>
            </w:pPr>
            <w:r>
              <w:rPr>
                <w:rFonts w:ascii="Times New Roman" w:hAnsi="Times New Roman" w:cs="Times New Roman"/>
              </w:rPr>
              <w:t xml:space="preserve">Belirli özellikleri, nispeten küçük son kullanım pazarı veya genellikle belirli bir müşteri ya da son kullanıcı grubu için özel olarak tasarlanmış niş uygulamaları ile karakterize edilen özel amaçlar için (endüstriyel ve/veya endüstriyel olmayan) çok sayıda kağıt ve karton türü üreten fabrika. </w:t>
            </w:r>
            <w:r w:rsidR="00B33E21">
              <w:rPr>
                <w:rFonts w:ascii="Times New Roman" w:hAnsi="Times New Roman" w:cs="Times New Roman"/>
              </w:rPr>
              <w:t xml:space="preserve">Özel kağıtlara örnek olarak sigara kağıtları, filtre kağıtları, </w:t>
            </w:r>
            <w:r w:rsidR="001F2CDC">
              <w:rPr>
                <w:rFonts w:ascii="Times New Roman" w:hAnsi="Times New Roman" w:cs="Times New Roman"/>
              </w:rPr>
              <w:t>metalize kağıtlar, termal kağıtlar, kopya kağıtları, yapışkan etiketler, parlatılmış kuşe kağıtlarının yanı sıra alçı astarlar ve mumlama, yalıtma, çatı kaplama, asfaltlama ve diğer belirli uygulamalar veya işlemler için olan özel kağıtlar verilebilir. Tüm bu türler, standart kağıt kategorilerinin dışında kalır.</w:t>
            </w:r>
          </w:p>
        </w:tc>
      </w:tr>
      <w:tr w:rsidR="002E2A79" w:rsidRPr="00BA34D0" w14:paraId="15272C77" w14:textId="77777777" w:rsidTr="008A431D">
        <w:trPr>
          <w:jc w:val="center"/>
        </w:trPr>
        <w:tc>
          <w:tcPr>
            <w:tcW w:w="2972" w:type="dxa"/>
            <w:vAlign w:val="center"/>
          </w:tcPr>
          <w:p w14:paraId="3AF4B0F5" w14:textId="77777777" w:rsidR="002E2A79" w:rsidRDefault="001F2CDC" w:rsidP="00BA34D0">
            <w:pPr>
              <w:jc w:val="both"/>
              <w:rPr>
                <w:rFonts w:ascii="Times New Roman" w:hAnsi="Times New Roman" w:cs="Times New Roman"/>
              </w:rPr>
            </w:pPr>
            <w:r>
              <w:rPr>
                <w:rFonts w:ascii="Times New Roman" w:hAnsi="Times New Roman" w:cs="Times New Roman"/>
              </w:rPr>
              <w:t xml:space="preserve">Sert </w:t>
            </w:r>
            <w:r w:rsidR="00A570B2">
              <w:rPr>
                <w:rFonts w:ascii="Times New Roman" w:hAnsi="Times New Roman" w:cs="Times New Roman"/>
              </w:rPr>
              <w:t>Kereste</w:t>
            </w:r>
          </w:p>
        </w:tc>
        <w:tc>
          <w:tcPr>
            <w:tcW w:w="6090" w:type="dxa"/>
            <w:vAlign w:val="center"/>
          </w:tcPr>
          <w:p w14:paraId="5835706F" w14:textId="77777777" w:rsidR="002E2A79" w:rsidRDefault="001F2CDC" w:rsidP="00BA34D0">
            <w:pPr>
              <w:jc w:val="both"/>
              <w:rPr>
                <w:rFonts w:ascii="Times New Roman" w:hAnsi="Times New Roman" w:cs="Times New Roman"/>
              </w:rPr>
            </w:pPr>
            <w:r>
              <w:rPr>
                <w:rFonts w:ascii="Times New Roman" w:hAnsi="Times New Roman" w:cs="Times New Roman"/>
              </w:rPr>
              <w:t xml:space="preserve">Titrek kavak, kayın, huş ve okaliptüs ağaç türlerini kapsayan grup. Yumuşak </w:t>
            </w:r>
            <w:r w:rsidR="00A570B2">
              <w:rPr>
                <w:rFonts w:ascii="Times New Roman" w:hAnsi="Times New Roman" w:cs="Times New Roman"/>
              </w:rPr>
              <w:t>kereste</w:t>
            </w:r>
            <w:r>
              <w:rPr>
                <w:rFonts w:ascii="Times New Roman" w:hAnsi="Times New Roman" w:cs="Times New Roman"/>
              </w:rPr>
              <w:t xml:space="preserve"> teriminin zıt anlamlısı olarak kullanılır.</w:t>
            </w:r>
          </w:p>
        </w:tc>
      </w:tr>
      <w:tr w:rsidR="002E2A79" w:rsidRPr="00BA34D0" w14:paraId="4641293B" w14:textId="77777777" w:rsidTr="008A431D">
        <w:trPr>
          <w:jc w:val="center"/>
        </w:trPr>
        <w:tc>
          <w:tcPr>
            <w:tcW w:w="2972" w:type="dxa"/>
            <w:vAlign w:val="center"/>
          </w:tcPr>
          <w:p w14:paraId="1AE1986A" w14:textId="77777777" w:rsidR="002E2A79" w:rsidRDefault="001F2CDC" w:rsidP="00BA34D0">
            <w:pPr>
              <w:jc w:val="both"/>
              <w:rPr>
                <w:rFonts w:ascii="Times New Roman" w:hAnsi="Times New Roman" w:cs="Times New Roman"/>
              </w:rPr>
            </w:pPr>
            <w:r>
              <w:rPr>
                <w:rFonts w:ascii="Times New Roman" w:hAnsi="Times New Roman" w:cs="Times New Roman"/>
              </w:rPr>
              <w:t xml:space="preserve">Yumuşak </w:t>
            </w:r>
            <w:r w:rsidR="00A570B2">
              <w:rPr>
                <w:rFonts w:ascii="Times New Roman" w:hAnsi="Times New Roman" w:cs="Times New Roman"/>
              </w:rPr>
              <w:t>Kereste</w:t>
            </w:r>
          </w:p>
        </w:tc>
        <w:tc>
          <w:tcPr>
            <w:tcW w:w="6090" w:type="dxa"/>
            <w:vAlign w:val="center"/>
          </w:tcPr>
          <w:p w14:paraId="5BA0E369" w14:textId="77777777" w:rsidR="002E2A79" w:rsidRDefault="001F2CDC" w:rsidP="00BA34D0">
            <w:pPr>
              <w:jc w:val="both"/>
              <w:rPr>
                <w:rFonts w:ascii="Times New Roman" w:hAnsi="Times New Roman" w:cs="Times New Roman"/>
              </w:rPr>
            </w:pPr>
            <w:r>
              <w:rPr>
                <w:rFonts w:ascii="Times New Roman" w:hAnsi="Times New Roman" w:cs="Times New Roman"/>
              </w:rPr>
              <w:t xml:space="preserve">Çam ve ladin </w:t>
            </w:r>
            <w:r w:rsidR="00A570B2">
              <w:rPr>
                <w:rFonts w:ascii="Times New Roman" w:hAnsi="Times New Roman" w:cs="Times New Roman"/>
              </w:rPr>
              <w:t>ağaç türlerini kapsayan kozalaklı ağaçlardan elde edilen kereste. Sert kereste teriminin zıt anlamlısı olarak kullanılır.</w:t>
            </w:r>
          </w:p>
        </w:tc>
      </w:tr>
      <w:tr w:rsidR="002E2A79" w:rsidRPr="00BA34D0" w14:paraId="66AD78F7" w14:textId="77777777" w:rsidTr="008A431D">
        <w:trPr>
          <w:jc w:val="center"/>
        </w:trPr>
        <w:tc>
          <w:tcPr>
            <w:tcW w:w="2972" w:type="dxa"/>
            <w:vAlign w:val="center"/>
          </w:tcPr>
          <w:p w14:paraId="4CD7A076" w14:textId="77777777" w:rsidR="002E2A79" w:rsidRDefault="00A570B2" w:rsidP="00BA34D0">
            <w:pPr>
              <w:jc w:val="both"/>
              <w:rPr>
                <w:rFonts w:ascii="Times New Roman" w:hAnsi="Times New Roman" w:cs="Times New Roman"/>
              </w:rPr>
            </w:pPr>
            <w:r>
              <w:rPr>
                <w:rFonts w:ascii="Times New Roman" w:hAnsi="Times New Roman" w:cs="Times New Roman"/>
              </w:rPr>
              <w:t>Kostikleştirme</w:t>
            </w:r>
          </w:p>
        </w:tc>
        <w:tc>
          <w:tcPr>
            <w:tcW w:w="6090" w:type="dxa"/>
            <w:vAlign w:val="center"/>
          </w:tcPr>
          <w:p w14:paraId="0733BB84" w14:textId="77777777" w:rsidR="002E2A79" w:rsidRPr="008A431D" w:rsidRDefault="008A431D" w:rsidP="00BA34D0">
            <w:pPr>
              <w:jc w:val="both"/>
              <w:rPr>
                <w:rFonts w:ascii="Times New Roman" w:hAnsi="Times New Roman" w:cs="Times New Roman"/>
                <w:iCs/>
                <w:vertAlign w:val="superscript"/>
              </w:rPr>
            </w:pPr>
            <w:r>
              <w:rPr>
                <w:rFonts w:ascii="Times New Roman" w:hAnsi="Times New Roman" w:cs="Times New Roman"/>
              </w:rPr>
              <w:t>Hidroksitin (beyaz likör) [Ca(OH)</w:t>
            </w:r>
            <w:r>
              <w:rPr>
                <w:rFonts w:ascii="Times New Roman" w:hAnsi="Times New Roman" w:cs="Times New Roman"/>
                <w:vertAlign w:val="subscript"/>
              </w:rPr>
              <w:t>2</w:t>
            </w:r>
            <w:r>
              <w:rPr>
                <w:rFonts w:ascii="Times New Roman" w:hAnsi="Times New Roman" w:cs="Times New Roman"/>
              </w:rPr>
              <w:t xml:space="preserve"> + </w:t>
            </w:r>
            <m:oMath>
              <m:sSubSup>
                <m:sSubSupPr>
                  <m:ctrlPr>
                    <w:rPr>
                      <w:rFonts w:ascii="Cambria Math" w:hAnsi="Cambria Math" w:cs="Times New Roman"/>
                      <w:i/>
                    </w:rPr>
                  </m:ctrlPr>
                </m:sSubSupPr>
                <m:e>
                  <m:r>
                    <m:rPr>
                      <m:sty m:val="p"/>
                    </m:rPr>
                    <w:rPr>
                      <w:rFonts w:ascii="Cambria Math" w:hAnsi="Cambria Math" w:cs="Times New Roman"/>
                    </w:rPr>
                    <m:t>CO</m:t>
                  </m:r>
                </m:e>
                <m:sub>
                  <m:r>
                    <m:rPr>
                      <m:sty m:val="p"/>
                    </m:rPr>
                    <w:rPr>
                      <w:rFonts w:ascii="Cambria Math" w:hAnsi="Cambria Math" w:cs="Times New Roman"/>
                    </w:rPr>
                    <m:t>3</m:t>
                  </m:r>
                </m:sub>
                <m:sup>
                  <m:r>
                    <m:rPr>
                      <m:sty m:val="p"/>
                    </m:rPr>
                    <w:rPr>
                      <w:rFonts w:ascii="Cambria Math" w:hAnsi="Cambria Math" w:cs="Times New Roman"/>
                    </w:rPr>
                    <m:t>2-</m:t>
                  </m:r>
                </m:sup>
              </m:sSubSup>
            </m:oMath>
            <w:r>
              <w:rPr>
                <w:rFonts w:ascii="Times New Roman" w:eastAsiaTheme="minorEastAsia" w:hAnsi="Times New Roman" w:cs="Times New Roman"/>
              </w:rPr>
              <w:t xml:space="preserve"> </w:t>
            </w:r>
            <w:r>
              <w:rPr>
                <w:rFonts w:asciiTheme="minorEastAsia" w:eastAsiaTheme="minorEastAsia" w:hAnsiTheme="minorEastAsia" w:cstheme="minorEastAsia" w:hint="eastAsia"/>
              </w:rPr>
              <w:t>→</w:t>
            </w:r>
            <w:r w:rsidRPr="008A431D">
              <w:rPr>
                <w:rFonts w:ascii="Times New Roman" w:eastAsiaTheme="minorEastAsia" w:hAnsi="Times New Roman" w:cs="Times New Roman"/>
              </w:rPr>
              <w:t xml:space="preserve"> </w:t>
            </w:r>
            <w:r>
              <w:rPr>
                <w:rFonts w:ascii="Times New Roman" w:eastAsiaTheme="minorEastAsia" w:hAnsi="Times New Roman" w:cs="Times New Roman"/>
              </w:rPr>
              <w:t>CaCO</w:t>
            </w:r>
            <w:r>
              <w:rPr>
                <w:rFonts w:ascii="Times New Roman" w:eastAsiaTheme="minorEastAsia" w:hAnsi="Times New Roman" w:cs="Times New Roman"/>
                <w:vertAlign w:val="subscript"/>
              </w:rPr>
              <w:t>3</w:t>
            </w:r>
            <w:r>
              <w:rPr>
                <w:rFonts w:ascii="Times New Roman" w:eastAsiaTheme="minorEastAsia" w:hAnsi="Times New Roman" w:cs="Times New Roman"/>
              </w:rPr>
              <w:t xml:space="preserve"> (s) + 2</w:t>
            </w:r>
            <m:oMath>
              <m:sSup>
                <m:sSupPr>
                  <m:ctrlPr>
                    <w:rPr>
                      <w:rFonts w:ascii="Cambria Math" w:eastAsiaTheme="minorEastAsia" w:hAnsi="Cambria Math" w:cs="Times New Roman"/>
                      <w:i/>
                    </w:rPr>
                  </m:ctrlPr>
                </m:sSupPr>
                <m:e>
                  <m:r>
                    <m:rPr>
                      <m:sty m:val="p"/>
                    </m:rPr>
                    <w:rPr>
                      <w:rFonts w:ascii="Cambria Math" w:eastAsiaTheme="minorEastAsia" w:hAnsi="Cambria Math" w:cs="Times New Roman"/>
                    </w:rPr>
                    <m:t>OH</m:t>
                  </m:r>
                </m:e>
                <m:sup>
                  <m:r>
                    <m:rPr>
                      <m:sty m:val="p"/>
                    </m:rPr>
                    <w:rPr>
                      <w:rFonts w:ascii="Cambria Math" w:eastAsiaTheme="minorEastAsia" w:hAnsi="Cambria Math" w:cs="Times New Roman"/>
                    </w:rPr>
                    <m:t>-</m:t>
                  </m:r>
                </m:sup>
              </m:sSup>
              <m:r>
                <m:rPr>
                  <m:sty m:val="p"/>
                </m:rPr>
                <w:rPr>
                  <w:rFonts w:ascii="Cambria Math" w:eastAsiaTheme="minorEastAsia" w:hAnsi="Cambria Math" w:cs="Times New Roman"/>
                </w:rPr>
                <m:t>]</m:t>
              </m:r>
            </m:oMath>
            <w:r>
              <w:rPr>
                <w:rFonts w:ascii="Times New Roman" w:eastAsiaTheme="minorEastAsia" w:hAnsi="Times New Roman" w:cs="Times New Roman"/>
                <w:iCs/>
              </w:rPr>
              <w:t xml:space="preserve"> reaksiyonu ile üretildiği kireç döngüsündeki proses.</w:t>
            </w:r>
          </w:p>
        </w:tc>
      </w:tr>
    </w:tbl>
    <w:p w14:paraId="2806768C" w14:textId="77777777" w:rsidR="009600E3" w:rsidRDefault="009600E3" w:rsidP="00BA34D0">
      <w:pPr>
        <w:spacing w:after="120" w:line="276" w:lineRule="auto"/>
        <w:jc w:val="both"/>
        <w:rPr>
          <w:rFonts w:ascii="Times New Roman" w:hAnsi="Times New Roman" w:cs="Times New Roman"/>
          <w:sz w:val="24"/>
          <w:szCs w:val="24"/>
        </w:rPr>
      </w:pPr>
    </w:p>
    <w:p w14:paraId="1AFE9208" w14:textId="77777777" w:rsidR="009756FD" w:rsidRPr="009600E3" w:rsidRDefault="009756FD" w:rsidP="009756FD">
      <w:pPr>
        <w:pStyle w:val="Balk2"/>
        <w:spacing w:before="0" w:after="120" w:line="276" w:lineRule="auto"/>
        <w:jc w:val="both"/>
        <w:rPr>
          <w:rFonts w:cs="Times New Roman"/>
          <w:b/>
          <w:bCs/>
          <w:szCs w:val="24"/>
        </w:rPr>
      </w:pPr>
      <w:r>
        <w:rPr>
          <w:rFonts w:cs="Times New Roman"/>
          <w:b/>
          <w:bCs/>
          <w:szCs w:val="24"/>
        </w:rPr>
        <w:t>(2) Ahşap Panel Sektörü</w:t>
      </w:r>
    </w:p>
    <w:tbl>
      <w:tblPr>
        <w:tblStyle w:val="TabloKlavuzu"/>
        <w:tblW w:w="0" w:type="auto"/>
        <w:jc w:val="center"/>
        <w:tblLook w:val="04A0" w:firstRow="1" w:lastRow="0" w:firstColumn="1" w:lastColumn="0" w:noHBand="0" w:noVBand="1"/>
      </w:tblPr>
      <w:tblGrid>
        <w:gridCol w:w="2972"/>
        <w:gridCol w:w="6090"/>
      </w:tblGrid>
      <w:tr w:rsidR="00CA4520" w:rsidRPr="00BA34D0" w14:paraId="6852F8B0" w14:textId="77777777" w:rsidTr="0024730D">
        <w:trPr>
          <w:tblHeader/>
          <w:jc w:val="center"/>
        </w:trPr>
        <w:tc>
          <w:tcPr>
            <w:tcW w:w="2972" w:type="dxa"/>
            <w:vAlign w:val="center"/>
          </w:tcPr>
          <w:p w14:paraId="33350716" w14:textId="77777777" w:rsidR="00CA4520" w:rsidRPr="00BA34D0" w:rsidRDefault="00CA4520"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145DAA17" w14:textId="77777777" w:rsidR="00CA4520" w:rsidRPr="00BA34D0" w:rsidRDefault="00CA4520" w:rsidP="0024730D">
            <w:pPr>
              <w:jc w:val="center"/>
              <w:rPr>
                <w:rFonts w:ascii="Times New Roman" w:hAnsi="Times New Roman" w:cs="Times New Roman"/>
                <w:b/>
                <w:bCs/>
              </w:rPr>
            </w:pPr>
            <w:r>
              <w:rPr>
                <w:rFonts w:ascii="Times New Roman" w:hAnsi="Times New Roman" w:cs="Times New Roman"/>
                <w:b/>
                <w:bCs/>
              </w:rPr>
              <w:t>Tanım</w:t>
            </w:r>
          </w:p>
        </w:tc>
      </w:tr>
      <w:tr w:rsidR="00CA4520" w:rsidRPr="00BA34D0" w14:paraId="1B8BA863" w14:textId="77777777" w:rsidTr="0024730D">
        <w:trPr>
          <w:jc w:val="center"/>
        </w:trPr>
        <w:tc>
          <w:tcPr>
            <w:tcW w:w="2972" w:type="dxa"/>
            <w:vAlign w:val="center"/>
          </w:tcPr>
          <w:p w14:paraId="521B6AF4" w14:textId="77777777" w:rsidR="00CA4520" w:rsidRPr="00BA34D0" w:rsidRDefault="00CC08D6" w:rsidP="0024730D">
            <w:pPr>
              <w:jc w:val="both"/>
              <w:rPr>
                <w:rFonts w:ascii="Times New Roman" w:hAnsi="Times New Roman" w:cs="Times New Roman"/>
              </w:rPr>
            </w:pPr>
            <w:r>
              <w:rPr>
                <w:rFonts w:ascii="Times New Roman" w:hAnsi="Times New Roman" w:cs="Times New Roman"/>
              </w:rPr>
              <w:t>Sürekli Ölçüm</w:t>
            </w:r>
          </w:p>
        </w:tc>
        <w:tc>
          <w:tcPr>
            <w:tcW w:w="6090" w:type="dxa"/>
            <w:vAlign w:val="center"/>
          </w:tcPr>
          <w:p w14:paraId="00E2E584" w14:textId="77777777" w:rsidR="00CA4520" w:rsidRPr="00BA34D0" w:rsidRDefault="00DB60D1" w:rsidP="0024730D">
            <w:pPr>
              <w:jc w:val="both"/>
              <w:rPr>
                <w:rFonts w:ascii="Times New Roman" w:hAnsi="Times New Roman" w:cs="Times New Roman"/>
              </w:rPr>
            </w:pPr>
            <w:r>
              <w:rPr>
                <w:rFonts w:ascii="Times New Roman" w:hAnsi="Times New Roman" w:cs="Times New Roman"/>
              </w:rPr>
              <w:t>Kalıcı bir şekilde kurulan ‘otomatik ölçüm sistemi’ (AMS) veya ‘sürekli emisyon izleme sistemi’ (CEM) kullanılarak ölçülen büyüklüğün sürekli olarak tespiti.</w:t>
            </w:r>
          </w:p>
        </w:tc>
      </w:tr>
      <w:tr w:rsidR="00DB60D1" w:rsidRPr="00BA34D0" w14:paraId="14E7DAFD" w14:textId="77777777" w:rsidTr="0024730D">
        <w:trPr>
          <w:jc w:val="center"/>
        </w:trPr>
        <w:tc>
          <w:tcPr>
            <w:tcW w:w="2972" w:type="dxa"/>
            <w:vAlign w:val="center"/>
          </w:tcPr>
          <w:p w14:paraId="57C7909E" w14:textId="77777777" w:rsidR="00DB60D1" w:rsidRDefault="009F5C2E" w:rsidP="0024730D">
            <w:pPr>
              <w:jc w:val="both"/>
              <w:rPr>
                <w:rFonts w:ascii="Times New Roman" w:hAnsi="Times New Roman" w:cs="Times New Roman"/>
              </w:rPr>
            </w:pPr>
            <w:r>
              <w:rPr>
                <w:rFonts w:ascii="Times New Roman" w:hAnsi="Times New Roman" w:cs="Times New Roman"/>
              </w:rPr>
              <w:t>Sürekli Pres</w:t>
            </w:r>
          </w:p>
        </w:tc>
        <w:tc>
          <w:tcPr>
            <w:tcW w:w="6090" w:type="dxa"/>
            <w:vAlign w:val="center"/>
          </w:tcPr>
          <w:p w14:paraId="1E03DAA6" w14:textId="77777777" w:rsidR="00DB60D1" w:rsidRDefault="009F5C2E" w:rsidP="0024730D">
            <w:pPr>
              <w:jc w:val="both"/>
              <w:rPr>
                <w:rFonts w:ascii="Times New Roman" w:hAnsi="Times New Roman" w:cs="Times New Roman"/>
              </w:rPr>
            </w:pPr>
            <w:r>
              <w:rPr>
                <w:rFonts w:ascii="Times New Roman" w:hAnsi="Times New Roman" w:cs="Times New Roman"/>
              </w:rPr>
              <w:t>Sürekli bir matı presleyen panel presi.</w:t>
            </w:r>
          </w:p>
        </w:tc>
      </w:tr>
      <w:tr w:rsidR="00DB60D1" w:rsidRPr="00BA34D0" w14:paraId="5A6D01E3" w14:textId="77777777" w:rsidTr="0024730D">
        <w:trPr>
          <w:jc w:val="center"/>
        </w:trPr>
        <w:tc>
          <w:tcPr>
            <w:tcW w:w="2972" w:type="dxa"/>
            <w:vAlign w:val="center"/>
          </w:tcPr>
          <w:p w14:paraId="1DC8D6BB" w14:textId="77777777" w:rsidR="00DB60D1" w:rsidRDefault="009F5C2E" w:rsidP="0024730D">
            <w:pPr>
              <w:jc w:val="both"/>
              <w:rPr>
                <w:rFonts w:ascii="Times New Roman" w:hAnsi="Times New Roman" w:cs="Times New Roman"/>
              </w:rPr>
            </w:pPr>
            <w:r>
              <w:rPr>
                <w:rFonts w:ascii="Times New Roman" w:hAnsi="Times New Roman" w:cs="Times New Roman"/>
              </w:rPr>
              <w:t>Yayılı Emisyonlar</w:t>
            </w:r>
          </w:p>
        </w:tc>
        <w:tc>
          <w:tcPr>
            <w:tcW w:w="6090" w:type="dxa"/>
            <w:vAlign w:val="center"/>
          </w:tcPr>
          <w:p w14:paraId="3CE28DF7" w14:textId="77777777" w:rsidR="00DB60D1" w:rsidRDefault="00762869" w:rsidP="0024730D">
            <w:pPr>
              <w:jc w:val="both"/>
              <w:rPr>
                <w:rFonts w:ascii="Times New Roman" w:hAnsi="Times New Roman" w:cs="Times New Roman"/>
              </w:rPr>
            </w:pPr>
            <w:r>
              <w:rPr>
                <w:rFonts w:ascii="Times New Roman" w:hAnsi="Times New Roman" w:cs="Times New Roman"/>
              </w:rPr>
              <w:t>Baca gibi belirli emisyon noktalarından yayılmayan, baca gazı olmayan emisyonlar.</w:t>
            </w:r>
          </w:p>
        </w:tc>
      </w:tr>
      <w:tr w:rsidR="00DB60D1" w:rsidRPr="00BA34D0" w14:paraId="3800447D" w14:textId="77777777" w:rsidTr="0024730D">
        <w:trPr>
          <w:jc w:val="center"/>
        </w:trPr>
        <w:tc>
          <w:tcPr>
            <w:tcW w:w="2972" w:type="dxa"/>
            <w:vAlign w:val="center"/>
          </w:tcPr>
          <w:p w14:paraId="22EE5468" w14:textId="77777777" w:rsidR="00DB60D1" w:rsidRDefault="000D1A46" w:rsidP="0024730D">
            <w:pPr>
              <w:jc w:val="both"/>
              <w:rPr>
                <w:rFonts w:ascii="Times New Roman" w:hAnsi="Times New Roman" w:cs="Times New Roman"/>
              </w:rPr>
            </w:pPr>
            <w:r>
              <w:rPr>
                <w:rFonts w:ascii="Times New Roman" w:hAnsi="Times New Roman" w:cs="Times New Roman"/>
              </w:rPr>
              <w:t>Doğrudan Isıtılan Kurutucu</w:t>
            </w:r>
          </w:p>
        </w:tc>
        <w:tc>
          <w:tcPr>
            <w:tcW w:w="6090" w:type="dxa"/>
            <w:vAlign w:val="center"/>
          </w:tcPr>
          <w:p w14:paraId="2C28E5AF" w14:textId="77777777" w:rsidR="00DB60D1" w:rsidRDefault="000D1A46" w:rsidP="0024730D">
            <w:pPr>
              <w:jc w:val="both"/>
              <w:rPr>
                <w:rFonts w:ascii="Times New Roman" w:hAnsi="Times New Roman" w:cs="Times New Roman"/>
              </w:rPr>
            </w:pPr>
            <w:r>
              <w:rPr>
                <w:rFonts w:ascii="Times New Roman" w:hAnsi="Times New Roman" w:cs="Times New Roman"/>
              </w:rPr>
              <w:t>Yakma tesisi veya başka bir kaynaktan çıkan sıcak gazların kurutulacak partikül, tel veya lif ile doğrudan temas halinde olduğu kurutucu. Kurutma, konveksiyon yoluyla gerçekleşir.</w:t>
            </w:r>
          </w:p>
        </w:tc>
      </w:tr>
      <w:tr w:rsidR="00DB60D1" w:rsidRPr="00BA34D0" w14:paraId="024BB207" w14:textId="77777777" w:rsidTr="0024730D">
        <w:trPr>
          <w:jc w:val="center"/>
        </w:trPr>
        <w:tc>
          <w:tcPr>
            <w:tcW w:w="2972" w:type="dxa"/>
            <w:vAlign w:val="center"/>
          </w:tcPr>
          <w:p w14:paraId="7D50480C" w14:textId="77777777" w:rsidR="00DB60D1" w:rsidRDefault="000D1A46" w:rsidP="0024730D">
            <w:pPr>
              <w:jc w:val="both"/>
              <w:rPr>
                <w:rFonts w:ascii="Times New Roman" w:hAnsi="Times New Roman" w:cs="Times New Roman"/>
              </w:rPr>
            </w:pPr>
            <w:r>
              <w:rPr>
                <w:rFonts w:ascii="Times New Roman" w:hAnsi="Times New Roman" w:cs="Times New Roman"/>
              </w:rPr>
              <w:t>Toz</w:t>
            </w:r>
          </w:p>
        </w:tc>
        <w:tc>
          <w:tcPr>
            <w:tcW w:w="6090" w:type="dxa"/>
            <w:vAlign w:val="center"/>
          </w:tcPr>
          <w:p w14:paraId="0BE8EFFF" w14:textId="77777777" w:rsidR="00DB60D1" w:rsidRDefault="000D1A46" w:rsidP="0024730D">
            <w:pPr>
              <w:jc w:val="both"/>
              <w:rPr>
                <w:rFonts w:ascii="Times New Roman" w:hAnsi="Times New Roman" w:cs="Times New Roman"/>
              </w:rPr>
            </w:pPr>
            <w:r>
              <w:rPr>
                <w:rFonts w:ascii="Times New Roman" w:hAnsi="Times New Roman" w:cs="Times New Roman"/>
              </w:rPr>
              <w:t>Toplam partikül madde.</w:t>
            </w:r>
          </w:p>
        </w:tc>
      </w:tr>
      <w:tr w:rsidR="000D1A46" w:rsidRPr="00BA34D0" w14:paraId="602F4E29" w14:textId="77777777" w:rsidTr="0024730D">
        <w:trPr>
          <w:jc w:val="center"/>
        </w:trPr>
        <w:tc>
          <w:tcPr>
            <w:tcW w:w="2972" w:type="dxa"/>
            <w:vAlign w:val="center"/>
          </w:tcPr>
          <w:p w14:paraId="2CF96659" w14:textId="77777777" w:rsidR="000D1A46" w:rsidRDefault="00043157" w:rsidP="0024730D">
            <w:pPr>
              <w:jc w:val="both"/>
              <w:rPr>
                <w:rFonts w:ascii="Times New Roman" w:hAnsi="Times New Roman" w:cs="Times New Roman"/>
              </w:rPr>
            </w:pPr>
            <w:r>
              <w:rPr>
                <w:rFonts w:ascii="Times New Roman" w:hAnsi="Times New Roman" w:cs="Times New Roman"/>
              </w:rPr>
              <w:t>Lif</w:t>
            </w:r>
          </w:p>
        </w:tc>
        <w:tc>
          <w:tcPr>
            <w:tcW w:w="6090" w:type="dxa"/>
            <w:vAlign w:val="center"/>
          </w:tcPr>
          <w:p w14:paraId="76D839D3" w14:textId="77777777" w:rsidR="000D1A46" w:rsidRDefault="00043157" w:rsidP="0024730D">
            <w:pPr>
              <w:jc w:val="both"/>
              <w:rPr>
                <w:rFonts w:ascii="Times New Roman" w:hAnsi="Times New Roman" w:cs="Times New Roman"/>
              </w:rPr>
            </w:pPr>
            <w:r>
              <w:rPr>
                <w:rFonts w:ascii="Times New Roman" w:hAnsi="Times New Roman" w:cs="Times New Roman"/>
              </w:rPr>
              <w:t>Bir arıtıcı kullanılarak mekanik veya termo-mekanik kağıt hamuru üretimi ile elde edilen odun veya diğer bitki materyallerinin lignoselülozik bileşenleri.</w:t>
            </w:r>
          </w:p>
        </w:tc>
      </w:tr>
      <w:tr w:rsidR="000D1A46" w:rsidRPr="00BA34D0" w14:paraId="05BC915D" w14:textId="77777777" w:rsidTr="0024730D">
        <w:trPr>
          <w:jc w:val="center"/>
        </w:trPr>
        <w:tc>
          <w:tcPr>
            <w:tcW w:w="2972" w:type="dxa"/>
            <w:vAlign w:val="center"/>
          </w:tcPr>
          <w:p w14:paraId="11D65423" w14:textId="77777777" w:rsidR="000D1A46" w:rsidRDefault="00962CBF" w:rsidP="0024730D">
            <w:pPr>
              <w:jc w:val="both"/>
              <w:rPr>
                <w:rFonts w:ascii="Times New Roman" w:hAnsi="Times New Roman" w:cs="Times New Roman"/>
              </w:rPr>
            </w:pPr>
            <w:r>
              <w:rPr>
                <w:rFonts w:ascii="Times New Roman" w:hAnsi="Times New Roman" w:cs="Times New Roman"/>
              </w:rPr>
              <w:t>Lif Levha</w:t>
            </w:r>
          </w:p>
        </w:tc>
        <w:tc>
          <w:tcPr>
            <w:tcW w:w="6090" w:type="dxa"/>
            <w:vAlign w:val="center"/>
          </w:tcPr>
          <w:p w14:paraId="66668300" w14:textId="77777777" w:rsidR="000D1A46" w:rsidRDefault="00875695" w:rsidP="0024730D">
            <w:pPr>
              <w:jc w:val="both"/>
              <w:rPr>
                <w:rFonts w:ascii="Times New Roman" w:hAnsi="Times New Roman" w:cs="Times New Roman"/>
              </w:rPr>
            </w:pPr>
            <w:r>
              <w:rPr>
                <w:rFonts w:ascii="Times New Roman" w:hAnsi="Times New Roman" w:cs="Times New Roman"/>
              </w:rPr>
              <w:t xml:space="preserve">TS EN 316 standardında tanımlandığı şekliyle, ‘ısı ve/veya basınç uygulaması ile lignoselülozik liflerden üretilen, nominal kalınlığı 1,5 mm veya daha fazla olan panel materyali’. Lif levhalar, </w:t>
            </w:r>
            <w:r w:rsidR="006167B9">
              <w:rPr>
                <w:rFonts w:ascii="Times New Roman" w:hAnsi="Times New Roman" w:cs="Times New Roman"/>
              </w:rPr>
              <w:t xml:space="preserve">ıslak işlem levhaları (duralit, orta sert levha, yumuşak levha) ve kuru işlem lif levhasını (MDF) </w:t>
            </w:r>
            <w:r w:rsidR="00912CBB">
              <w:rPr>
                <w:rFonts w:ascii="Times New Roman" w:hAnsi="Times New Roman" w:cs="Times New Roman"/>
              </w:rPr>
              <w:t>içerir.</w:t>
            </w:r>
          </w:p>
        </w:tc>
      </w:tr>
      <w:tr w:rsidR="000D1A46" w:rsidRPr="00BA34D0" w14:paraId="57985FCD" w14:textId="77777777" w:rsidTr="0024730D">
        <w:trPr>
          <w:jc w:val="center"/>
        </w:trPr>
        <w:tc>
          <w:tcPr>
            <w:tcW w:w="2972" w:type="dxa"/>
            <w:vAlign w:val="center"/>
          </w:tcPr>
          <w:p w14:paraId="2E2141A7" w14:textId="77777777" w:rsidR="000D1A46" w:rsidRDefault="004A030D" w:rsidP="0024730D">
            <w:pPr>
              <w:jc w:val="both"/>
              <w:rPr>
                <w:rFonts w:ascii="Times New Roman" w:hAnsi="Times New Roman" w:cs="Times New Roman"/>
              </w:rPr>
            </w:pPr>
            <w:r>
              <w:rPr>
                <w:rFonts w:ascii="Times New Roman" w:hAnsi="Times New Roman" w:cs="Times New Roman"/>
              </w:rPr>
              <w:t>Sert Kereste</w:t>
            </w:r>
          </w:p>
        </w:tc>
        <w:tc>
          <w:tcPr>
            <w:tcW w:w="6090" w:type="dxa"/>
            <w:vAlign w:val="center"/>
          </w:tcPr>
          <w:p w14:paraId="4CE0653B" w14:textId="77777777" w:rsidR="000D1A46" w:rsidRDefault="004A030D" w:rsidP="0024730D">
            <w:pPr>
              <w:jc w:val="both"/>
              <w:rPr>
                <w:rFonts w:ascii="Times New Roman" w:hAnsi="Times New Roman" w:cs="Times New Roman"/>
              </w:rPr>
            </w:pPr>
            <w:r>
              <w:rPr>
                <w:rFonts w:ascii="Times New Roman" w:hAnsi="Times New Roman" w:cs="Times New Roman"/>
              </w:rPr>
              <w:t xml:space="preserve">Titrek kavak, kayın ağacı, huş ağacı ve okaliptüs odun türlerini içeren grup. Sert kereste terimi, </w:t>
            </w:r>
            <w:r w:rsidR="00E14215">
              <w:rPr>
                <w:rFonts w:ascii="Times New Roman" w:hAnsi="Times New Roman" w:cs="Times New Roman"/>
              </w:rPr>
              <w:t>yumuşak kereste teriminin zıt anlamlısı olarak kullanılır.</w:t>
            </w:r>
          </w:p>
        </w:tc>
      </w:tr>
      <w:tr w:rsidR="000D1A46" w:rsidRPr="00BA34D0" w14:paraId="73C98046" w14:textId="77777777" w:rsidTr="0024730D">
        <w:trPr>
          <w:jc w:val="center"/>
        </w:trPr>
        <w:tc>
          <w:tcPr>
            <w:tcW w:w="2972" w:type="dxa"/>
            <w:vAlign w:val="center"/>
          </w:tcPr>
          <w:p w14:paraId="0BA00D5F" w14:textId="77777777" w:rsidR="000D1A46" w:rsidRDefault="00E14215" w:rsidP="0024730D">
            <w:pPr>
              <w:jc w:val="both"/>
              <w:rPr>
                <w:rFonts w:ascii="Times New Roman" w:hAnsi="Times New Roman" w:cs="Times New Roman"/>
              </w:rPr>
            </w:pPr>
            <w:r>
              <w:rPr>
                <w:rFonts w:ascii="Times New Roman" w:hAnsi="Times New Roman" w:cs="Times New Roman"/>
              </w:rPr>
              <w:t>Dolaylı Isıtılan Kurutucu</w:t>
            </w:r>
          </w:p>
        </w:tc>
        <w:tc>
          <w:tcPr>
            <w:tcW w:w="6090" w:type="dxa"/>
            <w:vAlign w:val="center"/>
          </w:tcPr>
          <w:p w14:paraId="162DBD72" w14:textId="77777777" w:rsidR="000D1A46" w:rsidRDefault="00E14215" w:rsidP="0024730D">
            <w:pPr>
              <w:jc w:val="both"/>
              <w:rPr>
                <w:rFonts w:ascii="Times New Roman" w:hAnsi="Times New Roman" w:cs="Times New Roman"/>
              </w:rPr>
            </w:pPr>
            <w:r>
              <w:rPr>
                <w:rFonts w:ascii="Times New Roman" w:hAnsi="Times New Roman" w:cs="Times New Roman"/>
              </w:rPr>
              <w:t>Kurutmanın radyasyon ve kondüksiyonla ısı iletimi yoluyla gerçekleştiği kurutucu.</w:t>
            </w:r>
          </w:p>
        </w:tc>
      </w:tr>
      <w:tr w:rsidR="000D1A46" w:rsidRPr="00BA34D0" w14:paraId="02447BBB" w14:textId="77777777" w:rsidTr="0024730D">
        <w:trPr>
          <w:jc w:val="center"/>
        </w:trPr>
        <w:tc>
          <w:tcPr>
            <w:tcW w:w="2972" w:type="dxa"/>
            <w:vAlign w:val="center"/>
          </w:tcPr>
          <w:p w14:paraId="144AF0AC" w14:textId="77777777" w:rsidR="000D1A46" w:rsidRDefault="00C649CD" w:rsidP="0024730D">
            <w:pPr>
              <w:jc w:val="both"/>
              <w:rPr>
                <w:rFonts w:ascii="Times New Roman" w:hAnsi="Times New Roman" w:cs="Times New Roman"/>
              </w:rPr>
            </w:pPr>
            <w:r>
              <w:rPr>
                <w:rFonts w:ascii="Times New Roman" w:hAnsi="Times New Roman" w:cs="Times New Roman"/>
              </w:rPr>
              <w:t>Mat Oluşumu</w:t>
            </w:r>
          </w:p>
        </w:tc>
        <w:tc>
          <w:tcPr>
            <w:tcW w:w="6090" w:type="dxa"/>
            <w:vAlign w:val="center"/>
          </w:tcPr>
          <w:p w14:paraId="19FFB80D" w14:textId="77777777" w:rsidR="000D1A46" w:rsidRDefault="00C649CD" w:rsidP="0024730D">
            <w:pPr>
              <w:jc w:val="both"/>
              <w:rPr>
                <w:rFonts w:ascii="Times New Roman" w:hAnsi="Times New Roman" w:cs="Times New Roman"/>
              </w:rPr>
            </w:pPr>
            <w:r>
              <w:rPr>
                <w:rFonts w:ascii="Times New Roman" w:hAnsi="Times New Roman" w:cs="Times New Roman"/>
              </w:rPr>
              <w:t>Partikül, tel veya liflerin mat oluşturmak için düzenlendiği ve prese yönlendirilmiş proses.</w:t>
            </w:r>
          </w:p>
        </w:tc>
      </w:tr>
      <w:tr w:rsidR="000D1A46" w:rsidRPr="00BA34D0" w14:paraId="5F4E4AE8" w14:textId="77777777" w:rsidTr="0024730D">
        <w:trPr>
          <w:jc w:val="center"/>
        </w:trPr>
        <w:tc>
          <w:tcPr>
            <w:tcW w:w="2972" w:type="dxa"/>
            <w:vAlign w:val="center"/>
          </w:tcPr>
          <w:p w14:paraId="184B6078" w14:textId="77777777" w:rsidR="000D1A46" w:rsidRDefault="00F82142" w:rsidP="0024730D">
            <w:pPr>
              <w:jc w:val="both"/>
              <w:rPr>
                <w:rFonts w:ascii="Times New Roman" w:hAnsi="Times New Roman" w:cs="Times New Roman"/>
              </w:rPr>
            </w:pPr>
            <w:r>
              <w:rPr>
                <w:rFonts w:ascii="Times New Roman" w:hAnsi="Times New Roman" w:cs="Times New Roman"/>
              </w:rPr>
              <w:lastRenderedPageBreak/>
              <w:t>Çoklu Açıklıklı Pres</w:t>
            </w:r>
          </w:p>
        </w:tc>
        <w:tc>
          <w:tcPr>
            <w:tcW w:w="6090" w:type="dxa"/>
            <w:vAlign w:val="center"/>
          </w:tcPr>
          <w:p w14:paraId="1EC0A388" w14:textId="77777777" w:rsidR="000D1A46" w:rsidRDefault="00F82142" w:rsidP="0024730D">
            <w:pPr>
              <w:jc w:val="both"/>
              <w:rPr>
                <w:rFonts w:ascii="Times New Roman" w:hAnsi="Times New Roman" w:cs="Times New Roman"/>
              </w:rPr>
            </w:pPr>
            <w:r>
              <w:rPr>
                <w:rFonts w:ascii="Times New Roman" w:hAnsi="Times New Roman" w:cs="Times New Roman"/>
              </w:rPr>
              <w:t>Bir veya daha fazla ayrı ayrı oluşturulmuş panelleri presleyen panel presi.</w:t>
            </w:r>
          </w:p>
        </w:tc>
      </w:tr>
      <w:tr w:rsidR="00A76061" w:rsidRPr="00BA34D0" w14:paraId="5C7C4F4E" w14:textId="77777777" w:rsidTr="0024730D">
        <w:trPr>
          <w:jc w:val="center"/>
        </w:trPr>
        <w:tc>
          <w:tcPr>
            <w:tcW w:w="2972" w:type="dxa"/>
            <w:vAlign w:val="center"/>
          </w:tcPr>
          <w:p w14:paraId="36DD4069" w14:textId="77777777" w:rsidR="00A76061" w:rsidRDefault="00872395" w:rsidP="0024730D">
            <w:pPr>
              <w:jc w:val="both"/>
              <w:rPr>
                <w:rFonts w:ascii="Times New Roman" w:hAnsi="Times New Roman" w:cs="Times New Roman"/>
              </w:rPr>
            </w:pPr>
            <w:r>
              <w:rPr>
                <w:rFonts w:ascii="Times New Roman" w:hAnsi="Times New Roman" w:cs="Times New Roman"/>
              </w:rPr>
              <w:t>Periyodik Ölçüm</w:t>
            </w:r>
          </w:p>
        </w:tc>
        <w:tc>
          <w:tcPr>
            <w:tcW w:w="6090" w:type="dxa"/>
            <w:vAlign w:val="center"/>
          </w:tcPr>
          <w:p w14:paraId="60FCC772" w14:textId="77777777" w:rsidR="00A76061" w:rsidRDefault="00872395" w:rsidP="0024730D">
            <w:pPr>
              <w:jc w:val="both"/>
              <w:rPr>
                <w:rFonts w:ascii="Times New Roman" w:hAnsi="Times New Roman" w:cs="Times New Roman"/>
              </w:rPr>
            </w:pPr>
            <w:r>
              <w:rPr>
                <w:rFonts w:ascii="Times New Roman" w:hAnsi="Times New Roman" w:cs="Times New Roman"/>
              </w:rPr>
              <w:t>Manuel veya otomatik referans yöntemleri kullanılarak belirli zaman aralıklarında yapılan ölçüm.</w:t>
            </w:r>
          </w:p>
        </w:tc>
      </w:tr>
      <w:tr w:rsidR="00A76061" w:rsidRPr="00BA34D0" w14:paraId="60742FD8" w14:textId="77777777" w:rsidTr="0024730D">
        <w:trPr>
          <w:jc w:val="center"/>
        </w:trPr>
        <w:tc>
          <w:tcPr>
            <w:tcW w:w="2972" w:type="dxa"/>
            <w:vAlign w:val="center"/>
          </w:tcPr>
          <w:p w14:paraId="27FB5CF2" w14:textId="77777777" w:rsidR="00A76061" w:rsidRDefault="00462771" w:rsidP="0024730D">
            <w:pPr>
              <w:jc w:val="both"/>
              <w:rPr>
                <w:rFonts w:ascii="Times New Roman" w:hAnsi="Times New Roman" w:cs="Times New Roman"/>
              </w:rPr>
            </w:pPr>
            <w:r>
              <w:rPr>
                <w:rFonts w:ascii="Times New Roman" w:hAnsi="Times New Roman" w:cs="Times New Roman"/>
              </w:rPr>
              <w:t>Proses Suyu</w:t>
            </w:r>
          </w:p>
        </w:tc>
        <w:tc>
          <w:tcPr>
            <w:tcW w:w="6090" w:type="dxa"/>
            <w:vAlign w:val="center"/>
          </w:tcPr>
          <w:p w14:paraId="7129822F" w14:textId="77777777" w:rsidR="00A76061" w:rsidRDefault="00462771" w:rsidP="0024730D">
            <w:pPr>
              <w:jc w:val="both"/>
              <w:rPr>
                <w:rFonts w:ascii="Times New Roman" w:hAnsi="Times New Roman" w:cs="Times New Roman"/>
              </w:rPr>
            </w:pPr>
            <w:r>
              <w:rPr>
                <w:rFonts w:ascii="Times New Roman" w:hAnsi="Times New Roman" w:cs="Times New Roman"/>
              </w:rPr>
              <w:t>Üretim tesisi içerisinde proses ve faaliyetlerden kaynaklanan, yüzey akıntı suyu haricindeki, atık su.</w:t>
            </w:r>
          </w:p>
        </w:tc>
      </w:tr>
      <w:tr w:rsidR="00A76061" w:rsidRPr="00BA34D0" w14:paraId="3B1BDDE3" w14:textId="77777777" w:rsidTr="0024730D">
        <w:trPr>
          <w:jc w:val="center"/>
        </w:trPr>
        <w:tc>
          <w:tcPr>
            <w:tcW w:w="2972" w:type="dxa"/>
            <w:vAlign w:val="center"/>
          </w:tcPr>
          <w:p w14:paraId="645C6B86" w14:textId="77777777" w:rsidR="00A76061" w:rsidRDefault="00E22BD8" w:rsidP="0024730D">
            <w:pPr>
              <w:jc w:val="both"/>
              <w:rPr>
                <w:rFonts w:ascii="Times New Roman" w:hAnsi="Times New Roman" w:cs="Times New Roman"/>
              </w:rPr>
            </w:pPr>
            <w:r>
              <w:rPr>
                <w:rFonts w:ascii="Times New Roman" w:hAnsi="Times New Roman" w:cs="Times New Roman"/>
              </w:rPr>
              <w:t>Geri Kazanılan Ahşap</w:t>
            </w:r>
          </w:p>
        </w:tc>
        <w:tc>
          <w:tcPr>
            <w:tcW w:w="6090" w:type="dxa"/>
            <w:vAlign w:val="center"/>
          </w:tcPr>
          <w:p w14:paraId="4895EFC3" w14:textId="77777777" w:rsidR="00A76061" w:rsidRDefault="00D47D59" w:rsidP="0024730D">
            <w:pPr>
              <w:jc w:val="both"/>
              <w:rPr>
                <w:rFonts w:ascii="Times New Roman" w:hAnsi="Times New Roman" w:cs="Times New Roman"/>
              </w:rPr>
            </w:pPr>
            <w:r>
              <w:rPr>
                <w:rFonts w:ascii="Times New Roman" w:hAnsi="Times New Roman" w:cs="Times New Roman"/>
              </w:rPr>
              <w:t xml:space="preserve">Ağırlıklı olarak ahşap içeren materyal. Geri kazanılan ahşap, ‘kullanılmış ahşap’ ve ‘ahşap artıkları’ndan oluşabilir. </w:t>
            </w:r>
            <w:r w:rsidR="003B1D55">
              <w:rPr>
                <w:rFonts w:ascii="Times New Roman" w:hAnsi="Times New Roman" w:cs="Times New Roman"/>
              </w:rPr>
              <w:t>‘Kullanılmış ahşap’, ağırlıklı olarak tüketim sonrasında geri dönüştürülmüş ahşaptan elde edilen ahşabı içeren bir materyaldir.</w:t>
            </w:r>
          </w:p>
        </w:tc>
      </w:tr>
      <w:tr w:rsidR="00A76061" w:rsidRPr="00BA34D0" w14:paraId="689212E9" w14:textId="77777777" w:rsidTr="0024730D">
        <w:trPr>
          <w:jc w:val="center"/>
        </w:trPr>
        <w:tc>
          <w:tcPr>
            <w:tcW w:w="2972" w:type="dxa"/>
            <w:vAlign w:val="center"/>
          </w:tcPr>
          <w:p w14:paraId="371C2355" w14:textId="77777777" w:rsidR="00A76061" w:rsidRDefault="00F964F1" w:rsidP="0024730D">
            <w:pPr>
              <w:jc w:val="both"/>
              <w:rPr>
                <w:rFonts w:ascii="Times New Roman" w:hAnsi="Times New Roman" w:cs="Times New Roman"/>
              </w:rPr>
            </w:pPr>
            <w:r>
              <w:rPr>
                <w:rFonts w:ascii="Times New Roman" w:hAnsi="Times New Roman" w:cs="Times New Roman"/>
              </w:rPr>
              <w:t>Rafinasyon</w:t>
            </w:r>
          </w:p>
        </w:tc>
        <w:tc>
          <w:tcPr>
            <w:tcW w:w="6090" w:type="dxa"/>
            <w:vAlign w:val="center"/>
          </w:tcPr>
          <w:p w14:paraId="4D8453DD" w14:textId="77777777" w:rsidR="00A76061" w:rsidRDefault="00F964F1" w:rsidP="0024730D">
            <w:pPr>
              <w:jc w:val="both"/>
              <w:rPr>
                <w:rFonts w:ascii="Times New Roman" w:hAnsi="Times New Roman" w:cs="Times New Roman"/>
              </w:rPr>
            </w:pPr>
            <w:r>
              <w:rPr>
                <w:rFonts w:ascii="Times New Roman" w:hAnsi="Times New Roman" w:cs="Times New Roman"/>
              </w:rPr>
              <w:t>Ahşap yongalarının bir arıtıcı kullanılarak lif şekline dönüştürülmesi.</w:t>
            </w:r>
          </w:p>
        </w:tc>
      </w:tr>
      <w:tr w:rsidR="00A76061" w:rsidRPr="00BA34D0" w14:paraId="1721C62D" w14:textId="77777777" w:rsidTr="0024730D">
        <w:trPr>
          <w:jc w:val="center"/>
        </w:trPr>
        <w:tc>
          <w:tcPr>
            <w:tcW w:w="2972" w:type="dxa"/>
            <w:vAlign w:val="center"/>
          </w:tcPr>
          <w:p w14:paraId="46EC5560" w14:textId="77777777" w:rsidR="00A76061" w:rsidRDefault="00F964F1" w:rsidP="0024730D">
            <w:pPr>
              <w:jc w:val="both"/>
              <w:rPr>
                <w:rFonts w:ascii="Times New Roman" w:hAnsi="Times New Roman" w:cs="Times New Roman"/>
              </w:rPr>
            </w:pPr>
            <w:r>
              <w:rPr>
                <w:rFonts w:ascii="Times New Roman" w:hAnsi="Times New Roman" w:cs="Times New Roman"/>
              </w:rPr>
              <w:t>Yuvarlak Kereste</w:t>
            </w:r>
          </w:p>
        </w:tc>
        <w:tc>
          <w:tcPr>
            <w:tcW w:w="6090" w:type="dxa"/>
            <w:vAlign w:val="center"/>
          </w:tcPr>
          <w:p w14:paraId="739430D1" w14:textId="77777777" w:rsidR="00A76061" w:rsidRDefault="00F964F1" w:rsidP="0024730D">
            <w:pPr>
              <w:jc w:val="both"/>
              <w:rPr>
                <w:rFonts w:ascii="Times New Roman" w:hAnsi="Times New Roman" w:cs="Times New Roman"/>
              </w:rPr>
            </w:pPr>
            <w:r>
              <w:rPr>
                <w:rFonts w:ascii="Times New Roman" w:hAnsi="Times New Roman" w:cs="Times New Roman"/>
              </w:rPr>
              <w:t>Ahşap kütük.</w:t>
            </w:r>
          </w:p>
        </w:tc>
      </w:tr>
      <w:tr w:rsidR="00F964F1" w:rsidRPr="00BA34D0" w14:paraId="57122315" w14:textId="77777777" w:rsidTr="0024730D">
        <w:trPr>
          <w:jc w:val="center"/>
        </w:trPr>
        <w:tc>
          <w:tcPr>
            <w:tcW w:w="2972" w:type="dxa"/>
            <w:vAlign w:val="center"/>
          </w:tcPr>
          <w:p w14:paraId="05BC76C1" w14:textId="77777777" w:rsidR="00F964F1" w:rsidRDefault="00763113" w:rsidP="0024730D">
            <w:pPr>
              <w:jc w:val="both"/>
              <w:rPr>
                <w:rFonts w:ascii="Times New Roman" w:hAnsi="Times New Roman" w:cs="Times New Roman"/>
              </w:rPr>
            </w:pPr>
            <w:r>
              <w:rPr>
                <w:rFonts w:ascii="Times New Roman" w:hAnsi="Times New Roman" w:cs="Times New Roman"/>
              </w:rPr>
              <w:t>Yumuşak Kereste</w:t>
            </w:r>
          </w:p>
        </w:tc>
        <w:tc>
          <w:tcPr>
            <w:tcW w:w="6090" w:type="dxa"/>
            <w:vAlign w:val="center"/>
          </w:tcPr>
          <w:p w14:paraId="2A248BC1" w14:textId="77777777" w:rsidR="00F964F1" w:rsidRDefault="00763113" w:rsidP="0024730D">
            <w:pPr>
              <w:jc w:val="both"/>
              <w:rPr>
                <w:rFonts w:ascii="Times New Roman" w:hAnsi="Times New Roman" w:cs="Times New Roman"/>
              </w:rPr>
            </w:pPr>
            <w:r>
              <w:rPr>
                <w:rFonts w:ascii="Times New Roman" w:hAnsi="Times New Roman" w:cs="Times New Roman"/>
              </w:rPr>
              <w:t>Çam ve ladin dahil olmak üzere, kozalaklı ağaçlardan elde edilen kereste. Yumuşak kereste terimi, sert kereste teriminin zıt anlamlısı olarak kullanılır.</w:t>
            </w:r>
          </w:p>
        </w:tc>
      </w:tr>
      <w:tr w:rsidR="00F964F1" w:rsidRPr="00BA34D0" w14:paraId="41C598CA" w14:textId="77777777" w:rsidTr="0024730D">
        <w:trPr>
          <w:jc w:val="center"/>
        </w:trPr>
        <w:tc>
          <w:tcPr>
            <w:tcW w:w="2972" w:type="dxa"/>
            <w:vAlign w:val="center"/>
          </w:tcPr>
          <w:p w14:paraId="6DD8D0C4" w14:textId="77777777" w:rsidR="00F964F1" w:rsidRDefault="00C93DBA" w:rsidP="0024730D">
            <w:pPr>
              <w:jc w:val="both"/>
              <w:rPr>
                <w:rFonts w:ascii="Times New Roman" w:hAnsi="Times New Roman" w:cs="Times New Roman"/>
              </w:rPr>
            </w:pPr>
            <w:r>
              <w:rPr>
                <w:rFonts w:ascii="Times New Roman" w:hAnsi="Times New Roman" w:cs="Times New Roman"/>
              </w:rPr>
              <w:t>Yüzey Akıntı Suyu</w:t>
            </w:r>
          </w:p>
        </w:tc>
        <w:tc>
          <w:tcPr>
            <w:tcW w:w="6090" w:type="dxa"/>
            <w:vAlign w:val="center"/>
          </w:tcPr>
          <w:p w14:paraId="31CDDDE0" w14:textId="77777777" w:rsidR="00F964F1" w:rsidRDefault="00C93DBA" w:rsidP="0024730D">
            <w:pPr>
              <w:jc w:val="both"/>
              <w:rPr>
                <w:rFonts w:ascii="Times New Roman" w:hAnsi="Times New Roman" w:cs="Times New Roman"/>
              </w:rPr>
            </w:pPr>
            <w:r>
              <w:rPr>
                <w:rFonts w:ascii="Times New Roman" w:hAnsi="Times New Roman" w:cs="Times New Roman"/>
              </w:rPr>
              <w:t>Açık hava proses alanları dahil olmak üzere açık havadaki kütük sahalarından toplanan yağış akıntı suyu ile drenajdan kaynaklanan su.</w:t>
            </w:r>
          </w:p>
        </w:tc>
      </w:tr>
      <w:tr w:rsidR="00F964F1" w:rsidRPr="00BA34D0" w14:paraId="7A0F0E75" w14:textId="77777777" w:rsidTr="0024730D">
        <w:trPr>
          <w:jc w:val="center"/>
        </w:trPr>
        <w:tc>
          <w:tcPr>
            <w:tcW w:w="2972" w:type="dxa"/>
            <w:vAlign w:val="center"/>
          </w:tcPr>
          <w:p w14:paraId="548362FC" w14:textId="77777777" w:rsidR="00F964F1" w:rsidRDefault="003960A9" w:rsidP="0024730D">
            <w:pPr>
              <w:jc w:val="both"/>
              <w:rPr>
                <w:rFonts w:ascii="Times New Roman" w:hAnsi="Times New Roman" w:cs="Times New Roman"/>
              </w:rPr>
            </w:pPr>
            <w:r>
              <w:rPr>
                <w:rFonts w:ascii="Times New Roman" w:hAnsi="Times New Roman" w:cs="Times New Roman"/>
              </w:rPr>
              <w:t>Üst Akım ve Alt Akım Ahşap İşleme</w:t>
            </w:r>
          </w:p>
        </w:tc>
        <w:tc>
          <w:tcPr>
            <w:tcW w:w="6090" w:type="dxa"/>
            <w:vAlign w:val="center"/>
          </w:tcPr>
          <w:p w14:paraId="4F794313" w14:textId="77777777" w:rsidR="00F964F1" w:rsidRDefault="00074166" w:rsidP="0024730D">
            <w:pPr>
              <w:jc w:val="both"/>
              <w:rPr>
                <w:rFonts w:ascii="Times New Roman" w:hAnsi="Times New Roman" w:cs="Times New Roman"/>
              </w:rPr>
            </w:pPr>
            <w:r>
              <w:rPr>
                <w:rFonts w:ascii="Times New Roman" w:hAnsi="Times New Roman" w:cs="Times New Roman"/>
              </w:rPr>
              <w:t xml:space="preserve">Ahşap yongaların, tellerin veya liflerin ve preslenmiş panellerin tüm aktif taşıma ve idaresi, depolaması veya nakliyesi. </w:t>
            </w:r>
            <w:r w:rsidR="00B72644">
              <w:rPr>
                <w:rFonts w:ascii="Times New Roman" w:hAnsi="Times New Roman" w:cs="Times New Roman"/>
              </w:rPr>
              <w:t xml:space="preserve">Üst akım işleme, ahşap hammaddenin depolama alanını terk ettiği noktadan itibaren olan tüm ahşap işlemeyi kapsar. Alt akım işleme ise, panel presi terk ettikten sonraki ve ham levha veya katma değerli levha ürünü depolamaya gönderilene kadar olan tüm prosesleri içerir. Üst akım ve alt akım ahşap işleme, kurutma prosesini veya panellerin preslenmesini </w:t>
            </w:r>
            <w:r w:rsidR="00DE6107">
              <w:rPr>
                <w:rFonts w:ascii="Times New Roman" w:hAnsi="Times New Roman" w:cs="Times New Roman"/>
              </w:rPr>
              <w:t>kapsamaz.</w:t>
            </w:r>
          </w:p>
        </w:tc>
      </w:tr>
    </w:tbl>
    <w:p w14:paraId="2EAAA78D" w14:textId="77777777" w:rsidR="007655BC" w:rsidRDefault="007655BC" w:rsidP="00BA34D0">
      <w:pPr>
        <w:spacing w:after="120" w:line="276" w:lineRule="auto"/>
        <w:jc w:val="both"/>
        <w:rPr>
          <w:rFonts w:ascii="Times New Roman" w:hAnsi="Times New Roman" w:cs="Times New Roman"/>
          <w:sz w:val="24"/>
          <w:szCs w:val="24"/>
        </w:rPr>
      </w:pPr>
    </w:p>
    <w:p w14:paraId="63EA883D" w14:textId="77777777" w:rsidR="00EF579B" w:rsidRPr="009600E3" w:rsidRDefault="00EF579B" w:rsidP="00EF579B">
      <w:pPr>
        <w:pStyle w:val="Balk2"/>
        <w:spacing w:before="0" w:after="120" w:line="276" w:lineRule="auto"/>
        <w:jc w:val="both"/>
        <w:rPr>
          <w:rFonts w:cs="Times New Roman"/>
          <w:b/>
          <w:bCs/>
          <w:szCs w:val="24"/>
        </w:rPr>
      </w:pPr>
      <w:r>
        <w:rPr>
          <w:rFonts w:cs="Times New Roman"/>
          <w:b/>
          <w:bCs/>
          <w:szCs w:val="24"/>
        </w:rPr>
        <w:t>(3) Tekstil Sektörü</w:t>
      </w:r>
    </w:p>
    <w:tbl>
      <w:tblPr>
        <w:tblStyle w:val="TabloKlavuzu"/>
        <w:tblW w:w="0" w:type="auto"/>
        <w:jc w:val="center"/>
        <w:tblLook w:val="04A0" w:firstRow="1" w:lastRow="0" w:firstColumn="1" w:lastColumn="0" w:noHBand="0" w:noVBand="1"/>
      </w:tblPr>
      <w:tblGrid>
        <w:gridCol w:w="2972"/>
        <w:gridCol w:w="6090"/>
      </w:tblGrid>
      <w:tr w:rsidR="009962C9" w:rsidRPr="00BA34D0" w14:paraId="1A0A4937" w14:textId="77777777" w:rsidTr="0024730D">
        <w:trPr>
          <w:tblHeader/>
          <w:jc w:val="center"/>
        </w:trPr>
        <w:tc>
          <w:tcPr>
            <w:tcW w:w="2972" w:type="dxa"/>
            <w:vAlign w:val="center"/>
          </w:tcPr>
          <w:p w14:paraId="377978F5" w14:textId="77777777" w:rsidR="009962C9" w:rsidRPr="00BA34D0" w:rsidRDefault="009962C9"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4A221EF4" w14:textId="77777777" w:rsidR="009962C9" w:rsidRPr="00BA34D0" w:rsidRDefault="009962C9" w:rsidP="0024730D">
            <w:pPr>
              <w:jc w:val="center"/>
              <w:rPr>
                <w:rFonts w:ascii="Times New Roman" w:hAnsi="Times New Roman" w:cs="Times New Roman"/>
                <w:b/>
                <w:bCs/>
              </w:rPr>
            </w:pPr>
            <w:r>
              <w:rPr>
                <w:rFonts w:ascii="Times New Roman" w:hAnsi="Times New Roman" w:cs="Times New Roman"/>
                <w:b/>
                <w:bCs/>
              </w:rPr>
              <w:t>Tanım</w:t>
            </w:r>
          </w:p>
        </w:tc>
      </w:tr>
      <w:tr w:rsidR="009962C9" w:rsidRPr="00BA34D0" w14:paraId="40B78256" w14:textId="77777777" w:rsidTr="0024730D">
        <w:trPr>
          <w:jc w:val="center"/>
        </w:trPr>
        <w:tc>
          <w:tcPr>
            <w:tcW w:w="2972" w:type="dxa"/>
            <w:vAlign w:val="center"/>
          </w:tcPr>
          <w:p w14:paraId="17A77CE7" w14:textId="77777777" w:rsidR="009962C9" w:rsidRPr="00BA34D0" w:rsidRDefault="0059392F" w:rsidP="0024730D">
            <w:pPr>
              <w:jc w:val="both"/>
              <w:rPr>
                <w:rFonts w:ascii="Times New Roman" w:hAnsi="Times New Roman" w:cs="Times New Roman"/>
              </w:rPr>
            </w:pPr>
            <w:r>
              <w:rPr>
                <w:rFonts w:ascii="Times New Roman" w:hAnsi="Times New Roman" w:cs="Times New Roman"/>
              </w:rPr>
              <w:t>Hava-</w:t>
            </w:r>
            <w:r w:rsidR="00B46B0A">
              <w:rPr>
                <w:rFonts w:ascii="Times New Roman" w:hAnsi="Times New Roman" w:cs="Times New Roman"/>
              </w:rPr>
              <w:t>T</w:t>
            </w:r>
            <w:r>
              <w:rPr>
                <w:rFonts w:ascii="Times New Roman" w:hAnsi="Times New Roman" w:cs="Times New Roman"/>
              </w:rPr>
              <w:t xml:space="preserve">ekstil </w:t>
            </w:r>
            <w:r w:rsidR="00B46B0A">
              <w:rPr>
                <w:rFonts w:ascii="Times New Roman" w:hAnsi="Times New Roman" w:cs="Times New Roman"/>
              </w:rPr>
              <w:t>O</w:t>
            </w:r>
            <w:r>
              <w:rPr>
                <w:rFonts w:ascii="Times New Roman" w:hAnsi="Times New Roman" w:cs="Times New Roman"/>
              </w:rPr>
              <w:t>ranı</w:t>
            </w:r>
          </w:p>
        </w:tc>
        <w:tc>
          <w:tcPr>
            <w:tcW w:w="6090" w:type="dxa"/>
            <w:vAlign w:val="center"/>
          </w:tcPr>
          <w:p w14:paraId="0F6F6D0F" w14:textId="77777777" w:rsidR="009962C9" w:rsidRPr="0059392F" w:rsidRDefault="0059392F" w:rsidP="0024730D">
            <w:pPr>
              <w:jc w:val="both"/>
              <w:rPr>
                <w:rFonts w:ascii="Times New Roman" w:hAnsi="Times New Roman" w:cs="Times New Roman"/>
              </w:rPr>
            </w:pPr>
            <w:r>
              <w:rPr>
                <w:rFonts w:ascii="Times New Roman" w:hAnsi="Times New Roman" w:cs="Times New Roman"/>
              </w:rPr>
              <w:t>Tekstil işleme biriminin (örn. germe-kurutma makinesi) emisyon noktasından çıkan toplam çıkış gazı hacim akışının (Nm</w:t>
            </w:r>
            <w:r>
              <w:rPr>
                <w:rFonts w:ascii="Times New Roman" w:hAnsi="Times New Roman" w:cs="Times New Roman"/>
                <w:vertAlign w:val="superscript"/>
              </w:rPr>
              <w:t>3</w:t>
            </w:r>
            <w:r>
              <w:rPr>
                <w:rFonts w:ascii="Times New Roman" w:hAnsi="Times New Roman" w:cs="Times New Roman"/>
              </w:rPr>
              <w:t xml:space="preserve">/h olarak ifade edilir) işlenecek tekstilin (kuru tekstil, kg/h olarak ifade edilir) karşılık gelen </w:t>
            </w:r>
            <w:r w:rsidR="001F1270">
              <w:rPr>
                <w:rFonts w:ascii="Times New Roman" w:hAnsi="Times New Roman" w:cs="Times New Roman"/>
              </w:rPr>
              <w:t>verimine oranı.</w:t>
            </w:r>
          </w:p>
        </w:tc>
      </w:tr>
      <w:tr w:rsidR="001F1270" w:rsidRPr="00BA34D0" w14:paraId="49430546" w14:textId="77777777" w:rsidTr="0024730D">
        <w:trPr>
          <w:jc w:val="center"/>
        </w:trPr>
        <w:tc>
          <w:tcPr>
            <w:tcW w:w="2972" w:type="dxa"/>
            <w:vAlign w:val="center"/>
          </w:tcPr>
          <w:p w14:paraId="5B0FE552" w14:textId="77777777" w:rsidR="001F1270" w:rsidRDefault="00B46B0A" w:rsidP="0024730D">
            <w:pPr>
              <w:jc w:val="both"/>
              <w:rPr>
                <w:rFonts w:ascii="Times New Roman" w:hAnsi="Times New Roman" w:cs="Times New Roman"/>
              </w:rPr>
            </w:pPr>
            <w:r>
              <w:rPr>
                <w:rFonts w:ascii="Times New Roman" w:hAnsi="Times New Roman" w:cs="Times New Roman"/>
              </w:rPr>
              <w:t>Selülozik Materyaller</w:t>
            </w:r>
          </w:p>
        </w:tc>
        <w:tc>
          <w:tcPr>
            <w:tcW w:w="6090" w:type="dxa"/>
            <w:vAlign w:val="center"/>
          </w:tcPr>
          <w:p w14:paraId="0BDD70F4" w14:textId="77777777" w:rsidR="001F1270" w:rsidRDefault="00B46B0A" w:rsidP="0024730D">
            <w:pPr>
              <w:jc w:val="both"/>
              <w:rPr>
                <w:rFonts w:ascii="Times New Roman" w:hAnsi="Times New Roman" w:cs="Times New Roman"/>
              </w:rPr>
            </w:pPr>
            <w:r>
              <w:rPr>
                <w:rFonts w:ascii="Times New Roman" w:hAnsi="Times New Roman" w:cs="Times New Roman"/>
              </w:rPr>
              <w:t>Selülozik materyaller, pamuk ve viskozu içerir.</w:t>
            </w:r>
          </w:p>
        </w:tc>
      </w:tr>
      <w:tr w:rsidR="001F1270" w:rsidRPr="00BA34D0" w14:paraId="23312E9F" w14:textId="77777777" w:rsidTr="0024730D">
        <w:trPr>
          <w:jc w:val="center"/>
        </w:trPr>
        <w:tc>
          <w:tcPr>
            <w:tcW w:w="2972" w:type="dxa"/>
            <w:vAlign w:val="center"/>
          </w:tcPr>
          <w:p w14:paraId="2B2E36F5" w14:textId="77777777" w:rsidR="001F1270" w:rsidRDefault="00B46B0A" w:rsidP="0024730D">
            <w:pPr>
              <w:jc w:val="both"/>
              <w:rPr>
                <w:rFonts w:ascii="Times New Roman" w:hAnsi="Times New Roman" w:cs="Times New Roman"/>
              </w:rPr>
            </w:pPr>
            <w:r>
              <w:rPr>
                <w:rFonts w:ascii="Times New Roman" w:hAnsi="Times New Roman" w:cs="Times New Roman"/>
              </w:rPr>
              <w:t>Baca Gazı Emisyonları</w:t>
            </w:r>
          </w:p>
        </w:tc>
        <w:tc>
          <w:tcPr>
            <w:tcW w:w="6090" w:type="dxa"/>
            <w:vAlign w:val="center"/>
          </w:tcPr>
          <w:p w14:paraId="26FF1764" w14:textId="77777777" w:rsidR="001F1270" w:rsidRDefault="005163EB" w:rsidP="0024730D">
            <w:pPr>
              <w:jc w:val="both"/>
              <w:rPr>
                <w:rFonts w:ascii="Times New Roman" w:hAnsi="Times New Roman" w:cs="Times New Roman"/>
              </w:rPr>
            </w:pPr>
            <w:r>
              <w:rPr>
                <w:rFonts w:ascii="Times New Roman" w:hAnsi="Times New Roman" w:cs="Times New Roman"/>
              </w:rPr>
              <w:t>Kirleticilerin herhangi bir kanaldan, borudan, bacadan vb. havaya emisyonları.</w:t>
            </w:r>
          </w:p>
        </w:tc>
      </w:tr>
      <w:tr w:rsidR="001F1270" w:rsidRPr="00BA34D0" w14:paraId="0EDB228D" w14:textId="77777777" w:rsidTr="0024730D">
        <w:trPr>
          <w:jc w:val="center"/>
        </w:trPr>
        <w:tc>
          <w:tcPr>
            <w:tcW w:w="2972" w:type="dxa"/>
            <w:vAlign w:val="center"/>
          </w:tcPr>
          <w:p w14:paraId="30D654B1" w14:textId="77777777" w:rsidR="001F1270" w:rsidRDefault="006711E4" w:rsidP="0024730D">
            <w:pPr>
              <w:jc w:val="both"/>
              <w:rPr>
                <w:rFonts w:ascii="Times New Roman" w:hAnsi="Times New Roman" w:cs="Times New Roman"/>
              </w:rPr>
            </w:pPr>
            <w:r>
              <w:rPr>
                <w:rFonts w:ascii="Times New Roman" w:hAnsi="Times New Roman" w:cs="Times New Roman"/>
              </w:rPr>
              <w:t>Sürekli Ölçüm</w:t>
            </w:r>
          </w:p>
        </w:tc>
        <w:tc>
          <w:tcPr>
            <w:tcW w:w="6090" w:type="dxa"/>
            <w:vAlign w:val="center"/>
          </w:tcPr>
          <w:p w14:paraId="297BD65B" w14:textId="77777777" w:rsidR="001F1270" w:rsidRDefault="006711E4" w:rsidP="0024730D">
            <w:pPr>
              <w:jc w:val="both"/>
              <w:rPr>
                <w:rFonts w:ascii="Times New Roman" w:hAnsi="Times New Roman" w:cs="Times New Roman"/>
              </w:rPr>
            </w:pPr>
            <w:r>
              <w:rPr>
                <w:rFonts w:ascii="Times New Roman" w:hAnsi="Times New Roman" w:cs="Times New Roman"/>
              </w:rPr>
              <w:t>Sahaya sabit olarak monte edilmiş otomatik ölçüm sistemi kullanılarak yapılan ölçüm.</w:t>
            </w:r>
          </w:p>
        </w:tc>
      </w:tr>
      <w:tr w:rsidR="001F1270" w:rsidRPr="00BA34D0" w14:paraId="0A294032" w14:textId="77777777" w:rsidTr="0024730D">
        <w:trPr>
          <w:jc w:val="center"/>
        </w:trPr>
        <w:tc>
          <w:tcPr>
            <w:tcW w:w="2972" w:type="dxa"/>
            <w:vAlign w:val="center"/>
          </w:tcPr>
          <w:p w14:paraId="07C92543" w14:textId="77777777" w:rsidR="001F1270" w:rsidRDefault="006711E4" w:rsidP="0024730D">
            <w:pPr>
              <w:jc w:val="both"/>
              <w:rPr>
                <w:rFonts w:ascii="Times New Roman" w:hAnsi="Times New Roman" w:cs="Times New Roman"/>
              </w:rPr>
            </w:pPr>
            <w:r>
              <w:rPr>
                <w:rFonts w:ascii="Times New Roman" w:hAnsi="Times New Roman" w:cs="Times New Roman"/>
              </w:rPr>
              <w:t>Haşıl Sökme</w:t>
            </w:r>
          </w:p>
        </w:tc>
        <w:tc>
          <w:tcPr>
            <w:tcW w:w="6090" w:type="dxa"/>
            <w:vAlign w:val="center"/>
          </w:tcPr>
          <w:p w14:paraId="4AA72AFE" w14:textId="77777777" w:rsidR="001F1270" w:rsidRDefault="006711E4" w:rsidP="0024730D">
            <w:pPr>
              <w:jc w:val="both"/>
              <w:rPr>
                <w:rFonts w:ascii="Times New Roman" w:hAnsi="Times New Roman" w:cs="Times New Roman"/>
              </w:rPr>
            </w:pPr>
            <w:r>
              <w:rPr>
                <w:rFonts w:ascii="Times New Roman" w:hAnsi="Times New Roman" w:cs="Times New Roman"/>
              </w:rPr>
              <w:t>Dokuma kumaştan haşıllama kimyasallarını uzaklaştırmak için tekstil materyallerinin ön işlemi.</w:t>
            </w:r>
          </w:p>
        </w:tc>
      </w:tr>
      <w:tr w:rsidR="001F1270" w:rsidRPr="00BA34D0" w14:paraId="5F3CB695" w14:textId="77777777" w:rsidTr="0024730D">
        <w:trPr>
          <w:jc w:val="center"/>
        </w:trPr>
        <w:tc>
          <w:tcPr>
            <w:tcW w:w="2972" w:type="dxa"/>
            <w:vAlign w:val="center"/>
          </w:tcPr>
          <w:p w14:paraId="6B90838C" w14:textId="77777777" w:rsidR="001F1270" w:rsidRDefault="006711E4" w:rsidP="0024730D">
            <w:pPr>
              <w:jc w:val="both"/>
              <w:rPr>
                <w:rFonts w:ascii="Times New Roman" w:hAnsi="Times New Roman" w:cs="Times New Roman"/>
              </w:rPr>
            </w:pPr>
            <w:r>
              <w:rPr>
                <w:rFonts w:ascii="Times New Roman" w:hAnsi="Times New Roman" w:cs="Times New Roman"/>
              </w:rPr>
              <w:t>Yayılı Emisyonlar</w:t>
            </w:r>
          </w:p>
        </w:tc>
        <w:tc>
          <w:tcPr>
            <w:tcW w:w="6090" w:type="dxa"/>
            <w:vAlign w:val="center"/>
          </w:tcPr>
          <w:p w14:paraId="22137358" w14:textId="77777777" w:rsidR="001F1270" w:rsidRDefault="006711E4" w:rsidP="0024730D">
            <w:pPr>
              <w:jc w:val="both"/>
              <w:rPr>
                <w:rFonts w:ascii="Times New Roman" w:hAnsi="Times New Roman" w:cs="Times New Roman"/>
              </w:rPr>
            </w:pPr>
            <w:r>
              <w:rPr>
                <w:rFonts w:ascii="Times New Roman" w:hAnsi="Times New Roman" w:cs="Times New Roman"/>
              </w:rPr>
              <w:t>Baca gazı olmayan havaya emisyonlar.</w:t>
            </w:r>
          </w:p>
        </w:tc>
      </w:tr>
      <w:tr w:rsidR="001F1270" w:rsidRPr="00BA34D0" w14:paraId="01C660AE" w14:textId="77777777" w:rsidTr="0024730D">
        <w:trPr>
          <w:jc w:val="center"/>
        </w:trPr>
        <w:tc>
          <w:tcPr>
            <w:tcW w:w="2972" w:type="dxa"/>
            <w:vAlign w:val="center"/>
          </w:tcPr>
          <w:p w14:paraId="37355423" w14:textId="77777777" w:rsidR="001F1270" w:rsidRDefault="006711E4" w:rsidP="0024730D">
            <w:pPr>
              <w:jc w:val="both"/>
              <w:rPr>
                <w:rFonts w:ascii="Times New Roman" w:hAnsi="Times New Roman" w:cs="Times New Roman"/>
              </w:rPr>
            </w:pPr>
            <w:r>
              <w:rPr>
                <w:rFonts w:ascii="Times New Roman" w:hAnsi="Times New Roman" w:cs="Times New Roman"/>
              </w:rPr>
              <w:t>Doğrudan Deşarj</w:t>
            </w:r>
          </w:p>
        </w:tc>
        <w:tc>
          <w:tcPr>
            <w:tcW w:w="6090" w:type="dxa"/>
            <w:vAlign w:val="center"/>
          </w:tcPr>
          <w:p w14:paraId="13E98CAC" w14:textId="77777777" w:rsidR="001F1270" w:rsidRDefault="006711E4" w:rsidP="0024730D">
            <w:pPr>
              <w:jc w:val="both"/>
              <w:rPr>
                <w:rFonts w:ascii="Times New Roman" w:hAnsi="Times New Roman" w:cs="Times New Roman"/>
              </w:rPr>
            </w:pPr>
            <w:r>
              <w:rPr>
                <w:rFonts w:ascii="Times New Roman" w:hAnsi="Times New Roman" w:cs="Times New Roman"/>
              </w:rPr>
              <w:t>Herhangi bir ileri alt akım atık su arıtımı olmadan alıcı su kütlesine yapılan deşarj.</w:t>
            </w:r>
          </w:p>
        </w:tc>
      </w:tr>
      <w:tr w:rsidR="001F1270" w:rsidRPr="00BA34D0" w14:paraId="0B97FD68" w14:textId="77777777" w:rsidTr="0024730D">
        <w:trPr>
          <w:jc w:val="center"/>
        </w:trPr>
        <w:tc>
          <w:tcPr>
            <w:tcW w:w="2972" w:type="dxa"/>
            <w:vAlign w:val="center"/>
          </w:tcPr>
          <w:p w14:paraId="32779D8C" w14:textId="77777777" w:rsidR="001F1270" w:rsidRDefault="006711E4" w:rsidP="0024730D">
            <w:pPr>
              <w:jc w:val="both"/>
              <w:rPr>
                <w:rFonts w:ascii="Times New Roman" w:hAnsi="Times New Roman" w:cs="Times New Roman"/>
              </w:rPr>
            </w:pPr>
            <w:r>
              <w:rPr>
                <w:rFonts w:ascii="Times New Roman" w:hAnsi="Times New Roman" w:cs="Times New Roman"/>
              </w:rPr>
              <w:t>Kuru Temizleme</w:t>
            </w:r>
          </w:p>
        </w:tc>
        <w:tc>
          <w:tcPr>
            <w:tcW w:w="6090" w:type="dxa"/>
            <w:vAlign w:val="center"/>
          </w:tcPr>
          <w:p w14:paraId="31E3CF64" w14:textId="77777777" w:rsidR="001F1270" w:rsidRDefault="006711E4" w:rsidP="0024730D">
            <w:pPr>
              <w:jc w:val="both"/>
              <w:rPr>
                <w:rFonts w:ascii="Times New Roman" w:hAnsi="Times New Roman" w:cs="Times New Roman"/>
              </w:rPr>
            </w:pPr>
            <w:r>
              <w:rPr>
                <w:rFonts w:ascii="Times New Roman" w:hAnsi="Times New Roman" w:cs="Times New Roman"/>
              </w:rPr>
              <w:t>Tekstil materyallerinin organik solvent ile temizlenmesi.</w:t>
            </w:r>
          </w:p>
        </w:tc>
      </w:tr>
      <w:tr w:rsidR="001F1270" w:rsidRPr="00BA34D0" w14:paraId="63F2D19B" w14:textId="77777777" w:rsidTr="0024730D">
        <w:trPr>
          <w:jc w:val="center"/>
        </w:trPr>
        <w:tc>
          <w:tcPr>
            <w:tcW w:w="2972" w:type="dxa"/>
            <w:vAlign w:val="center"/>
          </w:tcPr>
          <w:p w14:paraId="60E13C98" w14:textId="77777777" w:rsidR="001F1270" w:rsidRDefault="006711E4" w:rsidP="0024730D">
            <w:pPr>
              <w:jc w:val="both"/>
              <w:rPr>
                <w:rFonts w:ascii="Times New Roman" w:hAnsi="Times New Roman" w:cs="Times New Roman"/>
              </w:rPr>
            </w:pPr>
            <w:r>
              <w:rPr>
                <w:rFonts w:ascii="Times New Roman" w:hAnsi="Times New Roman" w:cs="Times New Roman"/>
              </w:rPr>
              <w:t>Kumaş Üretimi</w:t>
            </w:r>
          </w:p>
        </w:tc>
        <w:tc>
          <w:tcPr>
            <w:tcW w:w="6090" w:type="dxa"/>
            <w:vAlign w:val="center"/>
          </w:tcPr>
          <w:p w14:paraId="3BDE8DCD" w14:textId="77777777" w:rsidR="001F1270" w:rsidRDefault="006711E4" w:rsidP="0024730D">
            <w:pPr>
              <w:jc w:val="both"/>
              <w:rPr>
                <w:rFonts w:ascii="Times New Roman" w:hAnsi="Times New Roman" w:cs="Times New Roman"/>
              </w:rPr>
            </w:pPr>
            <w:r>
              <w:rPr>
                <w:rFonts w:ascii="Times New Roman" w:hAnsi="Times New Roman" w:cs="Times New Roman"/>
              </w:rPr>
              <w:t>Örneğin dokuma veya örme yoluyla kumaş üretimi.</w:t>
            </w:r>
          </w:p>
        </w:tc>
      </w:tr>
      <w:tr w:rsidR="001F1270" w:rsidRPr="00BA34D0" w14:paraId="60BC0545" w14:textId="77777777" w:rsidTr="0024730D">
        <w:trPr>
          <w:jc w:val="center"/>
        </w:trPr>
        <w:tc>
          <w:tcPr>
            <w:tcW w:w="2972" w:type="dxa"/>
            <w:vAlign w:val="center"/>
          </w:tcPr>
          <w:p w14:paraId="756002DE" w14:textId="77777777" w:rsidR="001F1270" w:rsidRDefault="006711E4" w:rsidP="0024730D">
            <w:pPr>
              <w:jc w:val="both"/>
              <w:rPr>
                <w:rFonts w:ascii="Times New Roman" w:hAnsi="Times New Roman" w:cs="Times New Roman"/>
              </w:rPr>
            </w:pPr>
            <w:r>
              <w:rPr>
                <w:rFonts w:ascii="Times New Roman" w:hAnsi="Times New Roman" w:cs="Times New Roman"/>
              </w:rPr>
              <w:t>Bitirme</w:t>
            </w:r>
          </w:p>
        </w:tc>
        <w:tc>
          <w:tcPr>
            <w:tcW w:w="6090" w:type="dxa"/>
            <w:vAlign w:val="center"/>
          </w:tcPr>
          <w:p w14:paraId="7F5AFD80" w14:textId="77777777" w:rsidR="001F1270" w:rsidRDefault="00D86A17" w:rsidP="0024730D">
            <w:pPr>
              <w:jc w:val="both"/>
              <w:rPr>
                <w:rFonts w:ascii="Times New Roman" w:hAnsi="Times New Roman" w:cs="Times New Roman"/>
              </w:rPr>
            </w:pPr>
            <w:r>
              <w:rPr>
                <w:rFonts w:ascii="Times New Roman" w:hAnsi="Times New Roman" w:cs="Times New Roman"/>
              </w:rPr>
              <w:t>Tekstil materyallerine görsel etki, kullanım özellikleri, su geçirmezlik veya yanmazlık gibi nihai kullanım özelliklerini vermeyi hedefleyen fiziksel ve/veya kimyasal işlem.</w:t>
            </w:r>
          </w:p>
        </w:tc>
      </w:tr>
      <w:tr w:rsidR="001F1270" w:rsidRPr="00BA34D0" w14:paraId="68ABAA20" w14:textId="77777777" w:rsidTr="0024730D">
        <w:trPr>
          <w:jc w:val="center"/>
        </w:trPr>
        <w:tc>
          <w:tcPr>
            <w:tcW w:w="2972" w:type="dxa"/>
            <w:vAlign w:val="center"/>
          </w:tcPr>
          <w:p w14:paraId="282305F4" w14:textId="77777777" w:rsidR="001F1270" w:rsidRDefault="004B45B0" w:rsidP="0024730D">
            <w:pPr>
              <w:jc w:val="both"/>
              <w:rPr>
                <w:rFonts w:ascii="Times New Roman" w:hAnsi="Times New Roman" w:cs="Times New Roman"/>
              </w:rPr>
            </w:pPr>
            <w:r>
              <w:rPr>
                <w:rFonts w:ascii="Times New Roman" w:hAnsi="Times New Roman" w:cs="Times New Roman"/>
              </w:rPr>
              <w:lastRenderedPageBreak/>
              <w:t>Alev Laminasyonu</w:t>
            </w:r>
          </w:p>
        </w:tc>
        <w:tc>
          <w:tcPr>
            <w:tcW w:w="6090" w:type="dxa"/>
            <w:vAlign w:val="center"/>
          </w:tcPr>
          <w:p w14:paraId="62A82BF8" w14:textId="77777777" w:rsidR="001F1270" w:rsidRDefault="004B45B0" w:rsidP="0024730D">
            <w:pPr>
              <w:jc w:val="both"/>
              <w:rPr>
                <w:rFonts w:ascii="Times New Roman" w:hAnsi="Times New Roman" w:cs="Times New Roman"/>
              </w:rPr>
            </w:pPr>
            <w:r>
              <w:rPr>
                <w:rFonts w:ascii="Times New Roman" w:hAnsi="Times New Roman" w:cs="Times New Roman"/>
              </w:rPr>
              <w:t xml:space="preserve">Laminasyon rulolarının önünde konumlandırılan aleve maruz bırakılan bir termoplastik </w:t>
            </w:r>
            <w:r w:rsidR="00503546">
              <w:rPr>
                <w:rFonts w:ascii="Times New Roman" w:hAnsi="Times New Roman" w:cs="Times New Roman"/>
              </w:rPr>
              <w:t>köpük levha kullanılarak kumaşların birleştirilmesi.</w:t>
            </w:r>
          </w:p>
        </w:tc>
      </w:tr>
      <w:tr w:rsidR="00E93E58" w:rsidRPr="00BA34D0" w14:paraId="5CB3403E" w14:textId="77777777" w:rsidTr="0024730D">
        <w:trPr>
          <w:jc w:val="center"/>
        </w:trPr>
        <w:tc>
          <w:tcPr>
            <w:tcW w:w="2972" w:type="dxa"/>
            <w:vAlign w:val="center"/>
          </w:tcPr>
          <w:p w14:paraId="1CAA7015" w14:textId="77777777" w:rsidR="00E93E58" w:rsidRDefault="0083291B" w:rsidP="0024730D">
            <w:pPr>
              <w:jc w:val="both"/>
              <w:rPr>
                <w:rFonts w:ascii="Times New Roman" w:hAnsi="Times New Roman" w:cs="Times New Roman"/>
              </w:rPr>
            </w:pPr>
            <w:r>
              <w:rPr>
                <w:rFonts w:ascii="Times New Roman" w:hAnsi="Times New Roman" w:cs="Times New Roman"/>
              </w:rPr>
              <w:t>Zararlı Madde</w:t>
            </w:r>
          </w:p>
        </w:tc>
        <w:tc>
          <w:tcPr>
            <w:tcW w:w="6090" w:type="dxa"/>
            <w:vAlign w:val="center"/>
          </w:tcPr>
          <w:p w14:paraId="519AA307" w14:textId="77777777" w:rsidR="00E93E58" w:rsidRDefault="0078459F" w:rsidP="0024730D">
            <w:pPr>
              <w:jc w:val="both"/>
              <w:rPr>
                <w:rFonts w:ascii="Times New Roman" w:hAnsi="Times New Roman" w:cs="Times New Roman"/>
              </w:rPr>
            </w:pPr>
            <w:r>
              <w:rPr>
                <w:rFonts w:ascii="Times New Roman" w:hAnsi="Times New Roman" w:cs="Times New Roman"/>
              </w:rPr>
              <w:t xml:space="preserve">Endüstriyel Emisyonların Yönetimi Yönetmeliği (R.G. 14.01.2025, Sayı: 32782) 4. Maddesinin (ff) </w:t>
            </w:r>
            <w:r w:rsidR="00BE51ED">
              <w:rPr>
                <w:rFonts w:ascii="Times New Roman" w:hAnsi="Times New Roman" w:cs="Times New Roman"/>
              </w:rPr>
              <w:t>bendinde tanımlanan zararlı madde.</w:t>
            </w:r>
          </w:p>
          <w:p w14:paraId="346D35BC" w14:textId="77777777" w:rsidR="0048332F" w:rsidRDefault="0048332F" w:rsidP="0024730D">
            <w:pPr>
              <w:jc w:val="both"/>
              <w:rPr>
                <w:rFonts w:ascii="Times New Roman" w:hAnsi="Times New Roman" w:cs="Times New Roman"/>
              </w:rPr>
            </w:pPr>
            <w:r w:rsidRPr="0048332F">
              <w:rPr>
                <w:rFonts w:ascii="Times New Roman" w:hAnsi="Times New Roman" w:cs="Times New Roman"/>
              </w:rPr>
              <w:t>Zararlı madde: 11/12/2013 tarihli ve 28848 mükerrer sayılı Resmî Gazete’de yayımlanan Maddelerin ve Karışımların Sınıflandırılması, Etiketlenmesi ve Ambalajlanması Hakkında Yönetmelik kapsamında zararlı olarak sınıflandırılan maddeleri ve karışımları,</w:t>
            </w:r>
          </w:p>
        </w:tc>
      </w:tr>
      <w:tr w:rsidR="00E93E58" w:rsidRPr="00BA34D0" w14:paraId="4BAD24A1" w14:textId="77777777" w:rsidTr="0024730D">
        <w:trPr>
          <w:jc w:val="center"/>
        </w:trPr>
        <w:tc>
          <w:tcPr>
            <w:tcW w:w="2972" w:type="dxa"/>
            <w:vAlign w:val="center"/>
          </w:tcPr>
          <w:p w14:paraId="63B46748" w14:textId="77777777" w:rsidR="00E93E58" w:rsidRDefault="00BE51ED" w:rsidP="0024730D">
            <w:pPr>
              <w:jc w:val="both"/>
              <w:rPr>
                <w:rFonts w:ascii="Times New Roman" w:hAnsi="Times New Roman" w:cs="Times New Roman"/>
              </w:rPr>
            </w:pPr>
            <w:r>
              <w:rPr>
                <w:rFonts w:ascii="Times New Roman" w:hAnsi="Times New Roman" w:cs="Times New Roman"/>
              </w:rPr>
              <w:t>Tehlikeli Atık</w:t>
            </w:r>
          </w:p>
        </w:tc>
        <w:tc>
          <w:tcPr>
            <w:tcW w:w="6090" w:type="dxa"/>
            <w:vAlign w:val="center"/>
          </w:tcPr>
          <w:p w14:paraId="1AEB306A" w14:textId="77777777" w:rsidR="00E93E58" w:rsidRDefault="009E51A2" w:rsidP="0024730D">
            <w:pPr>
              <w:jc w:val="both"/>
              <w:rPr>
                <w:rFonts w:ascii="Times New Roman" w:hAnsi="Times New Roman" w:cs="Times New Roman"/>
              </w:rPr>
            </w:pPr>
            <w:r>
              <w:rPr>
                <w:rFonts w:ascii="Times New Roman" w:hAnsi="Times New Roman" w:cs="Times New Roman"/>
              </w:rPr>
              <w:t>Atık Yönetimi Yönetmeliği (R.G. 02.04.2015, Sayı: 29314) 4. Maddesinin (jj) bendinde tanımlanan tehlikeli atık.</w:t>
            </w:r>
          </w:p>
        </w:tc>
      </w:tr>
      <w:tr w:rsidR="00E93E58" w:rsidRPr="00BA34D0" w14:paraId="00DB5C75" w14:textId="77777777" w:rsidTr="0024730D">
        <w:trPr>
          <w:jc w:val="center"/>
        </w:trPr>
        <w:tc>
          <w:tcPr>
            <w:tcW w:w="2972" w:type="dxa"/>
            <w:vAlign w:val="center"/>
          </w:tcPr>
          <w:p w14:paraId="4C631153" w14:textId="77777777" w:rsidR="00E93E58" w:rsidRDefault="000601A7" w:rsidP="0024730D">
            <w:pPr>
              <w:jc w:val="both"/>
              <w:rPr>
                <w:rFonts w:ascii="Times New Roman" w:hAnsi="Times New Roman" w:cs="Times New Roman"/>
              </w:rPr>
            </w:pPr>
            <w:r>
              <w:rPr>
                <w:rFonts w:ascii="Times New Roman" w:hAnsi="Times New Roman" w:cs="Times New Roman"/>
              </w:rPr>
              <w:t>Dolaylı Deşarj</w:t>
            </w:r>
          </w:p>
        </w:tc>
        <w:tc>
          <w:tcPr>
            <w:tcW w:w="6090" w:type="dxa"/>
            <w:vAlign w:val="center"/>
          </w:tcPr>
          <w:p w14:paraId="0F9C7905" w14:textId="77777777" w:rsidR="00E93E58" w:rsidRDefault="00C932E8" w:rsidP="0024730D">
            <w:pPr>
              <w:jc w:val="both"/>
              <w:rPr>
                <w:rFonts w:ascii="Times New Roman" w:hAnsi="Times New Roman" w:cs="Times New Roman"/>
              </w:rPr>
            </w:pPr>
            <w:r>
              <w:rPr>
                <w:rFonts w:ascii="Times New Roman" w:hAnsi="Times New Roman" w:cs="Times New Roman"/>
              </w:rPr>
              <w:t>Doğrudan olmayan deşarj.</w:t>
            </w:r>
          </w:p>
        </w:tc>
      </w:tr>
      <w:tr w:rsidR="00E93E58" w:rsidRPr="00BA34D0" w14:paraId="34A868A5" w14:textId="77777777" w:rsidTr="0024730D">
        <w:trPr>
          <w:jc w:val="center"/>
        </w:trPr>
        <w:tc>
          <w:tcPr>
            <w:tcW w:w="2972" w:type="dxa"/>
            <w:vAlign w:val="center"/>
          </w:tcPr>
          <w:p w14:paraId="7A76AB59" w14:textId="77777777" w:rsidR="00E93E58" w:rsidRDefault="009704C7" w:rsidP="0024730D">
            <w:pPr>
              <w:jc w:val="both"/>
              <w:rPr>
                <w:rFonts w:ascii="Times New Roman" w:hAnsi="Times New Roman" w:cs="Times New Roman"/>
              </w:rPr>
            </w:pPr>
            <w:r>
              <w:rPr>
                <w:rFonts w:ascii="Times New Roman" w:hAnsi="Times New Roman" w:cs="Times New Roman"/>
              </w:rPr>
              <w:t>Banyo Oranı</w:t>
            </w:r>
          </w:p>
        </w:tc>
        <w:tc>
          <w:tcPr>
            <w:tcW w:w="6090" w:type="dxa"/>
            <w:vAlign w:val="center"/>
          </w:tcPr>
          <w:p w14:paraId="3598740A" w14:textId="77777777" w:rsidR="00E93E58" w:rsidRDefault="0031794B" w:rsidP="004C4263">
            <w:pPr>
              <w:jc w:val="both"/>
              <w:rPr>
                <w:rFonts w:ascii="Times New Roman" w:hAnsi="Times New Roman" w:cs="Times New Roman"/>
              </w:rPr>
            </w:pPr>
            <w:r>
              <w:rPr>
                <w:rFonts w:ascii="Times New Roman" w:hAnsi="Times New Roman" w:cs="Times New Roman"/>
              </w:rPr>
              <w:t xml:space="preserve">Kesikli işlem için, kuru tekstil materyalleri ile kullanılan proses </w:t>
            </w:r>
            <w:r w:rsidR="00BF08CA" w:rsidRPr="004C4263">
              <w:rPr>
                <w:rFonts w:ascii="Times New Roman" w:hAnsi="Times New Roman" w:cs="Times New Roman"/>
                <w:color w:val="000000" w:themeColor="text1"/>
              </w:rPr>
              <w:t>banyosu</w:t>
            </w:r>
            <w:r w:rsidRPr="00BF08CA">
              <w:rPr>
                <w:rFonts w:ascii="Times New Roman" w:hAnsi="Times New Roman" w:cs="Times New Roman"/>
                <w:color w:val="FF0000"/>
              </w:rPr>
              <w:t xml:space="preserve"> </w:t>
            </w:r>
            <w:r>
              <w:rPr>
                <w:rFonts w:ascii="Times New Roman" w:hAnsi="Times New Roman" w:cs="Times New Roman"/>
              </w:rPr>
              <w:t>arasındaki ağırlık oranı.</w:t>
            </w:r>
          </w:p>
        </w:tc>
      </w:tr>
      <w:tr w:rsidR="00E93E58" w:rsidRPr="00BA34D0" w14:paraId="015A1E99" w14:textId="77777777" w:rsidTr="0024730D">
        <w:trPr>
          <w:jc w:val="center"/>
        </w:trPr>
        <w:tc>
          <w:tcPr>
            <w:tcW w:w="2972" w:type="dxa"/>
            <w:vAlign w:val="center"/>
          </w:tcPr>
          <w:p w14:paraId="3BC34095" w14:textId="77777777" w:rsidR="00E93E58" w:rsidRDefault="0031794B" w:rsidP="0024730D">
            <w:pPr>
              <w:jc w:val="both"/>
              <w:rPr>
                <w:rFonts w:ascii="Times New Roman" w:hAnsi="Times New Roman" w:cs="Times New Roman"/>
              </w:rPr>
            </w:pPr>
            <w:r>
              <w:rPr>
                <w:rFonts w:ascii="Times New Roman" w:hAnsi="Times New Roman" w:cs="Times New Roman"/>
              </w:rPr>
              <w:t>n-Oktanol/Su Ayrılım Katsayısı</w:t>
            </w:r>
          </w:p>
        </w:tc>
        <w:tc>
          <w:tcPr>
            <w:tcW w:w="6090" w:type="dxa"/>
            <w:vAlign w:val="center"/>
          </w:tcPr>
          <w:p w14:paraId="4C916846" w14:textId="77777777" w:rsidR="00E93E58" w:rsidRDefault="009D1ED2" w:rsidP="0024730D">
            <w:pPr>
              <w:jc w:val="both"/>
              <w:rPr>
                <w:rFonts w:ascii="Times New Roman" w:hAnsi="Times New Roman" w:cs="Times New Roman"/>
              </w:rPr>
            </w:pPr>
            <w:r>
              <w:rPr>
                <w:rFonts w:ascii="Times New Roman" w:hAnsi="Times New Roman" w:cs="Times New Roman"/>
              </w:rPr>
              <w:t xml:space="preserve">Büyük ölçüde birbirine karışmayan solventler olan n-oktanol ve sudan oluşan iki fazlı sistem içindeki çözünmüş madde </w:t>
            </w:r>
            <w:r w:rsidR="00BF070E">
              <w:rPr>
                <w:rFonts w:ascii="Times New Roman" w:hAnsi="Times New Roman" w:cs="Times New Roman"/>
              </w:rPr>
              <w:t>denge konsantrasyonlarının oranı.</w:t>
            </w:r>
          </w:p>
        </w:tc>
      </w:tr>
      <w:tr w:rsidR="00E93E58" w:rsidRPr="00BA34D0" w14:paraId="298DF9AA" w14:textId="77777777" w:rsidTr="0024730D">
        <w:trPr>
          <w:jc w:val="center"/>
        </w:trPr>
        <w:tc>
          <w:tcPr>
            <w:tcW w:w="2972" w:type="dxa"/>
            <w:vAlign w:val="center"/>
          </w:tcPr>
          <w:p w14:paraId="79548CE6" w14:textId="77777777" w:rsidR="00E93E58" w:rsidRDefault="00593F3E" w:rsidP="0024730D">
            <w:pPr>
              <w:jc w:val="both"/>
              <w:rPr>
                <w:rFonts w:ascii="Times New Roman" w:hAnsi="Times New Roman" w:cs="Times New Roman"/>
              </w:rPr>
            </w:pPr>
            <w:r>
              <w:rPr>
                <w:rFonts w:ascii="Times New Roman" w:hAnsi="Times New Roman" w:cs="Times New Roman"/>
              </w:rPr>
              <w:t>Büyük Tesis İyileştirmesi</w:t>
            </w:r>
          </w:p>
        </w:tc>
        <w:tc>
          <w:tcPr>
            <w:tcW w:w="6090" w:type="dxa"/>
            <w:vAlign w:val="center"/>
          </w:tcPr>
          <w:p w14:paraId="3BAE5209" w14:textId="77777777" w:rsidR="00E93E58" w:rsidRDefault="00FE5BD3" w:rsidP="0024730D">
            <w:pPr>
              <w:jc w:val="both"/>
              <w:rPr>
                <w:rFonts w:ascii="Times New Roman" w:hAnsi="Times New Roman" w:cs="Times New Roman"/>
              </w:rPr>
            </w:pPr>
            <w:r>
              <w:rPr>
                <w:rFonts w:ascii="Times New Roman" w:hAnsi="Times New Roman" w:cs="Times New Roman"/>
              </w:rPr>
              <w:t>Tesisin tasarımında veya teknolojisinde önemli düzenlemeler ile yapılan büyük bir iyileştirme veya proses ve/veya azaltım tekniklerinin ve ilişkili ekipmanın yenisiyle değiştirilmesi.</w:t>
            </w:r>
          </w:p>
        </w:tc>
      </w:tr>
      <w:tr w:rsidR="00E93E58" w:rsidRPr="00BA34D0" w14:paraId="6A0EA3D1" w14:textId="77777777" w:rsidTr="0024730D">
        <w:trPr>
          <w:jc w:val="center"/>
        </w:trPr>
        <w:tc>
          <w:tcPr>
            <w:tcW w:w="2972" w:type="dxa"/>
            <w:vAlign w:val="center"/>
          </w:tcPr>
          <w:p w14:paraId="46AFB2CB" w14:textId="77777777" w:rsidR="00E93E58" w:rsidRDefault="00236E5C" w:rsidP="0024730D">
            <w:pPr>
              <w:jc w:val="both"/>
              <w:rPr>
                <w:rFonts w:ascii="Times New Roman" w:hAnsi="Times New Roman" w:cs="Times New Roman"/>
              </w:rPr>
            </w:pPr>
            <w:r>
              <w:rPr>
                <w:rFonts w:ascii="Times New Roman" w:hAnsi="Times New Roman" w:cs="Times New Roman"/>
              </w:rPr>
              <w:t>Kütle Akışı</w:t>
            </w:r>
          </w:p>
        </w:tc>
        <w:tc>
          <w:tcPr>
            <w:tcW w:w="6090" w:type="dxa"/>
            <w:vAlign w:val="center"/>
          </w:tcPr>
          <w:p w14:paraId="5D6AECE3" w14:textId="77777777" w:rsidR="00E93E58" w:rsidRDefault="00236E5C" w:rsidP="0024730D">
            <w:pPr>
              <w:jc w:val="both"/>
              <w:rPr>
                <w:rFonts w:ascii="Times New Roman" w:hAnsi="Times New Roman" w:cs="Times New Roman"/>
              </w:rPr>
            </w:pPr>
            <w:r>
              <w:rPr>
                <w:rFonts w:ascii="Times New Roman" w:hAnsi="Times New Roman" w:cs="Times New Roman"/>
              </w:rPr>
              <w:t>Tanımlı bir zaman boyunca salınan madde veya parametrenin kütlesi.</w:t>
            </w:r>
          </w:p>
        </w:tc>
      </w:tr>
      <w:tr w:rsidR="00E93E58" w:rsidRPr="00BA34D0" w14:paraId="4670CD7B" w14:textId="77777777" w:rsidTr="0024730D">
        <w:trPr>
          <w:jc w:val="center"/>
        </w:trPr>
        <w:tc>
          <w:tcPr>
            <w:tcW w:w="2972" w:type="dxa"/>
            <w:vAlign w:val="center"/>
          </w:tcPr>
          <w:p w14:paraId="20E0823E" w14:textId="77777777" w:rsidR="00E93E58" w:rsidRDefault="00A60AED" w:rsidP="0024730D">
            <w:pPr>
              <w:jc w:val="both"/>
              <w:rPr>
                <w:rFonts w:ascii="Times New Roman" w:hAnsi="Times New Roman" w:cs="Times New Roman"/>
              </w:rPr>
            </w:pPr>
            <w:r>
              <w:rPr>
                <w:rFonts w:ascii="Times New Roman" w:hAnsi="Times New Roman" w:cs="Times New Roman"/>
              </w:rPr>
              <w:t>Organik Solvent</w:t>
            </w:r>
          </w:p>
        </w:tc>
        <w:tc>
          <w:tcPr>
            <w:tcW w:w="6090" w:type="dxa"/>
            <w:vAlign w:val="center"/>
          </w:tcPr>
          <w:p w14:paraId="5FF14855" w14:textId="77777777" w:rsidR="001F3304" w:rsidRDefault="001F3304" w:rsidP="0024730D">
            <w:pPr>
              <w:jc w:val="both"/>
              <w:rPr>
                <w:rFonts w:ascii="Times New Roman" w:hAnsi="Times New Roman" w:cs="Times New Roman"/>
              </w:rPr>
            </w:pPr>
            <w:r w:rsidRPr="001F3304">
              <w:rPr>
                <w:rFonts w:ascii="Times New Roman" w:hAnsi="Times New Roman" w:cs="Times New Roman"/>
              </w:rPr>
              <w:t xml:space="preserve">'organik solvent' aşağıdaki amaçlarla kullanılan herhangi uçucu organik bileşik anlamındadır: (a) Ham maddeleri, ürünleri veya atıkları çözündürmek için tek başına veya diğer maddelerle birlikte ve kimyasal değişime uğramaksızın, (b) Kirletici maddeleri çözündürerek gidermek için, (c) Çözücü olarak, (d) Dağıtma aracı olarak, (e) Kıvam ayarlayıcı olarak, (f) Yüzey gerilimi ayarlayıcısı olarak, (g) Plastikleştirici olarak, (h) Koruyucu madde olarak </w:t>
            </w:r>
          </w:p>
        </w:tc>
      </w:tr>
      <w:tr w:rsidR="00E93E58" w:rsidRPr="00BA34D0" w14:paraId="26C26D4A" w14:textId="77777777" w:rsidTr="0024730D">
        <w:trPr>
          <w:jc w:val="center"/>
        </w:trPr>
        <w:tc>
          <w:tcPr>
            <w:tcW w:w="2972" w:type="dxa"/>
            <w:vAlign w:val="center"/>
          </w:tcPr>
          <w:p w14:paraId="7087B109" w14:textId="77777777" w:rsidR="00E93E58" w:rsidRDefault="00B93E42" w:rsidP="0024730D">
            <w:pPr>
              <w:jc w:val="both"/>
              <w:rPr>
                <w:rFonts w:ascii="Times New Roman" w:hAnsi="Times New Roman" w:cs="Times New Roman"/>
              </w:rPr>
            </w:pPr>
            <w:r>
              <w:rPr>
                <w:rFonts w:ascii="Times New Roman" w:hAnsi="Times New Roman" w:cs="Times New Roman"/>
              </w:rPr>
              <w:t>Periyodik Ölçüm</w:t>
            </w:r>
          </w:p>
        </w:tc>
        <w:tc>
          <w:tcPr>
            <w:tcW w:w="6090" w:type="dxa"/>
            <w:vAlign w:val="center"/>
          </w:tcPr>
          <w:p w14:paraId="209F9FCE" w14:textId="77777777" w:rsidR="00E93E58" w:rsidRDefault="00111EA1" w:rsidP="0024730D">
            <w:pPr>
              <w:jc w:val="both"/>
              <w:rPr>
                <w:rFonts w:ascii="Times New Roman" w:hAnsi="Times New Roman" w:cs="Times New Roman"/>
              </w:rPr>
            </w:pPr>
            <w:r>
              <w:rPr>
                <w:rFonts w:ascii="Times New Roman" w:hAnsi="Times New Roman" w:cs="Times New Roman"/>
              </w:rPr>
              <w:t>Manuel veya otomatik yöntemler kullanılarak belirli zaman aralıklarında yapılan ölçüm.</w:t>
            </w:r>
          </w:p>
        </w:tc>
      </w:tr>
      <w:tr w:rsidR="00E93E58" w:rsidRPr="00BA34D0" w14:paraId="1AF3A70D" w14:textId="77777777" w:rsidTr="0024730D">
        <w:trPr>
          <w:jc w:val="center"/>
        </w:trPr>
        <w:tc>
          <w:tcPr>
            <w:tcW w:w="2972" w:type="dxa"/>
            <w:vAlign w:val="center"/>
          </w:tcPr>
          <w:p w14:paraId="0BE7865B" w14:textId="77777777" w:rsidR="00E93E58" w:rsidRDefault="00111EA1" w:rsidP="0024730D">
            <w:pPr>
              <w:jc w:val="both"/>
              <w:rPr>
                <w:rFonts w:ascii="Times New Roman" w:hAnsi="Times New Roman" w:cs="Times New Roman"/>
              </w:rPr>
            </w:pPr>
            <w:r>
              <w:rPr>
                <w:rFonts w:ascii="Times New Roman" w:hAnsi="Times New Roman" w:cs="Times New Roman"/>
              </w:rPr>
              <w:t>Proses Kimyasalları</w:t>
            </w:r>
          </w:p>
        </w:tc>
        <w:tc>
          <w:tcPr>
            <w:tcW w:w="6090" w:type="dxa"/>
            <w:vAlign w:val="center"/>
          </w:tcPr>
          <w:p w14:paraId="4C19F5B3" w14:textId="77777777" w:rsidR="00E93E58" w:rsidRDefault="00FC7B36" w:rsidP="0024730D">
            <w:pPr>
              <w:jc w:val="both"/>
              <w:rPr>
                <w:rFonts w:ascii="Times New Roman" w:hAnsi="Times New Roman" w:cs="Times New Roman"/>
              </w:rPr>
            </w:pPr>
            <w:r>
              <w:rPr>
                <w:rFonts w:ascii="Times New Roman" w:hAnsi="Times New Roman" w:cs="Times New Roman"/>
              </w:rPr>
              <w:t xml:space="preserve">Kimyasalların Kaydı, Değerlendirilmesi, İzni ve Kısıtlanması Hakkında Yönetmelik (R.G. 23.06.2017, Sayı: 30105 (Mükerrer)) 4. Maddesinde tanımlanan, proseslerde kullanılan ve </w:t>
            </w:r>
            <w:r w:rsidR="00111766">
              <w:rPr>
                <w:rFonts w:ascii="Times New Roman" w:hAnsi="Times New Roman" w:cs="Times New Roman"/>
              </w:rPr>
              <w:t>haşıllama, ağartma ve bitirme kimyasalları ile boyaları ve baskı patlarını içeren maddeler ve/veya karışımlar.</w:t>
            </w:r>
            <w:r w:rsidR="00F23785">
              <w:rPr>
                <w:rFonts w:ascii="Times New Roman" w:hAnsi="Times New Roman" w:cs="Times New Roman"/>
              </w:rPr>
              <w:t xml:space="preserve"> Proses kimyasalları, zararlı maddeleri ve/veya yüksek önem arz eden maddeleri içerebilir.</w:t>
            </w:r>
          </w:p>
        </w:tc>
      </w:tr>
      <w:tr w:rsidR="00E93E58" w:rsidRPr="00BA34D0" w14:paraId="469E8E7C" w14:textId="77777777" w:rsidTr="0024730D">
        <w:trPr>
          <w:jc w:val="center"/>
        </w:trPr>
        <w:tc>
          <w:tcPr>
            <w:tcW w:w="2972" w:type="dxa"/>
            <w:vAlign w:val="center"/>
          </w:tcPr>
          <w:p w14:paraId="105C5B18" w14:textId="77777777" w:rsidR="00E93E58" w:rsidRDefault="00F23785" w:rsidP="0024730D">
            <w:pPr>
              <w:jc w:val="both"/>
              <w:rPr>
                <w:rFonts w:ascii="Times New Roman" w:hAnsi="Times New Roman" w:cs="Times New Roman"/>
              </w:rPr>
            </w:pPr>
            <w:r w:rsidRPr="004C4263">
              <w:rPr>
                <w:rFonts w:ascii="Times New Roman" w:hAnsi="Times New Roman" w:cs="Times New Roman"/>
                <w:color w:val="000000" w:themeColor="text1"/>
              </w:rPr>
              <w:t>Proses</w:t>
            </w:r>
            <w:r w:rsidR="00BF08CA" w:rsidRPr="004C4263">
              <w:rPr>
                <w:rFonts w:ascii="Times New Roman" w:hAnsi="Times New Roman" w:cs="Times New Roman"/>
                <w:color w:val="000000" w:themeColor="text1"/>
              </w:rPr>
              <w:t xml:space="preserve"> Banyosu</w:t>
            </w:r>
          </w:p>
        </w:tc>
        <w:tc>
          <w:tcPr>
            <w:tcW w:w="6090" w:type="dxa"/>
            <w:vAlign w:val="center"/>
          </w:tcPr>
          <w:p w14:paraId="421F5221" w14:textId="77777777" w:rsidR="00E93E58" w:rsidRDefault="00F23785" w:rsidP="0024730D">
            <w:pPr>
              <w:jc w:val="both"/>
              <w:rPr>
                <w:rFonts w:ascii="Times New Roman" w:hAnsi="Times New Roman" w:cs="Times New Roman"/>
              </w:rPr>
            </w:pPr>
            <w:r>
              <w:rPr>
                <w:rFonts w:ascii="Times New Roman" w:hAnsi="Times New Roman" w:cs="Times New Roman"/>
              </w:rPr>
              <w:t>Proses kimyasallarını içeren çözelti ve/veya süspansiyon.</w:t>
            </w:r>
          </w:p>
        </w:tc>
      </w:tr>
      <w:tr w:rsidR="00F23785" w:rsidRPr="00BA34D0" w14:paraId="46D914DF" w14:textId="77777777" w:rsidTr="0024730D">
        <w:trPr>
          <w:jc w:val="center"/>
        </w:trPr>
        <w:tc>
          <w:tcPr>
            <w:tcW w:w="2972" w:type="dxa"/>
            <w:vAlign w:val="center"/>
          </w:tcPr>
          <w:p w14:paraId="4BCD045C" w14:textId="77777777" w:rsidR="00F23785" w:rsidRDefault="00024674" w:rsidP="0024730D">
            <w:pPr>
              <w:jc w:val="both"/>
              <w:rPr>
                <w:rFonts w:ascii="Times New Roman" w:hAnsi="Times New Roman" w:cs="Times New Roman"/>
              </w:rPr>
            </w:pPr>
            <w:r>
              <w:rPr>
                <w:rFonts w:ascii="Times New Roman" w:hAnsi="Times New Roman" w:cs="Times New Roman"/>
              </w:rPr>
              <w:t>Kalıntı Toplama</w:t>
            </w:r>
          </w:p>
        </w:tc>
        <w:tc>
          <w:tcPr>
            <w:tcW w:w="6090" w:type="dxa"/>
            <w:vAlign w:val="center"/>
          </w:tcPr>
          <w:p w14:paraId="132D2B0C" w14:textId="77777777" w:rsidR="00F23785" w:rsidRDefault="00024674" w:rsidP="0024730D">
            <w:pPr>
              <w:jc w:val="both"/>
              <w:rPr>
                <w:rFonts w:ascii="Times New Roman" w:hAnsi="Times New Roman" w:cs="Times New Roman"/>
              </w:rPr>
            </w:pPr>
            <w:r>
              <w:rPr>
                <w:rFonts w:ascii="Times New Roman" w:hAnsi="Times New Roman" w:cs="Times New Roman"/>
              </w:rPr>
              <w:t>İlave sıvı gerektiren ıslak tekstil materyallerinin kalan kapasitesi (ilk toplamadan sonra).</w:t>
            </w:r>
          </w:p>
        </w:tc>
      </w:tr>
      <w:tr w:rsidR="00F23785" w:rsidRPr="00BA34D0" w14:paraId="143E5AD1" w14:textId="77777777" w:rsidTr="0024730D">
        <w:trPr>
          <w:jc w:val="center"/>
        </w:trPr>
        <w:tc>
          <w:tcPr>
            <w:tcW w:w="2972" w:type="dxa"/>
            <w:vAlign w:val="center"/>
          </w:tcPr>
          <w:p w14:paraId="11027A9E" w14:textId="77777777" w:rsidR="00F23785" w:rsidRDefault="00024674" w:rsidP="0024730D">
            <w:pPr>
              <w:jc w:val="both"/>
              <w:rPr>
                <w:rFonts w:ascii="Times New Roman" w:hAnsi="Times New Roman" w:cs="Times New Roman"/>
              </w:rPr>
            </w:pPr>
            <w:r>
              <w:rPr>
                <w:rFonts w:ascii="Times New Roman" w:hAnsi="Times New Roman" w:cs="Times New Roman"/>
              </w:rPr>
              <w:t>Pişirme</w:t>
            </w:r>
          </w:p>
        </w:tc>
        <w:tc>
          <w:tcPr>
            <w:tcW w:w="6090" w:type="dxa"/>
            <w:vAlign w:val="center"/>
          </w:tcPr>
          <w:p w14:paraId="2726BD71" w14:textId="77777777" w:rsidR="00F23785" w:rsidRDefault="00024674" w:rsidP="0024730D">
            <w:pPr>
              <w:jc w:val="both"/>
              <w:rPr>
                <w:rFonts w:ascii="Times New Roman" w:hAnsi="Times New Roman" w:cs="Times New Roman"/>
              </w:rPr>
            </w:pPr>
            <w:r>
              <w:rPr>
                <w:rFonts w:ascii="Times New Roman" w:hAnsi="Times New Roman" w:cs="Times New Roman"/>
              </w:rPr>
              <w:t>Tekstil materyallerinin gelen tekstil materyalinin yıkanmasından oluşan ön işlemi.</w:t>
            </w:r>
          </w:p>
        </w:tc>
      </w:tr>
      <w:tr w:rsidR="00F23785" w:rsidRPr="00BA34D0" w14:paraId="1B7B169B" w14:textId="77777777" w:rsidTr="0024730D">
        <w:trPr>
          <w:jc w:val="center"/>
        </w:trPr>
        <w:tc>
          <w:tcPr>
            <w:tcW w:w="2972" w:type="dxa"/>
            <w:vAlign w:val="center"/>
          </w:tcPr>
          <w:p w14:paraId="372EB155" w14:textId="77777777" w:rsidR="00F23785" w:rsidRDefault="00932413" w:rsidP="0024730D">
            <w:pPr>
              <w:jc w:val="both"/>
              <w:rPr>
                <w:rFonts w:ascii="Times New Roman" w:hAnsi="Times New Roman" w:cs="Times New Roman"/>
              </w:rPr>
            </w:pPr>
            <w:r>
              <w:rPr>
                <w:rFonts w:ascii="Times New Roman" w:hAnsi="Times New Roman" w:cs="Times New Roman"/>
              </w:rPr>
              <w:t>Yakma</w:t>
            </w:r>
          </w:p>
        </w:tc>
        <w:tc>
          <w:tcPr>
            <w:tcW w:w="6090" w:type="dxa"/>
            <w:vAlign w:val="center"/>
          </w:tcPr>
          <w:p w14:paraId="1555E691" w14:textId="77777777" w:rsidR="00F23785" w:rsidRDefault="00932413" w:rsidP="0024730D">
            <w:pPr>
              <w:jc w:val="both"/>
              <w:rPr>
                <w:rFonts w:ascii="Times New Roman" w:hAnsi="Times New Roman" w:cs="Times New Roman"/>
              </w:rPr>
            </w:pPr>
            <w:r>
              <w:rPr>
                <w:rFonts w:ascii="Times New Roman" w:hAnsi="Times New Roman" w:cs="Times New Roman"/>
              </w:rPr>
              <w:t>Kumaş yüzeyindeki ipliklerin alevden veya ısıtılmış plakalardan geçirilerek uzaklaştırılması.</w:t>
            </w:r>
          </w:p>
        </w:tc>
      </w:tr>
      <w:tr w:rsidR="00F23785" w:rsidRPr="00BA34D0" w14:paraId="28F237F1" w14:textId="77777777" w:rsidTr="0024730D">
        <w:trPr>
          <w:jc w:val="center"/>
        </w:trPr>
        <w:tc>
          <w:tcPr>
            <w:tcW w:w="2972" w:type="dxa"/>
            <w:vAlign w:val="center"/>
          </w:tcPr>
          <w:p w14:paraId="5C1EE830" w14:textId="77777777" w:rsidR="00F23785" w:rsidRDefault="00932413" w:rsidP="0024730D">
            <w:pPr>
              <w:jc w:val="both"/>
              <w:rPr>
                <w:rFonts w:ascii="Times New Roman" w:hAnsi="Times New Roman" w:cs="Times New Roman"/>
              </w:rPr>
            </w:pPr>
            <w:r>
              <w:rPr>
                <w:rFonts w:ascii="Times New Roman" w:hAnsi="Times New Roman" w:cs="Times New Roman"/>
              </w:rPr>
              <w:t>Haşıllama</w:t>
            </w:r>
          </w:p>
        </w:tc>
        <w:tc>
          <w:tcPr>
            <w:tcW w:w="6090" w:type="dxa"/>
            <w:vAlign w:val="center"/>
          </w:tcPr>
          <w:p w14:paraId="28BE55E7" w14:textId="77777777" w:rsidR="00F23785" w:rsidRDefault="00932413" w:rsidP="0024730D">
            <w:pPr>
              <w:jc w:val="both"/>
              <w:rPr>
                <w:rFonts w:ascii="Times New Roman" w:hAnsi="Times New Roman" w:cs="Times New Roman"/>
              </w:rPr>
            </w:pPr>
            <w:r>
              <w:rPr>
                <w:rFonts w:ascii="Times New Roman" w:hAnsi="Times New Roman" w:cs="Times New Roman"/>
              </w:rPr>
              <w:t>İpliğin korunmasını ve dokuma sırasında kayganlaşma sağlamayı amaçlayarak ipliğin proses kimyasallarıyla emprenye edilmesi.</w:t>
            </w:r>
          </w:p>
        </w:tc>
      </w:tr>
      <w:tr w:rsidR="00F23785" w:rsidRPr="00BA34D0" w14:paraId="13954EA8" w14:textId="77777777" w:rsidTr="0024730D">
        <w:trPr>
          <w:jc w:val="center"/>
        </w:trPr>
        <w:tc>
          <w:tcPr>
            <w:tcW w:w="2972" w:type="dxa"/>
            <w:vAlign w:val="center"/>
          </w:tcPr>
          <w:p w14:paraId="6F58D4CA" w14:textId="77777777" w:rsidR="00F23785" w:rsidRDefault="00183DD2" w:rsidP="0024730D">
            <w:pPr>
              <w:jc w:val="both"/>
              <w:rPr>
                <w:rFonts w:ascii="Times New Roman" w:hAnsi="Times New Roman" w:cs="Times New Roman"/>
              </w:rPr>
            </w:pPr>
            <w:r>
              <w:rPr>
                <w:rFonts w:ascii="Times New Roman" w:hAnsi="Times New Roman" w:cs="Times New Roman"/>
              </w:rPr>
              <w:t>Yüksek Önem Arz Eden Maddeler</w:t>
            </w:r>
          </w:p>
        </w:tc>
        <w:tc>
          <w:tcPr>
            <w:tcW w:w="6090" w:type="dxa"/>
            <w:vAlign w:val="center"/>
          </w:tcPr>
          <w:p w14:paraId="3DE84B16" w14:textId="77777777" w:rsidR="00F23785" w:rsidRPr="001C7708" w:rsidRDefault="0071338C" w:rsidP="0071338C">
            <w:pPr>
              <w:jc w:val="both"/>
              <w:rPr>
                <w:color w:val="1F497D"/>
              </w:rPr>
            </w:pPr>
            <w:r>
              <w:rPr>
                <w:rFonts w:ascii="Times New Roman" w:hAnsi="Times New Roman" w:cs="Times New Roman"/>
              </w:rPr>
              <w:t xml:space="preserve">Zararlı </w:t>
            </w:r>
            <w:r w:rsidR="001C7708" w:rsidRPr="001C7708">
              <w:rPr>
                <w:rFonts w:ascii="Times New Roman" w:hAnsi="Times New Roman" w:cs="Times New Roman"/>
              </w:rPr>
              <w:t>madde: 11/12/2013 tarihli ve 28848 mükerrer sayılı Resmî Gazete’de yayımlanan Maddelerin ve Karışımların Sınıflandırılması, Etiketlenmesi ve Ambalajlanması Hakkında Yönetmelik kapsamında zararlı olarak sınıflandırılan maddeleri ve karışımları,</w:t>
            </w:r>
          </w:p>
        </w:tc>
      </w:tr>
      <w:tr w:rsidR="00F23785" w:rsidRPr="00BA34D0" w14:paraId="3630DFBE" w14:textId="77777777" w:rsidTr="0024730D">
        <w:trPr>
          <w:jc w:val="center"/>
        </w:trPr>
        <w:tc>
          <w:tcPr>
            <w:tcW w:w="2972" w:type="dxa"/>
            <w:vAlign w:val="center"/>
          </w:tcPr>
          <w:p w14:paraId="61F73754" w14:textId="77777777" w:rsidR="00F23785" w:rsidRDefault="007572DC" w:rsidP="0024730D">
            <w:pPr>
              <w:jc w:val="both"/>
              <w:rPr>
                <w:rFonts w:ascii="Times New Roman" w:hAnsi="Times New Roman" w:cs="Times New Roman"/>
              </w:rPr>
            </w:pPr>
            <w:r>
              <w:rPr>
                <w:rFonts w:ascii="Times New Roman" w:hAnsi="Times New Roman" w:cs="Times New Roman"/>
              </w:rPr>
              <w:lastRenderedPageBreak/>
              <w:t>Sentetik Materyaller</w:t>
            </w:r>
          </w:p>
        </w:tc>
        <w:tc>
          <w:tcPr>
            <w:tcW w:w="6090" w:type="dxa"/>
            <w:vAlign w:val="center"/>
          </w:tcPr>
          <w:p w14:paraId="64128979" w14:textId="77777777" w:rsidR="00F23785" w:rsidRDefault="007572DC" w:rsidP="0024730D">
            <w:pPr>
              <w:jc w:val="both"/>
              <w:rPr>
                <w:rFonts w:ascii="Times New Roman" w:hAnsi="Times New Roman" w:cs="Times New Roman"/>
              </w:rPr>
            </w:pPr>
            <w:r>
              <w:rPr>
                <w:rFonts w:ascii="Times New Roman" w:hAnsi="Times New Roman" w:cs="Times New Roman"/>
              </w:rPr>
              <w:t>Sentetik materyaller; polyesteri, poliamidi ve akriliği içerir.</w:t>
            </w:r>
          </w:p>
        </w:tc>
      </w:tr>
      <w:tr w:rsidR="00F23785" w:rsidRPr="00BA34D0" w14:paraId="4601C354" w14:textId="77777777" w:rsidTr="0024730D">
        <w:trPr>
          <w:jc w:val="center"/>
        </w:trPr>
        <w:tc>
          <w:tcPr>
            <w:tcW w:w="2972" w:type="dxa"/>
            <w:vAlign w:val="center"/>
          </w:tcPr>
          <w:p w14:paraId="0C044E60" w14:textId="77777777" w:rsidR="00F23785" w:rsidRDefault="007572DC" w:rsidP="0024730D">
            <w:pPr>
              <w:jc w:val="both"/>
              <w:rPr>
                <w:rFonts w:ascii="Times New Roman" w:hAnsi="Times New Roman" w:cs="Times New Roman"/>
              </w:rPr>
            </w:pPr>
            <w:r>
              <w:rPr>
                <w:rFonts w:ascii="Times New Roman" w:hAnsi="Times New Roman" w:cs="Times New Roman"/>
              </w:rPr>
              <w:t>Tekstil Materyalleri</w:t>
            </w:r>
          </w:p>
        </w:tc>
        <w:tc>
          <w:tcPr>
            <w:tcW w:w="6090" w:type="dxa"/>
            <w:vAlign w:val="center"/>
          </w:tcPr>
          <w:p w14:paraId="1C3F5DE4" w14:textId="77777777" w:rsidR="00F23785" w:rsidRDefault="007572DC" w:rsidP="0024730D">
            <w:pPr>
              <w:jc w:val="both"/>
              <w:rPr>
                <w:rFonts w:ascii="Times New Roman" w:hAnsi="Times New Roman" w:cs="Times New Roman"/>
              </w:rPr>
            </w:pPr>
            <w:r>
              <w:rPr>
                <w:rFonts w:ascii="Times New Roman" w:hAnsi="Times New Roman" w:cs="Times New Roman"/>
              </w:rPr>
              <w:t xml:space="preserve">Tekstil </w:t>
            </w:r>
            <w:r w:rsidR="00357588">
              <w:rPr>
                <w:rFonts w:ascii="Times New Roman" w:hAnsi="Times New Roman" w:cs="Times New Roman"/>
              </w:rPr>
              <w:t>lifleri ve/veya tekstil ürünleri.</w:t>
            </w:r>
          </w:p>
        </w:tc>
      </w:tr>
      <w:tr w:rsidR="00F23785" w:rsidRPr="00BA34D0" w14:paraId="5DB19BF5" w14:textId="77777777" w:rsidTr="0024730D">
        <w:trPr>
          <w:jc w:val="center"/>
        </w:trPr>
        <w:tc>
          <w:tcPr>
            <w:tcW w:w="2972" w:type="dxa"/>
            <w:vAlign w:val="center"/>
          </w:tcPr>
          <w:p w14:paraId="4CAF3CA4" w14:textId="77777777" w:rsidR="00F23785" w:rsidRDefault="00357588" w:rsidP="0024730D">
            <w:pPr>
              <w:jc w:val="both"/>
              <w:rPr>
                <w:rFonts w:ascii="Times New Roman" w:hAnsi="Times New Roman" w:cs="Times New Roman"/>
              </w:rPr>
            </w:pPr>
            <w:r>
              <w:rPr>
                <w:rFonts w:ascii="Times New Roman" w:hAnsi="Times New Roman" w:cs="Times New Roman"/>
              </w:rPr>
              <w:t>Termal İşlem</w:t>
            </w:r>
          </w:p>
        </w:tc>
        <w:tc>
          <w:tcPr>
            <w:tcW w:w="6090" w:type="dxa"/>
            <w:vAlign w:val="center"/>
          </w:tcPr>
          <w:p w14:paraId="79B63239" w14:textId="77777777" w:rsidR="00F23785" w:rsidRDefault="0025384B" w:rsidP="0024730D">
            <w:pPr>
              <w:jc w:val="both"/>
              <w:rPr>
                <w:rFonts w:ascii="Times New Roman" w:hAnsi="Times New Roman" w:cs="Times New Roman"/>
              </w:rPr>
            </w:pPr>
            <w:r>
              <w:rPr>
                <w:rFonts w:ascii="Times New Roman" w:hAnsi="Times New Roman" w:cs="Times New Roman"/>
              </w:rPr>
              <w:t>Tekstil materyallerinin termal işlemi; termofiksajı, ısıyla sertleşmeyi veya Ek-4’te verilen MET sonuçları kapsamındaki faaliyetlerin (örn. kaplama, boyama, ön işlem, bitirme, baskı, laminasyon) proses adımını (örn. kurutma, kürleme) içerir.</w:t>
            </w:r>
          </w:p>
        </w:tc>
      </w:tr>
    </w:tbl>
    <w:p w14:paraId="01B8EB89" w14:textId="77777777" w:rsidR="00EF579B" w:rsidRDefault="00EF579B" w:rsidP="00BA34D0">
      <w:pPr>
        <w:spacing w:after="120" w:line="276" w:lineRule="auto"/>
        <w:jc w:val="both"/>
        <w:rPr>
          <w:rFonts w:ascii="Times New Roman" w:hAnsi="Times New Roman" w:cs="Times New Roman"/>
          <w:sz w:val="24"/>
          <w:szCs w:val="24"/>
        </w:rPr>
      </w:pPr>
    </w:p>
    <w:p w14:paraId="2E309EF8" w14:textId="77777777" w:rsidR="009D40BC" w:rsidRPr="009600E3" w:rsidRDefault="009D40BC" w:rsidP="009D40BC">
      <w:pPr>
        <w:pStyle w:val="Balk2"/>
        <w:spacing w:before="0" w:after="120" w:line="276" w:lineRule="auto"/>
        <w:jc w:val="both"/>
        <w:rPr>
          <w:rFonts w:cs="Times New Roman"/>
          <w:b/>
          <w:bCs/>
          <w:szCs w:val="24"/>
        </w:rPr>
      </w:pPr>
      <w:r>
        <w:rPr>
          <w:rFonts w:cs="Times New Roman"/>
          <w:b/>
          <w:bCs/>
          <w:szCs w:val="24"/>
        </w:rPr>
        <w:t>(4) Deri ve Post İşleme Sektörü</w:t>
      </w:r>
    </w:p>
    <w:tbl>
      <w:tblPr>
        <w:tblStyle w:val="TabloKlavuzu"/>
        <w:tblW w:w="0" w:type="auto"/>
        <w:jc w:val="center"/>
        <w:tblLook w:val="04A0" w:firstRow="1" w:lastRow="0" w:firstColumn="1" w:lastColumn="0" w:noHBand="0" w:noVBand="1"/>
      </w:tblPr>
      <w:tblGrid>
        <w:gridCol w:w="2972"/>
        <w:gridCol w:w="6090"/>
      </w:tblGrid>
      <w:tr w:rsidR="00551C9C" w:rsidRPr="00BA34D0" w14:paraId="1EC8ABE7" w14:textId="77777777" w:rsidTr="0024730D">
        <w:trPr>
          <w:tblHeader/>
          <w:jc w:val="center"/>
        </w:trPr>
        <w:tc>
          <w:tcPr>
            <w:tcW w:w="2972" w:type="dxa"/>
            <w:vAlign w:val="center"/>
          </w:tcPr>
          <w:p w14:paraId="1A4F4C6A" w14:textId="77777777" w:rsidR="00551C9C" w:rsidRPr="00BA34D0" w:rsidRDefault="00551C9C"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6F335173" w14:textId="77777777" w:rsidR="00551C9C" w:rsidRPr="00BA34D0" w:rsidRDefault="00551C9C" w:rsidP="0024730D">
            <w:pPr>
              <w:jc w:val="center"/>
              <w:rPr>
                <w:rFonts w:ascii="Times New Roman" w:hAnsi="Times New Roman" w:cs="Times New Roman"/>
                <w:b/>
                <w:bCs/>
              </w:rPr>
            </w:pPr>
            <w:r>
              <w:rPr>
                <w:rFonts w:ascii="Times New Roman" w:hAnsi="Times New Roman" w:cs="Times New Roman"/>
                <w:b/>
                <w:bCs/>
              </w:rPr>
              <w:t>Tanım</w:t>
            </w:r>
          </w:p>
        </w:tc>
      </w:tr>
      <w:tr w:rsidR="00551C9C" w:rsidRPr="00BA34D0" w14:paraId="1C2AAC32" w14:textId="77777777" w:rsidTr="0024730D">
        <w:trPr>
          <w:jc w:val="center"/>
        </w:trPr>
        <w:tc>
          <w:tcPr>
            <w:tcW w:w="2972" w:type="dxa"/>
            <w:vAlign w:val="center"/>
          </w:tcPr>
          <w:p w14:paraId="137791F7" w14:textId="77777777" w:rsidR="00551C9C" w:rsidRPr="00BA34D0" w:rsidRDefault="00F12615" w:rsidP="0024730D">
            <w:pPr>
              <w:jc w:val="both"/>
              <w:rPr>
                <w:rFonts w:ascii="Times New Roman" w:hAnsi="Times New Roman" w:cs="Times New Roman"/>
              </w:rPr>
            </w:pPr>
            <w:r>
              <w:rPr>
                <w:rFonts w:ascii="Times New Roman" w:hAnsi="Times New Roman" w:cs="Times New Roman"/>
              </w:rPr>
              <w:t>Tabaklamaya Hazırlık Bölümü</w:t>
            </w:r>
          </w:p>
        </w:tc>
        <w:tc>
          <w:tcPr>
            <w:tcW w:w="6090" w:type="dxa"/>
            <w:vAlign w:val="center"/>
          </w:tcPr>
          <w:p w14:paraId="6D276A6C" w14:textId="77777777" w:rsidR="00551C9C" w:rsidRPr="00BA34D0" w:rsidRDefault="00976248" w:rsidP="0024730D">
            <w:pPr>
              <w:jc w:val="both"/>
              <w:rPr>
                <w:rFonts w:ascii="Times New Roman" w:hAnsi="Times New Roman" w:cs="Times New Roman"/>
              </w:rPr>
            </w:pPr>
            <w:r>
              <w:rPr>
                <w:rFonts w:ascii="Times New Roman" w:hAnsi="Times New Roman" w:cs="Times New Roman"/>
              </w:rPr>
              <w:t>Tabakhanenin, postların tabaklama prosesinden önce ıslatıldığı, kireçlendiği, etinin sıyrıldığı ve kılsızlaştırıldığı bölümü.</w:t>
            </w:r>
          </w:p>
        </w:tc>
      </w:tr>
      <w:tr w:rsidR="00551C9C" w:rsidRPr="00BA34D0" w14:paraId="445AAE7C" w14:textId="77777777" w:rsidTr="0024730D">
        <w:trPr>
          <w:jc w:val="center"/>
        </w:trPr>
        <w:tc>
          <w:tcPr>
            <w:tcW w:w="2972" w:type="dxa"/>
            <w:vAlign w:val="center"/>
          </w:tcPr>
          <w:p w14:paraId="2C1CB07D" w14:textId="77777777" w:rsidR="00551C9C" w:rsidRPr="00BA34D0" w:rsidRDefault="00976248" w:rsidP="0024730D">
            <w:pPr>
              <w:jc w:val="both"/>
              <w:rPr>
                <w:rFonts w:ascii="Times New Roman" w:hAnsi="Times New Roman" w:cs="Times New Roman"/>
              </w:rPr>
            </w:pPr>
            <w:r>
              <w:rPr>
                <w:rFonts w:ascii="Times New Roman" w:hAnsi="Times New Roman" w:cs="Times New Roman"/>
              </w:rPr>
              <w:t>Yan Ürün</w:t>
            </w:r>
          </w:p>
        </w:tc>
        <w:tc>
          <w:tcPr>
            <w:tcW w:w="6090" w:type="dxa"/>
            <w:vAlign w:val="center"/>
          </w:tcPr>
          <w:p w14:paraId="63AB7955" w14:textId="77777777" w:rsidR="00551C9C" w:rsidRPr="00BA34D0" w:rsidRDefault="00976248" w:rsidP="0024730D">
            <w:pPr>
              <w:jc w:val="both"/>
              <w:rPr>
                <w:rFonts w:ascii="Times New Roman" w:hAnsi="Times New Roman" w:cs="Times New Roman"/>
              </w:rPr>
            </w:pPr>
            <w:r>
              <w:rPr>
                <w:rFonts w:ascii="Times New Roman" w:hAnsi="Times New Roman" w:cs="Times New Roman"/>
              </w:rPr>
              <w:t>Atık Yönetimi Yönetmeliği (R.G. 02.04.2015, Sayı: 29314) 19. Maddede yer alan gereklilikleri sağlayan nesne veya madde.</w:t>
            </w:r>
          </w:p>
        </w:tc>
      </w:tr>
      <w:tr w:rsidR="00551C9C" w:rsidRPr="00BA34D0" w14:paraId="2C131447" w14:textId="77777777" w:rsidTr="0024730D">
        <w:trPr>
          <w:jc w:val="center"/>
        </w:trPr>
        <w:tc>
          <w:tcPr>
            <w:tcW w:w="2972" w:type="dxa"/>
            <w:vAlign w:val="center"/>
          </w:tcPr>
          <w:p w14:paraId="65E4A782" w14:textId="77777777" w:rsidR="00551C9C" w:rsidRPr="00BA34D0" w:rsidRDefault="006052AC" w:rsidP="0024730D">
            <w:pPr>
              <w:jc w:val="both"/>
              <w:rPr>
                <w:rFonts w:ascii="Times New Roman" w:hAnsi="Times New Roman" w:cs="Times New Roman"/>
              </w:rPr>
            </w:pPr>
            <w:r>
              <w:rPr>
                <w:rFonts w:ascii="Times New Roman" w:hAnsi="Times New Roman" w:cs="Times New Roman"/>
              </w:rPr>
              <w:t xml:space="preserve">Mevcut İşleme </w:t>
            </w:r>
            <w:r w:rsidR="00F161BA">
              <w:rPr>
                <w:rFonts w:ascii="Times New Roman" w:hAnsi="Times New Roman" w:cs="Times New Roman"/>
              </w:rPr>
              <w:t>Teknesi</w:t>
            </w:r>
          </w:p>
        </w:tc>
        <w:tc>
          <w:tcPr>
            <w:tcW w:w="6090" w:type="dxa"/>
            <w:vAlign w:val="center"/>
          </w:tcPr>
          <w:p w14:paraId="0FFB059D" w14:textId="77777777" w:rsidR="00551C9C" w:rsidRPr="00BA34D0" w:rsidRDefault="00192F0D" w:rsidP="0024730D">
            <w:pPr>
              <w:jc w:val="both"/>
              <w:rPr>
                <w:rFonts w:ascii="Times New Roman" w:hAnsi="Times New Roman" w:cs="Times New Roman"/>
              </w:rPr>
            </w:pPr>
            <w:r>
              <w:rPr>
                <w:rFonts w:ascii="Times New Roman" w:hAnsi="Times New Roman" w:cs="Times New Roman"/>
              </w:rPr>
              <w:t>Yeni bir işleme teknesi olmayan işleme teknesi.</w:t>
            </w:r>
          </w:p>
        </w:tc>
      </w:tr>
      <w:tr w:rsidR="00551C9C" w:rsidRPr="00BA34D0" w14:paraId="36647508" w14:textId="77777777" w:rsidTr="0024730D">
        <w:trPr>
          <w:jc w:val="center"/>
        </w:trPr>
        <w:tc>
          <w:tcPr>
            <w:tcW w:w="2972" w:type="dxa"/>
            <w:vAlign w:val="center"/>
          </w:tcPr>
          <w:p w14:paraId="72FDC321" w14:textId="77777777" w:rsidR="00551C9C" w:rsidRDefault="005D750A" w:rsidP="0024730D">
            <w:pPr>
              <w:jc w:val="both"/>
              <w:rPr>
                <w:rFonts w:ascii="Times New Roman" w:hAnsi="Times New Roman" w:cs="Times New Roman"/>
              </w:rPr>
            </w:pPr>
            <w:r>
              <w:rPr>
                <w:rFonts w:ascii="Times New Roman" w:hAnsi="Times New Roman" w:cs="Times New Roman"/>
              </w:rPr>
              <w:t>Yeni İşleme Teknesi</w:t>
            </w:r>
          </w:p>
        </w:tc>
        <w:tc>
          <w:tcPr>
            <w:tcW w:w="6090" w:type="dxa"/>
            <w:vAlign w:val="center"/>
          </w:tcPr>
          <w:p w14:paraId="0C33B2F1" w14:textId="45E08490" w:rsidR="00551C9C" w:rsidRPr="00BA34D0" w:rsidRDefault="00D16060" w:rsidP="0024730D">
            <w:pPr>
              <w:jc w:val="both"/>
              <w:rPr>
                <w:rFonts w:ascii="Times New Roman" w:hAnsi="Times New Roman" w:cs="Times New Roman"/>
              </w:rPr>
            </w:pPr>
            <w:r w:rsidRPr="0082590D">
              <w:rPr>
                <w:rFonts w:ascii="Times New Roman" w:hAnsi="Times New Roman" w:cs="Times New Roman"/>
              </w:rPr>
              <w:t>Bu Tebliğin yürürlüğe girdi</w:t>
            </w:r>
            <w:r>
              <w:rPr>
                <w:rFonts w:ascii="Times New Roman" w:hAnsi="Times New Roman" w:cs="Times New Roman"/>
              </w:rPr>
              <w:t>kten sonra, t</w:t>
            </w:r>
            <w:r w:rsidR="005D750A">
              <w:rPr>
                <w:rFonts w:ascii="Times New Roman" w:hAnsi="Times New Roman" w:cs="Times New Roman"/>
              </w:rPr>
              <w:t>esiste ilk defa çalıştırılan bir işleme teknesi veya tamamen yenilenmiş bir işleme teknesi.</w:t>
            </w:r>
          </w:p>
        </w:tc>
      </w:tr>
      <w:tr w:rsidR="00AE159F" w:rsidRPr="00BA34D0" w14:paraId="192D0A85" w14:textId="77777777" w:rsidTr="0024730D">
        <w:trPr>
          <w:jc w:val="center"/>
        </w:trPr>
        <w:tc>
          <w:tcPr>
            <w:tcW w:w="2972" w:type="dxa"/>
            <w:vAlign w:val="center"/>
          </w:tcPr>
          <w:p w14:paraId="46EA9790" w14:textId="77777777" w:rsidR="00AE159F" w:rsidRDefault="00AE159F" w:rsidP="00AE159F">
            <w:pPr>
              <w:jc w:val="both"/>
              <w:rPr>
                <w:rFonts w:ascii="Times New Roman" w:hAnsi="Times New Roman" w:cs="Times New Roman"/>
              </w:rPr>
            </w:pPr>
            <w:r>
              <w:rPr>
                <w:rFonts w:ascii="Times New Roman" w:hAnsi="Times New Roman" w:cs="Times New Roman"/>
              </w:rPr>
              <w:t>Tabakhane</w:t>
            </w:r>
          </w:p>
        </w:tc>
        <w:tc>
          <w:tcPr>
            <w:tcW w:w="6090" w:type="dxa"/>
            <w:vAlign w:val="center"/>
          </w:tcPr>
          <w:p w14:paraId="30C5391E" w14:textId="77777777" w:rsidR="00AE159F" w:rsidRPr="00BA34D0" w:rsidRDefault="00AE159F" w:rsidP="00AE159F">
            <w:pPr>
              <w:jc w:val="both"/>
              <w:rPr>
                <w:rFonts w:ascii="Times New Roman" w:hAnsi="Times New Roman" w:cs="Times New Roman"/>
              </w:rPr>
            </w:pPr>
            <w:r>
              <w:rPr>
                <w:rFonts w:ascii="Times New Roman" w:hAnsi="Times New Roman" w:cs="Times New Roman"/>
              </w:rPr>
              <w:t>Tabakhanenin, yüzey temizleme ve tabaklama proseslerinin yürütüldüğü bölümü.</w:t>
            </w:r>
          </w:p>
        </w:tc>
      </w:tr>
      <w:tr w:rsidR="00AE159F" w:rsidRPr="00BA34D0" w14:paraId="27BFAFB9" w14:textId="77777777" w:rsidTr="0024730D">
        <w:trPr>
          <w:jc w:val="center"/>
        </w:trPr>
        <w:tc>
          <w:tcPr>
            <w:tcW w:w="2972" w:type="dxa"/>
            <w:vAlign w:val="center"/>
          </w:tcPr>
          <w:p w14:paraId="6FF942E4" w14:textId="77777777" w:rsidR="00AE159F" w:rsidRDefault="00AE159F" w:rsidP="00AE159F">
            <w:pPr>
              <w:jc w:val="both"/>
              <w:rPr>
                <w:rFonts w:ascii="Times New Roman" w:hAnsi="Times New Roman" w:cs="Times New Roman"/>
              </w:rPr>
            </w:pPr>
            <w:r>
              <w:rPr>
                <w:rFonts w:ascii="Times New Roman" w:hAnsi="Times New Roman" w:cs="Times New Roman"/>
              </w:rPr>
              <w:t>Kentsel Atık Su Arıtma Tesisi</w:t>
            </w:r>
          </w:p>
        </w:tc>
        <w:tc>
          <w:tcPr>
            <w:tcW w:w="6090" w:type="dxa"/>
            <w:vAlign w:val="center"/>
          </w:tcPr>
          <w:p w14:paraId="488815F8" w14:textId="77777777" w:rsidR="00AE159F" w:rsidRPr="00BA34D0" w:rsidRDefault="00AE159F" w:rsidP="00AE159F">
            <w:pPr>
              <w:jc w:val="both"/>
              <w:rPr>
                <w:rFonts w:ascii="Times New Roman" w:hAnsi="Times New Roman" w:cs="Times New Roman"/>
              </w:rPr>
            </w:pPr>
            <w:r>
              <w:rPr>
                <w:rFonts w:ascii="Times New Roman" w:hAnsi="Times New Roman" w:cs="Times New Roman"/>
              </w:rPr>
              <w:t>Kentsel Atıksu Arıtımı Yönetmeliğine (R.G. 08.01.2006, Sayı: 26047) tabi olan bir tesis.</w:t>
            </w:r>
          </w:p>
        </w:tc>
      </w:tr>
    </w:tbl>
    <w:p w14:paraId="48FE0FC8" w14:textId="77777777" w:rsidR="00BA2B0C" w:rsidRPr="009600E3" w:rsidRDefault="00BA2B0C" w:rsidP="00BA2B0C">
      <w:pPr>
        <w:pStyle w:val="Balk2"/>
        <w:spacing w:before="0" w:after="120" w:line="276" w:lineRule="auto"/>
        <w:jc w:val="both"/>
        <w:rPr>
          <w:rFonts w:cs="Times New Roman"/>
          <w:b/>
          <w:bCs/>
          <w:szCs w:val="24"/>
        </w:rPr>
      </w:pPr>
      <w:r>
        <w:rPr>
          <w:rFonts w:cs="Times New Roman"/>
          <w:b/>
          <w:bCs/>
          <w:szCs w:val="24"/>
        </w:rPr>
        <w:t>(5) Mezbahalar, Hayvansal Yan Ürünler ve/veya Yenilebilir Ortak Ürünler Sektörleri</w:t>
      </w:r>
    </w:p>
    <w:tbl>
      <w:tblPr>
        <w:tblStyle w:val="TabloKlavuzu"/>
        <w:tblW w:w="0" w:type="auto"/>
        <w:jc w:val="center"/>
        <w:tblLook w:val="04A0" w:firstRow="1" w:lastRow="0" w:firstColumn="1" w:lastColumn="0" w:noHBand="0" w:noVBand="1"/>
      </w:tblPr>
      <w:tblGrid>
        <w:gridCol w:w="2972"/>
        <w:gridCol w:w="6090"/>
      </w:tblGrid>
      <w:tr w:rsidR="0092519E" w:rsidRPr="00BA34D0" w14:paraId="582536AF" w14:textId="77777777" w:rsidTr="0024730D">
        <w:trPr>
          <w:tblHeader/>
          <w:jc w:val="center"/>
        </w:trPr>
        <w:tc>
          <w:tcPr>
            <w:tcW w:w="2972" w:type="dxa"/>
            <w:vAlign w:val="center"/>
          </w:tcPr>
          <w:p w14:paraId="55B0498A" w14:textId="77777777" w:rsidR="0092519E" w:rsidRPr="00BA34D0" w:rsidRDefault="0092519E"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670223D3" w14:textId="77777777" w:rsidR="0092519E" w:rsidRPr="00BA34D0" w:rsidRDefault="0092519E" w:rsidP="0024730D">
            <w:pPr>
              <w:jc w:val="center"/>
              <w:rPr>
                <w:rFonts w:ascii="Times New Roman" w:hAnsi="Times New Roman" w:cs="Times New Roman"/>
                <w:b/>
                <w:bCs/>
              </w:rPr>
            </w:pPr>
            <w:r>
              <w:rPr>
                <w:rFonts w:ascii="Times New Roman" w:hAnsi="Times New Roman" w:cs="Times New Roman"/>
                <w:b/>
                <w:bCs/>
              </w:rPr>
              <w:t>Tanım</w:t>
            </w:r>
          </w:p>
        </w:tc>
      </w:tr>
      <w:tr w:rsidR="0092519E" w14:paraId="6579AC86" w14:textId="77777777" w:rsidTr="0024730D">
        <w:trPr>
          <w:jc w:val="center"/>
        </w:trPr>
        <w:tc>
          <w:tcPr>
            <w:tcW w:w="2972" w:type="dxa"/>
            <w:vAlign w:val="center"/>
          </w:tcPr>
          <w:p w14:paraId="26AFBA08" w14:textId="77777777" w:rsidR="0092519E" w:rsidRDefault="0092519E" w:rsidP="0024730D">
            <w:pPr>
              <w:jc w:val="both"/>
              <w:rPr>
                <w:rFonts w:ascii="Times New Roman" w:hAnsi="Times New Roman" w:cs="Times New Roman"/>
              </w:rPr>
            </w:pPr>
            <w:r>
              <w:rPr>
                <w:rFonts w:ascii="Times New Roman" w:hAnsi="Times New Roman" w:cs="Times New Roman"/>
              </w:rPr>
              <w:t>Hayvansal Yan Ürünler</w:t>
            </w:r>
          </w:p>
        </w:tc>
        <w:tc>
          <w:tcPr>
            <w:tcW w:w="6090" w:type="dxa"/>
            <w:vAlign w:val="center"/>
          </w:tcPr>
          <w:p w14:paraId="3E80924F" w14:textId="77777777" w:rsidR="0092519E" w:rsidRDefault="0092519E" w:rsidP="0024730D">
            <w:pPr>
              <w:jc w:val="both"/>
              <w:rPr>
                <w:rFonts w:ascii="Times New Roman" w:hAnsi="Times New Roman" w:cs="Times New Roman"/>
              </w:rPr>
            </w:pPr>
            <w:r>
              <w:rPr>
                <w:rFonts w:ascii="Times New Roman" w:hAnsi="Times New Roman" w:cs="Times New Roman"/>
              </w:rPr>
              <w:t>İnsani Tüketim Amacıyla Kullanılmayan Hayvansal Yan Ürünler Yönetmeliği’nde (R.G. 24.12.2011, Sayı: 28152) tanımlandığı şekliyle, “yetiştiricilikte kullanılmayacak olan sperma, oosit, embriyo dahil, insanlar tarafından tüketimi amaçlanmayan hayvan kökenli ürünler veya hayvanların bütün vücut veya parçaları ile artıkları”.</w:t>
            </w:r>
          </w:p>
        </w:tc>
      </w:tr>
      <w:tr w:rsidR="0092519E" w14:paraId="3A491A61" w14:textId="77777777" w:rsidTr="0024730D">
        <w:trPr>
          <w:jc w:val="center"/>
        </w:trPr>
        <w:tc>
          <w:tcPr>
            <w:tcW w:w="2972" w:type="dxa"/>
            <w:vAlign w:val="center"/>
          </w:tcPr>
          <w:p w14:paraId="07DC89FE" w14:textId="77777777" w:rsidR="0092519E" w:rsidRDefault="0092519E" w:rsidP="0024730D">
            <w:pPr>
              <w:jc w:val="both"/>
              <w:rPr>
                <w:rFonts w:ascii="Times New Roman" w:hAnsi="Times New Roman" w:cs="Times New Roman"/>
              </w:rPr>
            </w:pPr>
            <w:r>
              <w:rPr>
                <w:rFonts w:ascii="Times New Roman" w:hAnsi="Times New Roman" w:cs="Times New Roman"/>
              </w:rPr>
              <w:t>Baca Gazı Emisyonları</w:t>
            </w:r>
          </w:p>
        </w:tc>
        <w:tc>
          <w:tcPr>
            <w:tcW w:w="6090" w:type="dxa"/>
            <w:vAlign w:val="center"/>
          </w:tcPr>
          <w:p w14:paraId="32A68BAC" w14:textId="77777777" w:rsidR="0092519E" w:rsidRDefault="0092519E" w:rsidP="0024730D">
            <w:pPr>
              <w:jc w:val="both"/>
              <w:rPr>
                <w:rFonts w:ascii="Times New Roman" w:hAnsi="Times New Roman" w:cs="Times New Roman"/>
              </w:rPr>
            </w:pPr>
            <w:r>
              <w:rPr>
                <w:rFonts w:ascii="Times New Roman" w:hAnsi="Times New Roman" w:cs="Times New Roman"/>
              </w:rPr>
              <w:t>Kirleticilerin, herhangi bir türdeki kanal, boru, baca vb. yoluyla havaya emisyonları.</w:t>
            </w:r>
            <w:r w:rsidR="00471203">
              <w:rPr>
                <w:rFonts w:ascii="Times New Roman" w:hAnsi="Times New Roman" w:cs="Times New Roman"/>
              </w:rPr>
              <w:t xml:space="preserve"> Bu, üstü açık biyofiltrelerden çıkan emisyonları da içerir.</w:t>
            </w:r>
          </w:p>
        </w:tc>
      </w:tr>
      <w:tr w:rsidR="00471203" w14:paraId="75D002D6" w14:textId="77777777" w:rsidTr="0024730D">
        <w:trPr>
          <w:jc w:val="center"/>
        </w:trPr>
        <w:tc>
          <w:tcPr>
            <w:tcW w:w="2972" w:type="dxa"/>
            <w:vAlign w:val="center"/>
          </w:tcPr>
          <w:p w14:paraId="2185CD5D" w14:textId="77777777" w:rsidR="00471203" w:rsidRDefault="00471203" w:rsidP="0024730D">
            <w:pPr>
              <w:jc w:val="both"/>
              <w:rPr>
                <w:rFonts w:ascii="Times New Roman" w:hAnsi="Times New Roman" w:cs="Times New Roman"/>
              </w:rPr>
            </w:pPr>
            <w:r>
              <w:rPr>
                <w:rFonts w:ascii="Times New Roman" w:hAnsi="Times New Roman" w:cs="Times New Roman"/>
              </w:rPr>
              <w:t>Doğrudan Deşarj</w:t>
            </w:r>
          </w:p>
        </w:tc>
        <w:tc>
          <w:tcPr>
            <w:tcW w:w="6090" w:type="dxa"/>
            <w:vAlign w:val="center"/>
          </w:tcPr>
          <w:p w14:paraId="25241F43" w14:textId="77777777" w:rsidR="00471203" w:rsidRDefault="005C143C" w:rsidP="0024730D">
            <w:pPr>
              <w:jc w:val="both"/>
              <w:rPr>
                <w:rFonts w:ascii="Times New Roman" w:hAnsi="Times New Roman" w:cs="Times New Roman"/>
              </w:rPr>
            </w:pPr>
            <w:r>
              <w:rPr>
                <w:rFonts w:ascii="Times New Roman" w:hAnsi="Times New Roman" w:cs="Times New Roman"/>
              </w:rPr>
              <w:t>İleri alt akım atık su arıtması olmaksızın, alıcı su kütlesine olan deşarj.</w:t>
            </w:r>
          </w:p>
        </w:tc>
      </w:tr>
      <w:tr w:rsidR="005C143C" w14:paraId="7532DD06" w14:textId="77777777" w:rsidTr="0024730D">
        <w:trPr>
          <w:jc w:val="center"/>
        </w:trPr>
        <w:tc>
          <w:tcPr>
            <w:tcW w:w="2972" w:type="dxa"/>
            <w:vAlign w:val="center"/>
          </w:tcPr>
          <w:p w14:paraId="4809C01B" w14:textId="77777777" w:rsidR="005C143C" w:rsidRDefault="005C143C" w:rsidP="0024730D">
            <w:pPr>
              <w:jc w:val="both"/>
              <w:rPr>
                <w:rFonts w:ascii="Times New Roman" w:hAnsi="Times New Roman" w:cs="Times New Roman"/>
              </w:rPr>
            </w:pPr>
            <w:r>
              <w:rPr>
                <w:rFonts w:ascii="Times New Roman" w:hAnsi="Times New Roman" w:cs="Times New Roman"/>
              </w:rPr>
              <w:t>Yenilebilir Ortak Ürünler</w:t>
            </w:r>
          </w:p>
        </w:tc>
        <w:tc>
          <w:tcPr>
            <w:tcW w:w="6090" w:type="dxa"/>
            <w:vAlign w:val="center"/>
          </w:tcPr>
          <w:p w14:paraId="391BA918" w14:textId="77777777" w:rsidR="005C143C" w:rsidRDefault="00596A5D" w:rsidP="0024730D">
            <w:pPr>
              <w:jc w:val="both"/>
              <w:rPr>
                <w:rFonts w:ascii="Times New Roman" w:hAnsi="Times New Roman" w:cs="Times New Roman"/>
              </w:rPr>
            </w:pPr>
            <w:r>
              <w:rPr>
                <w:rFonts w:ascii="Times New Roman" w:hAnsi="Times New Roman" w:cs="Times New Roman"/>
              </w:rPr>
              <w:t>G</w:t>
            </w:r>
            <w:r w:rsidR="005C143C">
              <w:rPr>
                <w:rFonts w:ascii="Times New Roman" w:hAnsi="Times New Roman" w:cs="Times New Roman"/>
              </w:rPr>
              <w:t>ıdada kullanılabilir</w:t>
            </w:r>
            <w:r>
              <w:rPr>
                <w:rFonts w:ascii="Times New Roman" w:hAnsi="Times New Roman" w:cs="Times New Roman"/>
              </w:rPr>
              <w:t xml:space="preserve"> ve insani tüketim amacı taşıyan ürünler.</w:t>
            </w:r>
          </w:p>
        </w:tc>
      </w:tr>
      <w:tr w:rsidR="00FF724B" w14:paraId="2835E811" w14:textId="77777777" w:rsidTr="0024730D">
        <w:trPr>
          <w:jc w:val="center"/>
        </w:trPr>
        <w:tc>
          <w:tcPr>
            <w:tcW w:w="2972" w:type="dxa"/>
            <w:vAlign w:val="center"/>
          </w:tcPr>
          <w:p w14:paraId="3B56312E" w14:textId="77777777" w:rsidR="00FF724B" w:rsidRDefault="00FF724B" w:rsidP="0024730D">
            <w:pPr>
              <w:jc w:val="both"/>
              <w:rPr>
                <w:rFonts w:ascii="Times New Roman" w:hAnsi="Times New Roman" w:cs="Times New Roman"/>
              </w:rPr>
            </w:pPr>
            <w:r>
              <w:rPr>
                <w:rFonts w:ascii="Times New Roman" w:hAnsi="Times New Roman" w:cs="Times New Roman"/>
              </w:rPr>
              <w:t>FDM Faaliyetleri</w:t>
            </w:r>
          </w:p>
        </w:tc>
        <w:tc>
          <w:tcPr>
            <w:tcW w:w="6090" w:type="dxa"/>
            <w:vAlign w:val="center"/>
          </w:tcPr>
          <w:p w14:paraId="74A9913E" w14:textId="77777777" w:rsidR="00FF724B" w:rsidRDefault="00FF724B" w:rsidP="0024730D">
            <w:pPr>
              <w:jc w:val="both"/>
              <w:rPr>
                <w:rFonts w:ascii="Times New Roman" w:hAnsi="Times New Roman" w:cs="Times New Roman"/>
              </w:rPr>
            </w:pPr>
            <w:r>
              <w:rPr>
                <w:rFonts w:ascii="Times New Roman" w:hAnsi="Times New Roman" w:cs="Times New Roman"/>
              </w:rPr>
              <w:t>Ek-6’da sunulan MET sonuçları kapsamındaki faaliyetler.</w:t>
            </w:r>
          </w:p>
        </w:tc>
      </w:tr>
      <w:tr w:rsidR="0092519E" w14:paraId="5A51BBA3" w14:textId="77777777" w:rsidTr="0024730D">
        <w:trPr>
          <w:jc w:val="center"/>
        </w:trPr>
        <w:tc>
          <w:tcPr>
            <w:tcW w:w="2972" w:type="dxa"/>
            <w:vAlign w:val="center"/>
          </w:tcPr>
          <w:p w14:paraId="3714A76C" w14:textId="77777777" w:rsidR="0092519E" w:rsidRDefault="0071338C" w:rsidP="0071338C">
            <w:pPr>
              <w:jc w:val="both"/>
              <w:rPr>
                <w:rFonts w:ascii="Times New Roman" w:hAnsi="Times New Roman" w:cs="Times New Roman"/>
              </w:rPr>
            </w:pPr>
            <w:r>
              <w:rPr>
                <w:rFonts w:ascii="Times New Roman" w:hAnsi="Times New Roman" w:cs="Times New Roman"/>
              </w:rPr>
              <w:t>Zararlı</w:t>
            </w:r>
            <w:r w:rsidR="005B32D1">
              <w:rPr>
                <w:rFonts w:ascii="Times New Roman" w:hAnsi="Times New Roman" w:cs="Times New Roman"/>
              </w:rPr>
              <w:t xml:space="preserve"> Madde</w:t>
            </w:r>
          </w:p>
        </w:tc>
        <w:tc>
          <w:tcPr>
            <w:tcW w:w="6090" w:type="dxa"/>
            <w:vAlign w:val="center"/>
          </w:tcPr>
          <w:p w14:paraId="2E67AC82" w14:textId="77777777" w:rsidR="0092519E" w:rsidRDefault="005B32D1" w:rsidP="0024730D">
            <w:pPr>
              <w:jc w:val="both"/>
              <w:rPr>
                <w:rFonts w:ascii="Times New Roman" w:hAnsi="Times New Roman" w:cs="Times New Roman"/>
              </w:rPr>
            </w:pPr>
            <w:r>
              <w:rPr>
                <w:rFonts w:ascii="Times New Roman" w:hAnsi="Times New Roman" w:cs="Times New Roman"/>
              </w:rPr>
              <w:t>Maddelerin ve Karışımların Sınıflandırılması, Etiketlenmesi ve Ambalajlanması Hakkında Yönetmelik (R.G. 11.12.2013, Sayı: 28848 Mükerrer) 4. Maddesinde tanımlanan maddeler ve karışımlar.</w:t>
            </w:r>
          </w:p>
        </w:tc>
      </w:tr>
      <w:tr w:rsidR="00370BA1" w14:paraId="72DCFEF0" w14:textId="77777777" w:rsidTr="0024730D">
        <w:trPr>
          <w:jc w:val="center"/>
        </w:trPr>
        <w:tc>
          <w:tcPr>
            <w:tcW w:w="2972" w:type="dxa"/>
            <w:vAlign w:val="center"/>
          </w:tcPr>
          <w:p w14:paraId="0C982FD7" w14:textId="77777777" w:rsidR="00370BA1" w:rsidRDefault="00370BA1" w:rsidP="0024730D">
            <w:pPr>
              <w:jc w:val="both"/>
              <w:rPr>
                <w:rFonts w:ascii="Times New Roman" w:hAnsi="Times New Roman" w:cs="Times New Roman"/>
              </w:rPr>
            </w:pPr>
            <w:r>
              <w:rPr>
                <w:rFonts w:ascii="Times New Roman" w:hAnsi="Times New Roman" w:cs="Times New Roman"/>
              </w:rPr>
              <w:t>Dolaylı Deşarj</w:t>
            </w:r>
          </w:p>
        </w:tc>
        <w:tc>
          <w:tcPr>
            <w:tcW w:w="6090" w:type="dxa"/>
            <w:vAlign w:val="center"/>
          </w:tcPr>
          <w:p w14:paraId="456FF37E" w14:textId="77777777" w:rsidR="00370BA1" w:rsidRDefault="00370BA1" w:rsidP="0024730D">
            <w:pPr>
              <w:jc w:val="both"/>
              <w:rPr>
                <w:rFonts w:ascii="Times New Roman" w:hAnsi="Times New Roman" w:cs="Times New Roman"/>
              </w:rPr>
            </w:pPr>
            <w:r>
              <w:rPr>
                <w:rFonts w:ascii="Times New Roman" w:hAnsi="Times New Roman" w:cs="Times New Roman"/>
              </w:rPr>
              <w:t>Doğrudan olmayan bir deşarj.</w:t>
            </w:r>
          </w:p>
        </w:tc>
      </w:tr>
      <w:tr w:rsidR="00D16060" w14:paraId="2057769B" w14:textId="77777777" w:rsidTr="0024730D">
        <w:trPr>
          <w:jc w:val="center"/>
        </w:trPr>
        <w:tc>
          <w:tcPr>
            <w:tcW w:w="2972" w:type="dxa"/>
            <w:vAlign w:val="center"/>
          </w:tcPr>
          <w:p w14:paraId="232D390C" w14:textId="7F61248F" w:rsidR="00D16060" w:rsidRDefault="00D16060" w:rsidP="0024730D">
            <w:pPr>
              <w:jc w:val="both"/>
              <w:rPr>
                <w:rFonts w:ascii="Times New Roman" w:hAnsi="Times New Roman" w:cs="Times New Roman"/>
              </w:rPr>
            </w:pPr>
            <w:r>
              <w:rPr>
                <w:rFonts w:ascii="Times New Roman" w:hAnsi="Times New Roman" w:cs="Times New Roman"/>
              </w:rPr>
              <w:t>Hassas Reseptör</w:t>
            </w:r>
          </w:p>
        </w:tc>
        <w:tc>
          <w:tcPr>
            <w:tcW w:w="6090" w:type="dxa"/>
            <w:vAlign w:val="center"/>
          </w:tcPr>
          <w:p w14:paraId="2746A093" w14:textId="77777777" w:rsidR="00D16060" w:rsidRDefault="00D16060" w:rsidP="0024730D">
            <w:pPr>
              <w:jc w:val="both"/>
              <w:rPr>
                <w:rFonts w:ascii="Times New Roman" w:hAnsi="Times New Roman" w:cs="Times New Roman"/>
              </w:rPr>
            </w:pPr>
            <w:r>
              <w:rPr>
                <w:rFonts w:ascii="Times New Roman" w:hAnsi="Times New Roman" w:cs="Times New Roman"/>
              </w:rPr>
              <w:t>Özel koruma gerektiren, aşağıdakiler gibi bir alan:</w:t>
            </w:r>
          </w:p>
          <w:p w14:paraId="5B8ADE66" w14:textId="77777777" w:rsidR="00D16060" w:rsidRDefault="00D16060" w:rsidP="0024730D">
            <w:pPr>
              <w:jc w:val="both"/>
              <w:rPr>
                <w:rFonts w:ascii="Times New Roman" w:hAnsi="Times New Roman" w:cs="Times New Roman"/>
              </w:rPr>
            </w:pPr>
            <w:r>
              <w:rPr>
                <w:rFonts w:ascii="Times New Roman" w:hAnsi="Times New Roman" w:cs="Times New Roman"/>
              </w:rPr>
              <w:t>-- yerleşim alanları;</w:t>
            </w:r>
          </w:p>
          <w:p w14:paraId="18F23E94" w14:textId="7982D554" w:rsidR="00D16060" w:rsidRDefault="00D16060" w:rsidP="0024730D">
            <w:pPr>
              <w:jc w:val="both"/>
              <w:rPr>
                <w:rFonts w:ascii="Times New Roman" w:hAnsi="Times New Roman" w:cs="Times New Roman"/>
              </w:rPr>
            </w:pPr>
            <w:r>
              <w:rPr>
                <w:rFonts w:ascii="Times New Roman" w:hAnsi="Times New Roman" w:cs="Times New Roman"/>
              </w:rPr>
              <w:t>-- insan faaliyetlerinin (örn. komşu iş yerleri, okullar, çocuk yuvaları, dinlenme alanları, hastaneler veya huzurevleri) gerçekleştirildiği alanlar.</w:t>
            </w:r>
          </w:p>
        </w:tc>
      </w:tr>
      <w:tr w:rsidR="00D16060" w14:paraId="621FA539" w14:textId="77777777" w:rsidTr="0024730D">
        <w:trPr>
          <w:jc w:val="center"/>
        </w:trPr>
        <w:tc>
          <w:tcPr>
            <w:tcW w:w="2972" w:type="dxa"/>
            <w:vAlign w:val="center"/>
          </w:tcPr>
          <w:p w14:paraId="566DCCAF" w14:textId="29590387" w:rsidR="00D16060" w:rsidRDefault="00D16060" w:rsidP="0024730D">
            <w:pPr>
              <w:jc w:val="both"/>
              <w:rPr>
                <w:rFonts w:ascii="Times New Roman" w:hAnsi="Times New Roman" w:cs="Times New Roman"/>
              </w:rPr>
            </w:pPr>
            <w:r>
              <w:rPr>
                <w:rFonts w:ascii="Times New Roman" w:hAnsi="Times New Roman" w:cs="Times New Roman"/>
              </w:rPr>
              <w:t>Yüksek Önem Arz Eden Maddeler</w:t>
            </w:r>
          </w:p>
        </w:tc>
        <w:tc>
          <w:tcPr>
            <w:tcW w:w="6090" w:type="dxa"/>
            <w:vAlign w:val="center"/>
          </w:tcPr>
          <w:p w14:paraId="57C600F5" w14:textId="465A1BE8" w:rsidR="00D16060" w:rsidRDefault="00D16060" w:rsidP="0024730D">
            <w:pPr>
              <w:jc w:val="both"/>
              <w:rPr>
                <w:rFonts w:ascii="Times New Roman" w:hAnsi="Times New Roman" w:cs="Times New Roman"/>
              </w:rPr>
            </w:pPr>
            <w:r>
              <w:rPr>
                <w:rFonts w:ascii="Times New Roman" w:hAnsi="Times New Roman" w:cs="Times New Roman"/>
              </w:rPr>
              <w:t>Kimyasalların Kaydı, Değerlendirilmesi, İzni ve Kısıtlanması Hakkında Yönetmelik (R.G. 23.06.2017, Sayı: 30105 Mükerrer) uyarınca zararlı olarak sınıflandırma kriterlerini karşılayan maddeler.</w:t>
            </w:r>
          </w:p>
        </w:tc>
      </w:tr>
    </w:tbl>
    <w:p w14:paraId="41482B48" w14:textId="77777777" w:rsidR="00BA2B0C" w:rsidRDefault="00BA2B0C" w:rsidP="00BA34D0">
      <w:pPr>
        <w:spacing w:after="120" w:line="276" w:lineRule="auto"/>
        <w:jc w:val="both"/>
        <w:rPr>
          <w:rFonts w:ascii="Times New Roman" w:hAnsi="Times New Roman" w:cs="Times New Roman"/>
          <w:sz w:val="24"/>
          <w:szCs w:val="24"/>
        </w:rPr>
      </w:pPr>
    </w:p>
    <w:p w14:paraId="08B12D6B" w14:textId="77777777" w:rsidR="00D017A1" w:rsidRPr="009600E3" w:rsidRDefault="00D017A1" w:rsidP="00D017A1">
      <w:pPr>
        <w:pStyle w:val="Balk2"/>
        <w:spacing w:before="0" w:after="120" w:line="276" w:lineRule="auto"/>
        <w:jc w:val="both"/>
        <w:rPr>
          <w:rFonts w:cs="Times New Roman"/>
          <w:b/>
          <w:bCs/>
          <w:szCs w:val="24"/>
        </w:rPr>
      </w:pPr>
      <w:r>
        <w:rPr>
          <w:rFonts w:cs="Times New Roman"/>
          <w:b/>
          <w:bCs/>
          <w:szCs w:val="24"/>
        </w:rPr>
        <w:lastRenderedPageBreak/>
        <w:t>(6) Gıda, İçecek ve Süt Ürünleri Sektörleri</w:t>
      </w:r>
    </w:p>
    <w:tbl>
      <w:tblPr>
        <w:tblStyle w:val="TabloKlavuzu"/>
        <w:tblW w:w="0" w:type="auto"/>
        <w:jc w:val="center"/>
        <w:tblLook w:val="04A0" w:firstRow="1" w:lastRow="0" w:firstColumn="1" w:lastColumn="0" w:noHBand="0" w:noVBand="1"/>
      </w:tblPr>
      <w:tblGrid>
        <w:gridCol w:w="2972"/>
        <w:gridCol w:w="6090"/>
      </w:tblGrid>
      <w:tr w:rsidR="00D017A1" w:rsidRPr="00BA34D0" w14:paraId="744D882E" w14:textId="77777777" w:rsidTr="0024730D">
        <w:trPr>
          <w:tblHeader/>
          <w:jc w:val="center"/>
        </w:trPr>
        <w:tc>
          <w:tcPr>
            <w:tcW w:w="2972" w:type="dxa"/>
            <w:vAlign w:val="center"/>
          </w:tcPr>
          <w:p w14:paraId="1028278F" w14:textId="77777777" w:rsidR="00D017A1" w:rsidRPr="00BA34D0" w:rsidRDefault="00D017A1"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6F824993" w14:textId="77777777" w:rsidR="00D017A1" w:rsidRPr="00BA34D0" w:rsidRDefault="00D017A1" w:rsidP="0024730D">
            <w:pPr>
              <w:jc w:val="center"/>
              <w:rPr>
                <w:rFonts w:ascii="Times New Roman" w:hAnsi="Times New Roman" w:cs="Times New Roman"/>
                <w:b/>
                <w:bCs/>
              </w:rPr>
            </w:pPr>
            <w:r>
              <w:rPr>
                <w:rFonts w:ascii="Times New Roman" w:hAnsi="Times New Roman" w:cs="Times New Roman"/>
                <w:b/>
                <w:bCs/>
              </w:rPr>
              <w:t>Tanım</w:t>
            </w:r>
          </w:p>
        </w:tc>
      </w:tr>
      <w:tr w:rsidR="00D017A1" w14:paraId="16B7768A" w14:textId="77777777" w:rsidTr="0024730D">
        <w:trPr>
          <w:jc w:val="center"/>
        </w:trPr>
        <w:tc>
          <w:tcPr>
            <w:tcW w:w="2972" w:type="dxa"/>
            <w:vAlign w:val="center"/>
          </w:tcPr>
          <w:p w14:paraId="5D6E4F9C" w14:textId="77777777" w:rsidR="00D017A1" w:rsidRDefault="0039552E" w:rsidP="0024730D">
            <w:pPr>
              <w:jc w:val="both"/>
              <w:rPr>
                <w:rFonts w:ascii="Times New Roman" w:hAnsi="Times New Roman" w:cs="Times New Roman"/>
              </w:rPr>
            </w:pPr>
            <w:r>
              <w:rPr>
                <w:rFonts w:ascii="Times New Roman" w:hAnsi="Times New Roman" w:cs="Times New Roman"/>
              </w:rPr>
              <w:t>Baca Gazı Emisyonları</w:t>
            </w:r>
          </w:p>
        </w:tc>
        <w:tc>
          <w:tcPr>
            <w:tcW w:w="6090" w:type="dxa"/>
            <w:vAlign w:val="center"/>
          </w:tcPr>
          <w:p w14:paraId="6BF0FA19" w14:textId="77777777" w:rsidR="00D017A1" w:rsidRDefault="0039552E" w:rsidP="0024730D">
            <w:pPr>
              <w:jc w:val="both"/>
              <w:rPr>
                <w:rFonts w:ascii="Times New Roman" w:hAnsi="Times New Roman" w:cs="Times New Roman"/>
              </w:rPr>
            </w:pPr>
            <w:r>
              <w:rPr>
                <w:rFonts w:ascii="Times New Roman" w:hAnsi="Times New Roman" w:cs="Times New Roman"/>
              </w:rPr>
              <w:t>Kirleticilerin, herhangi bir türdeki kanal, boru, baca vb. yoluyla havaya emisyonları.</w:t>
            </w:r>
          </w:p>
        </w:tc>
      </w:tr>
      <w:tr w:rsidR="00D017A1" w14:paraId="1F90156C" w14:textId="77777777" w:rsidTr="0024730D">
        <w:trPr>
          <w:jc w:val="center"/>
        </w:trPr>
        <w:tc>
          <w:tcPr>
            <w:tcW w:w="2972" w:type="dxa"/>
            <w:vAlign w:val="center"/>
          </w:tcPr>
          <w:p w14:paraId="174B3D83" w14:textId="77777777" w:rsidR="00D017A1" w:rsidRDefault="0039552E" w:rsidP="0024730D">
            <w:pPr>
              <w:jc w:val="both"/>
              <w:rPr>
                <w:rFonts w:ascii="Times New Roman" w:hAnsi="Times New Roman" w:cs="Times New Roman"/>
              </w:rPr>
            </w:pPr>
            <w:r>
              <w:rPr>
                <w:rFonts w:ascii="Times New Roman" w:hAnsi="Times New Roman" w:cs="Times New Roman"/>
              </w:rPr>
              <w:t>hL</w:t>
            </w:r>
          </w:p>
        </w:tc>
        <w:tc>
          <w:tcPr>
            <w:tcW w:w="6090" w:type="dxa"/>
            <w:vAlign w:val="center"/>
          </w:tcPr>
          <w:p w14:paraId="3C8398F7" w14:textId="77777777" w:rsidR="00D017A1" w:rsidRDefault="003F4E6A" w:rsidP="0024730D">
            <w:pPr>
              <w:jc w:val="both"/>
              <w:rPr>
                <w:rFonts w:ascii="Times New Roman" w:hAnsi="Times New Roman" w:cs="Times New Roman"/>
              </w:rPr>
            </w:pPr>
            <w:r>
              <w:rPr>
                <w:rFonts w:ascii="Times New Roman" w:hAnsi="Times New Roman" w:cs="Times New Roman"/>
              </w:rPr>
              <w:t>Hektolitre (100 L’ye eşittir)</w:t>
            </w:r>
          </w:p>
        </w:tc>
      </w:tr>
      <w:tr w:rsidR="003F4E6A" w14:paraId="1D951720" w14:textId="77777777" w:rsidTr="0024730D">
        <w:trPr>
          <w:jc w:val="center"/>
        </w:trPr>
        <w:tc>
          <w:tcPr>
            <w:tcW w:w="2972" w:type="dxa"/>
            <w:vAlign w:val="center"/>
          </w:tcPr>
          <w:p w14:paraId="759293F7" w14:textId="77777777" w:rsidR="003F4E6A" w:rsidRDefault="003F4E6A" w:rsidP="003F4E6A">
            <w:pPr>
              <w:jc w:val="both"/>
              <w:rPr>
                <w:rFonts w:ascii="Times New Roman" w:hAnsi="Times New Roman" w:cs="Times New Roman"/>
              </w:rPr>
            </w:pPr>
            <w:r>
              <w:rPr>
                <w:rFonts w:ascii="Times New Roman" w:hAnsi="Times New Roman" w:cs="Times New Roman"/>
              </w:rPr>
              <w:t>Yeni Tesis</w:t>
            </w:r>
          </w:p>
        </w:tc>
        <w:tc>
          <w:tcPr>
            <w:tcW w:w="6090" w:type="dxa"/>
            <w:vAlign w:val="center"/>
          </w:tcPr>
          <w:p w14:paraId="134372BA" w14:textId="35A325A5" w:rsidR="003F4E6A" w:rsidRDefault="00D16060" w:rsidP="003F4E6A">
            <w:pPr>
              <w:jc w:val="both"/>
              <w:rPr>
                <w:rFonts w:ascii="Times New Roman" w:hAnsi="Times New Roman" w:cs="Times New Roman"/>
              </w:rPr>
            </w:pPr>
            <w:r w:rsidRPr="0082590D">
              <w:rPr>
                <w:rFonts w:ascii="Times New Roman" w:hAnsi="Times New Roman" w:cs="Times New Roman"/>
              </w:rPr>
              <w:t>Bu Tebliğin yürürlüğe girdi</w:t>
            </w:r>
            <w:r>
              <w:rPr>
                <w:rFonts w:ascii="Times New Roman" w:hAnsi="Times New Roman" w:cs="Times New Roman"/>
              </w:rPr>
              <w:t>kten sonra, işletme sahasında kurulan bir tesis veya işletmenin mevcut temelleri üzerinde tamamen yenilenmiş bir tesis.</w:t>
            </w:r>
          </w:p>
        </w:tc>
      </w:tr>
      <w:tr w:rsidR="00D017A1" w14:paraId="6C689378" w14:textId="77777777" w:rsidTr="0024730D">
        <w:trPr>
          <w:jc w:val="center"/>
        </w:trPr>
        <w:tc>
          <w:tcPr>
            <w:tcW w:w="2972" w:type="dxa"/>
            <w:vAlign w:val="center"/>
          </w:tcPr>
          <w:p w14:paraId="7BA4DA06" w14:textId="77777777" w:rsidR="00D017A1" w:rsidRDefault="002102FB" w:rsidP="0024730D">
            <w:pPr>
              <w:jc w:val="both"/>
              <w:rPr>
                <w:rFonts w:ascii="Times New Roman" w:hAnsi="Times New Roman" w:cs="Times New Roman"/>
              </w:rPr>
            </w:pPr>
            <w:r>
              <w:rPr>
                <w:rFonts w:ascii="Times New Roman" w:hAnsi="Times New Roman" w:cs="Times New Roman"/>
              </w:rPr>
              <w:t>Kalıntı/Atık</w:t>
            </w:r>
          </w:p>
        </w:tc>
        <w:tc>
          <w:tcPr>
            <w:tcW w:w="6090" w:type="dxa"/>
            <w:vAlign w:val="center"/>
          </w:tcPr>
          <w:p w14:paraId="7E4D093E" w14:textId="77777777" w:rsidR="00D017A1" w:rsidRDefault="0093550F" w:rsidP="0024730D">
            <w:pPr>
              <w:jc w:val="both"/>
              <w:rPr>
                <w:rFonts w:ascii="Times New Roman" w:hAnsi="Times New Roman" w:cs="Times New Roman"/>
              </w:rPr>
            </w:pPr>
            <w:r>
              <w:rPr>
                <w:rFonts w:ascii="Times New Roman" w:hAnsi="Times New Roman" w:cs="Times New Roman"/>
              </w:rPr>
              <w:t>Ek-7’de sunulan MET sonuçları kapsamındaki faaliyetler tarafından oluşturulan madde veya nesne, atık veya yan ürün olarak.</w:t>
            </w:r>
          </w:p>
        </w:tc>
      </w:tr>
      <w:tr w:rsidR="00D017A1" w14:paraId="1F7A4D65" w14:textId="77777777" w:rsidTr="0024730D">
        <w:trPr>
          <w:jc w:val="center"/>
        </w:trPr>
        <w:tc>
          <w:tcPr>
            <w:tcW w:w="2972" w:type="dxa"/>
            <w:vAlign w:val="center"/>
          </w:tcPr>
          <w:p w14:paraId="02EE5DDB" w14:textId="77777777" w:rsidR="00D017A1" w:rsidRDefault="00EE5D1B" w:rsidP="0024730D">
            <w:pPr>
              <w:jc w:val="both"/>
              <w:rPr>
                <w:rFonts w:ascii="Times New Roman" w:hAnsi="Times New Roman" w:cs="Times New Roman"/>
              </w:rPr>
            </w:pPr>
            <w:r>
              <w:rPr>
                <w:rFonts w:ascii="Times New Roman" w:hAnsi="Times New Roman" w:cs="Times New Roman"/>
              </w:rPr>
              <w:t>Hassas Reseptör</w:t>
            </w:r>
          </w:p>
        </w:tc>
        <w:tc>
          <w:tcPr>
            <w:tcW w:w="6090" w:type="dxa"/>
            <w:vAlign w:val="center"/>
          </w:tcPr>
          <w:p w14:paraId="0D934665" w14:textId="77777777" w:rsidR="00EE5D1B" w:rsidRDefault="00EE5D1B" w:rsidP="00EE5D1B">
            <w:pPr>
              <w:jc w:val="both"/>
              <w:rPr>
                <w:rFonts w:ascii="Times New Roman" w:hAnsi="Times New Roman" w:cs="Times New Roman"/>
              </w:rPr>
            </w:pPr>
            <w:r>
              <w:rPr>
                <w:rFonts w:ascii="Times New Roman" w:hAnsi="Times New Roman" w:cs="Times New Roman"/>
              </w:rPr>
              <w:t>Özel koruma gerektiren, aşağıdakiler gibi bir alan:</w:t>
            </w:r>
          </w:p>
          <w:p w14:paraId="66004E22" w14:textId="77777777" w:rsidR="00EE5D1B" w:rsidRDefault="00EE5D1B" w:rsidP="00EE5D1B">
            <w:pPr>
              <w:jc w:val="both"/>
              <w:rPr>
                <w:rFonts w:ascii="Times New Roman" w:hAnsi="Times New Roman" w:cs="Times New Roman"/>
              </w:rPr>
            </w:pPr>
            <w:r>
              <w:rPr>
                <w:rFonts w:ascii="Times New Roman" w:hAnsi="Times New Roman" w:cs="Times New Roman"/>
              </w:rPr>
              <w:t>-- yerleşim alanları;</w:t>
            </w:r>
          </w:p>
          <w:p w14:paraId="34C25D19" w14:textId="77777777" w:rsidR="00D017A1" w:rsidRDefault="00EE5D1B" w:rsidP="00EE5D1B">
            <w:pPr>
              <w:jc w:val="both"/>
              <w:rPr>
                <w:rFonts w:ascii="Times New Roman" w:hAnsi="Times New Roman" w:cs="Times New Roman"/>
              </w:rPr>
            </w:pPr>
            <w:r>
              <w:rPr>
                <w:rFonts w:ascii="Times New Roman" w:hAnsi="Times New Roman" w:cs="Times New Roman"/>
              </w:rPr>
              <w:t>-- insan faaliyetlerinin (örn. komşu iş yerleri, okullar, çocuk yuvaları, dinlenme alanları, hastaneler veya huzurevleri) gerçekleştirildiği alanlar.</w:t>
            </w:r>
          </w:p>
        </w:tc>
      </w:tr>
    </w:tbl>
    <w:p w14:paraId="31F7CFD8" w14:textId="77777777" w:rsidR="00D017A1" w:rsidRDefault="00D017A1" w:rsidP="00BA34D0">
      <w:pPr>
        <w:spacing w:after="120" w:line="276" w:lineRule="auto"/>
        <w:jc w:val="both"/>
        <w:rPr>
          <w:rFonts w:ascii="Times New Roman" w:hAnsi="Times New Roman" w:cs="Times New Roman"/>
          <w:sz w:val="24"/>
          <w:szCs w:val="24"/>
        </w:rPr>
      </w:pPr>
    </w:p>
    <w:p w14:paraId="0AED5522" w14:textId="77777777" w:rsidR="00274BAC" w:rsidRPr="009600E3" w:rsidRDefault="00274BAC" w:rsidP="00274BAC">
      <w:pPr>
        <w:pStyle w:val="Balk2"/>
        <w:spacing w:before="0" w:after="120" w:line="276" w:lineRule="auto"/>
        <w:jc w:val="both"/>
        <w:rPr>
          <w:rFonts w:cs="Times New Roman"/>
          <w:b/>
          <w:bCs/>
          <w:szCs w:val="24"/>
        </w:rPr>
      </w:pPr>
      <w:r>
        <w:rPr>
          <w:rFonts w:cs="Times New Roman"/>
          <w:b/>
          <w:bCs/>
          <w:szCs w:val="24"/>
        </w:rPr>
        <w:t>(7) Entansif Kümes Hayvanı ve Domuz Besiciliği</w:t>
      </w:r>
    </w:p>
    <w:tbl>
      <w:tblPr>
        <w:tblStyle w:val="TabloKlavuzu"/>
        <w:tblW w:w="0" w:type="auto"/>
        <w:jc w:val="center"/>
        <w:tblLook w:val="04A0" w:firstRow="1" w:lastRow="0" w:firstColumn="1" w:lastColumn="0" w:noHBand="0" w:noVBand="1"/>
      </w:tblPr>
      <w:tblGrid>
        <w:gridCol w:w="2972"/>
        <w:gridCol w:w="6090"/>
      </w:tblGrid>
      <w:tr w:rsidR="007632B8" w:rsidRPr="00BA34D0" w14:paraId="5E86501F" w14:textId="77777777" w:rsidTr="0024730D">
        <w:trPr>
          <w:tblHeader/>
          <w:jc w:val="center"/>
        </w:trPr>
        <w:tc>
          <w:tcPr>
            <w:tcW w:w="2972" w:type="dxa"/>
            <w:vAlign w:val="center"/>
          </w:tcPr>
          <w:p w14:paraId="4DE7ADA7" w14:textId="77777777" w:rsidR="007632B8" w:rsidRPr="00BA34D0" w:rsidRDefault="007632B8"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4BFDB144" w14:textId="77777777" w:rsidR="007632B8" w:rsidRPr="00BA34D0" w:rsidRDefault="007632B8" w:rsidP="0024730D">
            <w:pPr>
              <w:jc w:val="center"/>
              <w:rPr>
                <w:rFonts w:ascii="Times New Roman" w:hAnsi="Times New Roman" w:cs="Times New Roman"/>
                <w:b/>
                <w:bCs/>
              </w:rPr>
            </w:pPr>
            <w:r>
              <w:rPr>
                <w:rFonts w:ascii="Times New Roman" w:hAnsi="Times New Roman" w:cs="Times New Roman"/>
                <w:b/>
                <w:bCs/>
              </w:rPr>
              <w:t>Tanım</w:t>
            </w:r>
          </w:p>
        </w:tc>
      </w:tr>
      <w:tr w:rsidR="007632B8" w14:paraId="083F853F" w14:textId="77777777" w:rsidTr="0024730D">
        <w:trPr>
          <w:jc w:val="center"/>
        </w:trPr>
        <w:tc>
          <w:tcPr>
            <w:tcW w:w="2972" w:type="dxa"/>
            <w:vAlign w:val="center"/>
          </w:tcPr>
          <w:p w14:paraId="61BCADF8" w14:textId="77777777" w:rsidR="007632B8" w:rsidRDefault="005B51D3" w:rsidP="0024730D">
            <w:pPr>
              <w:jc w:val="both"/>
              <w:rPr>
                <w:rFonts w:ascii="Times New Roman" w:hAnsi="Times New Roman" w:cs="Times New Roman"/>
              </w:rPr>
            </w:pPr>
            <w:r>
              <w:rPr>
                <w:rFonts w:ascii="Times New Roman" w:hAnsi="Times New Roman" w:cs="Times New Roman"/>
              </w:rPr>
              <w:t>Serbest Yemleme</w:t>
            </w:r>
          </w:p>
        </w:tc>
        <w:tc>
          <w:tcPr>
            <w:tcW w:w="6090" w:type="dxa"/>
            <w:vAlign w:val="center"/>
          </w:tcPr>
          <w:p w14:paraId="1E6AF4D6" w14:textId="77777777" w:rsidR="007632B8" w:rsidRDefault="0058564F" w:rsidP="0024730D">
            <w:pPr>
              <w:jc w:val="both"/>
              <w:rPr>
                <w:rFonts w:ascii="Times New Roman" w:hAnsi="Times New Roman" w:cs="Times New Roman"/>
              </w:rPr>
            </w:pPr>
            <w:r>
              <w:rPr>
                <w:rFonts w:ascii="Times New Roman" w:hAnsi="Times New Roman" w:cs="Times New Roman"/>
              </w:rPr>
              <w:t>Yem veya suya serbest erişimin sağlanması; böylece alınan miktarın, biyolojik ihtiyaçlarına göre hayvan tarafından düzenlenmesinin mümkün olması.</w:t>
            </w:r>
          </w:p>
        </w:tc>
      </w:tr>
      <w:tr w:rsidR="007632B8" w14:paraId="34433588" w14:textId="77777777" w:rsidTr="0024730D">
        <w:trPr>
          <w:jc w:val="center"/>
        </w:trPr>
        <w:tc>
          <w:tcPr>
            <w:tcW w:w="2972" w:type="dxa"/>
            <w:vAlign w:val="center"/>
          </w:tcPr>
          <w:p w14:paraId="07E76AA7" w14:textId="77777777" w:rsidR="007632B8" w:rsidRDefault="0058564F" w:rsidP="0024730D">
            <w:pPr>
              <w:jc w:val="both"/>
              <w:rPr>
                <w:rFonts w:ascii="Times New Roman" w:hAnsi="Times New Roman" w:cs="Times New Roman"/>
              </w:rPr>
            </w:pPr>
            <w:r>
              <w:rPr>
                <w:rFonts w:ascii="Times New Roman" w:hAnsi="Times New Roman" w:cs="Times New Roman"/>
              </w:rPr>
              <w:t>Hayvan Alanı</w:t>
            </w:r>
          </w:p>
        </w:tc>
        <w:tc>
          <w:tcPr>
            <w:tcW w:w="6090" w:type="dxa"/>
            <w:vAlign w:val="center"/>
          </w:tcPr>
          <w:p w14:paraId="53F334F3" w14:textId="77777777" w:rsidR="007632B8" w:rsidRDefault="0058564F" w:rsidP="0024730D">
            <w:pPr>
              <w:jc w:val="both"/>
              <w:rPr>
                <w:rFonts w:ascii="Times New Roman" w:hAnsi="Times New Roman" w:cs="Times New Roman"/>
              </w:rPr>
            </w:pPr>
            <w:r>
              <w:rPr>
                <w:rFonts w:ascii="Times New Roman" w:hAnsi="Times New Roman" w:cs="Times New Roman"/>
              </w:rPr>
              <w:t>Tesisin maksimum kapasitesi göz önünde bulundurularak, barınak sisteminde hayvan başına sağlanan alan.</w:t>
            </w:r>
          </w:p>
        </w:tc>
      </w:tr>
      <w:tr w:rsidR="007632B8" w14:paraId="19EA887C" w14:textId="77777777" w:rsidTr="0024730D">
        <w:trPr>
          <w:jc w:val="center"/>
        </w:trPr>
        <w:tc>
          <w:tcPr>
            <w:tcW w:w="2972" w:type="dxa"/>
            <w:vAlign w:val="center"/>
          </w:tcPr>
          <w:p w14:paraId="1169616D" w14:textId="77777777" w:rsidR="007632B8" w:rsidRDefault="0058564F" w:rsidP="0024730D">
            <w:pPr>
              <w:jc w:val="both"/>
              <w:rPr>
                <w:rFonts w:ascii="Times New Roman" w:hAnsi="Times New Roman" w:cs="Times New Roman"/>
              </w:rPr>
            </w:pPr>
            <w:r>
              <w:rPr>
                <w:rFonts w:ascii="Times New Roman" w:hAnsi="Times New Roman" w:cs="Times New Roman"/>
              </w:rPr>
              <w:t>Koruyucu Toprak İşleme</w:t>
            </w:r>
          </w:p>
        </w:tc>
        <w:tc>
          <w:tcPr>
            <w:tcW w:w="6090" w:type="dxa"/>
            <w:vAlign w:val="center"/>
          </w:tcPr>
          <w:p w14:paraId="12CB3CDC" w14:textId="77777777" w:rsidR="007632B8" w:rsidRDefault="0058564F" w:rsidP="0024730D">
            <w:pPr>
              <w:jc w:val="both"/>
              <w:rPr>
                <w:rFonts w:ascii="Times New Roman" w:hAnsi="Times New Roman" w:cs="Times New Roman"/>
              </w:rPr>
            </w:pPr>
            <w:r>
              <w:rPr>
                <w:rFonts w:ascii="Times New Roman" w:hAnsi="Times New Roman" w:cs="Times New Roman"/>
              </w:rPr>
              <w:t xml:space="preserve">Toprak erozyonunu ve akıntıyı azaltmak için, sonraki mahsulü ekmeden önce ve sonra, </w:t>
            </w:r>
            <w:r w:rsidR="004325A8">
              <w:rPr>
                <w:rFonts w:ascii="Times New Roman" w:hAnsi="Times New Roman" w:cs="Times New Roman"/>
              </w:rPr>
              <w:t>arazide önceki yılın ürün artıklarını (mısır sapı veya buğday artığı gibi) bırakan toprak işlemeye yönelik herhangi bir yöntem.</w:t>
            </w:r>
          </w:p>
        </w:tc>
      </w:tr>
      <w:tr w:rsidR="007632B8" w14:paraId="2612AED3" w14:textId="77777777" w:rsidTr="0024730D">
        <w:trPr>
          <w:jc w:val="center"/>
        </w:trPr>
        <w:tc>
          <w:tcPr>
            <w:tcW w:w="2972" w:type="dxa"/>
            <w:vAlign w:val="center"/>
          </w:tcPr>
          <w:p w14:paraId="5582B83D" w14:textId="77777777" w:rsidR="007632B8" w:rsidRDefault="004325A8" w:rsidP="0024730D">
            <w:pPr>
              <w:jc w:val="both"/>
              <w:rPr>
                <w:rFonts w:ascii="Times New Roman" w:hAnsi="Times New Roman" w:cs="Times New Roman"/>
              </w:rPr>
            </w:pPr>
            <w:r>
              <w:rPr>
                <w:rFonts w:ascii="Times New Roman" w:hAnsi="Times New Roman" w:cs="Times New Roman"/>
              </w:rPr>
              <w:t>Mevcut Çiftlik</w:t>
            </w:r>
          </w:p>
        </w:tc>
        <w:tc>
          <w:tcPr>
            <w:tcW w:w="6090" w:type="dxa"/>
            <w:vAlign w:val="center"/>
          </w:tcPr>
          <w:p w14:paraId="12E2E909" w14:textId="77777777" w:rsidR="007632B8" w:rsidRDefault="004325A8" w:rsidP="0024730D">
            <w:pPr>
              <w:jc w:val="both"/>
              <w:rPr>
                <w:rFonts w:ascii="Times New Roman" w:hAnsi="Times New Roman" w:cs="Times New Roman"/>
              </w:rPr>
            </w:pPr>
            <w:r>
              <w:rPr>
                <w:rFonts w:ascii="Times New Roman" w:hAnsi="Times New Roman" w:cs="Times New Roman"/>
              </w:rPr>
              <w:t>Yeni çiftlik olmayan bir çiftlik.</w:t>
            </w:r>
          </w:p>
        </w:tc>
      </w:tr>
      <w:tr w:rsidR="007632B8" w14:paraId="2334B46D" w14:textId="77777777" w:rsidTr="0024730D">
        <w:trPr>
          <w:jc w:val="center"/>
        </w:trPr>
        <w:tc>
          <w:tcPr>
            <w:tcW w:w="2972" w:type="dxa"/>
            <w:vAlign w:val="center"/>
          </w:tcPr>
          <w:p w14:paraId="35C9A31A" w14:textId="77777777" w:rsidR="007632B8" w:rsidRDefault="004325A8" w:rsidP="0024730D">
            <w:pPr>
              <w:jc w:val="both"/>
              <w:rPr>
                <w:rFonts w:ascii="Times New Roman" w:hAnsi="Times New Roman" w:cs="Times New Roman"/>
              </w:rPr>
            </w:pPr>
            <w:r>
              <w:rPr>
                <w:rFonts w:ascii="Times New Roman" w:hAnsi="Times New Roman" w:cs="Times New Roman"/>
              </w:rPr>
              <w:t>Çiftlik</w:t>
            </w:r>
          </w:p>
        </w:tc>
        <w:tc>
          <w:tcPr>
            <w:tcW w:w="6090" w:type="dxa"/>
            <w:vAlign w:val="center"/>
          </w:tcPr>
          <w:p w14:paraId="1382FD1B" w14:textId="77777777" w:rsidR="007632B8" w:rsidRDefault="00575B6F" w:rsidP="0024730D">
            <w:pPr>
              <w:jc w:val="both"/>
              <w:rPr>
                <w:rFonts w:ascii="Times New Roman" w:hAnsi="Times New Roman" w:cs="Times New Roman"/>
              </w:rPr>
            </w:pPr>
            <w:r>
              <w:rPr>
                <w:rFonts w:ascii="Times New Roman" w:hAnsi="Times New Roman" w:cs="Times New Roman"/>
              </w:rPr>
              <w:t>Domuzların veya kümes hayvanlarının yetiştirildiği tesis.</w:t>
            </w:r>
          </w:p>
        </w:tc>
      </w:tr>
      <w:tr w:rsidR="007632B8" w14:paraId="60234DDF" w14:textId="77777777" w:rsidTr="0024730D">
        <w:trPr>
          <w:jc w:val="center"/>
        </w:trPr>
        <w:tc>
          <w:tcPr>
            <w:tcW w:w="2972" w:type="dxa"/>
            <w:vAlign w:val="center"/>
          </w:tcPr>
          <w:p w14:paraId="37FA753E" w14:textId="77777777" w:rsidR="007632B8" w:rsidRDefault="00575B6F" w:rsidP="0024730D">
            <w:pPr>
              <w:jc w:val="both"/>
              <w:rPr>
                <w:rFonts w:ascii="Times New Roman" w:hAnsi="Times New Roman" w:cs="Times New Roman"/>
              </w:rPr>
            </w:pPr>
            <w:r>
              <w:rPr>
                <w:rFonts w:ascii="Times New Roman" w:hAnsi="Times New Roman" w:cs="Times New Roman"/>
              </w:rPr>
              <w:t>Hayvansal Gübre</w:t>
            </w:r>
          </w:p>
        </w:tc>
        <w:tc>
          <w:tcPr>
            <w:tcW w:w="6090" w:type="dxa"/>
            <w:vAlign w:val="center"/>
          </w:tcPr>
          <w:p w14:paraId="1E70957B" w14:textId="77777777" w:rsidR="007632B8" w:rsidRDefault="00575B6F" w:rsidP="0024730D">
            <w:pPr>
              <w:jc w:val="both"/>
              <w:rPr>
                <w:rFonts w:ascii="Times New Roman" w:hAnsi="Times New Roman" w:cs="Times New Roman"/>
              </w:rPr>
            </w:pPr>
            <w:r>
              <w:rPr>
                <w:rFonts w:ascii="Times New Roman" w:hAnsi="Times New Roman" w:cs="Times New Roman"/>
              </w:rPr>
              <w:t>Bulamaç halinde ve/veya katı hayvansal gübre.</w:t>
            </w:r>
          </w:p>
        </w:tc>
      </w:tr>
      <w:tr w:rsidR="00575B6F" w14:paraId="61C16065" w14:textId="77777777" w:rsidTr="0024730D">
        <w:trPr>
          <w:jc w:val="center"/>
        </w:trPr>
        <w:tc>
          <w:tcPr>
            <w:tcW w:w="2972" w:type="dxa"/>
            <w:vAlign w:val="center"/>
          </w:tcPr>
          <w:p w14:paraId="456F5B13" w14:textId="77777777" w:rsidR="00575B6F" w:rsidRDefault="00575B6F" w:rsidP="0024730D">
            <w:pPr>
              <w:jc w:val="both"/>
              <w:rPr>
                <w:rFonts w:ascii="Times New Roman" w:hAnsi="Times New Roman" w:cs="Times New Roman"/>
              </w:rPr>
            </w:pPr>
            <w:r>
              <w:rPr>
                <w:rFonts w:ascii="Times New Roman" w:hAnsi="Times New Roman" w:cs="Times New Roman"/>
              </w:rPr>
              <w:t>Yeni Çiftlik</w:t>
            </w:r>
          </w:p>
        </w:tc>
        <w:tc>
          <w:tcPr>
            <w:tcW w:w="6090" w:type="dxa"/>
            <w:vAlign w:val="center"/>
          </w:tcPr>
          <w:p w14:paraId="5C05B36E" w14:textId="303237EA" w:rsidR="00575B6F" w:rsidRDefault="00D16060" w:rsidP="0024730D">
            <w:pPr>
              <w:jc w:val="both"/>
              <w:rPr>
                <w:rFonts w:ascii="Times New Roman" w:hAnsi="Times New Roman" w:cs="Times New Roman"/>
              </w:rPr>
            </w:pPr>
            <w:r w:rsidRPr="0082590D">
              <w:rPr>
                <w:rFonts w:ascii="Times New Roman" w:hAnsi="Times New Roman" w:cs="Times New Roman"/>
              </w:rPr>
              <w:t>Bu Tebliğin yürürlüğe girdi</w:t>
            </w:r>
            <w:r>
              <w:rPr>
                <w:rFonts w:ascii="Times New Roman" w:hAnsi="Times New Roman" w:cs="Times New Roman"/>
              </w:rPr>
              <w:t xml:space="preserve">kten sonra, işletme sahasında </w:t>
            </w:r>
            <w:r w:rsidR="00575B6F">
              <w:rPr>
                <w:rFonts w:ascii="Times New Roman" w:hAnsi="Times New Roman" w:cs="Times New Roman"/>
              </w:rPr>
              <w:t>kurulan bir çiftlik veya tamamen yenilenmiş bir çiftlik.</w:t>
            </w:r>
          </w:p>
        </w:tc>
      </w:tr>
      <w:tr w:rsidR="00053D7C" w14:paraId="06BA3D57" w14:textId="77777777" w:rsidTr="0024730D">
        <w:trPr>
          <w:jc w:val="center"/>
        </w:trPr>
        <w:tc>
          <w:tcPr>
            <w:tcW w:w="2972" w:type="dxa"/>
            <w:vAlign w:val="center"/>
          </w:tcPr>
          <w:p w14:paraId="529BEFF0" w14:textId="77777777" w:rsidR="00053D7C" w:rsidRDefault="00053D7C" w:rsidP="00053D7C">
            <w:pPr>
              <w:jc w:val="both"/>
              <w:rPr>
                <w:rFonts w:ascii="Times New Roman" w:hAnsi="Times New Roman" w:cs="Times New Roman"/>
              </w:rPr>
            </w:pPr>
            <w:r>
              <w:rPr>
                <w:rFonts w:ascii="Times New Roman" w:hAnsi="Times New Roman" w:cs="Times New Roman"/>
              </w:rPr>
              <w:t>Yeni Tesis</w:t>
            </w:r>
          </w:p>
        </w:tc>
        <w:tc>
          <w:tcPr>
            <w:tcW w:w="6090" w:type="dxa"/>
            <w:vAlign w:val="center"/>
          </w:tcPr>
          <w:p w14:paraId="43509D95" w14:textId="07BBF127" w:rsidR="00053D7C" w:rsidRDefault="00D16060" w:rsidP="00053D7C">
            <w:pPr>
              <w:jc w:val="both"/>
              <w:rPr>
                <w:rFonts w:ascii="Times New Roman" w:hAnsi="Times New Roman" w:cs="Times New Roman"/>
              </w:rPr>
            </w:pPr>
            <w:r w:rsidRPr="0082590D">
              <w:rPr>
                <w:rFonts w:ascii="Times New Roman" w:hAnsi="Times New Roman" w:cs="Times New Roman"/>
              </w:rPr>
              <w:t>Bu Tebliğin yürürlüğe girdi</w:t>
            </w:r>
            <w:r>
              <w:rPr>
                <w:rFonts w:ascii="Times New Roman" w:hAnsi="Times New Roman" w:cs="Times New Roman"/>
              </w:rPr>
              <w:t>kten sonra, işletme sahasında kurulan bir tesis veya işletmenin mevcut temelleri üzerinde tamamen yenilenmiş bir tesis.</w:t>
            </w:r>
          </w:p>
        </w:tc>
      </w:tr>
      <w:tr w:rsidR="007632B8" w14:paraId="7980AFAD" w14:textId="77777777" w:rsidTr="0024730D">
        <w:trPr>
          <w:jc w:val="center"/>
        </w:trPr>
        <w:tc>
          <w:tcPr>
            <w:tcW w:w="2972" w:type="dxa"/>
            <w:vAlign w:val="center"/>
          </w:tcPr>
          <w:p w14:paraId="31CFEEC6" w14:textId="77777777" w:rsidR="007632B8" w:rsidRDefault="007632B8" w:rsidP="0024730D">
            <w:pPr>
              <w:jc w:val="both"/>
              <w:rPr>
                <w:rFonts w:ascii="Times New Roman" w:hAnsi="Times New Roman" w:cs="Times New Roman"/>
              </w:rPr>
            </w:pPr>
            <w:r>
              <w:rPr>
                <w:rFonts w:ascii="Times New Roman" w:hAnsi="Times New Roman" w:cs="Times New Roman"/>
              </w:rPr>
              <w:t>Tesis</w:t>
            </w:r>
          </w:p>
        </w:tc>
        <w:tc>
          <w:tcPr>
            <w:tcW w:w="6090" w:type="dxa"/>
            <w:vAlign w:val="center"/>
          </w:tcPr>
          <w:p w14:paraId="1107F64D" w14:textId="77777777" w:rsidR="007632B8" w:rsidRDefault="004663A1" w:rsidP="0024730D">
            <w:pPr>
              <w:jc w:val="both"/>
              <w:rPr>
                <w:rFonts w:ascii="Times New Roman" w:hAnsi="Times New Roman" w:cs="Times New Roman"/>
              </w:rPr>
            </w:pPr>
            <w:r>
              <w:rPr>
                <w:rFonts w:ascii="Times New Roman" w:hAnsi="Times New Roman" w:cs="Times New Roman"/>
              </w:rPr>
              <w:t>Çiftliği, şu proseslerden veya faaliyetlerden birinin yürütüldüğü bir bölümü: hayvan barındırma, hayvansal gübre depolama, hayvansal gübre işleme. Tesis, tek bir binadan ve/veya prosesleri veya faaliyetleri yürütmek için gerekli ekipmanlardan oluşur.</w:t>
            </w:r>
          </w:p>
        </w:tc>
      </w:tr>
      <w:tr w:rsidR="007632B8" w14:paraId="3E51502E" w14:textId="77777777" w:rsidTr="0024730D">
        <w:trPr>
          <w:jc w:val="center"/>
        </w:trPr>
        <w:tc>
          <w:tcPr>
            <w:tcW w:w="2972" w:type="dxa"/>
            <w:vAlign w:val="center"/>
          </w:tcPr>
          <w:p w14:paraId="58E07988" w14:textId="77777777" w:rsidR="007632B8" w:rsidRDefault="004663A1" w:rsidP="0024730D">
            <w:pPr>
              <w:jc w:val="both"/>
              <w:rPr>
                <w:rFonts w:ascii="Times New Roman" w:hAnsi="Times New Roman" w:cs="Times New Roman"/>
              </w:rPr>
            </w:pPr>
            <w:r>
              <w:rPr>
                <w:rFonts w:ascii="Times New Roman" w:hAnsi="Times New Roman" w:cs="Times New Roman"/>
              </w:rPr>
              <w:t>Hassas Reseptör</w:t>
            </w:r>
          </w:p>
        </w:tc>
        <w:tc>
          <w:tcPr>
            <w:tcW w:w="6090" w:type="dxa"/>
            <w:vAlign w:val="center"/>
          </w:tcPr>
          <w:p w14:paraId="36A32FA6" w14:textId="77777777" w:rsidR="007632B8" w:rsidRDefault="004663A1" w:rsidP="0024730D">
            <w:pPr>
              <w:jc w:val="both"/>
              <w:rPr>
                <w:rFonts w:ascii="Times New Roman" w:hAnsi="Times New Roman" w:cs="Times New Roman"/>
              </w:rPr>
            </w:pPr>
            <w:r>
              <w:rPr>
                <w:rFonts w:ascii="Times New Roman" w:hAnsi="Times New Roman" w:cs="Times New Roman"/>
              </w:rPr>
              <w:t>Rahatsız edici durumlara karşı özel bir koruma gerektiren, aşağıdaki gibi alanlar:</w:t>
            </w:r>
          </w:p>
          <w:p w14:paraId="2D67B398" w14:textId="60BC9CC2" w:rsidR="004663A1" w:rsidRDefault="003526A3" w:rsidP="0024730D">
            <w:pPr>
              <w:jc w:val="both"/>
              <w:rPr>
                <w:rFonts w:ascii="Times New Roman" w:hAnsi="Times New Roman" w:cs="Times New Roman"/>
              </w:rPr>
            </w:pPr>
            <w:r>
              <w:rPr>
                <w:rFonts w:ascii="Times New Roman" w:hAnsi="Times New Roman" w:cs="Times New Roman"/>
              </w:rPr>
              <w:t>-</w:t>
            </w:r>
            <w:r w:rsidR="004663A1">
              <w:rPr>
                <w:rFonts w:ascii="Times New Roman" w:hAnsi="Times New Roman" w:cs="Times New Roman"/>
              </w:rPr>
              <w:t>Yerleşim Alanları.</w:t>
            </w:r>
          </w:p>
          <w:p w14:paraId="7E61A236" w14:textId="0CABBFF8" w:rsidR="004663A1" w:rsidRDefault="003526A3" w:rsidP="0024730D">
            <w:pPr>
              <w:jc w:val="both"/>
              <w:rPr>
                <w:rFonts w:ascii="Times New Roman" w:hAnsi="Times New Roman" w:cs="Times New Roman"/>
              </w:rPr>
            </w:pPr>
            <w:r>
              <w:rPr>
                <w:rFonts w:ascii="Times New Roman" w:hAnsi="Times New Roman" w:cs="Times New Roman"/>
              </w:rPr>
              <w:t>-</w:t>
            </w:r>
            <w:r w:rsidR="004663A1">
              <w:rPr>
                <w:rFonts w:ascii="Times New Roman" w:hAnsi="Times New Roman" w:cs="Times New Roman"/>
              </w:rPr>
              <w:t xml:space="preserve">İnsan faaliyetlerinin (örn. </w:t>
            </w:r>
            <w:r w:rsidR="0074747D">
              <w:rPr>
                <w:rFonts w:ascii="Times New Roman" w:hAnsi="Times New Roman" w:cs="Times New Roman"/>
              </w:rPr>
              <w:t>okullar, çocuk yuvaları, dinlenme alanları, hastaneler veya huzurevleri</w:t>
            </w:r>
            <w:r w:rsidR="004663A1">
              <w:rPr>
                <w:rFonts w:ascii="Times New Roman" w:hAnsi="Times New Roman" w:cs="Times New Roman"/>
              </w:rPr>
              <w:t>) gerçekleştirildiği alanlar</w:t>
            </w:r>
            <w:r w:rsidR="0074747D">
              <w:rPr>
                <w:rFonts w:ascii="Times New Roman" w:hAnsi="Times New Roman" w:cs="Times New Roman"/>
              </w:rPr>
              <w:t>.</w:t>
            </w:r>
          </w:p>
          <w:p w14:paraId="0298E336" w14:textId="2348CE72" w:rsidR="0074747D" w:rsidRDefault="0074747D" w:rsidP="0024730D">
            <w:pPr>
              <w:jc w:val="both"/>
              <w:rPr>
                <w:rFonts w:ascii="Times New Roman" w:hAnsi="Times New Roman" w:cs="Times New Roman"/>
              </w:rPr>
            </w:pPr>
            <w:r>
              <w:rPr>
                <w:rFonts w:ascii="Times New Roman" w:hAnsi="Times New Roman" w:cs="Times New Roman"/>
              </w:rPr>
              <w:t>-Hassas ekosistemler/yaşam alanları.</w:t>
            </w:r>
          </w:p>
        </w:tc>
      </w:tr>
      <w:tr w:rsidR="007632B8" w14:paraId="12ABA47D" w14:textId="77777777" w:rsidTr="0024730D">
        <w:trPr>
          <w:jc w:val="center"/>
        </w:trPr>
        <w:tc>
          <w:tcPr>
            <w:tcW w:w="2972" w:type="dxa"/>
            <w:vAlign w:val="center"/>
          </w:tcPr>
          <w:p w14:paraId="507DCC14" w14:textId="77777777" w:rsidR="007632B8" w:rsidRDefault="00CE1131" w:rsidP="0024730D">
            <w:pPr>
              <w:jc w:val="both"/>
              <w:rPr>
                <w:rFonts w:ascii="Times New Roman" w:hAnsi="Times New Roman" w:cs="Times New Roman"/>
              </w:rPr>
            </w:pPr>
            <w:r>
              <w:rPr>
                <w:rFonts w:ascii="Times New Roman" w:hAnsi="Times New Roman" w:cs="Times New Roman"/>
              </w:rPr>
              <w:t>Bulamaç</w:t>
            </w:r>
          </w:p>
        </w:tc>
        <w:tc>
          <w:tcPr>
            <w:tcW w:w="6090" w:type="dxa"/>
            <w:vAlign w:val="center"/>
          </w:tcPr>
          <w:p w14:paraId="050B042B" w14:textId="77777777" w:rsidR="007632B8" w:rsidRDefault="00CE1131" w:rsidP="0024730D">
            <w:pPr>
              <w:jc w:val="both"/>
              <w:rPr>
                <w:rFonts w:ascii="Times New Roman" w:hAnsi="Times New Roman" w:cs="Times New Roman"/>
              </w:rPr>
            </w:pPr>
            <w:r>
              <w:rPr>
                <w:rFonts w:ascii="Times New Roman" w:hAnsi="Times New Roman" w:cs="Times New Roman"/>
              </w:rPr>
              <w:t>Dışkı ve idrar</w:t>
            </w:r>
            <w:r w:rsidR="005A15BC">
              <w:rPr>
                <w:rFonts w:ascii="Times New Roman" w:hAnsi="Times New Roman" w:cs="Times New Roman"/>
              </w:rPr>
              <w:t>ın</w:t>
            </w:r>
            <w:r>
              <w:rPr>
                <w:rFonts w:ascii="Times New Roman" w:hAnsi="Times New Roman" w:cs="Times New Roman"/>
              </w:rPr>
              <w:t>, bir miktar altlık materyali ve bir miktar su ile karıştırılarak veya karıştırılmayarak</w:t>
            </w:r>
            <w:r w:rsidR="005A15BC">
              <w:rPr>
                <w:rFonts w:ascii="Times New Roman" w:hAnsi="Times New Roman" w:cs="Times New Roman"/>
              </w:rPr>
              <w:t xml:space="preserve"> elde edilen</w:t>
            </w:r>
            <w:r>
              <w:rPr>
                <w:rFonts w:ascii="Times New Roman" w:hAnsi="Times New Roman" w:cs="Times New Roman"/>
              </w:rPr>
              <w:t xml:space="preserve">, yer çekimi altında akan ve pompalanabilen yaklaşık %10’a kadar kuru madde içeriğine sahip </w:t>
            </w:r>
            <w:r w:rsidR="005A15BC">
              <w:rPr>
                <w:rFonts w:ascii="Times New Roman" w:hAnsi="Times New Roman" w:cs="Times New Roman"/>
              </w:rPr>
              <w:t>sıvı bir gübre.</w:t>
            </w:r>
          </w:p>
        </w:tc>
      </w:tr>
      <w:tr w:rsidR="007632B8" w14:paraId="140D5FE9" w14:textId="77777777" w:rsidTr="0024730D">
        <w:trPr>
          <w:jc w:val="center"/>
        </w:trPr>
        <w:tc>
          <w:tcPr>
            <w:tcW w:w="2972" w:type="dxa"/>
            <w:vAlign w:val="center"/>
          </w:tcPr>
          <w:p w14:paraId="5DD21218" w14:textId="77777777" w:rsidR="007632B8" w:rsidRDefault="005A15BC" w:rsidP="0024730D">
            <w:pPr>
              <w:jc w:val="both"/>
              <w:rPr>
                <w:rFonts w:ascii="Times New Roman" w:hAnsi="Times New Roman" w:cs="Times New Roman"/>
              </w:rPr>
            </w:pPr>
            <w:r>
              <w:rPr>
                <w:rFonts w:ascii="Times New Roman" w:hAnsi="Times New Roman" w:cs="Times New Roman"/>
              </w:rPr>
              <w:lastRenderedPageBreak/>
              <w:t>Katı Hayvansal Gübre</w:t>
            </w:r>
          </w:p>
        </w:tc>
        <w:tc>
          <w:tcPr>
            <w:tcW w:w="6090" w:type="dxa"/>
            <w:vAlign w:val="center"/>
          </w:tcPr>
          <w:p w14:paraId="5F0D15E2" w14:textId="77777777" w:rsidR="007632B8" w:rsidRDefault="005A15BC" w:rsidP="0024730D">
            <w:pPr>
              <w:jc w:val="both"/>
              <w:rPr>
                <w:rFonts w:ascii="Times New Roman" w:hAnsi="Times New Roman" w:cs="Times New Roman"/>
              </w:rPr>
            </w:pPr>
            <w:r>
              <w:rPr>
                <w:rFonts w:ascii="Times New Roman" w:hAnsi="Times New Roman" w:cs="Times New Roman"/>
              </w:rPr>
              <w:t>Dışkı veya pislikler ve idrarın, altlık materyali ile karıştırılarak veya karıştırılmayarak elde edilen, yer çekimi altında akmayan ve pompalanamayan katı bir gübre.</w:t>
            </w:r>
          </w:p>
        </w:tc>
      </w:tr>
      <w:tr w:rsidR="007632B8" w14:paraId="75486329" w14:textId="77777777" w:rsidTr="0024730D">
        <w:trPr>
          <w:jc w:val="center"/>
        </w:trPr>
        <w:tc>
          <w:tcPr>
            <w:tcW w:w="2972" w:type="dxa"/>
            <w:vAlign w:val="center"/>
          </w:tcPr>
          <w:p w14:paraId="60253B32" w14:textId="77777777" w:rsidR="007632B8" w:rsidRDefault="0056210C" w:rsidP="0024730D">
            <w:pPr>
              <w:jc w:val="both"/>
              <w:rPr>
                <w:rFonts w:ascii="Times New Roman" w:hAnsi="Times New Roman" w:cs="Times New Roman"/>
              </w:rPr>
            </w:pPr>
            <w:r>
              <w:rPr>
                <w:rFonts w:ascii="Times New Roman" w:hAnsi="Times New Roman" w:cs="Times New Roman"/>
              </w:rPr>
              <w:t>Atık Su</w:t>
            </w:r>
          </w:p>
        </w:tc>
        <w:tc>
          <w:tcPr>
            <w:tcW w:w="6090" w:type="dxa"/>
            <w:vAlign w:val="center"/>
          </w:tcPr>
          <w:p w14:paraId="0F5CC6EE" w14:textId="77777777" w:rsidR="007632B8" w:rsidRDefault="0056210C" w:rsidP="0024730D">
            <w:pPr>
              <w:jc w:val="both"/>
              <w:rPr>
                <w:rFonts w:ascii="Times New Roman" w:hAnsi="Times New Roman" w:cs="Times New Roman"/>
              </w:rPr>
            </w:pPr>
            <w:r>
              <w:rPr>
                <w:rFonts w:ascii="Times New Roman" w:hAnsi="Times New Roman" w:cs="Times New Roman"/>
              </w:rPr>
              <w:t>Çoğunlukla hayvansal gübre ile karışan yağmur akıntı suyu, yüzeylerin (örn. yerler) ve ekipmanın temizlenmesinden kaynaklanan su ve hava temizleme sistemlerinin çalışmasından kaynaklanan su. Bu, kirli su olarak da ifade edilebilir.</w:t>
            </w:r>
          </w:p>
        </w:tc>
      </w:tr>
    </w:tbl>
    <w:p w14:paraId="75111FC4" w14:textId="77777777" w:rsidR="00274BAC" w:rsidRDefault="00274BAC" w:rsidP="00BA34D0">
      <w:pPr>
        <w:spacing w:after="120" w:line="276" w:lineRule="auto"/>
        <w:jc w:val="both"/>
        <w:rPr>
          <w:rFonts w:ascii="Times New Roman" w:hAnsi="Times New Roman" w:cs="Times New Roman"/>
          <w:sz w:val="24"/>
          <w:szCs w:val="24"/>
        </w:rPr>
      </w:pPr>
    </w:p>
    <w:p w14:paraId="2CFC966B" w14:textId="77777777" w:rsidR="00486508" w:rsidRPr="007B6467" w:rsidRDefault="00486508" w:rsidP="00486508">
      <w:pPr>
        <w:pStyle w:val="Balk3"/>
        <w:spacing w:before="0" w:after="120" w:line="276" w:lineRule="auto"/>
        <w:jc w:val="both"/>
        <w:rPr>
          <w:rFonts w:cs="Times New Roman"/>
          <w:b w:val="0"/>
          <w:bCs/>
          <w:szCs w:val="24"/>
        </w:rPr>
      </w:pPr>
      <w:r>
        <w:rPr>
          <w:rFonts w:cs="Times New Roman"/>
          <w:bCs/>
          <w:szCs w:val="24"/>
        </w:rPr>
        <w:t>(7.1) Belirli Hayvan Kategorileri İçin Tanımlar</w:t>
      </w:r>
    </w:p>
    <w:tbl>
      <w:tblPr>
        <w:tblStyle w:val="TabloKlavuzu"/>
        <w:tblW w:w="0" w:type="auto"/>
        <w:jc w:val="center"/>
        <w:tblLook w:val="04A0" w:firstRow="1" w:lastRow="0" w:firstColumn="1" w:lastColumn="0" w:noHBand="0" w:noVBand="1"/>
      </w:tblPr>
      <w:tblGrid>
        <w:gridCol w:w="2972"/>
        <w:gridCol w:w="6090"/>
      </w:tblGrid>
      <w:tr w:rsidR="004115E4" w:rsidRPr="00BA34D0" w14:paraId="3049F13B" w14:textId="77777777" w:rsidTr="0024730D">
        <w:trPr>
          <w:tblHeader/>
          <w:jc w:val="center"/>
        </w:trPr>
        <w:tc>
          <w:tcPr>
            <w:tcW w:w="2972" w:type="dxa"/>
            <w:vAlign w:val="center"/>
          </w:tcPr>
          <w:p w14:paraId="71235638" w14:textId="77777777" w:rsidR="004115E4" w:rsidRPr="00BA34D0" w:rsidRDefault="004115E4"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73AF89E4" w14:textId="77777777" w:rsidR="004115E4" w:rsidRPr="00BA34D0" w:rsidRDefault="004115E4" w:rsidP="0024730D">
            <w:pPr>
              <w:jc w:val="center"/>
              <w:rPr>
                <w:rFonts w:ascii="Times New Roman" w:hAnsi="Times New Roman" w:cs="Times New Roman"/>
                <w:b/>
                <w:bCs/>
              </w:rPr>
            </w:pPr>
            <w:r>
              <w:rPr>
                <w:rFonts w:ascii="Times New Roman" w:hAnsi="Times New Roman" w:cs="Times New Roman"/>
                <w:b/>
                <w:bCs/>
              </w:rPr>
              <w:t>Tanım</w:t>
            </w:r>
          </w:p>
        </w:tc>
      </w:tr>
      <w:tr w:rsidR="004115E4" w14:paraId="64C898E4" w14:textId="77777777" w:rsidTr="0024730D">
        <w:trPr>
          <w:jc w:val="center"/>
        </w:trPr>
        <w:tc>
          <w:tcPr>
            <w:tcW w:w="2972" w:type="dxa"/>
            <w:vAlign w:val="center"/>
          </w:tcPr>
          <w:p w14:paraId="1FB83296" w14:textId="77777777" w:rsidR="004115E4" w:rsidRDefault="00D201FF" w:rsidP="0024730D">
            <w:pPr>
              <w:jc w:val="both"/>
              <w:rPr>
                <w:rFonts w:ascii="Times New Roman" w:hAnsi="Times New Roman" w:cs="Times New Roman"/>
              </w:rPr>
            </w:pPr>
            <w:r>
              <w:rPr>
                <w:rFonts w:ascii="Times New Roman" w:hAnsi="Times New Roman" w:cs="Times New Roman"/>
              </w:rPr>
              <w:t>Damızlık Hayvan</w:t>
            </w:r>
          </w:p>
        </w:tc>
        <w:tc>
          <w:tcPr>
            <w:tcW w:w="6090" w:type="dxa"/>
            <w:vAlign w:val="center"/>
          </w:tcPr>
          <w:p w14:paraId="78796946" w14:textId="77777777" w:rsidR="004115E4" w:rsidRDefault="00D201FF" w:rsidP="0024730D">
            <w:pPr>
              <w:jc w:val="both"/>
              <w:rPr>
                <w:rFonts w:ascii="Times New Roman" w:hAnsi="Times New Roman" w:cs="Times New Roman"/>
              </w:rPr>
            </w:pPr>
            <w:r>
              <w:rPr>
                <w:rFonts w:ascii="Times New Roman" w:hAnsi="Times New Roman" w:cs="Times New Roman"/>
              </w:rPr>
              <w:t>Yumurtlama için yumurta bırakmak üzere tutulan damızlık hayvan (erkekler ve dişiler).</w:t>
            </w:r>
          </w:p>
        </w:tc>
      </w:tr>
      <w:tr w:rsidR="004115E4" w14:paraId="7232A84B" w14:textId="77777777" w:rsidTr="0024730D">
        <w:trPr>
          <w:jc w:val="center"/>
        </w:trPr>
        <w:tc>
          <w:tcPr>
            <w:tcW w:w="2972" w:type="dxa"/>
            <w:vAlign w:val="center"/>
          </w:tcPr>
          <w:p w14:paraId="7E9E4368" w14:textId="77777777" w:rsidR="004115E4" w:rsidRDefault="00D201FF" w:rsidP="0024730D">
            <w:pPr>
              <w:jc w:val="both"/>
              <w:rPr>
                <w:rFonts w:ascii="Times New Roman" w:hAnsi="Times New Roman" w:cs="Times New Roman"/>
              </w:rPr>
            </w:pPr>
            <w:r>
              <w:rPr>
                <w:rFonts w:ascii="Times New Roman" w:hAnsi="Times New Roman" w:cs="Times New Roman"/>
              </w:rPr>
              <w:t>Etlik Piliç</w:t>
            </w:r>
          </w:p>
        </w:tc>
        <w:tc>
          <w:tcPr>
            <w:tcW w:w="6090" w:type="dxa"/>
            <w:vAlign w:val="center"/>
          </w:tcPr>
          <w:p w14:paraId="188CF228" w14:textId="77777777" w:rsidR="004115E4" w:rsidRDefault="00D201FF" w:rsidP="0024730D">
            <w:pPr>
              <w:jc w:val="both"/>
              <w:rPr>
                <w:rFonts w:ascii="Times New Roman" w:hAnsi="Times New Roman" w:cs="Times New Roman"/>
              </w:rPr>
            </w:pPr>
            <w:r>
              <w:rPr>
                <w:rFonts w:ascii="Times New Roman" w:hAnsi="Times New Roman" w:cs="Times New Roman"/>
              </w:rPr>
              <w:t>Et üretimi için yetiştirilen tavuklar.</w:t>
            </w:r>
          </w:p>
        </w:tc>
      </w:tr>
      <w:tr w:rsidR="004115E4" w14:paraId="659AF8A2" w14:textId="77777777" w:rsidTr="0024730D">
        <w:trPr>
          <w:jc w:val="center"/>
        </w:trPr>
        <w:tc>
          <w:tcPr>
            <w:tcW w:w="2972" w:type="dxa"/>
            <w:vAlign w:val="center"/>
          </w:tcPr>
          <w:p w14:paraId="1C6F3531" w14:textId="77777777" w:rsidR="004115E4" w:rsidRDefault="00D201FF" w:rsidP="0024730D">
            <w:pPr>
              <w:jc w:val="both"/>
              <w:rPr>
                <w:rFonts w:ascii="Times New Roman" w:hAnsi="Times New Roman" w:cs="Times New Roman"/>
              </w:rPr>
            </w:pPr>
            <w:r>
              <w:rPr>
                <w:rFonts w:ascii="Times New Roman" w:hAnsi="Times New Roman" w:cs="Times New Roman"/>
              </w:rPr>
              <w:t>Damızlık Etlik Piliç</w:t>
            </w:r>
          </w:p>
        </w:tc>
        <w:tc>
          <w:tcPr>
            <w:tcW w:w="6090" w:type="dxa"/>
            <w:vAlign w:val="center"/>
          </w:tcPr>
          <w:p w14:paraId="71585AA9" w14:textId="77777777" w:rsidR="004115E4" w:rsidRDefault="00D201FF" w:rsidP="0024730D">
            <w:pPr>
              <w:jc w:val="both"/>
              <w:rPr>
                <w:rFonts w:ascii="Times New Roman" w:hAnsi="Times New Roman" w:cs="Times New Roman"/>
              </w:rPr>
            </w:pPr>
            <w:r>
              <w:rPr>
                <w:rFonts w:ascii="Times New Roman" w:hAnsi="Times New Roman" w:cs="Times New Roman"/>
              </w:rPr>
              <w:t>Etlik piliç üretimi için yumurta bırakmak üzere tutulan damızlık hayvan (erkekler ve dişiler).</w:t>
            </w:r>
          </w:p>
        </w:tc>
      </w:tr>
      <w:tr w:rsidR="00D201FF" w14:paraId="59A9804A" w14:textId="77777777" w:rsidTr="0024730D">
        <w:trPr>
          <w:jc w:val="center"/>
        </w:trPr>
        <w:tc>
          <w:tcPr>
            <w:tcW w:w="2972" w:type="dxa"/>
            <w:vAlign w:val="center"/>
          </w:tcPr>
          <w:p w14:paraId="054146C8" w14:textId="77777777" w:rsidR="00D201FF" w:rsidRDefault="00111762" w:rsidP="0024730D">
            <w:pPr>
              <w:jc w:val="both"/>
              <w:rPr>
                <w:rFonts w:ascii="Times New Roman" w:hAnsi="Times New Roman" w:cs="Times New Roman"/>
              </w:rPr>
            </w:pPr>
            <w:r>
              <w:rPr>
                <w:rFonts w:ascii="Times New Roman" w:hAnsi="Times New Roman" w:cs="Times New Roman"/>
              </w:rPr>
              <w:t>Yavrulayan Dişi Domuzlar</w:t>
            </w:r>
          </w:p>
        </w:tc>
        <w:tc>
          <w:tcPr>
            <w:tcW w:w="6090" w:type="dxa"/>
            <w:vAlign w:val="center"/>
          </w:tcPr>
          <w:p w14:paraId="344517A9" w14:textId="77777777" w:rsidR="00D201FF" w:rsidRDefault="00F13AFA" w:rsidP="0024730D">
            <w:pPr>
              <w:jc w:val="both"/>
              <w:rPr>
                <w:rFonts w:ascii="Times New Roman" w:hAnsi="Times New Roman" w:cs="Times New Roman"/>
              </w:rPr>
            </w:pPr>
            <w:r>
              <w:rPr>
                <w:rFonts w:ascii="Times New Roman" w:hAnsi="Times New Roman" w:cs="Times New Roman"/>
              </w:rPr>
              <w:t>Perinatal süresi ve yavru domuzların sütten kesilmesi arasındaki dişi domuzlar.</w:t>
            </w:r>
          </w:p>
        </w:tc>
      </w:tr>
      <w:tr w:rsidR="00D201FF" w14:paraId="44C68F47" w14:textId="77777777" w:rsidTr="0024730D">
        <w:trPr>
          <w:jc w:val="center"/>
        </w:trPr>
        <w:tc>
          <w:tcPr>
            <w:tcW w:w="2972" w:type="dxa"/>
            <w:vAlign w:val="center"/>
          </w:tcPr>
          <w:p w14:paraId="56AB852D" w14:textId="77777777" w:rsidR="00D201FF" w:rsidRDefault="00111762" w:rsidP="0024730D">
            <w:pPr>
              <w:jc w:val="both"/>
              <w:rPr>
                <w:rFonts w:ascii="Times New Roman" w:hAnsi="Times New Roman" w:cs="Times New Roman"/>
              </w:rPr>
            </w:pPr>
            <w:r>
              <w:rPr>
                <w:rFonts w:ascii="Times New Roman" w:hAnsi="Times New Roman" w:cs="Times New Roman"/>
              </w:rPr>
              <w:t>Besi Domuzları</w:t>
            </w:r>
          </w:p>
        </w:tc>
        <w:tc>
          <w:tcPr>
            <w:tcW w:w="6090" w:type="dxa"/>
            <w:vAlign w:val="center"/>
          </w:tcPr>
          <w:p w14:paraId="0D20F794" w14:textId="77777777" w:rsidR="00D201FF" w:rsidRDefault="00F13AFA" w:rsidP="0024730D">
            <w:pPr>
              <w:jc w:val="both"/>
              <w:rPr>
                <w:rFonts w:ascii="Times New Roman" w:hAnsi="Times New Roman" w:cs="Times New Roman"/>
              </w:rPr>
            </w:pPr>
            <w:r>
              <w:rPr>
                <w:rFonts w:ascii="Times New Roman" w:hAnsi="Times New Roman" w:cs="Times New Roman"/>
              </w:rPr>
              <w:t>Üretim domuzları genel olarak, 30 kg canlı ağırlıktan kesime veya ilk çiftleşmeye kadar yetiştirilir. Bu kategori; büyüme dönemindeki, kesime hazır ve genç dişi domuzları içerir.</w:t>
            </w:r>
          </w:p>
        </w:tc>
      </w:tr>
      <w:tr w:rsidR="00D201FF" w14:paraId="4CA685BB" w14:textId="77777777" w:rsidTr="0024730D">
        <w:trPr>
          <w:jc w:val="center"/>
        </w:trPr>
        <w:tc>
          <w:tcPr>
            <w:tcW w:w="2972" w:type="dxa"/>
            <w:vAlign w:val="center"/>
          </w:tcPr>
          <w:p w14:paraId="10737E92" w14:textId="77777777" w:rsidR="00D201FF" w:rsidRDefault="00111762" w:rsidP="0024730D">
            <w:pPr>
              <w:jc w:val="both"/>
              <w:rPr>
                <w:rFonts w:ascii="Times New Roman" w:hAnsi="Times New Roman" w:cs="Times New Roman"/>
              </w:rPr>
            </w:pPr>
            <w:r>
              <w:rPr>
                <w:rFonts w:ascii="Times New Roman" w:hAnsi="Times New Roman" w:cs="Times New Roman"/>
              </w:rPr>
              <w:t>Gebe Dişi Domuzlar</w:t>
            </w:r>
          </w:p>
        </w:tc>
        <w:tc>
          <w:tcPr>
            <w:tcW w:w="6090" w:type="dxa"/>
            <w:vAlign w:val="center"/>
          </w:tcPr>
          <w:p w14:paraId="39CB7078" w14:textId="77777777" w:rsidR="00D201FF" w:rsidRDefault="00111762" w:rsidP="0024730D">
            <w:pPr>
              <w:jc w:val="both"/>
              <w:rPr>
                <w:rFonts w:ascii="Times New Roman" w:hAnsi="Times New Roman" w:cs="Times New Roman"/>
              </w:rPr>
            </w:pPr>
            <w:r>
              <w:rPr>
                <w:rFonts w:ascii="Times New Roman" w:hAnsi="Times New Roman" w:cs="Times New Roman"/>
              </w:rPr>
              <w:t>Genç dişi domuzlar da dahil, gebe dişi domuzlar.</w:t>
            </w:r>
          </w:p>
        </w:tc>
      </w:tr>
      <w:tr w:rsidR="00D201FF" w14:paraId="295ACF95" w14:textId="77777777" w:rsidTr="0024730D">
        <w:trPr>
          <w:jc w:val="center"/>
        </w:trPr>
        <w:tc>
          <w:tcPr>
            <w:tcW w:w="2972" w:type="dxa"/>
            <w:vAlign w:val="center"/>
          </w:tcPr>
          <w:p w14:paraId="2B65447B" w14:textId="77777777" w:rsidR="00D201FF" w:rsidRDefault="00111762" w:rsidP="0024730D">
            <w:pPr>
              <w:jc w:val="both"/>
              <w:rPr>
                <w:rFonts w:ascii="Times New Roman" w:hAnsi="Times New Roman" w:cs="Times New Roman"/>
              </w:rPr>
            </w:pPr>
            <w:r>
              <w:rPr>
                <w:rFonts w:ascii="Times New Roman" w:hAnsi="Times New Roman" w:cs="Times New Roman"/>
              </w:rPr>
              <w:t>Yumurta Tavuğu</w:t>
            </w:r>
          </w:p>
        </w:tc>
        <w:tc>
          <w:tcPr>
            <w:tcW w:w="6090" w:type="dxa"/>
            <w:vAlign w:val="center"/>
          </w:tcPr>
          <w:p w14:paraId="6700EB96" w14:textId="77777777" w:rsidR="00D201FF" w:rsidRDefault="00111762" w:rsidP="0024730D">
            <w:pPr>
              <w:jc w:val="both"/>
              <w:rPr>
                <w:rFonts w:ascii="Times New Roman" w:hAnsi="Times New Roman" w:cs="Times New Roman"/>
              </w:rPr>
            </w:pPr>
            <w:r>
              <w:rPr>
                <w:rFonts w:ascii="Times New Roman" w:hAnsi="Times New Roman" w:cs="Times New Roman"/>
              </w:rPr>
              <w:t>16-20 haftalık olduktan sonra yumurta üretimi için yetiştirilen dişi tavuklar.</w:t>
            </w:r>
          </w:p>
        </w:tc>
      </w:tr>
      <w:tr w:rsidR="00D201FF" w14:paraId="277E40B4" w14:textId="77777777" w:rsidTr="0024730D">
        <w:trPr>
          <w:jc w:val="center"/>
        </w:trPr>
        <w:tc>
          <w:tcPr>
            <w:tcW w:w="2972" w:type="dxa"/>
            <w:vAlign w:val="center"/>
          </w:tcPr>
          <w:p w14:paraId="1BDA44CC" w14:textId="77777777" w:rsidR="00D201FF" w:rsidRDefault="00111762" w:rsidP="0024730D">
            <w:pPr>
              <w:jc w:val="both"/>
              <w:rPr>
                <w:rFonts w:ascii="Times New Roman" w:hAnsi="Times New Roman" w:cs="Times New Roman"/>
              </w:rPr>
            </w:pPr>
            <w:r>
              <w:rPr>
                <w:rFonts w:ascii="Times New Roman" w:hAnsi="Times New Roman" w:cs="Times New Roman"/>
              </w:rPr>
              <w:t>Çiftleşen Dişi Domuzlar</w:t>
            </w:r>
          </w:p>
        </w:tc>
        <w:tc>
          <w:tcPr>
            <w:tcW w:w="6090" w:type="dxa"/>
            <w:vAlign w:val="center"/>
          </w:tcPr>
          <w:p w14:paraId="1F8E0C65" w14:textId="77777777" w:rsidR="00D201FF" w:rsidRDefault="00111762" w:rsidP="0024730D">
            <w:pPr>
              <w:jc w:val="both"/>
              <w:rPr>
                <w:rFonts w:ascii="Times New Roman" w:hAnsi="Times New Roman" w:cs="Times New Roman"/>
              </w:rPr>
            </w:pPr>
            <w:r>
              <w:rPr>
                <w:rFonts w:ascii="Times New Roman" w:hAnsi="Times New Roman" w:cs="Times New Roman"/>
              </w:rPr>
              <w:t>Çiftleşmeye hazır ve gebelikten önceki dişi domuzlar.</w:t>
            </w:r>
          </w:p>
        </w:tc>
      </w:tr>
      <w:tr w:rsidR="00D201FF" w14:paraId="101B95C8" w14:textId="77777777" w:rsidTr="0024730D">
        <w:trPr>
          <w:jc w:val="center"/>
        </w:trPr>
        <w:tc>
          <w:tcPr>
            <w:tcW w:w="2972" w:type="dxa"/>
            <w:vAlign w:val="center"/>
          </w:tcPr>
          <w:p w14:paraId="31851434" w14:textId="77777777" w:rsidR="00D201FF" w:rsidRDefault="00111762" w:rsidP="0024730D">
            <w:pPr>
              <w:jc w:val="both"/>
              <w:rPr>
                <w:rFonts w:ascii="Times New Roman" w:hAnsi="Times New Roman" w:cs="Times New Roman"/>
              </w:rPr>
            </w:pPr>
            <w:r>
              <w:rPr>
                <w:rFonts w:ascii="Times New Roman" w:hAnsi="Times New Roman" w:cs="Times New Roman"/>
              </w:rPr>
              <w:t>Domuz</w:t>
            </w:r>
          </w:p>
        </w:tc>
        <w:tc>
          <w:tcPr>
            <w:tcW w:w="6090" w:type="dxa"/>
            <w:vAlign w:val="center"/>
          </w:tcPr>
          <w:p w14:paraId="5964EE6C" w14:textId="77777777" w:rsidR="00D201FF" w:rsidRDefault="00111762" w:rsidP="0024730D">
            <w:pPr>
              <w:jc w:val="both"/>
              <w:rPr>
                <w:rFonts w:ascii="Times New Roman" w:hAnsi="Times New Roman" w:cs="Times New Roman"/>
              </w:rPr>
            </w:pPr>
            <w:r>
              <w:rPr>
                <w:rFonts w:ascii="Times New Roman" w:hAnsi="Times New Roman" w:cs="Times New Roman"/>
              </w:rPr>
              <w:t>Üreme veya besi için tutulan, herhangi bir yaştaki domuz türünden bir hayvan.</w:t>
            </w:r>
          </w:p>
        </w:tc>
      </w:tr>
      <w:tr w:rsidR="00D201FF" w14:paraId="29F97C69" w14:textId="77777777" w:rsidTr="0024730D">
        <w:trPr>
          <w:jc w:val="center"/>
        </w:trPr>
        <w:tc>
          <w:tcPr>
            <w:tcW w:w="2972" w:type="dxa"/>
            <w:vAlign w:val="center"/>
          </w:tcPr>
          <w:p w14:paraId="0D4DC664" w14:textId="77777777" w:rsidR="00D201FF" w:rsidRDefault="00111762" w:rsidP="0024730D">
            <w:pPr>
              <w:jc w:val="both"/>
              <w:rPr>
                <w:rFonts w:ascii="Times New Roman" w:hAnsi="Times New Roman" w:cs="Times New Roman"/>
              </w:rPr>
            </w:pPr>
            <w:r>
              <w:rPr>
                <w:rFonts w:ascii="Times New Roman" w:hAnsi="Times New Roman" w:cs="Times New Roman"/>
              </w:rPr>
              <w:t>Domuz Yavruları</w:t>
            </w:r>
          </w:p>
        </w:tc>
        <w:tc>
          <w:tcPr>
            <w:tcW w:w="6090" w:type="dxa"/>
            <w:vAlign w:val="center"/>
          </w:tcPr>
          <w:p w14:paraId="7BC0AEA9" w14:textId="77777777" w:rsidR="00D201FF" w:rsidRDefault="00111762" w:rsidP="0024730D">
            <w:pPr>
              <w:jc w:val="both"/>
              <w:rPr>
                <w:rFonts w:ascii="Times New Roman" w:hAnsi="Times New Roman" w:cs="Times New Roman"/>
              </w:rPr>
            </w:pPr>
            <w:r>
              <w:rPr>
                <w:rFonts w:ascii="Times New Roman" w:hAnsi="Times New Roman" w:cs="Times New Roman"/>
              </w:rPr>
              <w:t>Doğumdan sütten kesilene kadarki domuzlar.</w:t>
            </w:r>
          </w:p>
        </w:tc>
      </w:tr>
      <w:tr w:rsidR="00D201FF" w14:paraId="5A76B9CA" w14:textId="77777777" w:rsidTr="0024730D">
        <w:trPr>
          <w:jc w:val="center"/>
        </w:trPr>
        <w:tc>
          <w:tcPr>
            <w:tcW w:w="2972" w:type="dxa"/>
            <w:vAlign w:val="center"/>
          </w:tcPr>
          <w:p w14:paraId="63269B17" w14:textId="77777777" w:rsidR="00D201FF" w:rsidRDefault="00111762" w:rsidP="0024730D">
            <w:pPr>
              <w:jc w:val="both"/>
              <w:rPr>
                <w:rFonts w:ascii="Times New Roman" w:hAnsi="Times New Roman" w:cs="Times New Roman"/>
              </w:rPr>
            </w:pPr>
            <w:r>
              <w:rPr>
                <w:rFonts w:ascii="Times New Roman" w:hAnsi="Times New Roman" w:cs="Times New Roman"/>
              </w:rPr>
              <w:t>Kümes Hayvanı</w:t>
            </w:r>
          </w:p>
        </w:tc>
        <w:tc>
          <w:tcPr>
            <w:tcW w:w="6090" w:type="dxa"/>
            <w:vAlign w:val="center"/>
          </w:tcPr>
          <w:p w14:paraId="5B189E1E" w14:textId="77777777" w:rsidR="00D201FF" w:rsidRDefault="00AE446D" w:rsidP="0024730D">
            <w:pPr>
              <w:jc w:val="both"/>
              <w:rPr>
                <w:rFonts w:ascii="Times New Roman" w:hAnsi="Times New Roman" w:cs="Times New Roman"/>
              </w:rPr>
            </w:pPr>
            <w:r>
              <w:rPr>
                <w:rFonts w:ascii="Times New Roman" w:hAnsi="Times New Roman" w:cs="Times New Roman"/>
              </w:rPr>
              <w:t>Üreme, tüketim için et veya yumurta üretimi veya av hayvanları stoklarını yenilemek için yetiştirilen veya kafeste tutulan tavuklar, hindiler, beçtavukları, ördekler, kazlar, bıldırcınlar, güvercinler, sülünler ve keklikler.</w:t>
            </w:r>
          </w:p>
        </w:tc>
      </w:tr>
      <w:tr w:rsidR="00D201FF" w14:paraId="179CEFE9" w14:textId="77777777" w:rsidTr="0024730D">
        <w:trPr>
          <w:jc w:val="center"/>
        </w:trPr>
        <w:tc>
          <w:tcPr>
            <w:tcW w:w="2972" w:type="dxa"/>
            <w:vAlign w:val="center"/>
          </w:tcPr>
          <w:p w14:paraId="17C272DF" w14:textId="77777777" w:rsidR="00D201FF" w:rsidRDefault="00AE446D" w:rsidP="0024730D">
            <w:pPr>
              <w:jc w:val="both"/>
              <w:rPr>
                <w:rFonts w:ascii="Times New Roman" w:hAnsi="Times New Roman" w:cs="Times New Roman"/>
              </w:rPr>
            </w:pPr>
            <w:r>
              <w:rPr>
                <w:rFonts w:ascii="Times New Roman" w:hAnsi="Times New Roman" w:cs="Times New Roman"/>
              </w:rPr>
              <w:t>Yarkalar</w:t>
            </w:r>
          </w:p>
        </w:tc>
        <w:tc>
          <w:tcPr>
            <w:tcW w:w="6090" w:type="dxa"/>
            <w:vAlign w:val="center"/>
          </w:tcPr>
          <w:p w14:paraId="19BD8B7D" w14:textId="77777777" w:rsidR="00D201FF" w:rsidRDefault="00AE446D" w:rsidP="0024730D">
            <w:pPr>
              <w:jc w:val="both"/>
              <w:rPr>
                <w:rFonts w:ascii="Times New Roman" w:hAnsi="Times New Roman" w:cs="Times New Roman"/>
              </w:rPr>
            </w:pPr>
            <w:r>
              <w:rPr>
                <w:rFonts w:ascii="Times New Roman" w:hAnsi="Times New Roman" w:cs="Times New Roman"/>
              </w:rPr>
              <w:t>Yumurtlama yaşının altındaki genç tavuklar. Yumurta üretimi için yetiştirildiğinde bir yarka, 16 ila 20 haftalıkken yumurtlamaya başladığında yumurtlayan bir tavuk haline gelir. Damızlık olarak yetiştirildiğinde genç dişi ve erkek tavuklar, 20 haftalık olana kadar yarka olarak adlandırılır.</w:t>
            </w:r>
          </w:p>
        </w:tc>
      </w:tr>
      <w:tr w:rsidR="00AE446D" w14:paraId="753CAE81" w14:textId="77777777" w:rsidTr="0024730D">
        <w:trPr>
          <w:jc w:val="center"/>
        </w:trPr>
        <w:tc>
          <w:tcPr>
            <w:tcW w:w="2972" w:type="dxa"/>
            <w:vAlign w:val="center"/>
          </w:tcPr>
          <w:p w14:paraId="7AAC8BA4" w14:textId="77777777" w:rsidR="00AE446D" w:rsidRDefault="00AE446D" w:rsidP="0024730D">
            <w:pPr>
              <w:jc w:val="both"/>
              <w:rPr>
                <w:rFonts w:ascii="Times New Roman" w:hAnsi="Times New Roman" w:cs="Times New Roman"/>
              </w:rPr>
            </w:pPr>
            <w:r>
              <w:rPr>
                <w:rFonts w:ascii="Times New Roman" w:hAnsi="Times New Roman" w:cs="Times New Roman"/>
              </w:rPr>
              <w:t>Dişi Domuzlar</w:t>
            </w:r>
          </w:p>
        </w:tc>
        <w:tc>
          <w:tcPr>
            <w:tcW w:w="6090" w:type="dxa"/>
            <w:vAlign w:val="center"/>
          </w:tcPr>
          <w:p w14:paraId="48761627" w14:textId="77777777" w:rsidR="00AE446D" w:rsidRDefault="00AE446D" w:rsidP="0024730D">
            <w:pPr>
              <w:jc w:val="both"/>
              <w:rPr>
                <w:rFonts w:ascii="Times New Roman" w:hAnsi="Times New Roman" w:cs="Times New Roman"/>
              </w:rPr>
            </w:pPr>
            <w:r>
              <w:rPr>
                <w:rFonts w:ascii="Times New Roman" w:hAnsi="Times New Roman" w:cs="Times New Roman"/>
              </w:rPr>
              <w:t>Çiftleşme, gebelik ve yavrulama dönemlerindeki dişi domuzlar.</w:t>
            </w:r>
          </w:p>
        </w:tc>
      </w:tr>
      <w:tr w:rsidR="00AE446D" w14:paraId="7193B753" w14:textId="77777777" w:rsidTr="0024730D">
        <w:trPr>
          <w:jc w:val="center"/>
        </w:trPr>
        <w:tc>
          <w:tcPr>
            <w:tcW w:w="2972" w:type="dxa"/>
            <w:vAlign w:val="center"/>
          </w:tcPr>
          <w:p w14:paraId="33FF90FC" w14:textId="77777777" w:rsidR="00AE446D" w:rsidRDefault="00AE446D" w:rsidP="0024730D">
            <w:pPr>
              <w:jc w:val="both"/>
              <w:rPr>
                <w:rFonts w:ascii="Times New Roman" w:hAnsi="Times New Roman" w:cs="Times New Roman"/>
              </w:rPr>
            </w:pPr>
            <w:r>
              <w:rPr>
                <w:rFonts w:ascii="Times New Roman" w:hAnsi="Times New Roman" w:cs="Times New Roman"/>
              </w:rPr>
              <w:t>Sütten Kesilen Domuzlar</w:t>
            </w:r>
          </w:p>
        </w:tc>
        <w:tc>
          <w:tcPr>
            <w:tcW w:w="6090" w:type="dxa"/>
            <w:vAlign w:val="center"/>
          </w:tcPr>
          <w:p w14:paraId="6E69F2C7" w14:textId="77777777" w:rsidR="00AE446D" w:rsidRDefault="00AE446D" w:rsidP="0024730D">
            <w:pPr>
              <w:jc w:val="both"/>
              <w:rPr>
                <w:rFonts w:ascii="Times New Roman" w:hAnsi="Times New Roman" w:cs="Times New Roman"/>
              </w:rPr>
            </w:pPr>
            <w:r>
              <w:rPr>
                <w:rFonts w:ascii="Times New Roman" w:hAnsi="Times New Roman" w:cs="Times New Roman"/>
              </w:rPr>
              <w:t>Sütten kesimden besiye kadar yetiştirilen genç domuzlar, çoğunlukla 8 kg’dan 30 kg’a kadar canlı ağırlıkta yetiştirilir.</w:t>
            </w:r>
          </w:p>
        </w:tc>
      </w:tr>
    </w:tbl>
    <w:p w14:paraId="4AECCEE2" w14:textId="77777777" w:rsidR="00EB2475" w:rsidRDefault="00EB2475" w:rsidP="00BA34D0">
      <w:pPr>
        <w:spacing w:after="120" w:line="276" w:lineRule="auto"/>
        <w:jc w:val="both"/>
        <w:rPr>
          <w:rFonts w:ascii="Times New Roman" w:hAnsi="Times New Roman" w:cs="Times New Roman"/>
          <w:sz w:val="24"/>
          <w:szCs w:val="24"/>
        </w:rPr>
      </w:pPr>
    </w:p>
    <w:p w14:paraId="79C984F2" w14:textId="77777777" w:rsidR="000A3878" w:rsidRPr="009600E3" w:rsidRDefault="000A3878" w:rsidP="000A3878">
      <w:pPr>
        <w:pStyle w:val="Balk2"/>
        <w:spacing w:before="0" w:after="120" w:line="276" w:lineRule="auto"/>
        <w:jc w:val="both"/>
        <w:rPr>
          <w:rFonts w:cs="Times New Roman"/>
          <w:b/>
          <w:bCs/>
          <w:szCs w:val="24"/>
        </w:rPr>
      </w:pPr>
      <w:r>
        <w:rPr>
          <w:rFonts w:cs="Times New Roman"/>
          <w:b/>
          <w:bCs/>
          <w:szCs w:val="24"/>
        </w:rPr>
        <w:t xml:space="preserve">(8) </w:t>
      </w:r>
      <w:r w:rsidR="00C83A33">
        <w:rPr>
          <w:rFonts w:cs="Times New Roman"/>
          <w:b/>
          <w:bCs/>
          <w:szCs w:val="24"/>
        </w:rPr>
        <w:t>Ahşap ve Ahşap Ürünlerinin Kimyasallarla Korunması Dahil, Organik Solvent Kullanılan Yüzey İşleme Sektörü</w:t>
      </w:r>
    </w:p>
    <w:tbl>
      <w:tblPr>
        <w:tblStyle w:val="TabloKlavuzu"/>
        <w:tblW w:w="0" w:type="auto"/>
        <w:jc w:val="center"/>
        <w:tblLook w:val="04A0" w:firstRow="1" w:lastRow="0" w:firstColumn="1" w:lastColumn="0" w:noHBand="0" w:noVBand="1"/>
      </w:tblPr>
      <w:tblGrid>
        <w:gridCol w:w="2972"/>
        <w:gridCol w:w="6090"/>
      </w:tblGrid>
      <w:tr w:rsidR="000E45AF" w:rsidRPr="00BA34D0" w14:paraId="6BE470B7" w14:textId="77777777" w:rsidTr="0024730D">
        <w:trPr>
          <w:tblHeader/>
          <w:jc w:val="center"/>
        </w:trPr>
        <w:tc>
          <w:tcPr>
            <w:tcW w:w="2972" w:type="dxa"/>
            <w:vAlign w:val="center"/>
          </w:tcPr>
          <w:p w14:paraId="42FE37BE" w14:textId="77777777" w:rsidR="000E45AF" w:rsidRPr="00BA34D0" w:rsidRDefault="000E45AF"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2DAD495E" w14:textId="77777777" w:rsidR="000E45AF" w:rsidRPr="00BA34D0" w:rsidRDefault="000E45AF" w:rsidP="0024730D">
            <w:pPr>
              <w:jc w:val="center"/>
              <w:rPr>
                <w:rFonts w:ascii="Times New Roman" w:hAnsi="Times New Roman" w:cs="Times New Roman"/>
                <w:b/>
                <w:bCs/>
              </w:rPr>
            </w:pPr>
            <w:r>
              <w:rPr>
                <w:rFonts w:ascii="Times New Roman" w:hAnsi="Times New Roman" w:cs="Times New Roman"/>
                <w:b/>
                <w:bCs/>
              </w:rPr>
              <w:t>Tanım</w:t>
            </w:r>
          </w:p>
        </w:tc>
      </w:tr>
      <w:tr w:rsidR="00C2072E" w:rsidRPr="00BA34D0" w14:paraId="799530DA" w14:textId="77777777" w:rsidTr="0024730D">
        <w:trPr>
          <w:jc w:val="center"/>
        </w:trPr>
        <w:tc>
          <w:tcPr>
            <w:tcW w:w="2972" w:type="dxa"/>
            <w:vAlign w:val="center"/>
          </w:tcPr>
          <w:p w14:paraId="35C506F4" w14:textId="77777777" w:rsidR="00C2072E" w:rsidRDefault="00BC326A" w:rsidP="0024730D">
            <w:pPr>
              <w:jc w:val="both"/>
              <w:rPr>
                <w:rFonts w:ascii="Times New Roman" w:hAnsi="Times New Roman" w:cs="Times New Roman"/>
              </w:rPr>
            </w:pPr>
            <w:r>
              <w:rPr>
                <w:rFonts w:ascii="Times New Roman" w:hAnsi="Times New Roman" w:cs="Times New Roman"/>
              </w:rPr>
              <w:t>Ara Kat Boya</w:t>
            </w:r>
          </w:p>
        </w:tc>
        <w:tc>
          <w:tcPr>
            <w:tcW w:w="6090" w:type="dxa"/>
            <w:vAlign w:val="center"/>
          </w:tcPr>
          <w:p w14:paraId="62A89CD3" w14:textId="77777777" w:rsidR="00C2072E" w:rsidRDefault="00BC326A" w:rsidP="0024730D">
            <w:pPr>
              <w:jc w:val="both"/>
              <w:rPr>
                <w:rFonts w:ascii="Times New Roman" w:hAnsi="Times New Roman" w:cs="Times New Roman"/>
              </w:rPr>
            </w:pPr>
            <w:r>
              <w:rPr>
                <w:rFonts w:ascii="Times New Roman" w:hAnsi="Times New Roman" w:cs="Times New Roman"/>
              </w:rPr>
              <w:t>Bir substrata uygulandığında rengi ve etkiyi (örn. metalik, sedef görünümlü) belirleyen boya.</w:t>
            </w:r>
          </w:p>
        </w:tc>
      </w:tr>
      <w:tr w:rsidR="00BC326A" w:rsidRPr="00BA34D0" w14:paraId="56A5F376" w14:textId="77777777" w:rsidTr="0024730D">
        <w:trPr>
          <w:jc w:val="center"/>
        </w:trPr>
        <w:tc>
          <w:tcPr>
            <w:tcW w:w="2972" w:type="dxa"/>
            <w:vAlign w:val="center"/>
          </w:tcPr>
          <w:p w14:paraId="6B80121B" w14:textId="77777777" w:rsidR="00BC326A" w:rsidRDefault="00BC326A" w:rsidP="0024730D">
            <w:pPr>
              <w:jc w:val="both"/>
              <w:rPr>
                <w:rFonts w:ascii="Times New Roman" w:hAnsi="Times New Roman" w:cs="Times New Roman"/>
              </w:rPr>
            </w:pPr>
            <w:r>
              <w:rPr>
                <w:rFonts w:ascii="Times New Roman" w:hAnsi="Times New Roman" w:cs="Times New Roman"/>
              </w:rPr>
              <w:t>Kesikli Deşarj</w:t>
            </w:r>
          </w:p>
        </w:tc>
        <w:tc>
          <w:tcPr>
            <w:tcW w:w="6090" w:type="dxa"/>
            <w:vAlign w:val="center"/>
          </w:tcPr>
          <w:p w14:paraId="2B4379D7" w14:textId="77777777" w:rsidR="00BC326A" w:rsidRDefault="00BC326A" w:rsidP="0024730D">
            <w:pPr>
              <w:jc w:val="both"/>
              <w:rPr>
                <w:rFonts w:ascii="Times New Roman" w:hAnsi="Times New Roman" w:cs="Times New Roman"/>
              </w:rPr>
            </w:pPr>
            <w:r>
              <w:rPr>
                <w:rFonts w:ascii="Times New Roman" w:hAnsi="Times New Roman" w:cs="Times New Roman"/>
              </w:rPr>
              <w:t>Ayrı, kapalı bir su hacminin deşarjı.</w:t>
            </w:r>
          </w:p>
        </w:tc>
      </w:tr>
      <w:tr w:rsidR="00BC326A" w:rsidRPr="00BA34D0" w14:paraId="74CCF99B" w14:textId="77777777" w:rsidTr="0024730D">
        <w:trPr>
          <w:jc w:val="center"/>
        </w:trPr>
        <w:tc>
          <w:tcPr>
            <w:tcW w:w="2972" w:type="dxa"/>
            <w:vAlign w:val="center"/>
          </w:tcPr>
          <w:p w14:paraId="3779E536" w14:textId="77777777" w:rsidR="00BC326A" w:rsidRDefault="00BC326A" w:rsidP="0024730D">
            <w:pPr>
              <w:jc w:val="both"/>
              <w:rPr>
                <w:rFonts w:ascii="Times New Roman" w:hAnsi="Times New Roman" w:cs="Times New Roman"/>
              </w:rPr>
            </w:pPr>
            <w:r>
              <w:rPr>
                <w:rFonts w:ascii="Times New Roman" w:hAnsi="Times New Roman" w:cs="Times New Roman"/>
              </w:rPr>
              <w:t>Şeffaf Kaplama</w:t>
            </w:r>
          </w:p>
        </w:tc>
        <w:tc>
          <w:tcPr>
            <w:tcW w:w="6090" w:type="dxa"/>
            <w:vAlign w:val="center"/>
          </w:tcPr>
          <w:p w14:paraId="5A5B1F4F" w14:textId="77777777" w:rsidR="00BC326A" w:rsidRDefault="00BC326A" w:rsidP="0024730D">
            <w:pPr>
              <w:jc w:val="both"/>
              <w:rPr>
                <w:rFonts w:ascii="Times New Roman" w:hAnsi="Times New Roman" w:cs="Times New Roman"/>
              </w:rPr>
            </w:pPr>
            <w:r>
              <w:rPr>
                <w:rFonts w:ascii="Times New Roman" w:hAnsi="Times New Roman" w:cs="Times New Roman"/>
              </w:rPr>
              <w:t>Bir substrata uygulandığında koruyucu, dekoratif veya belirli teknik özellikli bir katı şeffaf film oluşturan kaplama materyali.</w:t>
            </w:r>
          </w:p>
        </w:tc>
      </w:tr>
      <w:tr w:rsidR="00BC326A" w:rsidRPr="00BA34D0" w14:paraId="7A580DA9" w14:textId="77777777" w:rsidTr="0024730D">
        <w:trPr>
          <w:jc w:val="center"/>
        </w:trPr>
        <w:tc>
          <w:tcPr>
            <w:tcW w:w="2972" w:type="dxa"/>
            <w:vAlign w:val="center"/>
          </w:tcPr>
          <w:p w14:paraId="76909C54" w14:textId="77777777" w:rsidR="00BC326A" w:rsidRDefault="00BC326A" w:rsidP="0024730D">
            <w:pPr>
              <w:jc w:val="both"/>
              <w:rPr>
                <w:rFonts w:ascii="Times New Roman" w:hAnsi="Times New Roman" w:cs="Times New Roman"/>
              </w:rPr>
            </w:pPr>
            <w:r>
              <w:rPr>
                <w:rFonts w:ascii="Times New Roman" w:hAnsi="Times New Roman" w:cs="Times New Roman"/>
              </w:rPr>
              <w:t>Kombilin</w:t>
            </w:r>
          </w:p>
        </w:tc>
        <w:tc>
          <w:tcPr>
            <w:tcW w:w="6090" w:type="dxa"/>
            <w:vAlign w:val="center"/>
          </w:tcPr>
          <w:p w14:paraId="24CA2772" w14:textId="77777777" w:rsidR="00BC326A" w:rsidRDefault="00BC326A" w:rsidP="0024730D">
            <w:pPr>
              <w:jc w:val="both"/>
              <w:rPr>
                <w:rFonts w:ascii="Times New Roman" w:hAnsi="Times New Roman" w:cs="Times New Roman"/>
              </w:rPr>
            </w:pPr>
            <w:r>
              <w:rPr>
                <w:rFonts w:ascii="Times New Roman" w:hAnsi="Times New Roman" w:cs="Times New Roman"/>
              </w:rPr>
              <w:t>Aynı proses hattında, sıcak daldırımlı çinko kaplamanın ve bobin kaplanmasının bir kombinasyonu.</w:t>
            </w:r>
          </w:p>
        </w:tc>
      </w:tr>
      <w:tr w:rsidR="00BC326A" w:rsidRPr="00BA34D0" w14:paraId="13ECA48D" w14:textId="77777777" w:rsidTr="0024730D">
        <w:trPr>
          <w:jc w:val="center"/>
        </w:trPr>
        <w:tc>
          <w:tcPr>
            <w:tcW w:w="2972" w:type="dxa"/>
            <w:vAlign w:val="center"/>
          </w:tcPr>
          <w:p w14:paraId="1F111704" w14:textId="77777777" w:rsidR="00BC326A" w:rsidRDefault="00BC326A" w:rsidP="0024730D">
            <w:pPr>
              <w:jc w:val="both"/>
              <w:rPr>
                <w:rFonts w:ascii="Times New Roman" w:hAnsi="Times New Roman" w:cs="Times New Roman"/>
              </w:rPr>
            </w:pPr>
            <w:r>
              <w:rPr>
                <w:rFonts w:ascii="Times New Roman" w:hAnsi="Times New Roman" w:cs="Times New Roman"/>
              </w:rPr>
              <w:lastRenderedPageBreak/>
              <w:t>Sürekli Ölçüm</w:t>
            </w:r>
          </w:p>
        </w:tc>
        <w:tc>
          <w:tcPr>
            <w:tcW w:w="6090" w:type="dxa"/>
            <w:vAlign w:val="center"/>
          </w:tcPr>
          <w:p w14:paraId="6DACA96D" w14:textId="77777777" w:rsidR="00BC326A" w:rsidRDefault="00BC326A" w:rsidP="0024730D">
            <w:pPr>
              <w:jc w:val="both"/>
              <w:rPr>
                <w:rFonts w:ascii="Times New Roman" w:hAnsi="Times New Roman" w:cs="Times New Roman"/>
              </w:rPr>
            </w:pPr>
            <w:r>
              <w:rPr>
                <w:rFonts w:ascii="Times New Roman" w:hAnsi="Times New Roman" w:cs="Times New Roman"/>
              </w:rPr>
              <w:t xml:space="preserve">TS EN 14181 standardına göre, emisyonların sürekli izlenmesi için, saha içine </w:t>
            </w:r>
            <w:r w:rsidR="00F07812">
              <w:rPr>
                <w:rFonts w:ascii="Times New Roman" w:hAnsi="Times New Roman" w:cs="Times New Roman"/>
              </w:rPr>
              <w:t>kalıcı olarak kurulan otomatik bir ölçme sistemi kullanılarak yapılan ölçüm.</w:t>
            </w:r>
          </w:p>
        </w:tc>
      </w:tr>
      <w:tr w:rsidR="00BC326A" w:rsidRPr="00BA34D0" w14:paraId="47B7D150" w14:textId="77777777" w:rsidTr="0024730D">
        <w:trPr>
          <w:jc w:val="center"/>
        </w:trPr>
        <w:tc>
          <w:tcPr>
            <w:tcW w:w="2972" w:type="dxa"/>
            <w:vAlign w:val="center"/>
          </w:tcPr>
          <w:p w14:paraId="787162B3" w14:textId="77777777" w:rsidR="00BC326A" w:rsidRDefault="00F07812" w:rsidP="0024730D">
            <w:pPr>
              <w:jc w:val="both"/>
              <w:rPr>
                <w:rFonts w:ascii="Times New Roman" w:hAnsi="Times New Roman" w:cs="Times New Roman"/>
              </w:rPr>
            </w:pPr>
            <w:r>
              <w:rPr>
                <w:rFonts w:ascii="Times New Roman" w:hAnsi="Times New Roman" w:cs="Times New Roman"/>
              </w:rPr>
              <w:t>Doğrudan Deşarj</w:t>
            </w:r>
          </w:p>
        </w:tc>
        <w:tc>
          <w:tcPr>
            <w:tcW w:w="6090" w:type="dxa"/>
            <w:vAlign w:val="center"/>
          </w:tcPr>
          <w:p w14:paraId="30E4770C" w14:textId="77777777" w:rsidR="00BC326A" w:rsidRDefault="00F07812" w:rsidP="0024730D">
            <w:pPr>
              <w:jc w:val="both"/>
              <w:rPr>
                <w:rFonts w:ascii="Times New Roman" w:hAnsi="Times New Roman" w:cs="Times New Roman"/>
              </w:rPr>
            </w:pPr>
            <w:r>
              <w:rPr>
                <w:rFonts w:ascii="Times New Roman" w:hAnsi="Times New Roman" w:cs="Times New Roman"/>
              </w:rPr>
              <w:t>İleri alt akım atık su arıtması olmaksızın, alıcı su kütlesine olan deşarj.</w:t>
            </w:r>
          </w:p>
        </w:tc>
      </w:tr>
      <w:tr w:rsidR="00BC326A" w:rsidRPr="00BA34D0" w14:paraId="2A8B0EB0" w14:textId="77777777" w:rsidTr="0024730D">
        <w:trPr>
          <w:jc w:val="center"/>
        </w:trPr>
        <w:tc>
          <w:tcPr>
            <w:tcW w:w="2972" w:type="dxa"/>
            <w:vAlign w:val="center"/>
          </w:tcPr>
          <w:p w14:paraId="71E5CE9D" w14:textId="77777777" w:rsidR="00BC326A" w:rsidRDefault="00F07812" w:rsidP="0024730D">
            <w:pPr>
              <w:jc w:val="both"/>
              <w:rPr>
                <w:rFonts w:ascii="Times New Roman" w:hAnsi="Times New Roman" w:cs="Times New Roman"/>
              </w:rPr>
            </w:pPr>
            <w:r>
              <w:rPr>
                <w:rFonts w:ascii="Times New Roman" w:hAnsi="Times New Roman" w:cs="Times New Roman"/>
              </w:rPr>
              <w:t>Emisyon Faktörleri</w:t>
            </w:r>
          </w:p>
        </w:tc>
        <w:tc>
          <w:tcPr>
            <w:tcW w:w="6090" w:type="dxa"/>
            <w:vAlign w:val="center"/>
          </w:tcPr>
          <w:p w14:paraId="18345419" w14:textId="77777777" w:rsidR="00BC326A" w:rsidRDefault="00F07812" w:rsidP="0024730D">
            <w:pPr>
              <w:jc w:val="both"/>
              <w:rPr>
                <w:rFonts w:ascii="Times New Roman" w:hAnsi="Times New Roman" w:cs="Times New Roman"/>
              </w:rPr>
            </w:pPr>
            <w:r>
              <w:rPr>
                <w:rFonts w:ascii="Times New Roman" w:hAnsi="Times New Roman" w:cs="Times New Roman"/>
              </w:rPr>
              <w:t>Emisyonları tahmin etmek için, tesis/proses verisi veya üretim hacmi verisi gibi bilinen verilerle çarpılabilen katsayılar.</w:t>
            </w:r>
          </w:p>
        </w:tc>
      </w:tr>
      <w:tr w:rsidR="00F07812" w:rsidRPr="00BA34D0" w14:paraId="4D5DA5AF" w14:textId="77777777" w:rsidTr="0024730D">
        <w:trPr>
          <w:jc w:val="center"/>
        </w:trPr>
        <w:tc>
          <w:tcPr>
            <w:tcW w:w="2972" w:type="dxa"/>
            <w:vAlign w:val="center"/>
          </w:tcPr>
          <w:p w14:paraId="33BF33FB" w14:textId="77777777" w:rsidR="00F07812" w:rsidRDefault="003F2A25" w:rsidP="00F07812">
            <w:pPr>
              <w:jc w:val="both"/>
              <w:rPr>
                <w:rFonts w:ascii="Times New Roman" w:hAnsi="Times New Roman" w:cs="Times New Roman"/>
              </w:rPr>
            </w:pPr>
            <w:r>
              <w:rPr>
                <w:rFonts w:ascii="Times New Roman" w:hAnsi="Times New Roman" w:cs="Times New Roman"/>
              </w:rPr>
              <w:t>Kaçak Emisyonlar</w:t>
            </w:r>
          </w:p>
        </w:tc>
        <w:tc>
          <w:tcPr>
            <w:tcW w:w="6090" w:type="dxa"/>
            <w:vAlign w:val="center"/>
          </w:tcPr>
          <w:p w14:paraId="4939E6F2" w14:textId="77777777" w:rsidR="00F07812" w:rsidRDefault="00425F52" w:rsidP="00F07812">
            <w:pPr>
              <w:jc w:val="both"/>
              <w:rPr>
                <w:rFonts w:ascii="Times New Roman" w:hAnsi="Times New Roman" w:cs="Times New Roman"/>
              </w:rPr>
            </w:pPr>
            <w:r>
              <w:rPr>
                <w:rFonts w:ascii="Times New Roman" w:hAnsi="Times New Roman" w:cs="Times New Roman"/>
              </w:rPr>
              <w:t>Havaya, suya ve toprağa karışan uçucu organik bileşiklerin yanı sıra, herhangi bir üründe bulunan solventlerin atık gazlarında bulunmayan herhangi bir emisyon.</w:t>
            </w:r>
          </w:p>
        </w:tc>
      </w:tr>
      <w:tr w:rsidR="00F07812" w:rsidRPr="00BA34D0" w14:paraId="181DFDF3" w14:textId="77777777" w:rsidTr="0024730D">
        <w:trPr>
          <w:jc w:val="center"/>
        </w:trPr>
        <w:tc>
          <w:tcPr>
            <w:tcW w:w="2972" w:type="dxa"/>
            <w:vAlign w:val="center"/>
          </w:tcPr>
          <w:p w14:paraId="1CAA0743" w14:textId="77777777" w:rsidR="00F07812" w:rsidRDefault="00425F52" w:rsidP="00F07812">
            <w:pPr>
              <w:jc w:val="both"/>
              <w:rPr>
                <w:rFonts w:ascii="Times New Roman" w:hAnsi="Times New Roman" w:cs="Times New Roman"/>
              </w:rPr>
            </w:pPr>
            <w:r>
              <w:rPr>
                <w:rFonts w:ascii="Times New Roman" w:hAnsi="Times New Roman" w:cs="Times New Roman"/>
              </w:rPr>
              <w:t>Sınıf B veya C Kreozot</w:t>
            </w:r>
          </w:p>
        </w:tc>
        <w:tc>
          <w:tcPr>
            <w:tcW w:w="6090" w:type="dxa"/>
            <w:vAlign w:val="center"/>
          </w:tcPr>
          <w:p w14:paraId="41E56344" w14:textId="77777777" w:rsidR="00F07812" w:rsidRDefault="00425F52" w:rsidP="00F07812">
            <w:pPr>
              <w:jc w:val="both"/>
              <w:rPr>
                <w:rFonts w:ascii="Times New Roman" w:hAnsi="Times New Roman" w:cs="Times New Roman"/>
              </w:rPr>
            </w:pPr>
            <w:r>
              <w:rPr>
                <w:rFonts w:ascii="Times New Roman" w:hAnsi="Times New Roman" w:cs="Times New Roman"/>
              </w:rPr>
              <w:t xml:space="preserve">TS EN 13991 standardında </w:t>
            </w:r>
            <w:r w:rsidR="00044CB9">
              <w:rPr>
                <w:rFonts w:ascii="Times New Roman" w:hAnsi="Times New Roman" w:cs="Times New Roman"/>
              </w:rPr>
              <w:t>özellikleri verilen kreozot türleri.</w:t>
            </w:r>
          </w:p>
        </w:tc>
      </w:tr>
      <w:tr w:rsidR="00F07812" w:rsidRPr="00BA34D0" w14:paraId="6B39D194" w14:textId="77777777" w:rsidTr="0024730D">
        <w:trPr>
          <w:jc w:val="center"/>
        </w:trPr>
        <w:tc>
          <w:tcPr>
            <w:tcW w:w="2972" w:type="dxa"/>
            <w:vAlign w:val="center"/>
          </w:tcPr>
          <w:p w14:paraId="51A40960" w14:textId="77777777" w:rsidR="00F07812" w:rsidRDefault="00044CB9" w:rsidP="00F07812">
            <w:pPr>
              <w:jc w:val="both"/>
              <w:rPr>
                <w:rFonts w:ascii="Times New Roman" w:hAnsi="Times New Roman" w:cs="Times New Roman"/>
              </w:rPr>
            </w:pPr>
            <w:r>
              <w:rPr>
                <w:rFonts w:ascii="Times New Roman" w:hAnsi="Times New Roman" w:cs="Times New Roman"/>
              </w:rPr>
              <w:t>Dolaylı Deşarj</w:t>
            </w:r>
          </w:p>
        </w:tc>
        <w:tc>
          <w:tcPr>
            <w:tcW w:w="6090" w:type="dxa"/>
            <w:vAlign w:val="center"/>
          </w:tcPr>
          <w:p w14:paraId="1D088743" w14:textId="77777777" w:rsidR="00F07812" w:rsidRDefault="00044CB9" w:rsidP="00F07812">
            <w:pPr>
              <w:jc w:val="both"/>
              <w:rPr>
                <w:rFonts w:ascii="Times New Roman" w:hAnsi="Times New Roman" w:cs="Times New Roman"/>
              </w:rPr>
            </w:pPr>
            <w:r>
              <w:rPr>
                <w:rFonts w:ascii="Times New Roman" w:hAnsi="Times New Roman" w:cs="Times New Roman"/>
              </w:rPr>
              <w:t>Doğrudan olmayan bir deşarj.</w:t>
            </w:r>
          </w:p>
        </w:tc>
      </w:tr>
      <w:tr w:rsidR="00F07812" w:rsidRPr="00BA34D0" w14:paraId="6557F746" w14:textId="77777777" w:rsidTr="0024730D">
        <w:trPr>
          <w:jc w:val="center"/>
        </w:trPr>
        <w:tc>
          <w:tcPr>
            <w:tcW w:w="2972" w:type="dxa"/>
            <w:vAlign w:val="center"/>
          </w:tcPr>
          <w:p w14:paraId="242A1C78" w14:textId="77777777" w:rsidR="00F07812" w:rsidRDefault="00044CB9" w:rsidP="00F07812">
            <w:pPr>
              <w:jc w:val="both"/>
              <w:rPr>
                <w:rFonts w:ascii="Times New Roman" w:hAnsi="Times New Roman" w:cs="Times New Roman"/>
              </w:rPr>
            </w:pPr>
            <w:r>
              <w:rPr>
                <w:rFonts w:ascii="Times New Roman" w:hAnsi="Times New Roman" w:cs="Times New Roman"/>
              </w:rPr>
              <w:t>Büyük Tesis İyileştirmesi</w:t>
            </w:r>
          </w:p>
        </w:tc>
        <w:tc>
          <w:tcPr>
            <w:tcW w:w="6090" w:type="dxa"/>
            <w:vAlign w:val="center"/>
          </w:tcPr>
          <w:p w14:paraId="7E92EB40" w14:textId="77777777" w:rsidR="00F07812" w:rsidRDefault="00044CB9" w:rsidP="00F07812">
            <w:pPr>
              <w:jc w:val="both"/>
              <w:rPr>
                <w:rFonts w:ascii="Times New Roman" w:hAnsi="Times New Roman" w:cs="Times New Roman"/>
              </w:rPr>
            </w:pPr>
            <w:r>
              <w:rPr>
                <w:rFonts w:ascii="Times New Roman" w:hAnsi="Times New Roman" w:cs="Times New Roman"/>
              </w:rPr>
              <w:t>Tesisin tasarımında veya teknolojisinde önemli düzenlemeler ile yapılan büyük bir iyileştirme veya proses ve/veya azaltım tekniklerinin ve ilişkili ekipmanın yenisiyle değiştirilmesi.</w:t>
            </w:r>
          </w:p>
        </w:tc>
      </w:tr>
      <w:tr w:rsidR="000E45AF" w:rsidRPr="00BA34D0" w14:paraId="6535C190" w14:textId="77777777" w:rsidTr="0024730D">
        <w:trPr>
          <w:jc w:val="center"/>
        </w:trPr>
        <w:tc>
          <w:tcPr>
            <w:tcW w:w="2972" w:type="dxa"/>
            <w:vAlign w:val="center"/>
          </w:tcPr>
          <w:p w14:paraId="7954D09B" w14:textId="77777777" w:rsidR="000E45AF" w:rsidRPr="00BA34D0" w:rsidRDefault="00044CB9" w:rsidP="0024730D">
            <w:pPr>
              <w:jc w:val="both"/>
              <w:rPr>
                <w:rFonts w:ascii="Times New Roman" w:hAnsi="Times New Roman" w:cs="Times New Roman"/>
              </w:rPr>
            </w:pPr>
            <w:r>
              <w:rPr>
                <w:rFonts w:ascii="Times New Roman" w:hAnsi="Times New Roman" w:cs="Times New Roman"/>
              </w:rPr>
              <w:t>Çıkış Gazı</w:t>
            </w:r>
          </w:p>
        </w:tc>
        <w:tc>
          <w:tcPr>
            <w:tcW w:w="6090" w:type="dxa"/>
            <w:vAlign w:val="center"/>
          </w:tcPr>
          <w:p w14:paraId="45D3B0E3" w14:textId="77777777" w:rsidR="000E45AF" w:rsidRPr="00BA34D0" w:rsidRDefault="00044CB9" w:rsidP="0024730D">
            <w:pPr>
              <w:jc w:val="both"/>
              <w:rPr>
                <w:rFonts w:ascii="Times New Roman" w:hAnsi="Times New Roman" w:cs="Times New Roman"/>
              </w:rPr>
            </w:pPr>
            <w:r>
              <w:rPr>
                <w:rFonts w:ascii="Times New Roman" w:hAnsi="Times New Roman" w:cs="Times New Roman"/>
              </w:rPr>
              <w:t>Ya arıtmaya gönderilen ya da baca yoluyla doğrudan havaya deşarj edilen ve prosesten, ekipman parçasından veya alandan çıkan gaz.</w:t>
            </w:r>
          </w:p>
        </w:tc>
      </w:tr>
      <w:tr w:rsidR="000E45AF" w:rsidRPr="00BA34D0" w14:paraId="5B03F0A7" w14:textId="77777777" w:rsidTr="0024730D">
        <w:trPr>
          <w:jc w:val="center"/>
        </w:trPr>
        <w:tc>
          <w:tcPr>
            <w:tcW w:w="2972" w:type="dxa"/>
            <w:vAlign w:val="center"/>
          </w:tcPr>
          <w:p w14:paraId="5A4FADFE" w14:textId="77777777" w:rsidR="000E45AF" w:rsidRDefault="00044CB9" w:rsidP="0024730D">
            <w:pPr>
              <w:jc w:val="both"/>
              <w:rPr>
                <w:rFonts w:ascii="Times New Roman" w:hAnsi="Times New Roman" w:cs="Times New Roman"/>
              </w:rPr>
            </w:pPr>
            <w:r>
              <w:rPr>
                <w:rFonts w:ascii="Times New Roman" w:hAnsi="Times New Roman" w:cs="Times New Roman"/>
              </w:rPr>
              <w:t>Organik Bileşik</w:t>
            </w:r>
          </w:p>
        </w:tc>
        <w:tc>
          <w:tcPr>
            <w:tcW w:w="6090" w:type="dxa"/>
            <w:vAlign w:val="center"/>
          </w:tcPr>
          <w:p w14:paraId="3DD2CCB4" w14:textId="77777777" w:rsidR="000E45AF" w:rsidRDefault="00044CB9" w:rsidP="0024730D">
            <w:pPr>
              <w:jc w:val="both"/>
              <w:rPr>
                <w:rFonts w:ascii="Times New Roman" w:hAnsi="Times New Roman" w:cs="Times New Roman"/>
              </w:rPr>
            </w:pPr>
            <w:r>
              <w:rPr>
                <w:rFonts w:ascii="Times New Roman" w:hAnsi="Times New Roman" w:cs="Times New Roman"/>
              </w:rPr>
              <w:t>Karbon oksitler, inorganik karbonatlar ve bikarbonatlar hariç olmak üzere, en azından karbon ve hidrojen, halojenler, oksijen, kükürt, fosfor, silikon veya azottan birini veya daha fazlasını içeren herhangi bir bileşik.</w:t>
            </w:r>
          </w:p>
        </w:tc>
      </w:tr>
      <w:tr w:rsidR="000E45AF" w:rsidRPr="00BA34D0" w14:paraId="7051E0E7" w14:textId="77777777" w:rsidTr="0024730D">
        <w:trPr>
          <w:jc w:val="center"/>
        </w:trPr>
        <w:tc>
          <w:tcPr>
            <w:tcW w:w="2972" w:type="dxa"/>
            <w:vAlign w:val="center"/>
          </w:tcPr>
          <w:p w14:paraId="413419A6" w14:textId="77777777" w:rsidR="000E45AF" w:rsidRDefault="00044CB9" w:rsidP="0024730D">
            <w:pPr>
              <w:jc w:val="both"/>
              <w:rPr>
                <w:rFonts w:ascii="Times New Roman" w:hAnsi="Times New Roman" w:cs="Times New Roman"/>
              </w:rPr>
            </w:pPr>
            <w:r>
              <w:rPr>
                <w:rFonts w:ascii="Times New Roman" w:hAnsi="Times New Roman" w:cs="Times New Roman"/>
              </w:rPr>
              <w:t>Organik Solvent</w:t>
            </w:r>
          </w:p>
        </w:tc>
        <w:tc>
          <w:tcPr>
            <w:tcW w:w="6090" w:type="dxa"/>
            <w:vAlign w:val="center"/>
          </w:tcPr>
          <w:p w14:paraId="06C8CD20" w14:textId="77777777" w:rsidR="000E45AF" w:rsidRDefault="00044CB9" w:rsidP="0024730D">
            <w:pPr>
              <w:jc w:val="both"/>
              <w:rPr>
                <w:rFonts w:ascii="Times New Roman" w:hAnsi="Times New Roman" w:cs="Times New Roman"/>
              </w:rPr>
            </w:pPr>
            <w:r>
              <w:rPr>
                <w:rFonts w:ascii="Times New Roman" w:hAnsi="Times New Roman" w:cs="Times New Roman"/>
              </w:rPr>
              <w:t>Aşağıdakilerden herhangi biri için kullanılan herhangi bir uçucu organik bileşik:</w:t>
            </w:r>
          </w:p>
          <w:p w14:paraId="6071F39A" w14:textId="77777777" w:rsidR="00044CB9" w:rsidRDefault="00044CB9" w:rsidP="0024730D">
            <w:pPr>
              <w:jc w:val="both"/>
              <w:rPr>
                <w:rFonts w:ascii="Times New Roman" w:hAnsi="Times New Roman" w:cs="Times New Roman"/>
              </w:rPr>
            </w:pPr>
            <w:r>
              <w:rPr>
                <w:rFonts w:ascii="Times New Roman" w:hAnsi="Times New Roman" w:cs="Times New Roman"/>
              </w:rPr>
              <w:t>(a) Hammaddeleri, ürünleri veya atık materyalleri çözmek için, tek başına veya herhangi bir kimyasal değişim geçirmeden diğer maddelerle kombinasyon halinde;</w:t>
            </w:r>
          </w:p>
          <w:p w14:paraId="0E9B56E1" w14:textId="77777777" w:rsidR="00044CB9" w:rsidRDefault="00044CB9" w:rsidP="0024730D">
            <w:pPr>
              <w:jc w:val="both"/>
              <w:rPr>
                <w:rFonts w:ascii="Times New Roman" w:hAnsi="Times New Roman" w:cs="Times New Roman"/>
              </w:rPr>
            </w:pPr>
            <w:r>
              <w:rPr>
                <w:rFonts w:ascii="Times New Roman" w:hAnsi="Times New Roman" w:cs="Times New Roman"/>
              </w:rPr>
              <w:t>(b) kirleticileri çözmek için temizleme maddesi olarak;</w:t>
            </w:r>
          </w:p>
          <w:p w14:paraId="7860B9D8" w14:textId="77777777" w:rsidR="00044CB9" w:rsidRDefault="00044CB9" w:rsidP="0024730D">
            <w:pPr>
              <w:jc w:val="both"/>
              <w:rPr>
                <w:rFonts w:ascii="Times New Roman" w:hAnsi="Times New Roman" w:cs="Times New Roman"/>
              </w:rPr>
            </w:pPr>
            <w:r>
              <w:rPr>
                <w:rFonts w:ascii="Times New Roman" w:hAnsi="Times New Roman" w:cs="Times New Roman"/>
              </w:rPr>
              <w:t>(c) çözücü olarak;</w:t>
            </w:r>
          </w:p>
          <w:p w14:paraId="31C697F1" w14:textId="77777777" w:rsidR="00044CB9" w:rsidRDefault="00044CB9" w:rsidP="0024730D">
            <w:pPr>
              <w:jc w:val="both"/>
              <w:rPr>
                <w:rFonts w:ascii="Times New Roman" w:hAnsi="Times New Roman" w:cs="Times New Roman"/>
              </w:rPr>
            </w:pPr>
            <w:r>
              <w:rPr>
                <w:rFonts w:ascii="Times New Roman" w:hAnsi="Times New Roman" w:cs="Times New Roman"/>
              </w:rPr>
              <w:t xml:space="preserve">(d) </w:t>
            </w:r>
            <w:r w:rsidR="00E73D54">
              <w:rPr>
                <w:rFonts w:ascii="Times New Roman" w:hAnsi="Times New Roman" w:cs="Times New Roman"/>
              </w:rPr>
              <w:t>dağılma ortamı olarak;</w:t>
            </w:r>
          </w:p>
          <w:p w14:paraId="2ABFD7C9" w14:textId="77777777" w:rsidR="00E73D54" w:rsidRDefault="00E73D54" w:rsidP="0024730D">
            <w:pPr>
              <w:jc w:val="both"/>
              <w:rPr>
                <w:rFonts w:ascii="Times New Roman" w:hAnsi="Times New Roman" w:cs="Times New Roman"/>
              </w:rPr>
            </w:pPr>
            <w:r>
              <w:rPr>
                <w:rFonts w:ascii="Times New Roman" w:hAnsi="Times New Roman" w:cs="Times New Roman"/>
              </w:rPr>
              <w:t>(e) viskozite düzenleyici olarak;</w:t>
            </w:r>
          </w:p>
          <w:p w14:paraId="1CC60EB1" w14:textId="77777777" w:rsidR="00E73D54" w:rsidRDefault="00E73D54" w:rsidP="0024730D">
            <w:pPr>
              <w:jc w:val="both"/>
              <w:rPr>
                <w:rFonts w:ascii="Times New Roman" w:hAnsi="Times New Roman" w:cs="Times New Roman"/>
              </w:rPr>
            </w:pPr>
            <w:r>
              <w:rPr>
                <w:rFonts w:ascii="Times New Roman" w:hAnsi="Times New Roman" w:cs="Times New Roman"/>
              </w:rPr>
              <w:t>(f) yüzey gerilimi düzenleyici olarak;</w:t>
            </w:r>
          </w:p>
          <w:p w14:paraId="752E5984" w14:textId="77777777" w:rsidR="00E73D54" w:rsidRDefault="00E73D54" w:rsidP="0024730D">
            <w:pPr>
              <w:jc w:val="both"/>
              <w:rPr>
                <w:rFonts w:ascii="Times New Roman" w:hAnsi="Times New Roman" w:cs="Times New Roman"/>
              </w:rPr>
            </w:pPr>
            <w:r>
              <w:rPr>
                <w:rFonts w:ascii="Times New Roman" w:hAnsi="Times New Roman" w:cs="Times New Roman"/>
              </w:rPr>
              <w:t>(g) plastikleştirici madde olarak;</w:t>
            </w:r>
          </w:p>
          <w:p w14:paraId="0E2D0628" w14:textId="77777777" w:rsidR="00E73D54" w:rsidRDefault="00E73D54" w:rsidP="0024730D">
            <w:pPr>
              <w:jc w:val="both"/>
              <w:rPr>
                <w:rFonts w:ascii="Times New Roman" w:hAnsi="Times New Roman" w:cs="Times New Roman"/>
              </w:rPr>
            </w:pPr>
            <w:r>
              <w:rPr>
                <w:rFonts w:ascii="Times New Roman" w:hAnsi="Times New Roman" w:cs="Times New Roman"/>
              </w:rPr>
              <w:t>(h) koruyucu olarak.</w:t>
            </w:r>
          </w:p>
        </w:tc>
      </w:tr>
      <w:tr w:rsidR="000E45AF" w:rsidRPr="00BA34D0" w14:paraId="6007ADD0" w14:textId="77777777" w:rsidTr="0024730D">
        <w:trPr>
          <w:jc w:val="center"/>
        </w:trPr>
        <w:tc>
          <w:tcPr>
            <w:tcW w:w="2972" w:type="dxa"/>
            <w:vAlign w:val="center"/>
          </w:tcPr>
          <w:p w14:paraId="102DFCDA" w14:textId="77777777" w:rsidR="000E45AF" w:rsidRDefault="00E73D54" w:rsidP="0024730D">
            <w:pPr>
              <w:jc w:val="both"/>
              <w:rPr>
                <w:rFonts w:ascii="Times New Roman" w:hAnsi="Times New Roman" w:cs="Times New Roman"/>
              </w:rPr>
            </w:pPr>
            <w:r>
              <w:rPr>
                <w:rFonts w:ascii="Times New Roman" w:hAnsi="Times New Roman" w:cs="Times New Roman"/>
              </w:rPr>
              <w:t>Tesis</w:t>
            </w:r>
          </w:p>
        </w:tc>
        <w:tc>
          <w:tcPr>
            <w:tcW w:w="6090" w:type="dxa"/>
            <w:vAlign w:val="center"/>
          </w:tcPr>
          <w:p w14:paraId="4F49DF48" w14:textId="77777777" w:rsidR="000E45AF" w:rsidRDefault="00E73D54" w:rsidP="0024730D">
            <w:pPr>
              <w:jc w:val="both"/>
              <w:rPr>
                <w:rFonts w:ascii="Times New Roman" w:hAnsi="Times New Roman" w:cs="Times New Roman"/>
              </w:rPr>
            </w:pPr>
            <w:r>
              <w:rPr>
                <w:rFonts w:ascii="Times New Roman" w:hAnsi="Times New Roman" w:cs="Times New Roman"/>
              </w:rPr>
              <w:t>Endüstriyel Emisyonların Yönetimi Yönetmeliği (R.G. 14.01.2025, Sayı: 32782) Ek-1’inde yer alan (6.7) veya (6.10) maddelerindeki faaliyetleri ve tüketim ve/veya emisyonlar üzerinde bir etkiye sahip olan diğer ilişkili herhangi bir faaliyeti yürüten tesisin tüm bölümleri</w:t>
            </w:r>
          </w:p>
        </w:tc>
      </w:tr>
      <w:tr w:rsidR="00E73D54" w:rsidRPr="00BA34D0" w14:paraId="75183908" w14:textId="77777777" w:rsidTr="0024730D">
        <w:trPr>
          <w:jc w:val="center"/>
        </w:trPr>
        <w:tc>
          <w:tcPr>
            <w:tcW w:w="2972" w:type="dxa"/>
            <w:vAlign w:val="center"/>
          </w:tcPr>
          <w:p w14:paraId="21A3EA8B" w14:textId="77777777" w:rsidR="00E73D54" w:rsidRDefault="00E73D54" w:rsidP="0024730D">
            <w:pPr>
              <w:jc w:val="both"/>
              <w:rPr>
                <w:rFonts w:ascii="Times New Roman" w:hAnsi="Times New Roman" w:cs="Times New Roman"/>
              </w:rPr>
            </w:pPr>
            <w:r>
              <w:rPr>
                <w:rFonts w:ascii="Times New Roman" w:hAnsi="Times New Roman" w:cs="Times New Roman"/>
              </w:rPr>
              <w:t>Astar Boya</w:t>
            </w:r>
          </w:p>
        </w:tc>
        <w:tc>
          <w:tcPr>
            <w:tcW w:w="6090" w:type="dxa"/>
            <w:vAlign w:val="center"/>
          </w:tcPr>
          <w:p w14:paraId="28699224" w14:textId="77777777" w:rsidR="00E73D54" w:rsidRDefault="00E73D54" w:rsidP="0024730D">
            <w:pPr>
              <w:jc w:val="both"/>
              <w:rPr>
                <w:rFonts w:ascii="Times New Roman" w:hAnsi="Times New Roman" w:cs="Times New Roman"/>
              </w:rPr>
            </w:pPr>
            <w:r>
              <w:rPr>
                <w:rFonts w:ascii="Times New Roman" w:hAnsi="Times New Roman" w:cs="Times New Roman"/>
              </w:rPr>
              <w:t>İyi bir adezyon, alttaki herhangi bir katmanın korunmasını ve yüzey düzensizliklerinin dolgusuna sağlamak için, hazırlanan bir yüzeyde katman olarak kullanım için formüle edilmiş boya.</w:t>
            </w:r>
          </w:p>
        </w:tc>
      </w:tr>
      <w:tr w:rsidR="00E73D54" w:rsidRPr="00BA34D0" w14:paraId="7B2294F1" w14:textId="77777777" w:rsidTr="0024730D">
        <w:trPr>
          <w:jc w:val="center"/>
        </w:trPr>
        <w:tc>
          <w:tcPr>
            <w:tcW w:w="2972" w:type="dxa"/>
            <w:vAlign w:val="center"/>
          </w:tcPr>
          <w:p w14:paraId="3D50CC76" w14:textId="77777777" w:rsidR="00E73D54" w:rsidRDefault="00E73D54" w:rsidP="0024730D">
            <w:pPr>
              <w:jc w:val="both"/>
              <w:rPr>
                <w:rFonts w:ascii="Times New Roman" w:hAnsi="Times New Roman" w:cs="Times New Roman"/>
              </w:rPr>
            </w:pPr>
            <w:r>
              <w:rPr>
                <w:rFonts w:ascii="Times New Roman" w:hAnsi="Times New Roman" w:cs="Times New Roman"/>
              </w:rPr>
              <w:t>Sektör</w:t>
            </w:r>
          </w:p>
        </w:tc>
        <w:tc>
          <w:tcPr>
            <w:tcW w:w="6090" w:type="dxa"/>
            <w:vAlign w:val="center"/>
          </w:tcPr>
          <w:p w14:paraId="5FC09BB7" w14:textId="77777777" w:rsidR="00E73D54" w:rsidRDefault="00E73D54" w:rsidP="0024730D">
            <w:pPr>
              <w:jc w:val="both"/>
              <w:rPr>
                <w:rFonts w:ascii="Times New Roman" w:hAnsi="Times New Roman" w:cs="Times New Roman"/>
              </w:rPr>
            </w:pPr>
            <w:r>
              <w:rPr>
                <w:rFonts w:ascii="Times New Roman" w:hAnsi="Times New Roman" w:cs="Times New Roman"/>
              </w:rPr>
              <w:t>Endüstriyel Emisyonların Yönetimi Yönetmeliği (R.G. 14.01.2025, Sayı: 32782) Ek-1’inde yer alan (6.7) maddesinde listelenen ve Ek-9’da sunulan MET sonuçlarında belirtilen faaliyetlerin bir parçası olan herhangi bir yüzey işleme faaliyeti.</w:t>
            </w:r>
          </w:p>
        </w:tc>
      </w:tr>
      <w:tr w:rsidR="00E73D54" w:rsidRPr="00BA34D0" w14:paraId="1957D57C" w14:textId="77777777" w:rsidTr="0024730D">
        <w:trPr>
          <w:jc w:val="center"/>
        </w:trPr>
        <w:tc>
          <w:tcPr>
            <w:tcW w:w="2972" w:type="dxa"/>
            <w:vAlign w:val="center"/>
          </w:tcPr>
          <w:p w14:paraId="78B8DD1B" w14:textId="77777777" w:rsidR="00E73D54" w:rsidRDefault="00E73D54" w:rsidP="0024730D">
            <w:pPr>
              <w:jc w:val="both"/>
              <w:rPr>
                <w:rFonts w:ascii="Times New Roman" w:hAnsi="Times New Roman" w:cs="Times New Roman"/>
              </w:rPr>
            </w:pPr>
            <w:r>
              <w:rPr>
                <w:rFonts w:ascii="Times New Roman" w:hAnsi="Times New Roman" w:cs="Times New Roman"/>
              </w:rPr>
              <w:t>Hassas Reseptör</w:t>
            </w:r>
          </w:p>
        </w:tc>
        <w:tc>
          <w:tcPr>
            <w:tcW w:w="6090" w:type="dxa"/>
            <w:vAlign w:val="center"/>
          </w:tcPr>
          <w:p w14:paraId="670742E0" w14:textId="77777777" w:rsidR="00E73D54" w:rsidRDefault="00E73D54" w:rsidP="0024730D">
            <w:pPr>
              <w:jc w:val="both"/>
              <w:rPr>
                <w:rFonts w:ascii="Times New Roman" w:hAnsi="Times New Roman" w:cs="Times New Roman"/>
              </w:rPr>
            </w:pPr>
            <w:r>
              <w:rPr>
                <w:rFonts w:ascii="Times New Roman" w:hAnsi="Times New Roman" w:cs="Times New Roman"/>
              </w:rPr>
              <w:t>Özel koruma gerektiren, aşağıdakiler gibi bir alan:</w:t>
            </w:r>
          </w:p>
          <w:p w14:paraId="1C9D8523" w14:textId="77777777" w:rsidR="00E73D54" w:rsidRDefault="00E73D54" w:rsidP="0024730D">
            <w:pPr>
              <w:jc w:val="both"/>
              <w:rPr>
                <w:rFonts w:ascii="Times New Roman" w:hAnsi="Times New Roman" w:cs="Times New Roman"/>
              </w:rPr>
            </w:pPr>
            <w:r>
              <w:rPr>
                <w:rFonts w:ascii="Times New Roman" w:hAnsi="Times New Roman" w:cs="Times New Roman"/>
              </w:rPr>
              <w:t>-- yerleşim alanları,</w:t>
            </w:r>
          </w:p>
          <w:p w14:paraId="6209498F" w14:textId="77777777" w:rsidR="00E73D54" w:rsidRDefault="00E73D54" w:rsidP="0024730D">
            <w:pPr>
              <w:jc w:val="both"/>
              <w:rPr>
                <w:rFonts w:ascii="Times New Roman" w:hAnsi="Times New Roman" w:cs="Times New Roman"/>
              </w:rPr>
            </w:pPr>
            <w:r>
              <w:rPr>
                <w:rFonts w:ascii="Times New Roman" w:hAnsi="Times New Roman" w:cs="Times New Roman"/>
              </w:rPr>
              <w:t>-- insan faaliyetlerinin (örn. komşu iş yerleri, okullar, çocuk yuvaları, dinlenme alanları, hastaneler veya huzurevleri) gerçekleştirildiği alanlar.</w:t>
            </w:r>
          </w:p>
        </w:tc>
      </w:tr>
      <w:tr w:rsidR="00E73D54" w:rsidRPr="00BA34D0" w14:paraId="2DF46311" w14:textId="77777777" w:rsidTr="0024730D">
        <w:trPr>
          <w:jc w:val="center"/>
        </w:trPr>
        <w:tc>
          <w:tcPr>
            <w:tcW w:w="2972" w:type="dxa"/>
            <w:vAlign w:val="center"/>
          </w:tcPr>
          <w:p w14:paraId="59A5A40D" w14:textId="77777777" w:rsidR="00E73D54" w:rsidRDefault="00E73D54" w:rsidP="0024730D">
            <w:pPr>
              <w:jc w:val="both"/>
              <w:rPr>
                <w:rFonts w:ascii="Times New Roman" w:hAnsi="Times New Roman" w:cs="Times New Roman"/>
              </w:rPr>
            </w:pPr>
            <w:r>
              <w:rPr>
                <w:rFonts w:ascii="Times New Roman" w:hAnsi="Times New Roman" w:cs="Times New Roman"/>
              </w:rPr>
              <w:t>Katı Kütle Girdisi</w:t>
            </w:r>
          </w:p>
        </w:tc>
        <w:tc>
          <w:tcPr>
            <w:tcW w:w="6090" w:type="dxa"/>
            <w:vAlign w:val="center"/>
          </w:tcPr>
          <w:p w14:paraId="429374CB" w14:textId="77777777" w:rsidR="00E73D54" w:rsidRDefault="009F52AE" w:rsidP="0024730D">
            <w:pPr>
              <w:jc w:val="both"/>
              <w:rPr>
                <w:rFonts w:ascii="Times New Roman" w:hAnsi="Times New Roman" w:cs="Times New Roman"/>
              </w:rPr>
            </w:pPr>
            <w:r>
              <w:rPr>
                <w:rFonts w:ascii="Times New Roman" w:hAnsi="Times New Roman" w:cs="Times New Roman"/>
              </w:rPr>
              <w:t>Kaplama maddelerinde, mürekkeplerde, verniklerde ve yapıştırıcılarda bulunan ve su veya uçucu organik bileşikler buharlaştığında katılaşan tüm materyaller.</w:t>
            </w:r>
          </w:p>
        </w:tc>
      </w:tr>
      <w:tr w:rsidR="00E73D54" w:rsidRPr="00BA34D0" w14:paraId="1E2339E4" w14:textId="77777777" w:rsidTr="0024730D">
        <w:trPr>
          <w:jc w:val="center"/>
        </w:trPr>
        <w:tc>
          <w:tcPr>
            <w:tcW w:w="2972" w:type="dxa"/>
            <w:vAlign w:val="center"/>
          </w:tcPr>
          <w:p w14:paraId="13895C6B" w14:textId="77777777" w:rsidR="00E73D54" w:rsidRDefault="009F52AE" w:rsidP="0024730D">
            <w:pPr>
              <w:jc w:val="both"/>
              <w:rPr>
                <w:rFonts w:ascii="Times New Roman" w:hAnsi="Times New Roman" w:cs="Times New Roman"/>
              </w:rPr>
            </w:pPr>
            <w:r>
              <w:rPr>
                <w:rFonts w:ascii="Times New Roman" w:hAnsi="Times New Roman" w:cs="Times New Roman"/>
              </w:rPr>
              <w:lastRenderedPageBreak/>
              <w:t>Solvent</w:t>
            </w:r>
          </w:p>
        </w:tc>
        <w:tc>
          <w:tcPr>
            <w:tcW w:w="6090" w:type="dxa"/>
            <w:vAlign w:val="center"/>
          </w:tcPr>
          <w:p w14:paraId="17AB352A" w14:textId="77777777" w:rsidR="00E73D54" w:rsidRDefault="009F52AE" w:rsidP="0024730D">
            <w:pPr>
              <w:jc w:val="both"/>
              <w:rPr>
                <w:rFonts w:ascii="Times New Roman" w:hAnsi="Times New Roman" w:cs="Times New Roman"/>
              </w:rPr>
            </w:pPr>
            <w:r>
              <w:rPr>
                <w:rFonts w:ascii="Times New Roman" w:hAnsi="Times New Roman" w:cs="Times New Roman"/>
              </w:rPr>
              <w:t>‘Solvent’, ‘organik solvent’i ifade eder.</w:t>
            </w:r>
          </w:p>
        </w:tc>
      </w:tr>
      <w:tr w:rsidR="00E73D54" w:rsidRPr="00BA34D0" w14:paraId="4D5BEA75" w14:textId="77777777" w:rsidTr="0024730D">
        <w:trPr>
          <w:jc w:val="center"/>
        </w:trPr>
        <w:tc>
          <w:tcPr>
            <w:tcW w:w="2972" w:type="dxa"/>
            <w:vAlign w:val="center"/>
          </w:tcPr>
          <w:p w14:paraId="4870AB0E" w14:textId="77777777" w:rsidR="00E73D54" w:rsidRDefault="009F52AE" w:rsidP="0024730D">
            <w:pPr>
              <w:jc w:val="both"/>
              <w:rPr>
                <w:rFonts w:ascii="Times New Roman" w:hAnsi="Times New Roman" w:cs="Times New Roman"/>
              </w:rPr>
            </w:pPr>
            <w:r>
              <w:rPr>
                <w:rFonts w:ascii="Times New Roman" w:hAnsi="Times New Roman" w:cs="Times New Roman"/>
              </w:rPr>
              <w:t>Solvent Girdisi</w:t>
            </w:r>
          </w:p>
        </w:tc>
        <w:tc>
          <w:tcPr>
            <w:tcW w:w="6090" w:type="dxa"/>
            <w:vAlign w:val="center"/>
          </w:tcPr>
          <w:p w14:paraId="255F2003" w14:textId="77777777" w:rsidR="00E73D54" w:rsidRDefault="00343385" w:rsidP="0024730D">
            <w:pPr>
              <w:jc w:val="both"/>
              <w:rPr>
                <w:rFonts w:ascii="Times New Roman" w:hAnsi="Times New Roman" w:cs="Times New Roman"/>
              </w:rPr>
            </w:pPr>
            <w:r>
              <w:rPr>
                <w:rFonts w:ascii="Times New Roman" w:hAnsi="Times New Roman" w:cs="Times New Roman"/>
              </w:rPr>
              <w:t>Kullanılan organik solventlerin toplam miktarı.</w:t>
            </w:r>
          </w:p>
        </w:tc>
      </w:tr>
      <w:tr w:rsidR="00E73D54" w:rsidRPr="00BA34D0" w14:paraId="2D66758F" w14:textId="77777777" w:rsidTr="0024730D">
        <w:trPr>
          <w:jc w:val="center"/>
        </w:trPr>
        <w:tc>
          <w:tcPr>
            <w:tcW w:w="2972" w:type="dxa"/>
            <w:vAlign w:val="center"/>
          </w:tcPr>
          <w:p w14:paraId="5A3E5C66" w14:textId="77777777" w:rsidR="00E73D54" w:rsidRDefault="00343385" w:rsidP="0024730D">
            <w:pPr>
              <w:jc w:val="both"/>
              <w:rPr>
                <w:rFonts w:ascii="Times New Roman" w:hAnsi="Times New Roman" w:cs="Times New Roman"/>
              </w:rPr>
            </w:pPr>
            <w:r>
              <w:rPr>
                <w:rFonts w:ascii="Times New Roman" w:hAnsi="Times New Roman" w:cs="Times New Roman"/>
              </w:rPr>
              <w:t>Solvent Tabanlı (SB)</w:t>
            </w:r>
          </w:p>
        </w:tc>
        <w:tc>
          <w:tcPr>
            <w:tcW w:w="6090" w:type="dxa"/>
            <w:vAlign w:val="center"/>
          </w:tcPr>
          <w:p w14:paraId="256BA35A" w14:textId="77777777" w:rsidR="00E73D54" w:rsidRDefault="00343385" w:rsidP="0024730D">
            <w:pPr>
              <w:jc w:val="both"/>
              <w:rPr>
                <w:rFonts w:ascii="Times New Roman" w:hAnsi="Times New Roman" w:cs="Times New Roman"/>
              </w:rPr>
            </w:pPr>
            <w:r>
              <w:rPr>
                <w:rFonts w:ascii="Times New Roman" w:hAnsi="Times New Roman" w:cs="Times New Roman"/>
              </w:rPr>
              <w:t>Taşıyıcı olarak solvent(ler) kullanan boya, mürekkep veya diğer kaplama materyalinin türü. Ahşap ve ahşap ürünlerinin korunması için, işleme kimyasallarının türünü ifade eder.</w:t>
            </w:r>
          </w:p>
        </w:tc>
      </w:tr>
      <w:tr w:rsidR="00E73D54" w:rsidRPr="00BA34D0" w14:paraId="4C47C664" w14:textId="77777777" w:rsidTr="0024730D">
        <w:trPr>
          <w:jc w:val="center"/>
        </w:trPr>
        <w:tc>
          <w:tcPr>
            <w:tcW w:w="2972" w:type="dxa"/>
            <w:vAlign w:val="center"/>
          </w:tcPr>
          <w:p w14:paraId="4EB8BBD3" w14:textId="77777777" w:rsidR="00E73D54" w:rsidRDefault="00343385" w:rsidP="0024730D">
            <w:pPr>
              <w:jc w:val="both"/>
              <w:rPr>
                <w:rFonts w:ascii="Times New Roman" w:hAnsi="Times New Roman" w:cs="Times New Roman"/>
              </w:rPr>
            </w:pPr>
            <w:r>
              <w:rPr>
                <w:rFonts w:ascii="Times New Roman" w:hAnsi="Times New Roman" w:cs="Times New Roman"/>
              </w:rPr>
              <w:t>Solvent Tabanlı Karışım (SB-karışım)</w:t>
            </w:r>
          </w:p>
        </w:tc>
        <w:tc>
          <w:tcPr>
            <w:tcW w:w="6090" w:type="dxa"/>
            <w:vAlign w:val="center"/>
          </w:tcPr>
          <w:p w14:paraId="200A756E" w14:textId="77777777" w:rsidR="00E73D54" w:rsidRDefault="00343385" w:rsidP="0024730D">
            <w:pPr>
              <w:jc w:val="both"/>
              <w:rPr>
                <w:rFonts w:ascii="Times New Roman" w:hAnsi="Times New Roman" w:cs="Times New Roman"/>
              </w:rPr>
            </w:pPr>
            <w:r>
              <w:rPr>
                <w:rFonts w:ascii="Times New Roman" w:hAnsi="Times New Roman" w:cs="Times New Roman"/>
              </w:rPr>
              <w:t>Kaplama katlarından birinin su tabanlı (WB) olduğu solvent tabanlı kaplama.</w:t>
            </w:r>
          </w:p>
        </w:tc>
      </w:tr>
      <w:tr w:rsidR="00E73D54" w:rsidRPr="00BA34D0" w14:paraId="4812F959" w14:textId="77777777" w:rsidTr="0024730D">
        <w:trPr>
          <w:jc w:val="center"/>
        </w:trPr>
        <w:tc>
          <w:tcPr>
            <w:tcW w:w="2972" w:type="dxa"/>
            <w:vAlign w:val="center"/>
          </w:tcPr>
          <w:p w14:paraId="7892C477" w14:textId="09ED7F7B" w:rsidR="00E73D54" w:rsidRDefault="00343385" w:rsidP="0024730D">
            <w:pPr>
              <w:jc w:val="both"/>
              <w:rPr>
                <w:rFonts w:ascii="Times New Roman" w:hAnsi="Times New Roman" w:cs="Times New Roman"/>
              </w:rPr>
            </w:pPr>
            <w:r>
              <w:rPr>
                <w:rFonts w:ascii="Times New Roman" w:hAnsi="Times New Roman" w:cs="Times New Roman"/>
              </w:rPr>
              <w:t xml:space="preserve">Solvent Kütle Dengesi </w:t>
            </w:r>
          </w:p>
        </w:tc>
        <w:tc>
          <w:tcPr>
            <w:tcW w:w="6090" w:type="dxa"/>
            <w:vAlign w:val="center"/>
          </w:tcPr>
          <w:p w14:paraId="3187F6C7" w14:textId="77777777" w:rsidR="00E73D54" w:rsidRDefault="00343385" w:rsidP="0024730D">
            <w:pPr>
              <w:jc w:val="both"/>
              <w:rPr>
                <w:rFonts w:ascii="Times New Roman" w:hAnsi="Times New Roman" w:cs="Times New Roman"/>
              </w:rPr>
            </w:pPr>
            <w:r>
              <w:rPr>
                <w:rFonts w:ascii="Times New Roman" w:hAnsi="Times New Roman" w:cs="Times New Roman"/>
              </w:rPr>
              <w:t>Her yıl en az bir kere yürütülen kütle dengesi çalışması.</w:t>
            </w:r>
          </w:p>
        </w:tc>
      </w:tr>
      <w:tr w:rsidR="00E73D54" w:rsidRPr="00BA34D0" w14:paraId="2DB6D0D9" w14:textId="77777777" w:rsidTr="0024730D">
        <w:trPr>
          <w:jc w:val="center"/>
        </w:trPr>
        <w:tc>
          <w:tcPr>
            <w:tcW w:w="2972" w:type="dxa"/>
            <w:vAlign w:val="center"/>
          </w:tcPr>
          <w:p w14:paraId="1AF4A8FF" w14:textId="77777777" w:rsidR="00E73D54" w:rsidRDefault="00343385" w:rsidP="0024730D">
            <w:pPr>
              <w:jc w:val="both"/>
              <w:rPr>
                <w:rFonts w:ascii="Times New Roman" w:hAnsi="Times New Roman" w:cs="Times New Roman"/>
              </w:rPr>
            </w:pPr>
            <w:r>
              <w:rPr>
                <w:rFonts w:ascii="Times New Roman" w:hAnsi="Times New Roman" w:cs="Times New Roman"/>
              </w:rPr>
              <w:t>Yüzey Akıntı Suyu</w:t>
            </w:r>
          </w:p>
        </w:tc>
        <w:tc>
          <w:tcPr>
            <w:tcW w:w="6090" w:type="dxa"/>
            <w:vAlign w:val="center"/>
          </w:tcPr>
          <w:p w14:paraId="3703F410" w14:textId="77777777" w:rsidR="00E73D54" w:rsidRDefault="00343385" w:rsidP="0024730D">
            <w:pPr>
              <w:jc w:val="both"/>
              <w:rPr>
                <w:rFonts w:ascii="Times New Roman" w:hAnsi="Times New Roman" w:cs="Times New Roman"/>
              </w:rPr>
            </w:pPr>
            <w:r>
              <w:rPr>
                <w:rFonts w:ascii="Times New Roman" w:hAnsi="Times New Roman" w:cs="Times New Roman"/>
              </w:rPr>
              <w:t>Arazi veya asfaltlı sokaklar ve depolama alanları, bina çatıları vb. geçirimsiz yüzeyler üzerinden akan, yere süzülmeyen ve çöktürmeden kaynaklanan su.</w:t>
            </w:r>
          </w:p>
        </w:tc>
      </w:tr>
      <w:tr w:rsidR="00E73D54" w:rsidRPr="00BA34D0" w14:paraId="576C82F7" w14:textId="77777777" w:rsidTr="0024730D">
        <w:trPr>
          <w:jc w:val="center"/>
        </w:trPr>
        <w:tc>
          <w:tcPr>
            <w:tcW w:w="2972" w:type="dxa"/>
            <w:vAlign w:val="center"/>
          </w:tcPr>
          <w:p w14:paraId="5976CFCD" w14:textId="77777777" w:rsidR="00E73D54" w:rsidRDefault="00343385" w:rsidP="0024730D">
            <w:pPr>
              <w:jc w:val="both"/>
              <w:rPr>
                <w:rFonts w:ascii="Times New Roman" w:hAnsi="Times New Roman" w:cs="Times New Roman"/>
              </w:rPr>
            </w:pPr>
            <w:r>
              <w:rPr>
                <w:rFonts w:ascii="Times New Roman" w:hAnsi="Times New Roman" w:cs="Times New Roman"/>
              </w:rPr>
              <w:t>Toplam Emisyonlar</w:t>
            </w:r>
          </w:p>
        </w:tc>
        <w:tc>
          <w:tcPr>
            <w:tcW w:w="6090" w:type="dxa"/>
            <w:vAlign w:val="center"/>
          </w:tcPr>
          <w:p w14:paraId="3E0EC370" w14:textId="77777777" w:rsidR="00E73D54" w:rsidRDefault="001C7E62" w:rsidP="0024730D">
            <w:pPr>
              <w:jc w:val="both"/>
              <w:rPr>
                <w:rFonts w:ascii="Times New Roman" w:hAnsi="Times New Roman" w:cs="Times New Roman"/>
              </w:rPr>
            </w:pPr>
            <w:r>
              <w:rPr>
                <w:rFonts w:ascii="Times New Roman" w:hAnsi="Times New Roman" w:cs="Times New Roman"/>
              </w:rPr>
              <w:t>Kaçak emisyonlar ile atık gazlardaki emisyonların toplamı.</w:t>
            </w:r>
          </w:p>
        </w:tc>
      </w:tr>
      <w:tr w:rsidR="00E73D54" w:rsidRPr="00BA34D0" w14:paraId="68118CDC" w14:textId="77777777" w:rsidTr="0024730D">
        <w:trPr>
          <w:jc w:val="center"/>
        </w:trPr>
        <w:tc>
          <w:tcPr>
            <w:tcW w:w="2972" w:type="dxa"/>
            <w:vAlign w:val="center"/>
          </w:tcPr>
          <w:p w14:paraId="78E9316B" w14:textId="77777777" w:rsidR="00E73D54" w:rsidRDefault="001C7E62" w:rsidP="0024730D">
            <w:pPr>
              <w:jc w:val="both"/>
              <w:rPr>
                <w:rFonts w:ascii="Times New Roman" w:hAnsi="Times New Roman" w:cs="Times New Roman"/>
              </w:rPr>
            </w:pPr>
            <w:r>
              <w:rPr>
                <w:rFonts w:ascii="Times New Roman" w:hAnsi="Times New Roman" w:cs="Times New Roman"/>
              </w:rPr>
              <w:t>İşleme Kimyasalları</w:t>
            </w:r>
          </w:p>
        </w:tc>
        <w:tc>
          <w:tcPr>
            <w:tcW w:w="6090" w:type="dxa"/>
            <w:vAlign w:val="center"/>
          </w:tcPr>
          <w:p w14:paraId="2519C118" w14:textId="77777777" w:rsidR="00E73D54" w:rsidRDefault="00EA30E3" w:rsidP="0024730D">
            <w:pPr>
              <w:jc w:val="both"/>
              <w:rPr>
                <w:rFonts w:ascii="Times New Roman" w:hAnsi="Times New Roman" w:cs="Times New Roman"/>
              </w:rPr>
            </w:pPr>
            <w:r>
              <w:rPr>
                <w:rFonts w:ascii="Times New Roman" w:hAnsi="Times New Roman" w:cs="Times New Roman"/>
              </w:rPr>
              <w:t>Ahşap ve ahşap ürünlerinin korunmasında kullanılan biyosit gibi kimyasallar, su geçirmezlik (örn. yağlar, emülsiyonlar) ve alev geciktiriciler için kullanılan kimyasallar. Bu ayrıca, aktif maddelerin (örn. su, solvent) taşıyıcısını da içerir.</w:t>
            </w:r>
          </w:p>
        </w:tc>
      </w:tr>
      <w:tr w:rsidR="00E73D54" w:rsidRPr="00BA34D0" w14:paraId="26CE7A18" w14:textId="77777777" w:rsidTr="0024730D">
        <w:trPr>
          <w:jc w:val="center"/>
        </w:trPr>
        <w:tc>
          <w:tcPr>
            <w:tcW w:w="2972" w:type="dxa"/>
            <w:vAlign w:val="center"/>
          </w:tcPr>
          <w:p w14:paraId="0455B748" w14:textId="77777777" w:rsidR="00E73D54" w:rsidRDefault="0039722E" w:rsidP="0024730D">
            <w:pPr>
              <w:jc w:val="both"/>
              <w:rPr>
                <w:rFonts w:ascii="Times New Roman" w:hAnsi="Times New Roman" w:cs="Times New Roman"/>
              </w:rPr>
            </w:pPr>
            <w:r>
              <w:rPr>
                <w:rFonts w:ascii="Times New Roman" w:hAnsi="Times New Roman" w:cs="Times New Roman"/>
              </w:rPr>
              <w:t>Geçerli Saatlik/Yarım Saatlik Ortalama</w:t>
            </w:r>
          </w:p>
        </w:tc>
        <w:tc>
          <w:tcPr>
            <w:tcW w:w="6090" w:type="dxa"/>
            <w:vAlign w:val="center"/>
          </w:tcPr>
          <w:p w14:paraId="6764F316" w14:textId="77777777" w:rsidR="00E73D54" w:rsidRDefault="0039722E" w:rsidP="0024730D">
            <w:pPr>
              <w:jc w:val="both"/>
              <w:rPr>
                <w:rFonts w:ascii="Times New Roman" w:hAnsi="Times New Roman" w:cs="Times New Roman"/>
              </w:rPr>
            </w:pPr>
            <w:r>
              <w:rPr>
                <w:rFonts w:ascii="Times New Roman" w:hAnsi="Times New Roman" w:cs="Times New Roman"/>
              </w:rPr>
              <w:t>Saatlik/yarım saatlik bir ortalama, otomatik ölçüm sistemine yönelik herhangi bir bakım veya arıza olmadığı durumlarda geçerli olarak değerlendirilir.</w:t>
            </w:r>
          </w:p>
        </w:tc>
      </w:tr>
      <w:tr w:rsidR="0039722E" w:rsidRPr="00BA34D0" w14:paraId="548E37A6" w14:textId="77777777" w:rsidTr="0024730D">
        <w:trPr>
          <w:jc w:val="center"/>
        </w:trPr>
        <w:tc>
          <w:tcPr>
            <w:tcW w:w="2972" w:type="dxa"/>
            <w:vAlign w:val="center"/>
          </w:tcPr>
          <w:p w14:paraId="5A2EC229" w14:textId="77777777" w:rsidR="0039722E" w:rsidRDefault="0039722E" w:rsidP="0024730D">
            <w:pPr>
              <w:jc w:val="both"/>
              <w:rPr>
                <w:rFonts w:ascii="Times New Roman" w:hAnsi="Times New Roman" w:cs="Times New Roman"/>
              </w:rPr>
            </w:pPr>
            <w:r>
              <w:rPr>
                <w:rFonts w:ascii="Times New Roman" w:hAnsi="Times New Roman" w:cs="Times New Roman"/>
              </w:rPr>
              <w:t>Atık Gazlar</w:t>
            </w:r>
          </w:p>
        </w:tc>
        <w:tc>
          <w:tcPr>
            <w:tcW w:w="6090" w:type="dxa"/>
            <w:vAlign w:val="center"/>
          </w:tcPr>
          <w:p w14:paraId="4EDB77C2" w14:textId="77777777" w:rsidR="0039722E" w:rsidRDefault="0039722E" w:rsidP="0024730D">
            <w:pPr>
              <w:jc w:val="both"/>
              <w:rPr>
                <w:rFonts w:ascii="Times New Roman" w:hAnsi="Times New Roman" w:cs="Times New Roman"/>
              </w:rPr>
            </w:pPr>
            <w:r>
              <w:rPr>
                <w:rFonts w:ascii="Times New Roman" w:hAnsi="Times New Roman" w:cs="Times New Roman"/>
              </w:rPr>
              <w:t>Bir bacadan veya azaltım ekipmanından kaynaklanan uçucu organik bileşikleri veya diğer kirleticileri içeren son gaz halindeki deşarj.</w:t>
            </w:r>
          </w:p>
        </w:tc>
      </w:tr>
      <w:tr w:rsidR="0039722E" w:rsidRPr="00BA34D0" w14:paraId="0E6A9477" w14:textId="77777777" w:rsidTr="0024730D">
        <w:trPr>
          <w:jc w:val="center"/>
        </w:trPr>
        <w:tc>
          <w:tcPr>
            <w:tcW w:w="2972" w:type="dxa"/>
            <w:vAlign w:val="center"/>
          </w:tcPr>
          <w:p w14:paraId="6EF9C3E7" w14:textId="77777777" w:rsidR="0039722E" w:rsidRDefault="0039722E" w:rsidP="0024730D">
            <w:pPr>
              <w:jc w:val="both"/>
              <w:rPr>
                <w:rFonts w:ascii="Times New Roman" w:hAnsi="Times New Roman" w:cs="Times New Roman"/>
              </w:rPr>
            </w:pPr>
            <w:r>
              <w:rPr>
                <w:rFonts w:ascii="Times New Roman" w:hAnsi="Times New Roman" w:cs="Times New Roman"/>
              </w:rPr>
              <w:t>Su Tabanlı (WB)</w:t>
            </w:r>
          </w:p>
        </w:tc>
        <w:tc>
          <w:tcPr>
            <w:tcW w:w="6090" w:type="dxa"/>
            <w:vAlign w:val="center"/>
          </w:tcPr>
          <w:p w14:paraId="7EDD64A2" w14:textId="77777777" w:rsidR="0039722E" w:rsidRDefault="00660878" w:rsidP="0024730D">
            <w:pPr>
              <w:jc w:val="both"/>
              <w:rPr>
                <w:rFonts w:ascii="Times New Roman" w:hAnsi="Times New Roman" w:cs="Times New Roman"/>
              </w:rPr>
            </w:pPr>
            <w:r>
              <w:rPr>
                <w:rFonts w:ascii="Times New Roman" w:hAnsi="Times New Roman" w:cs="Times New Roman"/>
              </w:rPr>
              <w:t>Suyun, solvent içeriğinin tümünün veya parçasının yerini aldığı boya, mürekkep veya diğer kaplama materyalinin türü. Ahşap ve ahşap ürünlerinin korunması için, işleme kimyasallarının türünü ifade eder.</w:t>
            </w:r>
          </w:p>
        </w:tc>
      </w:tr>
      <w:tr w:rsidR="0039722E" w:rsidRPr="00BA34D0" w14:paraId="27FA0AEC" w14:textId="77777777" w:rsidTr="0024730D">
        <w:trPr>
          <w:jc w:val="center"/>
        </w:trPr>
        <w:tc>
          <w:tcPr>
            <w:tcW w:w="2972" w:type="dxa"/>
            <w:vAlign w:val="center"/>
          </w:tcPr>
          <w:p w14:paraId="29CE4537" w14:textId="77777777" w:rsidR="0039722E" w:rsidRDefault="00660878" w:rsidP="0024730D">
            <w:pPr>
              <w:jc w:val="both"/>
              <w:rPr>
                <w:rFonts w:ascii="Times New Roman" w:hAnsi="Times New Roman" w:cs="Times New Roman"/>
              </w:rPr>
            </w:pPr>
            <w:r>
              <w:rPr>
                <w:rFonts w:ascii="Times New Roman" w:hAnsi="Times New Roman" w:cs="Times New Roman"/>
              </w:rPr>
              <w:t>Ahşap Korunması</w:t>
            </w:r>
          </w:p>
        </w:tc>
        <w:tc>
          <w:tcPr>
            <w:tcW w:w="6090" w:type="dxa"/>
            <w:vAlign w:val="center"/>
          </w:tcPr>
          <w:p w14:paraId="69421A5B" w14:textId="77777777" w:rsidR="0039722E" w:rsidRDefault="00F24A18" w:rsidP="0024730D">
            <w:pPr>
              <w:jc w:val="both"/>
              <w:rPr>
                <w:rFonts w:ascii="Times New Roman" w:hAnsi="Times New Roman" w:cs="Times New Roman"/>
              </w:rPr>
            </w:pPr>
            <w:r>
              <w:rPr>
                <w:rFonts w:ascii="Times New Roman" w:hAnsi="Times New Roman" w:cs="Times New Roman"/>
              </w:rPr>
              <w:t>Amacı ahşap ve ahşap ürünlerini mantar, bakteri, böcek, su, hava veya ateşin zarar verisi etkilerinden koruma</w:t>
            </w:r>
            <w:r w:rsidR="0081339A">
              <w:rPr>
                <w:rFonts w:ascii="Times New Roman" w:hAnsi="Times New Roman" w:cs="Times New Roman"/>
              </w:rPr>
              <w:t>k</w:t>
            </w:r>
            <w:r>
              <w:rPr>
                <w:rFonts w:ascii="Times New Roman" w:hAnsi="Times New Roman" w:cs="Times New Roman"/>
              </w:rPr>
              <w:t xml:space="preserve">, yapısal bütünlüğün uzun süreli </w:t>
            </w:r>
            <w:r w:rsidR="0081339A">
              <w:rPr>
                <w:rFonts w:ascii="Times New Roman" w:hAnsi="Times New Roman" w:cs="Times New Roman"/>
              </w:rPr>
              <w:t>muhafazasını sağla</w:t>
            </w:r>
            <w:r w:rsidR="008C00AC">
              <w:rPr>
                <w:rFonts w:ascii="Times New Roman" w:hAnsi="Times New Roman" w:cs="Times New Roman"/>
              </w:rPr>
              <w:t>mak</w:t>
            </w:r>
            <w:r w:rsidR="0081339A">
              <w:rPr>
                <w:rFonts w:ascii="Times New Roman" w:hAnsi="Times New Roman" w:cs="Times New Roman"/>
              </w:rPr>
              <w:t xml:space="preserve"> ve ahşap ve ahşap ürünlerinin direncini iyileştirmek </w:t>
            </w:r>
            <w:r w:rsidR="008C00AC">
              <w:rPr>
                <w:rFonts w:ascii="Times New Roman" w:hAnsi="Times New Roman" w:cs="Times New Roman"/>
              </w:rPr>
              <w:t>olan faaliyetler.</w:t>
            </w:r>
          </w:p>
        </w:tc>
      </w:tr>
    </w:tbl>
    <w:p w14:paraId="3E81CEDC" w14:textId="77777777" w:rsidR="000A3878" w:rsidRDefault="000A3878" w:rsidP="00BA34D0">
      <w:pPr>
        <w:spacing w:after="120" w:line="276" w:lineRule="auto"/>
        <w:jc w:val="both"/>
        <w:rPr>
          <w:rFonts w:ascii="Times New Roman" w:hAnsi="Times New Roman" w:cs="Times New Roman"/>
          <w:sz w:val="24"/>
          <w:szCs w:val="24"/>
        </w:rPr>
      </w:pPr>
    </w:p>
    <w:p w14:paraId="14E9A092" w14:textId="77777777" w:rsidR="001477D8" w:rsidRPr="009600E3" w:rsidRDefault="001477D8" w:rsidP="001477D8">
      <w:pPr>
        <w:pStyle w:val="Balk2"/>
        <w:spacing w:before="0" w:after="120" w:line="276" w:lineRule="auto"/>
        <w:jc w:val="both"/>
        <w:rPr>
          <w:rFonts w:cs="Times New Roman"/>
          <w:b/>
          <w:bCs/>
          <w:szCs w:val="24"/>
        </w:rPr>
      </w:pPr>
      <w:r>
        <w:rPr>
          <w:rFonts w:cs="Times New Roman"/>
          <w:b/>
          <w:bCs/>
          <w:szCs w:val="24"/>
        </w:rPr>
        <w:t xml:space="preserve">(9) </w:t>
      </w:r>
      <w:r w:rsidRPr="00F51FE1">
        <w:rPr>
          <w:rFonts w:cs="Times New Roman"/>
          <w:b/>
          <w:bCs/>
          <w:szCs w:val="24"/>
        </w:rPr>
        <w:t>Kimya Sektöründe Atık Su/Atık Gaz Arıtma/Yönetim Sistemleri</w:t>
      </w:r>
    </w:p>
    <w:tbl>
      <w:tblPr>
        <w:tblStyle w:val="TabloKlavuzu"/>
        <w:tblW w:w="0" w:type="auto"/>
        <w:jc w:val="center"/>
        <w:tblLook w:val="04A0" w:firstRow="1" w:lastRow="0" w:firstColumn="1" w:lastColumn="0" w:noHBand="0" w:noVBand="1"/>
      </w:tblPr>
      <w:tblGrid>
        <w:gridCol w:w="2972"/>
        <w:gridCol w:w="6090"/>
      </w:tblGrid>
      <w:tr w:rsidR="001477D8" w:rsidRPr="00BA34D0" w14:paraId="76E8C6F1" w14:textId="77777777" w:rsidTr="0024730D">
        <w:trPr>
          <w:tblHeader/>
          <w:jc w:val="center"/>
        </w:trPr>
        <w:tc>
          <w:tcPr>
            <w:tcW w:w="2972" w:type="dxa"/>
            <w:vAlign w:val="center"/>
          </w:tcPr>
          <w:p w14:paraId="61C1C1ED" w14:textId="77777777" w:rsidR="001477D8" w:rsidRPr="00BA34D0" w:rsidRDefault="001477D8" w:rsidP="0024730D">
            <w:pPr>
              <w:jc w:val="center"/>
              <w:rPr>
                <w:rFonts w:ascii="Times New Roman" w:hAnsi="Times New Roman" w:cs="Times New Roman"/>
                <w:b/>
                <w:bCs/>
              </w:rPr>
            </w:pPr>
            <w:r>
              <w:rPr>
                <w:rFonts w:ascii="Times New Roman" w:hAnsi="Times New Roman" w:cs="Times New Roman"/>
                <w:b/>
                <w:bCs/>
              </w:rPr>
              <w:t>Terim</w:t>
            </w:r>
          </w:p>
        </w:tc>
        <w:tc>
          <w:tcPr>
            <w:tcW w:w="6090" w:type="dxa"/>
            <w:vAlign w:val="center"/>
          </w:tcPr>
          <w:p w14:paraId="61398679" w14:textId="77777777" w:rsidR="001477D8" w:rsidRPr="00BA34D0" w:rsidRDefault="001477D8" w:rsidP="0024730D">
            <w:pPr>
              <w:jc w:val="center"/>
              <w:rPr>
                <w:rFonts w:ascii="Times New Roman" w:hAnsi="Times New Roman" w:cs="Times New Roman"/>
                <w:b/>
                <w:bCs/>
              </w:rPr>
            </w:pPr>
            <w:r>
              <w:rPr>
                <w:rFonts w:ascii="Times New Roman" w:hAnsi="Times New Roman" w:cs="Times New Roman"/>
                <w:b/>
                <w:bCs/>
              </w:rPr>
              <w:t>Tanım</w:t>
            </w:r>
          </w:p>
        </w:tc>
      </w:tr>
      <w:tr w:rsidR="00415922" w:rsidRPr="00BA34D0" w14:paraId="26A9107E" w14:textId="77777777" w:rsidTr="0024730D">
        <w:trPr>
          <w:jc w:val="center"/>
        </w:trPr>
        <w:tc>
          <w:tcPr>
            <w:tcW w:w="2972" w:type="dxa"/>
            <w:vAlign w:val="center"/>
          </w:tcPr>
          <w:p w14:paraId="10C5AEAE" w14:textId="77777777" w:rsidR="00415922" w:rsidRDefault="00415922" w:rsidP="0024730D">
            <w:pPr>
              <w:jc w:val="both"/>
              <w:rPr>
                <w:rFonts w:ascii="Times New Roman" w:hAnsi="Times New Roman" w:cs="Times New Roman"/>
              </w:rPr>
            </w:pPr>
            <w:r>
              <w:rPr>
                <w:rFonts w:ascii="Times New Roman" w:hAnsi="Times New Roman" w:cs="Times New Roman"/>
              </w:rPr>
              <w:t xml:space="preserve">Yayılı </w:t>
            </w:r>
            <w:r w:rsidR="009D570E">
              <w:rPr>
                <w:rFonts w:ascii="Times New Roman" w:hAnsi="Times New Roman" w:cs="Times New Roman"/>
              </w:rPr>
              <w:t>UOB</w:t>
            </w:r>
            <w:r>
              <w:rPr>
                <w:rFonts w:ascii="Times New Roman" w:hAnsi="Times New Roman" w:cs="Times New Roman"/>
              </w:rPr>
              <w:t xml:space="preserve"> Emisyonları</w:t>
            </w:r>
          </w:p>
        </w:tc>
        <w:tc>
          <w:tcPr>
            <w:tcW w:w="6090" w:type="dxa"/>
            <w:vAlign w:val="center"/>
          </w:tcPr>
          <w:p w14:paraId="0ACAF1C0" w14:textId="77777777" w:rsidR="00415922" w:rsidRDefault="00415922" w:rsidP="0024730D">
            <w:pPr>
              <w:jc w:val="both"/>
              <w:rPr>
                <w:rFonts w:ascii="Times New Roman" w:hAnsi="Times New Roman" w:cs="Times New Roman"/>
              </w:rPr>
            </w:pPr>
            <w:r>
              <w:rPr>
                <w:rFonts w:ascii="Times New Roman" w:hAnsi="Times New Roman" w:cs="Times New Roman"/>
              </w:rPr>
              <w:t xml:space="preserve">Kaynak alanlarından (örn. tanklar) veya noktasal kaynaklardan (örn. boru flanşları) çıkabilen ve baca gazı olmayan </w:t>
            </w:r>
            <w:r w:rsidR="009D570E">
              <w:rPr>
                <w:rFonts w:ascii="Times New Roman" w:hAnsi="Times New Roman" w:cs="Times New Roman"/>
              </w:rPr>
              <w:t>UOB</w:t>
            </w:r>
            <w:r>
              <w:rPr>
                <w:rFonts w:ascii="Times New Roman" w:hAnsi="Times New Roman" w:cs="Times New Roman"/>
              </w:rPr>
              <w:t xml:space="preserve"> emisyonları.</w:t>
            </w:r>
          </w:p>
        </w:tc>
      </w:tr>
      <w:tr w:rsidR="00415922" w:rsidRPr="00BA34D0" w14:paraId="41FC9683" w14:textId="77777777" w:rsidTr="0024730D">
        <w:trPr>
          <w:jc w:val="center"/>
        </w:trPr>
        <w:tc>
          <w:tcPr>
            <w:tcW w:w="2972" w:type="dxa"/>
            <w:vAlign w:val="center"/>
          </w:tcPr>
          <w:p w14:paraId="3EEA7F06" w14:textId="77777777" w:rsidR="00415922" w:rsidRDefault="00415922" w:rsidP="0024730D">
            <w:pPr>
              <w:jc w:val="both"/>
              <w:rPr>
                <w:rFonts w:ascii="Times New Roman" w:hAnsi="Times New Roman" w:cs="Times New Roman"/>
              </w:rPr>
            </w:pPr>
            <w:r>
              <w:rPr>
                <w:rFonts w:ascii="Times New Roman" w:hAnsi="Times New Roman" w:cs="Times New Roman"/>
              </w:rPr>
              <w:t xml:space="preserve">Kaçak </w:t>
            </w:r>
            <w:r w:rsidR="009D570E">
              <w:rPr>
                <w:rFonts w:ascii="Times New Roman" w:hAnsi="Times New Roman" w:cs="Times New Roman"/>
              </w:rPr>
              <w:t>UOB</w:t>
            </w:r>
            <w:r>
              <w:rPr>
                <w:rFonts w:ascii="Times New Roman" w:hAnsi="Times New Roman" w:cs="Times New Roman"/>
              </w:rPr>
              <w:t xml:space="preserve"> Emisyonları</w:t>
            </w:r>
          </w:p>
        </w:tc>
        <w:tc>
          <w:tcPr>
            <w:tcW w:w="6090" w:type="dxa"/>
            <w:vAlign w:val="center"/>
          </w:tcPr>
          <w:p w14:paraId="4517ED6F" w14:textId="77777777" w:rsidR="00415922" w:rsidRDefault="00415922" w:rsidP="0024730D">
            <w:pPr>
              <w:jc w:val="both"/>
              <w:rPr>
                <w:rFonts w:ascii="Times New Roman" w:hAnsi="Times New Roman" w:cs="Times New Roman"/>
              </w:rPr>
            </w:pPr>
            <w:r>
              <w:rPr>
                <w:rFonts w:ascii="Times New Roman" w:hAnsi="Times New Roman" w:cs="Times New Roman"/>
              </w:rPr>
              <w:t xml:space="preserve">Noktasal kaynaklardan çıkan yayılı </w:t>
            </w:r>
            <w:r w:rsidR="009D570E">
              <w:rPr>
                <w:rFonts w:ascii="Times New Roman" w:hAnsi="Times New Roman" w:cs="Times New Roman"/>
              </w:rPr>
              <w:t>UOB</w:t>
            </w:r>
            <w:r>
              <w:rPr>
                <w:rFonts w:ascii="Times New Roman" w:hAnsi="Times New Roman" w:cs="Times New Roman"/>
              </w:rPr>
              <w:t xml:space="preserve"> emisyonları.</w:t>
            </w:r>
          </w:p>
        </w:tc>
      </w:tr>
      <w:tr w:rsidR="00415922" w:rsidRPr="00BA34D0" w14:paraId="19A09913" w14:textId="77777777" w:rsidTr="0024730D">
        <w:trPr>
          <w:jc w:val="center"/>
        </w:trPr>
        <w:tc>
          <w:tcPr>
            <w:tcW w:w="2972" w:type="dxa"/>
            <w:vAlign w:val="center"/>
          </w:tcPr>
          <w:p w14:paraId="1226FB9B" w14:textId="77777777" w:rsidR="00415922" w:rsidRDefault="00415922" w:rsidP="0024730D">
            <w:pPr>
              <w:jc w:val="both"/>
              <w:rPr>
                <w:rFonts w:ascii="Times New Roman" w:hAnsi="Times New Roman" w:cs="Times New Roman"/>
              </w:rPr>
            </w:pPr>
            <w:r>
              <w:rPr>
                <w:rFonts w:ascii="Times New Roman" w:hAnsi="Times New Roman" w:cs="Times New Roman"/>
              </w:rPr>
              <w:t>Tutuşturma</w:t>
            </w:r>
          </w:p>
        </w:tc>
        <w:tc>
          <w:tcPr>
            <w:tcW w:w="6090" w:type="dxa"/>
            <w:vAlign w:val="center"/>
          </w:tcPr>
          <w:p w14:paraId="7C8F1EE1" w14:textId="77777777" w:rsidR="00415922" w:rsidRDefault="008D42DE" w:rsidP="0024730D">
            <w:pPr>
              <w:jc w:val="both"/>
              <w:rPr>
                <w:rFonts w:ascii="Times New Roman" w:hAnsi="Times New Roman" w:cs="Times New Roman"/>
              </w:rPr>
            </w:pPr>
            <w:r>
              <w:rPr>
                <w:rFonts w:ascii="Times New Roman" w:hAnsi="Times New Roman" w:cs="Times New Roman"/>
              </w:rPr>
              <w:t>Endüstriyel faaliyetlerden kaynaklanan atık gazlardaki yanabilir bileşenlerin açık alev ile yakılması için yüksek sıcaklıklı oksidasyon. Tutuşturma öncelikli olarak</w:t>
            </w:r>
            <w:r w:rsidR="0080425A">
              <w:rPr>
                <w:rFonts w:ascii="Times New Roman" w:hAnsi="Times New Roman" w:cs="Times New Roman"/>
              </w:rPr>
              <w:t>,</w:t>
            </w:r>
            <w:r>
              <w:rPr>
                <w:rFonts w:ascii="Times New Roman" w:hAnsi="Times New Roman" w:cs="Times New Roman"/>
              </w:rPr>
              <w:t xml:space="preserve"> güvenlik sebepleriyle veya rutin olmayan çalışma koşulları boyunca yanıcı gazların yakılması için kullanılır.</w:t>
            </w:r>
          </w:p>
        </w:tc>
      </w:tr>
    </w:tbl>
    <w:p w14:paraId="411D20C7" w14:textId="77777777" w:rsidR="009D40BC" w:rsidRDefault="009D40BC" w:rsidP="00BA34D0">
      <w:pPr>
        <w:spacing w:after="120" w:line="276" w:lineRule="auto"/>
        <w:jc w:val="both"/>
        <w:rPr>
          <w:rFonts w:ascii="Times New Roman" w:hAnsi="Times New Roman" w:cs="Times New Roman"/>
          <w:sz w:val="24"/>
          <w:szCs w:val="24"/>
        </w:rPr>
      </w:pPr>
    </w:p>
    <w:p w14:paraId="157F58F3" w14:textId="77777777" w:rsidR="00936AD8" w:rsidRDefault="00936AD8" w:rsidP="00BA34D0">
      <w:pPr>
        <w:spacing w:after="120" w:line="276" w:lineRule="auto"/>
        <w:jc w:val="both"/>
        <w:rPr>
          <w:rFonts w:ascii="Times New Roman" w:hAnsi="Times New Roman" w:cs="Times New Roman"/>
          <w:sz w:val="24"/>
          <w:szCs w:val="24"/>
        </w:rPr>
      </w:pPr>
    </w:p>
    <w:p w14:paraId="51840FE8" w14:textId="77777777" w:rsidR="00936AD8" w:rsidRDefault="00936AD8" w:rsidP="00BA34D0">
      <w:pPr>
        <w:spacing w:after="120" w:line="276" w:lineRule="auto"/>
        <w:jc w:val="both"/>
        <w:rPr>
          <w:rFonts w:ascii="Times New Roman" w:hAnsi="Times New Roman" w:cs="Times New Roman"/>
          <w:sz w:val="24"/>
          <w:szCs w:val="24"/>
        </w:rPr>
        <w:sectPr w:rsidR="00936AD8">
          <w:pgSz w:w="11906" w:h="16838"/>
          <w:pgMar w:top="1417" w:right="1417" w:bottom="1417" w:left="1417" w:header="708" w:footer="708" w:gutter="0"/>
          <w:cols w:space="708"/>
          <w:docGrid w:linePitch="360"/>
        </w:sectPr>
      </w:pPr>
    </w:p>
    <w:p w14:paraId="526328DF" w14:textId="77777777" w:rsidR="00726C53" w:rsidRPr="00726C53" w:rsidRDefault="00726C53" w:rsidP="00726C53">
      <w:pPr>
        <w:pStyle w:val="Balk1"/>
        <w:spacing w:before="0" w:after="120" w:line="276" w:lineRule="auto"/>
        <w:jc w:val="both"/>
        <w:rPr>
          <w:rFonts w:cs="Times New Roman"/>
          <w:b w:val="0"/>
          <w:bCs/>
          <w:szCs w:val="24"/>
        </w:rPr>
      </w:pPr>
      <w:r>
        <w:rPr>
          <w:rFonts w:cs="Times New Roman"/>
          <w:bCs/>
          <w:szCs w:val="24"/>
        </w:rPr>
        <w:lastRenderedPageBreak/>
        <w:t>KISALTMALAR</w:t>
      </w:r>
      <w:r w:rsidR="00560E02">
        <w:rPr>
          <w:rFonts w:cs="Times New Roman"/>
          <w:bCs/>
          <w:szCs w:val="24"/>
        </w:rPr>
        <w:t>, KİRLETİCİLER VE PARAMETRELER</w:t>
      </w:r>
    </w:p>
    <w:tbl>
      <w:tblPr>
        <w:tblStyle w:val="TabloKlavuzu"/>
        <w:tblW w:w="0" w:type="auto"/>
        <w:tblLook w:val="04A0" w:firstRow="1" w:lastRow="0" w:firstColumn="1" w:lastColumn="0" w:noHBand="0" w:noVBand="1"/>
      </w:tblPr>
      <w:tblGrid>
        <w:gridCol w:w="2547"/>
        <w:gridCol w:w="6515"/>
      </w:tblGrid>
      <w:tr w:rsidR="00A435EC" w:rsidRPr="00BA34D0" w14:paraId="7D89197B" w14:textId="77777777" w:rsidTr="0082590D">
        <w:tc>
          <w:tcPr>
            <w:tcW w:w="2547" w:type="dxa"/>
          </w:tcPr>
          <w:p w14:paraId="4123DAF0" w14:textId="77777777" w:rsidR="00A435EC" w:rsidRPr="00BA34D0" w:rsidRDefault="00A435EC" w:rsidP="0024730D">
            <w:pPr>
              <w:jc w:val="center"/>
              <w:rPr>
                <w:rFonts w:ascii="Times New Roman" w:hAnsi="Times New Roman" w:cs="Times New Roman"/>
                <w:b/>
                <w:bCs/>
              </w:rPr>
            </w:pPr>
            <w:r>
              <w:rPr>
                <w:rFonts w:ascii="Times New Roman" w:hAnsi="Times New Roman" w:cs="Times New Roman"/>
                <w:b/>
                <w:bCs/>
              </w:rPr>
              <w:t>Terim</w:t>
            </w:r>
          </w:p>
        </w:tc>
        <w:tc>
          <w:tcPr>
            <w:tcW w:w="6515" w:type="dxa"/>
          </w:tcPr>
          <w:p w14:paraId="1793008F" w14:textId="77777777" w:rsidR="00A435EC" w:rsidRPr="00BA34D0" w:rsidRDefault="00A435EC" w:rsidP="0024730D">
            <w:pPr>
              <w:jc w:val="center"/>
              <w:rPr>
                <w:rFonts w:ascii="Times New Roman" w:hAnsi="Times New Roman" w:cs="Times New Roman"/>
                <w:b/>
                <w:bCs/>
              </w:rPr>
            </w:pPr>
            <w:r>
              <w:rPr>
                <w:rFonts w:ascii="Times New Roman" w:hAnsi="Times New Roman" w:cs="Times New Roman"/>
                <w:b/>
                <w:bCs/>
              </w:rPr>
              <w:t>Tanım</w:t>
            </w:r>
          </w:p>
        </w:tc>
      </w:tr>
      <w:tr w:rsidR="00A435EC" w:rsidRPr="00BA34D0" w14:paraId="3735D53D" w14:textId="77777777" w:rsidTr="0082590D">
        <w:tc>
          <w:tcPr>
            <w:tcW w:w="2547" w:type="dxa"/>
          </w:tcPr>
          <w:p w14:paraId="0FA371FB" w14:textId="77777777" w:rsidR="00A435EC" w:rsidRPr="00BA34D0" w:rsidRDefault="001C70DF" w:rsidP="0024730D">
            <w:pPr>
              <w:jc w:val="both"/>
              <w:rPr>
                <w:rFonts w:ascii="Times New Roman" w:hAnsi="Times New Roman" w:cs="Times New Roman"/>
              </w:rPr>
            </w:pPr>
            <w:r>
              <w:rPr>
                <w:rFonts w:ascii="Times New Roman" w:hAnsi="Times New Roman" w:cs="Times New Roman"/>
              </w:rPr>
              <w:t>ADt</w:t>
            </w:r>
          </w:p>
        </w:tc>
        <w:tc>
          <w:tcPr>
            <w:tcW w:w="6515" w:type="dxa"/>
          </w:tcPr>
          <w:p w14:paraId="0C586C0D" w14:textId="77777777" w:rsidR="00A435EC" w:rsidRPr="00BA34D0" w:rsidRDefault="00541EC7" w:rsidP="0024730D">
            <w:pPr>
              <w:jc w:val="both"/>
              <w:rPr>
                <w:rFonts w:ascii="Times New Roman" w:hAnsi="Times New Roman" w:cs="Times New Roman"/>
              </w:rPr>
            </w:pPr>
            <w:r>
              <w:rPr>
                <w:rFonts w:ascii="Times New Roman" w:hAnsi="Times New Roman" w:cs="Times New Roman"/>
              </w:rPr>
              <w:t>%90 kuruluk olarak ifade edilen kuru ton (kağıt hamurunun)</w:t>
            </w:r>
          </w:p>
        </w:tc>
      </w:tr>
      <w:tr w:rsidR="000338FA" w:rsidRPr="00BA34D0" w14:paraId="1C694B85" w14:textId="77777777" w:rsidTr="0082590D">
        <w:tc>
          <w:tcPr>
            <w:tcW w:w="2547" w:type="dxa"/>
          </w:tcPr>
          <w:p w14:paraId="27424693" w14:textId="77777777" w:rsidR="000338FA" w:rsidRDefault="000338FA" w:rsidP="0024730D">
            <w:pPr>
              <w:jc w:val="both"/>
              <w:rPr>
                <w:rFonts w:ascii="Times New Roman" w:hAnsi="Times New Roman" w:cs="Times New Roman"/>
              </w:rPr>
            </w:pPr>
            <w:r>
              <w:rPr>
                <w:rFonts w:ascii="Times New Roman" w:hAnsi="Times New Roman" w:cs="Times New Roman"/>
              </w:rPr>
              <w:t>Altı Değerlikli Krom</w:t>
            </w:r>
          </w:p>
        </w:tc>
        <w:tc>
          <w:tcPr>
            <w:tcW w:w="6515" w:type="dxa"/>
          </w:tcPr>
          <w:p w14:paraId="349A3ED5" w14:textId="77777777" w:rsidR="000338FA" w:rsidRDefault="000338FA" w:rsidP="0024730D">
            <w:pPr>
              <w:jc w:val="both"/>
              <w:rPr>
                <w:rFonts w:ascii="Times New Roman" w:hAnsi="Times New Roman" w:cs="Times New Roman"/>
              </w:rPr>
            </w:pPr>
            <w:r>
              <w:rPr>
                <w:rFonts w:ascii="Times New Roman" w:hAnsi="Times New Roman" w:cs="Times New Roman"/>
              </w:rPr>
              <w:t>Cr(VI) olarak ifade edilen altı değerlikli krom, kromun oksidasyon halinde (+6) olduğu tüm krom bileşiklerini içerir (çözünmüş veya partiküllere bağlı).</w:t>
            </w:r>
          </w:p>
        </w:tc>
      </w:tr>
      <w:tr w:rsidR="003D1880" w:rsidRPr="00BA34D0" w14:paraId="5358B481" w14:textId="77777777" w:rsidTr="0082590D">
        <w:tc>
          <w:tcPr>
            <w:tcW w:w="2547" w:type="dxa"/>
          </w:tcPr>
          <w:p w14:paraId="0E82F480" w14:textId="77777777" w:rsidR="003D1880" w:rsidRDefault="003D1880" w:rsidP="003D1880">
            <w:pPr>
              <w:jc w:val="both"/>
              <w:rPr>
                <w:rFonts w:ascii="Times New Roman" w:hAnsi="Times New Roman" w:cs="Times New Roman"/>
              </w:rPr>
            </w:pPr>
            <w:r>
              <w:rPr>
                <w:rFonts w:ascii="Times New Roman" w:hAnsi="Times New Roman" w:cs="Times New Roman"/>
              </w:rPr>
              <w:t>Antimon</w:t>
            </w:r>
          </w:p>
        </w:tc>
        <w:tc>
          <w:tcPr>
            <w:tcW w:w="6515" w:type="dxa"/>
          </w:tcPr>
          <w:p w14:paraId="50EA9B68" w14:textId="77777777" w:rsidR="003D1880" w:rsidRDefault="003D1880" w:rsidP="003D1880">
            <w:pPr>
              <w:jc w:val="both"/>
              <w:rPr>
                <w:rFonts w:ascii="Times New Roman" w:hAnsi="Times New Roman" w:cs="Times New Roman"/>
              </w:rPr>
            </w:pPr>
            <w:r>
              <w:rPr>
                <w:rFonts w:ascii="Times New Roman" w:hAnsi="Times New Roman" w:cs="Times New Roman"/>
              </w:rPr>
              <w:t>Sb olarak ifade edilen antimon, çözünmüş veya partiküllere bağlı tüm inorganik ve organik antimon bileşiklerini içerir.</w:t>
            </w:r>
          </w:p>
        </w:tc>
      </w:tr>
      <w:tr w:rsidR="00A435EC" w:rsidRPr="00BA34D0" w14:paraId="1FA3E156" w14:textId="77777777" w:rsidTr="0082590D">
        <w:tc>
          <w:tcPr>
            <w:tcW w:w="2547" w:type="dxa"/>
          </w:tcPr>
          <w:p w14:paraId="0D119CE5" w14:textId="77777777" w:rsidR="00A435EC" w:rsidRPr="00BA34D0" w:rsidRDefault="001C70DF" w:rsidP="0024730D">
            <w:pPr>
              <w:jc w:val="both"/>
              <w:rPr>
                <w:rFonts w:ascii="Times New Roman" w:hAnsi="Times New Roman" w:cs="Times New Roman"/>
              </w:rPr>
            </w:pPr>
            <w:r>
              <w:rPr>
                <w:rFonts w:ascii="Times New Roman" w:hAnsi="Times New Roman" w:cs="Times New Roman"/>
              </w:rPr>
              <w:t>AOX</w:t>
            </w:r>
          </w:p>
        </w:tc>
        <w:tc>
          <w:tcPr>
            <w:tcW w:w="6515" w:type="dxa"/>
          </w:tcPr>
          <w:p w14:paraId="77BCC379" w14:textId="77777777" w:rsidR="00A435EC" w:rsidRPr="00BA34D0" w:rsidRDefault="00541EC7" w:rsidP="0024730D">
            <w:pPr>
              <w:jc w:val="both"/>
              <w:rPr>
                <w:rFonts w:ascii="Times New Roman" w:hAnsi="Times New Roman" w:cs="Times New Roman"/>
              </w:rPr>
            </w:pPr>
            <w:r>
              <w:rPr>
                <w:rFonts w:ascii="Times New Roman" w:hAnsi="Times New Roman" w:cs="Times New Roman"/>
              </w:rPr>
              <w:t>Atık sular için standart yöntem olan TS EN ISO 9562’ye göre ölçülen</w:t>
            </w:r>
            <w:r w:rsidR="00A73B61">
              <w:rPr>
                <w:rFonts w:ascii="Times New Roman" w:hAnsi="Times New Roman" w:cs="Times New Roman"/>
              </w:rPr>
              <w:t xml:space="preserve"> ve Cl olarak ifade edilen</w:t>
            </w:r>
            <w:r>
              <w:rPr>
                <w:rFonts w:ascii="Times New Roman" w:hAnsi="Times New Roman" w:cs="Times New Roman"/>
              </w:rPr>
              <w:t xml:space="preserve"> adsorplanabilir organik </w:t>
            </w:r>
            <w:r w:rsidR="00646494">
              <w:rPr>
                <w:rFonts w:ascii="Times New Roman" w:hAnsi="Times New Roman" w:cs="Times New Roman"/>
              </w:rPr>
              <w:t xml:space="preserve">bağlı </w:t>
            </w:r>
            <w:r>
              <w:rPr>
                <w:rFonts w:ascii="Times New Roman" w:hAnsi="Times New Roman" w:cs="Times New Roman"/>
              </w:rPr>
              <w:t>halojenler</w:t>
            </w:r>
            <w:r w:rsidR="005C58AC">
              <w:rPr>
                <w:rFonts w:ascii="Times New Roman" w:hAnsi="Times New Roman" w:cs="Times New Roman"/>
              </w:rPr>
              <w:t xml:space="preserve"> (adsorplanabilir organik bağlı kloru, bromu ve iyodu içerir)</w:t>
            </w:r>
            <w:r w:rsidR="00B52260">
              <w:rPr>
                <w:rFonts w:ascii="Times New Roman" w:hAnsi="Times New Roman" w:cs="Times New Roman"/>
              </w:rPr>
              <w:t>.</w:t>
            </w:r>
          </w:p>
        </w:tc>
      </w:tr>
      <w:tr w:rsidR="003E2F1E" w:rsidRPr="00BA34D0" w14:paraId="2D4EEAD0" w14:textId="77777777" w:rsidTr="0082590D">
        <w:tc>
          <w:tcPr>
            <w:tcW w:w="2547" w:type="dxa"/>
          </w:tcPr>
          <w:p w14:paraId="6D0854C4" w14:textId="77777777" w:rsidR="003E2F1E" w:rsidRDefault="003E2F1E" w:rsidP="0024730D">
            <w:pPr>
              <w:jc w:val="both"/>
              <w:rPr>
                <w:rFonts w:ascii="Times New Roman" w:hAnsi="Times New Roman" w:cs="Times New Roman"/>
              </w:rPr>
            </w:pPr>
            <w:r>
              <w:rPr>
                <w:rFonts w:ascii="Times New Roman" w:hAnsi="Times New Roman" w:cs="Times New Roman"/>
              </w:rPr>
              <w:t>Arsenik</w:t>
            </w:r>
          </w:p>
        </w:tc>
        <w:tc>
          <w:tcPr>
            <w:tcW w:w="6515" w:type="dxa"/>
          </w:tcPr>
          <w:p w14:paraId="73A8C9B4" w14:textId="77777777" w:rsidR="003E2F1E" w:rsidRDefault="003E2F1E" w:rsidP="0024730D">
            <w:pPr>
              <w:jc w:val="both"/>
              <w:rPr>
                <w:rFonts w:ascii="Times New Roman" w:hAnsi="Times New Roman" w:cs="Times New Roman"/>
              </w:rPr>
            </w:pPr>
            <w:r>
              <w:rPr>
                <w:rFonts w:ascii="Times New Roman" w:hAnsi="Times New Roman" w:cs="Times New Roman"/>
              </w:rPr>
              <w:t>As</w:t>
            </w:r>
          </w:p>
        </w:tc>
      </w:tr>
      <w:tr w:rsidR="00B2769A" w:rsidRPr="00BA34D0" w14:paraId="6E7AA8ED" w14:textId="77777777" w:rsidTr="0082590D">
        <w:tc>
          <w:tcPr>
            <w:tcW w:w="2547" w:type="dxa"/>
          </w:tcPr>
          <w:p w14:paraId="4793011B" w14:textId="77777777" w:rsidR="00B2769A" w:rsidRDefault="00B2769A" w:rsidP="0024730D">
            <w:pPr>
              <w:jc w:val="both"/>
              <w:rPr>
                <w:rFonts w:ascii="Times New Roman" w:hAnsi="Times New Roman" w:cs="Times New Roman"/>
              </w:rPr>
            </w:pPr>
            <w:r>
              <w:rPr>
                <w:rFonts w:ascii="Times New Roman" w:hAnsi="Times New Roman" w:cs="Times New Roman"/>
              </w:rPr>
              <w:t>Bakır</w:t>
            </w:r>
          </w:p>
        </w:tc>
        <w:tc>
          <w:tcPr>
            <w:tcW w:w="6515" w:type="dxa"/>
          </w:tcPr>
          <w:p w14:paraId="6D9E56F3" w14:textId="77777777" w:rsidR="00B2769A" w:rsidRDefault="00B2769A" w:rsidP="0024730D">
            <w:pPr>
              <w:jc w:val="both"/>
              <w:rPr>
                <w:rFonts w:ascii="Times New Roman" w:hAnsi="Times New Roman" w:cs="Times New Roman"/>
              </w:rPr>
            </w:pPr>
            <w:r>
              <w:rPr>
                <w:rFonts w:ascii="Times New Roman" w:hAnsi="Times New Roman" w:cs="Times New Roman"/>
              </w:rPr>
              <w:t>Cu olarak ifade edilen bakır, çözünmüş veya partiküllere bağlı tüm inorganik ve organik bakır bileşiklerini içerir.</w:t>
            </w:r>
          </w:p>
        </w:tc>
      </w:tr>
      <w:tr w:rsidR="00A435EC" w:rsidRPr="00BA34D0" w14:paraId="75A6C90D" w14:textId="77777777" w:rsidTr="0082590D">
        <w:tc>
          <w:tcPr>
            <w:tcW w:w="2547" w:type="dxa"/>
          </w:tcPr>
          <w:p w14:paraId="72AF87A7" w14:textId="77777777" w:rsidR="00A435EC" w:rsidRPr="00BA34D0" w:rsidRDefault="005A4AF5" w:rsidP="0024730D">
            <w:pPr>
              <w:jc w:val="both"/>
              <w:rPr>
                <w:rFonts w:ascii="Times New Roman" w:hAnsi="Times New Roman" w:cs="Times New Roman"/>
              </w:rPr>
            </w:pPr>
            <w:r>
              <w:rPr>
                <w:rFonts w:ascii="Times New Roman" w:hAnsi="Times New Roman" w:cs="Times New Roman"/>
              </w:rPr>
              <w:t>BOİ</w:t>
            </w:r>
          </w:p>
        </w:tc>
        <w:tc>
          <w:tcPr>
            <w:tcW w:w="6515" w:type="dxa"/>
          </w:tcPr>
          <w:p w14:paraId="52F3FFBD" w14:textId="77777777" w:rsidR="00A435EC" w:rsidRPr="00BA34D0" w:rsidRDefault="00541EC7" w:rsidP="0024730D">
            <w:pPr>
              <w:jc w:val="both"/>
              <w:rPr>
                <w:rFonts w:ascii="Times New Roman" w:hAnsi="Times New Roman" w:cs="Times New Roman"/>
              </w:rPr>
            </w:pPr>
            <w:r>
              <w:rPr>
                <w:rFonts w:ascii="Times New Roman" w:hAnsi="Times New Roman" w:cs="Times New Roman"/>
              </w:rPr>
              <w:t xml:space="preserve">Biyokimyasal Oksijen İhtiyacı. Atık suda bulunan </w:t>
            </w:r>
            <w:r w:rsidR="00A47632">
              <w:rPr>
                <w:rFonts w:ascii="Times New Roman" w:hAnsi="Times New Roman" w:cs="Times New Roman"/>
              </w:rPr>
              <w:t xml:space="preserve">organik maddeyi ayrıştırmak için mikroorganizmalar tarafından ihtiyaç duyulan </w:t>
            </w:r>
            <w:r w:rsidR="00097AD5">
              <w:rPr>
                <w:rFonts w:ascii="Times New Roman" w:hAnsi="Times New Roman" w:cs="Times New Roman"/>
              </w:rPr>
              <w:t>çözünmüş oksijen miktarı</w:t>
            </w:r>
            <w:r w:rsidR="00C26928">
              <w:rPr>
                <w:rFonts w:ascii="Times New Roman" w:hAnsi="Times New Roman" w:cs="Times New Roman"/>
              </w:rPr>
              <w:t>.</w:t>
            </w:r>
          </w:p>
        </w:tc>
      </w:tr>
      <w:tr w:rsidR="00B52260" w:rsidRPr="00BA34D0" w14:paraId="5F6857A9" w14:textId="77777777" w:rsidTr="0082590D">
        <w:tc>
          <w:tcPr>
            <w:tcW w:w="2547" w:type="dxa"/>
          </w:tcPr>
          <w:p w14:paraId="1A7BFE4C" w14:textId="77777777" w:rsidR="00B52260" w:rsidRPr="00B52260" w:rsidRDefault="00B52260" w:rsidP="005A4AF5">
            <w:pPr>
              <w:jc w:val="both"/>
              <w:rPr>
                <w:rFonts w:ascii="Times New Roman" w:hAnsi="Times New Roman" w:cs="Times New Roman"/>
              </w:rPr>
            </w:pPr>
            <w:r>
              <w:rPr>
                <w:rFonts w:ascii="Times New Roman" w:hAnsi="Times New Roman" w:cs="Times New Roman"/>
              </w:rPr>
              <w:t>BO</w:t>
            </w:r>
            <w:r w:rsidR="005A4AF5">
              <w:rPr>
                <w:rFonts w:ascii="Times New Roman" w:hAnsi="Times New Roman" w:cs="Times New Roman"/>
              </w:rPr>
              <w:t>İ</w:t>
            </w:r>
            <w:r w:rsidRPr="00B52260">
              <w:rPr>
                <w:rFonts w:ascii="Times New Roman" w:hAnsi="Times New Roman" w:cs="Times New Roman"/>
                <w:i/>
                <w:iCs/>
                <w:vertAlign w:val="subscript"/>
              </w:rPr>
              <w:t>n</w:t>
            </w:r>
            <w:r>
              <w:rPr>
                <w:rFonts w:ascii="Times New Roman" w:hAnsi="Times New Roman" w:cs="Times New Roman"/>
              </w:rPr>
              <w:t xml:space="preserve"> </w:t>
            </w:r>
          </w:p>
        </w:tc>
        <w:tc>
          <w:tcPr>
            <w:tcW w:w="6515" w:type="dxa"/>
          </w:tcPr>
          <w:p w14:paraId="21D765C7" w14:textId="77777777" w:rsidR="00B52260" w:rsidRPr="00B52260" w:rsidRDefault="00B52260" w:rsidP="00C91F89">
            <w:pPr>
              <w:jc w:val="both"/>
              <w:rPr>
                <w:rFonts w:ascii="Times New Roman" w:hAnsi="Times New Roman" w:cs="Times New Roman"/>
              </w:rPr>
            </w:pPr>
            <w:r>
              <w:rPr>
                <w:rFonts w:ascii="Times New Roman" w:hAnsi="Times New Roman" w:cs="Times New Roman"/>
              </w:rPr>
              <w:t xml:space="preserve">Biyokimyasal Oksijen İhtiyacı. Organik maddenin biyokimyasal oksidasyon ile </w:t>
            </w:r>
            <w:r>
              <w:rPr>
                <w:rFonts w:ascii="Times New Roman" w:hAnsi="Times New Roman" w:cs="Times New Roman"/>
                <w:i/>
                <w:iCs/>
              </w:rPr>
              <w:t>n</w:t>
            </w:r>
            <w:r>
              <w:rPr>
                <w:rFonts w:ascii="Times New Roman" w:hAnsi="Times New Roman" w:cs="Times New Roman"/>
              </w:rPr>
              <w:t xml:space="preserve"> günde</w:t>
            </w:r>
            <w:r w:rsidR="001555EA">
              <w:rPr>
                <w:rFonts w:ascii="Times New Roman" w:hAnsi="Times New Roman" w:cs="Times New Roman"/>
              </w:rPr>
              <w:t xml:space="preserve"> (</w:t>
            </w:r>
            <w:r w:rsidR="001555EA">
              <w:rPr>
                <w:rFonts w:ascii="Times New Roman" w:hAnsi="Times New Roman" w:cs="Times New Roman"/>
                <w:i/>
                <w:iCs/>
              </w:rPr>
              <w:t>n</w:t>
            </w:r>
            <w:r w:rsidR="001555EA">
              <w:rPr>
                <w:rFonts w:ascii="Times New Roman" w:hAnsi="Times New Roman" w:cs="Times New Roman"/>
              </w:rPr>
              <w:t>, çoğunlukla 5 veya 7’dir)</w:t>
            </w:r>
            <w:r>
              <w:rPr>
                <w:rFonts w:ascii="Times New Roman" w:hAnsi="Times New Roman" w:cs="Times New Roman"/>
              </w:rPr>
              <w:t xml:space="preserve"> karbon dioksite dönüştürülmesi için gereken oksijen miktarı. BO</w:t>
            </w:r>
            <w:r>
              <w:rPr>
                <w:rFonts w:ascii="Times New Roman" w:hAnsi="Times New Roman" w:cs="Times New Roman"/>
                <w:i/>
                <w:iCs/>
                <w:vertAlign w:val="subscript"/>
              </w:rPr>
              <w:t>n</w:t>
            </w:r>
            <w:r>
              <w:rPr>
                <w:rFonts w:ascii="Times New Roman" w:hAnsi="Times New Roman" w:cs="Times New Roman"/>
              </w:rPr>
              <w:t>, biyobozunur organik bileşiklerin kütle konsantrasyonu için bir göstergedir.</w:t>
            </w:r>
          </w:p>
        </w:tc>
      </w:tr>
      <w:tr w:rsidR="00665BD9" w:rsidRPr="00BA34D0" w14:paraId="263CBE77" w14:textId="77777777" w:rsidTr="0082590D">
        <w:tc>
          <w:tcPr>
            <w:tcW w:w="2547" w:type="dxa"/>
          </w:tcPr>
          <w:p w14:paraId="40F7DC77" w14:textId="77777777" w:rsidR="00665BD9" w:rsidRPr="00665BD9" w:rsidRDefault="005A4AF5" w:rsidP="0024730D">
            <w:pPr>
              <w:jc w:val="both"/>
              <w:rPr>
                <w:rFonts w:ascii="Times New Roman" w:hAnsi="Times New Roman" w:cs="Times New Roman"/>
              </w:rPr>
            </w:pPr>
            <w:r>
              <w:rPr>
                <w:rFonts w:ascii="Times New Roman" w:hAnsi="Times New Roman" w:cs="Times New Roman"/>
              </w:rPr>
              <w:t>BOİ</w:t>
            </w:r>
            <w:r w:rsidR="00665BD9">
              <w:rPr>
                <w:rFonts w:ascii="Times New Roman" w:hAnsi="Times New Roman" w:cs="Times New Roman"/>
                <w:vertAlign w:val="subscript"/>
              </w:rPr>
              <w:t>5</w:t>
            </w:r>
            <w:r w:rsidR="00665BD9">
              <w:rPr>
                <w:rFonts w:ascii="Times New Roman" w:hAnsi="Times New Roman" w:cs="Times New Roman"/>
              </w:rPr>
              <w:t xml:space="preserve"> </w:t>
            </w:r>
          </w:p>
        </w:tc>
        <w:tc>
          <w:tcPr>
            <w:tcW w:w="6515" w:type="dxa"/>
          </w:tcPr>
          <w:p w14:paraId="7FD1948C" w14:textId="77777777" w:rsidR="00665BD9" w:rsidRDefault="00281D2C" w:rsidP="0024730D">
            <w:pPr>
              <w:jc w:val="both"/>
              <w:rPr>
                <w:rFonts w:ascii="Times New Roman" w:hAnsi="Times New Roman" w:cs="Times New Roman"/>
              </w:rPr>
            </w:pPr>
            <w:r>
              <w:rPr>
                <w:rFonts w:ascii="Times New Roman" w:hAnsi="Times New Roman" w:cs="Times New Roman"/>
              </w:rPr>
              <w:t>Organik maddenin 5 gün içinde karbon dioksite biyokimyasal oksidasyonu için gereken oksijen miktarı.</w:t>
            </w:r>
          </w:p>
        </w:tc>
      </w:tr>
      <w:tr w:rsidR="00DE4BD5" w:rsidRPr="00BA34D0" w14:paraId="18B55F2F" w14:textId="77777777" w:rsidTr="0082590D">
        <w:tc>
          <w:tcPr>
            <w:tcW w:w="2547" w:type="dxa"/>
          </w:tcPr>
          <w:p w14:paraId="03639B99" w14:textId="77777777" w:rsidR="00DE4BD5" w:rsidRDefault="00DE4BD5" w:rsidP="0024730D">
            <w:pPr>
              <w:jc w:val="both"/>
              <w:rPr>
                <w:rFonts w:ascii="Times New Roman" w:hAnsi="Times New Roman" w:cs="Times New Roman"/>
              </w:rPr>
            </w:pPr>
            <w:r>
              <w:rPr>
                <w:rFonts w:ascii="Times New Roman" w:hAnsi="Times New Roman" w:cs="Times New Roman"/>
              </w:rPr>
              <w:t>BPR</w:t>
            </w:r>
          </w:p>
        </w:tc>
        <w:tc>
          <w:tcPr>
            <w:tcW w:w="6515" w:type="dxa"/>
          </w:tcPr>
          <w:p w14:paraId="1F54F12F" w14:textId="77777777" w:rsidR="00DE4BD5" w:rsidRDefault="00DE4BD5" w:rsidP="0024730D">
            <w:pPr>
              <w:jc w:val="both"/>
              <w:rPr>
                <w:rFonts w:ascii="Times New Roman" w:hAnsi="Times New Roman" w:cs="Times New Roman"/>
              </w:rPr>
            </w:pPr>
            <w:r>
              <w:rPr>
                <w:rFonts w:ascii="Times New Roman" w:hAnsi="Times New Roman" w:cs="Times New Roman"/>
              </w:rPr>
              <w:t>Biyosidal Ürünler Yönetmeliği (R.G. 31.12.2009, Sayı: 27449 (4. Mükerrer)</w:t>
            </w:r>
          </w:p>
        </w:tc>
      </w:tr>
      <w:tr w:rsidR="00414B9D" w:rsidRPr="00BA34D0" w14:paraId="360EF27B" w14:textId="77777777" w:rsidTr="0082590D">
        <w:tc>
          <w:tcPr>
            <w:tcW w:w="2547" w:type="dxa"/>
          </w:tcPr>
          <w:p w14:paraId="01115004" w14:textId="77777777" w:rsidR="00414B9D" w:rsidRDefault="00414B9D" w:rsidP="0024730D">
            <w:pPr>
              <w:jc w:val="both"/>
              <w:rPr>
                <w:rFonts w:ascii="Times New Roman" w:hAnsi="Times New Roman" w:cs="Times New Roman"/>
              </w:rPr>
            </w:pPr>
            <w:r>
              <w:rPr>
                <w:rFonts w:ascii="Times New Roman" w:hAnsi="Times New Roman" w:cs="Times New Roman"/>
              </w:rPr>
              <w:t>CIP</w:t>
            </w:r>
          </w:p>
        </w:tc>
        <w:tc>
          <w:tcPr>
            <w:tcW w:w="6515" w:type="dxa"/>
          </w:tcPr>
          <w:p w14:paraId="103756F0" w14:textId="77777777" w:rsidR="00414B9D" w:rsidRDefault="00414B9D" w:rsidP="0024730D">
            <w:pPr>
              <w:jc w:val="both"/>
              <w:rPr>
                <w:rFonts w:ascii="Times New Roman" w:hAnsi="Times New Roman" w:cs="Times New Roman"/>
              </w:rPr>
            </w:pPr>
            <w:r>
              <w:rPr>
                <w:rFonts w:ascii="Times New Roman" w:hAnsi="Times New Roman" w:cs="Times New Roman"/>
              </w:rPr>
              <w:t>Yerinde Temizlik</w:t>
            </w:r>
          </w:p>
        </w:tc>
      </w:tr>
      <w:tr w:rsidR="00A41A6C" w:rsidRPr="00BA34D0" w14:paraId="15A18FA3" w14:textId="77777777" w:rsidTr="0082590D">
        <w:tc>
          <w:tcPr>
            <w:tcW w:w="2547" w:type="dxa"/>
          </w:tcPr>
          <w:p w14:paraId="76792DFD" w14:textId="77777777" w:rsidR="00A41A6C" w:rsidRDefault="00A41A6C" w:rsidP="00A41A6C">
            <w:pPr>
              <w:jc w:val="both"/>
              <w:rPr>
                <w:rFonts w:ascii="Times New Roman" w:hAnsi="Times New Roman" w:cs="Times New Roman"/>
              </w:rPr>
            </w:pPr>
            <w:r>
              <w:rPr>
                <w:rFonts w:ascii="Times New Roman" w:hAnsi="Times New Roman" w:cs="Times New Roman"/>
              </w:rPr>
              <w:t>Cıva</w:t>
            </w:r>
          </w:p>
        </w:tc>
        <w:tc>
          <w:tcPr>
            <w:tcW w:w="6515" w:type="dxa"/>
          </w:tcPr>
          <w:p w14:paraId="21E62837" w14:textId="77777777" w:rsidR="00A41A6C" w:rsidRDefault="00A41A6C" w:rsidP="00A41A6C">
            <w:pPr>
              <w:jc w:val="both"/>
              <w:rPr>
                <w:rFonts w:ascii="Times New Roman" w:hAnsi="Times New Roman" w:cs="Times New Roman"/>
              </w:rPr>
            </w:pPr>
            <w:r>
              <w:rPr>
                <w:rFonts w:ascii="Times New Roman" w:hAnsi="Times New Roman" w:cs="Times New Roman"/>
              </w:rPr>
              <w:t>Hg olarak ifade edilen, cıva ve bileşiklerinin toplamı.</w:t>
            </w:r>
          </w:p>
        </w:tc>
      </w:tr>
      <w:tr w:rsidR="00A435EC" w:rsidRPr="00BA34D0" w14:paraId="50E3BEFA" w14:textId="77777777" w:rsidTr="0082590D">
        <w:tc>
          <w:tcPr>
            <w:tcW w:w="2547" w:type="dxa"/>
          </w:tcPr>
          <w:p w14:paraId="721028E4" w14:textId="77777777" w:rsidR="00A435EC" w:rsidRPr="00BA34D0" w:rsidRDefault="001C70DF" w:rsidP="0024730D">
            <w:pPr>
              <w:jc w:val="both"/>
              <w:rPr>
                <w:rFonts w:ascii="Times New Roman" w:hAnsi="Times New Roman" w:cs="Times New Roman"/>
              </w:rPr>
            </w:pPr>
            <w:r>
              <w:rPr>
                <w:rFonts w:ascii="Times New Roman" w:hAnsi="Times New Roman" w:cs="Times New Roman"/>
              </w:rPr>
              <w:t>CMP</w:t>
            </w:r>
          </w:p>
        </w:tc>
        <w:tc>
          <w:tcPr>
            <w:tcW w:w="6515" w:type="dxa"/>
          </w:tcPr>
          <w:p w14:paraId="70FDBA5F" w14:textId="77777777" w:rsidR="00A435EC" w:rsidRPr="00BA34D0" w:rsidRDefault="00097AD5" w:rsidP="0024730D">
            <w:pPr>
              <w:jc w:val="both"/>
              <w:rPr>
                <w:rFonts w:ascii="Times New Roman" w:hAnsi="Times New Roman" w:cs="Times New Roman"/>
              </w:rPr>
            </w:pPr>
            <w:r>
              <w:rPr>
                <w:rFonts w:ascii="Times New Roman" w:hAnsi="Times New Roman" w:cs="Times New Roman"/>
              </w:rPr>
              <w:t>Kimyasal Mekanik Kağıt Hamuru</w:t>
            </w:r>
            <w:r w:rsidR="00C26928">
              <w:rPr>
                <w:rFonts w:ascii="Times New Roman" w:hAnsi="Times New Roman" w:cs="Times New Roman"/>
              </w:rPr>
              <w:t xml:space="preserve"> [Chemimechanical Pulp]</w:t>
            </w:r>
          </w:p>
        </w:tc>
      </w:tr>
      <w:tr w:rsidR="00BD29A5" w:rsidRPr="00BA34D0" w14:paraId="12A0DC7D" w14:textId="77777777" w:rsidTr="0082590D">
        <w:tc>
          <w:tcPr>
            <w:tcW w:w="2547" w:type="dxa"/>
          </w:tcPr>
          <w:p w14:paraId="4C226F63" w14:textId="77777777" w:rsidR="00BD29A5" w:rsidRDefault="00BD29A5" w:rsidP="0024730D">
            <w:pPr>
              <w:jc w:val="both"/>
              <w:rPr>
                <w:rFonts w:ascii="Times New Roman" w:hAnsi="Times New Roman" w:cs="Times New Roman"/>
              </w:rPr>
            </w:pPr>
            <w:r>
              <w:rPr>
                <w:rFonts w:ascii="Times New Roman" w:hAnsi="Times New Roman" w:cs="Times New Roman"/>
              </w:rPr>
              <w:t>CMR</w:t>
            </w:r>
          </w:p>
        </w:tc>
        <w:tc>
          <w:tcPr>
            <w:tcW w:w="6515" w:type="dxa"/>
          </w:tcPr>
          <w:p w14:paraId="6017F863" w14:textId="77777777" w:rsidR="00BD29A5" w:rsidRDefault="008C5C42" w:rsidP="0024730D">
            <w:pPr>
              <w:jc w:val="both"/>
              <w:rPr>
                <w:rFonts w:ascii="Times New Roman" w:hAnsi="Times New Roman" w:cs="Times New Roman"/>
              </w:rPr>
            </w:pPr>
            <w:r>
              <w:rPr>
                <w:rFonts w:ascii="Times New Roman" w:hAnsi="Times New Roman" w:cs="Times New Roman"/>
              </w:rPr>
              <w:t xml:space="preserve">Üreme için karsinojenik, mutajenik veya toksik. </w:t>
            </w:r>
            <w:r w:rsidR="002E130D">
              <w:rPr>
                <w:rFonts w:ascii="Times New Roman" w:hAnsi="Times New Roman" w:cs="Times New Roman"/>
              </w:rPr>
              <w:t xml:space="preserve">Bu, Maddelerin ve Karışımların Sınıflandırılması, Etiketlenmesi ve Ambalajlanması Hakkında Yönetmelik’te (R.G. 11.12.2013, Sayı: 28848 Mükerrer) tanımlanan 1A, 1B ve 2 kategorilerindeki -diğer bir ifadeyle, </w:t>
            </w:r>
            <w:r w:rsidR="005E5EED">
              <w:rPr>
                <w:rFonts w:ascii="Times New Roman" w:hAnsi="Times New Roman" w:cs="Times New Roman"/>
              </w:rPr>
              <w:t xml:space="preserve">zararlılık ifadesi kodları: H340, H341, H350, H351, H360 ve H361- </w:t>
            </w:r>
            <w:r w:rsidR="002E130D">
              <w:rPr>
                <w:rFonts w:ascii="Times New Roman" w:hAnsi="Times New Roman" w:cs="Times New Roman"/>
              </w:rPr>
              <w:t>CMR maddelerini içerir.</w:t>
            </w:r>
          </w:p>
        </w:tc>
      </w:tr>
      <w:tr w:rsidR="00C7115A" w:rsidRPr="00BA34D0" w14:paraId="347A8A97" w14:textId="77777777" w:rsidTr="0082590D">
        <w:tc>
          <w:tcPr>
            <w:tcW w:w="2547" w:type="dxa"/>
          </w:tcPr>
          <w:p w14:paraId="403757D0" w14:textId="77777777" w:rsidR="00C7115A" w:rsidRDefault="00C7115A" w:rsidP="0024730D">
            <w:pPr>
              <w:jc w:val="both"/>
              <w:rPr>
                <w:rFonts w:ascii="Times New Roman" w:hAnsi="Times New Roman" w:cs="Times New Roman"/>
              </w:rPr>
            </w:pPr>
            <w:r>
              <w:rPr>
                <w:rFonts w:ascii="Times New Roman" w:hAnsi="Times New Roman" w:cs="Times New Roman"/>
              </w:rPr>
              <w:t>CMS</w:t>
            </w:r>
          </w:p>
        </w:tc>
        <w:tc>
          <w:tcPr>
            <w:tcW w:w="6515" w:type="dxa"/>
          </w:tcPr>
          <w:p w14:paraId="2630AD71" w14:textId="77777777" w:rsidR="00C7115A" w:rsidRDefault="00C7115A" w:rsidP="0024730D">
            <w:pPr>
              <w:jc w:val="both"/>
              <w:rPr>
                <w:rFonts w:ascii="Times New Roman" w:hAnsi="Times New Roman" w:cs="Times New Roman"/>
              </w:rPr>
            </w:pPr>
            <w:r>
              <w:rPr>
                <w:rFonts w:ascii="Times New Roman" w:hAnsi="Times New Roman" w:cs="Times New Roman"/>
              </w:rPr>
              <w:t>Kimyasal Yönetim Sistemi</w:t>
            </w:r>
          </w:p>
        </w:tc>
      </w:tr>
      <w:tr w:rsidR="007D0B1D" w:rsidRPr="00BA34D0" w14:paraId="484315FE" w14:textId="77777777" w:rsidTr="0082590D">
        <w:tc>
          <w:tcPr>
            <w:tcW w:w="2547" w:type="dxa"/>
          </w:tcPr>
          <w:p w14:paraId="5C2381B8" w14:textId="77777777" w:rsidR="007D0B1D" w:rsidRDefault="007D0B1D" w:rsidP="0024730D">
            <w:pPr>
              <w:jc w:val="both"/>
              <w:rPr>
                <w:rFonts w:ascii="Times New Roman" w:hAnsi="Times New Roman" w:cs="Times New Roman"/>
              </w:rPr>
            </w:pPr>
            <w:r>
              <w:rPr>
                <w:rFonts w:ascii="Times New Roman" w:hAnsi="Times New Roman" w:cs="Times New Roman"/>
              </w:rPr>
              <w:t>CO</w:t>
            </w:r>
          </w:p>
        </w:tc>
        <w:tc>
          <w:tcPr>
            <w:tcW w:w="6515" w:type="dxa"/>
          </w:tcPr>
          <w:p w14:paraId="593458E4" w14:textId="77777777" w:rsidR="007D0B1D" w:rsidRDefault="007D0B1D" w:rsidP="0024730D">
            <w:pPr>
              <w:jc w:val="both"/>
              <w:rPr>
                <w:rFonts w:ascii="Times New Roman" w:hAnsi="Times New Roman" w:cs="Times New Roman"/>
              </w:rPr>
            </w:pPr>
            <w:r>
              <w:rPr>
                <w:rFonts w:ascii="Times New Roman" w:hAnsi="Times New Roman" w:cs="Times New Roman"/>
              </w:rPr>
              <w:t>Karbon Monoksit.</w:t>
            </w:r>
          </w:p>
        </w:tc>
      </w:tr>
      <w:tr w:rsidR="007D0B1D" w:rsidRPr="00BA34D0" w14:paraId="3494A77A" w14:textId="77777777" w:rsidTr="0082590D">
        <w:tc>
          <w:tcPr>
            <w:tcW w:w="2547" w:type="dxa"/>
          </w:tcPr>
          <w:p w14:paraId="50AF9215" w14:textId="77777777" w:rsidR="007D0B1D" w:rsidRDefault="009D570E" w:rsidP="007D0B1D">
            <w:pPr>
              <w:jc w:val="both"/>
              <w:rPr>
                <w:rFonts w:ascii="Times New Roman" w:hAnsi="Times New Roman" w:cs="Times New Roman"/>
              </w:rPr>
            </w:pPr>
            <w:r>
              <w:rPr>
                <w:rFonts w:ascii="Times New Roman" w:hAnsi="Times New Roman" w:cs="Times New Roman"/>
              </w:rPr>
              <w:t>KOİ</w:t>
            </w:r>
          </w:p>
        </w:tc>
        <w:tc>
          <w:tcPr>
            <w:tcW w:w="6515" w:type="dxa"/>
          </w:tcPr>
          <w:p w14:paraId="7A83FD2D" w14:textId="77777777" w:rsidR="007D0B1D" w:rsidRDefault="007D0B1D" w:rsidP="007D0B1D">
            <w:pPr>
              <w:jc w:val="both"/>
              <w:rPr>
                <w:rFonts w:ascii="Times New Roman" w:hAnsi="Times New Roman" w:cs="Times New Roman"/>
              </w:rPr>
            </w:pPr>
            <w:r>
              <w:rPr>
                <w:rFonts w:ascii="Times New Roman" w:hAnsi="Times New Roman" w:cs="Times New Roman"/>
              </w:rPr>
              <w:t xml:space="preserve">Kimyasal Oksijen İhtiyacı; atık suda bulunan kimyasal olarak oksitlenebilir organik madde miktarı (normalde, dikromat oksidasyonu ile analizi ifade eder). </w:t>
            </w:r>
            <w:r w:rsidR="009D570E">
              <w:rPr>
                <w:rFonts w:ascii="Times New Roman" w:hAnsi="Times New Roman" w:cs="Times New Roman"/>
              </w:rPr>
              <w:t>KOİ</w:t>
            </w:r>
            <w:r>
              <w:rPr>
                <w:rFonts w:ascii="Times New Roman" w:hAnsi="Times New Roman" w:cs="Times New Roman"/>
              </w:rPr>
              <w:t>, organik bileşiklerin kütle konsantrasyonu için bir göstergedir.</w:t>
            </w:r>
          </w:p>
        </w:tc>
      </w:tr>
      <w:tr w:rsidR="007D0B1D" w:rsidRPr="00BA34D0" w14:paraId="0E722CF0" w14:textId="77777777" w:rsidTr="0082590D">
        <w:tc>
          <w:tcPr>
            <w:tcW w:w="2547" w:type="dxa"/>
          </w:tcPr>
          <w:p w14:paraId="45E9BE2C" w14:textId="77777777" w:rsidR="007D0B1D" w:rsidRPr="00BA34D0" w:rsidRDefault="007D0B1D" w:rsidP="007D0B1D">
            <w:pPr>
              <w:jc w:val="both"/>
              <w:rPr>
                <w:rFonts w:ascii="Times New Roman" w:hAnsi="Times New Roman" w:cs="Times New Roman"/>
              </w:rPr>
            </w:pPr>
            <w:r>
              <w:rPr>
                <w:rFonts w:ascii="Times New Roman" w:hAnsi="Times New Roman" w:cs="Times New Roman"/>
              </w:rPr>
              <w:t>CTMP</w:t>
            </w:r>
          </w:p>
        </w:tc>
        <w:tc>
          <w:tcPr>
            <w:tcW w:w="6515" w:type="dxa"/>
          </w:tcPr>
          <w:p w14:paraId="3331896F" w14:textId="77777777" w:rsidR="007D0B1D" w:rsidRPr="00BA34D0" w:rsidRDefault="007D0B1D" w:rsidP="007D0B1D">
            <w:pPr>
              <w:jc w:val="both"/>
              <w:rPr>
                <w:rFonts w:ascii="Times New Roman" w:hAnsi="Times New Roman" w:cs="Times New Roman"/>
              </w:rPr>
            </w:pPr>
            <w:r>
              <w:rPr>
                <w:rFonts w:ascii="Times New Roman" w:hAnsi="Times New Roman" w:cs="Times New Roman"/>
              </w:rPr>
              <w:t>Kimyasal Termomekanik Kağıt Hamuru [Chemithermomechanical Pulp]</w:t>
            </w:r>
          </w:p>
        </w:tc>
      </w:tr>
      <w:tr w:rsidR="00224ED3" w:rsidRPr="00BA34D0" w14:paraId="1472BAAD" w14:textId="77777777" w:rsidTr="0082590D">
        <w:tc>
          <w:tcPr>
            <w:tcW w:w="2547" w:type="dxa"/>
          </w:tcPr>
          <w:p w14:paraId="4D329CD9" w14:textId="77777777" w:rsidR="00224ED3" w:rsidRDefault="00224ED3" w:rsidP="007D0B1D">
            <w:pPr>
              <w:jc w:val="both"/>
              <w:rPr>
                <w:rFonts w:ascii="Times New Roman" w:hAnsi="Times New Roman" w:cs="Times New Roman"/>
              </w:rPr>
            </w:pPr>
            <w:r>
              <w:rPr>
                <w:rFonts w:ascii="Times New Roman" w:hAnsi="Times New Roman" w:cs="Times New Roman"/>
              </w:rPr>
              <w:t>Çinko</w:t>
            </w:r>
          </w:p>
        </w:tc>
        <w:tc>
          <w:tcPr>
            <w:tcW w:w="6515" w:type="dxa"/>
          </w:tcPr>
          <w:p w14:paraId="29B80A5F" w14:textId="77777777" w:rsidR="00224ED3" w:rsidRDefault="00224ED3" w:rsidP="007D0B1D">
            <w:pPr>
              <w:jc w:val="both"/>
              <w:rPr>
                <w:rFonts w:ascii="Times New Roman" w:hAnsi="Times New Roman" w:cs="Times New Roman"/>
              </w:rPr>
            </w:pPr>
            <w:r>
              <w:rPr>
                <w:rFonts w:ascii="Times New Roman" w:hAnsi="Times New Roman" w:cs="Times New Roman"/>
              </w:rPr>
              <w:t>Zn olarak ifade edilen çinko, çözünmüş veya partiküllere bağlı tüm inorganik ve organik çinko bileşiklerini içerir.</w:t>
            </w:r>
          </w:p>
        </w:tc>
      </w:tr>
      <w:tr w:rsidR="00C7115A" w:rsidRPr="00BA34D0" w14:paraId="6CDCDBA4" w14:textId="77777777" w:rsidTr="0082590D">
        <w:tc>
          <w:tcPr>
            <w:tcW w:w="2547" w:type="dxa"/>
          </w:tcPr>
          <w:p w14:paraId="1070425C" w14:textId="77777777" w:rsidR="00C7115A" w:rsidRDefault="00C7115A" w:rsidP="007D0B1D">
            <w:pPr>
              <w:jc w:val="both"/>
              <w:rPr>
                <w:rFonts w:ascii="Times New Roman" w:hAnsi="Times New Roman" w:cs="Times New Roman"/>
              </w:rPr>
            </w:pPr>
            <w:r>
              <w:rPr>
                <w:rFonts w:ascii="Times New Roman" w:hAnsi="Times New Roman" w:cs="Times New Roman"/>
              </w:rPr>
              <w:t>ÇYS</w:t>
            </w:r>
          </w:p>
        </w:tc>
        <w:tc>
          <w:tcPr>
            <w:tcW w:w="6515" w:type="dxa"/>
          </w:tcPr>
          <w:p w14:paraId="3DAE9026" w14:textId="77777777" w:rsidR="00C7115A" w:rsidRDefault="00C7115A" w:rsidP="007D0B1D">
            <w:pPr>
              <w:jc w:val="both"/>
              <w:rPr>
                <w:rFonts w:ascii="Times New Roman" w:hAnsi="Times New Roman" w:cs="Times New Roman"/>
              </w:rPr>
            </w:pPr>
            <w:r>
              <w:rPr>
                <w:rFonts w:ascii="Times New Roman" w:hAnsi="Times New Roman" w:cs="Times New Roman"/>
              </w:rPr>
              <w:t>Çevre Yönetim Sistemi</w:t>
            </w:r>
          </w:p>
        </w:tc>
      </w:tr>
      <w:tr w:rsidR="005F7D2D" w:rsidRPr="00BA34D0" w14:paraId="471B2DA4" w14:textId="77777777" w:rsidTr="0082590D">
        <w:tc>
          <w:tcPr>
            <w:tcW w:w="2547" w:type="dxa"/>
          </w:tcPr>
          <w:p w14:paraId="6FE31A9C" w14:textId="77777777" w:rsidR="005F7D2D" w:rsidRDefault="005F7D2D" w:rsidP="007D0B1D">
            <w:pPr>
              <w:jc w:val="both"/>
              <w:rPr>
                <w:rFonts w:ascii="Times New Roman" w:hAnsi="Times New Roman" w:cs="Times New Roman"/>
              </w:rPr>
            </w:pPr>
            <w:r>
              <w:rPr>
                <w:rFonts w:ascii="Times New Roman" w:hAnsi="Times New Roman" w:cs="Times New Roman"/>
              </w:rPr>
              <w:t>DMF</w:t>
            </w:r>
          </w:p>
        </w:tc>
        <w:tc>
          <w:tcPr>
            <w:tcW w:w="6515" w:type="dxa"/>
          </w:tcPr>
          <w:p w14:paraId="7680D292" w14:textId="77777777" w:rsidR="005F7D2D" w:rsidRPr="005F7D2D" w:rsidRDefault="005F7D2D" w:rsidP="007D0B1D">
            <w:pPr>
              <w:jc w:val="both"/>
              <w:rPr>
                <w:rFonts w:ascii="Times New Roman" w:hAnsi="Times New Roman" w:cs="Times New Roman"/>
              </w:rPr>
            </w:pPr>
            <w:r>
              <w:rPr>
                <w:rFonts w:ascii="Times New Roman" w:hAnsi="Times New Roman" w:cs="Times New Roman"/>
                <w:i/>
                <w:iCs/>
              </w:rPr>
              <w:t>N,N</w:t>
            </w:r>
            <w:r>
              <w:rPr>
                <w:rFonts w:ascii="Times New Roman" w:hAnsi="Times New Roman" w:cs="Times New Roman"/>
              </w:rPr>
              <w:t>-Dimetilformamit</w:t>
            </w:r>
          </w:p>
        </w:tc>
      </w:tr>
      <w:tr w:rsidR="007D0B1D" w:rsidRPr="00BA34D0" w14:paraId="5767F457" w14:textId="77777777" w:rsidTr="0082590D">
        <w:tc>
          <w:tcPr>
            <w:tcW w:w="2547" w:type="dxa"/>
          </w:tcPr>
          <w:p w14:paraId="78B2B721" w14:textId="77777777" w:rsidR="007D0B1D" w:rsidRDefault="007D0B1D" w:rsidP="007D0B1D">
            <w:pPr>
              <w:jc w:val="both"/>
              <w:rPr>
                <w:rFonts w:ascii="Times New Roman" w:hAnsi="Times New Roman" w:cs="Times New Roman"/>
              </w:rPr>
            </w:pPr>
            <w:r>
              <w:rPr>
                <w:rFonts w:ascii="Times New Roman" w:hAnsi="Times New Roman" w:cs="Times New Roman"/>
              </w:rPr>
              <w:t>DS</w:t>
            </w:r>
          </w:p>
        </w:tc>
        <w:tc>
          <w:tcPr>
            <w:tcW w:w="6515" w:type="dxa"/>
          </w:tcPr>
          <w:p w14:paraId="7B2862EC" w14:textId="77777777" w:rsidR="007D0B1D" w:rsidRPr="00BA34D0" w:rsidRDefault="007D0B1D" w:rsidP="007D0B1D">
            <w:pPr>
              <w:jc w:val="both"/>
              <w:rPr>
                <w:rFonts w:ascii="Times New Roman" w:hAnsi="Times New Roman" w:cs="Times New Roman"/>
              </w:rPr>
            </w:pPr>
            <w:r>
              <w:rPr>
                <w:rFonts w:ascii="Times New Roman" w:hAnsi="Times New Roman" w:cs="Times New Roman"/>
              </w:rPr>
              <w:t>Kuru Katılar [Dry Solids], ağırlık %’si olarak ifade edilir.</w:t>
            </w:r>
          </w:p>
        </w:tc>
      </w:tr>
      <w:tr w:rsidR="007D0B1D" w:rsidRPr="00BA34D0" w14:paraId="2FAFF372" w14:textId="77777777" w:rsidTr="0082590D">
        <w:tc>
          <w:tcPr>
            <w:tcW w:w="2547" w:type="dxa"/>
          </w:tcPr>
          <w:p w14:paraId="4A158A24" w14:textId="77777777" w:rsidR="007D0B1D" w:rsidRDefault="007D0B1D" w:rsidP="007D0B1D">
            <w:pPr>
              <w:jc w:val="both"/>
              <w:rPr>
                <w:rFonts w:ascii="Times New Roman" w:hAnsi="Times New Roman" w:cs="Times New Roman"/>
              </w:rPr>
            </w:pPr>
            <w:r>
              <w:rPr>
                <w:rFonts w:ascii="Times New Roman" w:hAnsi="Times New Roman" w:cs="Times New Roman"/>
              </w:rPr>
              <w:t>DTPA</w:t>
            </w:r>
          </w:p>
        </w:tc>
        <w:tc>
          <w:tcPr>
            <w:tcW w:w="6515" w:type="dxa"/>
          </w:tcPr>
          <w:p w14:paraId="37616D6E" w14:textId="77777777" w:rsidR="007D0B1D" w:rsidRPr="00BA34D0" w:rsidRDefault="007D0B1D" w:rsidP="007D0B1D">
            <w:pPr>
              <w:jc w:val="both"/>
              <w:rPr>
                <w:rFonts w:ascii="Times New Roman" w:hAnsi="Times New Roman" w:cs="Times New Roman"/>
              </w:rPr>
            </w:pPr>
            <w:r>
              <w:rPr>
                <w:rFonts w:ascii="Times New Roman" w:hAnsi="Times New Roman" w:cs="Times New Roman"/>
              </w:rPr>
              <w:t>Dietilen Triamine Pentaasetik Asit (peroksit ile ağartmada kompleks yapıcı/şelatlaştırıcı madde olarak kullanılır)</w:t>
            </w:r>
          </w:p>
        </w:tc>
      </w:tr>
      <w:tr w:rsidR="009B493C" w:rsidRPr="00BA34D0" w14:paraId="729F7A2C" w14:textId="77777777" w:rsidTr="0082590D">
        <w:tc>
          <w:tcPr>
            <w:tcW w:w="2547" w:type="dxa"/>
          </w:tcPr>
          <w:p w14:paraId="0C1B3821" w14:textId="77777777" w:rsidR="009B493C" w:rsidRDefault="009B493C" w:rsidP="007D0B1D">
            <w:pPr>
              <w:jc w:val="both"/>
              <w:rPr>
                <w:rFonts w:ascii="Times New Roman" w:hAnsi="Times New Roman" w:cs="Times New Roman"/>
              </w:rPr>
            </w:pPr>
            <w:r>
              <w:rPr>
                <w:rFonts w:ascii="Times New Roman" w:hAnsi="Times New Roman" w:cs="Times New Roman"/>
              </w:rPr>
              <w:t>DWI</w:t>
            </w:r>
          </w:p>
        </w:tc>
        <w:tc>
          <w:tcPr>
            <w:tcW w:w="6515" w:type="dxa"/>
          </w:tcPr>
          <w:p w14:paraId="0B450A0E" w14:textId="77777777" w:rsidR="009B493C" w:rsidRDefault="009B493C" w:rsidP="007D0B1D">
            <w:pPr>
              <w:jc w:val="both"/>
              <w:rPr>
                <w:rFonts w:ascii="Times New Roman" w:hAnsi="Times New Roman" w:cs="Times New Roman"/>
              </w:rPr>
            </w:pPr>
            <w:r>
              <w:rPr>
                <w:rFonts w:ascii="Times New Roman" w:hAnsi="Times New Roman" w:cs="Times New Roman"/>
              </w:rPr>
              <w:t>İki parçalı teneke (metal ambalaj sektöründe bir tür teneke türü).</w:t>
            </w:r>
          </w:p>
        </w:tc>
      </w:tr>
      <w:tr w:rsidR="007D0B1D" w:rsidRPr="00BA34D0" w14:paraId="019253CB" w14:textId="77777777" w:rsidTr="0082590D">
        <w:tc>
          <w:tcPr>
            <w:tcW w:w="2547" w:type="dxa"/>
          </w:tcPr>
          <w:p w14:paraId="6B1EE7F0" w14:textId="77777777" w:rsidR="007D0B1D" w:rsidRDefault="007D0B1D" w:rsidP="007D0B1D">
            <w:pPr>
              <w:jc w:val="both"/>
              <w:rPr>
                <w:rFonts w:ascii="Times New Roman" w:hAnsi="Times New Roman" w:cs="Times New Roman"/>
              </w:rPr>
            </w:pPr>
            <w:r>
              <w:rPr>
                <w:rFonts w:ascii="Times New Roman" w:hAnsi="Times New Roman" w:cs="Times New Roman"/>
              </w:rPr>
              <w:t>ECF</w:t>
            </w:r>
          </w:p>
        </w:tc>
        <w:tc>
          <w:tcPr>
            <w:tcW w:w="6515" w:type="dxa"/>
          </w:tcPr>
          <w:p w14:paraId="1BB4C911" w14:textId="77777777" w:rsidR="007D0B1D" w:rsidRPr="00BA34D0" w:rsidRDefault="007D0B1D" w:rsidP="007D0B1D">
            <w:pPr>
              <w:jc w:val="both"/>
              <w:rPr>
                <w:rFonts w:ascii="Times New Roman" w:hAnsi="Times New Roman" w:cs="Times New Roman"/>
              </w:rPr>
            </w:pPr>
            <w:r>
              <w:rPr>
                <w:rFonts w:ascii="Times New Roman" w:hAnsi="Times New Roman" w:cs="Times New Roman"/>
              </w:rPr>
              <w:t>Elemental Klor İçermeyen [Elemental Chlorine Free]</w:t>
            </w:r>
          </w:p>
        </w:tc>
      </w:tr>
      <w:tr w:rsidR="007D0B1D" w:rsidRPr="00BA34D0" w14:paraId="27875F49" w14:textId="77777777" w:rsidTr="0082590D">
        <w:tc>
          <w:tcPr>
            <w:tcW w:w="2547" w:type="dxa"/>
          </w:tcPr>
          <w:p w14:paraId="65A53237" w14:textId="77777777" w:rsidR="007D0B1D" w:rsidRDefault="007D0B1D" w:rsidP="007D0B1D">
            <w:pPr>
              <w:jc w:val="both"/>
              <w:rPr>
                <w:rFonts w:ascii="Times New Roman" w:hAnsi="Times New Roman" w:cs="Times New Roman"/>
              </w:rPr>
            </w:pPr>
            <w:r>
              <w:rPr>
                <w:rFonts w:ascii="Times New Roman" w:hAnsi="Times New Roman" w:cs="Times New Roman"/>
              </w:rPr>
              <w:t>EDTA</w:t>
            </w:r>
          </w:p>
        </w:tc>
        <w:tc>
          <w:tcPr>
            <w:tcW w:w="6515" w:type="dxa"/>
          </w:tcPr>
          <w:p w14:paraId="0D844CEA" w14:textId="77777777" w:rsidR="007D0B1D" w:rsidRPr="00BA34D0" w:rsidRDefault="007D0B1D" w:rsidP="007D0B1D">
            <w:pPr>
              <w:jc w:val="both"/>
              <w:rPr>
                <w:rFonts w:ascii="Times New Roman" w:hAnsi="Times New Roman" w:cs="Times New Roman"/>
              </w:rPr>
            </w:pPr>
            <w:r>
              <w:rPr>
                <w:rFonts w:ascii="Times New Roman" w:hAnsi="Times New Roman" w:cs="Times New Roman"/>
              </w:rPr>
              <w:t>Etilen Diamin Tetraasetik Asit (kompleks yapıcı/şelatlaştırıcı madde)</w:t>
            </w:r>
          </w:p>
        </w:tc>
      </w:tr>
      <w:tr w:rsidR="00B827B8" w:rsidRPr="00BA34D0" w14:paraId="00A1FAC8" w14:textId="77777777" w:rsidTr="0082590D">
        <w:tc>
          <w:tcPr>
            <w:tcW w:w="2547" w:type="dxa"/>
          </w:tcPr>
          <w:p w14:paraId="0F5F48CB" w14:textId="77777777" w:rsidR="00B827B8" w:rsidRDefault="00B827B8" w:rsidP="007D0B1D">
            <w:pPr>
              <w:jc w:val="both"/>
              <w:rPr>
                <w:rFonts w:ascii="Times New Roman" w:hAnsi="Times New Roman" w:cs="Times New Roman"/>
              </w:rPr>
            </w:pPr>
            <w:r>
              <w:rPr>
                <w:rFonts w:ascii="Times New Roman" w:hAnsi="Times New Roman" w:cs="Times New Roman"/>
              </w:rPr>
              <w:lastRenderedPageBreak/>
              <w:t>EEYY</w:t>
            </w:r>
          </w:p>
        </w:tc>
        <w:tc>
          <w:tcPr>
            <w:tcW w:w="6515" w:type="dxa"/>
          </w:tcPr>
          <w:p w14:paraId="55783BFB" w14:textId="77777777" w:rsidR="00B827B8" w:rsidRDefault="00B827B8" w:rsidP="007D0B1D">
            <w:pPr>
              <w:jc w:val="both"/>
              <w:rPr>
                <w:rFonts w:ascii="Times New Roman" w:hAnsi="Times New Roman" w:cs="Times New Roman"/>
              </w:rPr>
            </w:pPr>
            <w:r>
              <w:rPr>
                <w:rFonts w:ascii="Times New Roman" w:hAnsi="Times New Roman" w:cs="Times New Roman"/>
              </w:rPr>
              <w:t>Endüstriyel Emisyonların Yönetimi Yönetmeliği (R.G. 14.01.2025, Sayı: 32782).</w:t>
            </w:r>
          </w:p>
        </w:tc>
      </w:tr>
      <w:tr w:rsidR="00C7115A" w:rsidRPr="00BA34D0" w14:paraId="45903D59" w14:textId="77777777" w:rsidTr="0082590D">
        <w:tc>
          <w:tcPr>
            <w:tcW w:w="2547" w:type="dxa"/>
          </w:tcPr>
          <w:p w14:paraId="611E8207" w14:textId="77777777" w:rsidR="00C7115A" w:rsidRDefault="00C7115A" w:rsidP="007D0B1D">
            <w:pPr>
              <w:jc w:val="both"/>
              <w:rPr>
                <w:rFonts w:ascii="Times New Roman" w:hAnsi="Times New Roman" w:cs="Times New Roman"/>
              </w:rPr>
            </w:pPr>
            <w:r>
              <w:rPr>
                <w:rFonts w:ascii="Times New Roman" w:hAnsi="Times New Roman" w:cs="Times New Roman"/>
              </w:rPr>
              <w:t>ESP</w:t>
            </w:r>
          </w:p>
        </w:tc>
        <w:tc>
          <w:tcPr>
            <w:tcW w:w="6515" w:type="dxa"/>
          </w:tcPr>
          <w:p w14:paraId="6A6F294C" w14:textId="77777777" w:rsidR="00C7115A" w:rsidRDefault="00C7115A" w:rsidP="007D0B1D">
            <w:pPr>
              <w:jc w:val="both"/>
              <w:rPr>
                <w:rFonts w:ascii="Times New Roman" w:hAnsi="Times New Roman" w:cs="Times New Roman"/>
              </w:rPr>
            </w:pPr>
            <w:r>
              <w:rPr>
                <w:rFonts w:ascii="Times New Roman" w:hAnsi="Times New Roman" w:cs="Times New Roman"/>
              </w:rPr>
              <w:t>Elektrostatik Filtre</w:t>
            </w:r>
          </w:p>
        </w:tc>
      </w:tr>
      <w:tr w:rsidR="000338FA" w:rsidRPr="00BA34D0" w14:paraId="35B538A4" w14:textId="77777777" w:rsidTr="0082590D">
        <w:tc>
          <w:tcPr>
            <w:tcW w:w="2547" w:type="dxa"/>
          </w:tcPr>
          <w:p w14:paraId="498E5905" w14:textId="77777777" w:rsidR="000338FA" w:rsidRDefault="00545058" w:rsidP="007D0B1D">
            <w:pPr>
              <w:jc w:val="both"/>
              <w:rPr>
                <w:rFonts w:ascii="Times New Roman" w:hAnsi="Times New Roman" w:cs="Times New Roman"/>
              </w:rPr>
            </w:pPr>
            <m:oMath>
              <m:sSup>
                <m:sSupPr>
                  <m:ctrlPr>
                    <w:rPr>
                      <w:rFonts w:ascii="Cambria Math" w:hAnsi="Cambria Math" w:cs="Times New Roman"/>
                      <w:i/>
                    </w:rPr>
                  </m:ctrlPr>
                </m:sSupPr>
                <m:e>
                  <m:r>
                    <m:rPr>
                      <m:sty m:val="p"/>
                    </m:rPr>
                    <w:rPr>
                      <w:rFonts w:ascii="Cambria Math" w:hAnsi="Cambria Math" w:cs="Times New Roman"/>
                    </w:rPr>
                    <m:t>F</m:t>
                  </m:r>
                </m:e>
                <m:sup>
                  <m:r>
                    <m:rPr>
                      <m:sty m:val="p"/>
                    </m:rPr>
                    <w:rPr>
                      <w:rFonts w:ascii="Cambria Math" w:hAnsi="Cambria Math" w:cs="Times New Roman"/>
                    </w:rPr>
                    <m:t>-</m:t>
                  </m:r>
                </m:sup>
              </m:sSup>
            </m:oMath>
            <w:r w:rsidR="000338FA">
              <w:rPr>
                <w:rFonts w:ascii="Times New Roman" w:eastAsiaTheme="minorEastAsia" w:hAnsi="Times New Roman" w:cs="Times New Roman"/>
              </w:rPr>
              <w:t xml:space="preserve"> </w:t>
            </w:r>
          </w:p>
        </w:tc>
        <w:tc>
          <w:tcPr>
            <w:tcW w:w="6515" w:type="dxa"/>
          </w:tcPr>
          <w:p w14:paraId="74F9FEE9" w14:textId="77777777" w:rsidR="000338FA" w:rsidRDefault="000338FA" w:rsidP="007D0B1D">
            <w:pPr>
              <w:jc w:val="both"/>
              <w:rPr>
                <w:rFonts w:ascii="Times New Roman" w:hAnsi="Times New Roman" w:cs="Times New Roman"/>
              </w:rPr>
            </w:pPr>
            <w:r>
              <w:rPr>
                <w:rFonts w:ascii="Times New Roman" w:hAnsi="Times New Roman" w:cs="Times New Roman"/>
              </w:rPr>
              <w:t>Florür</w:t>
            </w:r>
          </w:p>
        </w:tc>
      </w:tr>
      <w:tr w:rsidR="00AE2405" w:rsidRPr="00BA34D0" w14:paraId="2502B6D2" w14:textId="77777777" w:rsidTr="0082590D">
        <w:tc>
          <w:tcPr>
            <w:tcW w:w="2547" w:type="dxa"/>
          </w:tcPr>
          <w:p w14:paraId="044AB922" w14:textId="77777777" w:rsidR="00AE2405" w:rsidRDefault="00AE2405" w:rsidP="007D0B1D">
            <w:pPr>
              <w:jc w:val="both"/>
              <w:rPr>
                <w:rFonts w:ascii="Times New Roman" w:hAnsi="Times New Roman" w:cs="Times New Roman"/>
              </w:rPr>
            </w:pPr>
            <w:r>
              <w:rPr>
                <w:rFonts w:ascii="Times New Roman" w:hAnsi="Times New Roman" w:cs="Times New Roman"/>
              </w:rPr>
              <w:t>FDM</w:t>
            </w:r>
          </w:p>
        </w:tc>
        <w:tc>
          <w:tcPr>
            <w:tcW w:w="6515" w:type="dxa"/>
          </w:tcPr>
          <w:p w14:paraId="41AD00C1" w14:textId="77777777" w:rsidR="00AE2405" w:rsidRDefault="00AE2405" w:rsidP="007D0B1D">
            <w:pPr>
              <w:jc w:val="both"/>
              <w:rPr>
                <w:rFonts w:ascii="Times New Roman" w:hAnsi="Times New Roman" w:cs="Times New Roman"/>
              </w:rPr>
            </w:pPr>
            <w:r>
              <w:rPr>
                <w:rFonts w:ascii="Times New Roman" w:hAnsi="Times New Roman" w:cs="Times New Roman"/>
              </w:rPr>
              <w:t>Gıda, İçecek ve Süt Ürünleri</w:t>
            </w:r>
          </w:p>
        </w:tc>
      </w:tr>
      <w:tr w:rsidR="007D0B1D" w:rsidRPr="00BA34D0" w14:paraId="37C6707C" w14:textId="77777777" w:rsidTr="0082590D">
        <w:tc>
          <w:tcPr>
            <w:tcW w:w="2547" w:type="dxa"/>
          </w:tcPr>
          <w:p w14:paraId="742C4D6F" w14:textId="77777777" w:rsidR="007D0B1D" w:rsidRPr="001C70DF" w:rsidRDefault="007D0B1D" w:rsidP="007D0B1D">
            <w:pPr>
              <w:jc w:val="both"/>
              <w:rPr>
                <w:rFonts w:ascii="Times New Roman" w:hAnsi="Times New Roman" w:cs="Times New Roman"/>
              </w:rPr>
            </w:pPr>
            <w:r>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rPr>
              <w:t>S</w:t>
            </w:r>
          </w:p>
        </w:tc>
        <w:tc>
          <w:tcPr>
            <w:tcW w:w="6515" w:type="dxa"/>
          </w:tcPr>
          <w:p w14:paraId="62A38F89" w14:textId="77777777" w:rsidR="007D0B1D" w:rsidRPr="00BA34D0" w:rsidRDefault="007D0B1D" w:rsidP="007D0B1D">
            <w:pPr>
              <w:jc w:val="both"/>
              <w:rPr>
                <w:rFonts w:ascii="Times New Roman" w:hAnsi="Times New Roman" w:cs="Times New Roman"/>
              </w:rPr>
            </w:pPr>
            <w:r>
              <w:rPr>
                <w:rFonts w:ascii="Times New Roman" w:hAnsi="Times New Roman" w:cs="Times New Roman"/>
              </w:rPr>
              <w:t>Hidrojen Sülfür</w:t>
            </w:r>
          </w:p>
        </w:tc>
      </w:tr>
      <w:tr w:rsidR="0080023F" w:rsidRPr="00BA34D0" w14:paraId="369F4E14" w14:textId="77777777" w:rsidTr="0082590D">
        <w:tc>
          <w:tcPr>
            <w:tcW w:w="2547" w:type="dxa"/>
          </w:tcPr>
          <w:p w14:paraId="52D6063C" w14:textId="77777777" w:rsidR="0080023F" w:rsidRDefault="0080023F" w:rsidP="007D0B1D">
            <w:pPr>
              <w:jc w:val="both"/>
              <w:rPr>
                <w:rFonts w:ascii="Times New Roman" w:hAnsi="Times New Roman" w:cs="Times New Roman"/>
              </w:rPr>
            </w:pPr>
            <w:r>
              <w:rPr>
                <w:rFonts w:ascii="Times New Roman" w:hAnsi="Times New Roman" w:cs="Times New Roman"/>
              </w:rPr>
              <w:t>HCl</w:t>
            </w:r>
          </w:p>
        </w:tc>
        <w:tc>
          <w:tcPr>
            <w:tcW w:w="6515" w:type="dxa"/>
          </w:tcPr>
          <w:p w14:paraId="77BA06AF" w14:textId="77777777" w:rsidR="0080023F" w:rsidRDefault="0080023F" w:rsidP="007D0B1D">
            <w:pPr>
              <w:jc w:val="both"/>
              <w:rPr>
                <w:rFonts w:ascii="Times New Roman" w:hAnsi="Times New Roman" w:cs="Times New Roman"/>
              </w:rPr>
            </w:pPr>
            <w:r>
              <w:rPr>
                <w:rFonts w:ascii="Times New Roman" w:hAnsi="Times New Roman" w:cs="Times New Roman"/>
              </w:rPr>
              <w:t>HCl olarak ifade edilen, gaz halindeki</w:t>
            </w:r>
            <w:r w:rsidR="008D780A">
              <w:rPr>
                <w:rFonts w:ascii="Times New Roman" w:hAnsi="Times New Roman" w:cs="Times New Roman"/>
              </w:rPr>
              <w:t xml:space="preserve"> tüm</w:t>
            </w:r>
            <w:r>
              <w:rPr>
                <w:rFonts w:ascii="Times New Roman" w:hAnsi="Times New Roman" w:cs="Times New Roman"/>
              </w:rPr>
              <w:t xml:space="preserve"> inorganik klor bileşikleri.</w:t>
            </w:r>
          </w:p>
        </w:tc>
      </w:tr>
      <w:tr w:rsidR="003F4E6A" w:rsidRPr="00BA34D0" w14:paraId="622344F0" w14:textId="77777777" w:rsidTr="0082590D">
        <w:tc>
          <w:tcPr>
            <w:tcW w:w="2547" w:type="dxa"/>
          </w:tcPr>
          <w:p w14:paraId="18831B54" w14:textId="77777777" w:rsidR="003F4E6A" w:rsidRDefault="003F4E6A" w:rsidP="007D0B1D">
            <w:pPr>
              <w:jc w:val="both"/>
              <w:rPr>
                <w:rFonts w:ascii="Times New Roman" w:hAnsi="Times New Roman" w:cs="Times New Roman"/>
              </w:rPr>
            </w:pPr>
            <w:r>
              <w:rPr>
                <w:rFonts w:ascii="Times New Roman" w:hAnsi="Times New Roman" w:cs="Times New Roman"/>
              </w:rPr>
              <w:t>Hekzan</w:t>
            </w:r>
          </w:p>
        </w:tc>
        <w:tc>
          <w:tcPr>
            <w:tcW w:w="6515" w:type="dxa"/>
          </w:tcPr>
          <w:p w14:paraId="78BC129F" w14:textId="77777777" w:rsidR="003F4E6A" w:rsidRPr="003F4E6A" w:rsidRDefault="003F4E6A" w:rsidP="007D0B1D">
            <w:pPr>
              <w:jc w:val="both"/>
              <w:rPr>
                <w:rFonts w:ascii="Times New Roman" w:hAnsi="Times New Roman" w:cs="Times New Roman"/>
              </w:rPr>
            </w:pPr>
            <w:r>
              <w:rPr>
                <w:rFonts w:ascii="Times New Roman" w:hAnsi="Times New Roman" w:cs="Times New Roman"/>
              </w:rPr>
              <w:t>C</w:t>
            </w:r>
            <w:r>
              <w:rPr>
                <w:rFonts w:ascii="Times New Roman" w:hAnsi="Times New Roman" w:cs="Times New Roman"/>
                <w:vertAlign w:val="subscript"/>
              </w:rPr>
              <w:t>6</w:t>
            </w:r>
            <w:r>
              <w:rPr>
                <w:rFonts w:ascii="Times New Roman" w:hAnsi="Times New Roman" w:cs="Times New Roman"/>
              </w:rPr>
              <w:t>H</w:t>
            </w:r>
            <w:r>
              <w:rPr>
                <w:rFonts w:ascii="Times New Roman" w:hAnsi="Times New Roman" w:cs="Times New Roman"/>
                <w:vertAlign w:val="subscript"/>
              </w:rPr>
              <w:t>14</w:t>
            </w:r>
            <w:r>
              <w:rPr>
                <w:rFonts w:ascii="Times New Roman" w:hAnsi="Times New Roman" w:cs="Times New Roman"/>
              </w:rPr>
              <w:t xml:space="preserve"> kimyasal formülüne sahip, altı karbon atomlu alkan.</w:t>
            </w:r>
          </w:p>
        </w:tc>
      </w:tr>
      <w:tr w:rsidR="008D780A" w:rsidRPr="00BA34D0" w14:paraId="0991CF98" w14:textId="77777777" w:rsidTr="0082590D">
        <w:tc>
          <w:tcPr>
            <w:tcW w:w="2547" w:type="dxa"/>
          </w:tcPr>
          <w:p w14:paraId="7E1889AB" w14:textId="77777777" w:rsidR="008D780A" w:rsidRDefault="008D780A" w:rsidP="007D0B1D">
            <w:pPr>
              <w:jc w:val="both"/>
              <w:rPr>
                <w:rFonts w:ascii="Times New Roman" w:hAnsi="Times New Roman" w:cs="Times New Roman"/>
              </w:rPr>
            </w:pPr>
            <w:r>
              <w:rPr>
                <w:rFonts w:ascii="Times New Roman" w:hAnsi="Times New Roman" w:cs="Times New Roman"/>
              </w:rPr>
              <w:t>HF</w:t>
            </w:r>
          </w:p>
        </w:tc>
        <w:tc>
          <w:tcPr>
            <w:tcW w:w="6515" w:type="dxa"/>
          </w:tcPr>
          <w:p w14:paraId="0E666733" w14:textId="77777777" w:rsidR="008D780A" w:rsidRDefault="008D780A" w:rsidP="007D0B1D">
            <w:pPr>
              <w:jc w:val="both"/>
              <w:rPr>
                <w:rFonts w:ascii="Times New Roman" w:hAnsi="Times New Roman" w:cs="Times New Roman"/>
              </w:rPr>
            </w:pPr>
            <w:r>
              <w:rPr>
                <w:rFonts w:ascii="Times New Roman" w:hAnsi="Times New Roman" w:cs="Times New Roman"/>
              </w:rPr>
              <w:t>HF olarak ifade edilen, gaz halindeki tüm inorganik flor bileşikleri.</w:t>
            </w:r>
          </w:p>
        </w:tc>
      </w:tr>
      <w:tr w:rsidR="00E46F71" w:rsidRPr="00BA34D0" w14:paraId="564674AF" w14:textId="77777777" w:rsidTr="0082590D">
        <w:tc>
          <w:tcPr>
            <w:tcW w:w="2547" w:type="dxa"/>
          </w:tcPr>
          <w:p w14:paraId="39D5B94F" w14:textId="77777777" w:rsidR="00E46F71" w:rsidRDefault="00E46F71" w:rsidP="007D0B1D">
            <w:pPr>
              <w:jc w:val="both"/>
              <w:rPr>
                <w:rFonts w:ascii="Times New Roman" w:hAnsi="Times New Roman" w:cs="Times New Roman"/>
              </w:rPr>
            </w:pPr>
            <w:r>
              <w:rPr>
                <w:rFonts w:ascii="Times New Roman" w:hAnsi="Times New Roman" w:cs="Times New Roman"/>
              </w:rPr>
              <w:t>HOI</w:t>
            </w:r>
          </w:p>
        </w:tc>
        <w:tc>
          <w:tcPr>
            <w:tcW w:w="6515" w:type="dxa"/>
          </w:tcPr>
          <w:p w14:paraId="5732E34A" w14:textId="77777777" w:rsidR="00E46F71" w:rsidRDefault="00E46F71" w:rsidP="007D0B1D">
            <w:pPr>
              <w:jc w:val="both"/>
              <w:rPr>
                <w:rFonts w:ascii="Times New Roman" w:hAnsi="Times New Roman" w:cs="Times New Roman"/>
              </w:rPr>
            </w:pPr>
            <w:r>
              <w:rPr>
                <w:rFonts w:ascii="Times New Roman" w:hAnsi="Times New Roman" w:cs="Times New Roman"/>
              </w:rPr>
              <w:t>Hidrokarbon Yağ İndeksi. Hidrokarbon solvent ile ekstrakte edilebilir bileşiklerin toplamı (uzun zincirli veya dallanmış alifatikleri, alisiklikleri, aromatikleri veya alkil ikameli aromatik hidrokarbonları içerir).</w:t>
            </w:r>
          </w:p>
        </w:tc>
      </w:tr>
      <w:tr w:rsidR="00C31E53" w:rsidRPr="00BA34D0" w14:paraId="6AA2FD4A" w14:textId="77777777" w:rsidTr="0082590D">
        <w:tc>
          <w:tcPr>
            <w:tcW w:w="2547" w:type="dxa"/>
          </w:tcPr>
          <w:p w14:paraId="67F73F81" w14:textId="77777777" w:rsidR="00C31E53" w:rsidRDefault="00C31E53" w:rsidP="007D0B1D">
            <w:pPr>
              <w:jc w:val="both"/>
              <w:rPr>
                <w:rFonts w:ascii="Times New Roman" w:hAnsi="Times New Roman" w:cs="Times New Roman"/>
              </w:rPr>
            </w:pPr>
            <w:r>
              <w:rPr>
                <w:rFonts w:ascii="Times New Roman" w:hAnsi="Times New Roman" w:cs="Times New Roman"/>
              </w:rPr>
              <w:t>IPA</w:t>
            </w:r>
          </w:p>
        </w:tc>
        <w:tc>
          <w:tcPr>
            <w:tcW w:w="6515" w:type="dxa"/>
          </w:tcPr>
          <w:p w14:paraId="134C2137" w14:textId="77777777" w:rsidR="00C31E53" w:rsidRDefault="00C31E53" w:rsidP="007D0B1D">
            <w:pPr>
              <w:jc w:val="both"/>
              <w:rPr>
                <w:rFonts w:ascii="Times New Roman" w:hAnsi="Times New Roman" w:cs="Times New Roman"/>
              </w:rPr>
            </w:pPr>
            <w:r>
              <w:rPr>
                <w:rFonts w:ascii="Times New Roman" w:hAnsi="Times New Roman" w:cs="Times New Roman"/>
              </w:rPr>
              <w:t>İzopropil alkol: propan-2-ol (izopropanol da denir).</w:t>
            </w:r>
          </w:p>
        </w:tc>
      </w:tr>
      <w:tr w:rsidR="001E2062" w:rsidRPr="00BA34D0" w14:paraId="491C5408" w14:textId="77777777" w:rsidTr="0082590D">
        <w:tc>
          <w:tcPr>
            <w:tcW w:w="2547" w:type="dxa"/>
          </w:tcPr>
          <w:p w14:paraId="09DBF693" w14:textId="77777777" w:rsidR="001E2062" w:rsidRDefault="001E2062" w:rsidP="007D0B1D">
            <w:pPr>
              <w:jc w:val="both"/>
              <w:rPr>
                <w:rFonts w:ascii="Times New Roman" w:hAnsi="Times New Roman" w:cs="Times New Roman"/>
              </w:rPr>
            </w:pPr>
            <w:r>
              <w:rPr>
                <w:rFonts w:ascii="Times New Roman" w:hAnsi="Times New Roman" w:cs="Times New Roman"/>
              </w:rPr>
              <w:t>IR</w:t>
            </w:r>
          </w:p>
        </w:tc>
        <w:tc>
          <w:tcPr>
            <w:tcW w:w="6515" w:type="dxa"/>
          </w:tcPr>
          <w:p w14:paraId="568F0E16" w14:textId="77777777" w:rsidR="001E2062" w:rsidRDefault="001E2062" w:rsidP="007D0B1D">
            <w:pPr>
              <w:jc w:val="both"/>
              <w:rPr>
                <w:rFonts w:ascii="Times New Roman" w:hAnsi="Times New Roman" w:cs="Times New Roman"/>
              </w:rPr>
            </w:pPr>
            <w:r>
              <w:rPr>
                <w:rFonts w:ascii="Times New Roman" w:hAnsi="Times New Roman" w:cs="Times New Roman"/>
              </w:rPr>
              <w:t>Kızılötesi</w:t>
            </w:r>
          </w:p>
        </w:tc>
      </w:tr>
      <w:tr w:rsidR="00356875" w:rsidRPr="00BA34D0" w14:paraId="48510041" w14:textId="77777777" w:rsidTr="0082590D">
        <w:tc>
          <w:tcPr>
            <w:tcW w:w="2547" w:type="dxa"/>
          </w:tcPr>
          <w:p w14:paraId="5ED0A247" w14:textId="77777777" w:rsidR="00356875" w:rsidRDefault="00356875" w:rsidP="007D0B1D">
            <w:pPr>
              <w:jc w:val="both"/>
              <w:rPr>
                <w:rFonts w:ascii="Times New Roman" w:hAnsi="Times New Roman" w:cs="Times New Roman"/>
              </w:rPr>
            </w:pPr>
            <w:r>
              <w:rPr>
                <w:rFonts w:ascii="Times New Roman" w:hAnsi="Times New Roman" w:cs="Times New Roman"/>
              </w:rPr>
              <w:t>Kadmiyum</w:t>
            </w:r>
          </w:p>
        </w:tc>
        <w:tc>
          <w:tcPr>
            <w:tcW w:w="6515" w:type="dxa"/>
          </w:tcPr>
          <w:p w14:paraId="04EE62CD" w14:textId="77777777" w:rsidR="00356875" w:rsidRDefault="00356875" w:rsidP="007D0B1D">
            <w:pPr>
              <w:jc w:val="both"/>
              <w:rPr>
                <w:rFonts w:ascii="Times New Roman" w:hAnsi="Times New Roman" w:cs="Times New Roman"/>
              </w:rPr>
            </w:pPr>
            <w:r>
              <w:rPr>
                <w:rFonts w:ascii="Times New Roman" w:hAnsi="Times New Roman" w:cs="Times New Roman"/>
              </w:rPr>
              <w:t>Cd</w:t>
            </w:r>
          </w:p>
        </w:tc>
      </w:tr>
      <w:tr w:rsidR="00356875" w:rsidRPr="00BA34D0" w14:paraId="5D0961EF" w14:textId="77777777" w:rsidTr="0082590D">
        <w:tc>
          <w:tcPr>
            <w:tcW w:w="2547" w:type="dxa"/>
          </w:tcPr>
          <w:p w14:paraId="668396C7" w14:textId="77777777" w:rsidR="00356875" w:rsidRDefault="00356875" w:rsidP="007D0B1D">
            <w:pPr>
              <w:jc w:val="both"/>
              <w:rPr>
                <w:rFonts w:ascii="Times New Roman" w:hAnsi="Times New Roman" w:cs="Times New Roman"/>
              </w:rPr>
            </w:pPr>
            <w:r>
              <w:rPr>
                <w:rFonts w:ascii="Times New Roman" w:hAnsi="Times New Roman" w:cs="Times New Roman"/>
              </w:rPr>
              <w:t>Kobalt</w:t>
            </w:r>
          </w:p>
        </w:tc>
        <w:tc>
          <w:tcPr>
            <w:tcW w:w="6515" w:type="dxa"/>
          </w:tcPr>
          <w:p w14:paraId="613C2FFA" w14:textId="77777777" w:rsidR="00356875" w:rsidRDefault="00356875" w:rsidP="007D0B1D">
            <w:pPr>
              <w:jc w:val="both"/>
              <w:rPr>
                <w:rFonts w:ascii="Times New Roman" w:hAnsi="Times New Roman" w:cs="Times New Roman"/>
              </w:rPr>
            </w:pPr>
            <w:r>
              <w:rPr>
                <w:rFonts w:ascii="Times New Roman" w:hAnsi="Times New Roman" w:cs="Times New Roman"/>
              </w:rPr>
              <w:t>Co</w:t>
            </w:r>
          </w:p>
        </w:tc>
      </w:tr>
      <w:tr w:rsidR="00AA2F22" w:rsidRPr="00BA34D0" w14:paraId="41A8013D" w14:textId="77777777" w:rsidTr="0082590D">
        <w:tc>
          <w:tcPr>
            <w:tcW w:w="2547" w:type="dxa"/>
          </w:tcPr>
          <w:p w14:paraId="4BFEFF0A" w14:textId="77777777" w:rsidR="00AA2F22" w:rsidRDefault="00AA2F22" w:rsidP="007D0B1D">
            <w:pPr>
              <w:jc w:val="both"/>
              <w:rPr>
                <w:rFonts w:ascii="Times New Roman" w:hAnsi="Times New Roman" w:cs="Times New Roman"/>
              </w:rPr>
            </w:pPr>
            <w:r>
              <w:rPr>
                <w:rFonts w:ascii="Times New Roman" w:hAnsi="Times New Roman" w:cs="Times New Roman"/>
              </w:rPr>
              <w:t>Koku Konsantrasyonu</w:t>
            </w:r>
          </w:p>
        </w:tc>
        <w:tc>
          <w:tcPr>
            <w:tcW w:w="6515" w:type="dxa"/>
          </w:tcPr>
          <w:p w14:paraId="108B0E15" w14:textId="77777777" w:rsidR="00AA2F22" w:rsidRPr="00AA2F22" w:rsidRDefault="00AA2F22" w:rsidP="007D0B1D">
            <w:pPr>
              <w:jc w:val="both"/>
              <w:rPr>
                <w:rFonts w:ascii="Times New Roman" w:hAnsi="Times New Roman" w:cs="Times New Roman"/>
              </w:rPr>
            </w:pPr>
            <w:r>
              <w:rPr>
                <w:rFonts w:ascii="Times New Roman" w:hAnsi="Times New Roman" w:cs="Times New Roman"/>
              </w:rPr>
              <w:t>TS EN 13725 standardına göre olfaktometri için standart koşullardaki metre küp gazdaki Avrupa Koku Birimi (ou</w:t>
            </w:r>
            <w:r>
              <w:rPr>
                <w:rFonts w:ascii="Times New Roman" w:hAnsi="Times New Roman" w:cs="Times New Roman"/>
                <w:vertAlign w:val="subscript"/>
              </w:rPr>
              <w:t>E</w:t>
            </w:r>
            <w:r>
              <w:rPr>
                <w:rFonts w:ascii="Times New Roman" w:hAnsi="Times New Roman" w:cs="Times New Roman"/>
              </w:rPr>
              <w:t>) sayısı.</w:t>
            </w:r>
          </w:p>
        </w:tc>
      </w:tr>
      <w:tr w:rsidR="007D0B1D" w:rsidRPr="00BA34D0" w14:paraId="46A6D032" w14:textId="77777777" w:rsidTr="0082590D">
        <w:tc>
          <w:tcPr>
            <w:tcW w:w="2547" w:type="dxa"/>
          </w:tcPr>
          <w:p w14:paraId="6544512E" w14:textId="77777777" w:rsidR="007D0B1D" w:rsidRDefault="007D0B1D" w:rsidP="007D0B1D">
            <w:pPr>
              <w:jc w:val="both"/>
              <w:rPr>
                <w:rFonts w:ascii="Times New Roman" w:hAnsi="Times New Roman" w:cs="Times New Roman"/>
              </w:rPr>
            </w:pPr>
            <w:r>
              <w:rPr>
                <w:rFonts w:ascii="Times New Roman" w:hAnsi="Times New Roman" w:cs="Times New Roman"/>
              </w:rPr>
              <w:t>Krom</w:t>
            </w:r>
          </w:p>
        </w:tc>
        <w:tc>
          <w:tcPr>
            <w:tcW w:w="6515" w:type="dxa"/>
          </w:tcPr>
          <w:p w14:paraId="08EB519E" w14:textId="77777777" w:rsidR="007D0B1D" w:rsidRDefault="007D0B1D" w:rsidP="007D0B1D">
            <w:pPr>
              <w:jc w:val="both"/>
              <w:rPr>
                <w:rFonts w:ascii="Times New Roman" w:hAnsi="Times New Roman" w:cs="Times New Roman"/>
              </w:rPr>
            </w:pPr>
            <w:r>
              <w:rPr>
                <w:rFonts w:ascii="Times New Roman" w:hAnsi="Times New Roman" w:cs="Times New Roman"/>
              </w:rPr>
              <w:t>Cr olarak ifade edilen krom, çözünmüş veya partiküllere bağlı tüm inorganik ve organik krom bileşiklerini içerir.</w:t>
            </w:r>
          </w:p>
        </w:tc>
      </w:tr>
      <w:tr w:rsidR="00356875" w:rsidRPr="00BA34D0" w14:paraId="1E23F743" w14:textId="77777777" w:rsidTr="0082590D">
        <w:tc>
          <w:tcPr>
            <w:tcW w:w="2547" w:type="dxa"/>
          </w:tcPr>
          <w:p w14:paraId="088DF80B" w14:textId="77777777" w:rsidR="00356875" w:rsidRDefault="00356875" w:rsidP="007D0B1D">
            <w:pPr>
              <w:jc w:val="both"/>
              <w:rPr>
                <w:rFonts w:ascii="Times New Roman" w:hAnsi="Times New Roman" w:cs="Times New Roman"/>
              </w:rPr>
            </w:pPr>
            <w:r>
              <w:rPr>
                <w:rFonts w:ascii="Times New Roman" w:hAnsi="Times New Roman" w:cs="Times New Roman"/>
              </w:rPr>
              <w:t>Kurşun</w:t>
            </w:r>
          </w:p>
        </w:tc>
        <w:tc>
          <w:tcPr>
            <w:tcW w:w="6515" w:type="dxa"/>
          </w:tcPr>
          <w:p w14:paraId="4971645C" w14:textId="77777777" w:rsidR="00356875" w:rsidRDefault="00356875" w:rsidP="007D0B1D">
            <w:pPr>
              <w:jc w:val="both"/>
              <w:rPr>
                <w:rFonts w:ascii="Times New Roman" w:hAnsi="Times New Roman" w:cs="Times New Roman"/>
              </w:rPr>
            </w:pPr>
            <w:r>
              <w:rPr>
                <w:rFonts w:ascii="Times New Roman" w:hAnsi="Times New Roman" w:cs="Times New Roman"/>
              </w:rPr>
              <w:t>Pb</w:t>
            </w:r>
          </w:p>
        </w:tc>
      </w:tr>
      <w:tr w:rsidR="001E2062" w:rsidRPr="00BA34D0" w14:paraId="764667E8" w14:textId="77777777" w:rsidTr="0082590D">
        <w:tc>
          <w:tcPr>
            <w:tcW w:w="2547" w:type="dxa"/>
          </w:tcPr>
          <w:p w14:paraId="64D19702" w14:textId="77777777" w:rsidR="001E2062" w:rsidRDefault="001E2062" w:rsidP="007D0B1D">
            <w:pPr>
              <w:jc w:val="both"/>
              <w:rPr>
                <w:rFonts w:ascii="Times New Roman" w:hAnsi="Times New Roman" w:cs="Times New Roman"/>
              </w:rPr>
            </w:pPr>
            <w:r>
              <w:rPr>
                <w:rFonts w:ascii="Times New Roman" w:hAnsi="Times New Roman" w:cs="Times New Roman"/>
              </w:rPr>
              <w:t>LEL</w:t>
            </w:r>
          </w:p>
        </w:tc>
        <w:tc>
          <w:tcPr>
            <w:tcW w:w="6515" w:type="dxa"/>
          </w:tcPr>
          <w:p w14:paraId="579B277A" w14:textId="77777777" w:rsidR="001E2062" w:rsidRDefault="001E2062" w:rsidP="007D0B1D">
            <w:pPr>
              <w:jc w:val="both"/>
              <w:rPr>
                <w:rFonts w:ascii="Times New Roman" w:hAnsi="Times New Roman" w:cs="Times New Roman"/>
              </w:rPr>
            </w:pPr>
            <w:r>
              <w:rPr>
                <w:rFonts w:ascii="Times New Roman" w:hAnsi="Times New Roman" w:cs="Times New Roman"/>
              </w:rPr>
              <w:t>Alt Patlama Sınırı – Bir tutuşturma kaynağı varlığında, ani yangın çıkarabilen, havadaki gaz veya buharın en düşük konsantrasyonu (yüzdesel). LEL’den daha düşük konsantrasyonlar, yanmak için ‘fazla verimsizdir’. Aynı zamanda, alt alevlenebilirlik sınırı (LFL) olarak da adlandırılır.</w:t>
            </w:r>
          </w:p>
        </w:tc>
      </w:tr>
      <w:tr w:rsidR="007D0B1D" w:rsidRPr="00BA34D0" w14:paraId="300E7DA9" w14:textId="77777777" w:rsidTr="0082590D">
        <w:tc>
          <w:tcPr>
            <w:tcW w:w="2547" w:type="dxa"/>
          </w:tcPr>
          <w:p w14:paraId="060D2167" w14:textId="77777777" w:rsidR="007D0B1D" w:rsidRDefault="007D0B1D" w:rsidP="007D0B1D">
            <w:pPr>
              <w:jc w:val="both"/>
              <w:rPr>
                <w:rFonts w:ascii="Times New Roman" w:hAnsi="Times New Roman" w:cs="Times New Roman"/>
              </w:rPr>
            </w:pPr>
            <w:r>
              <w:rPr>
                <w:rFonts w:ascii="Times New Roman" w:hAnsi="Times New Roman" w:cs="Times New Roman"/>
              </w:rPr>
              <w:t>LWC</w:t>
            </w:r>
          </w:p>
        </w:tc>
        <w:tc>
          <w:tcPr>
            <w:tcW w:w="6515" w:type="dxa"/>
          </w:tcPr>
          <w:p w14:paraId="40C7121B" w14:textId="77777777" w:rsidR="007D0B1D" w:rsidRDefault="007D0B1D" w:rsidP="007D0B1D">
            <w:pPr>
              <w:jc w:val="both"/>
              <w:rPr>
                <w:rFonts w:ascii="Times New Roman" w:hAnsi="Times New Roman" w:cs="Times New Roman"/>
              </w:rPr>
            </w:pPr>
            <w:r>
              <w:rPr>
                <w:rFonts w:ascii="Times New Roman" w:hAnsi="Times New Roman" w:cs="Times New Roman"/>
              </w:rPr>
              <w:t>Hafif Ağırlıklı Kaplamalı Kağıt [Light Weight Coated Paper]</w:t>
            </w:r>
          </w:p>
        </w:tc>
      </w:tr>
      <w:tr w:rsidR="00356875" w:rsidRPr="00BA34D0" w14:paraId="443FAFC2" w14:textId="77777777" w:rsidTr="0082590D">
        <w:tc>
          <w:tcPr>
            <w:tcW w:w="2547" w:type="dxa"/>
          </w:tcPr>
          <w:p w14:paraId="36F78CCB" w14:textId="77777777" w:rsidR="00356875" w:rsidRDefault="00356875" w:rsidP="007D0B1D">
            <w:pPr>
              <w:jc w:val="both"/>
              <w:rPr>
                <w:rFonts w:ascii="Times New Roman" w:hAnsi="Times New Roman" w:cs="Times New Roman"/>
              </w:rPr>
            </w:pPr>
            <w:r>
              <w:rPr>
                <w:rFonts w:ascii="Times New Roman" w:hAnsi="Times New Roman" w:cs="Times New Roman"/>
              </w:rPr>
              <w:t>Manganez</w:t>
            </w:r>
          </w:p>
        </w:tc>
        <w:tc>
          <w:tcPr>
            <w:tcW w:w="6515" w:type="dxa"/>
          </w:tcPr>
          <w:p w14:paraId="51E11DC3" w14:textId="77777777" w:rsidR="00356875" w:rsidRDefault="00356875" w:rsidP="007D0B1D">
            <w:pPr>
              <w:jc w:val="both"/>
              <w:rPr>
                <w:rFonts w:ascii="Times New Roman" w:hAnsi="Times New Roman" w:cs="Times New Roman"/>
              </w:rPr>
            </w:pPr>
            <w:r>
              <w:rPr>
                <w:rFonts w:ascii="Times New Roman" w:hAnsi="Times New Roman" w:cs="Times New Roman"/>
              </w:rPr>
              <w:t>Mn</w:t>
            </w:r>
          </w:p>
        </w:tc>
      </w:tr>
      <w:tr w:rsidR="00E46F71" w:rsidRPr="00BA34D0" w14:paraId="49592C57" w14:textId="77777777" w:rsidTr="0082590D">
        <w:tc>
          <w:tcPr>
            <w:tcW w:w="2547" w:type="dxa"/>
          </w:tcPr>
          <w:p w14:paraId="5A469139" w14:textId="77777777" w:rsidR="00E46F71" w:rsidRPr="00E46F71" w:rsidRDefault="00E46F71" w:rsidP="007D0B1D">
            <w:pPr>
              <w:jc w:val="both"/>
              <w:rPr>
                <w:rFonts w:ascii="Times New Roman" w:hAnsi="Times New Roman" w:cs="Times New Roman"/>
              </w:rPr>
            </w:pP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 xml:space="preserve"> </w:t>
            </w:r>
          </w:p>
        </w:tc>
        <w:tc>
          <w:tcPr>
            <w:tcW w:w="6515" w:type="dxa"/>
          </w:tcPr>
          <w:p w14:paraId="603E1930" w14:textId="77777777" w:rsidR="00E46F71" w:rsidRDefault="00E46F71" w:rsidP="007D0B1D">
            <w:pPr>
              <w:jc w:val="both"/>
              <w:rPr>
                <w:rFonts w:ascii="Times New Roman" w:hAnsi="Times New Roman" w:cs="Times New Roman"/>
              </w:rPr>
            </w:pPr>
            <w:r>
              <w:rPr>
                <w:rFonts w:ascii="Times New Roman" w:hAnsi="Times New Roman" w:cs="Times New Roman"/>
              </w:rPr>
              <w:t>Amonyak</w:t>
            </w:r>
          </w:p>
        </w:tc>
      </w:tr>
      <w:tr w:rsidR="00E46F71" w:rsidRPr="00BA34D0" w14:paraId="67A5C5C8" w14:textId="77777777" w:rsidTr="0082590D">
        <w:tc>
          <w:tcPr>
            <w:tcW w:w="2547" w:type="dxa"/>
          </w:tcPr>
          <w:p w14:paraId="7D06E0A4" w14:textId="77777777" w:rsidR="00E46F71" w:rsidRDefault="00E46F71" w:rsidP="007D0B1D">
            <w:pPr>
              <w:jc w:val="both"/>
              <w:rPr>
                <w:rFonts w:ascii="Times New Roman" w:hAnsi="Times New Roman" w:cs="Times New Roman"/>
              </w:rPr>
            </w:pPr>
            <w:r>
              <w:rPr>
                <w:rFonts w:ascii="Times New Roman" w:hAnsi="Times New Roman" w:cs="Times New Roman"/>
              </w:rPr>
              <w:t>Nikel</w:t>
            </w:r>
          </w:p>
        </w:tc>
        <w:tc>
          <w:tcPr>
            <w:tcW w:w="6515" w:type="dxa"/>
          </w:tcPr>
          <w:p w14:paraId="0BE4E805" w14:textId="77777777" w:rsidR="00E46F71" w:rsidRDefault="00E46F71" w:rsidP="007D0B1D">
            <w:pPr>
              <w:jc w:val="both"/>
              <w:rPr>
                <w:rFonts w:ascii="Times New Roman" w:hAnsi="Times New Roman" w:cs="Times New Roman"/>
              </w:rPr>
            </w:pPr>
            <w:r>
              <w:rPr>
                <w:rFonts w:ascii="Times New Roman" w:hAnsi="Times New Roman" w:cs="Times New Roman"/>
              </w:rPr>
              <w:t>Ni olarak ifade edilen nikel, çözünmüş veya partiküllere bağlı tüm inorganik ve organik nikel bileşiklerini içerir.</w:t>
            </w:r>
          </w:p>
        </w:tc>
      </w:tr>
      <w:tr w:rsidR="007D0B1D" w:rsidRPr="00BA34D0" w14:paraId="07495875" w14:textId="77777777" w:rsidTr="0082590D">
        <w:tc>
          <w:tcPr>
            <w:tcW w:w="2547" w:type="dxa"/>
          </w:tcPr>
          <w:p w14:paraId="5DA16BD0" w14:textId="77777777" w:rsidR="007D0B1D" w:rsidRPr="001C70DF" w:rsidRDefault="007D0B1D" w:rsidP="007D0B1D">
            <w:pPr>
              <w:jc w:val="both"/>
              <w:rPr>
                <w:rFonts w:ascii="Times New Roman" w:hAnsi="Times New Roman" w:cs="Times New Roman"/>
              </w:rPr>
            </w:pPr>
            <w:r>
              <w:rPr>
                <w:rFonts w:ascii="Times New Roman" w:hAnsi="Times New Roman" w:cs="Times New Roman"/>
              </w:rPr>
              <w:t>NO</w:t>
            </w:r>
            <w:r>
              <w:rPr>
                <w:rFonts w:ascii="Times New Roman" w:hAnsi="Times New Roman" w:cs="Times New Roman"/>
                <w:vertAlign w:val="subscript"/>
              </w:rPr>
              <w:t>x</w:t>
            </w:r>
            <w:r>
              <w:rPr>
                <w:rFonts w:ascii="Times New Roman" w:hAnsi="Times New Roman" w:cs="Times New Roman"/>
              </w:rPr>
              <w:t xml:space="preserve"> </w:t>
            </w:r>
          </w:p>
        </w:tc>
        <w:tc>
          <w:tcPr>
            <w:tcW w:w="6515" w:type="dxa"/>
          </w:tcPr>
          <w:p w14:paraId="14B1E275" w14:textId="77777777" w:rsidR="007D0B1D" w:rsidRPr="00C26928" w:rsidRDefault="007D0B1D" w:rsidP="007D0B1D">
            <w:pPr>
              <w:jc w:val="both"/>
              <w:rPr>
                <w:rFonts w:ascii="Times New Roman" w:hAnsi="Times New Roman" w:cs="Times New Roman"/>
              </w:rPr>
            </w:pPr>
            <w:r>
              <w:rPr>
                <w:rFonts w:ascii="Times New Roman" w:hAnsi="Times New Roman" w:cs="Times New Roman"/>
              </w:rPr>
              <w:t>NO</w:t>
            </w:r>
            <w:r>
              <w:rPr>
                <w:rFonts w:ascii="Times New Roman" w:hAnsi="Times New Roman" w:cs="Times New Roman"/>
                <w:vertAlign w:val="subscript"/>
              </w:rPr>
              <w:t>2</w:t>
            </w:r>
            <w:r>
              <w:rPr>
                <w:rFonts w:ascii="Times New Roman" w:hAnsi="Times New Roman" w:cs="Times New Roman"/>
              </w:rPr>
              <w:t xml:space="preserve"> olarak ifade edilen azot oksit (NO) ve azot dioksitlerin (NO</w:t>
            </w:r>
            <w:r>
              <w:rPr>
                <w:rFonts w:ascii="Times New Roman" w:hAnsi="Times New Roman" w:cs="Times New Roman"/>
                <w:vertAlign w:val="subscript"/>
              </w:rPr>
              <w:t>2</w:t>
            </w:r>
            <w:r>
              <w:rPr>
                <w:rFonts w:ascii="Times New Roman" w:hAnsi="Times New Roman" w:cs="Times New Roman"/>
              </w:rPr>
              <w:t>) toplamı.</w:t>
            </w:r>
          </w:p>
        </w:tc>
      </w:tr>
      <w:tr w:rsidR="007D0B1D" w:rsidRPr="00BA34D0" w14:paraId="547F5831" w14:textId="77777777" w:rsidTr="0082590D">
        <w:tc>
          <w:tcPr>
            <w:tcW w:w="2547" w:type="dxa"/>
          </w:tcPr>
          <w:p w14:paraId="23D32B97" w14:textId="77777777" w:rsidR="007D0B1D" w:rsidRDefault="007D0B1D" w:rsidP="007D0B1D">
            <w:pPr>
              <w:jc w:val="both"/>
              <w:rPr>
                <w:rFonts w:ascii="Times New Roman" w:hAnsi="Times New Roman" w:cs="Times New Roman"/>
              </w:rPr>
            </w:pPr>
            <w:r>
              <w:rPr>
                <w:rFonts w:ascii="Times New Roman" w:hAnsi="Times New Roman" w:cs="Times New Roman"/>
              </w:rPr>
              <w:t>NSSC</w:t>
            </w:r>
          </w:p>
        </w:tc>
        <w:tc>
          <w:tcPr>
            <w:tcW w:w="6515" w:type="dxa"/>
          </w:tcPr>
          <w:p w14:paraId="773C0456" w14:textId="77777777" w:rsidR="007D0B1D" w:rsidRDefault="007D0B1D" w:rsidP="007D0B1D">
            <w:pPr>
              <w:jc w:val="both"/>
              <w:rPr>
                <w:rFonts w:ascii="Times New Roman" w:hAnsi="Times New Roman" w:cs="Times New Roman"/>
              </w:rPr>
            </w:pPr>
            <w:r>
              <w:rPr>
                <w:rFonts w:ascii="Times New Roman" w:hAnsi="Times New Roman" w:cs="Times New Roman"/>
              </w:rPr>
              <w:t>Nötr Sülfit Yarı Kimyasal [Neutral Sulphite Semi Chemical]</w:t>
            </w:r>
          </w:p>
        </w:tc>
      </w:tr>
      <w:tr w:rsidR="007D0B1D" w:rsidRPr="00BA34D0" w14:paraId="73328CBE" w14:textId="77777777" w:rsidTr="0082590D">
        <w:tc>
          <w:tcPr>
            <w:tcW w:w="2547" w:type="dxa"/>
          </w:tcPr>
          <w:p w14:paraId="346740DE" w14:textId="77777777" w:rsidR="007D0B1D" w:rsidRDefault="007D0B1D" w:rsidP="007D0B1D">
            <w:pPr>
              <w:jc w:val="both"/>
              <w:rPr>
                <w:rFonts w:ascii="Times New Roman" w:hAnsi="Times New Roman" w:cs="Times New Roman"/>
              </w:rPr>
            </w:pPr>
            <w:r>
              <w:rPr>
                <w:rFonts w:ascii="Times New Roman" w:hAnsi="Times New Roman" w:cs="Times New Roman"/>
              </w:rPr>
              <w:t>OSB</w:t>
            </w:r>
          </w:p>
        </w:tc>
        <w:tc>
          <w:tcPr>
            <w:tcW w:w="6515" w:type="dxa"/>
          </w:tcPr>
          <w:p w14:paraId="78306228" w14:textId="77777777" w:rsidR="007D0B1D" w:rsidRDefault="007D0B1D" w:rsidP="007D0B1D">
            <w:pPr>
              <w:jc w:val="both"/>
              <w:rPr>
                <w:rFonts w:ascii="Times New Roman" w:hAnsi="Times New Roman" w:cs="Times New Roman"/>
              </w:rPr>
            </w:pPr>
            <w:r>
              <w:rPr>
                <w:rFonts w:ascii="Times New Roman" w:hAnsi="Times New Roman" w:cs="Times New Roman"/>
              </w:rPr>
              <w:t>Yönlendirilmiş Yonga Levha: TS EN 300 standardında tanımlandığı şekliyle, ‘bir bağlayıcı madde ile birlikte esas olarak ahşap yongalarından elde edilen çok katmanlı levha. Dış katmandaki yongalar hizalı ve levha uzunluğuna veya kalınlığına paraleldir. İç katmandaki veya katmanlardaki yongalar ise genellikle dış katmanlardaki yongalara dik açılı olarak rastgele bir şekilde yerleştirilmiş veya hizalıdır’.</w:t>
            </w:r>
          </w:p>
        </w:tc>
      </w:tr>
      <w:tr w:rsidR="00C31E53" w:rsidRPr="00BA34D0" w14:paraId="2F0840AB" w14:textId="77777777" w:rsidTr="0082590D">
        <w:tc>
          <w:tcPr>
            <w:tcW w:w="2547" w:type="dxa"/>
          </w:tcPr>
          <w:p w14:paraId="754E4ABC" w14:textId="77777777" w:rsidR="00C31E53" w:rsidRDefault="00C31E53" w:rsidP="007D0B1D">
            <w:pPr>
              <w:jc w:val="both"/>
              <w:rPr>
                <w:rFonts w:ascii="Times New Roman" w:hAnsi="Times New Roman" w:cs="Times New Roman"/>
              </w:rPr>
            </w:pPr>
            <w:r>
              <w:rPr>
                <w:rFonts w:ascii="Times New Roman" w:hAnsi="Times New Roman" w:cs="Times New Roman"/>
              </w:rPr>
              <w:t>PAH’lar</w:t>
            </w:r>
          </w:p>
        </w:tc>
        <w:tc>
          <w:tcPr>
            <w:tcW w:w="6515" w:type="dxa"/>
          </w:tcPr>
          <w:p w14:paraId="5795F5EC" w14:textId="77777777" w:rsidR="00C31E53" w:rsidRDefault="000400D6" w:rsidP="007D0B1D">
            <w:pPr>
              <w:jc w:val="both"/>
              <w:rPr>
                <w:rFonts w:ascii="Times New Roman" w:hAnsi="Times New Roman" w:cs="Times New Roman"/>
              </w:rPr>
            </w:pPr>
            <w:r>
              <w:rPr>
                <w:rFonts w:ascii="Times New Roman" w:hAnsi="Times New Roman" w:cs="Times New Roman"/>
              </w:rPr>
              <w:t>Polisiklik Aromatik Hidrokarbonlar</w:t>
            </w:r>
          </w:p>
        </w:tc>
      </w:tr>
      <w:tr w:rsidR="007D0B1D" w:rsidRPr="00BA34D0" w14:paraId="16E4045F" w14:textId="77777777" w:rsidTr="0082590D">
        <w:tc>
          <w:tcPr>
            <w:tcW w:w="2547" w:type="dxa"/>
          </w:tcPr>
          <w:p w14:paraId="6AA5A31B" w14:textId="77777777" w:rsidR="007D0B1D" w:rsidRDefault="007D0B1D" w:rsidP="007D0B1D">
            <w:pPr>
              <w:jc w:val="both"/>
              <w:rPr>
                <w:rFonts w:ascii="Times New Roman" w:hAnsi="Times New Roman" w:cs="Times New Roman"/>
              </w:rPr>
            </w:pPr>
            <w:r>
              <w:rPr>
                <w:rFonts w:ascii="Times New Roman" w:hAnsi="Times New Roman" w:cs="Times New Roman"/>
              </w:rPr>
              <w:t>PB</w:t>
            </w:r>
          </w:p>
        </w:tc>
        <w:tc>
          <w:tcPr>
            <w:tcW w:w="6515" w:type="dxa"/>
          </w:tcPr>
          <w:p w14:paraId="6F6F2B7B" w14:textId="77777777" w:rsidR="007D0B1D" w:rsidRDefault="007D0B1D" w:rsidP="007D0B1D">
            <w:pPr>
              <w:jc w:val="both"/>
              <w:rPr>
                <w:rFonts w:ascii="Times New Roman" w:hAnsi="Times New Roman" w:cs="Times New Roman"/>
              </w:rPr>
            </w:pPr>
            <w:r>
              <w:rPr>
                <w:rFonts w:ascii="Times New Roman" w:hAnsi="Times New Roman" w:cs="Times New Roman"/>
              </w:rPr>
              <w:t>Yonga Levha: TS EN 309:2008 standardında tanımlandığı şekliyle, ‘yapıştırıcı madde ilavesi ile ahşap yongalardan (küçük ahşap parçaları, yongalar, talaşlar, testere tozu ve benzeri) ve/veya yonga formundaki diğer lignoselülozik materyalden (keten sapı, kenevir sapı, şeker kamışı parçaları ve benzeri) basınç ve ısı altında üretilen levha’.</w:t>
            </w:r>
          </w:p>
        </w:tc>
      </w:tr>
      <w:tr w:rsidR="007D0B1D" w:rsidRPr="00BA34D0" w14:paraId="66B80F48" w14:textId="77777777" w:rsidTr="0082590D">
        <w:tc>
          <w:tcPr>
            <w:tcW w:w="2547" w:type="dxa"/>
          </w:tcPr>
          <w:p w14:paraId="44887F90" w14:textId="77777777" w:rsidR="007D0B1D" w:rsidRDefault="007D0B1D" w:rsidP="007D0B1D">
            <w:pPr>
              <w:jc w:val="both"/>
              <w:rPr>
                <w:rFonts w:ascii="Times New Roman" w:hAnsi="Times New Roman" w:cs="Times New Roman"/>
              </w:rPr>
            </w:pPr>
            <w:r>
              <w:rPr>
                <w:rFonts w:ascii="Times New Roman" w:hAnsi="Times New Roman" w:cs="Times New Roman"/>
              </w:rPr>
              <w:t>PCDD/F</w:t>
            </w:r>
          </w:p>
        </w:tc>
        <w:tc>
          <w:tcPr>
            <w:tcW w:w="6515" w:type="dxa"/>
          </w:tcPr>
          <w:p w14:paraId="439282FD" w14:textId="77777777" w:rsidR="007D0B1D" w:rsidRDefault="007D0B1D" w:rsidP="007D0B1D">
            <w:pPr>
              <w:jc w:val="both"/>
              <w:rPr>
                <w:rFonts w:ascii="Times New Roman" w:hAnsi="Times New Roman" w:cs="Times New Roman"/>
              </w:rPr>
            </w:pPr>
            <w:r>
              <w:rPr>
                <w:rFonts w:ascii="Times New Roman" w:hAnsi="Times New Roman" w:cs="Times New Roman"/>
              </w:rPr>
              <w:t>Poliklorlu Dibenzodioksinler ve Dibenzofuranlar</w:t>
            </w:r>
          </w:p>
        </w:tc>
      </w:tr>
      <w:tr w:rsidR="00C7115A" w:rsidRPr="00BA34D0" w14:paraId="3F047FCC" w14:textId="77777777" w:rsidTr="0082590D">
        <w:tc>
          <w:tcPr>
            <w:tcW w:w="2547" w:type="dxa"/>
          </w:tcPr>
          <w:p w14:paraId="3E2F2229" w14:textId="77777777" w:rsidR="00C7115A" w:rsidRDefault="00C7115A" w:rsidP="007D0B1D">
            <w:pPr>
              <w:jc w:val="both"/>
              <w:rPr>
                <w:rFonts w:ascii="Times New Roman" w:hAnsi="Times New Roman" w:cs="Times New Roman"/>
              </w:rPr>
            </w:pPr>
            <w:r>
              <w:rPr>
                <w:rFonts w:ascii="Times New Roman" w:hAnsi="Times New Roman" w:cs="Times New Roman"/>
              </w:rPr>
              <w:t>PFAS</w:t>
            </w:r>
          </w:p>
        </w:tc>
        <w:tc>
          <w:tcPr>
            <w:tcW w:w="6515" w:type="dxa"/>
          </w:tcPr>
          <w:p w14:paraId="313E530A" w14:textId="77777777" w:rsidR="00C7115A" w:rsidRDefault="00C7115A" w:rsidP="007D0B1D">
            <w:pPr>
              <w:jc w:val="both"/>
              <w:rPr>
                <w:rFonts w:ascii="Times New Roman" w:hAnsi="Times New Roman" w:cs="Times New Roman"/>
              </w:rPr>
            </w:pPr>
            <w:r>
              <w:rPr>
                <w:rFonts w:ascii="Times New Roman" w:hAnsi="Times New Roman" w:cs="Times New Roman"/>
              </w:rPr>
              <w:t>Per- ve polifloroalkil maddeleri</w:t>
            </w:r>
          </w:p>
        </w:tc>
      </w:tr>
      <w:tr w:rsidR="007D0B1D" w:rsidRPr="00BA34D0" w14:paraId="07AE7424" w14:textId="77777777" w:rsidTr="0082590D">
        <w:tc>
          <w:tcPr>
            <w:tcW w:w="2547" w:type="dxa"/>
          </w:tcPr>
          <w:p w14:paraId="2AA794CB" w14:textId="77777777" w:rsidR="007D0B1D" w:rsidRDefault="007D0B1D" w:rsidP="007D0B1D">
            <w:pPr>
              <w:jc w:val="both"/>
              <w:rPr>
                <w:rFonts w:ascii="Times New Roman" w:hAnsi="Times New Roman" w:cs="Times New Roman"/>
              </w:rPr>
            </w:pPr>
            <w:r>
              <w:rPr>
                <w:rFonts w:ascii="Times New Roman" w:hAnsi="Times New Roman" w:cs="Times New Roman"/>
              </w:rPr>
              <w:t>RCF</w:t>
            </w:r>
          </w:p>
        </w:tc>
        <w:tc>
          <w:tcPr>
            <w:tcW w:w="6515" w:type="dxa"/>
          </w:tcPr>
          <w:p w14:paraId="7A0407DC" w14:textId="77777777" w:rsidR="007D0B1D" w:rsidRDefault="007D0B1D" w:rsidP="007D0B1D">
            <w:pPr>
              <w:jc w:val="both"/>
              <w:rPr>
                <w:rFonts w:ascii="Times New Roman" w:hAnsi="Times New Roman" w:cs="Times New Roman"/>
              </w:rPr>
            </w:pPr>
            <w:r>
              <w:rPr>
                <w:rFonts w:ascii="Times New Roman" w:hAnsi="Times New Roman" w:cs="Times New Roman"/>
              </w:rPr>
              <w:t>Geri Dönüştürülmüş Lifler [Recycled Fibres]</w:t>
            </w:r>
          </w:p>
        </w:tc>
      </w:tr>
      <w:tr w:rsidR="00AE2405" w:rsidRPr="00BA34D0" w14:paraId="410E8C90" w14:textId="77777777" w:rsidTr="0082590D">
        <w:tc>
          <w:tcPr>
            <w:tcW w:w="2547" w:type="dxa"/>
          </w:tcPr>
          <w:p w14:paraId="4AAA4E3D" w14:textId="77777777" w:rsidR="00AE2405" w:rsidRDefault="00AE2405" w:rsidP="007D0B1D">
            <w:pPr>
              <w:jc w:val="both"/>
              <w:rPr>
                <w:rFonts w:ascii="Times New Roman" w:hAnsi="Times New Roman" w:cs="Times New Roman"/>
              </w:rPr>
            </w:pPr>
            <w:r>
              <w:rPr>
                <w:rFonts w:ascii="Times New Roman" w:hAnsi="Times New Roman" w:cs="Times New Roman"/>
              </w:rPr>
              <w:t>SA</w:t>
            </w:r>
          </w:p>
        </w:tc>
        <w:tc>
          <w:tcPr>
            <w:tcW w:w="6515" w:type="dxa"/>
          </w:tcPr>
          <w:p w14:paraId="028846BE" w14:textId="77777777" w:rsidR="00AE2405" w:rsidRDefault="00AE2405" w:rsidP="007D0B1D">
            <w:pPr>
              <w:jc w:val="both"/>
              <w:rPr>
                <w:rFonts w:ascii="Times New Roman" w:hAnsi="Times New Roman" w:cs="Times New Roman"/>
              </w:rPr>
            </w:pPr>
            <w:r>
              <w:rPr>
                <w:rFonts w:ascii="Times New Roman" w:hAnsi="Times New Roman" w:cs="Times New Roman"/>
              </w:rPr>
              <w:t>Mezbahalar, Hayvansal Yan Ürünler ve/veya Yenebilir Ortak Ürünler Sektörleri</w:t>
            </w:r>
          </w:p>
        </w:tc>
      </w:tr>
      <w:tr w:rsidR="007D0B1D" w:rsidRPr="00BA34D0" w14:paraId="79AA72AE" w14:textId="77777777" w:rsidTr="0082590D">
        <w:tc>
          <w:tcPr>
            <w:tcW w:w="2547" w:type="dxa"/>
          </w:tcPr>
          <w:p w14:paraId="66334A3A" w14:textId="77777777" w:rsidR="007D0B1D" w:rsidRPr="008E716C" w:rsidRDefault="007D0B1D" w:rsidP="007D0B1D">
            <w:pPr>
              <w:jc w:val="both"/>
              <w:rPr>
                <w:rFonts w:ascii="Times New Roman" w:hAnsi="Times New Roman" w:cs="Times New Roman"/>
              </w:rPr>
            </w:pPr>
            <w:r>
              <w:rPr>
                <w:rFonts w:ascii="Times New Roman" w:hAnsi="Times New Roman" w:cs="Times New Roman"/>
              </w:rPr>
              <w:t>SO</w:t>
            </w:r>
            <w:r>
              <w:rPr>
                <w:rFonts w:ascii="Times New Roman" w:hAnsi="Times New Roman" w:cs="Times New Roman"/>
                <w:vertAlign w:val="subscript"/>
              </w:rPr>
              <w:t>2</w:t>
            </w:r>
            <w:r>
              <w:rPr>
                <w:rFonts w:ascii="Times New Roman" w:hAnsi="Times New Roman" w:cs="Times New Roman"/>
              </w:rPr>
              <w:t xml:space="preserve"> </w:t>
            </w:r>
          </w:p>
        </w:tc>
        <w:tc>
          <w:tcPr>
            <w:tcW w:w="6515" w:type="dxa"/>
          </w:tcPr>
          <w:p w14:paraId="58B382B6" w14:textId="77777777" w:rsidR="007D0B1D" w:rsidRDefault="007D0B1D" w:rsidP="007D0B1D">
            <w:pPr>
              <w:jc w:val="both"/>
              <w:rPr>
                <w:rFonts w:ascii="Times New Roman" w:hAnsi="Times New Roman" w:cs="Times New Roman"/>
              </w:rPr>
            </w:pPr>
            <w:r>
              <w:rPr>
                <w:rFonts w:ascii="Times New Roman" w:hAnsi="Times New Roman" w:cs="Times New Roman"/>
              </w:rPr>
              <w:t>Kükürt Dioksit</w:t>
            </w:r>
          </w:p>
        </w:tc>
      </w:tr>
      <w:tr w:rsidR="006B1A0A" w:rsidRPr="00BA34D0" w14:paraId="2E16C84D" w14:textId="77777777" w:rsidTr="0082590D">
        <w:tc>
          <w:tcPr>
            <w:tcW w:w="2547" w:type="dxa"/>
          </w:tcPr>
          <w:p w14:paraId="1AFE7300" w14:textId="77777777" w:rsidR="006B1A0A" w:rsidRPr="006B1A0A" w:rsidRDefault="006B1A0A" w:rsidP="007D0B1D">
            <w:pPr>
              <w:jc w:val="both"/>
              <w:rPr>
                <w:rFonts w:ascii="Times New Roman" w:hAnsi="Times New Roman" w:cs="Times New Roman"/>
              </w:rPr>
            </w:pPr>
            <w:r>
              <w:rPr>
                <w:rFonts w:ascii="Times New Roman" w:hAnsi="Times New Roman" w:cs="Times New Roman"/>
              </w:rPr>
              <w:lastRenderedPageBreak/>
              <w:t>SO</w:t>
            </w:r>
            <w:r>
              <w:rPr>
                <w:rFonts w:ascii="Times New Roman" w:hAnsi="Times New Roman" w:cs="Times New Roman"/>
                <w:vertAlign w:val="subscript"/>
              </w:rPr>
              <w:t>x</w:t>
            </w:r>
            <w:r>
              <w:rPr>
                <w:rFonts w:ascii="Times New Roman" w:hAnsi="Times New Roman" w:cs="Times New Roman"/>
              </w:rPr>
              <w:t xml:space="preserve"> </w:t>
            </w:r>
          </w:p>
        </w:tc>
        <w:tc>
          <w:tcPr>
            <w:tcW w:w="6515" w:type="dxa"/>
          </w:tcPr>
          <w:p w14:paraId="2E8E8F28" w14:textId="77777777" w:rsidR="006B1A0A" w:rsidRPr="00B55EF1" w:rsidRDefault="00B55EF1" w:rsidP="007D0B1D">
            <w:pPr>
              <w:jc w:val="both"/>
              <w:rPr>
                <w:rFonts w:ascii="Times New Roman" w:hAnsi="Times New Roman" w:cs="Times New Roman"/>
              </w:rPr>
            </w:pPr>
            <w:r>
              <w:rPr>
                <w:rFonts w:ascii="Times New Roman" w:hAnsi="Times New Roman" w:cs="Times New Roman"/>
              </w:rPr>
              <w:t>SO</w:t>
            </w:r>
            <w:r>
              <w:rPr>
                <w:rFonts w:ascii="Times New Roman" w:hAnsi="Times New Roman" w:cs="Times New Roman"/>
                <w:vertAlign w:val="subscript"/>
              </w:rPr>
              <w:t>2</w:t>
            </w:r>
            <w:r>
              <w:rPr>
                <w:rFonts w:ascii="Times New Roman" w:hAnsi="Times New Roman" w:cs="Times New Roman"/>
              </w:rPr>
              <w:t xml:space="preserve"> olarak ifade edilen kükürt dioksit (SO</w:t>
            </w:r>
            <w:r>
              <w:rPr>
                <w:rFonts w:ascii="Times New Roman" w:hAnsi="Times New Roman" w:cs="Times New Roman"/>
                <w:vertAlign w:val="subscript"/>
              </w:rPr>
              <w:t>2</w:t>
            </w:r>
            <w:r>
              <w:rPr>
                <w:rFonts w:ascii="Times New Roman" w:hAnsi="Times New Roman" w:cs="Times New Roman"/>
              </w:rPr>
              <w:t>), kükürt trioksit (SO</w:t>
            </w:r>
            <w:r>
              <w:rPr>
                <w:rFonts w:ascii="Times New Roman" w:hAnsi="Times New Roman" w:cs="Times New Roman"/>
                <w:vertAlign w:val="subscript"/>
              </w:rPr>
              <w:t>3</w:t>
            </w:r>
            <w:r>
              <w:rPr>
                <w:rFonts w:ascii="Times New Roman" w:hAnsi="Times New Roman" w:cs="Times New Roman"/>
              </w:rPr>
              <w:t>) ve sülfürik asit aerosollerinin toplamı.</w:t>
            </w:r>
          </w:p>
        </w:tc>
      </w:tr>
      <w:tr w:rsidR="00E86D15" w:rsidRPr="00BA34D0" w14:paraId="17959425" w14:textId="77777777" w:rsidTr="0082590D">
        <w:tc>
          <w:tcPr>
            <w:tcW w:w="2547" w:type="dxa"/>
          </w:tcPr>
          <w:p w14:paraId="3B0EF27D" w14:textId="77777777" w:rsidR="00E86D15" w:rsidRDefault="00E86D15" w:rsidP="007D0B1D">
            <w:pPr>
              <w:jc w:val="both"/>
              <w:rPr>
                <w:rFonts w:ascii="Times New Roman" w:hAnsi="Times New Roman" w:cs="Times New Roman"/>
              </w:rPr>
            </w:pPr>
            <w:r>
              <w:rPr>
                <w:rFonts w:ascii="Times New Roman" w:hAnsi="Times New Roman" w:cs="Times New Roman"/>
              </w:rPr>
              <w:t>STS</w:t>
            </w:r>
          </w:p>
        </w:tc>
        <w:tc>
          <w:tcPr>
            <w:tcW w:w="6515" w:type="dxa"/>
          </w:tcPr>
          <w:p w14:paraId="477967F2" w14:textId="77777777" w:rsidR="00E86D15" w:rsidRDefault="00E86D15" w:rsidP="007D0B1D">
            <w:pPr>
              <w:jc w:val="both"/>
              <w:rPr>
                <w:rFonts w:ascii="Times New Roman" w:eastAsia="Aptos" w:hAnsi="Times New Roman" w:cs="Times New Roman"/>
              </w:rPr>
            </w:pPr>
            <w:r>
              <w:rPr>
                <w:rFonts w:ascii="Times New Roman" w:eastAsia="Aptos" w:hAnsi="Times New Roman" w:cs="Times New Roman"/>
              </w:rPr>
              <w:t>Organik solventler kullanılarak yüzey işleme.</w:t>
            </w:r>
          </w:p>
        </w:tc>
      </w:tr>
      <w:tr w:rsidR="00AE21EE" w:rsidRPr="00BA34D0" w14:paraId="57524E30" w14:textId="77777777" w:rsidTr="0082590D">
        <w:tc>
          <w:tcPr>
            <w:tcW w:w="2547" w:type="dxa"/>
          </w:tcPr>
          <w:p w14:paraId="60611220" w14:textId="77777777" w:rsidR="00AE21EE" w:rsidRDefault="00AE21EE" w:rsidP="007D0B1D">
            <w:pPr>
              <w:jc w:val="both"/>
              <w:rPr>
                <w:rFonts w:ascii="Times New Roman" w:hAnsi="Times New Roman" w:cs="Times New Roman"/>
              </w:rPr>
            </w:pPr>
            <w:r>
              <w:rPr>
                <w:rFonts w:ascii="Times New Roman" w:hAnsi="Times New Roman" w:cs="Times New Roman"/>
              </w:rPr>
              <w:t>Sülfit, kolaylıkla serbest kalan</w:t>
            </w:r>
          </w:p>
        </w:tc>
        <w:tc>
          <w:tcPr>
            <w:tcW w:w="6515" w:type="dxa"/>
          </w:tcPr>
          <w:p w14:paraId="070148CB" w14:textId="77777777" w:rsidR="00AE21EE" w:rsidRDefault="00545058" w:rsidP="007D0B1D">
            <w:pPr>
              <w:jc w:val="both"/>
              <w:rPr>
                <w:rFonts w:ascii="Times New Roman" w:hAnsi="Times New Roman" w:cs="Times New Roman"/>
              </w:rPr>
            </w:pPr>
            <m:oMath>
              <m:sSup>
                <m:sSupPr>
                  <m:ctrlPr>
                    <w:rPr>
                      <w:rFonts w:ascii="Cambria Math" w:hAnsi="Cambria Math" w:cs="Times New Roman"/>
                      <w:i/>
                    </w:rPr>
                  </m:ctrlPr>
                </m:sSupPr>
                <m:e>
                  <m:r>
                    <m:rPr>
                      <m:sty m:val="p"/>
                    </m:rPr>
                    <w:rPr>
                      <w:rFonts w:ascii="Cambria Math" w:hAnsi="Cambria Math" w:cs="Times New Roman"/>
                    </w:rPr>
                    <m:t>S</m:t>
                  </m:r>
                </m:e>
                <m:sup>
                  <m:r>
                    <m:rPr>
                      <m:sty m:val="p"/>
                    </m:rPr>
                    <w:rPr>
                      <w:rFonts w:ascii="Cambria Math" w:hAnsi="Cambria Math" w:cs="Times New Roman"/>
                    </w:rPr>
                    <m:t>2-</m:t>
                  </m:r>
                </m:sup>
              </m:sSup>
            </m:oMath>
            <w:r w:rsidR="00AE21EE">
              <w:rPr>
                <w:rFonts w:ascii="Times New Roman" w:eastAsiaTheme="minorEastAsia" w:hAnsi="Times New Roman" w:cs="Times New Roman"/>
              </w:rPr>
              <w:t xml:space="preserve"> olarak ifade edilen, asidifikasyon ile kolaylıkla serbest kalan </w:t>
            </w:r>
            <w:r w:rsidR="008D5B81">
              <w:rPr>
                <w:rFonts w:ascii="Times New Roman" w:eastAsiaTheme="minorEastAsia" w:hAnsi="Times New Roman" w:cs="Times New Roman"/>
              </w:rPr>
              <w:t>çözünmüş ve çözünmemiş sülfitlerin toplamı.</w:t>
            </w:r>
          </w:p>
        </w:tc>
      </w:tr>
      <w:tr w:rsidR="00BD031A" w:rsidRPr="00BA34D0" w14:paraId="65214A92" w14:textId="77777777" w:rsidTr="0082590D">
        <w:tc>
          <w:tcPr>
            <w:tcW w:w="2547" w:type="dxa"/>
          </w:tcPr>
          <w:p w14:paraId="0B8E7B5B" w14:textId="77777777" w:rsidR="00BD031A" w:rsidRDefault="00BD031A" w:rsidP="007D0B1D">
            <w:pPr>
              <w:jc w:val="both"/>
              <w:rPr>
                <w:rFonts w:ascii="Times New Roman" w:hAnsi="Times New Roman" w:cs="Times New Roman"/>
              </w:rPr>
            </w:pPr>
            <w:r>
              <w:rPr>
                <w:rFonts w:ascii="Times New Roman" w:hAnsi="Times New Roman" w:cs="Times New Roman"/>
              </w:rPr>
              <w:t>Talyum</w:t>
            </w:r>
          </w:p>
        </w:tc>
        <w:tc>
          <w:tcPr>
            <w:tcW w:w="6515" w:type="dxa"/>
          </w:tcPr>
          <w:p w14:paraId="741F0575" w14:textId="77777777" w:rsidR="00BD031A" w:rsidRDefault="00BD031A" w:rsidP="007D0B1D">
            <w:pPr>
              <w:jc w:val="both"/>
              <w:rPr>
                <w:rFonts w:ascii="Times New Roman" w:eastAsia="Aptos" w:hAnsi="Times New Roman" w:cs="Times New Roman"/>
              </w:rPr>
            </w:pPr>
            <w:r>
              <w:rPr>
                <w:rFonts w:ascii="Times New Roman" w:eastAsia="Aptos" w:hAnsi="Times New Roman" w:cs="Times New Roman"/>
              </w:rPr>
              <w:t>Tl</w:t>
            </w:r>
          </w:p>
        </w:tc>
      </w:tr>
      <w:tr w:rsidR="007D0B1D" w:rsidRPr="00BA34D0" w14:paraId="1E278512" w14:textId="77777777" w:rsidTr="0082590D">
        <w:tc>
          <w:tcPr>
            <w:tcW w:w="2547" w:type="dxa"/>
          </w:tcPr>
          <w:p w14:paraId="4936A0A0" w14:textId="77777777" w:rsidR="007D0B1D" w:rsidRDefault="007D0B1D" w:rsidP="007D0B1D">
            <w:pPr>
              <w:jc w:val="both"/>
              <w:rPr>
                <w:rFonts w:ascii="Times New Roman" w:hAnsi="Times New Roman" w:cs="Times New Roman"/>
              </w:rPr>
            </w:pPr>
            <w:r>
              <w:rPr>
                <w:rFonts w:ascii="Times New Roman" w:hAnsi="Times New Roman" w:cs="Times New Roman"/>
              </w:rPr>
              <w:t>TCF</w:t>
            </w:r>
          </w:p>
        </w:tc>
        <w:tc>
          <w:tcPr>
            <w:tcW w:w="6515" w:type="dxa"/>
          </w:tcPr>
          <w:p w14:paraId="4FBCEEF1" w14:textId="77777777" w:rsidR="007D0B1D" w:rsidRDefault="007D0B1D" w:rsidP="007D0B1D">
            <w:pPr>
              <w:jc w:val="both"/>
              <w:rPr>
                <w:rFonts w:ascii="Times New Roman" w:hAnsi="Times New Roman" w:cs="Times New Roman"/>
              </w:rPr>
            </w:pPr>
            <w:r>
              <w:rPr>
                <w:rFonts w:ascii="Times New Roman" w:hAnsi="Times New Roman" w:cs="Times New Roman"/>
              </w:rPr>
              <w:t>Tamamen Klorsuz [Totally Chlorine Free]</w:t>
            </w:r>
          </w:p>
        </w:tc>
      </w:tr>
      <w:tr w:rsidR="007D0B1D" w:rsidRPr="00BA34D0" w14:paraId="26077EB4" w14:textId="77777777" w:rsidTr="0082590D">
        <w:tc>
          <w:tcPr>
            <w:tcW w:w="2547" w:type="dxa"/>
          </w:tcPr>
          <w:p w14:paraId="6D28BE21" w14:textId="77777777" w:rsidR="007D0B1D" w:rsidRDefault="007D0B1D" w:rsidP="007D0B1D">
            <w:pPr>
              <w:jc w:val="both"/>
              <w:rPr>
                <w:rFonts w:ascii="Times New Roman" w:hAnsi="Times New Roman" w:cs="Times New Roman"/>
              </w:rPr>
            </w:pPr>
            <w:r>
              <w:rPr>
                <w:rFonts w:ascii="Times New Roman" w:hAnsi="Times New Roman" w:cs="Times New Roman"/>
              </w:rPr>
              <w:t>TMP</w:t>
            </w:r>
          </w:p>
        </w:tc>
        <w:tc>
          <w:tcPr>
            <w:tcW w:w="6515" w:type="dxa"/>
          </w:tcPr>
          <w:p w14:paraId="4F12F9D7" w14:textId="77777777" w:rsidR="007D0B1D" w:rsidRDefault="007D0B1D" w:rsidP="007D0B1D">
            <w:pPr>
              <w:jc w:val="both"/>
              <w:rPr>
                <w:rFonts w:ascii="Times New Roman" w:hAnsi="Times New Roman" w:cs="Times New Roman"/>
              </w:rPr>
            </w:pPr>
            <w:r>
              <w:rPr>
                <w:rFonts w:ascii="Times New Roman" w:hAnsi="Times New Roman" w:cs="Times New Roman"/>
              </w:rPr>
              <w:t>Termokimyasal Kağıt Hamuru [Thermochemical Pulp]</w:t>
            </w:r>
          </w:p>
        </w:tc>
      </w:tr>
      <w:tr w:rsidR="00D16060" w:rsidRPr="00BA34D0" w14:paraId="1C6B7806" w14:textId="77777777" w:rsidTr="0082590D">
        <w:tc>
          <w:tcPr>
            <w:tcW w:w="2547" w:type="dxa"/>
          </w:tcPr>
          <w:p w14:paraId="089491D1" w14:textId="4951282E" w:rsidR="00D16060" w:rsidRDefault="00D16060" w:rsidP="007D0B1D">
            <w:pPr>
              <w:jc w:val="both"/>
              <w:rPr>
                <w:rFonts w:ascii="Times New Roman" w:hAnsi="Times New Roman" w:cs="Times New Roman"/>
              </w:rPr>
            </w:pPr>
            <w:r>
              <w:rPr>
                <w:rFonts w:ascii="Times New Roman" w:hAnsi="Times New Roman" w:cs="Times New Roman"/>
              </w:rPr>
              <w:t>TOK</w:t>
            </w:r>
          </w:p>
        </w:tc>
        <w:tc>
          <w:tcPr>
            <w:tcW w:w="6515" w:type="dxa"/>
          </w:tcPr>
          <w:p w14:paraId="46AAAAE9" w14:textId="497F3850" w:rsidR="00D16060" w:rsidRDefault="00D16060" w:rsidP="007D0B1D">
            <w:pPr>
              <w:jc w:val="both"/>
              <w:rPr>
                <w:rFonts w:ascii="Times New Roman" w:hAnsi="Times New Roman" w:cs="Times New Roman"/>
              </w:rPr>
            </w:pPr>
            <w:r>
              <w:rPr>
                <w:rFonts w:ascii="Times New Roman" w:hAnsi="Times New Roman" w:cs="Times New Roman"/>
              </w:rPr>
              <w:t>C (suda) olarak ifade edilen toplam organik karbon, tüm organik bileşikleri içerir.</w:t>
            </w:r>
          </w:p>
        </w:tc>
      </w:tr>
      <w:tr w:rsidR="00D16060" w:rsidRPr="00BA34D0" w14:paraId="110344E4" w14:textId="77777777" w:rsidTr="0082590D">
        <w:tc>
          <w:tcPr>
            <w:tcW w:w="2547" w:type="dxa"/>
          </w:tcPr>
          <w:p w14:paraId="61E84DAD" w14:textId="0DC9735C" w:rsidR="00D16060" w:rsidRDefault="00D16060" w:rsidP="00C91F89">
            <w:pPr>
              <w:jc w:val="both"/>
              <w:rPr>
                <w:rFonts w:ascii="Times New Roman" w:hAnsi="Times New Roman" w:cs="Times New Roman"/>
              </w:rPr>
            </w:pPr>
            <w:r>
              <w:rPr>
                <w:rFonts w:ascii="Times New Roman" w:hAnsi="Times New Roman" w:cs="Times New Roman"/>
              </w:rPr>
              <w:t>Toplam Amonyaklı Azot</w:t>
            </w:r>
          </w:p>
        </w:tc>
        <w:tc>
          <w:tcPr>
            <w:tcW w:w="6515" w:type="dxa"/>
          </w:tcPr>
          <w:p w14:paraId="27F8DB56" w14:textId="3B5FCAB4" w:rsidR="00D16060" w:rsidRDefault="00D16060" w:rsidP="007D0B1D">
            <w:pPr>
              <w:jc w:val="both"/>
              <w:rPr>
                <w:rFonts w:ascii="Times New Roman" w:hAnsi="Times New Roman" w:cs="Times New Roman"/>
              </w:rPr>
            </w:pPr>
            <w:r>
              <w:rPr>
                <w:rFonts w:ascii="Times New Roman" w:hAnsi="Times New Roman" w:cs="Times New Roman"/>
              </w:rPr>
              <w:t>Kolayca NH</w:t>
            </w:r>
            <w:r>
              <w:rPr>
                <w:rFonts w:ascii="Times New Roman" w:hAnsi="Times New Roman" w:cs="Times New Roman"/>
                <w:vertAlign w:val="subscript"/>
              </w:rPr>
              <w:t>4</w:t>
            </w:r>
            <w:r>
              <w:rPr>
                <w:rFonts w:ascii="Times New Roman" w:hAnsi="Times New Roman" w:cs="Times New Roman"/>
              </w:rPr>
              <w:t>-N’ye bozunan ürik asit içeren amonyum-N (NH</w:t>
            </w:r>
            <w:r>
              <w:rPr>
                <w:rFonts w:ascii="Times New Roman" w:hAnsi="Times New Roman" w:cs="Times New Roman"/>
                <w:vertAlign w:val="subscript"/>
              </w:rPr>
              <w:t>4</w:t>
            </w:r>
            <w:r>
              <w:rPr>
                <w:rFonts w:ascii="Times New Roman" w:hAnsi="Times New Roman" w:cs="Times New Roman"/>
              </w:rPr>
              <w:t>-N) ve bileşikleri.</w:t>
            </w:r>
          </w:p>
        </w:tc>
      </w:tr>
      <w:tr w:rsidR="00D16060" w:rsidRPr="00BA34D0" w14:paraId="335F0C8C" w14:textId="77777777" w:rsidTr="0082590D">
        <w:tc>
          <w:tcPr>
            <w:tcW w:w="2547" w:type="dxa"/>
          </w:tcPr>
          <w:p w14:paraId="45769FB7" w14:textId="6C6DDEAA" w:rsidR="00D16060" w:rsidRDefault="00D16060" w:rsidP="007D0B1D">
            <w:pPr>
              <w:jc w:val="both"/>
              <w:rPr>
                <w:rFonts w:ascii="Times New Roman" w:hAnsi="Times New Roman" w:cs="Times New Roman"/>
              </w:rPr>
            </w:pPr>
            <w:r>
              <w:rPr>
                <w:rFonts w:ascii="Times New Roman" w:hAnsi="Times New Roman" w:cs="Times New Roman"/>
              </w:rPr>
              <w:t>Tot-N/TN (Toplam Azot)</w:t>
            </w:r>
          </w:p>
        </w:tc>
        <w:tc>
          <w:tcPr>
            <w:tcW w:w="6515" w:type="dxa"/>
          </w:tcPr>
          <w:p w14:paraId="72DA14DB" w14:textId="0FAF8DAA" w:rsidR="00D16060" w:rsidRPr="00977CCD" w:rsidRDefault="00D16060" w:rsidP="007D0B1D">
            <w:pPr>
              <w:jc w:val="both"/>
              <w:rPr>
                <w:rFonts w:ascii="Times New Roman" w:hAnsi="Times New Roman" w:cs="Times New Roman"/>
              </w:rPr>
            </w:pPr>
            <w:r>
              <w:rPr>
                <w:rFonts w:ascii="Times New Roman" w:hAnsi="Times New Roman" w:cs="Times New Roman"/>
              </w:rPr>
              <w:t>Organik azot bileşikleri, serbest amonyak ve amonyum (</w:t>
            </w:r>
            <m:oMath>
              <m:sSubSup>
                <m:sSubSupPr>
                  <m:ctrlPr>
                    <w:rPr>
                      <w:rFonts w:ascii="Cambria Math" w:hAnsi="Cambria Math" w:cs="Times New Roman"/>
                      <w:i/>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oMath>
            <w:r>
              <w:rPr>
                <w:rFonts w:ascii="Times New Roman" w:eastAsiaTheme="minorEastAsia" w:hAnsi="Times New Roman" w:cs="Times New Roman"/>
              </w:rPr>
              <w:t>-N), nitrit (</w:t>
            </w:r>
            <w:r>
              <w:rPr>
                <w:rFonts w:ascii="Times New Roman" w:hAnsi="Times New Roman" w:cs="Times New Roman"/>
              </w:rPr>
              <w:t>(</w:t>
            </w:r>
            <m:oMath>
              <m:sSubSup>
                <m:sSubSupPr>
                  <m:ctrlPr>
                    <w:rPr>
                      <w:rFonts w:ascii="Cambria Math" w:hAnsi="Cambria Math" w:cs="Times New Roman"/>
                      <w:i/>
                    </w:rPr>
                  </m:ctrlPr>
                </m:sSubSupPr>
                <m:e>
                  <m:r>
                    <m:rPr>
                      <m:sty m:val="p"/>
                    </m:rPr>
                    <w:rPr>
                      <w:rFonts w:ascii="Cambria Math" w:hAnsi="Cambria Math" w:cs="Times New Roman"/>
                    </w:rPr>
                    <m:t>NO</m:t>
                  </m:r>
                </m:e>
                <m:sub>
                  <m:r>
                    <m:rPr>
                      <m:sty m:val="p"/>
                    </m:rPr>
                    <w:rPr>
                      <w:rFonts w:ascii="Cambria Math" w:hAnsi="Cambria Math" w:cs="Times New Roman"/>
                    </w:rPr>
                    <m:t>2</m:t>
                  </m:r>
                </m:sub>
                <m:sup>
                  <m:r>
                    <m:rPr>
                      <m:sty m:val="p"/>
                    </m:rPr>
                    <w:rPr>
                      <w:rFonts w:ascii="Cambria Math" w:hAnsi="Cambria Math" w:cs="Times New Roman"/>
                    </w:rPr>
                    <m:t>-</m:t>
                  </m:r>
                </m:sup>
              </m:sSubSup>
            </m:oMath>
            <w:r>
              <w:rPr>
                <w:rFonts w:ascii="Times New Roman" w:eastAsiaTheme="minorEastAsia" w:hAnsi="Times New Roman" w:cs="Times New Roman"/>
              </w:rPr>
              <w:t xml:space="preserve">-N) ve nitrat </w:t>
            </w:r>
            <w:r>
              <w:rPr>
                <w:rFonts w:ascii="Times New Roman" w:hAnsi="Times New Roman" w:cs="Times New Roman"/>
              </w:rPr>
              <w:t>(</w:t>
            </w:r>
            <m:oMath>
              <m:sSubSup>
                <m:sSubSupPr>
                  <m:ctrlPr>
                    <w:rPr>
                      <w:rFonts w:ascii="Cambria Math" w:hAnsi="Cambria Math" w:cs="Times New Roman"/>
                      <w:i/>
                    </w:rPr>
                  </m:ctrlPr>
                </m:sSubSupPr>
                <m:e>
                  <m:r>
                    <m:rPr>
                      <m:sty m:val="p"/>
                    </m:rPr>
                    <w:rPr>
                      <w:rFonts w:ascii="Cambria Math" w:hAnsi="Cambria Math" w:cs="Times New Roman"/>
                    </w:rPr>
                    <m:t>NO</m:t>
                  </m:r>
                </m:e>
                <m:sub>
                  <m:r>
                    <w:rPr>
                      <w:rFonts w:ascii="Cambria Math" w:hAnsi="Cambria Math" w:cs="Times New Roman"/>
                    </w:rPr>
                    <m:t>3</m:t>
                  </m:r>
                </m:sub>
                <m:sup>
                  <m:r>
                    <w:rPr>
                      <w:rFonts w:ascii="Cambria Math" w:hAnsi="Cambria Math" w:cs="Times New Roman"/>
                    </w:rPr>
                    <m:t>-</m:t>
                  </m:r>
                </m:sup>
              </m:sSubSup>
            </m:oMath>
            <w:r>
              <w:rPr>
                <w:rFonts w:ascii="Times New Roman" w:eastAsiaTheme="minorEastAsia" w:hAnsi="Times New Roman" w:cs="Times New Roman"/>
              </w:rPr>
              <w:t>-N) da dahil olmak üzere, N olarak ifade edilen toplam azot (Tot-N/TN).</w:t>
            </w:r>
          </w:p>
        </w:tc>
      </w:tr>
      <w:tr w:rsidR="00D16060" w:rsidRPr="00BA34D0" w14:paraId="1E177779" w14:textId="77777777" w:rsidTr="0082590D">
        <w:tc>
          <w:tcPr>
            <w:tcW w:w="2547" w:type="dxa"/>
          </w:tcPr>
          <w:p w14:paraId="60711B6B" w14:textId="44F7D648" w:rsidR="00D16060" w:rsidRDefault="00D16060" w:rsidP="00255F20">
            <w:pPr>
              <w:jc w:val="both"/>
              <w:rPr>
                <w:rFonts w:ascii="Times New Roman" w:hAnsi="Times New Roman" w:cs="Times New Roman"/>
              </w:rPr>
            </w:pPr>
            <w:r>
              <w:rPr>
                <w:rFonts w:ascii="Times New Roman" w:hAnsi="Times New Roman" w:cs="Times New Roman"/>
              </w:rPr>
              <w:t>Toplam İnorganik Azot (N</w:t>
            </w:r>
            <w:r>
              <w:rPr>
                <w:rFonts w:ascii="Times New Roman" w:hAnsi="Times New Roman" w:cs="Times New Roman"/>
                <w:vertAlign w:val="subscript"/>
              </w:rPr>
              <w:t>inorg</w:t>
            </w:r>
            <w:r>
              <w:rPr>
                <w:rFonts w:ascii="Times New Roman" w:hAnsi="Times New Roman" w:cs="Times New Roman"/>
              </w:rPr>
              <w:t>)</w:t>
            </w:r>
          </w:p>
        </w:tc>
        <w:tc>
          <w:tcPr>
            <w:tcW w:w="6515" w:type="dxa"/>
          </w:tcPr>
          <w:p w14:paraId="6E35B96D" w14:textId="41170836" w:rsidR="00D16060" w:rsidRDefault="00D16060" w:rsidP="00255F20">
            <w:pPr>
              <w:jc w:val="both"/>
              <w:rPr>
                <w:rFonts w:ascii="Times New Roman" w:hAnsi="Times New Roman" w:cs="Times New Roman"/>
              </w:rPr>
            </w:pPr>
            <w:r>
              <w:rPr>
                <w:rFonts w:ascii="Times New Roman" w:hAnsi="Times New Roman" w:cs="Times New Roman"/>
              </w:rPr>
              <w:t>Serbest amonyak ve amonyum (</w:t>
            </w:r>
            <m:oMath>
              <m:sSubSup>
                <m:sSubSupPr>
                  <m:ctrlPr>
                    <w:rPr>
                      <w:rFonts w:ascii="Cambria Math" w:hAnsi="Cambria Math" w:cs="Times New Roman"/>
                      <w:i/>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oMath>
            <w:r>
              <w:rPr>
                <w:rFonts w:ascii="Times New Roman" w:eastAsiaTheme="minorEastAsia" w:hAnsi="Times New Roman" w:cs="Times New Roman"/>
              </w:rPr>
              <w:t>-N), nitrit (</w:t>
            </w:r>
            <w:r>
              <w:rPr>
                <w:rFonts w:ascii="Times New Roman" w:hAnsi="Times New Roman" w:cs="Times New Roman"/>
              </w:rPr>
              <w:t>(</w:t>
            </w:r>
            <m:oMath>
              <m:sSubSup>
                <m:sSubSupPr>
                  <m:ctrlPr>
                    <w:rPr>
                      <w:rFonts w:ascii="Cambria Math" w:hAnsi="Cambria Math" w:cs="Times New Roman"/>
                      <w:i/>
                    </w:rPr>
                  </m:ctrlPr>
                </m:sSubSupPr>
                <m:e>
                  <m:r>
                    <m:rPr>
                      <m:sty m:val="p"/>
                    </m:rPr>
                    <w:rPr>
                      <w:rFonts w:ascii="Cambria Math" w:hAnsi="Cambria Math" w:cs="Times New Roman"/>
                    </w:rPr>
                    <m:t>NO</m:t>
                  </m:r>
                </m:e>
                <m:sub>
                  <m:r>
                    <m:rPr>
                      <m:sty m:val="p"/>
                    </m:rPr>
                    <w:rPr>
                      <w:rFonts w:ascii="Cambria Math" w:hAnsi="Cambria Math" w:cs="Times New Roman"/>
                    </w:rPr>
                    <m:t>2</m:t>
                  </m:r>
                </m:sub>
                <m:sup>
                  <m:r>
                    <m:rPr>
                      <m:sty m:val="p"/>
                    </m:rPr>
                    <w:rPr>
                      <w:rFonts w:ascii="Cambria Math" w:hAnsi="Cambria Math" w:cs="Times New Roman"/>
                    </w:rPr>
                    <m:t>-</m:t>
                  </m:r>
                </m:sup>
              </m:sSubSup>
            </m:oMath>
            <w:r>
              <w:rPr>
                <w:rFonts w:ascii="Times New Roman" w:eastAsiaTheme="minorEastAsia" w:hAnsi="Times New Roman" w:cs="Times New Roman"/>
              </w:rPr>
              <w:t xml:space="preserve">-N) ve nitrat </w:t>
            </w:r>
            <w:r>
              <w:rPr>
                <w:rFonts w:ascii="Times New Roman" w:hAnsi="Times New Roman" w:cs="Times New Roman"/>
              </w:rPr>
              <w:t>(</w:t>
            </w:r>
            <m:oMath>
              <m:sSubSup>
                <m:sSubSupPr>
                  <m:ctrlPr>
                    <w:rPr>
                      <w:rFonts w:ascii="Cambria Math" w:hAnsi="Cambria Math" w:cs="Times New Roman"/>
                      <w:i/>
                    </w:rPr>
                  </m:ctrlPr>
                </m:sSubSupPr>
                <m:e>
                  <m:r>
                    <m:rPr>
                      <m:sty m:val="p"/>
                    </m:rPr>
                    <w:rPr>
                      <w:rFonts w:ascii="Cambria Math" w:hAnsi="Cambria Math" w:cs="Times New Roman"/>
                    </w:rPr>
                    <m:t>NO</m:t>
                  </m:r>
                </m:e>
                <m:sub>
                  <m:r>
                    <w:rPr>
                      <w:rFonts w:ascii="Cambria Math" w:hAnsi="Cambria Math" w:cs="Times New Roman"/>
                    </w:rPr>
                    <m:t>3</m:t>
                  </m:r>
                </m:sub>
                <m:sup>
                  <m:r>
                    <w:rPr>
                      <w:rFonts w:ascii="Cambria Math" w:hAnsi="Cambria Math" w:cs="Times New Roman"/>
                    </w:rPr>
                    <m:t>-</m:t>
                  </m:r>
                </m:sup>
              </m:sSubSup>
            </m:oMath>
            <w:r>
              <w:rPr>
                <w:rFonts w:ascii="Times New Roman" w:eastAsiaTheme="minorEastAsia" w:hAnsi="Times New Roman" w:cs="Times New Roman"/>
              </w:rPr>
              <w:t>-N) da dahil olmak üzere, N olarak ifade edilen toplam inorganik azot.</w:t>
            </w:r>
          </w:p>
        </w:tc>
      </w:tr>
      <w:tr w:rsidR="00D16060" w:rsidRPr="00BA34D0" w14:paraId="6F67AF2E" w14:textId="77777777" w:rsidTr="0082590D">
        <w:tc>
          <w:tcPr>
            <w:tcW w:w="2547" w:type="dxa"/>
          </w:tcPr>
          <w:p w14:paraId="054F0D97" w14:textId="2074BB13" w:rsidR="00D16060" w:rsidRPr="002827A6" w:rsidRDefault="00D16060" w:rsidP="00255F20">
            <w:pPr>
              <w:jc w:val="both"/>
              <w:rPr>
                <w:rFonts w:ascii="Times New Roman" w:hAnsi="Times New Roman" w:cs="Times New Roman"/>
              </w:rPr>
            </w:pPr>
            <w:r>
              <w:rPr>
                <w:rFonts w:ascii="Times New Roman" w:hAnsi="Times New Roman" w:cs="Times New Roman"/>
              </w:rPr>
              <w:t>Dışkı ile Salınan Toplam Azot</w:t>
            </w:r>
          </w:p>
        </w:tc>
        <w:tc>
          <w:tcPr>
            <w:tcW w:w="6515" w:type="dxa"/>
          </w:tcPr>
          <w:p w14:paraId="44C908E9" w14:textId="7241103A" w:rsidR="00D16060" w:rsidRDefault="00D16060" w:rsidP="00255F20">
            <w:pPr>
              <w:jc w:val="both"/>
              <w:rPr>
                <w:rFonts w:ascii="Times New Roman" w:hAnsi="Times New Roman" w:cs="Times New Roman"/>
              </w:rPr>
            </w:pPr>
            <w:r>
              <w:rPr>
                <w:rFonts w:ascii="Times New Roman" w:hAnsi="Times New Roman" w:cs="Times New Roman"/>
              </w:rPr>
              <w:t>Hayvanın metabolik proseslerinden kaynaklanan ve idrar ve dışkı yoluyla vücuttan atılan toplam azot.</w:t>
            </w:r>
          </w:p>
        </w:tc>
      </w:tr>
      <w:tr w:rsidR="00D16060" w:rsidRPr="00BA34D0" w14:paraId="72E98123" w14:textId="77777777" w:rsidTr="0082590D">
        <w:tc>
          <w:tcPr>
            <w:tcW w:w="2547" w:type="dxa"/>
          </w:tcPr>
          <w:p w14:paraId="77B85E0F" w14:textId="58972701" w:rsidR="00D16060" w:rsidRDefault="00D16060" w:rsidP="00255F20">
            <w:pPr>
              <w:jc w:val="both"/>
              <w:rPr>
                <w:rFonts w:ascii="Times New Roman" w:hAnsi="Times New Roman" w:cs="Times New Roman"/>
              </w:rPr>
            </w:pPr>
            <w:r>
              <w:rPr>
                <w:rFonts w:ascii="Times New Roman" w:hAnsi="Times New Roman" w:cs="Times New Roman"/>
              </w:rPr>
              <w:t>Tot-P/TP (Toplam Fosfor)</w:t>
            </w:r>
          </w:p>
        </w:tc>
        <w:tc>
          <w:tcPr>
            <w:tcW w:w="6515" w:type="dxa"/>
          </w:tcPr>
          <w:p w14:paraId="76FD6A72" w14:textId="1B8B63F9" w:rsidR="00D16060" w:rsidRDefault="00D16060" w:rsidP="00255F20">
            <w:pPr>
              <w:jc w:val="both"/>
              <w:rPr>
                <w:rFonts w:ascii="Times New Roman" w:hAnsi="Times New Roman" w:cs="Times New Roman"/>
              </w:rPr>
            </w:pPr>
            <w:r>
              <w:rPr>
                <w:rFonts w:ascii="Times New Roman" w:hAnsi="Times New Roman" w:cs="Times New Roman"/>
              </w:rPr>
              <w:t>Çözünmüş fosfor ve çökeltiler şeklinde veya mikroplar aracılığıyla atık suya taşınan çözünmeyen fosfor da dahil olmak üzere, P olarak ifade edilen toplam fosfor (Tot-P/TP).</w:t>
            </w:r>
          </w:p>
        </w:tc>
      </w:tr>
      <w:tr w:rsidR="00D16060" w:rsidRPr="00BA34D0" w14:paraId="0345EEA0" w14:textId="77777777" w:rsidTr="0082590D">
        <w:tc>
          <w:tcPr>
            <w:tcW w:w="2547" w:type="dxa"/>
          </w:tcPr>
          <w:p w14:paraId="030C00F2" w14:textId="4E2A566F" w:rsidR="00D16060" w:rsidRDefault="00D16060" w:rsidP="00255F20">
            <w:pPr>
              <w:jc w:val="both"/>
              <w:rPr>
                <w:rFonts w:ascii="Times New Roman" w:hAnsi="Times New Roman" w:cs="Times New Roman"/>
              </w:rPr>
            </w:pPr>
            <w:r>
              <w:rPr>
                <w:rFonts w:ascii="Times New Roman" w:hAnsi="Times New Roman" w:cs="Times New Roman"/>
              </w:rPr>
              <w:t>Dışkı ile Salınan Toplam Fosfor</w:t>
            </w:r>
          </w:p>
        </w:tc>
        <w:tc>
          <w:tcPr>
            <w:tcW w:w="6515" w:type="dxa"/>
          </w:tcPr>
          <w:p w14:paraId="7E8D06AC" w14:textId="235F273B" w:rsidR="00D16060" w:rsidRDefault="00D16060" w:rsidP="00255F20">
            <w:pPr>
              <w:jc w:val="both"/>
              <w:rPr>
                <w:rFonts w:ascii="Times New Roman" w:hAnsi="Times New Roman" w:cs="Times New Roman"/>
              </w:rPr>
            </w:pPr>
            <w:r>
              <w:rPr>
                <w:rFonts w:ascii="Times New Roman" w:hAnsi="Times New Roman" w:cs="Times New Roman"/>
              </w:rPr>
              <w:t>Hayvanın metabolik proseslerinden kaynaklanan ve idrar ve dışkı yoluyla vücuttan atılan toplam fosfor.</w:t>
            </w:r>
          </w:p>
        </w:tc>
      </w:tr>
      <w:tr w:rsidR="00D16060" w:rsidRPr="00BA34D0" w14:paraId="1C569FF1" w14:textId="77777777" w:rsidTr="0082590D">
        <w:tc>
          <w:tcPr>
            <w:tcW w:w="2547" w:type="dxa"/>
          </w:tcPr>
          <w:p w14:paraId="2CE0172A" w14:textId="430DDCAB" w:rsidR="00D16060" w:rsidRDefault="00D16060" w:rsidP="00255F20">
            <w:pPr>
              <w:jc w:val="both"/>
              <w:rPr>
                <w:rFonts w:ascii="Times New Roman" w:hAnsi="Times New Roman" w:cs="Times New Roman"/>
              </w:rPr>
            </w:pPr>
            <w:r>
              <w:rPr>
                <w:rFonts w:ascii="Times New Roman" w:hAnsi="Times New Roman" w:cs="Times New Roman"/>
              </w:rPr>
              <w:t>Toz</w:t>
            </w:r>
          </w:p>
        </w:tc>
        <w:tc>
          <w:tcPr>
            <w:tcW w:w="6515" w:type="dxa"/>
          </w:tcPr>
          <w:p w14:paraId="2BE57217" w14:textId="3607622A" w:rsidR="00D16060" w:rsidRDefault="00D16060" w:rsidP="00255F20">
            <w:pPr>
              <w:jc w:val="both"/>
              <w:rPr>
                <w:rFonts w:ascii="Times New Roman" w:hAnsi="Times New Roman" w:cs="Times New Roman"/>
              </w:rPr>
            </w:pPr>
            <w:r>
              <w:rPr>
                <w:rFonts w:ascii="Times New Roman" w:hAnsi="Times New Roman" w:cs="Times New Roman"/>
              </w:rPr>
              <w:t>Toplam partikül madde (havadaki).</w:t>
            </w:r>
          </w:p>
        </w:tc>
      </w:tr>
      <w:tr w:rsidR="00D16060" w:rsidRPr="00BA34D0" w14:paraId="51E2CE5B" w14:textId="77777777" w:rsidTr="0082590D">
        <w:tc>
          <w:tcPr>
            <w:tcW w:w="2547" w:type="dxa"/>
          </w:tcPr>
          <w:p w14:paraId="4242B43F" w14:textId="46A8C83E" w:rsidR="00D16060" w:rsidRDefault="00D16060" w:rsidP="007D0B1D">
            <w:pPr>
              <w:jc w:val="both"/>
              <w:rPr>
                <w:rFonts w:ascii="Times New Roman" w:hAnsi="Times New Roman" w:cs="Times New Roman"/>
              </w:rPr>
            </w:pPr>
            <w:r>
              <w:rPr>
                <w:rFonts w:ascii="Times New Roman" w:hAnsi="Times New Roman" w:cs="Times New Roman"/>
              </w:rPr>
              <w:t>TRS</w:t>
            </w:r>
          </w:p>
        </w:tc>
        <w:tc>
          <w:tcPr>
            <w:tcW w:w="6515" w:type="dxa"/>
          </w:tcPr>
          <w:p w14:paraId="1409AA9C" w14:textId="0C206123" w:rsidR="00D16060" w:rsidRDefault="00D16060" w:rsidP="007D0B1D">
            <w:pPr>
              <w:jc w:val="both"/>
              <w:rPr>
                <w:rFonts w:ascii="Times New Roman" w:hAnsi="Times New Roman" w:cs="Times New Roman"/>
              </w:rPr>
            </w:pPr>
            <w:r>
              <w:rPr>
                <w:rFonts w:ascii="Times New Roman" w:hAnsi="Times New Roman" w:cs="Times New Roman"/>
              </w:rPr>
              <w:t>Toplam İndirgenmiş Kükürt [Total Reduced Sulphur]. Kağıt hamuru üretim prosesinde oluşan şu indirgenmiş kötü kokulu kükürt bileşiklerinin toplamı: Hidrojen sülfür, metil merkaptan, dimetilsülfür ve dimetildisülfür (kükürt olarak ifade edilir).</w:t>
            </w:r>
          </w:p>
        </w:tc>
      </w:tr>
      <w:tr w:rsidR="00D16060" w:rsidRPr="00BA34D0" w14:paraId="193A8542" w14:textId="77777777" w:rsidTr="0082590D">
        <w:tc>
          <w:tcPr>
            <w:tcW w:w="2547" w:type="dxa"/>
          </w:tcPr>
          <w:p w14:paraId="05134EEE" w14:textId="69377DD2" w:rsidR="00D16060" w:rsidRDefault="00D16060" w:rsidP="007D0B1D">
            <w:pPr>
              <w:jc w:val="both"/>
              <w:rPr>
                <w:rFonts w:ascii="Times New Roman" w:hAnsi="Times New Roman" w:cs="Times New Roman"/>
              </w:rPr>
            </w:pPr>
            <w:r>
              <w:rPr>
                <w:rFonts w:ascii="Times New Roman" w:hAnsi="Times New Roman" w:cs="Times New Roman"/>
              </w:rPr>
              <w:t>TSS</w:t>
            </w:r>
            <w:r>
              <w:rPr>
                <w:rStyle w:val="DipnotBavurusu"/>
                <w:rFonts w:ascii="Times New Roman" w:hAnsi="Times New Roman" w:cs="Times New Roman"/>
              </w:rPr>
              <w:footnoteReference w:id="1"/>
            </w:r>
            <w:r>
              <w:rPr>
                <w:rStyle w:val="DipnotBavurusu"/>
                <w:rFonts w:ascii="Times New Roman" w:hAnsi="Times New Roman" w:cs="Times New Roman"/>
              </w:rPr>
              <w:footnoteReference w:id="2"/>
            </w:r>
            <w:r>
              <w:rPr>
                <w:rStyle w:val="DipnotBavurusu"/>
                <w:rFonts w:ascii="Times New Roman" w:hAnsi="Times New Roman" w:cs="Times New Roman"/>
              </w:rPr>
              <w:footnoteReference w:id="3"/>
            </w:r>
            <w:r>
              <w:rPr>
                <w:rStyle w:val="DipnotBavurusu"/>
                <w:rFonts w:ascii="Times New Roman" w:hAnsi="Times New Roman" w:cs="Times New Roman"/>
              </w:rPr>
              <w:footnoteReference w:id="4"/>
            </w:r>
            <w:r>
              <w:rPr>
                <w:rStyle w:val="DipnotBavurusu"/>
                <w:rFonts w:ascii="Times New Roman" w:hAnsi="Times New Roman" w:cs="Times New Roman"/>
              </w:rPr>
              <w:footnoteReference w:id="5"/>
            </w:r>
            <w:r>
              <w:rPr>
                <w:rStyle w:val="DipnotBavurusu"/>
                <w:rFonts w:ascii="Times New Roman" w:hAnsi="Times New Roman" w:cs="Times New Roman"/>
              </w:rPr>
              <w:footnoteReference w:id="6"/>
            </w:r>
          </w:p>
        </w:tc>
        <w:tc>
          <w:tcPr>
            <w:tcW w:w="6515" w:type="dxa"/>
          </w:tcPr>
          <w:p w14:paraId="50C7BA15" w14:textId="06AD147B" w:rsidR="00D16060" w:rsidRDefault="00D16060" w:rsidP="007D0B1D">
            <w:pPr>
              <w:jc w:val="both"/>
              <w:rPr>
                <w:rFonts w:ascii="Times New Roman" w:hAnsi="Times New Roman" w:cs="Times New Roman"/>
              </w:rPr>
            </w:pPr>
            <w:r>
              <w:rPr>
                <w:rFonts w:ascii="Times New Roman" w:hAnsi="Times New Roman" w:cs="Times New Roman"/>
              </w:rPr>
              <w:t>Toplam Askıda Katı Maddeler (atık suda). Askıda katı maddeler; küçük lif parçaları, dolgu maddeleri, ince taneler, çökmemiş biyokütle (mikroorganizmaların toplanması) ve diğer küçük parçacıklardan oluşur.</w:t>
            </w:r>
          </w:p>
        </w:tc>
      </w:tr>
      <w:tr w:rsidR="00D16060" w:rsidRPr="00BA34D0" w14:paraId="0248C20C" w14:textId="77777777" w:rsidTr="0082590D">
        <w:tc>
          <w:tcPr>
            <w:tcW w:w="2547" w:type="dxa"/>
          </w:tcPr>
          <w:p w14:paraId="7516EF58" w14:textId="062E0389" w:rsidR="00D16060" w:rsidRDefault="00D16060" w:rsidP="007D0B1D">
            <w:pPr>
              <w:jc w:val="both"/>
              <w:rPr>
                <w:rFonts w:ascii="Times New Roman" w:hAnsi="Times New Roman" w:cs="Times New Roman"/>
              </w:rPr>
            </w:pPr>
            <w:r>
              <w:rPr>
                <w:rFonts w:ascii="Times New Roman" w:hAnsi="Times New Roman" w:cs="Times New Roman"/>
              </w:rPr>
              <w:t>TUOB</w:t>
            </w:r>
          </w:p>
        </w:tc>
        <w:tc>
          <w:tcPr>
            <w:tcW w:w="6515" w:type="dxa"/>
          </w:tcPr>
          <w:p w14:paraId="0BE8EFEB" w14:textId="74FFC405" w:rsidR="00D16060" w:rsidRDefault="00D16060" w:rsidP="007D0B1D">
            <w:pPr>
              <w:jc w:val="both"/>
              <w:rPr>
                <w:rFonts w:ascii="Times New Roman" w:hAnsi="Times New Roman" w:cs="Times New Roman"/>
              </w:rPr>
            </w:pPr>
            <w:r>
              <w:rPr>
                <w:rFonts w:ascii="Times New Roman" w:hAnsi="Times New Roman" w:cs="Times New Roman"/>
              </w:rPr>
              <w:t>C (havada) olarak ifade edilen, Toplam Uçucu Organik Bileşikler.</w:t>
            </w:r>
          </w:p>
        </w:tc>
      </w:tr>
      <w:tr w:rsidR="00D16060" w:rsidRPr="00BA34D0" w14:paraId="14771B33" w14:textId="77777777" w:rsidTr="0082590D">
        <w:tc>
          <w:tcPr>
            <w:tcW w:w="2547" w:type="dxa"/>
          </w:tcPr>
          <w:p w14:paraId="3C48F843" w14:textId="657BBC49" w:rsidR="00D16060" w:rsidRDefault="00D16060" w:rsidP="007D0B1D">
            <w:pPr>
              <w:jc w:val="both"/>
              <w:rPr>
                <w:rFonts w:ascii="Times New Roman" w:hAnsi="Times New Roman" w:cs="Times New Roman"/>
              </w:rPr>
            </w:pPr>
            <w:r>
              <w:rPr>
                <w:rFonts w:ascii="Times New Roman" w:hAnsi="Times New Roman" w:cs="Times New Roman"/>
              </w:rPr>
              <w:t>UV</w:t>
            </w:r>
          </w:p>
        </w:tc>
        <w:tc>
          <w:tcPr>
            <w:tcW w:w="6515" w:type="dxa"/>
          </w:tcPr>
          <w:p w14:paraId="5668FB22" w14:textId="4B06070B" w:rsidR="00D16060" w:rsidRDefault="00D16060" w:rsidP="007D0B1D">
            <w:pPr>
              <w:jc w:val="both"/>
              <w:rPr>
                <w:rFonts w:ascii="Times New Roman" w:hAnsi="Times New Roman" w:cs="Times New Roman"/>
              </w:rPr>
            </w:pPr>
            <w:r>
              <w:rPr>
                <w:rFonts w:ascii="Times New Roman" w:hAnsi="Times New Roman" w:cs="Times New Roman"/>
              </w:rPr>
              <w:t>Ultraviyole</w:t>
            </w:r>
          </w:p>
        </w:tc>
      </w:tr>
      <w:tr w:rsidR="00D16060" w:rsidRPr="00BA34D0" w14:paraId="6DF91955" w14:textId="77777777" w:rsidTr="0082590D">
        <w:tc>
          <w:tcPr>
            <w:tcW w:w="2547" w:type="dxa"/>
          </w:tcPr>
          <w:p w14:paraId="385B30D2" w14:textId="2C95C9DE" w:rsidR="00D16060" w:rsidRDefault="00D16060" w:rsidP="007D0B1D">
            <w:pPr>
              <w:jc w:val="both"/>
              <w:rPr>
                <w:rFonts w:ascii="Times New Roman" w:hAnsi="Times New Roman" w:cs="Times New Roman"/>
              </w:rPr>
            </w:pPr>
            <w:r>
              <w:rPr>
                <w:rFonts w:ascii="Times New Roman" w:hAnsi="Times New Roman" w:cs="Times New Roman"/>
              </w:rPr>
              <w:t>Vanadyum</w:t>
            </w:r>
          </w:p>
        </w:tc>
        <w:tc>
          <w:tcPr>
            <w:tcW w:w="6515" w:type="dxa"/>
          </w:tcPr>
          <w:p w14:paraId="1D6CB219" w14:textId="61F25CF8" w:rsidR="00D16060" w:rsidRDefault="00D16060" w:rsidP="007D0B1D">
            <w:pPr>
              <w:jc w:val="both"/>
              <w:rPr>
                <w:rFonts w:ascii="Times New Roman" w:hAnsi="Times New Roman" w:cs="Times New Roman"/>
              </w:rPr>
            </w:pPr>
            <w:r>
              <w:rPr>
                <w:rFonts w:ascii="Times New Roman" w:hAnsi="Times New Roman" w:cs="Times New Roman"/>
              </w:rPr>
              <w:t>V</w:t>
            </w:r>
          </w:p>
        </w:tc>
      </w:tr>
      <w:tr w:rsidR="00D16060" w:rsidRPr="00BA34D0" w14:paraId="4A68E98B" w14:textId="77777777" w:rsidTr="0082590D">
        <w:tc>
          <w:tcPr>
            <w:tcW w:w="2547" w:type="dxa"/>
          </w:tcPr>
          <w:p w14:paraId="084DD130" w14:textId="6279D031" w:rsidR="00D16060" w:rsidRDefault="00D16060" w:rsidP="007D0B1D">
            <w:pPr>
              <w:jc w:val="both"/>
              <w:rPr>
                <w:rFonts w:ascii="Times New Roman" w:hAnsi="Times New Roman" w:cs="Times New Roman"/>
              </w:rPr>
            </w:pPr>
            <w:r>
              <w:rPr>
                <w:rFonts w:ascii="Times New Roman" w:hAnsi="Times New Roman" w:cs="Times New Roman"/>
              </w:rPr>
              <w:t>UOB</w:t>
            </w:r>
          </w:p>
        </w:tc>
        <w:tc>
          <w:tcPr>
            <w:tcW w:w="6515" w:type="dxa"/>
          </w:tcPr>
          <w:p w14:paraId="2C5EC2EE" w14:textId="6450FB94" w:rsidR="00D16060" w:rsidRDefault="00D16060" w:rsidP="007D0B1D">
            <w:pPr>
              <w:jc w:val="both"/>
              <w:rPr>
                <w:rFonts w:ascii="Times New Roman" w:hAnsi="Times New Roman" w:cs="Times New Roman"/>
              </w:rPr>
            </w:pPr>
            <w:r>
              <w:rPr>
                <w:rFonts w:ascii="Times New Roman" w:hAnsi="Times New Roman" w:cs="Times New Roman"/>
              </w:rPr>
              <w:t>Uçucu Organik Bileşikler [Volatile Organic Compounds]</w:t>
            </w:r>
          </w:p>
        </w:tc>
      </w:tr>
      <w:tr w:rsidR="00D16060" w:rsidRPr="00BA34D0" w14:paraId="74CA92EF" w14:textId="77777777" w:rsidTr="0082590D">
        <w:tc>
          <w:tcPr>
            <w:tcW w:w="2547" w:type="dxa"/>
          </w:tcPr>
          <w:p w14:paraId="35D46578" w14:textId="00CDB04E" w:rsidR="00D16060" w:rsidRDefault="00D16060" w:rsidP="007D0B1D">
            <w:pPr>
              <w:jc w:val="both"/>
              <w:rPr>
                <w:rFonts w:ascii="Times New Roman" w:hAnsi="Times New Roman" w:cs="Times New Roman"/>
              </w:rPr>
            </w:pPr>
            <w:r>
              <w:rPr>
                <w:rFonts w:ascii="Times New Roman" w:hAnsi="Times New Roman" w:cs="Times New Roman"/>
              </w:rPr>
              <w:t>WPC</w:t>
            </w:r>
          </w:p>
        </w:tc>
        <w:tc>
          <w:tcPr>
            <w:tcW w:w="6515" w:type="dxa"/>
          </w:tcPr>
          <w:p w14:paraId="30457C9E" w14:textId="5E9C1F10" w:rsidR="00D16060" w:rsidRDefault="00D16060" w:rsidP="007D0B1D">
            <w:pPr>
              <w:jc w:val="both"/>
              <w:rPr>
                <w:rFonts w:ascii="Times New Roman" w:hAnsi="Times New Roman" w:cs="Times New Roman"/>
              </w:rPr>
            </w:pPr>
            <w:r>
              <w:rPr>
                <w:rFonts w:ascii="Times New Roman" w:hAnsi="Times New Roman" w:cs="Times New Roman"/>
              </w:rPr>
              <w:t>Ahşap ve ahşap ürünlerinin kimyasallarla korunması.</w:t>
            </w:r>
          </w:p>
        </w:tc>
      </w:tr>
    </w:tbl>
    <w:p w14:paraId="367CA542" w14:textId="0B5A820F" w:rsidR="009D0243" w:rsidRDefault="009D0243" w:rsidP="003610DF">
      <w:pPr>
        <w:spacing w:after="120" w:line="276" w:lineRule="auto"/>
        <w:jc w:val="both"/>
        <w:rPr>
          <w:rFonts w:ascii="Times New Roman" w:hAnsi="Times New Roman" w:cs="Times New Roman"/>
          <w:sz w:val="24"/>
          <w:szCs w:val="24"/>
        </w:rPr>
        <w:sectPr w:rsidR="009D0243">
          <w:pgSz w:w="11906" w:h="16838"/>
          <w:pgMar w:top="1417" w:right="1417" w:bottom="1417" w:left="1417" w:header="708" w:footer="708" w:gutter="0"/>
          <w:cols w:space="708"/>
          <w:docGrid w:linePitch="360"/>
        </w:sectPr>
      </w:pPr>
    </w:p>
    <w:p w14:paraId="66DCA752" w14:textId="77777777" w:rsidR="009D0243" w:rsidRPr="009D0243" w:rsidRDefault="009D0243" w:rsidP="009D0243">
      <w:pPr>
        <w:pStyle w:val="Balk1"/>
        <w:spacing w:before="0" w:after="120" w:line="276" w:lineRule="auto"/>
        <w:jc w:val="center"/>
        <w:rPr>
          <w:rFonts w:cs="Times New Roman"/>
          <w:b w:val="0"/>
          <w:bCs/>
          <w:szCs w:val="24"/>
        </w:rPr>
      </w:pPr>
      <w:r>
        <w:rPr>
          <w:rFonts w:cs="Times New Roman"/>
          <w:bCs/>
          <w:szCs w:val="24"/>
        </w:rPr>
        <w:lastRenderedPageBreak/>
        <w:t>BÖLÜM 2</w:t>
      </w:r>
    </w:p>
    <w:p w14:paraId="3A0BE688" w14:textId="77777777" w:rsidR="009D0243" w:rsidRPr="009D0243" w:rsidRDefault="009D0243" w:rsidP="009D0243">
      <w:pPr>
        <w:pStyle w:val="Balk1"/>
        <w:spacing w:before="0" w:after="120" w:line="276" w:lineRule="auto"/>
        <w:jc w:val="both"/>
        <w:rPr>
          <w:rFonts w:cs="Times New Roman"/>
          <w:b w:val="0"/>
          <w:bCs/>
          <w:szCs w:val="24"/>
        </w:rPr>
      </w:pPr>
      <w:r>
        <w:rPr>
          <w:rFonts w:cs="Times New Roman"/>
          <w:bCs/>
          <w:szCs w:val="24"/>
        </w:rPr>
        <w:t>GENEL HUSUSLAR</w:t>
      </w:r>
    </w:p>
    <w:p w14:paraId="7597BEE7" w14:textId="77777777" w:rsidR="009D0243" w:rsidRPr="007A3693" w:rsidRDefault="007A3693" w:rsidP="007A3693">
      <w:pPr>
        <w:pStyle w:val="Balk2"/>
        <w:spacing w:before="0" w:after="120" w:line="276" w:lineRule="auto"/>
        <w:jc w:val="both"/>
        <w:rPr>
          <w:rFonts w:cs="Times New Roman"/>
          <w:b/>
          <w:bCs/>
          <w:szCs w:val="24"/>
        </w:rPr>
      </w:pPr>
      <w:r>
        <w:rPr>
          <w:rFonts w:cs="Times New Roman"/>
          <w:b/>
          <w:bCs/>
          <w:szCs w:val="24"/>
        </w:rPr>
        <w:t>(1) Kağıt Hamuru, Kağıt ve Karton Sektörü</w:t>
      </w:r>
    </w:p>
    <w:p w14:paraId="59839967" w14:textId="7296000C" w:rsidR="009D0243" w:rsidRDefault="007B6467"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sidR="00D16060">
        <w:rPr>
          <w:rFonts w:ascii="Times New Roman" w:hAnsi="Times New Roman" w:cs="Times New Roman"/>
          <w:sz w:val="24"/>
          <w:szCs w:val="24"/>
        </w:rPr>
        <w:t>K</w:t>
      </w:r>
      <w:r>
        <w:rPr>
          <w:rFonts w:ascii="Times New Roman" w:hAnsi="Times New Roman" w:cs="Times New Roman"/>
          <w:sz w:val="24"/>
          <w:szCs w:val="24"/>
        </w:rPr>
        <w:t>-2’de sunulan MET sonuçlarında listelenen ve açıklanan teknikler, yerleşik ya da geniş kapsamlı ve ayrıntılı değildir. En azından eş değer nitelikte çevresel koruma sağlamak için diğer teknikler de kullanılabilir.</w:t>
      </w:r>
    </w:p>
    <w:p w14:paraId="28A0FD6E" w14:textId="5790820F" w:rsidR="007B6467" w:rsidRDefault="007B6467"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Aksi belirtilmedikçe, E</w:t>
      </w:r>
      <w:r w:rsidR="00D16060">
        <w:rPr>
          <w:rFonts w:ascii="Times New Roman" w:hAnsi="Times New Roman" w:cs="Times New Roman"/>
          <w:sz w:val="24"/>
          <w:szCs w:val="24"/>
        </w:rPr>
        <w:t>K</w:t>
      </w:r>
      <w:r>
        <w:rPr>
          <w:rFonts w:ascii="Times New Roman" w:hAnsi="Times New Roman" w:cs="Times New Roman"/>
          <w:sz w:val="24"/>
          <w:szCs w:val="24"/>
        </w:rPr>
        <w:t>-2’de sunulan MET sonuçları genellikle uygulanabilir.</w:t>
      </w:r>
    </w:p>
    <w:p w14:paraId="432725D9" w14:textId="77777777" w:rsidR="007B6467" w:rsidRPr="007B6467" w:rsidRDefault="007B6467" w:rsidP="007B6467">
      <w:pPr>
        <w:pStyle w:val="Balk3"/>
        <w:spacing w:before="0" w:after="120" w:line="276" w:lineRule="auto"/>
        <w:jc w:val="both"/>
        <w:rPr>
          <w:rFonts w:cs="Times New Roman"/>
          <w:b w:val="0"/>
          <w:bCs/>
          <w:szCs w:val="24"/>
        </w:rPr>
      </w:pPr>
      <w:r>
        <w:rPr>
          <w:rFonts w:cs="Times New Roman"/>
          <w:bCs/>
          <w:szCs w:val="24"/>
        </w:rPr>
        <w:t>(1.1) MET ile İlişkili Emisyon Seviyeleri</w:t>
      </w:r>
    </w:p>
    <w:p w14:paraId="4FE3DB36" w14:textId="77777777" w:rsidR="007A3693" w:rsidRDefault="005B72C8"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Mevcut En İyi Teknik ile ilişkili emisyon seviyelerinin (MET-İES) aynı ortalama süresi için farklı birimlerde (örn. konsantrasyon ve özgül yük değerleri (ton/net üretim başına) olarak) verildiği durumlarda, farklı MET-İES ifade şekilleri, eş değer alternatifler olarak görülür.</w:t>
      </w:r>
    </w:p>
    <w:p w14:paraId="735D773D" w14:textId="77777777" w:rsidR="005B72C8" w:rsidRDefault="005B72C8"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Entegre ve çok ürünlü kağıt hamuru ve kağıt fabrikaları için, münferit prosesler (kağıt hamuru, kağıt yapımı) ve/veya ürünlere yönelik tanımlanan MET-İES’lerin deşarjdaki katkı paylarına dayalı bir karıştırma kuralına göre birleştirilmesi gerekir.</w:t>
      </w:r>
    </w:p>
    <w:p w14:paraId="63B44A15" w14:textId="77777777" w:rsidR="005B72C8" w:rsidRPr="007B6467" w:rsidRDefault="005B72C8" w:rsidP="005B72C8">
      <w:pPr>
        <w:pStyle w:val="Balk3"/>
        <w:spacing w:before="0" w:after="120" w:line="276" w:lineRule="auto"/>
        <w:jc w:val="both"/>
        <w:rPr>
          <w:rFonts w:cs="Times New Roman"/>
          <w:b w:val="0"/>
          <w:bCs/>
          <w:szCs w:val="24"/>
        </w:rPr>
      </w:pPr>
      <w:r>
        <w:rPr>
          <w:rFonts w:cs="Times New Roman"/>
          <w:bCs/>
          <w:szCs w:val="24"/>
        </w:rPr>
        <w:t xml:space="preserve">(1.2) </w:t>
      </w:r>
      <w:r w:rsidR="00291875">
        <w:rPr>
          <w:rFonts w:cs="Times New Roman"/>
          <w:bCs/>
          <w:szCs w:val="24"/>
        </w:rPr>
        <w:t>Suya Emisyonlar İçin Ortalama Alma Süreleri</w:t>
      </w:r>
    </w:p>
    <w:p w14:paraId="168AE943" w14:textId="77777777" w:rsidR="005B72C8" w:rsidRDefault="006B58E7"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Aksi belirtilmedikçe, suya emisyonlara yönelik MET-İES’lere ilişkin ortalama alma süreleri aşağıdaki gibi tanımlanır:</w:t>
      </w:r>
    </w:p>
    <w:tbl>
      <w:tblPr>
        <w:tblStyle w:val="TabloKlavuzu"/>
        <w:tblW w:w="0" w:type="auto"/>
        <w:tblLook w:val="04A0" w:firstRow="1" w:lastRow="0" w:firstColumn="1" w:lastColumn="0" w:noHBand="0" w:noVBand="1"/>
      </w:tblPr>
      <w:tblGrid>
        <w:gridCol w:w="2972"/>
        <w:gridCol w:w="6090"/>
      </w:tblGrid>
      <w:tr w:rsidR="00AC7C42" w:rsidRPr="00BA34D0" w14:paraId="13F1F809" w14:textId="77777777" w:rsidTr="0082590D">
        <w:tc>
          <w:tcPr>
            <w:tcW w:w="2972" w:type="dxa"/>
          </w:tcPr>
          <w:p w14:paraId="6A237CD0" w14:textId="77777777" w:rsidR="00AC7C42" w:rsidRPr="00BA34D0" w:rsidRDefault="00AC7C42" w:rsidP="0024730D">
            <w:pPr>
              <w:jc w:val="both"/>
              <w:rPr>
                <w:rFonts w:ascii="Times New Roman" w:hAnsi="Times New Roman" w:cs="Times New Roman"/>
              </w:rPr>
            </w:pPr>
            <w:r>
              <w:rPr>
                <w:rFonts w:ascii="Times New Roman" w:hAnsi="Times New Roman" w:cs="Times New Roman"/>
              </w:rPr>
              <w:t>Günlük ortalama</w:t>
            </w:r>
          </w:p>
        </w:tc>
        <w:tc>
          <w:tcPr>
            <w:tcW w:w="6090" w:type="dxa"/>
          </w:tcPr>
          <w:p w14:paraId="6E7830B8" w14:textId="77777777" w:rsidR="00AC7C42" w:rsidRPr="00BA34D0" w:rsidRDefault="007A6D16" w:rsidP="0024730D">
            <w:pPr>
              <w:jc w:val="both"/>
              <w:rPr>
                <w:rFonts w:ascii="Times New Roman" w:hAnsi="Times New Roman" w:cs="Times New Roman"/>
              </w:rPr>
            </w:pPr>
            <w:r>
              <w:rPr>
                <w:rFonts w:ascii="Times New Roman" w:hAnsi="Times New Roman" w:cs="Times New Roman"/>
              </w:rPr>
              <w:t>Akış orantılı kompozit numune(</w:t>
            </w:r>
            <w:r w:rsidRPr="008D2BB3">
              <w:rPr>
                <w:rFonts w:ascii="Times New Roman" w:hAnsi="Times New Roman" w:cs="Times New Roman"/>
                <w:vertAlign w:val="superscript"/>
              </w:rPr>
              <w:t>1</w:t>
            </w:r>
            <w:r>
              <w:rPr>
                <w:rFonts w:ascii="Times New Roman" w:hAnsi="Times New Roman" w:cs="Times New Roman"/>
              </w:rPr>
              <w:t>) olarak</w:t>
            </w:r>
            <w:r w:rsidR="008D2BB3">
              <w:rPr>
                <w:rFonts w:ascii="Times New Roman" w:hAnsi="Times New Roman" w:cs="Times New Roman"/>
              </w:rPr>
              <w:t xml:space="preserve"> veya yeterli akış stabilitesinin gösterilmesi koşuluyla, zaman orantılı bir numuneden(</w:t>
            </w:r>
            <w:r w:rsidR="008D2BB3" w:rsidRPr="008D2BB3">
              <w:rPr>
                <w:rFonts w:ascii="Times New Roman" w:hAnsi="Times New Roman" w:cs="Times New Roman"/>
                <w:vertAlign w:val="superscript"/>
              </w:rPr>
              <w:t>1</w:t>
            </w:r>
            <w:r w:rsidR="008D2BB3">
              <w:rPr>
                <w:rFonts w:ascii="Times New Roman" w:hAnsi="Times New Roman" w:cs="Times New Roman"/>
              </w:rPr>
              <w:t>)</w:t>
            </w:r>
            <w:r>
              <w:rPr>
                <w:rFonts w:ascii="Times New Roman" w:hAnsi="Times New Roman" w:cs="Times New Roman"/>
              </w:rPr>
              <w:t xml:space="preserve"> alınan 24 saatlik bir </w:t>
            </w:r>
            <w:r w:rsidR="008D2BB3">
              <w:rPr>
                <w:rFonts w:ascii="Times New Roman" w:hAnsi="Times New Roman" w:cs="Times New Roman"/>
              </w:rPr>
              <w:t>örnekleme</w:t>
            </w:r>
            <w:r>
              <w:rPr>
                <w:rFonts w:ascii="Times New Roman" w:hAnsi="Times New Roman" w:cs="Times New Roman"/>
              </w:rPr>
              <w:t xml:space="preserve"> süresi </w:t>
            </w:r>
            <w:r w:rsidR="008D2BB3">
              <w:rPr>
                <w:rFonts w:ascii="Times New Roman" w:hAnsi="Times New Roman" w:cs="Times New Roman"/>
              </w:rPr>
              <w:t>üzerinden ortalama</w:t>
            </w:r>
            <w:r w:rsidR="001E1C12">
              <w:rPr>
                <w:rFonts w:ascii="Times New Roman" w:hAnsi="Times New Roman" w:cs="Times New Roman"/>
              </w:rPr>
              <w:t>.</w:t>
            </w:r>
          </w:p>
        </w:tc>
      </w:tr>
      <w:tr w:rsidR="00AC7C42" w:rsidRPr="00BA34D0" w14:paraId="7A5A9D06" w14:textId="77777777" w:rsidTr="0082590D">
        <w:tc>
          <w:tcPr>
            <w:tcW w:w="2972" w:type="dxa"/>
          </w:tcPr>
          <w:p w14:paraId="44C5280B" w14:textId="77777777" w:rsidR="00AC7C42" w:rsidRPr="00BA34D0" w:rsidRDefault="00AC7C42" w:rsidP="0024730D">
            <w:pPr>
              <w:jc w:val="both"/>
              <w:rPr>
                <w:rFonts w:ascii="Times New Roman" w:hAnsi="Times New Roman" w:cs="Times New Roman"/>
              </w:rPr>
            </w:pPr>
            <w:r>
              <w:rPr>
                <w:rFonts w:ascii="Times New Roman" w:hAnsi="Times New Roman" w:cs="Times New Roman"/>
              </w:rPr>
              <w:t>Yıllık ortalama</w:t>
            </w:r>
          </w:p>
        </w:tc>
        <w:tc>
          <w:tcPr>
            <w:tcW w:w="6090" w:type="dxa"/>
          </w:tcPr>
          <w:p w14:paraId="5A9DFF5E" w14:textId="77777777" w:rsidR="00AC7C42" w:rsidRPr="00BA34D0" w:rsidRDefault="008D2BB3" w:rsidP="0024730D">
            <w:pPr>
              <w:jc w:val="both"/>
              <w:rPr>
                <w:rFonts w:ascii="Times New Roman" w:hAnsi="Times New Roman" w:cs="Times New Roman"/>
              </w:rPr>
            </w:pPr>
            <w:r>
              <w:rPr>
                <w:rFonts w:ascii="Times New Roman" w:hAnsi="Times New Roman" w:cs="Times New Roman"/>
              </w:rPr>
              <w:t>Bir yıl içinde alınan tüm günlük ortalamaların ortalaması, günlük üretime göre ağırlıklandırılır ve üretilen veya işlenen ürün/materyal kütle birimi başına salınan madde kütlesi olarak ifade edilir.</w:t>
            </w:r>
          </w:p>
        </w:tc>
      </w:tr>
      <w:tr w:rsidR="008D2BB3" w:rsidRPr="008D2BB3" w14:paraId="1A152BDF" w14:textId="77777777" w:rsidTr="0082590D">
        <w:tc>
          <w:tcPr>
            <w:tcW w:w="9062" w:type="dxa"/>
            <w:gridSpan w:val="2"/>
          </w:tcPr>
          <w:p w14:paraId="0146F442" w14:textId="77777777" w:rsidR="008D2BB3" w:rsidRPr="008D2BB3" w:rsidRDefault="008D2BB3"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8D2BB3">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00B652B1">
              <w:rPr>
                <w:rFonts w:ascii="Times New Roman" w:hAnsi="Times New Roman" w:cs="Times New Roman"/>
                <w:i/>
                <w:iCs/>
                <w:sz w:val="20"/>
                <w:szCs w:val="20"/>
              </w:rPr>
              <w:t>Özel durumlarda, farklı bir örnekleme prosedürü (örn. nokta örnekleme) gerekebilir.</w:t>
            </w:r>
          </w:p>
        </w:tc>
      </w:tr>
    </w:tbl>
    <w:p w14:paraId="03BAE133" w14:textId="77777777" w:rsidR="00E8084E" w:rsidRPr="007B6467" w:rsidRDefault="00E8084E" w:rsidP="00E8084E">
      <w:pPr>
        <w:pStyle w:val="Balk3"/>
        <w:spacing w:before="0" w:after="120" w:line="276" w:lineRule="auto"/>
        <w:jc w:val="both"/>
        <w:rPr>
          <w:rFonts w:cs="Times New Roman"/>
          <w:b w:val="0"/>
          <w:bCs/>
          <w:szCs w:val="24"/>
        </w:rPr>
      </w:pPr>
      <w:r>
        <w:rPr>
          <w:rFonts w:cs="Times New Roman"/>
          <w:bCs/>
          <w:szCs w:val="24"/>
        </w:rPr>
        <w:t xml:space="preserve">(1.3) </w:t>
      </w:r>
      <w:r w:rsidR="00691B57">
        <w:rPr>
          <w:rFonts w:cs="Times New Roman"/>
          <w:bCs/>
          <w:szCs w:val="24"/>
        </w:rPr>
        <w:t>Havaya Emisyonlar İçin Referans Koşullar</w:t>
      </w:r>
    </w:p>
    <w:p w14:paraId="335E16E1" w14:textId="77777777" w:rsidR="00B652B1" w:rsidRDefault="00691B57"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Havaya emisyonlar için MET-İES’ler, standart koşulları ifade eder: 273,15 K sıcaklıkta ve 101,3 kPa basınçta kuru gaz. MET-İES’lerin konsantrasyon değeri olarak verildiği durumlarda, referans O</w:t>
      </w:r>
      <w:r>
        <w:rPr>
          <w:rFonts w:ascii="Times New Roman" w:hAnsi="Times New Roman" w:cs="Times New Roman"/>
          <w:sz w:val="24"/>
          <w:szCs w:val="24"/>
          <w:vertAlign w:val="subscript"/>
        </w:rPr>
        <w:t>2</w:t>
      </w:r>
      <w:r>
        <w:rPr>
          <w:rFonts w:ascii="Times New Roman" w:hAnsi="Times New Roman" w:cs="Times New Roman"/>
          <w:sz w:val="24"/>
          <w:szCs w:val="24"/>
        </w:rPr>
        <w:t xml:space="preserve"> seviyesi (hacimce %) belirtilir.</w:t>
      </w:r>
    </w:p>
    <w:p w14:paraId="3BA075CD" w14:textId="77777777" w:rsidR="00691B57" w:rsidRPr="007B6467" w:rsidRDefault="00691B57" w:rsidP="00691B57">
      <w:pPr>
        <w:pStyle w:val="Balk3"/>
        <w:spacing w:before="0" w:after="120" w:line="276" w:lineRule="auto"/>
        <w:jc w:val="both"/>
        <w:rPr>
          <w:rFonts w:cs="Times New Roman"/>
          <w:b w:val="0"/>
          <w:bCs/>
          <w:szCs w:val="24"/>
        </w:rPr>
      </w:pPr>
      <w:r>
        <w:rPr>
          <w:rFonts w:cs="Times New Roman"/>
          <w:bCs/>
          <w:szCs w:val="24"/>
        </w:rPr>
        <w:t xml:space="preserve">(1.4) </w:t>
      </w:r>
      <w:r w:rsidR="00700698">
        <w:rPr>
          <w:rFonts w:cs="Times New Roman"/>
          <w:bCs/>
          <w:szCs w:val="24"/>
        </w:rPr>
        <w:t>Referans Oksijen Konsantrasyonuna Dönüşüm</w:t>
      </w:r>
    </w:p>
    <w:p w14:paraId="15D41EEE" w14:textId="77777777" w:rsidR="00691B57" w:rsidRDefault="00E90398"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Herhangi bir referans oksijen seviyesinde emisyon konsantrasyonu hesaplaması için kullanılan formül, aşağıda verilmiştir:</w:t>
      </w:r>
    </w:p>
    <w:p w14:paraId="05B341B1" w14:textId="77777777" w:rsidR="00E90398" w:rsidRPr="00E90398" w:rsidRDefault="00E90398" w:rsidP="00E90398">
      <w:pPr>
        <w:spacing w:after="120" w:line="276" w:lineRule="auto"/>
        <w:jc w:val="center"/>
        <w:rPr>
          <w:rFonts w:ascii="Times New Roman" w:hAnsi="Times New Roman" w:cs="Times New Roman"/>
          <w:sz w:val="24"/>
          <w:szCs w:val="24"/>
        </w:rPr>
      </w:pPr>
      <w:r w:rsidRPr="00E90398">
        <w:rPr>
          <w:rFonts w:ascii="Times New Roman" w:eastAsiaTheme="minorEastAsia" w:hAnsi="Times New Roman" w:cs="Times New Roman"/>
          <w:sz w:val="24"/>
          <w:szCs w:val="24"/>
        </w:rPr>
        <w:t>E</w:t>
      </w:r>
      <w:r w:rsidRPr="00E90398">
        <w:rPr>
          <w:rFonts w:ascii="Times New Roman" w:eastAsiaTheme="minorEastAsia" w:hAnsi="Times New Roman" w:cs="Times New Roman"/>
          <w:sz w:val="24"/>
          <w:szCs w:val="24"/>
          <w:vertAlign w:val="subscript"/>
        </w:rPr>
        <w:t>R</w:t>
      </w:r>
      <w:r w:rsidRPr="00E90398">
        <w:rPr>
          <w:rFonts w:ascii="Times New Roman" w:eastAsiaTheme="minorEastAsia" w:hAnsi="Times New Roman" w:cs="Times New Roman"/>
          <w:sz w:val="24"/>
          <w:szCs w:val="24"/>
        </w:rPr>
        <w:t xml:space="preserve"> = </w:t>
      </w:r>
      <m:oMath>
        <m:f>
          <m:fPr>
            <m:ctrlPr>
              <w:rPr>
                <w:rFonts w:ascii="Cambria Math" w:hAnsi="Cambria Math" w:cs="Times New Roman"/>
                <w:i/>
                <w:sz w:val="28"/>
                <w:szCs w:val="28"/>
              </w:rPr>
            </m:ctrlPr>
          </m:fPr>
          <m:num>
            <m:r>
              <m:rPr>
                <m:sty m:val="p"/>
              </m:rPr>
              <w:rPr>
                <w:rFonts w:ascii="Cambria Math" w:hAnsi="Cambria Math" w:cs="Times New Roman"/>
                <w:sz w:val="28"/>
                <w:szCs w:val="28"/>
              </w:rPr>
              <m:t xml:space="preserve">21 - </m:t>
            </m:r>
            <m:sSub>
              <m:sSubPr>
                <m:ctrlPr>
                  <w:rPr>
                    <w:rFonts w:ascii="Cambria Math" w:hAnsi="Cambria Math" w:cs="Times New Roman"/>
                    <w:iCs/>
                    <w:sz w:val="28"/>
                    <w:szCs w:val="28"/>
                  </w:rPr>
                </m:ctrlPr>
              </m:sSubPr>
              <m:e>
                <m:r>
                  <m:rPr>
                    <m:sty m:val="p"/>
                  </m:rPr>
                  <w:rPr>
                    <w:rFonts w:ascii="Cambria Math" w:hAnsi="Cambria Math" w:cs="Times New Roman"/>
                    <w:sz w:val="28"/>
                    <w:szCs w:val="28"/>
                  </w:rPr>
                  <m:t>O</m:t>
                </m:r>
              </m:e>
              <m:sub>
                <m:r>
                  <m:rPr>
                    <m:sty m:val="p"/>
                  </m:rPr>
                  <w:rPr>
                    <w:rFonts w:ascii="Cambria Math" w:hAnsi="Cambria Math" w:cs="Times New Roman"/>
                    <w:sz w:val="28"/>
                    <w:szCs w:val="28"/>
                  </w:rPr>
                  <m:t>R</m:t>
                </m:r>
              </m:sub>
            </m:sSub>
          </m:num>
          <m:den>
            <m:r>
              <m:rPr>
                <m:sty m:val="p"/>
              </m:rPr>
              <w:rPr>
                <w:rFonts w:ascii="Cambria Math" w:hAnsi="Cambria Math" w:cs="Times New Roman"/>
                <w:sz w:val="28"/>
                <w:szCs w:val="28"/>
              </w:rPr>
              <m:t xml:space="preserve">21 - </m:t>
            </m:r>
            <m:sSub>
              <m:sSubPr>
                <m:ctrlPr>
                  <w:rPr>
                    <w:rFonts w:ascii="Cambria Math" w:hAnsi="Cambria Math" w:cs="Times New Roman"/>
                    <w:iCs/>
                    <w:sz w:val="28"/>
                    <w:szCs w:val="28"/>
                  </w:rPr>
                </m:ctrlPr>
              </m:sSubPr>
              <m:e>
                <m:r>
                  <m:rPr>
                    <m:sty m:val="p"/>
                  </m:rPr>
                  <w:rPr>
                    <w:rFonts w:ascii="Cambria Math" w:hAnsi="Cambria Math" w:cs="Times New Roman"/>
                    <w:sz w:val="28"/>
                    <w:szCs w:val="28"/>
                  </w:rPr>
                  <m:t>O</m:t>
                </m:r>
              </m:e>
              <m:sub>
                <m:r>
                  <m:rPr>
                    <m:sty m:val="p"/>
                  </m:rPr>
                  <w:rPr>
                    <w:rFonts w:ascii="Cambria Math" w:hAnsi="Cambria Math" w:cs="Times New Roman"/>
                    <w:sz w:val="28"/>
                    <w:szCs w:val="28"/>
                  </w:rPr>
                  <m:t>M</m:t>
                </m:r>
              </m:sub>
            </m:sSub>
          </m:den>
        </m:f>
      </m:oMath>
      <w:r w:rsidRPr="00E90398">
        <w:rPr>
          <w:rFonts w:ascii="Times New Roman" w:eastAsiaTheme="minorEastAsia" w:hAnsi="Times New Roman" w:cs="Times New Roman"/>
          <w:sz w:val="24"/>
          <w:szCs w:val="24"/>
        </w:rPr>
        <w:t xml:space="preserve"> x E</w:t>
      </w:r>
      <w:r w:rsidRPr="00E90398">
        <w:rPr>
          <w:rFonts w:ascii="Times New Roman" w:eastAsiaTheme="minorEastAsia" w:hAnsi="Times New Roman" w:cs="Times New Roman"/>
          <w:sz w:val="24"/>
          <w:szCs w:val="24"/>
          <w:vertAlign w:val="subscript"/>
        </w:rPr>
        <w:t>M</w:t>
      </w:r>
      <w:r w:rsidRPr="00E90398">
        <w:rPr>
          <w:rFonts w:ascii="Times New Roman" w:eastAsiaTheme="minorEastAsia" w:hAnsi="Times New Roman" w:cs="Times New Roman"/>
          <w:sz w:val="24"/>
          <w:szCs w:val="24"/>
        </w:rPr>
        <w:t xml:space="preserve"> </w:t>
      </w:r>
    </w:p>
    <w:p w14:paraId="48EBE3BD" w14:textId="77777777" w:rsidR="00291875" w:rsidRPr="00311D82" w:rsidRDefault="00311D8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R</w:t>
      </w:r>
      <w:r>
        <w:rPr>
          <w:rFonts w:ascii="Times New Roman" w:hAnsi="Times New Roman" w:cs="Times New Roman"/>
          <w:sz w:val="24"/>
          <w:szCs w:val="24"/>
        </w:rPr>
        <w:t xml:space="preserve"> (mg/Nm</w:t>
      </w:r>
      <w:r>
        <w:rPr>
          <w:rFonts w:ascii="Times New Roman" w:hAnsi="Times New Roman" w:cs="Times New Roman"/>
          <w:sz w:val="24"/>
          <w:szCs w:val="24"/>
          <w:vertAlign w:val="superscript"/>
        </w:rPr>
        <w:t>3</w:t>
      </w:r>
      <w:r>
        <w:rPr>
          <w:rFonts w:ascii="Times New Roman" w:hAnsi="Times New Roman" w:cs="Times New Roman"/>
          <w:sz w:val="24"/>
          <w:szCs w:val="24"/>
        </w:rPr>
        <w:t>): referans oksijen seviyesindeki (O</w:t>
      </w:r>
      <w:r>
        <w:rPr>
          <w:rFonts w:ascii="Times New Roman" w:hAnsi="Times New Roman" w:cs="Times New Roman"/>
          <w:sz w:val="24"/>
          <w:szCs w:val="24"/>
          <w:vertAlign w:val="subscript"/>
        </w:rPr>
        <w:t>R</w:t>
      </w:r>
      <w:r>
        <w:rPr>
          <w:rFonts w:ascii="Times New Roman" w:hAnsi="Times New Roman" w:cs="Times New Roman"/>
          <w:sz w:val="24"/>
          <w:szCs w:val="24"/>
        </w:rPr>
        <w:t>) emisyon konsantrasyonu</w:t>
      </w:r>
    </w:p>
    <w:p w14:paraId="1C8CAB98" w14:textId="77777777" w:rsidR="007B6467" w:rsidRDefault="00311D8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vertAlign w:val="subscript"/>
        </w:rPr>
        <w:t>R</w:t>
      </w:r>
      <w:r>
        <w:rPr>
          <w:rFonts w:ascii="Times New Roman" w:hAnsi="Times New Roman" w:cs="Times New Roman"/>
          <w:sz w:val="24"/>
          <w:szCs w:val="24"/>
        </w:rPr>
        <w:t xml:space="preserve"> (hacimce %): referans oksijen seviyesi</w:t>
      </w:r>
    </w:p>
    <w:p w14:paraId="5B9FA934" w14:textId="77777777" w:rsidR="00311D82" w:rsidRDefault="00311D8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M</w:t>
      </w:r>
      <w:r>
        <w:rPr>
          <w:rFonts w:ascii="Times New Roman" w:hAnsi="Times New Roman" w:cs="Times New Roman"/>
          <w:sz w:val="24"/>
          <w:szCs w:val="24"/>
        </w:rPr>
        <w:t xml:space="preserve"> (mg/</w:t>
      </w:r>
      <w:r w:rsidRPr="00311D82">
        <w:rPr>
          <w:rFonts w:ascii="Times New Roman" w:hAnsi="Times New Roman" w:cs="Times New Roman"/>
          <w:sz w:val="24"/>
          <w:szCs w:val="24"/>
        </w:rPr>
        <w:t xml:space="preserve"> </w:t>
      </w:r>
      <w:r>
        <w:rPr>
          <w:rFonts w:ascii="Times New Roman" w:hAnsi="Times New Roman" w:cs="Times New Roman"/>
          <w:sz w:val="24"/>
          <w:szCs w:val="24"/>
        </w:rPr>
        <w:t>Nm</w:t>
      </w:r>
      <w:r>
        <w:rPr>
          <w:rFonts w:ascii="Times New Roman" w:hAnsi="Times New Roman" w:cs="Times New Roman"/>
          <w:sz w:val="24"/>
          <w:szCs w:val="24"/>
          <w:vertAlign w:val="superscript"/>
        </w:rPr>
        <w:t>3</w:t>
      </w:r>
      <w:r>
        <w:rPr>
          <w:rFonts w:ascii="Times New Roman" w:hAnsi="Times New Roman" w:cs="Times New Roman"/>
          <w:sz w:val="24"/>
          <w:szCs w:val="24"/>
        </w:rPr>
        <w:t>): ölçülen oksijen seviyesindeki (O</w:t>
      </w:r>
      <w:r>
        <w:rPr>
          <w:rFonts w:ascii="Times New Roman" w:hAnsi="Times New Roman" w:cs="Times New Roman"/>
          <w:sz w:val="24"/>
          <w:szCs w:val="24"/>
          <w:vertAlign w:val="subscript"/>
        </w:rPr>
        <w:t>M</w:t>
      </w:r>
      <w:r>
        <w:rPr>
          <w:rFonts w:ascii="Times New Roman" w:hAnsi="Times New Roman" w:cs="Times New Roman"/>
          <w:sz w:val="24"/>
          <w:szCs w:val="24"/>
        </w:rPr>
        <w:t>) ölçülen emisyon konsantrasyonu</w:t>
      </w:r>
    </w:p>
    <w:p w14:paraId="172B1891" w14:textId="77777777" w:rsidR="00311D82" w:rsidRDefault="00311D8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vertAlign w:val="subscript"/>
        </w:rPr>
        <w:t>M</w:t>
      </w:r>
      <w:r>
        <w:rPr>
          <w:rFonts w:ascii="Times New Roman" w:hAnsi="Times New Roman" w:cs="Times New Roman"/>
          <w:sz w:val="24"/>
          <w:szCs w:val="24"/>
        </w:rPr>
        <w:t xml:space="preserve"> (hacimce %): ölçülen oksijen seviyesi</w:t>
      </w:r>
    </w:p>
    <w:p w14:paraId="6B5A42FF" w14:textId="77777777" w:rsidR="00311D82" w:rsidRPr="007B6467" w:rsidRDefault="00311D82" w:rsidP="00311D82">
      <w:pPr>
        <w:pStyle w:val="Balk3"/>
        <w:spacing w:before="0" w:after="120" w:line="276" w:lineRule="auto"/>
        <w:jc w:val="both"/>
        <w:rPr>
          <w:rFonts w:cs="Times New Roman"/>
          <w:b w:val="0"/>
          <w:bCs/>
          <w:szCs w:val="24"/>
        </w:rPr>
      </w:pPr>
      <w:r>
        <w:rPr>
          <w:rFonts w:cs="Times New Roman"/>
          <w:bCs/>
          <w:szCs w:val="24"/>
        </w:rPr>
        <w:lastRenderedPageBreak/>
        <w:t>(1.5) Havaya Emisyonlar İçin Ortalama Alma Süreleri</w:t>
      </w:r>
    </w:p>
    <w:p w14:paraId="00C9260E" w14:textId="77777777" w:rsidR="00311D82" w:rsidRDefault="00311D82" w:rsidP="00311D8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Aksi belirtilmedikçe, havaya emisyonlara yönelik MET-İES’lere ilişkin ortalama alma süreleri aşağıdaki gibi tanımlanır:</w:t>
      </w:r>
    </w:p>
    <w:tbl>
      <w:tblPr>
        <w:tblStyle w:val="TabloKlavuzu"/>
        <w:tblW w:w="0" w:type="auto"/>
        <w:jc w:val="center"/>
        <w:tblLook w:val="04A0" w:firstRow="1" w:lastRow="0" w:firstColumn="1" w:lastColumn="0" w:noHBand="0" w:noVBand="1"/>
      </w:tblPr>
      <w:tblGrid>
        <w:gridCol w:w="3539"/>
        <w:gridCol w:w="5523"/>
      </w:tblGrid>
      <w:tr w:rsidR="00311D82" w:rsidRPr="00BA34D0" w14:paraId="70D17FF4" w14:textId="77777777" w:rsidTr="001E1C12">
        <w:trPr>
          <w:jc w:val="center"/>
        </w:trPr>
        <w:tc>
          <w:tcPr>
            <w:tcW w:w="3539" w:type="dxa"/>
            <w:vAlign w:val="center"/>
          </w:tcPr>
          <w:p w14:paraId="3FC58C7A" w14:textId="77777777" w:rsidR="00311D82" w:rsidRPr="00BA34D0" w:rsidRDefault="00311D82" w:rsidP="0024730D">
            <w:pPr>
              <w:jc w:val="both"/>
              <w:rPr>
                <w:rFonts w:ascii="Times New Roman" w:hAnsi="Times New Roman" w:cs="Times New Roman"/>
              </w:rPr>
            </w:pPr>
            <w:r>
              <w:rPr>
                <w:rFonts w:ascii="Times New Roman" w:hAnsi="Times New Roman" w:cs="Times New Roman"/>
              </w:rPr>
              <w:t>Günlük ortalama</w:t>
            </w:r>
          </w:p>
        </w:tc>
        <w:tc>
          <w:tcPr>
            <w:tcW w:w="5523" w:type="dxa"/>
            <w:vAlign w:val="center"/>
          </w:tcPr>
          <w:p w14:paraId="18AAF04D" w14:textId="77777777" w:rsidR="00311D82" w:rsidRPr="00BA34D0" w:rsidRDefault="001E1C12" w:rsidP="0024730D">
            <w:pPr>
              <w:jc w:val="both"/>
              <w:rPr>
                <w:rFonts w:ascii="Times New Roman" w:hAnsi="Times New Roman" w:cs="Times New Roman"/>
              </w:rPr>
            </w:pPr>
            <w:r>
              <w:rPr>
                <w:rFonts w:ascii="Times New Roman" w:hAnsi="Times New Roman" w:cs="Times New Roman"/>
              </w:rPr>
              <w:t>Sürekli ölçümden elde edilen geçerli saatlik ortalamalara dayalı olarak 24 saatlik bir süre üzerinden ortalama.</w:t>
            </w:r>
          </w:p>
        </w:tc>
      </w:tr>
      <w:tr w:rsidR="00925D8E" w:rsidRPr="00BA34D0" w14:paraId="703378CC" w14:textId="77777777" w:rsidTr="001E1C12">
        <w:trPr>
          <w:jc w:val="center"/>
        </w:trPr>
        <w:tc>
          <w:tcPr>
            <w:tcW w:w="3539" w:type="dxa"/>
            <w:vAlign w:val="center"/>
          </w:tcPr>
          <w:p w14:paraId="3026A682" w14:textId="77777777" w:rsidR="00925D8E" w:rsidRDefault="00925D8E" w:rsidP="0024730D">
            <w:pPr>
              <w:jc w:val="both"/>
              <w:rPr>
                <w:rFonts w:ascii="Times New Roman" w:hAnsi="Times New Roman" w:cs="Times New Roman"/>
              </w:rPr>
            </w:pPr>
            <w:r>
              <w:rPr>
                <w:rFonts w:ascii="Times New Roman" w:hAnsi="Times New Roman" w:cs="Times New Roman"/>
              </w:rPr>
              <w:t xml:space="preserve">Örnekleme süresi </w:t>
            </w:r>
            <w:r w:rsidR="001E1C12">
              <w:rPr>
                <w:rFonts w:ascii="Times New Roman" w:hAnsi="Times New Roman" w:cs="Times New Roman"/>
              </w:rPr>
              <w:t>üzerinden</w:t>
            </w:r>
            <w:r>
              <w:rPr>
                <w:rFonts w:ascii="Times New Roman" w:hAnsi="Times New Roman" w:cs="Times New Roman"/>
              </w:rPr>
              <w:t xml:space="preserve"> ortalama</w:t>
            </w:r>
          </w:p>
        </w:tc>
        <w:tc>
          <w:tcPr>
            <w:tcW w:w="5523" w:type="dxa"/>
            <w:vAlign w:val="center"/>
          </w:tcPr>
          <w:p w14:paraId="55CE8E3C" w14:textId="77777777" w:rsidR="00925D8E" w:rsidRPr="00BA34D0" w:rsidRDefault="001E1C12" w:rsidP="0024730D">
            <w:pPr>
              <w:jc w:val="both"/>
              <w:rPr>
                <w:rFonts w:ascii="Times New Roman" w:hAnsi="Times New Roman" w:cs="Times New Roman"/>
              </w:rPr>
            </w:pPr>
            <w:r>
              <w:rPr>
                <w:rFonts w:ascii="Times New Roman" w:hAnsi="Times New Roman" w:cs="Times New Roman"/>
              </w:rPr>
              <w:t>Her biri en az 30 dakikalık üç ardışık ölçümün ortalama değeri.</w:t>
            </w:r>
          </w:p>
        </w:tc>
      </w:tr>
      <w:tr w:rsidR="00311D82" w:rsidRPr="00BA34D0" w14:paraId="219C45DF" w14:textId="77777777" w:rsidTr="001E1C12">
        <w:trPr>
          <w:jc w:val="center"/>
        </w:trPr>
        <w:tc>
          <w:tcPr>
            <w:tcW w:w="3539" w:type="dxa"/>
            <w:tcBorders>
              <w:bottom w:val="single" w:sz="4" w:space="0" w:color="auto"/>
            </w:tcBorders>
            <w:vAlign w:val="center"/>
          </w:tcPr>
          <w:p w14:paraId="01AE249F" w14:textId="77777777" w:rsidR="00311D82" w:rsidRPr="00BA34D0" w:rsidRDefault="00311D82" w:rsidP="0024730D">
            <w:pPr>
              <w:jc w:val="both"/>
              <w:rPr>
                <w:rFonts w:ascii="Times New Roman" w:hAnsi="Times New Roman" w:cs="Times New Roman"/>
              </w:rPr>
            </w:pPr>
            <w:r>
              <w:rPr>
                <w:rFonts w:ascii="Times New Roman" w:hAnsi="Times New Roman" w:cs="Times New Roman"/>
              </w:rPr>
              <w:t>Yıllık ortalama</w:t>
            </w:r>
          </w:p>
        </w:tc>
        <w:tc>
          <w:tcPr>
            <w:tcW w:w="5523" w:type="dxa"/>
            <w:tcBorders>
              <w:bottom w:val="single" w:sz="4" w:space="0" w:color="auto"/>
            </w:tcBorders>
            <w:vAlign w:val="center"/>
          </w:tcPr>
          <w:p w14:paraId="10BF9AA4" w14:textId="77777777" w:rsidR="00311D82" w:rsidRPr="00BA34D0" w:rsidRDefault="001E1C12" w:rsidP="0024730D">
            <w:pPr>
              <w:jc w:val="both"/>
              <w:rPr>
                <w:rFonts w:ascii="Times New Roman" w:hAnsi="Times New Roman" w:cs="Times New Roman"/>
              </w:rPr>
            </w:pPr>
            <w:r>
              <w:rPr>
                <w:rFonts w:ascii="Times New Roman" w:hAnsi="Times New Roman" w:cs="Times New Roman"/>
              </w:rPr>
              <w:t>Sürekli ölçüm durumunda: geçerli tüm saatlik ortalamaların ortalaması. Periyodik ölçüm durumunda: bir yıl boyunca elde edilen tüm “örnekleme süresi üzerinden ortalamalar”ın ortalaması.</w:t>
            </w:r>
          </w:p>
        </w:tc>
      </w:tr>
    </w:tbl>
    <w:p w14:paraId="033140A6" w14:textId="77777777" w:rsidR="00311D82" w:rsidRDefault="00311D82" w:rsidP="003610DF">
      <w:pPr>
        <w:spacing w:after="120" w:line="276" w:lineRule="auto"/>
        <w:jc w:val="both"/>
        <w:rPr>
          <w:rFonts w:ascii="Times New Roman" w:hAnsi="Times New Roman" w:cs="Times New Roman"/>
          <w:sz w:val="24"/>
          <w:szCs w:val="24"/>
        </w:rPr>
      </w:pPr>
    </w:p>
    <w:p w14:paraId="1389E278" w14:textId="77777777" w:rsidR="00B45DC8" w:rsidRPr="007A3693" w:rsidRDefault="00B45DC8" w:rsidP="00B45DC8">
      <w:pPr>
        <w:pStyle w:val="Balk2"/>
        <w:spacing w:before="0" w:after="120" w:line="276" w:lineRule="auto"/>
        <w:jc w:val="both"/>
        <w:rPr>
          <w:rFonts w:cs="Times New Roman"/>
          <w:b/>
          <w:bCs/>
          <w:szCs w:val="24"/>
        </w:rPr>
      </w:pPr>
      <w:r>
        <w:rPr>
          <w:rFonts w:cs="Times New Roman"/>
          <w:b/>
          <w:bCs/>
          <w:szCs w:val="24"/>
        </w:rPr>
        <w:t>(2) Ahşap Panel Sektörü</w:t>
      </w:r>
    </w:p>
    <w:p w14:paraId="2BC1D7FC" w14:textId="77777777" w:rsidR="00AD62C0" w:rsidRDefault="00AD62C0" w:rsidP="00AD62C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Ek-3’te sunulan MET sonuçlarında listelenen ve açıklanan teknikler, yerleşik ya da geniş kapsamlı ve ayrıntılı değildir. En azından eş değer nitelikte çevresel koruma sağlamak için diğer teknikler de kullanılabilir.</w:t>
      </w:r>
    </w:p>
    <w:p w14:paraId="4687A67A" w14:textId="1CB7042D" w:rsidR="00AD62C0" w:rsidRDefault="00AD62C0" w:rsidP="00AD62C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Aksi belirtilmedikçe, E</w:t>
      </w:r>
      <w:r w:rsidR="00D16060">
        <w:rPr>
          <w:rFonts w:ascii="Times New Roman" w:hAnsi="Times New Roman" w:cs="Times New Roman"/>
          <w:sz w:val="24"/>
          <w:szCs w:val="24"/>
        </w:rPr>
        <w:t>K</w:t>
      </w:r>
      <w:r>
        <w:rPr>
          <w:rFonts w:ascii="Times New Roman" w:hAnsi="Times New Roman" w:cs="Times New Roman"/>
          <w:sz w:val="24"/>
          <w:szCs w:val="24"/>
        </w:rPr>
        <w:t>-3’te sunulan MET sonuçları genellikle uygulanabilir.</w:t>
      </w:r>
    </w:p>
    <w:p w14:paraId="5D0A7E8B" w14:textId="77777777" w:rsidR="00A74D80" w:rsidRPr="007B6467" w:rsidRDefault="00A74D80" w:rsidP="00A74D80">
      <w:pPr>
        <w:pStyle w:val="Balk3"/>
        <w:spacing w:before="0" w:after="120" w:line="276" w:lineRule="auto"/>
        <w:jc w:val="both"/>
        <w:rPr>
          <w:rFonts w:cs="Times New Roman"/>
          <w:b w:val="0"/>
          <w:bCs/>
          <w:szCs w:val="24"/>
        </w:rPr>
      </w:pPr>
      <w:r>
        <w:rPr>
          <w:rFonts w:cs="Times New Roman"/>
          <w:bCs/>
          <w:szCs w:val="24"/>
        </w:rPr>
        <w:t>(2.1) Havaya Emisyonlar İçin MET ile İlişkili Emisyon Seviyeleri</w:t>
      </w:r>
    </w:p>
    <w:p w14:paraId="76A58DBC" w14:textId="7CBC3DE3" w:rsidR="00AE4B96" w:rsidRDefault="00AE4B96" w:rsidP="00AE4B9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EC1F6A">
        <w:rPr>
          <w:rFonts w:ascii="Times New Roman" w:hAnsi="Times New Roman" w:cs="Times New Roman"/>
          <w:sz w:val="24"/>
          <w:szCs w:val="24"/>
        </w:rPr>
        <w:t>E</w:t>
      </w:r>
      <w:r w:rsidR="00D16060">
        <w:rPr>
          <w:rFonts w:ascii="Times New Roman" w:hAnsi="Times New Roman" w:cs="Times New Roman"/>
          <w:sz w:val="24"/>
          <w:szCs w:val="24"/>
        </w:rPr>
        <w:t>K</w:t>
      </w:r>
      <w:r w:rsidR="00EC1F6A">
        <w:rPr>
          <w:rFonts w:ascii="Times New Roman" w:hAnsi="Times New Roman" w:cs="Times New Roman"/>
          <w:sz w:val="24"/>
          <w:szCs w:val="24"/>
        </w:rPr>
        <w:t xml:space="preserve">-3’te sunulan MET sonuçlarında belirtilen </w:t>
      </w:r>
      <w:r>
        <w:rPr>
          <w:rFonts w:ascii="Times New Roman" w:hAnsi="Times New Roman" w:cs="Times New Roman"/>
          <w:sz w:val="24"/>
          <w:szCs w:val="24"/>
        </w:rPr>
        <w:t>havaya emisyonlar için MET-İES’ler,</w:t>
      </w:r>
      <w:r w:rsidR="00EC1F6A">
        <w:rPr>
          <w:rFonts w:ascii="Times New Roman" w:hAnsi="Times New Roman" w:cs="Times New Roman"/>
          <w:sz w:val="24"/>
          <w:szCs w:val="24"/>
        </w:rPr>
        <w:t xml:space="preserve"> </w:t>
      </w:r>
      <w:r w:rsidR="00C42058">
        <w:rPr>
          <w:rFonts w:ascii="Times New Roman" w:hAnsi="Times New Roman" w:cs="Times New Roman"/>
          <w:sz w:val="24"/>
          <w:szCs w:val="24"/>
        </w:rPr>
        <w:t>standart koşullar (273,15 K &amp; 101,3 kPa) altındaki ve mg/Nm</w:t>
      </w:r>
      <w:r w:rsidR="00C42058">
        <w:rPr>
          <w:rFonts w:ascii="Times New Roman" w:hAnsi="Times New Roman" w:cs="Times New Roman"/>
          <w:sz w:val="24"/>
          <w:szCs w:val="24"/>
          <w:vertAlign w:val="superscript"/>
        </w:rPr>
        <w:t>3</w:t>
      </w:r>
      <w:r w:rsidR="00C42058">
        <w:rPr>
          <w:rFonts w:ascii="Times New Roman" w:hAnsi="Times New Roman" w:cs="Times New Roman"/>
          <w:sz w:val="24"/>
          <w:szCs w:val="24"/>
        </w:rPr>
        <w:t xml:space="preserve"> olarak ifade edilen kuru bazdaki atık gazın </w:t>
      </w:r>
      <w:r w:rsidR="00A943F4">
        <w:rPr>
          <w:rFonts w:ascii="Times New Roman" w:hAnsi="Times New Roman" w:cs="Times New Roman"/>
          <w:sz w:val="24"/>
          <w:szCs w:val="24"/>
        </w:rPr>
        <w:t xml:space="preserve">hacmi başına salınan maddenin kütlesi </w:t>
      </w:r>
      <w:r w:rsidR="0099200A">
        <w:rPr>
          <w:rFonts w:ascii="Times New Roman" w:hAnsi="Times New Roman" w:cs="Times New Roman"/>
          <w:sz w:val="24"/>
          <w:szCs w:val="24"/>
        </w:rPr>
        <w:t>olarak</w:t>
      </w:r>
      <w:r w:rsidR="00A943F4">
        <w:rPr>
          <w:rFonts w:ascii="Times New Roman" w:hAnsi="Times New Roman" w:cs="Times New Roman"/>
          <w:sz w:val="24"/>
          <w:szCs w:val="24"/>
        </w:rPr>
        <w:t xml:space="preserve"> belirtilen konsantrasyonları ifade eder.</w:t>
      </w:r>
    </w:p>
    <w:p w14:paraId="483B4D13" w14:textId="77777777" w:rsidR="004C2E69" w:rsidRDefault="004C2E69" w:rsidP="00AE4B9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Referans oksijen seviyeleri aşağıdaki gibidir:</w:t>
      </w:r>
    </w:p>
    <w:tbl>
      <w:tblPr>
        <w:tblStyle w:val="TabloKlavuzu"/>
        <w:tblW w:w="0" w:type="auto"/>
        <w:tblLook w:val="04A0" w:firstRow="1" w:lastRow="0" w:firstColumn="1" w:lastColumn="0" w:noHBand="0" w:noVBand="1"/>
      </w:tblPr>
      <w:tblGrid>
        <w:gridCol w:w="3539"/>
        <w:gridCol w:w="5523"/>
      </w:tblGrid>
      <w:tr w:rsidR="0099200A" w:rsidRPr="00BA34D0" w14:paraId="0A3A7EE4" w14:textId="77777777" w:rsidTr="0082590D">
        <w:tc>
          <w:tcPr>
            <w:tcW w:w="3539" w:type="dxa"/>
          </w:tcPr>
          <w:p w14:paraId="26089B69" w14:textId="77777777" w:rsidR="0099200A" w:rsidRPr="0099200A" w:rsidRDefault="0099200A" w:rsidP="0099200A">
            <w:pPr>
              <w:jc w:val="center"/>
              <w:rPr>
                <w:rFonts w:ascii="Times New Roman" w:hAnsi="Times New Roman" w:cs="Times New Roman"/>
                <w:b/>
                <w:bCs/>
              </w:rPr>
            </w:pPr>
            <w:r>
              <w:rPr>
                <w:rFonts w:ascii="Times New Roman" w:hAnsi="Times New Roman" w:cs="Times New Roman"/>
                <w:b/>
                <w:bCs/>
              </w:rPr>
              <w:t>Emisyon Kaynağı</w:t>
            </w:r>
          </w:p>
        </w:tc>
        <w:tc>
          <w:tcPr>
            <w:tcW w:w="5523" w:type="dxa"/>
          </w:tcPr>
          <w:p w14:paraId="333EC5E4" w14:textId="77777777" w:rsidR="0099200A" w:rsidRPr="0099200A" w:rsidRDefault="0099200A" w:rsidP="0099200A">
            <w:pPr>
              <w:jc w:val="center"/>
              <w:rPr>
                <w:rFonts w:ascii="Times New Roman" w:hAnsi="Times New Roman" w:cs="Times New Roman"/>
                <w:b/>
                <w:bCs/>
              </w:rPr>
            </w:pPr>
            <w:r>
              <w:rPr>
                <w:rFonts w:ascii="Times New Roman" w:hAnsi="Times New Roman" w:cs="Times New Roman"/>
                <w:b/>
                <w:bCs/>
              </w:rPr>
              <w:t>Referans Oksijen Seviyeleri</w:t>
            </w:r>
          </w:p>
        </w:tc>
      </w:tr>
      <w:tr w:rsidR="0099200A" w:rsidRPr="00BA34D0" w14:paraId="4391824D" w14:textId="77777777" w:rsidTr="0082590D">
        <w:tc>
          <w:tcPr>
            <w:tcW w:w="3539" w:type="dxa"/>
          </w:tcPr>
          <w:p w14:paraId="0122BA1D" w14:textId="77777777" w:rsidR="0099200A" w:rsidRDefault="004C342C" w:rsidP="0024730D">
            <w:pPr>
              <w:jc w:val="both"/>
              <w:rPr>
                <w:rFonts w:ascii="Times New Roman" w:hAnsi="Times New Roman" w:cs="Times New Roman"/>
              </w:rPr>
            </w:pPr>
            <w:r>
              <w:rPr>
                <w:rFonts w:ascii="Times New Roman" w:hAnsi="Times New Roman" w:cs="Times New Roman"/>
              </w:rPr>
              <w:t>Doğrudan ısıtılan PB veya doğrudan ısıtılan</w:t>
            </w:r>
            <w:r w:rsidR="008F5EEA">
              <w:rPr>
                <w:rFonts w:ascii="Times New Roman" w:hAnsi="Times New Roman" w:cs="Times New Roman"/>
              </w:rPr>
              <w:t xml:space="preserve"> tek veya pres ile birleştirilmiş OSB kurutucuları</w:t>
            </w:r>
          </w:p>
        </w:tc>
        <w:tc>
          <w:tcPr>
            <w:tcW w:w="5523" w:type="dxa"/>
          </w:tcPr>
          <w:p w14:paraId="2C4A9060" w14:textId="77777777" w:rsidR="0099200A" w:rsidRPr="00BA34D0" w:rsidRDefault="008F5EEA" w:rsidP="0024730D">
            <w:pPr>
              <w:jc w:val="both"/>
              <w:rPr>
                <w:rFonts w:ascii="Times New Roman" w:hAnsi="Times New Roman" w:cs="Times New Roman"/>
              </w:rPr>
            </w:pPr>
            <w:r>
              <w:rPr>
                <w:rFonts w:ascii="Times New Roman" w:hAnsi="Times New Roman" w:cs="Times New Roman"/>
              </w:rPr>
              <w:t>Hacimce %18 oksijen</w:t>
            </w:r>
          </w:p>
        </w:tc>
      </w:tr>
      <w:tr w:rsidR="0099200A" w:rsidRPr="00BA34D0" w14:paraId="41935524" w14:textId="77777777" w:rsidTr="0082590D">
        <w:tc>
          <w:tcPr>
            <w:tcW w:w="3539" w:type="dxa"/>
          </w:tcPr>
          <w:p w14:paraId="404097A1" w14:textId="77777777" w:rsidR="0099200A" w:rsidRPr="00BA34D0" w:rsidRDefault="008F5EEA" w:rsidP="0024730D">
            <w:pPr>
              <w:jc w:val="both"/>
              <w:rPr>
                <w:rFonts w:ascii="Times New Roman" w:hAnsi="Times New Roman" w:cs="Times New Roman"/>
              </w:rPr>
            </w:pPr>
            <w:r>
              <w:rPr>
                <w:rFonts w:ascii="Times New Roman" w:hAnsi="Times New Roman" w:cs="Times New Roman"/>
              </w:rPr>
              <w:t>Diğer tüm kaynaklar</w:t>
            </w:r>
          </w:p>
        </w:tc>
        <w:tc>
          <w:tcPr>
            <w:tcW w:w="5523" w:type="dxa"/>
          </w:tcPr>
          <w:p w14:paraId="0905E0F2" w14:textId="77777777" w:rsidR="0099200A" w:rsidRPr="00BA34D0" w:rsidRDefault="008F5EEA" w:rsidP="0024730D">
            <w:pPr>
              <w:jc w:val="both"/>
              <w:rPr>
                <w:rFonts w:ascii="Times New Roman" w:hAnsi="Times New Roman" w:cs="Times New Roman"/>
              </w:rPr>
            </w:pPr>
            <w:r>
              <w:rPr>
                <w:rFonts w:ascii="Times New Roman" w:hAnsi="Times New Roman" w:cs="Times New Roman"/>
              </w:rPr>
              <w:t>Oksijen için düzenleme bulunmuyor.</w:t>
            </w:r>
          </w:p>
        </w:tc>
      </w:tr>
    </w:tbl>
    <w:p w14:paraId="556495AB" w14:textId="77777777" w:rsidR="00F253DE" w:rsidRDefault="00F253DE" w:rsidP="00F253D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Referans oksijen seviyesinde emisyon konsantrasyonu hesaplaması için kullanılan formül, aşağıda verilmiştir:</w:t>
      </w:r>
    </w:p>
    <w:p w14:paraId="0ECEAA79" w14:textId="77777777" w:rsidR="00F253DE" w:rsidRPr="00E90398" w:rsidRDefault="00F253DE" w:rsidP="00F253DE">
      <w:pPr>
        <w:spacing w:after="120" w:line="276" w:lineRule="auto"/>
        <w:jc w:val="center"/>
        <w:rPr>
          <w:rFonts w:ascii="Times New Roman" w:hAnsi="Times New Roman" w:cs="Times New Roman"/>
          <w:sz w:val="24"/>
          <w:szCs w:val="24"/>
        </w:rPr>
      </w:pPr>
      <w:r w:rsidRPr="00E90398">
        <w:rPr>
          <w:rFonts w:ascii="Times New Roman" w:eastAsiaTheme="minorEastAsia" w:hAnsi="Times New Roman" w:cs="Times New Roman"/>
          <w:sz w:val="24"/>
          <w:szCs w:val="24"/>
        </w:rPr>
        <w:t>E</w:t>
      </w:r>
      <w:r w:rsidRPr="00E90398">
        <w:rPr>
          <w:rFonts w:ascii="Times New Roman" w:eastAsiaTheme="minorEastAsia" w:hAnsi="Times New Roman" w:cs="Times New Roman"/>
          <w:sz w:val="24"/>
          <w:szCs w:val="24"/>
          <w:vertAlign w:val="subscript"/>
        </w:rPr>
        <w:t>R</w:t>
      </w:r>
      <w:r w:rsidRPr="00E90398">
        <w:rPr>
          <w:rFonts w:ascii="Times New Roman" w:eastAsiaTheme="minorEastAsia" w:hAnsi="Times New Roman" w:cs="Times New Roman"/>
          <w:sz w:val="24"/>
          <w:szCs w:val="24"/>
        </w:rPr>
        <w:t xml:space="preserve"> = </w:t>
      </w:r>
      <m:oMath>
        <m:f>
          <m:fPr>
            <m:ctrlPr>
              <w:rPr>
                <w:rFonts w:ascii="Cambria Math" w:hAnsi="Cambria Math" w:cs="Times New Roman"/>
                <w:i/>
                <w:sz w:val="28"/>
                <w:szCs w:val="28"/>
              </w:rPr>
            </m:ctrlPr>
          </m:fPr>
          <m:num>
            <m:r>
              <m:rPr>
                <m:sty m:val="p"/>
              </m:rPr>
              <w:rPr>
                <w:rFonts w:ascii="Cambria Math" w:hAnsi="Cambria Math" w:cs="Times New Roman"/>
                <w:sz w:val="28"/>
                <w:szCs w:val="28"/>
              </w:rPr>
              <m:t xml:space="preserve">21 - </m:t>
            </m:r>
            <m:sSub>
              <m:sSubPr>
                <m:ctrlPr>
                  <w:rPr>
                    <w:rFonts w:ascii="Cambria Math" w:hAnsi="Cambria Math" w:cs="Times New Roman"/>
                    <w:iCs/>
                    <w:sz w:val="28"/>
                    <w:szCs w:val="28"/>
                  </w:rPr>
                </m:ctrlPr>
              </m:sSubPr>
              <m:e>
                <m:r>
                  <m:rPr>
                    <m:sty m:val="p"/>
                  </m:rPr>
                  <w:rPr>
                    <w:rFonts w:ascii="Cambria Math" w:hAnsi="Cambria Math" w:cs="Times New Roman"/>
                    <w:sz w:val="28"/>
                    <w:szCs w:val="28"/>
                  </w:rPr>
                  <m:t>O</m:t>
                </m:r>
              </m:e>
              <m:sub>
                <m:r>
                  <m:rPr>
                    <m:sty m:val="p"/>
                  </m:rPr>
                  <w:rPr>
                    <w:rFonts w:ascii="Cambria Math" w:hAnsi="Cambria Math" w:cs="Times New Roman"/>
                    <w:sz w:val="28"/>
                    <w:szCs w:val="28"/>
                  </w:rPr>
                  <m:t>R</m:t>
                </m:r>
              </m:sub>
            </m:sSub>
          </m:num>
          <m:den>
            <m:r>
              <m:rPr>
                <m:sty m:val="p"/>
              </m:rPr>
              <w:rPr>
                <w:rFonts w:ascii="Cambria Math" w:hAnsi="Cambria Math" w:cs="Times New Roman"/>
                <w:sz w:val="28"/>
                <w:szCs w:val="28"/>
              </w:rPr>
              <m:t xml:space="preserve">21 - </m:t>
            </m:r>
            <m:sSub>
              <m:sSubPr>
                <m:ctrlPr>
                  <w:rPr>
                    <w:rFonts w:ascii="Cambria Math" w:hAnsi="Cambria Math" w:cs="Times New Roman"/>
                    <w:iCs/>
                    <w:sz w:val="28"/>
                    <w:szCs w:val="28"/>
                  </w:rPr>
                </m:ctrlPr>
              </m:sSubPr>
              <m:e>
                <m:r>
                  <m:rPr>
                    <m:sty m:val="p"/>
                  </m:rPr>
                  <w:rPr>
                    <w:rFonts w:ascii="Cambria Math" w:hAnsi="Cambria Math" w:cs="Times New Roman"/>
                    <w:sz w:val="28"/>
                    <w:szCs w:val="28"/>
                  </w:rPr>
                  <m:t>O</m:t>
                </m:r>
              </m:e>
              <m:sub>
                <m:r>
                  <m:rPr>
                    <m:sty m:val="p"/>
                  </m:rPr>
                  <w:rPr>
                    <w:rFonts w:ascii="Cambria Math" w:hAnsi="Cambria Math" w:cs="Times New Roman"/>
                    <w:sz w:val="28"/>
                    <w:szCs w:val="28"/>
                  </w:rPr>
                  <m:t>M</m:t>
                </m:r>
              </m:sub>
            </m:sSub>
          </m:den>
        </m:f>
      </m:oMath>
      <w:r w:rsidRPr="00E90398">
        <w:rPr>
          <w:rFonts w:ascii="Times New Roman" w:eastAsiaTheme="minorEastAsia" w:hAnsi="Times New Roman" w:cs="Times New Roman"/>
          <w:sz w:val="24"/>
          <w:szCs w:val="24"/>
        </w:rPr>
        <w:t xml:space="preserve"> x E</w:t>
      </w:r>
      <w:r w:rsidRPr="00E90398">
        <w:rPr>
          <w:rFonts w:ascii="Times New Roman" w:eastAsiaTheme="minorEastAsia" w:hAnsi="Times New Roman" w:cs="Times New Roman"/>
          <w:sz w:val="24"/>
          <w:szCs w:val="24"/>
          <w:vertAlign w:val="subscript"/>
        </w:rPr>
        <w:t>M</w:t>
      </w:r>
      <w:r w:rsidRPr="00E90398">
        <w:rPr>
          <w:rFonts w:ascii="Times New Roman" w:eastAsiaTheme="minorEastAsia" w:hAnsi="Times New Roman" w:cs="Times New Roman"/>
          <w:sz w:val="24"/>
          <w:szCs w:val="24"/>
        </w:rPr>
        <w:t xml:space="preserve"> </w:t>
      </w:r>
    </w:p>
    <w:p w14:paraId="296EA645" w14:textId="77777777" w:rsidR="00F253DE" w:rsidRPr="00311D82" w:rsidRDefault="00F253DE" w:rsidP="00F253D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R</w:t>
      </w:r>
      <w:r>
        <w:rPr>
          <w:rFonts w:ascii="Times New Roman" w:hAnsi="Times New Roman" w:cs="Times New Roman"/>
          <w:sz w:val="24"/>
          <w:szCs w:val="24"/>
        </w:rPr>
        <w:t xml:space="preserve"> (mg/Nm</w:t>
      </w:r>
      <w:r>
        <w:rPr>
          <w:rFonts w:ascii="Times New Roman" w:hAnsi="Times New Roman" w:cs="Times New Roman"/>
          <w:sz w:val="24"/>
          <w:szCs w:val="24"/>
          <w:vertAlign w:val="superscript"/>
        </w:rPr>
        <w:t>3</w:t>
      </w:r>
      <w:r>
        <w:rPr>
          <w:rFonts w:ascii="Times New Roman" w:hAnsi="Times New Roman" w:cs="Times New Roman"/>
          <w:sz w:val="24"/>
          <w:szCs w:val="24"/>
        </w:rPr>
        <w:t>): referans oksijen seviyesindeki emisyon konsantrasyonu</w:t>
      </w:r>
    </w:p>
    <w:p w14:paraId="14ED7564" w14:textId="77777777" w:rsidR="00F253DE" w:rsidRDefault="00F253DE" w:rsidP="00F253D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vertAlign w:val="subscript"/>
        </w:rPr>
        <w:t>R</w:t>
      </w:r>
      <w:r>
        <w:rPr>
          <w:rFonts w:ascii="Times New Roman" w:hAnsi="Times New Roman" w:cs="Times New Roman"/>
          <w:sz w:val="24"/>
          <w:szCs w:val="24"/>
        </w:rPr>
        <w:t xml:space="preserve"> (hacimce %): referans oksijen seviyesi</w:t>
      </w:r>
    </w:p>
    <w:p w14:paraId="74BD4C60" w14:textId="77777777" w:rsidR="00F253DE" w:rsidRDefault="00F253DE" w:rsidP="00F253D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M</w:t>
      </w:r>
      <w:r>
        <w:rPr>
          <w:rFonts w:ascii="Times New Roman" w:hAnsi="Times New Roman" w:cs="Times New Roman"/>
          <w:sz w:val="24"/>
          <w:szCs w:val="24"/>
        </w:rPr>
        <w:t xml:space="preserve"> (mg/</w:t>
      </w:r>
      <w:r w:rsidRPr="00311D82">
        <w:rPr>
          <w:rFonts w:ascii="Times New Roman" w:hAnsi="Times New Roman" w:cs="Times New Roman"/>
          <w:sz w:val="24"/>
          <w:szCs w:val="24"/>
        </w:rPr>
        <w:t xml:space="preserve"> </w:t>
      </w:r>
      <w:r>
        <w:rPr>
          <w:rFonts w:ascii="Times New Roman" w:hAnsi="Times New Roman" w:cs="Times New Roman"/>
          <w:sz w:val="24"/>
          <w:szCs w:val="24"/>
        </w:rPr>
        <w:t>Nm</w:t>
      </w:r>
      <w:r>
        <w:rPr>
          <w:rFonts w:ascii="Times New Roman" w:hAnsi="Times New Roman" w:cs="Times New Roman"/>
          <w:sz w:val="24"/>
          <w:szCs w:val="24"/>
          <w:vertAlign w:val="superscript"/>
        </w:rPr>
        <w:t>3</w:t>
      </w:r>
      <w:r>
        <w:rPr>
          <w:rFonts w:ascii="Times New Roman" w:hAnsi="Times New Roman" w:cs="Times New Roman"/>
          <w:sz w:val="24"/>
          <w:szCs w:val="24"/>
        </w:rPr>
        <w:t>): ölçülen emisyon konsantrasyonu</w:t>
      </w:r>
    </w:p>
    <w:p w14:paraId="1D27F0EB" w14:textId="77777777" w:rsidR="00F253DE" w:rsidRDefault="00F253DE" w:rsidP="00F253D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vertAlign w:val="subscript"/>
        </w:rPr>
        <w:t>M</w:t>
      </w:r>
      <w:r>
        <w:rPr>
          <w:rFonts w:ascii="Times New Roman" w:hAnsi="Times New Roman" w:cs="Times New Roman"/>
          <w:sz w:val="24"/>
          <w:szCs w:val="24"/>
        </w:rPr>
        <w:t xml:space="preserve"> (hacimce %): ölçülen oksijen seviyesi</w:t>
      </w:r>
    </w:p>
    <w:p w14:paraId="0B8329FD" w14:textId="77777777" w:rsidR="00EE6B0F" w:rsidRDefault="009A1E96" w:rsidP="00AE4B9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Havaya emisyonlar için MET-İES’ler, örnekleme süresi </w:t>
      </w:r>
      <w:r w:rsidR="009B3E6F">
        <w:rPr>
          <w:rFonts w:ascii="Times New Roman" w:hAnsi="Times New Roman" w:cs="Times New Roman"/>
          <w:sz w:val="24"/>
          <w:szCs w:val="24"/>
        </w:rPr>
        <w:t>üzerinden</w:t>
      </w:r>
      <w:r>
        <w:rPr>
          <w:rFonts w:ascii="Times New Roman" w:hAnsi="Times New Roman" w:cs="Times New Roman"/>
          <w:sz w:val="24"/>
          <w:szCs w:val="24"/>
        </w:rPr>
        <w:t xml:space="preserve"> ortalamayı ifade eder:</w:t>
      </w:r>
    </w:p>
    <w:tbl>
      <w:tblPr>
        <w:tblStyle w:val="TabloKlavuzu"/>
        <w:tblW w:w="0" w:type="auto"/>
        <w:tblLook w:val="04A0" w:firstRow="1" w:lastRow="0" w:firstColumn="1" w:lastColumn="0" w:noHBand="0" w:noVBand="1"/>
      </w:tblPr>
      <w:tblGrid>
        <w:gridCol w:w="9062"/>
      </w:tblGrid>
      <w:tr w:rsidR="009B3E6F" w:rsidRPr="00BA34D0" w14:paraId="73F639B0" w14:textId="77777777" w:rsidTr="0082590D">
        <w:tc>
          <w:tcPr>
            <w:tcW w:w="9062" w:type="dxa"/>
          </w:tcPr>
          <w:p w14:paraId="41EE7473" w14:textId="77777777" w:rsidR="009B3E6F" w:rsidRPr="00BA34D0" w:rsidRDefault="009B3E6F" w:rsidP="0024730D">
            <w:pPr>
              <w:jc w:val="both"/>
              <w:rPr>
                <w:rFonts w:ascii="Times New Roman" w:hAnsi="Times New Roman" w:cs="Times New Roman"/>
              </w:rPr>
            </w:pPr>
            <w:r>
              <w:rPr>
                <w:rFonts w:ascii="Times New Roman" w:hAnsi="Times New Roman" w:cs="Times New Roman"/>
              </w:rPr>
              <w:t>Her biri en az 30 dakikalık üç ardışık ölçümün ortalama değeri (</w:t>
            </w:r>
            <w:r w:rsidRPr="009B3E6F">
              <w:rPr>
                <w:rFonts w:ascii="Times New Roman" w:hAnsi="Times New Roman" w:cs="Times New Roman"/>
                <w:vertAlign w:val="superscript"/>
              </w:rPr>
              <w:t>1</w:t>
            </w:r>
            <w:r>
              <w:rPr>
                <w:rFonts w:ascii="Times New Roman" w:hAnsi="Times New Roman" w:cs="Times New Roman"/>
              </w:rPr>
              <w:t>)</w:t>
            </w:r>
          </w:p>
        </w:tc>
      </w:tr>
      <w:tr w:rsidR="009B3E6F" w:rsidRPr="00BA34D0" w14:paraId="2BD9D9E5" w14:textId="77777777" w:rsidTr="0082590D">
        <w:tc>
          <w:tcPr>
            <w:tcW w:w="9062" w:type="dxa"/>
          </w:tcPr>
          <w:p w14:paraId="481013F1" w14:textId="77777777" w:rsidR="009B3E6F" w:rsidRPr="009B3E6F" w:rsidRDefault="009B3E6F"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9B3E6F">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00851AAA">
              <w:rPr>
                <w:rFonts w:ascii="Times New Roman" w:hAnsi="Times New Roman" w:cs="Times New Roman"/>
                <w:i/>
                <w:iCs/>
                <w:sz w:val="20"/>
                <w:szCs w:val="20"/>
              </w:rPr>
              <w:t>Örnekleme veya analitik kısıtlamalardan dolayı 30 dakikalık ölçümlerin uygun olmadığı durumlarda, herhangi bir parametre için daha uygun bir ölçüm süresi kullanılabilir.</w:t>
            </w:r>
          </w:p>
        </w:tc>
      </w:tr>
    </w:tbl>
    <w:p w14:paraId="5F88FBC2" w14:textId="77777777" w:rsidR="009A1E96" w:rsidRDefault="009A1E96" w:rsidP="00AE4B96">
      <w:pPr>
        <w:spacing w:after="120" w:line="276" w:lineRule="auto"/>
        <w:jc w:val="both"/>
        <w:rPr>
          <w:rFonts w:ascii="Times New Roman" w:hAnsi="Times New Roman" w:cs="Times New Roman"/>
          <w:sz w:val="24"/>
          <w:szCs w:val="24"/>
        </w:rPr>
      </w:pPr>
    </w:p>
    <w:p w14:paraId="252F2BF4" w14:textId="77777777" w:rsidR="00581D87" w:rsidRPr="007B6467" w:rsidRDefault="00581D87" w:rsidP="00581D87">
      <w:pPr>
        <w:pStyle w:val="Balk3"/>
        <w:spacing w:before="0" w:after="120" w:line="276" w:lineRule="auto"/>
        <w:jc w:val="both"/>
        <w:rPr>
          <w:rFonts w:cs="Times New Roman"/>
          <w:b w:val="0"/>
          <w:bCs/>
          <w:szCs w:val="24"/>
        </w:rPr>
      </w:pPr>
      <w:r>
        <w:rPr>
          <w:rFonts w:cs="Times New Roman"/>
          <w:bCs/>
          <w:szCs w:val="24"/>
        </w:rPr>
        <w:lastRenderedPageBreak/>
        <w:t>(2.2) Suya Emisyonlar İçin MET ile İlişkili Emisyon Seviyeleri</w:t>
      </w:r>
    </w:p>
    <w:p w14:paraId="1DB5E764" w14:textId="71EC5F77" w:rsidR="00581D87" w:rsidRDefault="00D16060" w:rsidP="00AE4B9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4170F3">
        <w:rPr>
          <w:rFonts w:ascii="Times New Roman" w:hAnsi="Times New Roman" w:cs="Times New Roman"/>
          <w:sz w:val="24"/>
          <w:szCs w:val="24"/>
        </w:rPr>
        <w:t>-3’te sunulan MET sonuçlarında belirtilen suya emisyonlar için MET-İES’ler, mg/L biriminde verilen konsantrasyon değerlerini (su hacmi başına salınan maddenin kütlesi) ifade eder.</w:t>
      </w:r>
    </w:p>
    <w:p w14:paraId="667AA032" w14:textId="77777777" w:rsidR="00790865" w:rsidRDefault="00790865" w:rsidP="00AE4B9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Bu MET-İES’ler, </w:t>
      </w:r>
      <w:r w:rsidR="0050232C">
        <w:rPr>
          <w:rFonts w:ascii="Times New Roman" w:hAnsi="Times New Roman" w:cs="Times New Roman"/>
          <w:sz w:val="24"/>
          <w:szCs w:val="24"/>
        </w:rPr>
        <w:t xml:space="preserve">bir yıl boyunca elde edilen örneklerin ortalamasını ifade eder; bu da, ilişkili parametreler için ve normal çalışma koşulları altında belirlenmiş minimum frekans ile bir yıl içinde alınan tüm 24 saatlik akış orantılı kompozit örneklerin </w:t>
      </w:r>
      <w:r w:rsidR="00D9290A">
        <w:rPr>
          <w:rFonts w:ascii="Times New Roman" w:hAnsi="Times New Roman" w:cs="Times New Roman"/>
          <w:sz w:val="24"/>
          <w:szCs w:val="24"/>
        </w:rPr>
        <w:t>akış ağırlıklı ortalaması anlamına gelir.</w:t>
      </w:r>
    </w:p>
    <w:p w14:paraId="09609933" w14:textId="77777777" w:rsidR="000D2687" w:rsidRDefault="006B238C" w:rsidP="00AE4B9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Tüm 24 saatlik akış orantılı kompozit örneklerin akış ağırlıklı ortalama</w:t>
      </w:r>
      <w:r w:rsidR="000F70CD">
        <w:rPr>
          <w:rFonts w:ascii="Times New Roman" w:hAnsi="Times New Roman" w:cs="Times New Roman"/>
          <w:sz w:val="24"/>
          <w:szCs w:val="24"/>
        </w:rPr>
        <w:t xml:space="preserve"> hesaplaması için kullanılan formül, aşağıda verilmiştir:</w:t>
      </w:r>
    </w:p>
    <w:p w14:paraId="59E1F6BE" w14:textId="77777777" w:rsidR="000F70CD" w:rsidRPr="008E7F12" w:rsidRDefault="00DB0980" w:rsidP="00DB0980">
      <w:pPr>
        <w:spacing w:after="120" w:line="276" w:lineRule="auto"/>
        <w:jc w:val="center"/>
        <w:rPr>
          <w:rFonts w:ascii="Times New Roman" w:hAnsi="Times New Roman" w:cs="Times New Roman"/>
          <w:iCs/>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w</w:t>
      </w:r>
      <w:r>
        <w:rPr>
          <w:rFonts w:ascii="Times New Roman" w:hAnsi="Times New Roman" w:cs="Times New Roman"/>
          <w:sz w:val="24"/>
          <w:szCs w:val="24"/>
        </w:rPr>
        <w:t xml:space="preserve"> = </w:t>
      </w:r>
      <w:r w:rsidR="008E7F12">
        <w:rPr>
          <w:rFonts w:ascii="Times New Roman" w:hAnsi="Times New Roman" w:cs="Times New Roman"/>
          <w:sz w:val="24"/>
          <w:szCs w:val="24"/>
        </w:rPr>
        <w:t>(</w:t>
      </w:r>
      <m:oMath>
        <m:nary>
          <m:naryPr>
            <m:chr m:val="∑"/>
            <m:limLoc m:val="undOvr"/>
            <m:ctrlPr>
              <w:rPr>
                <w:rFonts w:ascii="Cambria Math" w:hAnsi="Cambria Math" w:cs="Times New Roman"/>
                <w:i/>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i</m:t>
                </m:r>
              </m:sub>
            </m:sSub>
            <m:sSub>
              <m:sSubPr>
                <m:ctrlPr>
                  <w:rPr>
                    <w:rFonts w:ascii="Cambria Math" w:hAnsi="Cambria Math" w:cs="Times New Roman"/>
                    <w:i/>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i</m:t>
                </m:r>
              </m:sub>
            </m:sSub>
          </m:e>
        </m:nary>
        <m:r>
          <w:rPr>
            <w:rFonts w:ascii="Cambria Math" w:hAnsi="Cambria Math" w:cs="Times New Roman"/>
            <w:sz w:val="24"/>
            <w:szCs w:val="24"/>
          </w:rPr>
          <m:t>)</m:t>
        </m:r>
      </m:oMath>
      <w:r w:rsidR="008E7F12">
        <w:rPr>
          <w:rFonts w:ascii="Times New Roman" w:eastAsiaTheme="minorEastAsia" w:hAnsi="Times New Roman" w:cs="Times New Roman"/>
          <w:sz w:val="24"/>
          <w:szCs w:val="24"/>
        </w:rPr>
        <w:t>/(</w:t>
      </w:r>
      <m:oMath>
        <m:nary>
          <m:naryPr>
            <m:chr m:val="∑"/>
            <m:limLoc m:val="undOvr"/>
            <m:ctrlPr>
              <w:rPr>
                <w:rFonts w:ascii="Cambria Math" w:hAnsi="Cambria Math" w:cs="Times New Roman"/>
                <w:i/>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sSub>
              <m:sSubPr>
                <m:ctrlPr>
                  <w:rPr>
                    <w:rFonts w:ascii="Cambria Math" w:hAnsi="Cambria Math" w:cs="Times New Roman"/>
                    <w:i/>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i</m:t>
                </m:r>
              </m:sub>
            </m:sSub>
          </m:e>
        </m:nary>
        <m:r>
          <w:rPr>
            <w:rFonts w:ascii="Cambria Math" w:hAnsi="Cambria Math" w:cs="Times New Roman"/>
            <w:sz w:val="24"/>
            <w:szCs w:val="24"/>
          </w:rPr>
          <m:t>)</m:t>
        </m:r>
      </m:oMath>
    </w:p>
    <w:p w14:paraId="4CC3C039" w14:textId="77777777" w:rsidR="00B45DC8" w:rsidRDefault="00326008"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w</w:t>
      </w:r>
      <w:r>
        <w:rPr>
          <w:rFonts w:ascii="Times New Roman" w:hAnsi="Times New Roman" w:cs="Times New Roman"/>
          <w:sz w:val="24"/>
          <w:szCs w:val="24"/>
        </w:rPr>
        <w:t xml:space="preserve">: </w:t>
      </w:r>
      <w:r w:rsidR="003832F5">
        <w:rPr>
          <w:rFonts w:ascii="Times New Roman" w:hAnsi="Times New Roman" w:cs="Times New Roman"/>
          <w:sz w:val="24"/>
          <w:szCs w:val="24"/>
        </w:rPr>
        <w:t xml:space="preserve">parametrenin </w:t>
      </w:r>
      <w:r w:rsidR="009D6326">
        <w:rPr>
          <w:rFonts w:ascii="Times New Roman" w:hAnsi="Times New Roman" w:cs="Times New Roman"/>
          <w:sz w:val="24"/>
          <w:szCs w:val="24"/>
        </w:rPr>
        <w:t>akış ağırlıklı ortalama konsantrasyonu</w:t>
      </w:r>
    </w:p>
    <w:p w14:paraId="0CB22573" w14:textId="77777777" w:rsidR="009D6326" w:rsidRDefault="009D6326"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n: ölçüm sayısı</w:t>
      </w:r>
    </w:p>
    <w:p w14:paraId="29535EFB" w14:textId="77777777" w:rsidR="009D6326" w:rsidRDefault="009D6326"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i</w:t>
      </w:r>
      <w:r>
        <w:rPr>
          <w:rFonts w:ascii="Times New Roman" w:hAnsi="Times New Roman" w:cs="Times New Roman"/>
          <w:sz w:val="24"/>
          <w:szCs w:val="24"/>
        </w:rPr>
        <w:t xml:space="preserve">: </w:t>
      </w:r>
      <w:r w:rsidR="005C0CBF">
        <w:rPr>
          <w:rFonts w:ascii="Times New Roman" w:hAnsi="Times New Roman" w:cs="Times New Roman"/>
          <w:sz w:val="24"/>
          <w:szCs w:val="24"/>
        </w:rPr>
        <w:t>parametrenin (i). zaman aralığı boyunca ortalama konsantrasyonu</w:t>
      </w:r>
    </w:p>
    <w:p w14:paraId="7E6F917B" w14:textId="77777777" w:rsidR="003B2CA8" w:rsidRDefault="003B2CA8"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vertAlign w:val="subscript"/>
        </w:rPr>
        <w:t>i</w:t>
      </w:r>
      <w:r>
        <w:rPr>
          <w:rFonts w:ascii="Times New Roman" w:hAnsi="Times New Roman" w:cs="Times New Roman"/>
          <w:sz w:val="24"/>
          <w:szCs w:val="24"/>
        </w:rPr>
        <w:t xml:space="preserve">: </w:t>
      </w:r>
      <w:r w:rsidR="00806844">
        <w:rPr>
          <w:rFonts w:ascii="Times New Roman" w:hAnsi="Times New Roman" w:cs="Times New Roman"/>
          <w:sz w:val="24"/>
          <w:szCs w:val="24"/>
        </w:rPr>
        <w:t>(i). zaman aralığı boyunca ortalama akış hızı</w:t>
      </w:r>
    </w:p>
    <w:p w14:paraId="192D14C5" w14:textId="77777777" w:rsidR="00806844" w:rsidRDefault="00806844" w:rsidP="003610DF">
      <w:pPr>
        <w:spacing w:after="120" w:line="276" w:lineRule="auto"/>
        <w:jc w:val="both"/>
        <w:rPr>
          <w:rFonts w:ascii="Times New Roman" w:hAnsi="Times New Roman" w:cs="Times New Roman"/>
          <w:sz w:val="24"/>
          <w:szCs w:val="24"/>
        </w:rPr>
      </w:pPr>
    </w:p>
    <w:p w14:paraId="7182916C" w14:textId="77777777" w:rsidR="001D4A97" w:rsidRDefault="00B258F9"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Yeterli akış stabilitesi sağlanabildiği takdirde, zaman orantılı örnekleme kullanılabilir.</w:t>
      </w:r>
    </w:p>
    <w:p w14:paraId="3911BD7E" w14:textId="77777777" w:rsidR="00B258F9" w:rsidRPr="003B2CA8" w:rsidRDefault="00B258F9"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Suya emisyonlar için tüm MET-İES’ler, </w:t>
      </w:r>
      <w:r w:rsidR="002F3381">
        <w:rPr>
          <w:rFonts w:ascii="Times New Roman" w:hAnsi="Times New Roman" w:cs="Times New Roman"/>
          <w:sz w:val="24"/>
          <w:szCs w:val="24"/>
        </w:rPr>
        <w:t>emisyonun tesisi terk ettiği noktada uygulanır.</w:t>
      </w:r>
    </w:p>
    <w:p w14:paraId="789F5BEB" w14:textId="77777777" w:rsidR="001A46F4" w:rsidRPr="007A3693" w:rsidRDefault="001A46F4" w:rsidP="001A46F4">
      <w:pPr>
        <w:pStyle w:val="Balk2"/>
        <w:spacing w:before="0" w:after="120" w:line="276" w:lineRule="auto"/>
        <w:jc w:val="both"/>
        <w:rPr>
          <w:rFonts w:cs="Times New Roman"/>
          <w:b/>
          <w:bCs/>
          <w:szCs w:val="24"/>
        </w:rPr>
      </w:pPr>
      <w:r>
        <w:rPr>
          <w:rFonts w:cs="Times New Roman"/>
          <w:b/>
          <w:bCs/>
          <w:szCs w:val="24"/>
        </w:rPr>
        <w:t>(3) Tekstil Sektörü</w:t>
      </w:r>
    </w:p>
    <w:p w14:paraId="14963BB6" w14:textId="654EFFDA" w:rsidR="00C54FEF" w:rsidRDefault="00D16060" w:rsidP="00C54F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C54FEF">
        <w:rPr>
          <w:rFonts w:ascii="Times New Roman" w:hAnsi="Times New Roman" w:cs="Times New Roman"/>
          <w:sz w:val="24"/>
          <w:szCs w:val="24"/>
        </w:rPr>
        <w:t>-4’te sunulan MET sonuçlarında listelenen ve açıklanan teknikler, yerleşik ya da geniş kapsamlı ve ayrıntılı değildir. En azından eş değer nitelikte çevresel koruma sağlamak için diğer teknikler de kullanılabilir.</w:t>
      </w:r>
    </w:p>
    <w:p w14:paraId="627D79F9" w14:textId="5C481FCD" w:rsidR="00C54FEF" w:rsidRDefault="00C54FEF" w:rsidP="00C54F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-4’te sunulan MET sonuçları genellikle uygulanabilir.</w:t>
      </w:r>
    </w:p>
    <w:p w14:paraId="02BD42E4" w14:textId="77777777" w:rsidR="003274D3" w:rsidRPr="007B6467" w:rsidRDefault="003274D3" w:rsidP="003274D3">
      <w:pPr>
        <w:pStyle w:val="Balk3"/>
        <w:spacing w:before="0" w:after="120" w:line="276" w:lineRule="auto"/>
        <w:jc w:val="both"/>
        <w:rPr>
          <w:rFonts w:cs="Times New Roman"/>
          <w:b w:val="0"/>
          <w:bCs/>
          <w:szCs w:val="24"/>
        </w:rPr>
      </w:pPr>
      <w:r>
        <w:rPr>
          <w:rFonts w:cs="Times New Roman"/>
          <w:bCs/>
          <w:szCs w:val="24"/>
        </w:rPr>
        <w:t>(3.1) Havaya Emisyonlar İçin MET ile İlişkili Emisyon Seviyeleri</w:t>
      </w:r>
    </w:p>
    <w:p w14:paraId="31BBDADA" w14:textId="46A069C9" w:rsidR="009A6E78" w:rsidRDefault="00D16060" w:rsidP="009A6E7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9A6E78">
        <w:rPr>
          <w:rFonts w:ascii="Times New Roman" w:hAnsi="Times New Roman" w:cs="Times New Roman"/>
          <w:sz w:val="24"/>
          <w:szCs w:val="24"/>
        </w:rPr>
        <w:t xml:space="preserve">-4’te sunulan MET sonuçlarında belirtilen havaya emisyonlar için MET-İES’ler, </w:t>
      </w:r>
      <w:r w:rsidR="00664963">
        <w:rPr>
          <w:rFonts w:ascii="Times New Roman" w:hAnsi="Times New Roman" w:cs="Times New Roman"/>
          <w:sz w:val="24"/>
          <w:szCs w:val="24"/>
        </w:rPr>
        <w:t xml:space="preserve">şu </w:t>
      </w:r>
      <w:r w:rsidR="009A6E78">
        <w:rPr>
          <w:rFonts w:ascii="Times New Roman" w:hAnsi="Times New Roman" w:cs="Times New Roman"/>
          <w:sz w:val="24"/>
          <w:szCs w:val="24"/>
        </w:rPr>
        <w:t>standart koşullar</w:t>
      </w:r>
      <w:r w:rsidR="00664963">
        <w:rPr>
          <w:rFonts w:ascii="Times New Roman" w:hAnsi="Times New Roman" w:cs="Times New Roman"/>
          <w:sz w:val="24"/>
          <w:szCs w:val="24"/>
        </w:rPr>
        <w:t xml:space="preserve"> altındaki konsantrasyonları (atık gaz hacmi başına salınan madde kütlesi)</w:t>
      </w:r>
      <w:r w:rsidR="009A6E78">
        <w:rPr>
          <w:rFonts w:ascii="Times New Roman" w:hAnsi="Times New Roman" w:cs="Times New Roman"/>
          <w:sz w:val="24"/>
          <w:szCs w:val="24"/>
        </w:rPr>
        <w:t xml:space="preserve"> ifade eder: </w:t>
      </w:r>
      <w:r w:rsidR="00554E1D">
        <w:rPr>
          <w:rFonts w:ascii="Times New Roman" w:hAnsi="Times New Roman" w:cs="Times New Roman"/>
          <w:sz w:val="24"/>
          <w:szCs w:val="24"/>
        </w:rPr>
        <w:t>Oksijen içeriği için düzeltme olmaksızın ve mg/Nm</w:t>
      </w:r>
      <w:r w:rsidR="00554E1D">
        <w:rPr>
          <w:rFonts w:ascii="Times New Roman" w:hAnsi="Times New Roman" w:cs="Times New Roman"/>
          <w:sz w:val="24"/>
          <w:szCs w:val="24"/>
          <w:vertAlign w:val="superscript"/>
        </w:rPr>
        <w:t>3</w:t>
      </w:r>
      <w:r w:rsidR="00554E1D">
        <w:rPr>
          <w:rFonts w:ascii="Times New Roman" w:hAnsi="Times New Roman" w:cs="Times New Roman"/>
          <w:sz w:val="24"/>
          <w:szCs w:val="24"/>
        </w:rPr>
        <w:t xml:space="preserve"> olarak ifade edilen </w:t>
      </w:r>
      <w:r w:rsidR="009A6E78">
        <w:rPr>
          <w:rFonts w:ascii="Times New Roman" w:hAnsi="Times New Roman" w:cs="Times New Roman"/>
          <w:sz w:val="24"/>
          <w:szCs w:val="24"/>
        </w:rPr>
        <w:t>273,15 K sıcaklıkta ve 101,3 kPa basınçta kuru gaz</w:t>
      </w:r>
      <w:r w:rsidR="00554E1D">
        <w:rPr>
          <w:rFonts w:ascii="Times New Roman" w:hAnsi="Times New Roman" w:cs="Times New Roman"/>
          <w:sz w:val="24"/>
          <w:szCs w:val="24"/>
        </w:rPr>
        <w:t>.</w:t>
      </w:r>
    </w:p>
    <w:p w14:paraId="0EC7B59E" w14:textId="77777777" w:rsidR="00C72556" w:rsidRDefault="00C72556" w:rsidP="009A6E7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Havaya emisyonlar için MET-İES’lere yönelik </w:t>
      </w:r>
      <w:r w:rsidR="00890696">
        <w:rPr>
          <w:rFonts w:ascii="Times New Roman" w:hAnsi="Times New Roman" w:cs="Times New Roman"/>
          <w:sz w:val="24"/>
          <w:szCs w:val="24"/>
        </w:rPr>
        <w:t>ortalama süreleri için, aşağıdaki açıklama geçerlidir.</w:t>
      </w:r>
    </w:p>
    <w:tbl>
      <w:tblPr>
        <w:tblStyle w:val="TabloKlavuzu"/>
        <w:tblW w:w="0" w:type="auto"/>
        <w:tblLook w:val="04A0" w:firstRow="1" w:lastRow="0" w:firstColumn="1" w:lastColumn="0" w:noHBand="0" w:noVBand="1"/>
      </w:tblPr>
      <w:tblGrid>
        <w:gridCol w:w="1838"/>
        <w:gridCol w:w="3609"/>
        <w:gridCol w:w="3615"/>
      </w:tblGrid>
      <w:tr w:rsidR="00890696" w:rsidRPr="00BA34D0" w14:paraId="40398E49" w14:textId="77777777" w:rsidTr="0082590D">
        <w:tc>
          <w:tcPr>
            <w:tcW w:w="1838" w:type="dxa"/>
          </w:tcPr>
          <w:p w14:paraId="1E8F1F67" w14:textId="77777777" w:rsidR="00890696" w:rsidRPr="00890696" w:rsidRDefault="00890696" w:rsidP="00890696">
            <w:pPr>
              <w:jc w:val="center"/>
              <w:rPr>
                <w:rFonts w:ascii="Times New Roman" w:hAnsi="Times New Roman" w:cs="Times New Roman"/>
                <w:b/>
                <w:bCs/>
              </w:rPr>
            </w:pPr>
            <w:r>
              <w:rPr>
                <w:rFonts w:ascii="Times New Roman" w:hAnsi="Times New Roman" w:cs="Times New Roman"/>
                <w:b/>
                <w:bCs/>
              </w:rPr>
              <w:t>Ölçüm Türü</w:t>
            </w:r>
          </w:p>
        </w:tc>
        <w:tc>
          <w:tcPr>
            <w:tcW w:w="3609" w:type="dxa"/>
          </w:tcPr>
          <w:p w14:paraId="73B48450" w14:textId="77777777" w:rsidR="00890696" w:rsidRPr="00890696" w:rsidRDefault="00890696" w:rsidP="00890696">
            <w:pPr>
              <w:jc w:val="center"/>
              <w:rPr>
                <w:rFonts w:ascii="Times New Roman" w:hAnsi="Times New Roman" w:cs="Times New Roman"/>
                <w:b/>
                <w:bCs/>
              </w:rPr>
            </w:pPr>
            <w:r>
              <w:rPr>
                <w:rFonts w:ascii="Times New Roman" w:hAnsi="Times New Roman" w:cs="Times New Roman"/>
                <w:b/>
                <w:bCs/>
              </w:rPr>
              <w:t>Ortalama Süresi</w:t>
            </w:r>
          </w:p>
        </w:tc>
        <w:tc>
          <w:tcPr>
            <w:tcW w:w="3615" w:type="dxa"/>
          </w:tcPr>
          <w:p w14:paraId="6F44DF5B" w14:textId="77777777" w:rsidR="00890696" w:rsidRPr="00890696" w:rsidRDefault="00890696" w:rsidP="00890696">
            <w:pPr>
              <w:jc w:val="center"/>
              <w:rPr>
                <w:rFonts w:ascii="Times New Roman" w:hAnsi="Times New Roman" w:cs="Times New Roman"/>
                <w:b/>
                <w:bCs/>
              </w:rPr>
            </w:pPr>
            <w:r>
              <w:rPr>
                <w:rFonts w:ascii="Times New Roman" w:hAnsi="Times New Roman" w:cs="Times New Roman"/>
                <w:b/>
                <w:bCs/>
              </w:rPr>
              <w:t>Açıklama</w:t>
            </w:r>
          </w:p>
        </w:tc>
      </w:tr>
      <w:tr w:rsidR="00890696" w:rsidRPr="00BA34D0" w14:paraId="2D6EDA44" w14:textId="77777777" w:rsidTr="0082590D">
        <w:tc>
          <w:tcPr>
            <w:tcW w:w="1838" w:type="dxa"/>
          </w:tcPr>
          <w:p w14:paraId="7B145378" w14:textId="77777777" w:rsidR="00890696" w:rsidRDefault="00890696" w:rsidP="00890696">
            <w:pPr>
              <w:jc w:val="center"/>
              <w:rPr>
                <w:rFonts w:ascii="Times New Roman" w:hAnsi="Times New Roman" w:cs="Times New Roman"/>
              </w:rPr>
            </w:pPr>
            <w:r>
              <w:rPr>
                <w:rFonts w:ascii="Times New Roman" w:hAnsi="Times New Roman" w:cs="Times New Roman"/>
              </w:rPr>
              <w:t>Periyodik</w:t>
            </w:r>
          </w:p>
        </w:tc>
        <w:tc>
          <w:tcPr>
            <w:tcW w:w="3609" w:type="dxa"/>
          </w:tcPr>
          <w:p w14:paraId="55D31156" w14:textId="77777777" w:rsidR="00890696" w:rsidRDefault="00890696" w:rsidP="00890696">
            <w:pPr>
              <w:jc w:val="center"/>
              <w:rPr>
                <w:rFonts w:ascii="Times New Roman" w:hAnsi="Times New Roman" w:cs="Times New Roman"/>
              </w:rPr>
            </w:pPr>
            <w:r>
              <w:rPr>
                <w:rFonts w:ascii="Times New Roman" w:hAnsi="Times New Roman" w:cs="Times New Roman"/>
              </w:rPr>
              <w:t>örnekleme süresi üzerinden ortalama</w:t>
            </w:r>
          </w:p>
        </w:tc>
        <w:tc>
          <w:tcPr>
            <w:tcW w:w="3615" w:type="dxa"/>
          </w:tcPr>
          <w:p w14:paraId="1D4CFC11" w14:textId="77777777" w:rsidR="00890696" w:rsidRPr="00BA34D0" w:rsidRDefault="00890696" w:rsidP="0024730D">
            <w:pPr>
              <w:jc w:val="both"/>
              <w:rPr>
                <w:rFonts w:ascii="Times New Roman" w:hAnsi="Times New Roman" w:cs="Times New Roman"/>
              </w:rPr>
            </w:pPr>
            <w:r>
              <w:rPr>
                <w:rFonts w:ascii="Times New Roman" w:hAnsi="Times New Roman" w:cs="Times New Roman"/>
              </w:rPr>
              <w:t>Her biri en az 30 dakikalık üç ardışık örneklemenin/ölçümün ortalama değeri. (</w:t>
            </w:r>
            <w:r w:rsidRPr="00890696">
              <w:rPr>
                <w:rFonts w:ascii="Times New Roman" w:hAnsi="Times New Roman" w:cs="Times New Roman"/>
                <w:vertAlign w:val="superscript"/>
              </w:rPr>
              <w:t>1</w:t>
            </w:r>
            <w:r>
              <w:rPr>
                <w:rFonts w:ascii="Times New Roman" w:hAnsi="Times New Roman" w:cs="Times New Roman"/>
              </w:rPr>
              <w:t>)</w:t>
            </w:r>
          </w:p>
        </w:tc>
      </w:tr>
      <w:tr w:rsidR="00890696" w:rsidRPr="00890696" w14:paraId="026866AE" w14:textId="77777777" w:rsidTr="0082590D">
        <w:tc>
          <w:tcPr>
            <w:tcW w:w="9062" w:type="dxa"/>
            <w:gridSpan w:val="3"/>
          </w:tcPr>
          <w:p w14:paraId="10B81E20" w14:textId="77777777" w:rsidR="00890696" w:rsidRPr="00890696" w:rsidRDefault="00890696"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890696">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005A5B1D">
              <w:rPr>
                <w:rFonts w:ascii="Times New Roman" w:hAnsi="Times New Roman" w:cs="Times New Roman"/>
                <w:i/>
                <w:iCs/>
                <w:sz w:val="20"/>
                <w:szCs w:val="20"/>
              </w:rPr>
              <w:t xml:space="preserve">Örnekleme veya analitik kısıtlamalardan ve/veya operasyonel koşullardan dolayı 30 dakikalık örneklemenin/ölçümün ve/veya üç ardışık örneklemenin/ölçümün ortalamasının uygun olmadığı herhangi bir parametre için, </w:t>
            </w:r>
            <w:r w:rsidR="00353C2B">
              <w:rPr>
                <w:rFonts w:ascii="Times New Roman" w:hAnsi="Times New Roman" w:cs="Times New Roman"/>
                <w:i/>
                <w:iCs/>
                <w:sz w:val="20"/>
                <w:szCs w:val="20"/>
              </w:rPr>
              <w:t>daha temsili bir örnekleme/ölçüm prosedürü kullanılabilir.</w:t>
            </w:r>
          </w:p>
        </w:tc>
      </w:tr>
    </w:tbl>
    <w:p w14:paraId="7A37C566" w14:textId="77777777" w:rsidR="00890696" w:rsidRDefault="00890696" w:rsidP="009A6E78">
      <w:pPr>
        <w:spacing w:after="120" w:line="276" w:lineRule="auto"/>
        <w:jc w:val="both"/>
        <w:rPr>
          <w:rFonts w:ascii="Times New Roman" w:hAnsi="Times New Roman" w:cs="Times New Roman"/>
          <w:sz w:val="24"/>
          <w:szCs w:val="24"/>
        </w:rPr>
      </w:pPr>
    </w:p>
    <w:p w14:paraId="489CCFFE" w14:textId="77777777" w:rsidR="00353C2B" w:rsidRDefault="00475ADB" w:rsidP="009A6E7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Tek tip kaynaktan (örn. germe-kurutma makinesi) deşarj edilen atık gazların iki veya daha fazla farklı emisyon noktalarından, yetkili birim değerlendirmesine göre, ortak bir emisyon noktasından deşarj edilebildiği MET 9, MET 26, MET 27 ile Tablo 1.5 ve Tablo 1.6 ile ilişkili olarak kütle akışlarının hesaplanması amacıyla </w:t>
      </w:r>
      <w:r w:rsidR="003739B5">
        <w:rPr>
          <w:rFonts w:ascii="Times New Roman" w:hAnsi="Times New Roman" w:cs="Times New Roman"/>
          <w:sz w:val="24"/>
          <w:szCs w:val="24"/>
        </w:rPr>
        <w:t>bu farklı emisyon noktaları, tek bir emisyon noktası olarak dikkate alınır (ayrıca bkz. MET 23).</w:t>
      </w:r>
      <w:r w:rsidR="006A2C61">
        <w:rPr>
          <w:rFonts w:ascii="Times New Roman" w:hAnsi="Times New Roman" w:cs="Times New Roman"/>
          <w:sz w:val="24"/>
          <w:szCs w:val="24"/>
        </w:rPr>
        <w:t xml:space="preserve"> Tesis düzeyindeki kütle akışları, alternatif olarak kullanılabilir.</w:t>
      </w:r>
    </w:p>
    <w:p w14:paraId="42E43072" w14:textId="77777777" w:rsidR="006A2C61" w:rsidRPr="007B6467" w:rsidRDefault="006A2C61" w:rsidP="006A2C61">
      <w:pPr>
        <w:pStyle w:val="Balk3"/>
        <w:spacing w:before="0" w:after="120" w:line="276" w:lineRule="auto"/>
        <w:jc w:val="both"/>
        <w:rPr>
          <w:rFonts w:cs="Times New Roman"/>
          <w:b w:val="0"/>
          <w:bCs/>
          <w:szCs w:val="24"/>
        </w:rPr>
      </w:pPr>
      <w:r>
        <w:rPr>
          <w:rFonts w:cs="Times New Roman"/>
          <w:bCs/>
          <w:szCs w:val="24"/>
        </w:rPr>
        <w:t>(3.2) Suya Emisyonlar İçin MET ile İlişkili Emisyon Seviyeleri</w:t>
      </w:r>
    </w:p>
    <w:p w14:paraId="472351D7" w14:textId="13564F7E" w:rsidR="008E03C3" w:rsidRDefault="00D16060"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FC355A">
        <w:rPr>
          <w:rFonts w:ascii="Times New Roman" w:hAnsi="Times New Roman" w:cs="Times New Roman"/>
          <w:sz w:val="24"/>
          <w:szCs w:val="24"/>
        </w:rPr>
        <w:t>-4’te sunulan MET sonuçlarında belirtilen suya emisyonlar için MET-İES’ler</w:t>
      </w:r>
      <w:r w:rsidR="008E03C3">
        <w:rPr>
          <w:rFonts w:ascii="Times New Roman" w:hAnsi="Times New Roman" w:cs="Times New Roman"/>
          <w:sz w:val="24"/>
          <w:szCs w:val="24"/>
        </w:rPr>
        <w:t>, mg/L olarak ifade edilen konsantrasyonları (su hacmi başına salınan madde kütlesi) ifade eder.</w:t>
      </w:r>
    </w:p>
    <w:p w14:paraId="31078970" w14:textId="77777777" w:rsidR="008E03C3" w:rsidRDefault="008E03C3"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MET-İES’ler ile ilişkili ortalama süreleri, aşağıdaki iki durumdan birini ifade eder:</w:t>
      </w:r>
    </w:p>
    <w:p w14:paraId="0930497C" w14:textId="77777777" w:rsidR="008E03C3" w:rsidRDefault="008E03C3"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Sürekli deşarj durumunda, günlük ortalama değerler -başka bir ifadeyle, 24 saatlik akış orantılı kompozit örnekler.</w:t>
      </w:r>
    </w:p>
    <w:p w14:paraId="1C7FCB94" w14:textId="77777777" w:rsidR="008E03C3" w:rsidRDefault="008E03C3"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Kesintili deşarj durumunda, akış orantılı kompozit örnekler olarak alınan salım süresi üzerinden ortalama değerler veya </w:t>
      </w:r>
      <w:r w:rsidR="007C208E">
        <w:rPr>
          <w:rFonts w:ascii="Times New Roman" w:hAnsi="Times New Roman" w:cs="Times New Roman"/>
          <w:sz w:val="24"/>
          <w:szCs w:val="24"/>
        </w:rPr>
        <w:t>atık suyun uygun bir şekilde karıştırılması ve homojen olması halinde, deşarjdan önce alınan anlık numune.</w:t>
      </w:r>
    </w:p>
    <w:p w14:paraId="6DB1A2B6" w14:textId="77777777" w:rsidR="005845DD" w:rsidRDefault="005845DD"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Zaman orantılı kompozit örnekler, yeterli akış stabilitesi sağlanması halinde kullanılabilir. Alternatif olarak, atık suyun uygun bir şekilde karıştırılması ve homojen olması halinde anlık örnekler alınabilir.</w:t>
      </w:r>
    </w:p>
    <w:p w14:paraId="52BC17ED" w14:textId="002035C5" w:rsidR="005845DD" w:rsidRDefault="005845DD"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Toplam organik karbon (</w:t>
      </w:r>
      <w:r w:rsidR="009D570E">
        <w:rPr>
          <w:rFonts w:ascii="Times New Roman" w:hAnsi="Times New Roman" w:cs="Times New Roman"/>
          <w:sz w:val="24"/>
          <w:szCs w:val="24"/>
        </w:rPr>
        <w:t>TOK</w:t>
      </w:r>
      <w:r>
        <w:rPr>
          <w:rFonts w:ascii="Times New Roman" w:hAnsi="Times New Roman" w:cs="Times New Roman"/>
          <w:sz w:val="24"/>
          <w:szCs w:val="24"/>
        </w:rPr>
        <w:t>) ve kimyasal oksijen ihtiyacı (</w:t>
      </w:r>
      <w:r w:rsidR="009D570E">
        <w:rPr>
          <w:rFonts w:ascii="Times New Roman" w:hAnsi="Times New Roman" w:cs="Times New Roman"/>
          <w:sz w:val="24"/>
          <w:szCs w:val="24"/>
        </w:rPr>
        <w:t>KOİ</w:t>
      </w:r>
      <w:r>
        <w:rPr>
          <w:rFonts w:ascii="Times New Roman" w:hAnsi="Times New Roman" w:cs="Times New Roman"/>
          <w:sz w:val="24"/>
          <w:szCs w:val="24"/>
        </w:rPr>
        <w:t xml:space="preserve">) durumunda, </w:t>
      </w:r>
      <w:r w:rsidR="00D16060">
        <w:rPr>
          <w:rFonts w:ascii="Times New Roman" w:hAnsi="Times New Roman" w:cs="Times New Roman"/>
          <w:sz w:val="24"/>
          <w:szCs w:val="24"/>
        </w:rPr>
        <w:t>EK</w:t>
      </w:r>
      <w:r>
        <w:rPr>
          <w:rFonts w:ascii="Times New Roman" w:hAnsi="Times New Roman" w:cs="Times New Roman"/>
          <w:sz w:val="24"/>
          <w:szCs w:val="24"/>
        </w:rPr>
        <w:t>-4’te sunulan MET sonuçlarında (bkz. Tablo 1.3) verilen ortalama azaltım verimliliği hesaplaması, atık su arıtma tesisinin giriş ve çıkış suyu yüküne bağlıdır.</w:t>
      </w:r>
    </w:p>
    <w:p w14:paraId="14EECA06" w14:textId="77777777" w:rsidR="00241383" w:rsidRDefault="00241383"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MET-İES’ler, emisyonların tesisi terk ettiği noktada geçerlidir.</w:t>
      </w:r>
    </w:p>
    <w:p w14:paraId="27C90360" w14:textId="77777777" w:rsidR="00AD055F" w:rsidRPr="007B6467" w:rsidRDefault="00AD055F" w:rsidP="00AD055F">
      <w:pPr>
        <w:pStyle w:val="Balk3"/>
        <w:spacing w:before="0" w:after="120" w:line="276" w:lineRule="auto"/>
        <w:jc w:val="both"/>
        <w:rPr>
          <w:rFonts w:cs="Times New Roman"/>
          <w:b w:val="0"/>
          <w:bCs/>
          <w:szCs w:val="24"/>
        </w:rPr>
      </w:pPr>
      <w:r>
        <w:rPr>
          <w:rFonts w:cs="Times New Roman"/>
          <w:bCs/>
          <w:szCs w:val="24"/>
        </w:rPr>
        <w:t>(3.3) Diğer Çevresel Performans Seviyeleri</w:t>
      </w:r>
    </w:p>
    <w:p w14:paraId="65934061" w14:textId="77777777" w:rsidR="00AD055F" w:rsidRPr="00436615" w:rsidRDefault="00436615" w:rsidP="00436615">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 xml:space="preserve">(3.3.1) </w:t>
      </w:r>
      <w:r w:rsidR="00657156">
        <w:rPr>
          <w:rFonts w:ascii="Times New Roman" w:hAnsi="Times New Roman" w:cs="Times New Roman"/>
          <w:b/>
          <w:bCs/>
          <w:i w:val="0"/>
          <w:iCs w:val="0"/>
          <w:color w:val="auto"/>
          <w:sz w:val="24"/>
          <w:szCs w:val="24"/>
        </w:rPr>
        <w:t>Özgül Enerji Tüketimi İçin Belirleyici Seviyeler</w:t>
      </w:r>
    </w:p>
    <w:p w14:paraId="5D19C684" w14:textId="77777777" w:rsidR="00AD055F" w:rsidRDefault="00C65F7B" w:rsidP="008E03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enerji tüketimine ilişkin belirleyici çevresel performans seviyeleri, aşağıdaki denklem kullanılarak hesaplanan yıllık ortalamaları ifade eder:</w:t>
      </w:r>
    </w:p>
    <w:p w14:paraId="40E1AAC4" w14:textId="77777777" w:rsidR="00C65F7B" w:rsidRDefault="00BF35CB" w:rsidP="00C65F7B">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enerji tüketimi = </w:t>
      </w:r>
      <m:oMath>
        <m:f>
          <m:fPr>
            <m:ctrlPr>
              <w:rPr>
                <w:rFonts w:ascii="Cambria Math" w:hAnsi="Cambria Math" w:cs="Times New Roman"/>
                <w:i/>
                <w:sz w:val="28"/>
                <w:szCs w:val="28"/>
              </w:rPr>
            </m:ctrlPr>
          </m:fPr>
          <m:num>
            <m:r>
              <m:rPr>
                <m:sty m:val="p"/>
              </m:rPr>
              <w:rPr>
                <w:rFonts w:ascii="Cambria Math" w:hAnsi="Cambria Math" w:cs="Times New Roman"/>
                <w:sz w:val="28"/>
                <w:szCs w:val="28"/>
              </w:rPr>
              <m:t>enerji tüketim oranı</m:t>
            </m:r>
          </m:num>
          <m:den>
            <m:r>
              <m:rPr>
                <m:sty m:val="p"/>
              </m:rPr>
              <w:rPr>
                <w:rFonts w:ascii="Cambria Math" w:hAnsi="Cambria Math" w:cs="Times New Roman"/>
                <w:sz w:val="28"/>
                <w:szCs w:val="28"/>
              </w:rPr>
              <m:t>faaliyet oranı</m:t>
            </m:r>
          </m:den>
        </m:f>
      </m:oMath>
    </w:p>
    <w:p w14:paraId="2C6101DD" w14:textId="77777777" w:rsidR="003274D3" w:rsidRDefault="00BF35CB" w:rsidP="00C54F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enerji tüketim oranı: MWh/yıl olarak ifade edilen, termal arıtmadan geri kazanılan ısının çıkarıldığı, termal arıtma tarafından tüketilen ısı ve elektriğin toplam yıllık miktarı;</w:t>
      </w:r>
    </w:p>
    <w:p w14:paraId="20913AE7" w14:textId="77777777" w:rsidR="00BF35CB" w:rsidRDefault="00BF35CB" w:rsidP="00C54F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 t/yıl olarak ifade edilen, termal arıtmada işlenen tekstil materyallerinin toplam yıllık miktarı.</w:t>
      </w:r>
    </w:p>
    <w:p w14:paraId="7E8D6B8F" w14:textId="77777777" w:rsidR="00BF35CB" w:rsidRPr="00436615" w:rsidRDefault="00BF35CB" w:rsidP="00BF35CB">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(3.3.2) Özgül Su Tüketimi İçin Belirleyici Seviyeler</w:t>
      </w:r>
    </w:p>
    <w:p w14:paraId="12643D45" w14:textId="77777777" w:rsidR="00BF35CB" w:rsidRDefault="00A257E2" w:rsidP="00C54F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su tüketimine ilişkin belirleyici çevresel performans seviyeleri, aşağıdaki denklem kullanılarak hesaplanan yıllık ortalamaları ifade eder:</w:t>
      </w:r>
    </w:p>
    <w:p w14:paraId="2A8F3E55" w14:textId="77777777" w:rsidR="00A257E2" w:rsidRDefault="00A257E2" w:rsidP="00A257E2">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su tüketimi = </w:t>
      </w:r>
      <m:oMath>
        <m:f>
          <m:fPr>
            <m:ctrlPr>
              <w:rPr>
                <w:rFonts w:ascii="Cambria Math" w:hAnsi="Cambria Math" w:cs="Times New Roman"/>
                <w:i/>
                <w:sz w:val="28"/>
                <w:szCs w:val="28"/>
              </w:rPr>
            </m:ctrlPr>
          </m:fPr>
          <m:num>
            <m:r>
              <m:rPr>
                <m:sty m:val="p"/>
              </m:rPr>
              <w:rPr>
                <w:rFonts w:ascii="Cambria Math" w:hAnsi="Cambria Math" w:cs="Times New Roman"/>
                <w:sz w:val="28"/>
                <w:szCs w:val="28"/>
              </w:rPr>
              <m:t>su tüketim oranı</m:t>
            </m:r>
          </m:num>
          <m:den>
            <m:r>
              <m:rPr>
                <m:sty m:val="p"/>
              </m:rPr>
              <w:rPr>
                <w:rFonts w:ascii="Cambria Math" w:hAnsi="Cambria Math" w:cs="Times New Roman"/>
                <w:sz w:val="28"/>
                <w:szCs w:val="28"/>
              </w:rPr>
              <m:t>faaliyet oranı</m:t>
            </m:r>
          </m:den>
        </m:f>
      </m:oMath>
    </w:p>
    <w:p w14:paraId="54571A8B" w14:textId="77777777" w:rsidR="001E1C12" w:rsidRDefault="00A257E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su tüketim oranı: m</w:t>
      </w:r>
      <w:r>
        <w:rPr>
          <w:rFonts w:ascii="Times New Roman" w:hAnsi="Times New Roman" w:cs="Times New Roman"/>
          <w:sz w:val="24"/>
          <w:szCs w:val="24"/>
          <w:vertAlign w:val="superscript"/>
        </w:rPr>
        <w:t>3</w:t>
      </w:r>
      <w:r>
        <w:rPr>
          <w:rFonts w:ascii="Times New Roman" w:hAnsi="Times New Roman" w:cs="Times New Roman"/>
          <w:sz w:val="24"/>
          <w:szCs w:val="24"/>
        </w:rPr>
        <w:t>/yıl olarak ifade edilen, proseste yeniden kullanılan ve/veya prosese geri dönüştürülen suyun çıkarıldığı, tekstil materyallerinin yıkanması ve durulanması ile ekipman temizliği için kullanılan su dahil olmak üzere, belirli bir proses (örn. ağartma) tarafından tüketilen suyun toplam yıllık miktarı;</w:t>
      </w:r>
    </w:p>
    <w:p w14:paraId="2CA23444" w14:textId="77777777" w:rsidR="00A257E2" w:rsidRDefault="00A257E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 t/yıl olarak ifade edilen, belirli bir proseste (örn. ağartma) işlenen tekstil materyallerinin toplam yıllık miktarı.</w:t>
      </w:r>
    </w:p>
    <w:p w14:paraId="65BBF283" w14:textId="77777777" w:rsidR="00A257E2" w:rsidRPr="00436615" w:rsidRDefault="00A257E2" w:rsidP="00A257E2">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(3.3.3) Mevcut En İyi Teknikler ile İlişkili Özgül Yün Yağı Geri Kazanım Seviyesi</w:t>
      </w:r>
    </w:p>
    <w:p w14:paraId="76537550" w14:textId="77777777" w:rsidR="00A257E2" w:rsidRDefault="005753CC"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yün yağı geri kazanımına ilişkin çevresel performans seviyesi, aşağıdaki denklem kullanılarak hesaplanan yıllık ortalamayı ifade eder:</w:t>
      </w:r>
    </w:p>
    <w:p w14:paraId="7AC86336" w14:textId="77777777" w:rsidR="005753CC" w:rsidRDefault="005753CC" w:rsidP="005753CC">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yün yağı geri kazanımı = </w:t>
      </w:r>
      <m:oMath>
        <m:f>
          <m:fPr>
            <m:ctrlPr>
              <w:rPr>
                <w:rFonts w:ascii="Cambria Math" w:hAnsi="Cambria Math" w:cs="Times New Roman"/>
                <w:i/>
                <w:sz w:val="28"/>
                <w:szCs w:val="28"/>
              </w:rPr>
            </m:ctrlPr>
          </m:fPr>
          <m:num>
            <m:r>
              <m:rPr>
                <m:sty m:val="p"/>
              </m:rPr>
              <w:rPr>
                <w:rFonts w:ascii="Cambria Math" w:hAnsi="Cambria Math" w:cs="Times New Roman"/>
                <w:sz w:val="28"/>
                <w:szCs w:val="28"/>
              </w:rPr>
              <m:t>geri kazanılan yün yağı oranı</m:t>
            </m:r>
          </m:num>
          <m:den>
            <m:r>
              <m:rPr>
                <m:sty m:val="p"/>
              </m:rPr>
              <w:rPr>
                <w:rFonts w:ascii="Cambria Math" w:hAnsi="Cambria Math" w:cs="Times New Roman"/>
                <w:sz w:val="28"/>
                <w:szCs w:val="28"/>
              </w:rPr>
              <m:t>faaliyet oranı</m:t>
            </m:r>
          </m:den>
        </m:f>
      </m:oMath>
    </w:p>
    <w:p w14:paraId="74931735" w14:textId="77777777" w:rsidR="005753CC" w:rsidRDefault="00C8084D"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geri kazanılan yün yağı oranı: kg/yıl olarak ifade edilen, </w:t>
      </w:r>
      <w:r w:rsidR="001779C6">
        <w:rPr>
          <w:rFonts w:ascii="Times New Roman" w:hAnsi="Times New Roman" w:cs="Times New Roman"/>
          <w:sz w:val="24"/>
          <w:szCs w:val="24"/>
        </w:rPr>
        <w:t>ham yün liflerinin pişirme yolu ile ön işleminden geri kazanılan yün yağının toplam yıllık miktarı;</w:t>
      </w:r>
    </w:p>
    <w:p w14:paraId="49EE518D" w14:textId="77777777" w:rsidR="001779C6" w:rsidRDefault="001779C6"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 t/yıl olarak ifade edilen, pişirme yolu ile ön işlem gören ham yün liflerinin toplam yıllık miktarı.</w:t>
      </w:r>
    </w:p>
    <w:p w14:paraId="56BB6D75" w14:textId="77777777" w:rsidR="001779C6" w:rsidRPr="00436615" w:rsidRDefault="001779C6" w:rsidP="001779C6">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(3.3.4) Mevcut En İyi Teknikler ile İlişkili Kostik Soda Geri Kazanım Seviyesi</w:t>
      </w:r>
    </w:p>
    <w:p w14:paraId="6F62F62C" w14:textId="77777777" w:rsidR="001779C6" w:rsidRDefault="008C490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Kostik soda geri kazanımına ilişkin çevresel performans seviyesi, aşağıdaki denklem kullanılarak hesaplanan yıllık ortalamayı ifade eder:</w:t>
      </w:r>
    </w:p>
    <w:p w14:paraId="428AD990" w14:textId="77777777" w:rsidR="008C4902" w:rsidRPr="00A257E2" w:rsidRDefault="007A1BBD" w:rsidP="00AC1C0A">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kostik soda</w:t>
      </w:r>
      <w:r w:rsidR="00AC1C0A">
        <w:rPr>
          <w:rFonts w:ascii="Times New Roman" w:hAnsi="Times New Roman" w:cs="Times New Roman"/>
          <w:sz w:val="24"/>
          <w:szCs w:val="24"/>
        </w:rPr>
        <w:t xml:space="preserve"> geri kazanımı = </w:t>
      </w:r>
      <m:oMath>
        <m:f>
          <m:fPr>
            <m:ctrlPr>
              <w:rPr>
                <w:rFonts w:ascii="Cambria Math" w:hAnsi="Cambria Math" w:cs="Times New Roman"/>
                <w:i/>
                <w:sz w:val="28"/>
                <w:szCs w:val="28"/>
              </w:rPr>
            </m:ctrlPr>
          </m:fPr>
          <m:num>
            <m:r>
              <m:rPr>
                <m:sty m:val="p"/>
              </m:rPr>
              <w:rPr>
                <w:rFonts w:ascii="Cambria Math" w:hAnsi="Cambria Math" w:cs="Times New Roman"/>
                <w:sz w:val="28"/>
                <w:szCs w:val="28"/>
              </w:rPr>
              <m:t>geri kazanılan kostik soda oranı</m:t>
            </m:r>
          </m:num>
          <m:den>
            <m:r>
              <m:rPr>
                <m:sty m:val="p"/>
              </m:rPr>
              <w:rPr>
                <w:rFonts w:ascii="Cambria Math" w:hAnsi="Cambria Math" w:cs="Times New Roman"/>
                <w:sz w:val="28"/>
                <w:szCs w:val="28"/>
              </w:rPr>
              <m:t>geri kazanımdan önceki kostik soda oranı</m:t>
            </m:r>
          </m:den>
        </m:f>
      </m:oMath>
    </w:p>
    <w:p w14:paraId="63C95296" w14:textId="77777777" w:rsidR="00A257E2" w:rsidRDefault="00693BCB"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geri kazanılan kostik soda oranı: kg/yıl olarak ifade edilen, kullanılmış merserizasyon durulama suyundan geri kazanılan kostik sodanın toplam yıllık miktarı;</w:t>
      </w:r>
    </w:p>
    <w:p w14:paraId="3D722633" w14:textId="77777777" w:rsidR="00693BCB" w:rsidRDefault="00693BCB"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geri kazanımdan önceki kostik soda oranı: kg/yıl olarak ifade edilen, kullanılmış merserizasyon durulama suyundaki kostik sodanın toplam yıllık miktarı.</w:t>
      </w:r>
    </w:p>
    <w:p w14:paraId="5F3046F8" w14:textId="77777777" w:rsidR="000654B8" w:rsidRPr="007A3693" w:rsidRDefault="000654B8" w:rsidP="000654B8">
      <w:pPr>
        <w:pStyle w:val="Balk2"/>
        <w:spacing w:before="0" w:after="120" w:line="276" w:lineRule="auto"/>
        <w:jc w:val="both"/>
        <w:rPr>
          <w:rFonts w:cs="Times New Roman"/>
          <w:b/>
          <w:bCs/>
          <w:szCs w:val="24"/>
        </w:rPr>
      </w:pPr>
      <w:r>
        <w:rPr>
          <w:rFonts w:cs="Times New Roman"/>
          <w:b/>
          <w:bCs/>
          <w:szCs w:val="24"/>
        </w:rPr>
        <w:t>(4) Mezbahalar, Hayvansal Yan Ürünler ve/veya Yenilebilir Ortak Ürünler Sektörleri</w:t>
      </w:r>
    </w:p>
    <w:p w14:paraId="5A1F8D21" w14:textId="77777777" w:rsidR="00B2134C" w:rsidRPr="007B6467" w:rsidRDefault="00B2134C" w:rsidP="00B2134C">
      <w:pPr>
        <w:pStyle w:val="Balk3"/>
        <w:spacing w:before="0" w:after="120" w:line="276" w:lineRule="auto"/>
        <w:jc w:val="both"/>
        <w:rPr>
          <w:rFonts w:cs="Times New Roman"/>
          <w:b w:val="0"/>
          <w:bCs/>
          <w:szCs w:val="24"/>
        </w:rPr>
      </w:pPr>
      <w:r>
        <w:rPr>
          <w:rFonts w:cs="Times New Roman"/>
          <w:bCs/>
          <w:szCs w:val="24"/>
        </w:rPr>
        <w:t>(4.1) Mevcut En İyi Teknikler</w:t>
      </w:r>
    </w:p>
    <w:p w14:paraId="0776208E" w14:textId="25FE6F6F" w:rsidR="00B2134C" w:rsidRDefault="00B2134C" w:rsidP="00B2134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sidR="00D16060">
        <w:rPr>
          <w:rFonts w:ascii="Times New Roman" w:hAnsi="Times New Roman" w:cs="Times New Roman"/>
          <w:sz w:val="24"/>
          <w:szCs w:val="24"/>
        </w:rPr>
        <w:t>K</w:t>
      </w:r>
      <w:r>
        <w:rPr>
          <w:rFonts w:ascii="Times New Roman" w:hAnsi="Times New Roman" w:cs="Times New Roman"/>
          <w:sz w:val="24"/>
          <w:szCs w:val="24"/>
        </w:rPr>
        <w:t>-6’da sunulan MET sonuçlarında listelenen ve açıklanan teknikler, yerleşik ya da geniş kapsamlı ve ayrıntılı değildir. En azından eş değer nitelikte çevresel koruma sağlamak için diğer teknikler de kullanılabilir.</w:t>
      </w:r>
    </w:p>
    <w:p w14:paraId="59CB9AD6" w14:textId="515CA1C7" w:rsidR="00B2134C" w:rsidRDefault="00B2134C" w:rsidP="00B2134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w:t>
      </w:r>
      <w:r w:rsidR="000314F8">
        <w:rPr>
          <w:rFonts w:ascii="Times New Roman" w:hAnsi="Times New Roman" w:cs="Times New Roman"/>
          <w:sz w:val="24"/>
          <w:szCs w:val="24"/>
        </w:rPr>
        <w:t>6</w:t>
      </w:r>
      <w:r>
        <w:rPr>
          <w:rFonts w:ascii="Times New Roman" w:hAnsi="Times New Roman" w:cs="Times New Roman"/>
          <w:sz w:val="24"/>
          <w:szCs w:val="24"/>
        </w:rPr>
        <w:t>’</w:t>
      </w:r>
      <w:r w:rsidR="000314F8">
        <w:rPr>
          <w:rFonts w:ascii="Times New Roman" w:hAnsi="Times New Roman" w:cs="Times New Roman"/>
          <w:sz w:val="24"/>
          <w:szCs w:val="24"/>
        </w:rPr>
        <w:t>da</w:t>
      </w:r>
      <w:r>
        <w:rPr>
          <w:rFonts w:ascii="Times New Roman" w:hAnsi="Times New Roman" w:cs="Times New Roman"/>
          <w:sz w:val="24"/>
          <w:szCs w:val="24"/>
        </w:rPr>
        <w:t xml:space="preserve"> sunulan MET sonuçları genellikle uygulanabilir.</w:t>
      </w:r>
    </w:p>
    <w:p w14:paraId="72FFE6DF" w14:textId="77777777" w:rsidR="000F5E12" w:rsidRPr="007B6467" w:rsidRDefault="000F5E12" w:rsidP="000F5E12">
      <w:pPr>
        <w:pStyle w:val="Balk3"/>
        <w:spacing w:before="0" w:after="120" w:line="276" w:lineRule="auto"/>
        <w:jc w:val="both"/>
        <w:rPr>
          <w:rFonts w:cs="Times New Roman"/>
          <w:b w:val="0"/>
          <w:bCs/>
          <w:szCs w:val="24"/>
        </w:rPr>
      </w:pPr>
      <w:r>
        <w:rPr>
          <w:rFonts w:cs="Times New Roman"/>
          <w:bCs/>
          <w:szCs w:val="24"/>
        </w:rPr>
        <w:t>(4.2) Suya Emisyonlara Yönelik Mevcut En İyi Teknikler ile İlişkili Emisyon Seviyeleri (MET-İES</w:t>
      </w:r>
      <w:r w:rsidR="008C7C06">
        <w:rPr>
          <w:rFonts w:cs="Times New Roman"/>
          <w:bCs/>
          <w:szCs w:val="24"/>
        </w:rPr>
        <w:t>’ler</w:t>
      </w:r>
      <w:r>
        <w:rPr>
          <w:rFonts w:cs="Times New Roman"/>
          <w:bCs/>
          <w:szCs w:val="24"/>
        </w:rPr>
        <w:t>)</w:t>
      </w:r>
    </w:p>
    <w:p w14:paraId="5E48DEC3" w14:textId="319DDB71" w:rsidR="000F5E12" w:rsidRDefault="00D16060" w:rsidP="00B2134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8C7C06">
        <w:rPr>
          <w:rFonts w:ascii="Times New Roman" w:hAnsi="Times New Roman" w:cs="Times New Roman"/>
          <w:sz w:val="24"/>
          <w:szCs w:val="24"/>
        </w:rPr>
        <w:t xml:space="preserve">-6’da sunulan MET sonuçlarında verilen suya emisyonlara yönelik MET-İES’ler, </w:t>
      </w:r>
      <w:r w:rsidR="00CF1D69">
        <w:rPr>
          <w:rFonts w:ascii="Times New Roman" w:hAnsi="Times New Roman" w:cs="Times New Roman"/>
          <w:sz w:val="24"/>
          <w:szCs w:val="24"/>
        </w:rPr>
        <w:t>mg/L olarak belirtilen konsantrasyonları (su hacmi başına salınan madde kütlesi) ifade eder.</w:t>
      </w:r>
    </w:p>
    <w:p w14:paraId="2C96D275" w14:textId="77777777" w:rsidR="00CF1D69" w:rsidRDefault="00CF1D69" w:rsidP="00B2134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MET-İES’ler ile ilişkili ortalama süreleri, aşağıdaki iki durumdan birini ifade eder:</w:t>
      </w:r>
    </w:p>
    <w:p w14:paraId="31149065" w14:textId="79C6D5EB" w:rsidR="00CF1D69" w:rsidRDefault="00CF1D69" w:rsidP="00B2134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t>
      </w:r>
      <w:r w:rsidR="003526A3">
        <w:rPr>
          <w:rFonts w:ascii="Times New Roman" w:hAnsi="Times New Roman" w:cs="Times New Roman"/>
          <w:sz w:val="24"/>
          <w:szCs w:val="24"/>
        </w:rPr>
        <w:t xml:space="preserve"> </w:t>
      </w:r>
      <w:r>
        <w:rPr>
          <w:rFonts w:ascii="Times New Roman" w:hAnsi="Times New Roman" w:cs="Times New Roman"/>
          <w:sz w:val="24"/>
          <w:szCs w:val="24"/>
        </w:rPr>
        <w:t xml:space="preserve">Sürekli deşarj durumunda, günlük ortalama değerler -diğer bir ifadeyle, </w:t>
      </w:r>
      <w:r w:rsidR="002D20F7">
        <w:rPr>
          <w:rFonts w:ascii="Times New Roman" w:hAnsi="Times New Roman" w:cs="Times New Roman"/>
          <w:sz w:val="24"/>
          <w:szCs w:val="24"/>
        </w:rPr>
        <w:t>akış orantılı 24 saatlik kompozit örnekler.</w:t>
      </w:r>
    </w:p>
    <w:p w14:paraId="7CF44DE0" w14:textId="5C0999EC" w:rsidR="00D745AD" w:rsidRDefault="002D20F7"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3526A3">
        <w:rPr>
          <w:rFonts w:ascii="Times New Roman" w:hAnsi="Times New Roman" w:cs="Times New Roman"/>
          <w:sz w:val="24"/>
          <w:szCs w:val="24"/>
        </w:rPr>
        <w:t xml:space="preserve"> </w:t>
      </w:r>
      <w:r>
        <w:rPr>
          <w:rFonts w:ascii="Times New Roman" w:hAnsi="Times New Roman" w:cs="Times New Roman"/>
          <w:sz w:val="24"/>
          <w:szCs w:val="24"/>
        </w:rPr>
        <w:t xml:space="preserve">Kesikli deşarj durumunda, </w:t>
      </w:r>
      <w:r w:rsidR="00D745AD">
        <w:rPr>
          <w:rFonts w:ascii="Times New Roman" w:hAnsi="Times New Roman" w:cs="Times New Roman"/>
          <w:sz w:val="24"/>
          <w:szCs w:val="24"/>
        </w:rPr>
        <w:t>akış orantılı kompozit örnekler olarak alınan salım süresi üzerinden ortalama değerler veya atık suyun uygun bir şekilde karıştırılması ve homojen olması halinde, deşarjdan önce alınan anlık numune.</w:t>
      </w:r>
    </w:p>
    <w:p w14:paraId="435C8CC0" w14:textId="77777777" w:rsidR="00D745AD" w:rsidRDefault="00D745AD"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Zaman orantılı kompozit örnekler, yeterli akış stabilitesi sağlanması halinde kullanılabilir. Alternatif olarak, atık suyun uygun bir şekilde karıştırılması ve homojen olması halinde anlık örnekler alınabilir.</w:t>
      </w:r>
    </w:p>
    <w:p w14:paraId="50907DB0" w14:textId="414B85CD" w:rsidR="00D745AD" w:rsidRDefault="00D745AD"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Toplam organik karbon (</w:t>
      </w:r>
      <w:r w:rsidR="009D570E">
        <w:rPr>
          <w:rFonts w:ascii="Times New Roman" w:hAnsi="Times New Roman" w:cs="Times New Roman"/>
          <w:sz w:val="24"/>
          <w:szCs w:val="24"/>
        </w:rPr>
        <w:t>TOK</w:t>
      </w:r>
      <w:r>
        <w:rPr>
          <w:rFonts w:ascii="Times New Roman" w:hAnsi="Times New Roman" w:cs="Times New Roman"/>
          <w:sz w:val="24"/>
          <w:szCs w:val="24"/>
        </w:rPr>
        <w:t>), toplam azot (TN) ve kimyasal oksijen ihtiyacı (</w:t>
      </w:r>
      <w:r w:rsidR="009D570E">
        <w:rPr>
          <w:rFonts w:ascii="Times New Roman" w:hAnsi="Times New Roman" w:cs="Times New Roman"/>
          <w:sz w:val="24"/>
          <w:szCs w:val="24"/>
        </w:rPr>
        <w:t>KOİ</w:t>
      </w:r>
      <w:r>
        <w:rPr>
          <w:rFonts w:ascii="Times New Roman" w:hAnsi="Times New Roman" w:cs="Times New Roman"/>
          <w:sz w:val="24"/>
          <w:szCs w:val="24"/>
        </w:rPr>
        <w:t xml:space="preserve">) durumunda, </w:t>
      </w:r>
      <w:r w:rsidR="00D16060">
        <w:rPr>
          <w:rFonts w:ascii="Times New Roman" w:hAnsi="Times New Roman" w:cs="Times New Roman"/>
          <w:sz w:val="24"/>
          <w:szCs w:val="24"/>
        </w:rPr>
        <w:t>EK</w:t>
      </w:r>
      <w:r>
        <w:rPr>
          <w:rFonts w:ascii="Times New Roman" w:hAnsi="Times New Roman" w:cs="Times New Roman"/>
          <w:sz w:val="24"/>
          <w:szCs w:val="24"/>
        </w:rPr>
        <w:t>-6’da sunulan MET sonuçlarında (bkz. Tablo 1.</w:t>
      </w:r>
      <w:r w:rsidR="00D35FDE">
        <w:rPr>
          <w:rFonts w:ascii="Times New Roman" w:hAnsi="Times New Roman" w:cs="Times New Roman"/>
          <w:sz w:val="24"/>
          <w:szCs w:val="24"/>
        </w:rPr>
        <w:t>1</w:t>
      </w:r>
      <w:r>
        <w:rPr>
          <w:rFonts w:ascii="Times New Roman" w:hAnsi="Times New Roman" w:cs="Times New Roman"/>
          <w:sz w:val="24"/>
          <w:szCs w:val="24"/>
        </w:rPr>
        <w:t>) verilen ortalama azaltım verimliliği hesaplaması, atık su arıtma tesisinin giriş ve çıkış suyu yüküne bağlıdır.</w:t>
      </w:r>
    </w:p>
    <w:p w14:paraId="52329DE8" w14:textId="77777777" w:rsidR="00D745AD" w:rsidRDefault="00D745AD"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MET-İES’ler, emisyonların tesisi terk ettiği noktada geçerlidir.</w:t>
      </w:r>
    </w:p>
    <w:p w14:paraId="7AE0A65E" w14:textId="77777777" w:rsidR="00074018" w:rsidRPr="007B6467" w:rsidRDefault="00074018" w:rsidP="00074018">
      <w:pPr>
        <w:pStyle w:val="Balk3"/>
        <w:spacing w:before="0" w:after="120" w:line="276" w:lineRule="auto"/>
        <w:jc w:val="both"/>
        <w:rPr>
          <w:rFonts w:cs="Times New Roman"/>
          <w:b w:val="0"/>
          <w:bCs/>
          <w:szCs w:val="24"/>
        </w:rPr>
      </w:pPr>
      <w:r>
        <w:rPr>
          <w:rFonts w:cs="Times New Roman"/>
          <w:bCs/>
          <w:szCs w:val="24"/>
        </w:rPr>
        <w:t xml:space="preserve">(4.3) </w:t>
      </w:r>
      <w:r w:rsidR="0000173B">
        <w:rPr>
          <w:rFonts w:cs="Times New Roman"/>
          <w:bCs/>
          <w:szCs w:val="24"/>
        </w:rPr>
        <w:t>Havaya</w:t>
      </w:r>
      <w:r>
        <w:rPr>
          <w:rFonts w:cs="Times New Roman"/>
          <w:bCs/>
          <w:szCs w:val="24"/>
        </w:rPr>
        <w:t xml:space="preserve"> Emisyonlara Yönelik Mevcut En İyi Teknikler ile İlişkili Emisyon Seviyeleri (MET-İES’ler) ve Baca Gazı Emisyonları İçin Belirleyici Emisyon Seviye</w:t>
      </w:r>
      <w:r w:rsidR="00936F21">
        <w:rPr>
          <w:rFonts w:cs="Times New Roman"/>
          <w:bCs/>
          <w:szCs w:val="24"/>
        </w:rPr>
        <w:t>si</w:t>
      </w:r>
    </w:p>
    <w:p w14:paraId="175B633B" w14:textId="2EE4EA77" w:rsidR="00225A94" w:rsidRDefault="00D16060" w:rsidP="00225A9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225A94">
        <w:rPr>
          <w:rFonts w:ascii="Times New Roman" w:hAnsi="Times New Roman" w:cs="Times New Roman"/>
          <w:sz w:val="24"/>
          <w:szCs w:val="24"/>
        </w:rPr>
        <w:t>-6’da sunulan MET sonuçlarında belirtilen havaya emisyonlar için MET-İES’ler</w:t>
      </w:r>
      <w:r w:rsidR="00DA7D13">
        <w:rPr>
          <w:rFonts w:ascii="Times New Roman" w:hAnsi="Times New Roman" w:cs="Times New Roman"/>
          <w:sz w:val="24"/>
          <w:szCs w:val="24"/>
        </w:rPr>
        <w:t xml:space="preserve"> ve baca gazı emisyonları için belirleyici emisyon seviye</w:t>
      </w:r>
      <w:r w:rsidR="005A2EF1">
        <w:rPr>
          <w:rFonts w:ascii="Times New Roman" w:hAnsi="Times New Roman" w:cs="Times New Roman"/>
          <w:sz w:val="24"/>
          <w:szCs w:val="24"/>
        </w:rPr>
        <w:t>si</w:t>
      </w:r>
      <w:r w:rsidR="00225A94">
        <w:rPr>
          <w:rFonts w:ascii="Times New Roman" w:hAnsi="Times New Roman" w:cs="Times New Roman"/>
          <w:sz w:val="24"/>
          <w:szCs w:val="24"/>
        </w:rPr>
        <w:t>, şu standart koşullar altındaki konsantrasyonları (atık gaz hacmi başına salınan madde kütlesi) ifade eder: Oksijen içeriği için düzeltme olmaksızın ve mg/Nm</w:t>
      </w:r>
      <w:r w:rsidR="00225A94">
        <w:rPr>
          <w:rFonts w:ascii="Times New Roman" w:hAnsi="Times New Roman" w:cs="Times New Roman"/>
          <w:sz w:val="24"/>
          <w:szCs w:val="24"/>
          <w:vertAlign w:val="superscript"/>
        </w:rPr>
        <w:t>3</w:t>
      </w:r>
      <w:r w:rsidR="00225A94">
        <w:rPr>
          <w:rFonts w:ascii="Times New Roman" w:hAnsi="Times New Roman" w:cs="Times New Roman"/>
          <w:sz w:val="24"/>
          <w:szCs w:val="24"/>
        </w:rPr>
        <w:t xml:space="preserve"> </w:t>
      </w:r>
      <w:r w:rsidR="00DA7252">
        <w:rPr>
          <w:rFonts w:ascii="Times New Roman" w:hAnsi="Times New Roman" w:cs="Times New Roman"/>
          <w:sz w:val="24"/>
          <w:szCs w:val="24"/>
        </w:rPr>
        <w:t xml:space="preserve">veya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ou</m:t>
            </m:r>
          </m:e>
          <m:sub>
            <m:r>
              <m:rPr>
                <m:sty m:val="p"/>
              </m:rPr>
              <w:rPr>
                <w:rFonts w:ascii="Cambria Math" w:hAnsi="Cambria Math" w:cs="Times New Roman"/>
                <w:sz w:val="24"/>
                <w:szCs w:val="24"/>
              </w:rPr>
              <m:t>E</m:t>
            </m:r>
          </m:sub>
        </m:sSub>
      </m:oMath>
      <w:r w:rsidR="00DA7252">
        <w:rPr>
          <w:rFonts w:ascii="Times New Roman" w:hAnsi="Times New Roman" w:cs="Times New Roman"/>
          <w:sz w:val="24"/>
          <w:szCs w:val="24"/>
        </w:rPr>
        <w:t>/m</w:t>
      </w:r>
      <w:r w:rsidR="00DA7252">
        <w:rPr>
          <w:rFonts w:ascii="Times New Roman" w:hAnsi="Times New Roman" w:cs="Times New Roman"/>
          <w:sz w:val="24"/>
          <w:szCs w:val="24"/>
          <w:vertAlign w:val="superscript"/>
        </w:rPr>
        <w:t>3</w:t>
      </w:r>
      <w:r w:rsidR="00DA7252">
        <w:rPr>
          <w:rFonts w:ascii="Times New Roman" w:hAnsi="Times New Roman" w:cs="Times New Roman"/>
          <w:sz w:val="24"/>
          <w:szCs w:val="24"/>
        </w:rPr>
        <w:t xml:space="preserve"> </w:t>
      </w:r>
      <w:r w:rsidR="00225A94">
        <w:rPr>
          <w:rFonts w:ascii="Times New Roman" w:hAnsi="Times New Roman" w:cs="Times New Roman"/>
          <w:sz w:val="24"/>
          <w:szCs w:val="24"/>
        </w:rPr>
        <w:t>olarak ifade edilen 273,15 K sıcaklıkta</w:t>
      </w:r>
      <w:r w:rsidR="0000173B">
        <w:rPr>
          <w:rFonts w:ascii="Times New Roman" w:hAnsi="Times New Roman" w:cs="Times New Roman"/>
          <w:sz w:val="24"/>
          <w:szCs w:val="24"/>
        </w:rPr>
        <w:t xml:space="preserve"> (veya koku konsantrasyonu durumunda, 293 K sıcaklıkta ıslak gaz)</w:t>
      </w:r>
      <w:r w:rsidR="00225A94">
        <w:rPr>
          <w:rFonts w:ascii="Times New Roman" w:hAnsi="Times New Roman" w:cs="Times New Roman"/>
          <w:sz w:val="24"/>
          <w:szCs w:val="24"/>
        </w:rPr>
        <w:t xml:space="preserve"> ve 101,3 kPa basınçta kuru gaz.</w:t>
      </w:r>
    </w:p>
    <w:p w14:paraId="27FA844F" w14:textId="77777777" w:rsidR="00225A94" w:rsidRDefault="00225A94" w:rsidP="00225A9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Havaya emisyonlar için MET-İES’lere</w:t>
      </w:r>
      <w:r w:rsidR="0000173B">
        <w:rPr>
          <w:rFonts w:ascii="Times New Roman" w:hAnsi="Times New Roman" w:cs="Times New Roman"/>
          <w:sz w:val="24"/>
          <w:szCs w:val="24"/>
        </w:rPr>
        <w:t xml:space="preserve"> ve baca gazı emisyonları için belirleyici emisyon seviyesine</w:t>
      </w:r>
      <w:r>
        <w:rPr>
          <w:rFonts w:ascii="Times New Roman" w:hAnsi="Times New Roman" w:cs="Times New Roman"/>
          <w:sz w:val="24"/>
          <w:szCs w:val="24"/>
        </w:rPr>
        <w:t xml:space="preserve"> yönelik ortalama süreleri için, aşağıdaki açıklama geçerlidir.</w:t>
      </w:r>
    </w:p>
    <w:tbl>
      <w:tblPr>
        <w:tblStyle w:val="TabloKlavuzu"/>
        <w:tblW w:w="0" w:type="auto"/>
        <w:jc w:val="center"/>
        <w:tblLook w:val="04A0" w:firstRow="1" w:lastRow="0" w:firstColumn="1" w:lastColumn="0" w:noHBand="0" w:noVBand="1"/>
      </w:tblPr>
      <w:tblGrid>
        <w:gridCol w:w="1838"/>
        <w:gridCol w:w="3609"/>
        <w:gridCol w:w="3615"/>
      </w:tblGrid>
      <w:tr w:rsidR="00225A94" w:rsidRPr="00BA34D0" w14:paraId="6BD808BA" w14:textId="77777777" w:rsidTr="0024730D">
        <w:trPr>
          <w:jc w:val="center"/>
        </w:trPr>
        <w:tc>
          <w:tcPr>
            <w:tcW w:w="1838" w:type="dxa"/>
            <w:vAlign w:val="center"/>
          </w:tcPr>
          <w:p w14:paraId="50B2952D" w14:textId="77777777" w:rsidR="00225A94" w:rsidRPr="00890696" w:rsidRDefault="00225A94" w:rsidP="0024730D">
            <w:pPr>
              <w:jc w:val="center"/>
              <w:rPr>
                <w:rFonts w:ascii="Times New Roman" w:hAnsi="Times New Roman" w:cs="Times New Roman"/>
                <w:b/>
                <w:bCs/>
              </w:rPr>
            </w:pPr>
            <w:r>
              <w:rPr>
                <w:rFonts w:ascii="Times New Roman" w:hAnsi="Times New Roman" w:cs="Times New Roman"/>
                <w:b/>
                <w:bCs/>
              </w:rPr>
              <w:t>Ölçüm Türü</w:t>
            </w:r>
          </w:p>
        </w:tc>
        <w:tc>
          <w:tcPr>
            <w:tcW w:w="3609" w:type="dxa"/>
            <w:vAlign w:val="center"/>
          </w:tcPr>
          <w:p w14:paraId="6E11CE50" w14:textId="77777777" w:rsidR="00225A94" w:rsidRPr="00890696" w:rsidRDefault="00225A94" w:rsidP="0024730D">
            <w:pPr>
              <w:jc w:val="center"/>
              <w:rPr>
                <w:rFonts w:ascii="Times New Roman" w:hAnsi="Times New Roman" w:cs="Times New Roman"/>
                <w:b/>
                <w:bCs/>
              </w:rPr>
            </w:pPr>
            <w:r>
              <w:rPr>
                <w:rFonts w:ascii="Times New Roman" w:hAnsi="Times New Roman" w:cs="Times New Roman"/>
                <w:b/>
                <w:bCs/>
              </w:rPr>
              <w:t>Ortalama Süresi</w:t>
            </w:r>
          </w:p>
        </w:tc>
        <w:tc>
          <w:tcPr>
            <w:tcW w:w="3615" w:type="dxa"/>
            <w:vAlign w:val="center"/>
          </w:tcPr>
          <w:p w14:paraId="3C24D3A4" w14:textId="77777777" w:rsidR="00225A94" w:rsidRPr="00890696" w:rsidRDefault="00225A94" w:rsidP="0024730D">
            <w:pPr>
              <w:jc w:val="center"/>
              <w:rPr>
                <w:rFonts w:ascii="Times New Roman" w:hAnsi="Times New Roman" w:cs="Times New Roman"/>
                <w:b/>
                <w:bCs/>
              </w:rPr>
            </w:pPr>
            <w:r>
              <w:rPr>
                <w:rFonts w:ascii="Times New Roman" w:hAnsi="Times New Roman" w:cs="Times New Roman"/>
                <w:b/>
                <w:bCs/>
              </w:rPr>
              <w:t>Açıklama</w:t>
            </w:r>
          </w:p>
        </w:tc>
      </w:tr>
      <w:tr w:rsidR="00225A94" w:rsidRPr="00BA34D0" w14:paraId="395D9D46" w14:textId="77777777" w:rsidTr="0024730D">
        <w:trPr>
          <w:jc w:val="center"/>
        </w:trPr>
        <w:tc>
          <w:tcPr>
            <w:tcW w:w="1838" w:type="dxa"/>
            <w:tcBorders>
              <w:bottom w:val="single" w:sz="4" w:space="0" w:color="auto"/>
            </w:tcBorders>
            <w:vAlign w:val="center"/>
          </w:tcPr>
          <w:p w14:paraId="59D3B2B7" w14:textId="77777777" w:rsidR="00225A94" w:rsidRDefault="00225A94" w:rsidP="0024730D">
            <w:pPr>
              <w:jc w:val="center"/>
              <w:rPr>
                <w:rFonts w:ascii="Times New Roman" w:hAnsi="Times New Roman" w:cs="Times New Roman"/>
              </w:rPr>
            </w:pPr>
            <w:r>
              <w:rPr>
                <w:rFonts w:ascii="Times New Roman" w:hAnsi="Times New Roman" w:cs="Times New Roman"/>
              </w:rPr>
              <w:t>Periyodik</w:t>
            </w:r>
          </w:p>
        </w:tc>
        <w:tc>
          <w:tcPr>
            <w:tcW w:w="3609" w:type="dxa"/>
            <w:tcBorders>
              <w:bottom w:val="single" w:sz="4" w:space="0" w:color="auto"/>
            </w:tcBorders>
            <w:vAlign w:val="center"/>
          </w:tcPr>
          <w:p w14:paraId="297C0D18" w14:textId="77777777" w:rsidR="00225A94" w:rsidRDefault="00225A94" w:rsidP="0024730D">
            <w:pPr>
              <w:jc w:val="center"/>
              <w:rPr>
                <w:rFonts w:ascii="Times New Roman" w:hAnsi="Times New Roman" w:cs="Times New Roman"/>
              </w:rPr>
            </w:pPr>
            <w:r>
              <w:rPr>
                <w:rFonts w:ascii="Times New Roman" w:hAnsi="Times New Roman" w:cs="Times New Roman"/>
              </w:rPr>
              <w:t>örnekleme süresi üzerinden ortalama</w:t>
            </w:r>
          </w:p>
        </w:tc>
        <w:tc>
          <w:tcPr>
            <w:tcW w:w="3615" w:type="dxa"/>
            <w:tcBorders>
              <w:bottom w:val="single" w:sz="4" w:space="0" w:color="auto"/>
            </w:tcBorders>
            <w:vAlign w:val="center"/>
          </w:tcPr>
          <w:p w14:paraId="170F19CD" w14:textId="77777777" w:rsidR="00225A94" w:rsidRPr="00BA34D0" w:rsidRDefault="00225A94" w:rsidP="0024730D">
            <w:pPr>
              <w:jc w:val="both"/>
              <w:rPr>
                <w:rFonts w:ascii="Times New Roman" w:hAnsi="Times New Roman" w:cs="Times New Roman"/>
              </w:rPr>
            </w:pPr>
            <w:r>
              <w:rPr>
                <w:rFonts w:ascii="Times New Roman" w:hAnsi="Times New Roman" w:cs="Times New Roman"/>
              </w:rPr>
              <w:t>Her biri en az 30 dakikalık üç ardışık örneklemenin/ölçümün ortalama değeri. (</w:t>
            </w:r>
            <w:r w:rsidRPr="00890696">
              <w:rPr>
                <w:rFonts w:ascii="Times New Roman" w:hAnsi="Times New Roman" w:cs="Times New Roman"/>
                <w:vertAlign w:val="superscript"/>
              </w:rPr>
              <w:t>1</w:t>
            </w:r>
            <w:r>
              <w:rPr>
                <w:rFonts w:ascii="Times New Roman" w:hAnsi="Times New Roman" w:cs="Times New Roman"/>
              </w:rPr>
              <w:t>)</w:t>
            </w:r>
          </w:p>
        </w:tc>
      </w:tr>
      <w:tr w:rsidR="0010256D" w:rsidRPr="00BA34D0" w14:paraId="402F5AF2" w14:textId="77777777" w:rsidTr="001E6992">
        <w:trPr>
          <w:jc w:val="center"/>
        </w:trPr>
        <w:tc>
          <w:tcPr>
            <w:tcW w:w="9062" w:type="dxa"/>
            <w:gridSpan w:val="3"/>
            <w:tcBorders>
              <w:bottom w:val="single" w:sz="4" w:space="0" w:color="auto"/>
            </w:tcBorders>
            <w:vAlign w:val="center"/>
          </w:tcPr>
          <w:p w14:paraId="4824A088" w14:textId="4872FDC4" w:rsidR="0010256D" w:rsidRDefault="0010256D" w:rsidP="0024730D">
            <w:pPr>
              <w:jc w:val="both"/>
              <w:rPr>
                <w:rFonts w:ascii="Times New Roman" w:hAnsi="Times New Roman" w:cs="Times New Roman"/>
              </w:rPr>
            </w:pPr>
            <w:r>
              <w:rPr>
                <w:rFonts w:ascii="Times New Roman" w:hAnsi="Times New Roman" w:cs="Times New Roman"/>
                <w:i/>
                <w:iCs/>
                <w:sz w:val="20"/>
                <w:szCs w:val="20"/>
              </w:rPr>
              <w:t>(</w:t>
            </w:r>
            <w:r w:rsidRPr="00890696">
              <w:rPr>
                <w:rFonts w:ascii="Times New Roman" w:hAnsi="Times New Roman" w:cs="Times New Roman"/>
                <w:i/>
                <w:iCs/>
                <w:sz w:val="20"/>
                <w:szCs w:val="20"/>
                <w:vertAlign w:val="superscript"/>
              </w:rPr>
              <w:t>1</w:t>
            </w:r>
            <w:r>
              <w:rPr>
                <w:rFonts w:ascii="Times New Roman" w:hAnsi="Times New Roman" w:cs="Times New Roman"/>
                <w:i/>
                <w:iCs/>
                <w:sz w:val="20"/>
                <w:szCs w:val="20"/>
              </w:rPr>
              <w:t>) Örnekleme veya analitik kısıtlamalardan dolayı 30 dakikalık örneklemenin/ölçümün uygun olmadığı herhangi bir parametre için, daha temsili bir örnekleme/ölçüm prosedürü kullanılabilir (örn. koku konsantrasyonu için).</w:t>
            </w:r>
          </w:p>
        </w:tc>
      </w:tr>
      <w:tr w:rsidR="00225A94" w:rsidRPr="00890696" w14:paraId="30B78D57" w14:textId="77777777" w:rsidTr="0024730D">
        <w:trPr>
          <w:jc w:val="center"/>
        </w:trPr>
        <w:tc>
          <w:tcPr>
            <w:tcW w:w="9062" w:type="dxa"/>
            <w:gridSpan w:val="3"/>
            <w:tcBorders>
              <w:top w:val="single" w:sz="4" w:space="0" w:color="auto"/>
              <w:left w:val="nil"/>
              <w:bottom w:val="nil"/>
              <w:right w:val="nil"/>
            </w:tcBorders>
            <w:vAlign w:val="center"/>
          </w:tcPr>
          <w:p w14:paraId="57674B10" w14:textId="78708630" w:rsidR="00225A94" w:rsidRPr="00890696" w:rsidRDefault="00225A94" w:rsidP="0024730D">
            <w:pPr>
              <w:jc w:val="both"/>
              <w:rPr>
                <w:rFonts w:ascii="Times New Roman" w:hAnsi="Times New Roman" w:cs="Times New Roman"/>
                <w:i/>
                <w:iCs/>
                <w:sz w:val="20"/>
                <w:szCs w:val="20"/>
              </w:rPr>
            </w:pPr>
          </w:p>
        </w:tc>
      </w:tr>
    </w:tbl>
    <w:p w14:paraId="3DEA5B91" w14:textId="77777777" w:rsidR="00041A62" w:rsidRDefault="00041A62" w:rsidP="00225A9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İki veya daha fazla kaynaktan (örn. kurutucular) salınan atık gazlar, ortak bir bacadan deşarj edildiği durumlarda MET-İES ve belirleyici emisyon seviyesi, bacadan çıkan ortak deşarj için geçerlidir.</w:t>
      </w:r>
    </w:p>
    <w:p w14:paraId="62C7949A" w14:textId="77777777" w:rsidR="009C2BC0" w:rsidRPr="007B6467" w:rsidRDefault="009C2BC0" w:rsidP="009C2BC0">
      <w:pPr>
        <w:pStyle w:val="Balk3"/>
        <w:spacing w:before="0" w:after="120" w:line="276" w:lineRule="auto"/>
        <w:jc w:val="both"/>
        <w:rPr>
          <w:rFonts w:cs="Times New Roman"/>
          <w:b w:val="0"/>
          <w:bCs/>
          <w:szCs w:val="24"/>
        </w:rPr>
      </w:pPr>
      <w:r>
        <w:rPr>
          <w:rFonts w:cs="Times New Roman"/>
          <w:bCs/>
          <w:szCs w:val="24"/>
        </w:rPr>
        <w:t>(4.4) Soğutucu Kayıpları İçin Belirleyici Emisyon Seviyeleri</w:t>
      </w:r>
    </w:p>
    <w:p w14:paraId="1D9CCA5D" w14:textId="77777777" w:rsidR="00074018" w:rsidRDefault="00B75A2D"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Soğutucu kayıpları için belirleyici emisyon seviyeleri, 3 yıl süreli yıllık kayıplar üzerinden alınan yuvarlak ortalamayı ifade eder. </w:t>
      </w:r>
      <w:r w:rsidR="00171ADA">
        <w:rPr>
          <w:rFonts w:ascii="Times New Roman" w:hAnsi="Times New Roman" w:cs="Times New Roman"/>
          <w:sz w:val="24"/>
          <w:szCs w:val="24"/>
        </w:rPr>
        <w:t>Yıllık kayıplar, soğutma sistem(ler)inde bulunan soğutucu toplam miktarının yüzdesi (%) olarak belirtilir. Belli bir soğutucu için 1 yıl içindeki kayıplar, soğutma sistem(ler)ini yeniden doldurmak için kullanılan aynı soğutucunun miktarına eşittir.</w:t>
      </w:r>
    </w:p>
    <w:p w14:paraId="230C1346" w14:textId="77777777" w:rsidR="0037514E" w:rsidRPr="007B6467" w:rsidRDefault="0037514E" w:rsidP="0037514E">
      <w:pPr>
        <w:pStyle w:val="Balk3"/>
        <w:spacing w:before="0" w:after="120" w:line="276" w:lineRule="auto"/>
        <w:jc w:val="both"/>
        <w:rPr>
          <w:rFonts w:cs="Times New Roman"/>
          <w:b w:val="0"/>
          <w:bCs/>
          <w:szCs w:val="24"/>
        </w:rPr>
      </w:pPr>
      <w:r>
        <w:rPr>
          <w:rFonts w:cs="Times New Roman"/>
          <w:bCs/>
          <w:szCs w:val="24"/>
        </w:rPr>
        <w:t xml:space="preserve">(4.5) </w:t>
      </w:r>
      <w:r w:rsidR="00C52D02">
        <w:rPr>
          <w:rFonts w:cs="Times New Roman"/>
          <w:bCs/>
          <w:szCs w:val="24"/>
        </w:rPr>
        <w:t>Mevcut En İyi Teknikler ile İlişkili Diğer Çevresel Performans Seviyeleri (MET-İÇPS)</w:t>
      </w:r>
    </w:p>
    <w:p w14:paraId="214C34D4" w14:textId="77777777" w:rsidR="00C52D02" w:rsidRPr="00436615" w:rsidRDefault="00C52D02" w:rsidP="00C52D02">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(4.5.1) Özgül Atık Su Deşarjı İçin MET-İÇPS’ler</w:t>
      </w:r>
    </w:p>
    <w:p w14:paraId="03937F0A" w14:textId="77777777" w:rsidR="0037514E" w:rsidRDefault="00161819"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atık su deşarjı ile ilişkili çevresel performans seviyeleri, yıllık ortalamaları ifade eder ve aşağıdaki denklem kullanılarak hesaplanır:</w:t>
      </w:r>
    </w:p>
    <w:p w14:paraId="4C7D43D3" w14:textId="77777777" w:rsidR="00692BDC" w:rsidRDefault="00692BDC" w:rsidP="00692BDC">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özgül atık su deşarjı = </w:t>
      </w:r>
      <m:oMath>
        <m:f>
          <m:fPr>
            <m:ctrlPr>
              <w:rPr>
                <w:rFonts w:ascii="Cambria Math" w:hAnsi="Cambria Math" w:cs="Times New Roman"/>
                <w:i/>
                <w:sz w:val="28"/>
                <w:szCs w:val="28"/>
              </w:rPr>
            </m:ctrlPr>
          </m:fPr>
          <m:num>
            <m:r>
              <m:rPr>
                <m:sty m:val="p"/>
              </m:rPr>
              <w:rPr>
                <w:rFonts w:ascii="Cambria Math" w:hAnsi="Cambria Math" w:cs="Times New Roman"/>
                <w:sz w:val="28"/>
                <w:szCs w:val="28"/>
              </w:rPr>
              <m:t>atık su deşarjı</m:t>
            </m:r>
          </m:num>
          <m:den>
            <m:r>
              <m:rPr>
                <m:sty m:val="p"/>
              </m:rPr>
              <w:rPr>
                <w:rFonts w:ascii="Cambria Math" w:hAnsi="Cambria Math" w:cs="Times New Roman"/>
                <w:sz w:val="28"/>
                <w:szCs w:val="28"/>
              </w:rPr>
              <m:t>faaliyet oranı</m:t>
            </m:r>
          </m:den>
        </m:f>
      </m:oMath>
    </w:p>
    <w:p w14:paraId="7C9FE165" w14:textId="77777777" w:rsidR="00161819" w:rsidRDefault="00762838"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su deşarjı: ilgili ve belirli prosesler tarafından deşarj edilen (doğrudan deşarj, dolaylı deşarj ve/veya araziye dağılma) ve m</w:t>
      </w:r>
      <w:r>
        <w:rPr>
          <w:rFonts w:ascii="Times New Roman" w:hAnsi="Times New Roman" w:cs="Times New Roman"/>
          <w:sz w:val="24"/>
          <w:szCs w:val="24"/>
          <w:vertAlign w:val="superscript"/>
        </w:rPr>
        <w:t>3</w:t>
      </w:r>
      <w:r>
        <w:rPr>
          <w:rFonts w:ascii="Times New Roman" w:hAnsi="Times New Roman" w:cs="Times New Roman"/>
          <w:sz w:val="24"/>
          <w:szCs w:val="24"/>
        </w:rPr>
        <w:t>/yıl olarak belirtilen, ayrı olarak deşarj edilen herhangi bir soğutma suyu ve akıntı suyu haricindeki atık suyun toplam miktarı;</w:t>
      </w:r>
    </w:p>
    <w:p w14:paraId="1C96E78A" w14:textId="77777777" w:rsidR="00762838" w:rsidRDefault="00762838"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 aşağıdaki şekillerde belirtilen ürünlerin veya işlenen hammaddelerin toplam miktarı:</w:t>
      </w:r>
    </w:p>
    <w:p w14:paraId="643D58BF" w14:textId="7762CED1" w:rsidR="009B6D50" w:rsidRDefault="009B6D50"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hayvan karkasları tonu/yıl veya hayvan/yıl, mezbahalar için;</w:t>
      </w:r>
    </w:p>
    <w:p w14:paraId="20827965" w14:textId="24A53132" w:rsidR="009B6D50" w:rsidRDefault="009B6D50"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hammaddelerin tonu/yıl, hayvan yan ürün ve/veya yenebilir ortak ürün işleyen tesisler için.</w:t>
      </w:r>
    </w:p>
    <w:p w14:paraId="4877E1A5" w14:textId="77777777" w:rsidR="00B57D35" w:rsidRDefault="00B57D35"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Hayvan karkası ağırlığı, </w:t>
      </w:r>
      <w:r w:rsidR="004B6A40">
        <w:rPr>
          <w:rFonts w:ascii="Times New Roman" w:hAnsi="Times New Roman" w:cs="Times New Roman"/>
          <w:sz w:val="24"/>
          <w:szCs w:val="24"/>
        </w:rPr>
        <w:t>değerlendirme altındaki hayvan türüne bağlıdır:</w:t>
      </w:r>
    </w:p>
    <w:p w14:paraId="3A185B7F" w14:textId="705D1C02" w:rsidR="004B6A40" w:rsidRDefault="004B6A40"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Domuzlar: Kanı akıtıldıktan, iç</w:t>
      </w:r>
      <w:r w:rsidR="00AB1E29">
        <w:rPr>
          <w:rFonts w:ascii="Times New Roman" w:hAnsi="Times New Roman" w:cs="Times New Roman"/>
          <w:sz w:val="24"/>
          <w:szCs w:val="24"/>
        </w:rPr>
        <w:t xml:space="preserve">i temizlendikten </w:t>
      </w:r>
      <w:r>
        <w:rPr>
          <w:rFonts w:ascii="Times New Roman" w:hAnsi="Times New Roman" w:cs="Times New Roman"/>
          <w:sz w:val="24"/>
          <w:szCs w:val="24"/>
        </w:rPr>
        <w:t>ve dil, kıl, toynak, üreme organları, yaprak yağı, böbrekler ile diyafram alındıktan sonra, bütün haldeki veya orta hat boyunca ikiye bölünmüş, kesilmiş hayvanın soğuk vücut ağırlığı.</w:t>
      </w:r>
    </w:p>
    <w:p w14:paraId="537AE7D5" w14:textId="3F08788E" w:rsidR="004B6A40" w:rsidRDefault="004B6A40"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Büyükbaş Hayvanlar: Derisi yüzüldükten, kanı akıtıldıktan, iç</w:t>
      </w:r>
      <w:r w:rsidR="00AB1E29">
        <w:rPr>
          <w:rFonts w:ascii="Times New Roman" w:hAnsi="Times New Roman" w:cs="Times New Roman"/>
          <w:sz w:val="24"/>
          <w:szCs w:val="24"/>
        </w:rPr>
        <w:t xml:space="preserve">i temizlendikten </w:t>
      </w:r>
      <w:r>
        <w:rPr>
          <w:rFonts w:ascii="Times New Roman" w:hAnsi="Times New Roman" w:cs="Times New Roman"/>
          <w:sz w:val="24"/>
          <w:szCs w:val="24"/>
        </w:rPr>
        <w:t>ve dış üreme organları, bacaklar, baş, kuyruk, böbrekler ve böbrek yağları ile meme alındıktan sonra</w:t>
      </w:r>
      <w:r w:rsidR="00E25A6F">
        <w:rPr>
          <w:rFonts w:ascii="Times New Roman" w:hAnsi="Times New Roman" w:cs="Times New Roman"/>
          <w:sz w:val="24"/>
          <w:szCs w:val="24"/>
        </w:rPr>
        <w:t>,</w:t>
      </w:r>
      <w:r>
        <w:rPr>
          <w:rFonts w:ascii="Times New Roman" w:hAnsi="Times New Roman" w:cs="Times New Roman"/>
          <w:sz w:val="24"/>
          <w:szCs w:val="24"/>
        </w:rPr>
        <w:t xml:space="preserve"> kesilmiş hayvanın soğuk vücut ağırlığı.</w:t>
      </w:r>
    </w:p>
    <w:p w14:paraId="2D1CC845" w14:textId="4305B4EE" w:rsidR="004B6A40" w:rsidRDefault="004B6A40"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Tavuklar: </w:t>
      </w:r>
      <w:r w:rsidR="00E25A6F">
        <w:rPr>
          <w:rFonts w:ascii="Times New Roman" w:hAnsi="Times New Roman" w:cs="Times New Roman"/>
          <w:sz w:val="24"/>
          <w:szCs w:val="24"/>
        </w:rPr>
        <w:t>Kanı akıtıldıktan, tüyleri yolunduktan ve iç</w:t>
      </w:r>
      <w:r w:rsidR="00AB1E29">
        <w:rPr>
          <w:rFonts w:ascii="Times New Roman" w:hAnsi="Times New Roman" w:cs="Times New Roman"/>
          <w:sz w:val="24"/>
          <w:szCs w:val="24"/>
        </w:rPr>
        <w:t xml:space="preserve">i temizlendikten </w:t>
      </w:r>
      <w:r w:rsidR="00E25A6F">
        <w:rPr>
          <w:rFonts w:ascii="Times New Roman" w:hAnsi="Times New Roman" w:cs="Times New Roman"/>
          <w:sz w:val="24"/>
          <w:szCs w:val="24"/>
        </w:rPr>
        <w:t>sonra, kesilmiş hayvanın soğuk vücut ağırlığı. Ağırlık, sakatatı (</w:t>
      </w:r>
      <w:r w:rsidR="00AB1E29">
        <w:rPr>
          <w:rFonts w:ascii="Times New Roman" w:hAnsi="Times New Roman" w:cs="Times New Roman"/>
          <w:sz w:val="24"/>
          <w:szCs w:val="24"/>
        </w:rPr>
        <w:t>iç organlar) kapsar.</w:t>
      </w:r>
    </w:p>
    <w:p w14:paraId="443BDC81" w14:textId="77777777" w:rsidR="009041B6" w:rsidRPr="00436615" w:rsidRDefault="009041B6" w:rsidP="009041B6">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(4.5.2) Özgül Net Enerji Tüketimi İçin MET-İÇPS’ler</w:t>
      </w:r>
    </w:p>
    <w:p w14:paraId="478707BF" w14:textId="77777777" w:rsidR="009041B6" w:rsidRDefault="00835822"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net enerji tüketimi ile ilişkili çevresel performans seviyeleri, yıllık ortalamaları ifade eder ve aşağıdaki denklem kullanılarak hesaplanır:</w:t>
      </w:r>
    </w:p>
    <w:p w14:paraId="2240FDC9" w14:textId="77777777" w:rsidR="00835822" w:rsidRDefault="00835822" w:rsidP="00835822">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net enerji tüketimi = </w:t>
      </w:r>
      <m:oMath>
        <m:f>
          <m:fPr>
            <m:ctrlPr>
              <w:rPr>
                <w:rFonts w:ascii="Cambria Math" w:hAnsi="Cambria Math" w:cs="Times New Roman"/>
                <w:i/>
                <w:sz w:val="28"/>
                <w:szCs w:val="28"/>
              </w:rPr>
            </m:ctrlPr>
          </m:fPr>
          <m:num>
            <m:r>
              <m:rPr>
                <m:sty m:val="p"/>
              </m:rPr>
              <w:rPr>
                <w:rFonts w:ascii="Cambria Math" w:hAnsi="Cambria Math" w:cs="Times New Roman"/>
                <w:sz w:val="28"/>
                <w:szCs w:val="28"/>
              </w:rPr>
              <m:t>nihai net enerji tüketimi</m:t>
            </m:r>
          </m:num>
          <m:den>
            <m:r>
              <m:rPr>
                <m:sty m:val="p"/>
              </m:rPr>
              <w:rPr>
                <w:rFonts w:ascii="Cambria Math" w:hAnsi="Cambria Math" w:cs="Times New Roman"/>
                <w:sz w:val="28"/>
                <w:szCs w:val="28"/>
              </w:rPr>
              <m:t>faaliyet oranı</m:t>
            </m:r>
          </m:den>
        </m:f>
      </m:oMath>
    </w:p>
    <w:p w14:paraId="3254C1DE" w14:textId="77777777" w:rsidR="00835822" w:rsidRDefault="00F5549B"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nihai net enerji tüketimi: </w:t>
      </w:r>
      <w:r w:rsidR="007F31C4">
        <w:rPr>
          <w:rFonts w:ascii="Times New Roman" w:hAnsi="Times New Roman" w:cs="Times New Roman"/>
          <w:sz w:val="24"/>
          <w:szCs w:val="24"/>
        </w:rPr>
        <w:t>tesis tarafından (ısı ve elektrik olarak) tüketilen ve kWh/yıl olarak belirtilen enerjinin (geri kazanılan enerji haricindeki) toplam miktarı;</w:t>
      </w:r>
    </w:p>
    <w:p w14:paraId="789E1DD0" w14:textId="77777777" w:rsidR="007F31C4" w:rsidRDefault="007F31C4" w:rsidP="007F31C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 aşağıdaki şekillerde belirtilen ürünlerin veya işlenen hammaddelerin toplam miktarı:</w:t>
      </w:r>
    </w:p>
    <w:p w14:paraId="64EAAF4B" w14:textId="77777777" w:rsidR="007F31C4" w:rsidRDefault="007F31C4" w:rsidP="007F31C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hayvan karkasları tonu/yıl veya hayvan/yıl, mezbahalar için;</w:t>
      </w:r>
    </w:p>
    <w:p w14:paraId="1A53BE78" w14:textId="77777777" w:rsidR="007F31C4" w:rsidRDefault="007F31C4" w:rsidP="007F31C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hammaddelerin tonu/yıl, hayvan yan ürün ve/veya yenebilir ortak ürün işleyen tesisler için.</w:t>
      </w:r>
    </w:p>
    <w:p w14:paraId="19BEBC7D" w14:textId="1D05363C" w:rsidR="007F31C4" w:rsidRDefault="007F31C4" w:rsidP="007F31C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Hayvan karkası ağırlığı, değerlendirme altındaki hayvan türüne bağlıdır</w:t>
      </w:r>
      <w:r w:rsidR="00D16060">
        <w:rPr>
          <w:rFonts w:ascii="Times New Roman" w:hAnsi="Times New Roman" w:cs="Times New Roman"/>
          <w:sz w:val="24"/>
          <w:szCs w:val="24"/>
        </w:rPr>
        <w:t>.</w:t>
      </w:r>
    </w:p>
    <w:p w14:paraId="4551D868" w14:textId="77777777" w:rsidR="00DE63CE" w:rsidRDefault="00DE63CE" w:rsidP="007F31C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Aksi belirtilmedikçe, mezbahaların enerji tüketimine yönelik hesaplama</w:t>
      </w:r>
      <w:r w:rsidR="00637B09">
        <w:rPr>
          <w:rFonts w:ascii="Times New Roman" w:hAnsi="Times New Roman" w:cs="Times New Roman"/>
          <w:sz w:val="24"/>
          <w:szCs w:val="24"/>
        </w:rPr>
        <w:t xml:space="preserve">; gıda, içecek ve süt ürünleri sektörel </w:t>
      </w:r>
      <w:r>
        <w:rPr>
          <w:rFonts w:ascii="Times New Roman" w:hAnsi="Times New Roman" w:cs="Times New Roman"/>
          <w:sz w:val="24"/>
          <w:szCs w:val="24"/>
        </w:rPr>
        <w:t>faaliyetleri tarafından tüketilen enerjiyi de içerebilir.</w:t>
      </w:r>
    </w:p>
    <w:p w14:paraId="6FE7F52E" w14:textId="77777777" w:rsidR="00034636" w:rsidRPr="007A3693" w:rsidRDefault="00034636" w:rsidP="00034636">
      <w:pPr>
        <w:pStyle w:val="Balk2"/>
        <w:spacing w:before="0" w:after="120" w:line="276" w:lineRule="auto"/>
        <w:jc w:val="both"/>
        <w:rPr>
          <w:rFonts w:cs="Times New Roman"/>
          <w:b/>
          <w:bCs/>
          <w:szCs w:val="24"/>
        </w:rPr>
      </w:pPr>
      <w:r>
        <w:rPr>
          <w:rFonts w:cs="Times New Roman"/>
          <w:b/>
          <w:bCs/>
          <w:szCs w:val="24"/>
        </w:rPr>
        <w:t xml:space="preserve">(5) </w:t>
      </w:r>
      <w:r w:rsidR="00117721">
        <w:rPr>
          <w:rFonts w:cs="Times New Roman"/>
          <w:b/>
          <w:bCs/>
          <w:szCs w:val="24"/>
        </w:rPr>
        <w:t>Gıda, İçecek ve Süt Ürünleri Sektörleri</w:t>
      </w:r>
    </w:p>
    <w:p w14:paraId="30B5D907" w14:textId="77777777" w:rsidR="00B03330" w:rsidRPr="007B6467" w:rsidRDefault="00B03330" w:rsidP="00B03330">
      <w:pPr>
        <w:pStyle w:val="Balk3"/>
        <w:spacing w:before="0" w:after="120" w:line="276" w:lineRule="auto"/>
        <w:jc w:val="both"/>
        <w:rPr>
          <w:rFonts w:cs="Times New Roman"/>
          <w:b w:val="0"/>
          <w:bCs/>
          <w:szCs w:val="24"/>
        </w:rPr>
      </w:pPr>
      <w:r>
        <w:rPr>
          <w:rFonts w:cs="Times New Roman"/>
          <w:bCs/>
          <w:szCs w:val="24"/>
        </w:rPr>
        <w:t xml:space="preserve">(5.1) </w:t>
      </w:r>
      <w:r w:rsidR="00442A6D">
        <w:rPr>
          <w:rFonts w:cs="Times New Roman"/>
          <w:bCs/>
          <w:szCs w:val="24"/>
        </w:rPr>
        <w:t>Mevcut En İyi Teknikler</w:t>
      </w:r>
    </w:p>
    <w:p w14:paraId="4B53AA00" w14:textId="18088D06" w:rsidR="00B03330" w:rsidRDefault="00D16060" w:rsidP="00B0333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B03330">
        <w:rPr>
          <w:rFonts w:ascii="Times New Roman" w:hAnsi="Times New Roman" w:cs="Times New Roman"/>
          <w:sz w:val="24"/>
          <w:szCs w:val="24"/>
        </w:rPr>
        <w:t>-</w:t>
      </w:r>
      <w:r w:rsidR="00442A6D">
        <w:rPr>
          <w:rFonts w:ascii="Times New Roman" w:hAnsi="Times New Roman" w:cs="Times New Roman"/>
          <w:sz w:val="24"/>
          <w:szCs w:val="24"/>
        </w:rPr>
        <w:t>7</w:t>
      </w:r>
      <w:r w:rsidR="00B03330">
        <w:rPr>
          <w:rFonts w:ascii="Times New Roman" w:hAnsi="Times New Roman" w:cs="Times New Roman"/>
          <w:sz w:val="24"/>
          <w:szCs w:val="24"/>
        </w:rPr>
        <w:t>’d</w:t>
      </w:r>
      <w:r w:rsidR="00442A6D">
        <w:rPr>
          <w:rFonts w:ascii="Times New Roman" w:hAnsi="Times New Roman" w:cs="Times New Roman"/>
          <w:sz w:val="24"/>
          <w:szCs w:val="24"/>
        </w:rPr>
        <w:t>e</w:t>
      </w:r>
      <w:r w:rsidR="00B03330">
        <w:rPr>
          <w:rFonts w:ascii="Times New Roman" w:hAnsi="Times New Roman" w:cs="Times New Roman"/>
          <w:sz w:val="24"/>
          <w:szCs w:val="24"/>
        </w:rPr>
        <w:t xml:space="preserve"> sunulan MET sonuçlarında listelenen ve açıklanan teknikler, yerleşik ya da geniş kapsamlı ve ayrıntılı değildir. En azından eş değer nitelikte çevresel koruma sağlamak için diğer teknikler de kullanılabilir.</w:t>
      </w:r>
    </w:p>
    <w:p w14:paraId="63AD8E46" w14:textId="3446D6A1" w:rsidR="00B03330" w:rsidRDefault="00B03330" w:rsidP="00B0333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w:t>
      </w:r>
      <w:r w:rsidR="00B067B5">
        <w:rPr>
          <w:rFonts w:ascii="Times New Roman" w:hAnsi="Times New Roman" w:cs="Times New Roman"/>
          <w:sz w:val="24"/>
          <w:szCs w:val="24"/>
        </w:rPr>
        <w:t>7</w:t>
      </w:r>
      <w:r>
        <w:rPr>
          <w:rFonts w:ascii="Times New Roman" w:hAnsi="Times New Roman" w:cs="Times New Roman"/>
          <w:sz w:val="24"/>
          <w:szCs w:val="24"/>
        </w:rPr>
        <w:t>’d</w:t>
      </w:r>
      <w:r w:rsidR="00316134">
        <w:rPr>
          <w:rFonts w:ascii="Times New Roman" w:hAnsi="Times New Roman" w:cs="Times New Roman"/>
          <w:sz w:val="24"/>
          <w:szCs w:val="24"/>
        </w:rPr>
        <w:t xml:space="preserve">e </w:t>
      </w:r>
      <w:r>
        <w:rPr>
          <w:rFonts w:ascii="Times New Roman" w:hAnsi="Times New Roman" w:cs="Times New Roman"/>
          <w:sz w:val="24"/>
          <w:szCs w:val="24"/>
        </w:rPr>
        <w:t>sunulan MET sonuçları genellikle uygulanabilir.</w:t>
      </w:r>
    </w:p>
    <w:p w14:paraId="14381030" w14:textId="77777777" w:rsidR="00C134CC" w:rsidRPr="007B6467" w:rsidRDefault="00C134CC" w:rsidP="00C134CC">
      <w:pPr>
        <w:pStyle w:val="Balk3"/>
        <w:spacing w:before="0" w:after="120" w:line="276" w:lineRule="auto"/>
        <w:jc w:val="both"/>
        <w:rPr>
          <w:rFonts w:cs="Times New Roman"/>
          <w:b w:val="0"/>
          <w:bCs/>
          <w:szCs w:val="24"/>
        </w:rPr>
      </w:pPr>
      <w:r>
        <w:rPr>
          <w:rFonts w:cs="Times New Roman"/>
          <w:bCs/>
          <w:szCs w:val="24"/>
        </w:rPr>
        <w:t>(5.2) Havaya Emisyonlar İçin MET ile İlişkili Emisyon Seviyeleri</w:t>
      </w:r>
    </w:p>
    <w:p w14:paraId="45D1C579" w14:textId="585F68E3" w:rsidR="00C134CC" w:rsidRDefault="00C134CC" w:rsidP="00C134C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w:t>
      </w:r>
      <w:r w:rsidR="00B03E0E">
        <w:rPr>
          <w:rFonts w:ascii="Times New Roman" w:hAnsi="Times New Roman" w:cs="Times New Roman"/>
          <w:sz w:val="24"/>
          <w:szCs w:val="24"/>
        </w:rPr>
        <w:t>7</w:t>
      </w:r>
      <w:r>
        <w:rPr>
          <w:rFonts w:ascii="Times New Roman" w:hAnsi="Times New Roman" w:cs="Times New Roman"/>
          <w:sz w:val="24"/>
          <w:szCs w:val="24"/>
        </w:rPr>
        <w:t>’</w:t>
      </w:r>
      <w:r w:rsidR="00B03E0E">
        <w:rPr>
          <w:rFonts w:ascii="Times New Roman" w:hAnsi="Times New Roman" w:cs="Times New Roman"/>
          <w:sz w:val="24"/>
          <w:szCs w:val="24"/>
        </w:rPr>
        <w:t>d</w:t>
      </w:r>
      <w:r>
        <w:rPr>
          <w:rFonts w:ascii="Times New Roman" w:hAnsi="Times New Roman" w:cs="Times New Roman"/>
          <w:sz w:val="24"/>
          <w:szCs w:val="24"/>
        </w:rPr>
        <w:t xml:space="preserve">e sunulan MET sonuçlarında belirtilen havaya emisyonlar için MET-İES’ler, </w:t>
      </w:r>
      <w:r w:rsidR="00372B44">
        <w:rPr>
          <w:rFonts w:ascii="Times New Roman" w:hAnsi="Times New Roman" w:cs="Times New Roman"/>
          <w:sz w:val="24"/>
          <w:szCs w:val="24"/>
        </w:rPr>
        <w:t xml:space="preserve">şu </w:t>
      </w:r>
      <w:r>
        <w:rPr>
          <w:rFonts w:ascii="Times New Roman" w:hAnsi="Times New Roman" w:cs="Times New Roman"/>
          <w:sz w:val="24"/>
          <w:szCs w:val="24"/>
        </w:rPr>
        <w:t xml:space="preserve">standart koşullar altındaki ve </w:t>
      </w:r>
      <w:r w:rsidR="00372B44">
        <w:rPr>
          <w:rFonts w:ascii="Times New Roman" w:hAnsi="Times New Roman" w:cs="Times New Roman"/>
          <w:sz w:val="24"/>
          <w:szCs w:val="24"/>
        </w:rPr>
        <w:t>atık gaz hacmi başına salınan madde kütlesi</w:t>
      </w:r>
      <w:r>
        <w:rPr>
          <w:rFonts w:ascii="Times New Roman" w:hAnsi="Times New Roman" w:cs="Times New Roman"/>
          <w:sz w:val="24"/>
          <w:szCs w:val="24"/>
        </w:rPr>
        <w:t xml:space="preserve"> olarak ifade edilen konsantrasyonları ifade eder</w:t>
      </w:r>
      <w:r w:rsidR="00372B44">
        <w:rPr>
          <w:rFonts w:ascii="Times New Roman" w:hAnsi="Times New Roman" w:cs="Times New Roman"/>
          <w:sz w:val="24"/>
          <w:szCs w:val="24"/>
        </w:rPr>
        <w:t xml:space="preserve">: </w:t>
      </w:r>
      <w:r w:rsidR="00E03640">
        <w:rPr>
          <w:rFonts w:ascii="Times New Roman" w:hAnsi="Times New Roman" w:cs="Times New Roman"/>
          <w:sz w:val="24"/>
          <w:szCs w:val="24"/>
        </w:rPr>
        <w:t>Oksijen içeriği için düzeltme olmaksızın ve mg/Nm</w:t>
      </w:r>
      <w:r w:rsidR="00E03640">
        <w:rPr>
          <w:rFonts w:ascii="Times New Roman" w:hAnsi="Times New Roman" w:cs="Times New Roman"/>
          <w:sz w:val="24"/>
          <w:szCs w:val="24"/>
          <w:vertAlign w:val="superscript"/>
        </w:rPr>
        <w:t>3</w:t>
      </w:r>
      <w:r w:rsidR="00E03640">
        <w:rPr>
          <w:rFonts w:ascii="Times New Roman" w:hAnsi="Times New Roman" w:cs="Times New Roman"/>
          <w:sz w:val="24"/>
          <w:szCs w:val="24"/>
        </w:rPr>
        <w:t xml:space="preserve"> olarak ifade edilen 273,15 K sıcaklıkta ve 101,3 kPa basınçta kuru gaz.</w:t>
      </w:r>
    </w:p>
    <w:p w14:paraId="1B918A1A" w14:textId="77777777" w:rsidR="00C134CC" w:rsidRDefault="00C134CC" w:rsidP="00C134C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Referans oksijen seviyesinde emisyon konsantrasyonu hesaplaması için kullanılan formül, aşağıda verilmiştir:</w:t>
      </w:r>
    </w:p>
    <w:p w14:paraId="396BC470" w14:textId="77777777" w:rsidR="00C134CC" w:rsidRPr="00E90398" w:rsidRDefault="00C134CC" w:rsidP="00C134CC">
      <w:pPr>
        <w:spacing w:after="120" w:line="276" w:lineRule="auto"/>
        <w:jc w:val="center"/>
        <w:rPr>
          <w:rFonts w:ascii="Times New Roman" w:hAnsi="Times New Roman" w:cs="Times New Roman"/>
          <w:sz w:val="24"/>
          <w:szCs w:val="24"/>
        </w:rPr>
      </w:pPr>
      <w:r w:rsidRPr="00E90398">
        <w:rPr>
          <w:rFonts w:ascii="Times New Roman" w:eastAsiaTheme="minorEastAsia" w:hAnsi="Times New Roman" w:cs="Times New Roman"/>
          <w:sz w:val="24"/>
          <w:szCs w:val="24"/>
        </w:rPr>
        <w:t>E</w:t>
      </w:r>
      <w:r w:rsidRPr="00E90398">
        <w:rPr>
          <w:rFonts w:ascii="Times New Roman" w:eastAsiaTheme="minorEastAsia" w:hAnsi="Times New Roman" w:cs="Times New Roman"/>
          <w:sz w:val="24"/>
          <w:szCs w:val="24"/>
          <w:vertAlign w:val="subscript"/>
        </w:rPr>
        <w:t>R</w:t>
      </w:r>
      <w:r w:rsidRPr="00E90398">
        <w:rPr>
          <w:rFonts w:ascii="Times New Roman" w:eastAsiaTheme="minorEastAsia" w:hAnsi="Times New Roman" w:cs="Times New Roman"/>
          <w:sz w:val="24"/>
          <w:szCs w:val="24"/>
        </w:rPr>
        <w:t xml:space="preserve"> = </w:t>
      </w:r>
      <m:oMath>
        <m:f>
          <m:fPr>
            <m:ctrlPr>
              <w:rPr>
                <w:rFonts w:ascii="Cambria Math" w:hAnsi="Cambria Math" w:cs="Times New Roman"/>
                <w:i/>
                <w:sz w:val="28"/>
                <w:szCs w:val="28"/>
              </w:rPr>
            </m:ctrlPr>
          </m:fPr>
          <m:num>
            <m:r>
              <m:rPr>
                <m:sty m:val="p"/>
              </m:rPr>
              <w:rPr>
                <w:rFonts w:ascii="Cambria Math" w:hAnsi="Cambria Math" w:cs="Times New Roman"/>
                <w:sz w:val="28"/>
                <w:szCs w:val="28"/>
              </w:rPr>
              <m:t xml:space="preserve">21 - </m:t>
            </m:r>
            <m:sSub>
              <m:sSubPr>
                <m:ctrlPr>
                  <w:rPr>
                    <w:rFonts w:ascii="Cambria Math" w:hAnsi="Cambria Math" w:cs="Times New Roman"/>
                    <w:iCs/>
                    <w:sz w:val="28"/>
                    <w:szCs w:val="28"/>
                  </w:rPr>
                </m:ctrlPr>
              </m:sSubPr>
              <m:e>
                <m:r>
                  <m:rPr>
                    <m:sty m:val="p"/>
                  </m:rPr>
                  <w:rPr>
                    <w:rFonts w:ascii="Cambria Math" w:hAnsi="Cambria Math" w:cs="Times New Roman"/>
                    <w:sz w:val="28"/>
                    <w:szCs w:val="28"/>
                  </w:rPr>
                  <m:t>O</m:t>
                </m:r>
              </m:e>
              <m:sub>
                <m:r>
                  <m:rPr>
                    <m:sty m:val="p"/>
                  </m:rPr>
                  <w:rPr>
                    <w:rFonts w:ascii="Cambria Math" w:hAnsi="Cambria Math" w:cs="Times New Roman"/>
                    <w:sz w:val="28"/>
                    <w:szCs w:val="28"/>
                  </w:rPr>
                  <m:t>R</m:t>
                </m:r>
              </m:sub>
            </m:sSub>
          </m:num>
          <m:den>
            <m:r>
              <m:rPr>
                <m:sty m:val="p"/>
              </m:rPr>
              <w:rPr>
                <w:rFonts w:ascii="Cambria Math" w:hAnsi="Cambria Math" w:cs="Times New Roman"/>
                <w:sz w:val="28"/>
                <w:szCs w:val="28"/>
              </w:rPr>
              <m:t xml:space="preserve">21 - </m:t>
            </m:r>
            <m:sSub>
              <m:sSubPr>
                <m:ctrlPr>
                  <w:rPr>
                    <w:rFonts w:ascii="Cambria Math" w:hAnsi="Cambria Math" w:cs="Times New Roman"/>
                    <w:iCs/>
                    <w:sz w:val="28"/>
                    <w:szCs w:val="28"/>
                  </w:rPr>
                </m:ctrlPr>
              </m:sSubPr>
              <m:e>
                <m:r>
                  <m:rPr>
                    <m:sty m:val="p"/>
                  </m:rPr>
                  <w:rPr>
                    <w:rFonts w:ascii="Cambria Math" w:hAnsi="Cambria Math" w:cs="Times New Roman"/>
                    <w:sz w:val="28"/>
                    <w:szCs w:val="28"/>
                  </w:rPr>
                  <m:t>O</m:t>
                </m:r>
              </m:e>
              <m:sub>
                <m:r>
                  <m:rPr>
                    <m:sty m:val="p"/>
                  </m:rPr>
                  <w:rPr>
                    <w:rFonts w:ascii="Cambria Math" w:hAnsi="Cambria Math" w:cs="Times New Roman"/>
                    <w:sz w:val="28"/>
                    <w:szCs w:val="28"/>
                  </w:rPr>
                  <m:t>M</m:t>
                </m:r>
              </m:sub>
            </m:sSub>
          </m:den>
        </m:f>
      </m:oMath>
      <w:r w:rsidRPr="00E90398">
        <w:rPr>
          <w:rFonts w:ascii="Times New Roman" w:eastAsiaTheme="minorEastAsia" w:hAnsi="Times New Roman" w:cs="Times New Roman"/>
          <w:sz w:val="24"/>
          <w:szCs w:val="24"/>
        </w:rPr>
        <w:t xml:space="preserve"> x E</w:t>
      </w:r>
      <w:r w:rsidRPr="00E90398">
        <w:rPr>
          <w:rFonts w:ascii="Times New Roman" w:eastAsiaTheme="minorEastAsia" w:hAnsi="Times New Roman" w:cs="Times New Roman"/>
          <w:sz w:val="24"/>
          <w:szCs w:val="24"/>
          <w:vertAlign w:val="subscript"/>
        </w:rPr>
        <w:t>M</w:t>
      </w:r>
      <w:r w:rsidRPr="00E90398">
        <w:rPr>
          <w:rFonts w:ascii="Times New Roman" w:eastAsiaTheme="minorEastAsia" w:hAnsi="Times New Roman" w:cs="Times New Roman"/>
          <w:sz w:val="24"/>
          <w:szCs w:val="24"/>
        </w:rPr>
        <w:t xml:space="preserve"> </w:t>
      </w:r>
    </w:p>
    <w:p w14:paraId="765BD0FB" w14:textId="77777777" w:rsidR="00C134CC" w:rsidRPr="00311D82" w:rsidRDefault="00C134CC" w:rsidP="00C134C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R</w:t>
      </w:r>
      <w:r>
        <w:rPr>
          <w:rFonts w:ascii="Times New Roman" w:hAnsi="Times New Roman" w:cs="Times New Roman"/>
          <w:sz w:val="24"/>
          <w:szCs w:val="24"/>
        </w:rPr>
        <w:t>: referans oksijen seviyesindeki</w:t>
      </w:r>
      <w:r w:rsidR="004E71B4">
        <w:rPr>
          <w:rFonts w:ascii="Times New Roman" w:hAnsi="Times New Roman" w:cs="Times New Roman"/>
          <w:sz w:val="24"/>
          <w:szCs w:val="24"/>
        </w:rPr>
        <w:t xml:space="preserve"> (O</w:t>
      </w:r>
      <w:r w:rsidR="004E71B4">
        <w:rPr>
          <w:rFonts w:ascii="Times New Roman" w:hAnsi="Times New Roman" w:cs="Times New Roman"/>
          <w:sz w:val="24"/>
          <w:szCs w:val="24"/>
          <w:vertAlign w:val="subscript"/>
        </w:rPr>
        <w:t>R</w:t>
      </w:r>
      <w:r w:rsidR="004E71B4">
        <w:rPr>
          <w:rFonts w:ascii="Times New Roman" w:hAnsi="Times New Roman" w:cs="Times New Roman"/>
          <w:sz w:val="24"/>
          <w:szCs w:val="24"/>
        </w:rPr>
        <w:t>)</w:t>
      </w:r>
      <w:r>
        <w:rPr>
          <w:rFonts w:ascii="Times New Roman" w:hAnsi="Times New Roman" w:cs="Times New Roman"/>
          <w:sz w:val="24"/>
          <w:szCs w:val="24"/>
        </w:rPr>
        <w:t xml:space="preserve"> emisyon konsantrasyonu</w:t>
      </w:r>
    </w:p>
    <w:p w14:paraId="3B6D1449" w14:textId="77777777" w:rsidR="00C134CC" w:rsidRDefault="00C134CC" w:rsidP="00C134C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vertAlign w:val="subscript"/>
        </w:rPr>
        <w:t>R</w:t>
      </w:r>
      <w:r>
        <w:rPr>
          <w:rFonts w:ascii="Times New Roman" w:hAnsi="Times New Roman" w:cs="Times New Roman"/>
          <w:sz w:val="24"/>
          <w:szCs w:val="24"/>
        </w:rPr>
        <w:t>: referans oksijen seviyesi</w:t>
      </w:r>
      <w:r w:rsidR="0049628C">
        <w:rPr>
          <w:rFonts w:ascii="Times New Roman" w:hAnsi="Times New Roman" w:cs="Times New Roman"/>
          <w:sz w:val="24"/>
          <w:szCs w:val="24"/>
        </w:rPr>
        <w:t>, hacimce %</w:t>
      </w:r>
    </w:p>
    <w:p w14:paraId="62B00BF6" w14:textId="77777777" w:rsidR="00C134CC" w:rsidRDefault="00C134CC" w:rsidP="00C134C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M</w:t>
      </w:r>
      <w:r>
        <w:rPr>
          <w:rFonts w:ascii="Times New Roman" w:hAnsi="Times New Roman" w:cs="Times New Roman"/>
          <w:sz w:val="24"/>
          <w:szCs w:val="24"/>
        </w:rPr>
        <w:t>: ölçülen emisyon konsantrasyonu</w:t>
      </w:r>
    </w:p>
    <w:p w14:paraId="16C7B53C" w14:textId="77777777" w:rsidR="00C134CC" w:rsidRDefault="00C134CC" w:rsidP="0014016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vertAlign w:val="subscript"/>
        </w:rPr>
        <w:t>M</w:t>
      </w:r>
      <w:r>
        <w:rPr>
          <w:rFonts w:ascii="Times New Roman" w:hAnsi="Times New Roman" w:cs="Times New Roman"/>
          <w:sz w:val="24"/>
          <w:szCs w:val="24"/>
        </w:rPr>
        <w:t>: ölçülen oksijen seviyesi</w:t>
      </w:r>
      <w:r w:rsidR="0049628C">
        <w:rPr>
          <w:rFonts w:ascii="Times New Roman" w:hAnsi="Times New Roman" w:cs="Times New Roman"/>
          <w:sz w:val="24"/>
          <w:szCs w:val="24"/>
        </w:rPr>
        <w:t>, hacimce %</w:t>
      </w:r>
    </w:p>
    <w:p w14:paraId="0B1F5CE9" w14:textId="77777777" w:rsidR="00140167" w:rsidRDefault="00C134CC" w:rsidP="0014016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Havaya emisyonlar</w:t>
      </w:r>
      <w:r w:rsidR="00140167">
        <w:rPr>
          <w:rFonts w:ascii="Times New Roman" w:hAnsi="Times New Roman" w:cs="Times New Roman"/>
          <w:sz w:val="24"/>
          <w:szCs w:val="24"/>
        </w:rPr>
        <w:t>a yönelik</w:t>
      </w:r>
      <w:r>
        <w:rPr>
          <w:rFonts w:ascii="Times New Roman" w:hAnsi="Times New Roman" w:cs="Times New Roman"/>
          <w:sz w:val="24"/>
          <w:szCs w:val="24"/>
        </w:rPr>
        <w:t xml:space="preserve"> MET-İES’</w:t>
      </w:r>
      <w:r w:rsidR="00140167">
        <w:rPr>
          <w:rFonts w:ascii="Times New Roman" w:hAnsi="Times New Roman" w:cs="Times New Roman"/>
          <w:sz w:val="24"/>
          <w:szCs w:val="24"/>
        </w:rPr>
        <w:t>ler için ortalama süreleri için, aşağıdaki açıklama geçerlidir.</w:t>
      </w:r>
    </w:p>
    <w:tbl>
      <w:tblPr>
        <w:tblStyle w:val="TabloKlavuzu"/>
        <w:tblW w:w="0" w:type="auto"/>
        <w:jc w:val="center"/>
        <w:tblLook w:val="04A0" w:firstRow="1" w:lastRow="0" w:firstColumn="1" w:lastColumn="0" w:noHBand="0" w:noVBand="1"/>
      </w:tblPr>
      <w:tblGrid>
        <w:gridCol w:w="4390"/>
        <w:gridCol w:w="4672"/>
      </w:tblGrid>
      <w:tr w:rsidR="001857FB" w:rsidRPr="00BA34D0" w14:paraId="3DE32A4A" w14:textId="77777777" w:rsidTr="001857FB">
        <w:trPr>
          <w:jc w:val="center"/>
        </w:trPr>
        <w:tc>
          <w:tcPr>
            <w:tcW w:w="4390" w:type="dxa"/>
            <w:vAlign w:val="center"/>
          </w:tcPr>
          <w:p w14:paraId="4D3C2000" w14:textId="77777777" w:rsidR="001857FB" w:rsidRPr="00890696" w:rsidRDefault="001857FB" w:rsidP="0024730D">
            <w:pPr>
              <w:jc w:val="center"/>
              <w:rPr>
                <w:rFonts w:ascii="Times New Roman" w:hAnsi="Times New Roman" w:cs="Times New Roman"/>
                <w:b/>
                <w:bCs/>
              </w:rPr>
            </w:pPr>
            <w:r>
              <w:rPr>
                <w:rFonts w:ascii="Times New Roman" w:hAnsi="Times New Roman" w:cs="Times New Roman"/>
                <w:b/>
                <w:bCs/>
              </w:rPr>
              <w:t>Ortalama Süresi</w:t>
            </w:r>
          </w:p>
        </w:tc>
        <w:tc>
          <w:tcPr>
            <w:tcW w:w="4672" w:type="dxa"/>
            <w:vAlign w:val="center"/>
          </w:tcPr>
          <w:p w14:paraId="16A4732C" w14:textId="77777777" w:rsidR="001857FB" w:rsidRPr="00890696" w:rsidRDefault="001857FB" w:rsidP="0024730D">
            <w:pPr>
              <w:jc w:val="center"/>
              <w:rPr>
                <w:rFonts w:ascii="Times New Roman" w:hAnsi="Times New Roman" w:cs="Times New Roman"/>
                <w:b/>
                <w:bCs/>
              </w:rPr>
            </w:pPr>
            <w:r>
              <w:rPr>
                <w:rFonts w:ascii="Times New Roman" w:hAnsi="Times New Roman" w:cs="Times New Roman"/>
                <w:b/>
                <w:bCs/>
              </w:rPr>
              <w:t>Açıklama</w:t>
            </w:r>
          </w:p>
        </w:tc>
      </w:tr>
      <w:tr w:rsidR="001857FB" w:rsidRPr="00BA34D0" w14:paraId="4A166862" w14:textId="77777777" w:rsidTr="001857FB">
        <w:trPr>
          <w:jc w:val="center"/>
        </w:trPr>
        <w:tc>
          <w:tcPr>
            <w:tcW w:w="4390" w:type="dxa"/>
            <w:tcBorders>
              <w:bottom w:val="single" w:sz="4" w:space="0" w:color="auto"/>
            </w:tcBorders>
            <w:vAlign w:val="center"/>
          </w:tcPr>
          <w:p w14:paraId="4EDA216A" w14:textId="77777777" w:rsidR="001857FB" w:rsidRDefault="001857FB" w:rsidP="0024730D">
            <w:pPr>
              <w:jc w:val="center"/>
              <w:rPr>
                <w:rFonts w:ascii="Times New Roman" w:hAnsi="Times New Roman" w:cs="Times New Roman"/>
              </w:rPr>
            </w:pPr>
            <w:r>
              <w:rPr>
                <w:rFonts w:ascii="Times New Roman" w:hAnsi="Times New Roman" w:cs="Times New Roman"/>
              </w:rPr>
              <w:t>örnekleme süresi üzerinden ortalama</w:t>
            </w:r>
          </w:p>
        </w:tc>
        <w:tc>
          <w:tcPr>
            <w:tcW w:w="4672" w:type="dxa"/>
            <w:tcBorders>
              <w:bottom w:val="single" w:sz="4" w:space="0" w:color="auto"/>
            </w:tcBorders>
            <w:vAlign w:val="center"/>
          </w:tcPr>
          <w:p w14:paraId="2140B2C1" w14:textId="77777777" w:rsidR="001857FB" w:rsidRPr="00BA34D0" w:rsidRDefault="001857FB" w:rsidP="0024730D">
            <w:pPr>
              <w:jc w:val="both"/>
              <w:rPr>
                <w:rFonts w:ascii="Times New Roman" w:hAnsi="Times New Roman" w:cs="Times New Roman"/>
              </w:rPr>
            </w:pPr>
            <w:r>
              <w:rPr>
                <w:rFonts w:ascii="Times New Roman" w:hAnsi="Times New Roman" w:cs="Times New Roman"/>
              </w:rPr>
              <w:t>Her biri en az 30 dakikalık üç ardışık ölçümün ortalama değeri. (</w:t>
            </w:r>
            <w:r w:rsidRPr="00890696">
              <w:rPr>
                <w:rFonts w:ascii="Times New Roman" w:hAnsi="Times New Roman" w:cs="Times New Roman"/>
                <w:vertAlign w:val="superscript"/>
              </w:rPr>
              <w:t>1</w:t>
            </w:r>
            <w:r>
              <w:rPr>
                <w:rFonts w:ascii="Times New Roman" w:hAnsi="Times New Roman" w:cs="Times New Roman"/>
              </w:rPr>
              <w:t>)</w:t>
            </w:r>
          </w:p>
        </w:tc>
      </w:tr>
      <w:tr w:rsidR="00140167" w:rsidRPr="00890696" w14:paraId="5B5DD07E" w14:textId="77777777" w:rsidTr="0024730D">
        <w:trPr>
          <w:jc w:val="center"/>
        </w:trPr>
        <w:tc>
          <w:tcPr>
            <w:tcW w:w="9062" w:type="dxa"/>
            <w:gridSpan w:val="2"/>
            <w:tcBorders>
              <w:top w:val="single" w:sz="4" w:space="0" w:color="auto"/>
              <w:left w:val="nil"/>
              <w:bottom w:val="nil"/>
              <w:right w:val="nil"/>
            </w:tcBorders>
            <w:vAlign w:val="center"/>
          </w:tcPr>
          <w:p w14:paraId="58AF6260" w14:textId="77777777" w:rsidR="00140167" w:rsidRPr="00890696" w:rsidRDefault="00140167"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890696">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Örnekleme veya analitik kısıtlamalardan dolayı 30 dakikalık örneklemenin/ölçümün uygun olmadığı herhangi bir parametre için, daha temsili bir ölçüm </w:t>
            </w:r>
            <w:r w:rsidR="00341730">
              <w:rPr>
                <w:rFonts w:ascii="Times New Roman" w:hAnsi="Times New Roman" w:cs="Times New Roman"/>
                <w:i/>
                <w:iCs/>
                <w:sz w:val="20"/>
                <w:szCs w:val="20"/>
              </w:rPr>
              <w:t>süresi</w:t>
            </w:r>
            <w:r>
              <w:rPr>
                <w:rFonts w:ascii="Times New Roman" w:hAnsi="Times New Roman" w:cs="Times New Roman"/>
                <w:i/>
                <w:iCs/>
                <w:sz w:val="20"/>
                <w:szCs w:val="20"/>
              </w:rPr>
              <w:t xml:space="preserve"> kullanılabilir.</w:t>
            </w:r>
          </w:p>
        </w:tc>
      </w:tr>
    </w:tbl>
    <w:p w14:paraId="391466E3" w14:textId="77777777" w:rsidR="00F5549B" w:rsidRDefault="00F5549B" w:rsidP="00D745AD">
      <w:pPr>
        <w:spacing w:after="120" w:line="276" w:lineRule="auto"/>
        <w:jc w:val="both"/>
        <w:rPr>
          <w:rFonts w:ascii="Times New Roman" w:hAnsi="Times New Roman" w:cs="Times New Roman"/>
          <w:sz w:val="24"/>
          <w:szCs w:val="24"/>
        </w:rPr>
      </w:pPr>
    </w:p>
    <w:p w14:paraId="5EBBE8A1" w14:textId="77777777" w:rsidR="00886990" w:rsidRDefault="00886990" w:rsidP="0088699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İki veya daha fazla kaynaktan (örn. kurutucular veya fırınlar) salınan atık gazlar, ortak bir bacadan deşarj edildiği durumlarda MET-İES, bacadan çıkan ortak deşarj için geçerlidir.</w:t>
      </w:r>
    </w:p>
    <w:p w14:paraId="69D86458" w14:textId="77777777" w:rsidR="00A64049" w:rsidRPr="00436615" w:rsidRDefault="00A64049" w:rsidP="00A64049">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(5.2.1) Özgül Hekzan Kayıpları</w:t>
      </w:r>
    </w:p>
    <w:p w14:paraId="2D8E677A" w14:textId="77777777" w:rsidR="00F32CD8" w:rsidRDefault="005C3F16"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hekzan kayıpları ile ilişkili MET-İES’ler, yıllık ortalamaları ifade eder ve aşağıdaki denklem kullanılarak hesaplanır:</w:t>
      </w:r>
    </w:p>
    <w:p w14:paraId="4B246F30" w14:textId="77777777" w:rsidR="005C3F16" w:rsidRDefault="005C3F16" w:rsidP="005C3F16">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hekzan kayıpları = </w:t>
      </w:r>
      <m:oMath>
        <m:f>
          <m:fPr>
            <m:ctrlPr>
              <w:rPr>
                <w:rFonts w:ascii="Cambria Math" w:hAnsi="Cambria Math" w:cs="Times New Roman"/>
                <w:i/>
                <w:sz w:val="28"/>
                <w:szCs w:val="28"/>
              </w:rPr>
            </m:ctrlPr>
          </m:fPr>
          <m:num>
            <m:r>
              <m:rPr>
                <m:sty m:val="p"/>
              </m:rPr>
              <w:rPr>
                <w:rFonts w:ascii="Cambria Math" w:hAnsi="Cambria Math" w:cs="Times New Roman"/>
                <w:sz w:val="28"/>
                <w:szCs w:val="28"/>
              </w:rPr>
              <m:t>hekzan kayıpları</m:t>
            </m:r>
          </m:num>
          <m:den>
            <m:r>
              <m:rPr>
                <m:sty m:val="p"/>
              </m:rPr>
              <w:rPr>
                <w:rFonts w:ascii="Cambria Math" w:hAnsi="Cambria Math" w:cs="Times New Roman"/>
                <w:sz w:val="28"/>
                <w:szCs w:val="28"/>
              </w:rPr>
              <m:t>hammaddeler</m:t>
            </m:r>
          </m:den>
        </m:f>
      </m:oMath>
    </w:p>
    <w:p w14:paraId="4FCA634C" w14:textId="77777777" w:rsidR="005C3F16" w:rsidRDefault="005C3F16"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hekzan kayıpları: her bir türdeki tohum veya çekirdek için tesis tarafından tüketilen ve kg/yıl olarak belirtilen hekzanın toplam miktarı;</w:t>
      </w:r>
    </w:p>
    <w:p w14:paraId="225032CD" w14:textId="77777777" w:rsidR="005C3F16" w:rsidRDefault="005C3F16" w:rsidP="00D745A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hammaddeler: ton/yıl olarak belirtilen ve işlenen her bir temizlenmiş tohum veya çekirdeğin toplam miktarı.</w:t>
      </w:r>
    </w:p>
    <w:p w14:paraId="79B9B44B" w14:textId="77777777" w:rsidR="004A2E9E" w:rsidRPr="007B6467" w:rsidRDefault="004A2E9E" w:rsidP="004A2E9E">
      <w:pPr>
        <w:pStyle w:val="Balk3"/>
        <w:spacing w:before="0" w:after="120" w:line="276" w:lineRule="auto"/>
        <w:jc w:val="both"/>
        <w:rPr>
          <w:rFonts w:cs="Times New Roman"/>
          <w:b w:val="0"/>
          <w:bCs/>
          <w:szCs w:val="24"/>
        </w:rPr>
      </w:pPr>
      <w:r>
        <w:rPr>
          <w:rFonts w:cs="Times New Roman"/>
          <w:bCs/>
          <w:szCs w:val="24"/>
        </w:rPr>
        <w:t>(5.3) Suya Emisyonlara Yönelik Mevcut En İyi Teknikler ile İlişkili Emisyon Seviyeleri (MET-İES’ler)</w:t>
      </w:r>
    </w:p>
    <w:p w14:paraId="64468892" w14:textId="736EC0A5" w:rsidR="004A2E9E" w:rsidRDefault="004A2E9E" w:rsidP="004A2E9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-7’de sunulan MET sonuçlarında verilen suya emisyonlara yönelik MET-İES’ler, mg/L olarak belirtilen konsantrasyonları (su hacmi başına salınan madde kütlesi) ifade eder.</w:t>
      </w:r>
    </w:p>
    <w:p w14:paraId="00F23577" w14:textId="77777777" w:rsidR="004A2E9E" w:rsidRDefault="005B3C71" w:rsidP="005B3C71">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Konsantrasyon olarak belirtilen </w:t>
      </w:r>
      <w:r w:rsidR="004A2E9E">
        <w:rPr>
          <w:rFonts w:ascii="Times New Roman" w:hAnsi="Times New Roman" w:cs="Times New Roman"/>
          <w:sz w:val="24"/>
          <w:szCs w:val="24"/>
        </w:rPr>
        <w:t>MET-İES’ler</w:t>
      </w:r>
      <w:r>
        <w:rPr>
          <w:rFonts w:ascii="Times New Roman" w:hAnsi="Times New Roman" w:cs="Times New Roman"/>
          <w:sz w:val="24"/>
          <w:szCs w:val="24"/>
        </w:rPr>
        <w:t xml:space="preserve">, günlük ortalama değerleri -diğer bir ifadeyle, akış orantılı 24 saatlik kompozit örnekleri- ifade eder. </w:t>
      </w:r>
      <w:r w:rsidR="004A2E9E">
        <w:rPr>
          <w:rFonts w:ascii="Times New Roman" w:hAnsi="Times New Roman" w:cs="Times New Roman"/>
          <w:sz w:val="24"/>
          <w:szCs w:val="24"/>
        </w:rPr>
        <w:t>Zaman orantılı kompozit örnekler, yeterli akış stabilitesi sağlanması halinde kullanılabilir. Alternatif olarak, atık suyun uygun bir şekilde karıştırılması ve homojen olması halinde anlık örnekler alınabilir.</w:t>
      </w:r>
    </w:p>
    <w:p w14:paraId="66F9C356" w14:textId="36CFD27F" w:rsidR="004A2E9E" w:rsidRDefault="004A2E9E" w:rsidP="004A2E9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Toplam organik karbon (</w:t>
      </w:r>
      <w:r w:rsidR="009D570E">
        <w:rPr>
          <w:rFonts w:ascii="Times New Roman" w:hAnsi="Times New Roman" w:cs="Times New Roman"/>
          <w:sz w:val="24"/>
          <w:szCs w:val="24"/>
        </w:rPr>
        <w:t>TOK</w:t>
      </w:r>
      <w:r>
        <w:rPr>
          <w:rFonts w:ascii="Times New Roman" w:hAnsi="Times New Roman" w:cs="Times New Roman"/>
          <w:sz w:val="24"/>
          <w:szCs w:val="24"/>
        </w:rPr>
        <w:t>),</w:t>
      </w:r>
      <w:r w:rsidR="005B3C71">
        <w:rPr>
          <w:rFonts w:ascii="Times New Roman" w:hAnsi="Times New Roman" w:cs="Times New Roman"/>
          <w:sz w:val="24"/>
          <w:szCs w:val="24"/>
        </w:rPr>
        <w:t xml:space="preserve"> kimyasal oksijen ihtiyacı (</w:t>
      </w:r>
      <w:r w:rsidR="009D570E">
        <w:rPr>
          <w:rFonts w:ascii="Times New Roman" w:hAnsi="Times New Roman" w:cs="Times New Roman"/>
          <w:sz w:val="24"/>
          <w:szCs w:val="24"/>
        </w:rPr>
        <w:t>KOİ</w:t>
      </w:r>
      <w:r w:rsidR="005B3C71">
        <w:rPr>
          <w:rFonts w:ascii="Times New Roman" w:hAnsi="Times New Roman" w:cs="Times New Roman"/>
          <w:sz w:val="24"/>
          <w:szCs w:val="24"/>
        </w:rPr>
        <w:t xml:space="preserve">), </w:t>
      </w:r>
      <w:r>
        <w:rPr>
          <w:rFonts w:ascii="Times New Roman" w:hAnsi="Times New Roman" w:cs="Times New Roman"/>
          <w:sz w:val="24"/>
          <w:szCs w:val="24"/>
        </w:rPr>
        <w:t>toplam azot (TN)</w:t>
      </w:r>
      <w:r w:rsidR="005B3C71">
        <w:rPr>
          <w:rFonts w:ascii="Times New Roman" w:hAnsi="Times New Roman" w:cs="Times New Roman"/>
          <w:sz w:val="24"/>
          <w:szCs w:val="24"/>
        </w:rPr>
        <w:t xml:space="preserve"> ve toplam fosfor (TP) </w:t>
      </w:r>
      <w:r>
        <w:rPr>
          <w:rFonts w:ascii="Times New Roman" w:hAnsi="Times New Roman" w:cs="Times New Roman"/>
          <w:sz w:val="24"/>
          <w:szCs w:val="24"/>
        </w:rPr>
        <w:t xml:space="preserve">durumunda, </w:t>
      </w:r>
      <w:r w:rsidR="00D16060">
        <w:rPr>
          <w:rFonts w:ascii="Times New Roman" w:hAnsi="Times New Roman" w:cs="Times New Roman"/>
          <w:sz w:val="24"/>
          <w:szCs w:val="24"/>
        </w:rPr>
        <w:t>EK</w:t>
      </w:r>
      <w:r>
        <w:rPr>
          <w:rFonts w:ascii="Times New Roman" w:hAnsi="Times New Roman" w:cs="Times New Roman"/>
          <w:sz w:val="24"/>
          <w:szCs w:val="24"/>
        </w:rPr>
        <w:t>-</w:t>
      </w:r>
      <w:r w:rsidR="00AF30D1">
        <w:rPr>
          <w:rFonts w:ascii="Times New Roman" w:hAnsi="Times New Roman" w:cs="Times New Roman"/>
          <w:sz w:val="24"/>
          <w:szCs w:val="24"/>
        </w:rPr>
        <w:t>7</w:t>
      </w:r>
      <w:r>
        <w:rPr>
          <w:rFonts w:ascii="Times New Roman" w:hAnsi="Times New Roman" w:cs="Times New Roman"/>
          <w:sz w:val="24"/>
          <w:szCs w:val="24"/>
        </w:rPr>
        <w:t>’d</w:t>
      </w:r>
      <w:r w:rsidR="00AF30D1">
        <w:rPr>
          <w:rFonts w:ascii="Times New Roman" w:hAnsi="Times New Roman" w:cs="Times New Roman"/>
          <w:sz w:val="24"/>
          <w:szCs w:val="24"/>
        </w:rPr>
        <w:t>e</w:t>
      </w:r>
      <w:r>
        <w:rPr>
          <w:rFonts w:ascii="Times New Roman" w:hAnsi="Times New Roman" w:cs="Times New Roman"/>
          <w:sz w:val="24"/>
          <w:szCs w:val="24"/>
        </w:rPr>
        <w:t xml:space="preserve"> sunulan MET sonuçlarında (bkz. Tablo 1) verilen ortalama azaltım verimliliği hesaplaması, atık su arıtma tesisinin giriş ve çıkış suyu yüküne bağlıdır.</w:t>
      </w:r>
    </w:p>
    <w:p w14:paraId="16C7A16C" w14:textId="77777777" w:rsidR="007A0350" w:rsidRPr="007B6467" w:rsidRDefault="007A0350" w:rsidP="007A0350">
      <w:pPr>
        <w:pStyle w:val="Balk3"/>
        <w:spacing w:before="0" w:after="120" w:line="276" w:lineRule="auto"/>
        <w:jc w:val="both"/>
        <w:rPr>
          <w:rFonts w:cs="Times New Roman"/>
          <w:b w:val="0"/>
          <w:bCs/>
          <w:szCs w:val="24"/>
        </w:rPr>
      </w:pPr>
      <w:r>
        <w:rPr>
          <w:rFonts w:cs="Times New Roman"/>
          <w:bCs/>
          <w:szCs w:val="24"/>
        </w:rPr>
        <w:t>(5.4) Diğer Çevresel Performans Seviyeleri</w:t>
      </w:r>
    </w:p>
    <w:p w14:paraId="03886FC0" w14:textId="77777777" w:rsidR="007A0350" w:rsidRPr="00436615" w:rsidRDefault="007A0350" w:rsidP="007A0350">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(5.4.1) Özgül Atık Su Deşarjı</w:t>
      </w:r>
    </w:p>
    <w:p w14:paraId="2433BF1E" w14:textId="77777777" w:rsidR="00DE27A4" w:rsidRDefault="00DE27A4" w:rsidP="00DE27A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atık su deşarjı ile ilişkili belirleyici çevresel performans seviyeleri, yıllık ortalamaları ifade eder ve aşağıdaki denklem kullanılarak hesaplanır:</w:t>
      </w:r>
    </w:p>
    <w:p w14:paraId="7037955F" w14:textId="77777777" w:rsidR="00DE27A4" w:rsidRDefault="00DE27A4" w:rsidP="00DE27A4">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atık su deşarjı = </w:t>
      </w:r>
      <m:oMath>
        <m:f>
          <m:fPr>
            <m:ctrlPr>
              <w:rPr>
                <w:rFonts w:ascii="Cambria Math" w:hAnsi="Cambria Math" w:cs="Times New Roman"/>
                <w:i/>
                <w:sz w:val="28"/>
                <w:szCs w:val="28"/>
              </w:rPr>
            </m:ctrlPr>
          </m:fPr>
          <m:num>
            <m:r>
              <m:rPr>
                <m:sty m:val="p"/>
              </m:rPr>
              <w:rPr>
                <w:rFonts w:ascii="Cambria Math" w:hAnsi="Cambria Math" w:cs="Times New Roman"/>
                <w:sz w:val="28"/>
                <w:szCs w:val="28"/>
              </w:rPr>
              <m:t>atık su deşarjı</m:t>
            </m:r>
          </m:num>
          <m:den>
            <m:r>
              <m:rPr>
                <m:sty m:val="p"/>
              </m:rPr>
              <w:rPr>
                <w:rFonts w:ascii="Cambria Math" w:hAnsi="Cambria Math" w:cs="Times New Roman"/>
                <w:sz w:val="28"/>
                <w:szCs w:val="28"/>
              </w:rPr>
              <m:t>faaliyet oranı</m:t>
            </m:r>
          </m:den>
        </m:f>
      </m:oMath>
    </w:p>
    <w:p w14:paraId="1F6A558D" w14:textId="77777777" w:rsidR="00DE27A4" w:rsidRDefault="00DE27A4" w:rsidP="00DE27A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su deşarjı: ilgili ve belirli prosesler tarafından üretim süresi boyunca deşarj edilen (doğrudan deşarj, dolaylı deşarj ve/veya araziye dağılma) ve m</w:t>
      </w:r>
      <w:r>
        <w:rPr>
          <w:rFonts w:ascii="Times New Roman" w:hAnsi="Times New Roman" w:cs="Times New Roman"/>
          <w:sz w:val="24"/>
          <w:szCs w:val="24"/>
          <w:vertAlign w:val="superscript"/>
        </w:rPr>
        <w:t>3</w:t>
      </w:r>
      <w:r>
        <w:rPr>
          <w:rFonts w:ascii="Times New Roman" w:hAnsi="Times New Roman" w:cs="Times New Roman"/>
          <w:sz w:val="24"/>
          <w:szCs w:val="24"/>
        </w:rPr>
        <w:t>/yıl olarak belirtilen, ayrı olarak deşarj edilen herhangi bir soğutma suyu ve akıntı suyu haricindeki atık suyun toplam miktarı;</w:t>
      </w:r>
    </w:p>
    <w:p w14:paraId="4D60B566" w14:textId="77777777" w:rsidR="00DE27A4" w:rsidRDefault="00DE27A4" w:rsidP="00DE27A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w:t>
      </w:r>
      <w:r w:rsidR="0044528E">
        <w:rPr>
          <w:rFonts w:ascii="Times New Roman" w:hAnsi="Times New Roman" w:cs="Times New Roman"/>
          <w:sz w:val="24"/>
          <w:szCs w:val="24"/>
        </w:rPr>
        <w:t xml:space="preserve"> sektöre bağlı olarak, ton/yıl veya hl/yıl olarak belirtilen ürünlerin veya işlenmiş hammaddelerin toplam miktarı. Ambalajlama, ürün ağırlığına dahil edilmez. Hammadde, gıda veya yem üretimi için tesise giren veya işlenen herhangi bir materyaldir.</w:t>
      </w:r>
    </w:p>
    <w:p w14:paraId="121BE638" w14:textId="77777777" w:rsidR="0044528E" w:rsidRPr="00436615" w:rsidRDefault="0044528E" w:rsidP="0044528E">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(5.4.2) Özgül Enerji Tüketimi</w:t>
      </w:r>
    </w:p>
    <w:p w14:paraId="535BB5DA" w14:textId="77777777" w:rsidR="00A857EF" w:rsidRDefault="00A857EF" w:rsidP="00A857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enerji tüketimi ile ilişkili belirleyici çevresel performans seviyeleri, yıllık ortalamaları ifade eder ve aşağıdaki denklem kullanılarak hesaplanır:</w:t>
      </w:r>
    </w:p>
    <w:p w14:paraId="005C5F4A" w14:textId="77777777" w:rsidR="00A857EF" w:rsidRDefault="00A857EF" w:rsidP="00A857EF">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enerji tüketimi = </w:t>
      </w:r>
      <m:oMath>
        <m:f>
          <m:fPr>
            <m:ctrlPr>
              <w:rPr>
                <w:rFonts w:ascii="Cambria Math" w:hAnsi="Cambria Math" w:cs="Times New Roman"/>
                <w:i/>
                <w:sz w:val="28"/>
                <w:szCs w:val="28"/>
              </w:rPr>
            </m:ctrlPr>
          </m:fPr>
          <m:num>
            <m:r>
              <m:rPr>
                <m:sty m:val="p"/>
              </m:rPr>
              <w:rPr>
                <w:rFonts w:ascii="Cambria Math" w:hAnsi="Cambria Math" w:cs="Times New Roman"/>
                <w:sz w:val="28"/>
                <w:szCs w:val="28"/>
              </w:rPr>
              <m:t>nihai enerji tüketimi</m:t>
            </m:r>
          </m:num>
          <m:den>
            <m:r>
              <m:rPr>
                <m:sty m:val="p"/>
              </m:rPr>
              <w:rPr>
                <w:rFonts w:ascii="Cambria Math" w:hAnsi="Cambria Math" w:cs="Times New Roman"/>
                <w:sz w:val="28"/>
                <w:szCs w:val="28"/>
              </w:rPr>
              <m:t>faaliyet oranı</m:t>
            </m:r>
          </m:den>
        </m:f>
      </m:oMath>
    </w:p>
    <w:p w14:paraId="72C04D5B" w14:textId="77777777" w:rsidR="00A857EF" w:rsidRDefault="00A857EF" w:rsidP="00A857E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nihai enerji tüketimi: </w:t>
      </w:r>
      <w:r w:rsidR="00F46604">
        <w:rPr>
          <w:rFonts w:ascii="Times New Roman" w:hAnsi="Times New Roman" w:cs="Times New Roman"/>
          <w:sz w:val="24"/>
          <w:szCs w:val="24"/>
        </w:rPr>
        <w:t>üretim süresi boyunca belirli prosesler tarafından</w:t>
      </w:r>
      <w:r>
        <w:rPr>
          <w:rFonts w:ascii="Times New Roman" w:hAnsi="Times New Roman" w:cs="Times New Roman"/>
          <w:sz w:val="24"/>
          <w:szCs w:val="24"/>
        </w:rPr>
        <w:t xml:space="preserve"> (ısı ve elektrik olarak) tüketilen ve </w:t>
      </w:r>
      <w:r w:rsidR="00F46604">
        <w:rPr>
          <w:rFonts w:ascii="Times New Roman" w:hAnsi="Times New Roman" w:cs="Times New Roman"/>
          <w:sz w:val="24"/>
          <w:szCs w:val="24"/>
        </w:rPr>
        <w:t>M</w:t>
      </w:r>
      <w:r>
        <w:rPr>
          <w:rFonts w:ascii="Times New Roman" w:hAnsi="Times New Roman" w:cs="Times New Roman"/>
          <w:sz w:val="24"/>
          <w:szCs w:val="24"/>
        </w:rPr>
        <w:t>Wh/yıl olarak belirtilen enerjinin toplam miktarı;</w:t>
      </w:r>
    </w:p>
    <w:p w14:paraId="56649418" w14:textId="77777777" w:rsidR="00F32CD8" w:rsidRDefault="00A857EF" w:rsidP="00523C7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w:t>
      </w:r>
      <w:r w:rsidR="001B2252">
        <w:rPr>
          <w:rFonts w:ascii="Times New Roman" w:hAnsi="Times New Roman" w:cs="Times New Roman"/>
          <w:sz w:val="24"/>
          <w:szCs w:val="24"/>
        </w:rPr>
        <w:t xml:space="preserve"> sektöre bağlı olarak, ton/yıl veya hl/yıl olarak belirtilen ürünlerin veya işlenmiş hammaddelerin toplam miktarı. Ambalajlama, ürün ağırlığına dahil edilmez. Hammadde, gıda veya yem üretimi için tesise giren veya işlenen herhangi bir materyaldir.</w:t>
      </w:r>
    </w:p>
    <w:p w14:paraId="6B92447E" w14:textId="77777777" w:rsidR="00C23688" w:rsidRPr="007A3693" w:rsidRDefault="00C23688" w:rsidP="00C23688">
      <w:pPr>
        <w:pStyle w:val="Balk2"/>
        <w:spacing w:before="0" w:after="120" w:line="276" w:lineRule="auto"/>
        <w:jc w:val="both"/>
        <w:rPr>
          <w:rFonts w:cs="Times New Roman"/>
          <w:b/>
          <w:bCs/>
          <w:szCs w:val="24"/>
        </w:rPr>
      </w:pPr>
      <w:r>
        <w:rPr>
          <w:rFonts w:cs="Times New Roman"/>
          <w:b/>
          <w:bCs/>
          <w:szCs w:val="24"/>
        </w:rPr>
        <w:t>(6) Entansif Kümes Hayvanı ve Domuz Besiciliği</w:t>
      </w:r>
    </w:p>
    <w:p w14:paraId="655A8591" w14:textId="569C64E8" w:rsidR="00950D59" w:rsidRDefault="00D16060" w:rsidP="00950D59">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950D59">
        <w:rPr>
          <w:rFonts w:ascii="Times New Roman" w:hAnsi="Times New Roman" w:cs="Times New Roman"/>
          <w:sz w:val="24"/>
          <w:szCs w:val="24"/>
        </w:rPr>
        <w:t>-8’de sunulan MET sonuçlarında listelenen ve açıklanan teknikler, yerleşik ya da geniş kapsamlı ve ayrıntılı değildir. En azından eş değer nitelikte çevresel koruma sağlamak için diğer teknikler de kullanılabilir.</w:t>
      </w:r>
    </w:p>
    <w:p w14:paraId="5CC2E5D0" w14:textId="1E84AB8A" w:rsidR="00950D59" w:rsidRDefault="00950D59" w:rsidP="00950D59">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-8’de sunulan MET sonuçları genellikle uygulanabilir.</w:t>
      </w:r>
    </w:p>
    <w:p w14:paraId="3BF74A1C" w14:textId="6CA87D94" w:rsidR="0033330D" w:rsidRDefault="0033330D" w:rsidP="0033330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 xml:space="preserve">-8’de sunulan MET sonuçlarında verilen </w:t>
      </w:r>
      <w:r w:rsidR="00156B95">
        <w:rPr>
          <w:rFonts w:ascii="Times New Roman" w:hAnsi="Times New Roman" w:cs="Times New Roman"/>
          <w:sz w:val="24"/>
          <w:szCs w:val="24"/>
        </w:rPr>
        <w:t xml:space="preserve">havaya </w:t>
      </w:r>
      <w:r>
        <w:rPr>
          <w:rFonts w:ascii="Times New Roman" w:hAnsi="Times New Roman" w:cs="Times New Roman"/>
          <w:sz w:val="24"/>
          <w:szCs w:val="24"/>
        </w:rPr>
        <w:t>emisyonlara yönelik MET-İES’ler, hayvan</w:t>
      </w:r>
      <w:r w:rsidR="00671F54">
        <w:rPr>
          <w:rFonts w:ascii="Times New Roman" w:hAnsi="Times New Roman" w:cs="Times New Roman"/>
          <w:sz w:val="24"/>
          <w:szCs w:val="24"/>
        </w:rPr>
        <w:t xml:space="preserve">a ait alan -bir yıl boyunca </w:t>
      </w:r>
      <w:r w:rsidR="00156B95">
        <w:rPr>
          <w:rFonts w:ascii="Times New Roman" w:hAnsi="Times New Roman" w:cs="Times New Roman"/>
          <w:sz w:val="24"/>
          <w:szCs w:val="24"/>
        </w:rPr>
        <w:t xml:space="preserve">gerçekleştirilen </w:t>
      </w:r>
      <w:r w:rsidR="00671F54">
        <w:rPr>
          <w:rFonts w:ascii="Times New Roman" w:hAnsi="Times New Roman" w:cs="Times New Roman"/>
          <w:sz w:val="24"/>
          <w:szCs w:val="24"/>
        </w:rPr>
        <w:t>tüm yetiştirme döngüleri için) başına salınan madde kütlesini ifade eder (diğer bir ifadeyle, kg madde/hayvana ait alan/yıl).</w:t>
      </w:r>
    </w:p>
    <w:p w14:paraId="18E2DD14" w14:textId="77777777" w:rsidR="0059445D" w:rsidRDefault="00671F54" w:rsidP="00671F5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Havadaki hacmi başına salınan maddenin kütlesi olarak belirtilen konsantrasyonlar için tüm değerler, standart koşulları ifade eder (273,15 K sıcaklıkta ve 101,3 kPa basınçta kuru gaz).</w:t>
      </w:r>
    </w:p>
    <w:p w14:paraId="524817FD" w14:textId="77777777" w:rsidR="00C23688" w:rsidRPr="007A3693" w:rsidRDefault="00C23688" w:rsidP="00C23688">
      <w:pPr>
        <w:pStyle w:val="Balk2"/>
        <w:spacing w:before="0" w:after="120" w:line="276" w:lineRule="auto"/>
        <w:jc w:val="both"/>
        <w:rPr>
          <w:rFonts w:cs="Times New Roman"/>
          <w:b/>
          <w:bCs/>
          <w:szCs w:val="24"/>
        </w:rPr>
      </w:pPr>
      <w:r w:rsidRPr="00DA18B6">
        <w:rPr>
          <w:rFonts w:cs="Times New Roman"/>
          <w:b/>
          <w:bCs/>
          <w:szCs w:val="24"/>
        </w:rPr>
        <w:t>(7) Ahşap ve Ahşap Ürünlerinin Kimyasallarla Korunması Dahil, Organik Solvent Kullanılan Yüzey İşleme Sektörü</w:t>
      </w:r>
    </w:p>
    <w:p w14:paraId="32CD28F1" w14:textId="77777777" w:rsidR="00237B0C" w:rsidRPr="007B6467" w:rsidRDefault="00237B0C" w:rsidP="00237B0C">
      <w:pPr>
        <w:pStyle w:val="Balk3"/>
        <w:spacing w:before="0" w:after="120" w:line="276" w:lineRule="auto"/>
        <w:jc w:val="both"/>
        <w:rPr>
          <w:rFonts w:cs="Times New Roman"/>
          <w:b w:val="0"/>
          <w:bCs/>
          <w:szCs w:val="24"/>
        </w:rPr>
      </w:pPr>
      <w:r>
        <w:rPr>
          <w:rFonts w:cs="Times New Roman"/>
          <w:bCs/>
          <w:szCs w:val="24"/>
        </w:rPr>
        <w:t>(7.1) Mevcut En İyi Teknikler</w:t>
      </w:r>
    </w:p>
    <w:p w14:paraId="03A86BD6" w14:textId="22667174" w:rsidR="00237B0C" w:rsidRDefault="00D16060" w:rsidP="00237B0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237B0C">
        <w:rPr>
          <w:rFonts w:ascii="Times New Roman" w:hAnsi="Times New Roman" w:cs="Times New Roman"/>
          <w:sz w:val="24"/>
          <w:szCs w:val="24"/>
        </w:rPr>
        <w:t>-9’da sunulan MET sonuçlarında listelenen ve açıklanan teknikler, yerleşik ya da geniş kapsamlı ve ayrıntılı değildir. En azından eş değer nitelikte çevresel koruma sağlamak için diğer teknikler de kullanılabilir.</w:t>
      </w:r>
    </w:p>
    <w:p w14:paraId="6F3DB2C0" w14:textId="611FA125" w:rsidR="00237B0C" w:rsidRDefault="00237B0C" w:rsidP="00237B0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w:t>
      </w:r>
      <w:r w:rsidR="00DC5E5E">
        <w:rPr>
          <w:rFonts w:ascii="Times New Roman" w:hAnsi="Times New Roman" w:cs="Times New Roman"/>
          <w:sz w:val="24"/>
          <w:szCs w:val="24"/>
        </w:rPr>
        <w:t>9</w:t>
      </w:r>
      <w:r>
        <w:rPr>
          <w:rFonts w:ascii="Times New Roman" w:hAnsi="Times New Roman" w:cs="Times New Roman"/>
          <w:sz w:val="24"/>
          <w:szCs w:val="24"/>
        </w:rPr>
        <w:t>’da sunulan MET sonuçları genellikle uygulanabilir.</w:t>
      </w:r>
    </w:p>
    <w:p w14:paraId="2CFF70EE" w14:textId="77777777" w:rsidR="00100471" w:rsidRPr="007B6467" w:rsidRDefault="00100471" w:rsidP="00100471">
      <w:pPr>
        <w:pStyle w:val="Balk3"/>
        <w:spacing w:before="0" w:after="120" w:line="276" w:lineRule="auto"/>
        <w:jc w:val="both"/>
        <w:rPr>
          <w:rFonts w:cs="Times New Roman"/>
          <w:b w:val="0"/>
          <w:bCs/>
          <w:szCs w:val="24"/>
        </w:rPr>
      </w:pPr>
      <w:r>
        <w:rPr>
          <w:rFonts w:cs="Times New Roman"/>
          <w:bCs/>
          <w:szCs w:val="24"/>
        </w:rPr>
        <w:t>(7.2) Mevcut En İyi Teknikler ile İlişkili Emisyon Seviyeleri (MET-İES’ler)</w:t>
      </w:r>
    </w:p>
    <w:p w14:paraId="5E9C13A1" w14:textId="77777777" w:rsidR="007C3227" w:rsidRPr="00436615" w:rsidRDefault="007C3227" w:rsidP="007C3227">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 xml:space="preserve">(7.2.1) Toplam ve Kaçak </w:t>
      </w:r>
      <w:r w:rsidR="009D570E">
        <w:rPr>
          <w:rFonts w:ascii="Times New Roman" w:hAnsi="Times New Roman" w:cs="Times New Roman"/>
          <w:b/>
          <w:bCs/>
          <w:i w:val="0"/>
          <w:iCs w:val="0"/>
          <w:color w:val="auto"/>
          <w:sz w:val="24"/>
          <w:szCs w:val="24"/>
        </w:rPr>
        <w:t>UOB</w:t>
      </w:r>
      <w:r>
        <w:rPr>
          <w:rFonts w:ascii="Times New Roman" w:hAnsi="Times New Roman" w:cs="Times New Roman"/>
          <w:b/>
          <w:bCs/>
          <w:i w:val="0"/>
          <w:iCs w:val="0"/>
          <w:color w:val="auto"/>
          <w:sz w:val="24"/>
          <w:szCs w:val="24"/>
        </w:rPr>
        <w:t xml:space="preserve"> Emisyonlarına Yönelik MET-İES’ler</w:t>
      </w:r>
    </w:p>
    <w:p w14:paraId="24A9F808" w14:textId="67204E32" w:rsidR="007A1BBD" w:rsidRDefault="000E1DB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Toplam </w:t>
      </w:r>
      <w:r w:rsidR="009D570E">
        <w:rPr>
          <w:rFonts w:ascii="Times New Roman" w:hAnsi="Times New Roman" w:cs="Times New Roman"/>
          <w:sz w:val="24"/>
          <w:szCs w:val="24"/>
        </w:rPr>
        <w:t>UOB</w:t>
      </w:r>
      <w:r>
        <w:rPr>
          <w:rFonts w:ascii="Times New Roman" w:hAnsi="Times New Roman" w:cs="Times New Roman"/>
          <w:sz w:val="24"/>
          <w:szCs w:val="24"/>
        </w:rPr>
        <w:t xml:space="preserve"> emisyonları için MET-İES’ler, </w:t>
      </w:r>
      <w:r w:rsidR="00D16060">
        <w:rPr>
          <w:rFonts w:ascii="Times New Roman" w:hAnsi="Times New Roman" w:cs="Times New Roman"/>
          <w:sz w:val="24"/>
          <w:szCs w:val="24"/>
        </w:rPr>
        <w:t>EK</w:t>
      </w:r>
      <w:r>
        <w:rPr>
          <w:rFonts w:ascii="Times New Roman" w:hAnsi="Times New Roman" w:cs="Times New Roman"/>
          <w:sz w:val="24"/>
          <w:szCs w:val="24"/>
        </w:rPr>
        <w:t>-9’da sunulan MET sonuçlarında verilmektedir:</w:t>
      </w:r>
    </w:p>
    <w:p w14:paraId="279D1E01" w14:textId="77777777" w:rsidR="000E1DB2" w:rsidRDefault="000E1DB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toplam </w:t>
      </w:r>
      <w:r w:rsidR="009D570E">
        <w:rPr>
          <w:rFonts w:ascii="Times New Roman" w:hAnsi="Times New Roman" w:cs="Times New Roman"/>
          <w:sz w:val="24"/>
          <w:szCs w:val="24"/>
        </w:rPr>
        <w:t>UOB</w:t>
      </w:r>
      <w:r>
        <w:rPr>
          <w:rFonts w:ascii="Times New Roman" w:hAnsi="Times New Roman" w:cs="Times New Roman"/>
          <w:sz w:val="24"/>
          <w:szCs w:val="24"/>
        </w:rPr>
        <w:t xml:space="preserve"> emisyonunun (solvent kütle dengesi ile hesaplanan) sektöre bağlı üretim girdi (veya üretim hacmi) parametresi ile bölünerek elde edilen yıllık ortalamalar şeklinde hesaplanan belirli emisyon yükü olarak; veya</w:t>
      </w:r>
    </w:p>
    <w:p w14:paraId="5194D0B2" w14:textId="77777777" w:rsidR="000E1DB2" w:rsidRDefault="000E1DB2"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25B7">
        <w:rPr>
          <w:rFonts w:ascii="Times New Roman" w:hAnsi="Times New Roman" w:cs="Times New Roman"/>
          <w:sz w:val="24"/>
          <w:szCs w:val="24"/>
        </w:rPr>
        <w:t>as a percentage of the solvent input, calculated as yearly averages as per Part 7, 3(b)(i) of Annex VII to Directive 2010/75/EU.</w:t>
      </w:r>
    </w:p>
    <w:p w14:paraId="55172FAE" w14:textId="7E3162F7" w:rsidR="00C23688" w:rsidRDefault="001425B7" w:rsidP="003610D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Kaçak </w:t>
      </w:r>
      <w:r w:rsidR="009D570E">
        <w:rPr>
          <w:rFonts w:ascii="Times New Roman" w:hAnsi="Times New Roman" w:cs="Times New Roman"/>
          <w:sz w:val="24"/>
          <w:szCs w:val="24"/>
        </w:rPr>
        <w:t>UOB</w:t>
      </w:r>
      <w:r>
        <w:rPr>
          <w:rFonts w:ascii="Times New Roman" w:hAnsi="Times New Roman" w:cs="Times New Roman"/>
          <w:sz w:val="24"/>
          <w:szCs w:val="24"/>
        </w:rPr>
        <w:t xml:space="preserve"> emisyonları için MET-İES’ler, </w:t>
      </w:r>
      <w:r w:rsidR="00D16060">
        <w:rPr>
          <w:rFonts w:ascii="Times New Roman" w:hAnsi="Times New Roman" w:cs="Times New Roman"/>
          <w:sz w:val="24"/>
          <w:szCs w:val="24"/>
        </w:rPr>
        <w:t>EK</w:t>
      </w:r>
      <w:r>
        <w:rPr>
          <w:rFonts w:ascii="Times New Roman" w:hAnsi="Times New Roman" w:cs="Times New Roman"/>
          <w:sz w:val="24"/>
          <w:szCs w:val="24"/>
        </w:rPr>
        <w:t>-9’da sunulan MET sonuçlarında, as a percentage of the solvent input, calculated as yearly averages as per Part 7, 3(b)(i) of Annex VII to Directive 2010/75/EU olarak verilmiştir.</w:t>
      </w:r>
    </w:p>
    <w:p w14:paraId="758CF914" w14:textId="77777777" w:rsidR="00E05CA2" w:rsidRPr="00436615" w:rsidRDefault="00E05CA2" w:rsidP="00E05CA2">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(7.2.2) Atık Gazlardaki Emisyonlara Yönelik MET-İES’ler ve Belirleyici Emisyon Seviyeleri</w:t>
      </w:r>
    </w:p>
    <w:p w14:paraId="3C3C706C" w14:textId="122CBD4B" w:rsidR="00D5640B" w:rsidRDefault="00D16060" w:rsidP="00D5640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D5640B">
        <w:rPr>
          <w:rFonts w:ascii="Times New Roman" w:hAnsi="Times New Roman" w:cs="Times New Roman"/>
          <w:sz w:val="24"/>
          <w:szCs w:val="24"/>
        </w:rPr>
        <w:t xml:space="preserve">-9’da sunulan MET sonuçlarında belirtilen </w:t>
      </w:r>
      <w:r w:rsidR="005767CE">
        <w:rPr>
          <w:rFonts w:ascii="Times New Roman" w:hAnsi="Times New Roman" w:cs="Times New Roman"/>
          <w:sz w:val="24"/>
          <w:szCs w:val="24"/>
        </w:rPr>
        <w:t>atık gazlardaki emisyonlar</w:t>
      </w:r>
      <w:r w:rsidR="00D5640B">
        <w:rPr>
          <w:rFonts w:ascii="Times New Roman" w:hAnsi="Times New Roman" w:cs="Times New Roman"/>
          <w:sz w:val="24"/>
          <w:szCs w:val="24"/>
        </w:rPr>
        <w:t xml:space="preserve"> için MET-İES’ler ve belirleyici emisyon seviye</w:t>
      </w:r>
      <w:r w:rsidR="00B32A9D">
        <w:rPr>
          <w:rFonts w:ascii="Times New Roman" w:hAnsi="Times New Roman" w:cs="Times New Roman"/>
          <w:sz w:val="24"/>
          <w:szCs w:val="24"/>
        </w:rPr>
        <w:t>leri,</w:t>
      </w:r>
      <w:r w:rsidR="00FD20C3">
        <w:rPr>
          <w:rFonts w:ascii="Times New Roman" w:hAnsi="Times New Roman" w:cs="Times New Roman"/>
          <w:sz w:val="24"/>
          <w:szCs w:val="24"/>
        </w:rPr>
        <w:t xml:space="preserve"> şu standart koşullar altında atık gaz hacmi başına salınan madde kütlesi olarak verilen</w:t>
      </w:r>
      <w:r w:rsidR="00D5640B">
        <w:rPr>
          <w:rFonts w:ascii="Times New Roman" w:hAnsi="Times New Roman" w:cs="Times New Roman"/>
          <w:sz w:val="24"/>
          <w:szCs w:val="24"/>
        </w:rPr>
        <w:t xml:space="preserve"> konsantrasyonları ifade eder: Oksijen içeriği için düzeltme olmaksızın ve mg/Nm</w:t>
      </w:r>
      <w:r w:rsidR="00D5640B">
        <w:rPr>
          <w:rFonts w:ascii="Times New Roman" w:hAnsi="Times New Roman" w:cs="Times New Roman"/>
          <w:sz w:val="24"/>
          <w:szCs w:val="24"/>
          <w:vertAlign w:val="superscript"/>
        </w:rPr>
        <w:t>3</w:t>
      </w:r>
      <w:r w:rsidR="00D5640B">
        <w:rPr>
          <w:rFonts w:ascii="Times New Roman" w:hAnsi="Times New Roman" w:cs="Times New Roman"/>
          <w:sz w:val="24"/>
          <w:szCs w:val="24"/>
        </w:rPr>
        <w:t xml:space="preserve"> olarak ifade edilen 273,15 K sıcaklıkta ve 101,3 kPa basınçta kuru gaz.</w:t>
      </w:r>
    </w:p>
    <w:p w14:paraId="75B1B852" w14:textId="77777777" w:rsidR="00D5640B" w:rsidRDefault="00B00A3E" w:rsidP="00D5640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gazlardaki</w:t>
      </w:r>
      <w:r w:rsidR="00D5640B">
        <w:rPr>
          <w:rFonts w:ascii="Times New Roman" w:hAnsi="Times New Roman" w:cs="Times New Roman"/>
          <w:sz w:val="24"/>
          <w:szCs w:val="24"/>
        </w:rPr>
        <w:t xml:space="preserve"> emisyonlar için MET-İES’lere </w:t>
      </w:r>
      <w:r w:rsidR="00247C78">
        <w:rPr>
          <w:rFonts w:ascii="Times New Roman" w:hAnsi="Times New Roman" w:cs="Times New Roman"/>
          <w:sz w:val="24"/>
          <w:szCs w:val="24"/>
        </w:rPr>
        <w:t xml:space="preserve">ve </w:t>
      </w:r>
      <w:r w:rsidR="00D5640B">
        <w:rPr>
          <w:rFonts w:ascii="Times New Roman" w:hAnsi="Times New Roman" w:cs="Times New Roman"/>
          <w:sz w:val="24"/>
          <w:szCs w:val="24"/>
        </w:rPr>
        <w:t>belirleyici emisyon seviye</w:t>
      </w:r>
      <w:r w:rsidR="00247C78">
        <w:rPr>
          <w:rFonts w:ascii="Times New Roman" w:hAnsi="Times New Roman" w:cs="Times New Roman"/>
          <w:sz w:val="24"/>
          <w:szCs w:val="24"/>
        </w:rPr>
        <w:t>leri</w:t>
      </w:r>
      <w:r w:rsidR="00D5640B">
        <w:rPr>
          <w:rFonts w:ascii="Times New Roman" w:hAnsi="Times New Roman" w:cs="Times New Roman"/>
          <w:sz w:val="24"/>
          <w:szCs w:val="24"/>
        </w:rPr>
        <w:t>ne yönelik ortalama süreleri için, aşağıdaki açıklama</w:t>
      </w:r>
      <w:r w:rsidR="00247C78">
        <w:rPr>
          <w:rFonts w:ascii="Times New Roman" w:hAnsi="Times New Roman" w:cs="Times New Roman"/>
          <w:sz w:val="24"/>
          <w:szCs w:val="24"/>
        </w:rPr>
        <w:t>lar</w:t>
      </w:r>
      <w:r w:rsidR="00D5640B">
        <w:rPr>
          <w:rFonts w:ascii="Times New Roman" w:hAnsi="Times New Roman" w:cs="Times New Roman"/>
          <w:sz w:val="24"/>
          <w:szCs w:val="24"/>
        </w:rPr>
        <w:t xml:space="preserve"> geçerlidir.</w:t>
      </w:r>
    </w:p>
    <w:tbl>
      <w:tblPr>
        <w:tblStyle w:val="TabloKlavuzu"/>
        <w:tblW w:w="0" w:type="auto"/>
        <w:jc w:val="center"/>
        <w:tblLook w:val="04A0" w:firstRow="1" w:lastRow="0" w:firstColumn="1" w:lastColumn="0" w:noHBand="0" w:noVBand="1"/>
      </w:tblPr>
      <w:tblGrid>
        <w:gridCol w:w="1838"/>
        <w:gridCol w:w="3609"/>
        <w:gridCol w:w="3615"/>
      </w:tblGrid>
      <w:tr w:rsidR="00D5640B" w:rsidRPr="00BA34D0" w14:paraId="697AA284" w14:textId="77777777" w:rsidTr="00931123">
        <w:trPr>
          <w:tblHeader/>
          <w:jc w:val="center"/>
        </w:trPr>
        <w:tc>
          <w:tcPr>
            <w:tcW w:w="1838" w:type="dxa"/>
            <w:vAlign w:val="center"/>
          </w:tcPr>
          <w:p w14:paraId="3DF920DE" w14:textId="77777777" w:rsidR="00D5640B" w:rsidRPr="00890696" w:rsidRDefault="00D5640B" w:rsidP="0024730D">
            <w:pPr>
              <w:jc w:val="center"/>
              <w:rPr>
                <w:rFonts w:ascii="Times New Roman" w:hAnsi="Times New Roman" w:cs="Times New Roman"/>
                <w:b/>
                <w:bCs/>
              </w:rPr>
            </w:pPr>
            <w:r>
              <w:rPr>
                <w:rFonts w:ascii="Times New Roman" w:hAnsi="Times New Roman" w:cs="Times New Roman"/>
                <w:b/>
                <w:bCs/>
              </w:rPr>
              <w:t>Ölçüm Türü</w:t>
            </w:r>
          </w:p>
        </w:tc>
        <w:tc>
          <w:tcPr>
            <w:tcW w:w="3609" w:type="dxa"/>
            <w:vAlign w:val="center"/>
          </w:tcPr>
          <w:p w14:paraId="196EC0E3" w14:textId="77777777" w:rsidR="00D5640B" w:rsidRPr="00890696" w:rsidRDefault="00D5640B" w:rsidP="0024730D">
            <w:pPr>
              <w:jc w:val="center"/>
              <w:rPr>
                <w:rFonts w:ascii="Times New Roman" w:hAnsi="Times New Roman" w:cs="Times New Roman"/>
                <w:b/>
                <w:bCs/>
              </w:rPr>
            </w:pPr>
            <w:r>
              <w:rPr>
                <w:rFonts w:ascii="Times New Roman" w:hAnsi="Times New Roman" w:cs="Times New Roman"/>
                <w:b/>
                <w:bCs/>
              </w:rPr>
              <w:t>Ortalama Süresi</w:t>
            </w:r>
          </w:p>
        </w:tc>
        <w:tc>
          <w:tcPr>
            <w:tcW w:w="3615" w:type="dxa"/>
            <w:vAlign w:val="center"/>
          </w:tcPr>
          <w:p w14:paraId="48EA8EF1" w14:textId="77777777" w:rsidR="00D5640B" w:rsidRPr="00890696" w:rsidRDefault="00D5640B" w:rsidP="0024730D">
            <w:pPr>
              <w:jc w:val="center"/>
              <w:rPr>
                <w:rFonts w:ascii="Times New Roman" w:hAnsi="Times New Roman" w:cs="Times New Roman"/>
                <w:b/>
                <w:bCs/>
              </w:rPr>
            </w:pPr>
            <w:r>
              <w:rPr>
                <w:rFonts w:ascii="Times New Roman" w:hAnsi="Times New Roman" w:cs="Times New Roman"/>
                <w:b/>
                <w:bCs/>
              </w:rPr>
              <w:t>Açıklama</w:t>
            </w:r>
          </w:p>
        </w:tc>
      </w:tr>
      <w:tr w:rsidR="00931123" w:rsidRPr="00BA34D0" w14:paraId="17F23766" w14:textId="77777777" w:rsidTr="0024730D">
        <w:trPr>
          <w:jc w:val="center"/>
        </w:trPr>
        <w:tc>
          <w:tcPr>
            <w:tcW w:w="1838" w:type="dxa"/>
            <w:tcBorders>
              <w:bottom w:val="single" w:sz="4" w:space="0" w:color="auto"/>
            </w:tcBorders>
            <w:vAlign w:val="center"/>
          </w:tcPr>
          <w:p w14:paraId="20B9A288" w14:textId="77777777" w:rsidR="00931123" w:rsidRDefault="00931123" w:rsidP="0024730D">
            <w:pPr>
              <w:jc w:val="center"/>
              <w:rPr>
                <w:rFonts w:ascii="Times New Roman" w:hAnsi="Times New Roman" w:cs="Times New Roman"/>
              </w:rPr>
            </w:pPr>
            <w:r>
              <w:rPr>
                <w:rFonts w:ascii="Times New Roman" w:hAnsi="Times New Roman" w:cs="Times New Roman"/>
              </w:rPr>
              <w:t>Sürekli</w:t>
            </w:r>
          </w:p>
        </w:tc>
        <w:tc>
          <w:tcPr>
            <w:tcW w:w="3609" w:type="dxa"/>
            <w:tcBorders>
              <w:bottom w:val="single" w:sz="4" w:space="0" w:color="auto"/>
            </w:tcBorders>
            <w:vAlign w:val="center"/>
          </w:tcPr>
          <w:p w14:paraId="0C9D098F" w14:textId="77777777" w:rsidR="00931123" w:rsidRDefault="00931123" w:rsidP="0024730D">
            <w:pPr>
              <w:jc w:val="center"/>
              <w:rPr>
                <w:rFonts w:ascii="Times New Roman" w:hAnsi="Times New Roman" w:cs="Times New Roman"/>
              </w:rPr>
            </w:pPr>
            <w:r>
              <w:rPr>
                <w:rFonts w:ascii="Times New Roman" w:hAnsi="Times New Roman" w:cs="Times New Roman"/>
              </w:rPr>
              <w:t>günlük ortalama</w:t>
            </w:r>
          </w:p>
        </w:tc>
        <w:tc>
          <w:tcPr>
            <w:tcW w:w="3615" w:type="dxa"/>
            <w:tcBorders>
              <w:bottom w:val="single" w:sz="4" w:space="0" w:color="auto"/>
            </w:tcBorders>
            <w:vAlign w:val="center"/>
          </w:tcPr>
          <w:p w14:paraId="7F8477BB" w14:textId="77777777" w:rsidR="00931123" w:rsidRDefault="00931123" w:rsidP="0024730D">
            <w:pPr>
              <w:jc w:val="both"/>
              <w:rPr>
                <w:rFonts w:ascii="Times New Roman" w:hAnsi="Times New Roman" w:cs="Times New Roman"/>
              </w:rPr>
            </w:pPr>
            <w:r>
              <w:rPr>
                <w:rFonts w:ascii="Times New Roman" w:hAnsi="Times New Roman" w:cs="Times New Roman"/>
              </w:rPr>
              <w:t>Geçerli saatlik veya yarım saatlik ortalamalara bağlı olarak 1 günlük süre üzerinden ortalama.</w:t>
            </w:r>
          </w:p>
        </w:tc>
      </w:tr>
      <w:tr w:rsidR="00D5640B" w:rsidRPr="00BA34D0" w14:paraId="48CF8381" w14:textId="77777777" w:rsidTr="0024730D">
        <w:trPr>
          <w:jc w:val="center"/>
        </w:trPr>
        <w:tc>
          <w:tcPr>
            <w:tcW w:w="1838" w:type="dxa"/>
            <w:tcBorders>
              <w:bottom w:val="single" w:sz="4" w:space="0" w:color="auto"/>
            </w:tcBorders>
            <w:vAlign w:val="center"/>
          </w:tcPr>
          <w:p w14:paraId="4243FE46" w14:textId="77777777" w:rsidR="00D5640B" w:rsidRDefault="00D5640B" w:rsidP="0024730D">
            <w:pPr>
              <w:jc w:val="center"/>
              <w:rPr>
                <w:rFonts w:ascii="Times New Roman" w:hAnsi="Times New Roman" w:cs="Times New Roman"/>
              </w:rPr>
            </w:pPr>
            <w:r>
              <w:rPr>
                <w:rFonts w:ascii="Times New Roman" w:hAnsi="Times New Roman" w:cs="Times New Roman"/>
              </w:rPr>
              <w:t>Periyodik</w:t>
            </w:r>
          </w:p>
        </w:tc>
        <w:tc>
          <w:tcPr>
            <w:tcW w:w="3609" w:type="dxa"/>
            <w:tcBorders>
              <w:bottom w:val="single" w:sz="4" w:space="0" w:color="auto"/>
            </w:tcBorders>
            <w:vAlign w:val="center"/>
          </w:tcPr>
          <w:p w14:paraId="457EA270" w14:textId="77777777" w:rsidR="00D5640B" w:rsidRDefault="00D5640B" w:rsidP="0024730D">
            <w:pPr>
              <w:jc w:val="center"/>
              <w:rPr>
                <w:rFonts w:ascii="Times New Roman" w:hAnsi="Times New Roman" w:cs="Times New Roman"/>
              </w:rPr>
            </w:pPr>
            <w:r>
              <w:rPr>
                <w:rFonts w:ascii="Times New Roman" w:hAnsi="Times New Roman" w:cs="Times New Roman"/>
              </w:rPr>
              <w:t>örnekleme süresi üzerinden ortalama</w:t>
            </w:r>
          </w:p>
        </w:tc>
        <w:tc>
          <w:tcPr>
            <w:tcW w:w="3615" w:type="dxa"/>
            <w:tcBorders>
              <w:bottom w:val="single" w:sz="4" w:space="0" w:color="auto"/>
            </w:tcBorders>
            <w:vAlign w:val="center"/>
          </w:tcPr>
          <w:p w14:paraId="262A88D1" w14:textId="77777777" w:rsidR="00D5640B" w:rsidRPr="00BA34D0" w:rsidRDefault="00D5640B" w:rsidP="0024730D">
            <w:pPr>
              <w:jc w:val="both"/>
              <w:rPr>
                <w:rFonts w:ascii="Times New Roman" w:hAnsi="Times New Roman" w:cs="Times New Roman"/>
              </w:rPr>
            </w:pPr>
            <w:r>
              <w:rPr>
                <w:rFonts w:ascii="Times New Roman" w:hAnsi="Times New Roman" w:cs="Times New Roman"/>
              </w:rPr>
              <w:t>Her biri en az 30 dakikalık üç ardışık ölçümün ortalama değeri. (</w:t>
            </w:r>
            <w:r w:rsidRPr="00890696">
              <w:rPr>
                <w:rFonts w:ascii="Times New Roman" w:hAnsi="Times New Roman" w:cs="Times New Roman"/>
                <w:vertAlign w:val="superscript"/>
              </w:rPr>
              <w:t>1</w:t>
            </w:r>
            <w:r>
              <w:rPr>
                <w:rFonts w:ascii="Times New Roman" w:hAnsi="Times New Roman" w:cs="Times New Roman"/>
              </w:rPr>
              <w:t>)</w:t>
            </w:r>
          </w:p>
        </w:tc>
      </w:tr>
      <w:tr w:rsidR="00D5640B" w:rsidRPr="00890696" w14:paraId="5A73837D" w14:textId="77777777" w:rsidTr="0024730D">
        <w:trPr>
          <w:jc w:val="center"/>
        </w:trPr>
        <w:tc>
          <w:tcPr>
            <w:tcW w:w="9062" w:type="dxa"/>
            <w:gridSpan w:val="3"/>
            <w:tcBorders>
              <w:top w:val="single" w:sz="4" w:space="0" w:color="auto"/>
              <w:left w:val="nil"/>
              <w:bottom w:val="nil"/>
              <w:right w:val="nil"/>
            </w:tcBorders>
            <w:vAlign w:val="center"/>
          </w:tcPr>
          <w:p w14:paraId="5BF4D3F0" w14:textId="77777777" w:rsidR="00D5640B" w:rsidRPr="00890696" w:rsidRDefault="00D5640B"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890696">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Örnekleme veya analitik kısıtlamalardan dolayı 30 dakikalık örneklemenin/ölçümün </w:t>
            </w:r>
            <w:r w:rsidR="00C57FE1">
              <w:rPr>
                <w:rFonts w:ascii="Times New Roman" w:hAnsi="Times New Roman" w:cs="Times New Roman"/>
                <w:i/>
                <w:iCs/>
                <w:sz w:val="20"/>
                <w:szCs w:val="20"/>
              </w:rPr>
              <w:t xml:space="preserve">ve/veya üç ardışık ölçüm ortalamasının </w:t>
            </w:r>
            <w:r>
              <w:rPr>
                <w:rFonts w:ascii="Times New Roman" w:hAnsi="Times New Roman" w:cs="Times New Roman"/>
                <w:i/>
                <w:iCs/>
                <w:sz w:val="20"/>
                <w:szCs w:val="20"/>
              </w:rPr>
              <w:t>uygun olmadığı herhangi bir parametre için, daha temsili bir örnekleme/ölçüm prosedürü kullanılabilir</w:t>
            </w:r>
            <w:r w:rsidR="00D96B6D">
              <w:rPr>
                <w:rFonts w:ascii="Times New Roman" w:hAnsi="Times New Roman" w:cs="Times New Roman"/>
                <w:i/>
                <w:iCs/>
                <w:sz w:val="20"/>
                <w:szCs w:val="20"/>
              </w:rPr>
              <w:t>.</w:t>
            </w:r>
          </w:p>
        </w:tc>
      </w:tr>
    </w:tbl>
    <w:p w14:paraId="1C88426E" w14:textId="77777777" w:rsidR="00D5640B" w:rsidRDefault="00D5640B" w:rsidP="00D5640B">
      <w:pPr>
        <w:spacing w:after="120" w:line="276" w:lineRule="auto"/>
        <w:jc w:val="both"/>
        <w:rPr>
          <w:rFonts w:ascii="Times New Roman" w:hAnsi="Times New Roman" w:cs="Times New Roman"/>
          <w:sz w:val="24"/>
          <w:szCs w:val="24"/>
        </w:rPr>
      </w:pPr>
    </w:p>
    <w:p w14:paraId="32693EA4" w14:textId="77777777" w:rsidR="003D6BBB" w:rsidRPr="00436615" w:rsidRDefault="003D6BBB" w:rsidP="003D6BBB">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lastRenderedPageBreak/>
        <w:t xml:space="preserve">(7.2.3) </w:t>
      </w:r>
      <w:r w:rsidR="00443429">
        <w:rPr>
          <w:rFonts w:ascii="Times New Roman" w:hAnsi="Times New Roman" w:cs="Times New Roman"/>
          <w:b/>
          <w:bCs/>
          <w:i w:val="0"/>
          <w:iCs w:val="0"/>
          <w:color w:val="auto"/>
          <w:sz w:val="24"/>
          <w:szCs w:val="24"/>
        </w:rPr>
        <w:t>Suya</w:t>
      </w:r>
      <w:r>
        <w:rPr>
          <w:rFonts w:ascii="Times New Roman" w:hAnsi="Times New Roman" w:cs="Times New Roman"/>
          <w:b/>
          <w:bCs/>
          <w:i w:val="0"/>
          <w:iCs w:val="0"/>
          <w:color w:val="auto"/>
          <w:sz w:val="24"/>
          <w:szCs w:val="24"/>
        </w:rPr>
        <w:t xml:space="preserve"> Emisyonlara Yönelik MET-İES’ler</w:t>
      </w:r>
    </w:p>
    <w:p w14:paraId="0A94FAC4" w14:textId="5299A38E" w:rsidR="003C3D47" w:rsidRDefault="00D16060" w:rsidP="003C3D4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3C3D47">
        <w:rPr>
          <w:rFonts w:ascii="Times New Roman" w:hAnsi="Times New Roman" w:cs="Times New Roman"/>
          <w:sz w:val="24"/>
          <w:szCs w:val="24"/>
        </w:rPr>
        <w:t>-9’da sunulan MET sonuçlarında verilen suya emisyonlara yönelik MET-İES’ler, mg/L olarak belirtilen konsantrasyonları (su hacmi başına salınan madde kütlesi) ifade eder.</w:t>
      </w:r>
    </w:p>
    <w:p w14:paraId="1064D4DF" w14:textId="77777777" w:rsidR="003C3D47" w:rsidRDefault="003C3D47" w:rsidP="003C3D4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MET-İES’ler ile ilişkili ortalama süreleri, aşağıdaki iki durumdan birini ifade eder:</w:t>
      </w:r>
    </w:p>
    <w:p w14:paraId="0747342D" w14:textId="77777777" w:rsidR="003C3D47" w:rsidRDefault="003C3D47" w:rsidP="003C3D4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2A13">
        <w:rPr>
          <w:rFonts w:ascii="Times New Roman" w:hAnsi="Times New Roman" w:cs="Times New Roman"/>
          <w:sz w:val="24"/>
          <w:szCs w:val="24"/>
        </w:rPr>
        <w:t>s</w:t>
      </w:r>
      <w:r>
        <w:rPr>
          <w:rFonts w:ascii="Times New Roman" w:hAnsi="Times New Roman" w:cs="Times New Roman"/>
          <w:sz w:val="24"/>
          <w:szCs w:val="24"/>
        </w:rPr>
        <w:t>ürekli deşarj durumunda, günlük ortalama değerler -diğer bir ifadeyle, akış orantılı 24 saatlik kompozit örnekler</w:t>
      </w:r>
      <w:r w:rsidR="00AF588D">
        <w:rPr>
          <w:rFonts w:ascii="Times New Roman" w:hAnsi="Times New Roman" w:cs="Times New Roman"/>
          <w:sz w:val="24"/>
          <w:szCs w:val="24"/>
        </w:rPr>
        <w:t>;</w:t>
      </w:r>
    </w:p>
    <w:p w14:paraId="51A9488F" w14:textId="77777777" w:rsidR="003C3D47" w:rsidRDefault="003C3D47" w:rsidP="003C3D4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7A38">
        <w:rPr>
          <w:rFonts w:ascii="Times New Roman" w:hAnsi="Times New Roman" w:cs="Times New Roman"/>
          <w:sz w:val="24"/>
          <w:szCs w:val="24"/>
        </w:rPr>
        <w:t>k</w:t>
      </w:r>
      <w:r>
        <w:rPr>
          <w:rFonts w:ascii="Times New Roman" w:hAnsi="Times New Roman" w:cs="Times New Roman"/>
          <w:sz w:val="24"/>
          <w:szCs w:val="24"/>
        </w:rPr>
        <w:t>esikli deşarj durumunda, akış orantılı kompozit örnekler olarak alınan salım süresi üzerinden ortalama değerler.</w:t>
      </w:r>
    </w:p>
    <w:p w14:paraId="66518836" w14:textId="77777777" w:rsidR="003C3D47" w:rsidRDefault="003C3D47" w:rsidP="000F40D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Zaman orantılı kompozit örnekler, yeterli akış stabilitesi sağlanması halinde kullanılabilir. Alternatif olarak, atık suyun uygun bir şekilde karıştırılması ve homojen olması halinde anlık örnekler alınabilir.</w:t>
      </w:r>
      <w:r w:rsidR="000F40D8">
        <w:rPr>
          <w:rFonts w:ascii="Times New Roman" w:hAnsi="Times New Roman" w:cs="Times New Roman"/>
          <w:sz w:val="24"/>
          <w:szCs w:val="24"/>
        </w:rPr>
        <w:t xml:space="preserve"> Eğer örnek, ölçülecek parametre bakımından kararsız ise, anlık numuneler alınır. </w:t>
      </w:r>
      <w:r w:rsidR="00AE733F">
        <w:rPr>
          <w:rFonts w:ascii="Times New Roman" w:hAnsi="Times New Roman" w:cs="Times New Roman"/>
          <w:sz w:val="24"/>
          <w:szCs w:val="24"/>
        </w:rPr>
        <w:t>Suya emisyonlara yönelik</w:t>
      </w:r>
      <w:r w:rsidR="000F40D8">
        <w:rPr>
          <w:rFonts w:ascii="Times New Roman" w:hAnsi="Times New Roman" w:cs="Times New Roman"/>
          <w:sz w:val="24"/>
          <w:szCs w:val="24"/>
        </w:rPr>
        <w:t xml:space="preserve"> </w:t>
      </w:r>
      <w:r>
        <w:rPr>
          <w:rFonts w:ascii="Times New Roman" w:hAnsi="Times New Roman" w:cs="Times New Roman"/>
          <w:sz w:val="24"/>
          <w:szCs w:val="24"/>
        </w:rPr>
        <w:t>MET-İES’ler, emisyonların tesisi terk ettiği noktada geçerlidir.</w:t>
      </w:r>
    </w:p>
    <w:p w14:paraId="60E37FE5" w14:textId="77777777" w:rsidR="003155FB" w:rsidRPr="007B6467" w:rsidRDefault="003155FB" w:rsidP="003155FB">
      <w:pPr>
        <w:pStyle w:val="Balk3"/>
        <w:spacing w:before="0" w:after="120" w:line="276" w:lineRule="auto"/>
        <w:jc w:val="both"/>
        <w:rPr>
          <w:rFonts w:cs="Times New Roman"/>
          <w:b w:val="0"/>
          <w:bCs/>
          <w:szCs w:val="24"/>
        </w:rPr>
      </w:pPr>
      <w:r>
        <w:rPr>
          <w:rFonts w:cs="Times New Roman"/>
          <w:bCs/>
          <w:szCs w:val="24"/>
        </w:rPr>
        <w:t>(7.3) Diğer Çevresel Performans Seviyeleri</w:t>
      </w:r>
    </w:p>
    <w:p w14:paraId="12AE4CD6" w14:textId="77777777" w:rsidR="003155FB" w:rsidRPr="00436615" w:rsidRDefault="003155FB" w:rsidP="003155FB">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 xml:space="preserve">(7.3.1) </w:t>
      </w:r>
      <w:r w:rsidR="003B2001">
        <w:rPr>
          <w:rFonts w:ascii="Times New Roman" w:hAnsi="Times New Roman" w:cs="Times New Roman"/>
          <w:b/>
          <w:bCs/>
          <w:i w:val="0"/>
          <w:iCs w:val="0"/>
          <w:color w:val="auto"/>
          <w:sz w:val="24"/>
          <w:szCs w:val="24"/>
        </w:rPr>
        <w:t>MET-İES’ler ile İlişkili Özgül Enerji Tüketim (Enerji Verimliliği) Seviyeleri</w:t>
      </w:r>
    </w:p>
    <w:p w14:paraId="43C65CA6" w14:textId="77777777" w:rsidR="001B04EB" w:rsidRDefault="001B04EB" w:rsidP="001B04E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enerji tüketimi ile ilişkili çevresel performans seviyeleri, aşağıdaki denklem kullanılarak hesaplanan yıllık ortalamaları ifade eder:</w:t>
      </w:r>
    </w:p>
    <w:p w14:paraId="2BDD1AE8" w14:textId="77777777" w:rsidR="001B04EB" w:rsidRDefault="001B04EB" w:rsidP="001B04EB">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enerji tüketimi = </w:t>
      </w:r>
      <m:oMath>
        <m:f>
          <m:fPr>
            <m:ctrlPr>
              <w:rPr>
                <w:rFonts w:ascii="Cambria Math" w:hAnsi="Cambria Math" w:cs="Times New Roman"/>
                <w:i/>
                <w:sz w:val="28"/>
                <w:szCs w:val="28"/>
              </w:rPr>
            </m:ctrlPr>
          </m:fPr>
          <m:num>
            <m:r>
              <m:rPr>
                <m:sty m:val="p"/>
              </m:rPr>
              <w:rPr>
                <w:rFonts w:ascii="Cambria Math" w:hAnsi="Cambria Math" w:cs="Times New Roman"/>
                <w:sz w:val="28"/>
                <w:szCs w:val="28"/>
              </w:rPr>
              <m:t>enerji tüketimi</m:t>
            </m:r>
          </m:num>
          <m:den>
            <m:r>
              <m:rPr>
                <m:sty m:val="p"/>
              </m:rPr>
              <w:rPr>
                <w:rFonts w:ascii="Cambria Math" w:hAnsi="Cambria Math" w:cs="Times New Roman"/>
                <w:sz w:val="28"/>
                <w:szCs w:val="28"/>
              </w:rPr>
              <m:t>faaliyet oranı</m:t>
            </m:r>
          </m:den>
        </m:f>
      </m:oMath>
    </w:p>
    <w:p w14:paraId="5C5DFE83" w14:textId="77777777" w:rsidR="001B04EB" w:rsidRDefault="001B04EB" w:rsidP="001B04E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enerji tüketimi: </w:t>
      </w:r>
      <w:r w:rsidR="006754BB">
        <w:rPr>
          <w:rFonts w:ascii="Times New Roman" w:hAnsi="Times New Roman" w:cs="Times New Roman"/>
          <w:sz w:val="24"/>
          <w:szCs w:val="24"/>
        </w:rPr>
        <w:t>enerji verimliliği planında (bkz. MET 19(a)) açıklandığı şekilde, tesis tarafından tüketilen ısı (birincil enerji kaynakları ile üretilen) ve elektriğin, MWh/yıl olarak belirtilen toplam miktarı</w:t>
      </w:r>
      <w:r>
        <w:rPr>
          <w:rFonts w:ascii="Times New Roman" w:hAnsi="Times New Roman" w:cs="Times New Roman"/>
          <w:sz w:val="24"/>
          <w:szCs w:val="24"/>
        </w:rPr>
        <w:t>;</w:t>
      </w:r>
    </w:p>
    <w:p w14:paraId="1CF9C554" w14:textId="77777777" w:rsidR="001B04EB" w:rsidRDefault="001B04EB" w:rsidP="001B04E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w:t>
      </w:r>
      <w:r w:rsidR="0063440C">
        <w:rPr>
          <w:rFonts w:ascii="Times New Roman" w:hAnsi="Times New Roman" w:cs="Times New Roman"/>
          <w:sz w:val="24"/>
          <w:szCs w:val="24"/>
        </w:rPr>
        <w:t xml:space="preserve"> </w:t>
      </w:r>
      <w:r w:rsidR="00F334DB">
        <w:rPr>
          <w:rFonts w:ascii="Times New Roman" w:hAnsi="Times New Roman" w:cs="Times New Roman"/>
          <w:sz w:val="24"/>
          <w:szCs w:val="24"/>
        </w:rPr>
        <w:t>tesis veya tesis üretim hacmi tarafından işlenen ürünlerin, sektöre bağlı olarak uygun bir birimde (örn. kg/yıl, m</w:t>
      </w:r>
      <w:r w:rsidR="00F334DB">
        <w:rPr>
          <w:rFonts w:ascii="Times New Roman" w:hAnsi="Times New Roman" w:cs="Times New Roman"/>
          <w:sz w:val="24"/>
          <w:szCs w:val="24"/>
          <w:vertAlign w:val="superscript"/>
        </w:rPr>
        <w:t>2</w:t>
      </w:r>
      <w:r w:rsidR="00F334DB">
        <w:rPr>
          <w:rFonts w:ascii="Times New Roman" w:hAnsi="Times New Roman" w:cs="Times New Roman"/>
          <w:sz w:val="24"/>
          <w:szCs w:val="24"/>
        </w:rPr>
        <w:t>/yıl, kaplanan araç/yıl) belirtilen toplam miktarı</w:t>
      </w:r>
      <w:r w:rsidR="00A6420C">
        <w:rPr>
          <w:rFonts w:ascii="Times New Roman" w:hAnsi="Times New Roman" w:cs="Times New Roman"/>
          <w:sz w:val="24"/>
          <w:szCs w:val="24"/>
        </w:rPr>
        <w:t>.</w:t>
      </w:r>
    </w:p>
    <w:p w14:paraId="3513E3E9" w14:textId="77777777" w:rsidR="00BE403C" w:rsidRPr="00436615" w:rsidRDefault="00BE403C" w:rsidP="00BE403C">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 xml:space="preserve">(7.3.2) MET-İES’ler ile İlişkili Özgül </w:t>
      </w:r>
      <w:r w:rsidR="00A914B0">
        <w:rPr>
          <w:rFonts w:ascii="Times New Roman" w:hAnsi="Times New Roman" w:cs="Times New Roman"/>
          <w:b/>
          <w:bCs/>
          <w:i w:val="0"/>
          <w:iCs w:val="0"/>
          <w:color w:val="auto"/>
          <w:sz w:val="24"/>
          <w:szCs w:val="24"/>
        </w:rPr>
        <w:t>Su</w:t>
      </w:r>
      <w:r>
        <w:rPr>
          <w:rFonts w:ascii="Times New Roman" w:hAnsi="Times New Roman" w:cs="Times New Roman"/>
          <w:b/>
          <w:bCs/>
          <w:i w:val="0"/>
          <w:iCs w:val="0"/>
          <w:color w:val="auto"/>
          <w:sz w:val="24"/>
          <w:szCs w:val="24"/>
        </w:rPr>
        <w:t xml:space="preserve"> Tüketim Seviyeleri</w:t>
      </w:r>
    </w:p>
    <w:p w14:paraId="571B248E" w14:textId="77777777" w:rsidR="0094226F" w:rsidRDefault="0094226F" w:rsidP="0094226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Özgül su tüketimine ilişkin çevresel performans seviyeleri, aşağıdaki denklem kullanılarak hesaplanan yıllık ortalamaları ifade eder:</w:t>
      </w:r>
    </w:p>
    <w:p w14:paraId="47563D4B" w14:textId="77777777" w:rsidR="0094226F" w:rsidRDefault="0094226F" w:rsidP="0094226F">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 xml:space="preserve">özgül su tüketimi = </w:t>
      </w:r>
      <m:oMath>
        <m:f>
          <m:fPr>
            <m:ctrlPr>
              <w:rPr>
                <w:rFonts w:ascii="Cambria Math" w:hAnsi="Cambria Math" w:cs="Times New Roman"/>
                <w:i/>
                <w:sz w:val="28"/>
                <w:szCs w:val="28"/>
              </w:rPr>
            </m:ctrlPr>
          </m:fPr>
          <m:num>
            <m:r>
              <m:rPr>
                <m:sty m:val="p"/>
              </m:rPr>
              <w:rPr>
                <w:rFonts w:ascii="Cambria Math" w:hAnsi="Cambria Math" w:cs="Times New Roman"/>
                <w:sz w:val="28"/>
                <w:szCs w:val="28"/>
              </w:rPr>
              <m:t>su tüketim oranı</m:t>
            </m:r>
          </m:num>
          <m:den>
            <m:r>
              <m:rPr>
                <m:sty m:val="p"/>
              </m:rPr>
              <w:rPr>
                <w:rFonts w:ascii="Cambria Math" w:hAnsi="Cambria Math" w:cs="Times New Roman"/>
                <w:sz w:val="28"/>
                <w:szCs w:val="28"/>
              </w:rPr>
              <m:t>faaliyet oranı</m:t>
            </m:r>
          </m:den>
        </m:f>
      </m:oMath>
    </w:p>
    <w:p w14:paraId="527A3AB1" w14:textId="77777777" w:rsidR="0094226F" w:rsidRDefault="0094226F" w:rsidP="0094226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su tüketim oranı: </w:t>
      </w:r>
      <w:r w:rsidR="00EC59D6">
        <w:rPr>
          <w:rFonts w:ascii="Times New Roman" w:hAnsi="Times New Roman" w:cs="Times New Roman"/>
          <w:sz w:val="24"/>
          <w:szCs w:val="24"/>
        </w:rPr>
        <w:t>Tesiste yürütülen faaliyetler tarafından -geri dönüştürülen ve yeniden kullanılan su, açık devre soğutma sistemlerinde kullanılan soğutma suyu ve evsel kullanım için olan su haricindeki- tüketilen suyun,</w:t>
      </w:r>
      <w:r w:rsidR="001B4393">
        <w:rPr>
          <w:rFonts w:ascii="Times New Roman" w:hAnsi="Times New Roman" w:cs="Times New Roman"/>
          <w:sz w:val="24"/>
          <w:szCs w:val="24"/>
        </w:rPr>
        <w:t xml:space="preserve"> </w:t>
      </w:r>
      <w:r w:rsidR="006E0E70">
        <w:rPr>
          <w:rFonts w:ascii="Times New Roman" w:hAnsi="Times New Roman" w:cs="Times New Roman"/>
          <w:sz w:val="24"/>
          <w:szCs w:val="24"/>
        </w:rPr>
        <w:t xml:space="preserve">L/yıl veya </w:t>
      </w:r>
      <w:r>
        <w:rPr>
          <w:rFonts w:ascii="Times New Roman" w:hAnsi="Times New Roman" w:cs="Times New Roman"/>
          <w:sz w:val="24"/>
          <w:szCs w:val="24"/>
        </w:rPr>
        <w:t>m</w:t>
      </w:r>
      <w:r>
        <w:rPr>
          <w:rFonts w:ascii="Times New Roman" w:hAnsi="Times New Roman" w:cs="Times New Roman"/>
          <w:sz w:val="24"/>
          <w:szCs w:val="24"/>
          <w:vertAlign w:val="superscript"/>
        </w:rPr>
        <w:t>3</w:t>
      </w:r>
      <w:r>
        <w:rPr>
          <w:rFonts w:ascii="Times New Roman" w:hAnsi="Times New Roman" w:cs="Times New Roman"/>
          <w:sz w:val="24"/>
          <w:szCs w:val="24"/>
        </w:rPr>
        <w:t>/yıl olarak ifade edilen</w:t>
      </w:r>
      <w:r w:rsidR="00EC59D6">
        <w:rPr>
          <w:rFonts w:ascii="Times New Roman" w:hAnsi="Times New Roman" w:cs="Times New Roman"/>
          <w:sz w:val="24"/>
          <w:szCs w:val="24"/>
        </w:rPr>
        <w:t xml:space="preserve"> toplam miktarı;</w:t>
      </w:r>
    </w:p>
    <w:p w14:paraId="362A66FA" w14:textId="77777777" w:rsidR="0094226F" w:rsidRDefault="0094226F" w:rsidP="0094226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faaliyet oranı: </w:t>
      </w:r>
      <w:r w:rsidR="00F334DB">
        <w:rPr>
          <w:rFonts w:ascii="Times New Roman" w:hAnsi="Times New Roman" w:cs="Times New Roman"/>
          <w:sz w:val="24"/>
          <w:szCs w:val="24"/>
        </w:rPr>
        <w:t>tesis veya tesis üretim hacmi tarafından işlenen ürünlerin, sektöre bağlı olarak uygun bir birimde (örn. m</w:t>
      </w:r>
      <w:r w:rsidR="00F334DB">
        <w:rPr>
          <w:rFonts w:ascii="Times New Roman" w:hAnsi="Times New Roman" w:cs="Times New Roman"/>
          <w:sz w:val="24"/>
          <w:szCs w:val="24"/>
          <w:vertAlign w:val="superscript"/>
        </w:rPr>
        <w:t>2</w:t>
      </w:r>
      <w:r w:rsidR="00F334DB">
        <w:rPr>
          <w:rFonts w:ascii="Times New Roman" w:hAnsi="Times New Roman" w:cs="Times New Roman"/>
          <w:sz w:val="24"/>
          <w:szCs w:val="24"/>
        </w:rPr>
        <w:t xml:space="preserve"> kapl</w:t>
      </w:r>
      <w:r w:rsidR="001B0032">
        <w:rPr>
          <w:rFonts w:ascii="Times New Roman" w:hAnsi="Times New Roman" w:cs="Times New Roman"/>
          <w:sz w:val="24"/>
          <w:szCs w:val="24"/>
        </w:rPr>
        <w:t>anan</w:t>
      </w:r>
      <w:r w:rsidR="00F334DB">
        <w:rPr>
          <w:rFonts w:ascii="Times New Roman" w:hAnsi="Times New Roman" w:cs="Times New Roman"/>
          <w:sz w:val="24"/>
          <w:szCs w:val="24"/>
        </w:rPr>
        <w:t xml:space="preserve"> bobin/yıl, kaplanan araç/yıl, bin teneke/yıl) belirtilen toplam miktarı</w:t>
      </w:r>
      <w:r w:rsidR="00606663">
        <w:rPr>
          <w:rFonts w:ascii="Times New Roman" w:hAnsi="Times New Roman" w:cs="Times New Roman"/>
          <w:sz w:val="24"/>
          <w:szCs w:val="24"/>
        </w:rPr>
        <w:t>.</w:t>
      </w:r>
    </w:p>
    <w:p w14:paraId="13BD5406" w14:textId="77777777" w:rsidR="00606663" w:rsidRPr="00436615" w:rsidRDefault="00606663" w:rsidP="00606663">
      <w:pPr>
        <w:pStyle w:val="Balk4"/>
        <w:spacing w:before="0" w:after="120" w:line="276"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(7.3.3) Saha Dışına Gönderilen Özgül Atık Miktarına Yönelik Belirleyici Seviyeler</w:t>
      </w:r>
    </w:p>
    <w:p w14:paraId="614D1D6E" w14:textId="77777777" w:rsidR="00927B3A" w:rsidRDefault="00927B3A" w:rsidP="00927B3A">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Saha dışına gönderilen atığın özgül miktarına ilişkin belirleyici seviyeler, aşağıdaki denklem kullanılarak hesaplanan yıllık ortalamaları ifade eder:</w:t>
      </w:r>
    </w:p>
    <w:p w14:paraId="666EE817" w14:textId="77777777" w:rsidR="00927B3A" w:rsidRDefault="00927B3A" w:rsidP="00927B3A">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saha dışına gönderilen özgül atık miktarı = </w:t>
      </w:r>
      <m:oMath>
        <m:f>
          <m:fPr>
            <m:ctrlPr>
              <w:rPr>
                <w:rFonts w:ascii="Cambria Math" w:hAnsi="Cambria Math" w:cs="Times New Roman"/>
                <w:i/>
                <w:sz w:val="28"/>
                <w:szCs w:val="28"/>
              </w:rPr>
            </m:ctrlPr>
          </m:fPr>
          <m:num>
            <m:r>
              <m:rPr>
                <m:sty m:val="p"/>
              </m:rPr>
              <w:rPr>
                <w:rFonts w:ascii="Cambria Math" w:hAnsi="Cambria Math" w:cs="Times New Roman"/>
                <w:sz w:val="28"/>
                <w:szCs w:val="28"/>
              </w:rPr>
              <m:t>saha dışına gönderilen atık miktarı</m:t>
            </m:r>
          </m:num>
          <m:den>
            <m:r>
              <m:rPr>
                <m:sty m:val="p"/>
              </m:rPr>
              <w:rPr>
                <w:rFonts w:ascii="Cambria Math" w:hAnsi="Cambria Math" w:cs="Times New Roman"/>
                <w:sz w:val="28"/>
                <w:szCs w:val="28"/>
              </w:rPr>
              <m:t>faaliyet oranı</m:t>
            </m:r>
          </m:den>
        </m:f>
      </m:oMath>
    </w:p>
    <w:p w14:paraId="47CAA01C" w14:textId="77777777" w:rsidR="00606663" w:rsidRDefault="00927B3A" w:rsidP="0094226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saha dışına gönderilen atık miktarı: tesis tarafından saha dışına gönderilen atığın, kg/yıl olarak belirtilen toplam miktarı;</w:t>
      </w:r>
    </w:p>
    <w:p w14:paraId="436D1F46" w14:textId="77777777" w:rsidR="00E05CA2" w:rsidRDefault="00927B3A" w:rsidP="004A4BC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faaliyet oranı: tesis veya tesis üretim hacmi tarafından işlenen ürünlerin, kaplanan araç/yıl olarak belirtilen toplam miktarı.</w:t>
      </w:r>
    </w:p>
    <w:p w14:paraId="4C5596BF" w14:textId="77777777" w:rsidR="00C23688" w:rsidRPr="007A3693" w:rsidRDefault="00C23688" w:rsidP="00C23688">
      <w:pPr>
        <w:pStyle w:val="Balk2"/>
        <w:spacing w:before="0" w:after="120" w:line="276" w:lineRule="auto"/>
        <w:jc w:val="both"/>
        <w:rPr>
          <w:rFonts w:cs="Times New Roman"/>
          <w:b/>
          <w:bCs/>
          <w:szCs w:val="24"/>
        </w:rPr>
      </w:pPr>
      <w:r w:rsidRPr="00F51FE1">
        <w:rPr>
          <w:rFonts w:cs="Times New Roman"/>
          <w:b/>
          <w:bCs/>
          <w:szCs w:val="24"/>
        </w:rPr>
        <w:t>(8) Kimya Sektöründe Atık Su/Atık Gaz Arıtma/Yönetim Sistemleri</w:t>
      </w:r>
    </w:p>
    <w:p w14:paraId="0A8500D2" w14:textId="77777777" w:rsidR="00F51FE1" w:rsidRPr="007B6467" w:rsidRDefault="00F51FE1" w:rsidP="00F51FE1">
      <w:pPr>
        <w:pStyle w:val="Balk3"/>
        <w:spacing w:before="0" w:after="120" w:line="276" w:lineRule="auto"/>
        <w:jc w:val="both"/>
        <w:rPr>
          <w:rFonts w:cs="Times New Roman"/>
          <w:b w:val="0"/>
          <w:bCs/>
          <w:szCs w:val="24"/>
        </w:rPr>
      </w:pPr>
      <w:r>
        <w:rPr>
          <w:rFonts w:cs="Times New Roman"/>
          <w:bCs/>
          <w:szCs w:val="24"/>
        </w:rPr>
        <w:t>(8.1) Mevcut En İyi Teknikler</w:t>
      </w:r>
    </w:p>
    <w:p w14:paraId="2B7D2D31" w14:textId="6F0A609E" w:rsidR="00DA5097" w:rsidRDefault="00DA5097" w:rsidP="00DA509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w:t>
      </w:r>
      <w:r w:rsidR="00D16060">
        <w:rPr>
          <w:rFonts w:ascii="Times New Roman" w:hAnsi="Times New Roman" w:cs="Times New Roman"/>
          <w:sz w:val="24"/>
          <w:szCs w:val="24"/>
        </w:rPr>
        <w:t>K</w:t>
      </w:r>
      <w:r>
        <w:rPr>
          <w:rFonts w:ascii="Times New Roman" w:hAnsi="Times New Roman" w:cs="Times New Roman"/>
          <w:sz w:val="24"/>
          <w:szCs w:val="24"/>
        </w:rPr>
        <w:t>-10’da sunulan MET sonuçlarında listelenen ve açıklanan teknikler, yerleşik ya da geniş kapsamlı ve ayrıntılı değildir. En azından eş değer nitelikte çevresel koruma sağlamak için diğer teknikler de kullanılabilir.</w:t>
      </w:r>
    </w:p>
    <w:p w14:paraId="7C3B6D6A" w14:textId="5E783DBB" w:rsidR="00DA5097" w:rsidRDefault="00DA5097" w:rsidP="00DA509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D16060">
        <w:rPr>
          <w:rFonts w:ascii="Times New Roman" w:hAnsi="Times New Roman" w:cs="Times New Roman"/>
          <w:sz w:val="24"/>
          <w:szCs w:val="24"/>
        </w:rPr>
        <w:t>EK</w:t>
      </w:r>
      <w:r>
        <w:rPr>
          <w:rFonts w:ascii="Times New Roman" w:hAnsi="Times New Roman" w:cs="Times New Roman"/>
          <w:sz w:val="24"/>
          <w:szCs w:val="24"/>
        </w:rPr>
        <w:t>-10’da sunulan MET sonuçları genellikle uygulanabilir.</w:t>
      </w:r>
    </w:p>
    <w:p w14:paraId="0EE179B1" w14:textId="77777777" w:rsidR="00DD688F" w:rsidRPr="007B6467" w:rsidRDefault="00DD688F" w:rsidP="00DD688F">
      <w:pPr>
        <w:pStyle w:val="Balk3"/>
        <w:spacing w:before="0" w:after="120" w:line="276" w:lineRule="auto"/>
        <w:jc w:val="both"/>
        <w:rPr>
          <w:rFonts w:cs="Times New Roman"/>
          <w:b w:val="0"/>
          <w:bCs/>
          <w:szCs w:val="24"/>
        </w:rPr>
      </w:pPr>
      <w:r>
        <w:rPr>
          <w:rFonts w:cs="Times New Roman"/>
          <w:bCs/>
          <w:szCs w:val="24"/>
        </w:rPr>
        <w:t>(8.2) MET ile İlişkili Emisyon Seviyeleri</w:t>
      </w:r>
    </w:p>
    <w:p w14:paraId="7B062A47" w14:textId="7E4968B4" w:rsidR="00023493" w:rsidRDefault="00D16060" w:rsidP="0002349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w:t>
      </w:r>
      <w:r w:rsidR="00023493">
        <w:rPr>
          <w:rFonts w:ascii="Times New Roman" w:hAnsi="Times New Roman" w:cs="Times New Roman"/>
          <w:sz w:val="24"/>
          <w:szCs w:val="24"/>
        </w:rPr>
        <w:t>-10’da sunulan MET sonuçlarında belirtilen suya emisyonlar için MET-İES’ler, µg/L veya mg/L biriminde verilen konsantrasyon değerlerini (su hacmi başına salınan maddenin kütlesi) ifade eder.</w:t>
      </w:r>
    </w:p>
    <w:p w14:paraId="3690E1BA" w14:textId="77777777" w:rsidR="00023493" w:rsidRDefault="00662CB9" w:rsidP="0002349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Aksi belirtilmedikçe</w:t>
      </w:r>
      <w:r w:rsidR="000D7D8A">
        <w:rPr>
          <w:rFonts w:ascii="Times New Roman" w:hAnsi="Times New Roman" w:cs="Times New Roman"/>
          <w:sz w:val="24"/>
          <w:szCs w:val="24"/>
        </w:rPr>
        <w:t xml:space="preserve"> </w:t>
      </w:r>
      <w:r w:rsidR="00023493">
        <w:rPr>
          <w:rFonts w:ascii="Times New Roman" w:hAnsi="Times New Roman" w:cs="Times New Roman"/>
          <w:sz w:val="24"/>
          <w:szCs w:val="24"/>
        </w:rPr>
        <w:t>MET-İES’ler,</w:t>
      </w:r>
      <w:r w:rsidR="002A6B5C">
        <w:rPr>
          <w:rFonts w:ascii="Times New Roman" w:hAnsi="Times New Roman" w:cs="Times New Roman"/>
          <w:sz w:val="24"/>
          <w:szCs w:val="24"/>
        </w:rPr>
        <w:t xml:space="preserve"> ilişkili parametreler için ve normal çalışma koşulları altında belirlenmiş minimum frekans ile </w:t>
      </w:r>
      <w:r w:rsidR="007D219F">
        <w:rPr>
          <w:rFonts w:ascii="Times New Roman" w:hAnsi="Times New Roman" w:cs="Times New Roman"/>
          <w:sz w:val="24"/>
          <w:szCs w:val="24"/>
        </w:rPr>
        <w:t>alınan</w:t>
      </w:r>
      <w:r w:rsidR="00023493">
        <w:rPr>
          <w:rFonts w:ascii="Times New Roman" w:hAnsi="Times New Roman" w:cs="Times New Roman"/>
          <w:sz w:val="24"/>
          <w:szCs w:val="24"/>
        </w:rPr>
        <w:t xml:space="preserve"> 24 saatlik akış orantılı kompozit örneklerin akış ağırlıklı </w:t>
      </w:r>
      <w:r w:rsidR="007D219F">
        <w:rPr>
          <w:rFonts w:ascii="Times New Roman" w:hAnsi="Times New Roman" w:cs="Times New Roman"/>
          <w:sz w:val="24"/>
          <w:szCs w:val="24"/>
        </w:rPr>
        <w:t xml:space="preserve">yıllık </w:t>
      </w:r>
      <w:r w:rsidR="00023493">
        <w:rPr>
          <w:rFonts w:ascii="Times New Roman" w:hAnsi="Times New Roman" w:cs="Times New Roman"/>
          <w:sz w:val="24"/>
          <w:szCs w:val="24"/>
        </w:rPr>
        <w:t>ortalama</w:t>
      </w:r>
      <w:r w:rsidR="007D219F">
        <w:rPr>
          <w:rFonts w:ascii="Times New Roman" w:hAnsi="Times New Roman" w:cs="Times New Roman"/>
          <w:sz w:val="24"/>
          <w:szCs w:val="24"/>
        </w:rPr>
        <w:t>larını ifade eder</w:t>
      </w:r>
      <w:r w:rsidR="00023493">
        <w:rPr>
          <w:rFonts w:ascii="Times New Roman" w:hAnsi="Times New Roman" w:cs="Times New Roman"/>
          <w:sz w:val="24"/>
          <w:szCs w:val="24"/>
        </w:rPr>
        <w:t>.</w:t>
      </w:r>
    </w:p>
    <w:p w14:paraId="6F3060D4" w14:textId="77777777" w:rsidR="00023493" w:rsidRDefault="000C705C" w:rsidP="0002349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Parametre</w:t>
      </w:r>
      <w:r w:rsidR="00E11AA0">
        <w:rPr>
          <w:rFonts w:ascii="Times New Roman" w:hAnsi="Times New Roman" w:cs="Times New Roman"/>
          <w:sz w:val="24"/>
          <w:szCs w:val="24"/>
        </w:rPr>
        <w:t>nin</w:t>
      </w:r>
      <w:r w:rsidR="00023493">
        <w:rPr>
          <w:rFonts w:ascii="Times New Roman" w:hAnsi="Times New Roman" w:cs="Times New Roman"/>
          <w:sz w:val="24"/>
          <w:szCs w:val="24"/>
        </w:rPr>
        <w:t xml:space="preserve"> akış ağırlıklı </w:t>
      </w:r>
      <w:r w:rsidR="006F6CDD">
        <w:rPr>
          <w:rFonts w:ascii="Times New Roman" w:hAnsi="Times New Roman" w:cs="Times New Roman"/>
          <w:sz w:val="24"/>
          <w:szCs w:val="24"/>
        </w:rPr>
        <w:t xml:space="preserve">yıllık </w:t>
      </w:r>
      <w:r w:rsidR="00023493">
        <w:rPr>
          <w:rFonts w:ascii="Times New Roman" w:hAnsi="Times New Roman" w:cs="Times New Roman"/>
          <w:sz w:val="24"/>
          <w:szCs w:val="24"/>
        </w:rPr>
        <w:t>ortalama</w:t>
      </w:r>
      <w:r w:rsidR="00C9678D">
        <w:rPr>
          <w:rFonts w:ascii="Times New Roman" w:hAnsi="Times New Roman" w:cs="Times New Roman"/>
          <w:sz w:val="24"/>
          <w:szCs w:val="24"/>
        </w:rPr>
        <w:t xml:space="preserve"> konsantrasyonu</w:t>
      </w:r>
      <w:r w:rsidR="006F6CDD">
        <w:rPr>
          <w:rFonts w:ascii="Times New Roman" w:hAnsi="Times New Roman" w:cs="Times New Roman"/>
          <w:sz w:val="24"/>
          <w:szCs w:val="24"/>
        </w:rPr>
        <w:t xml:space="preserve"> (c</w:t>
      </w:r>
      <w:r w:rsidR="006F6CDD">
        <w:rPr>
          <w:rFonts w:ascii="Times New Roman" w:hAnsi="Times New Roman" w:cs="Times New Roman"/>
          <w:sz w:val="24"/>
          <w:szCs w:val="24"/>
          <w:vertAlign w:val="subscript"/>
        </w:rPr>
        <w:t>w</w:t>
      </w:r>
      <w:r w:rsidR="006F6CDD">
        <w:rPr>
          <w:rFonts w:ascii="Times New Roman" w:hAnsi="Times New Roman" w:cs="Times New Roman"/>
          <w:sz w:val="24"/>
          <w:szCs w:val="24"/>
        </w:rPr>
        <w:t>)</w:t>
      </w:r>
      <w:r w:rsidR="00023493">
        <w:rPr>
          <w:rFonts w:ascii="Times New Roman" w:hAnsi="Times New Roman" w:cs="Times New Roman"/>
          <w:sz w:val="24"/>
          <w:szCs w:val="24"/>
        </w:rPr>
        <w:t xml:space="preserve"> hesaplaması için kullanılan formül, aşağıda verilmiştir:</w:t>
      </w:r>
    </w:p>
    <w:p w14:paraId="2DFF9110" w14:textId="77777777" w:rsidR="00023493" w:rsidRPr="008E7F12" w:rsidRDefault="00023493" w:rsidP="00023493">
      <w:pPr>
        <w:spacing w:after="120" w:line="276" w:lineRule="auto"/>
        <w:jc w:val="center"/>
        <w:rPr>
          <w:rFonts w:ascii="Times New Roman" w:hAnsi="Times New Roman" w:cs="Times New Roman"/>
          <w:iCs/>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w</w:t>
      </w:r>
      <w:r>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sSub>
              <m:sSubPr>
                <m:ctrlPr>
                  <w:rPr>
                    <w:rFonts w:ascii="Cambria Math" w:hAnsi="Cambria Math" w:cs="Times New Roman"/>
                    <w:iCs/>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i</m:t>
                </m:r>
              </m:sub>
            </m:sSub>
            <m:sSub>
              <m:sSubPr>
                <m:ctrlPr>
                  <w:rPr>
                    <w:rFonts w:ascii="Cambria Math" w:hAnsi="Cambria Math" w:cs="Times New Roman"/>
                    <w:i/>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i</m:t>
                </m:r>
              </m:sub>
            </m:sSub>
          </m:e>
        </m:nary>
        <m:r>
          <w:rPr>
            <w:rFonts w:ascii="Cambria Math" w:hAnsi="Cambria Math" w:cs="Times New Roman"/>
            <w:sz w:val="24"/>
            <w:szCs w:val="24"/>
          </w:rPr>
          <m:t>)</m:t>
        </m:r>
      </m:oMath>
      <w:r>
        <w:rPr>
          <w:rFonts w:ascii="Times New Roman" w:eastAsiaTheme="minorEastAsia" w:hAnsi="Times New Roman" w:cs="Times New Roman"/>
          <w:sz w:val="24"/>
          <w:szCs w:val="24"/>
        </w:rPr>
        <w:t>/(</w:t>
      </w:r>
      <m:oMath>
        <m:nary>
          <m:naryPr>
            <m:chr m:val="∑"/>
            <m:limLoc m:val="undOvr"/>
            <m:ctrlPr>
              <w:rPr>
                <w:rFonts w:ascii="Cambria Math" w:hAnsi="Cambria Math" w:cs="Times New Roman"/>
                <w:i/>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sSub>
              <m:sSubPr>
                <m:ctrlPr>
                  <w:rPr>
                    <w:rFonts w:ascii="Cambria Math" w:hAnsi="Cambria Math" w:cs="Times New Roman"/>
                    <w:i/>
                    <w:iCs/>
                    <w:sz w:val="24"/>
                    <w:szCs w:val="24"/>
                  </w:rPr>
                </m:ctrlPr>
              </m:sSubPr>
              <m:e>
                <m:r>
                  <m:rPr>
                    <m:sty m:val="p"/>
                  </m:rPr>
                  <w:rPr>
                    <w:rFonts w:ascii="Cambria Math" w:hAnsi="Cambria Math" w:cs="Times New Roman"/>
                    <w:sz w:val="24"/>
                    <w:szCs w:val="24"/>
                  </w:rPr>
                  <m:t>q</m:t>
                </m:r>
              </m:e>
              <m:sub>
                <m:r>
                  <m:rPr>
                    <m:sty m:val="p"/>
                  </m:rPr>
                  <w:rPr>
                    <w:rFonts w:ascii="Cambria Math" w:hAnsi="Cambria Math" w:cs="Times New Roman"/>
                    <w:sz w:val="24"/>
                    <w:szCs w:val="24"/>
                  </w:rPr>
                  <m:t>i</m:t>
                </m:r>
              </m:sub>
            </m:sSub>
          </m:e>
        </m:nary>
        <m:r>
          <w:rPr>
            <w:rFonts w:ascii="Cambria Math" w:hAnsi="Cambria Math" w:cs="Times New Roman"/>
            <w:sz w:val="24"/>
            <w:szCs w:val="24"/>
          </w:rPr>
          <m:t>)</m:t>
        </m:r>
      </m:oMath>
    </w:p>
    <w:p w14:paraId="406CE9F4" w14:textId="77777777" w:rsidR="00023493" w:rsidRDefault="00023493" w:rsidP="0002349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n: ölçüm sayısı</w:t>
      </w:r>
      <w:r w:rsidR="00BB5663">
        <w:rPr>
          <w:rFonts w:ascii="Times New Roman" w:hAnsi="Times New Roman" w:cs="Times New Roman"/>
          <w:sz w:val="24"/>
          <w:szCs w:val="24"/>
        </w:rPr>
        <w:t>;</w:t>
      </w:r>
    </w:p>
    <w:p w14:paraId="2D5818FF" w14:textId="77777777" w:rsidR="00023493" w:rsidRDefault="00023493" w:rsidP="0002349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i</w:t>
      </w:r>
      <w:r>
        <w:rPr>
          <w:rFonts w:ascii="Times New Roman" w:hAnsi="Times New Roman" w:cs="Times New Roman"/>
          <w:sz w:val="24"/>
          <w:szCs w:val="24"/>
        </w:rPr>
        <w:t xml:space="preserve">: parametrenin (i). </w:t>
      </w:r>
      <w:r w:rsidR="003E223D">
        <w:rPr>
          <w:rFonts w:ascii="Times New Roman" w:hAnsi="Times New Roman" w:cs="Times New Roman"/>
          <w:sz w:val="24"/>
          <w:szCs w:val="24"/>
        </w:rPr>
        <w:t>ölçümü</w:t>
      </w:r>
      <w:r>
        <w:rPr>
          <w:rFonts w:ascii="Times New Roman" w:hAnsi="Times New Roman" w:cs="Times New Roman"/>
          <w:sz w:val="24"/>
          <w:szCs w:val="24"/>
        </w:rPr>
        <w:t xml:space="preserve"> boyunca ortalama konsantrasyonu</w:t>
      </w:r>
      <w:r w:rsidR="00BB5663">
        <w:rPr>
          <w:rFonts w:ascii="Times New Roman" w:hAnsi="Times New Roman" w:cs="Times New Roman"/>
          <w:sz w:val="24"/>
          <w:szCs w:val="24"/>
        </w:rPr>
        <w:t>;</w:t>
      </w:r>
    </w:p>
    <w:p w14:paraId="27C3C2EF" w14:textId="77777777" w:rsidR="00023493" w:rsidRDefault="00023493" w:rsidP="0002349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vertAlign w:val="subscript"/>
        </w:rPr>
        <w:t>i</w:t>
      </w:r>
      <w:r>
        <w:rPr>
          <w:rFonts w:ascii="Times New Roman" w:hAnsi="Times New Roman" w:cs="Times New Roman"/>
          <w:sz w:val="24"/>
          <w:szCs w:val="24"/>
        </w:rPr>
        <w:t xml:space="preserve">: (i). </w:t>
      </w:r>
      <w:r w:rsidR="003E223D">
        <w:rPr>
          <w:rFonts w:ascii="Times New Roman" w:hAnsi="Times New Roman" w:cs="Times New Roman"/>
          <w:sz w:val="24"/>
          <w:szCs w:val="24"/>
        </w:rPr>
        <w:t>ölçüm</w:t>
      </w:r>
      <w:r>
        <w:rPr>
          <w:rFonts w:ascii="Times New Roman" w:hAnsi="Times New Roman" w:cs="Times New Roman"/>
          <w:sz w:val="24"/>
          <w:szCs w:val="24"/>
        </w:rPr>
        <w:t xml:space="preserve"> boyunca ortalama akış hızı</w:t>
      </w:r>
      <w:r w:rsidR="00BB5663">
        <w:rPr>
          <w:rFonts w:ascii="Times New Roman" w:hAnsi="Times New Roman" w:cs="Times New Roman"/>
          <w:sz w:val="24"/>
          <w:szCs w:val="24"/>
        </w:rPr>
        <w:t>.</w:t>
      </w:r>
    </w:p>
    <w:p w14:paraId="1C1A0B91" w14:textId="77777777" w:rsidR="00FF2D6B" w:rsidRPr="007B6467" w:rsidRDefault="00FF2D6B" w:rsidP="00FF2D6B">
      <w:pPr>
        <w:pStyle w:val="Balk3"/>
        <w:spacing w:before="0" w:after="120" w:line="276" w:lineRule="auto"/>
        <w:jc w:val="both"/>
        <w:rPr>
          <w:rFonts w:cs="Times New Roman"/>
          <w:b w:val="0"/>
          <w:bCs/>
          <w:szCs w:val="24"/>
        </w:rPr>
      </w:pPr>
      <w:r>
        <w:rPr>
          <w:rFonts w:cs="Times New Roman"/>
          <w:bCs/>
          <w:szCs w:val="24"/>
        </w:rPr>
        <w:t>(8.3) Azaltım Verimlilikleri</w:t>
      </w:r>
    </w:p>
    <w:p w14:paraId="2E3A6AC1" w14:textId="568B92AD" w:rsidR="00C23688" w:rsidRDefault="00587495" w:rsidP="00E635C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Toplam organik karbon (</w:t>
      </w:r>
      <w:r w:rsidR="009D570E">
        <w:rPr>
          <w:rFonts w:ascii="Times New Roman" w:hAnsi="Times New Roman" w:cs="Times New Roman"/>
          <w:sz w:val="24"/>
          <w:szCs w:val="24"/>
        </w:rPr>
        <w:t>TOK</w:t>
      </w:r>
      <w:r>
        <w:rPr>
          <w:rFonts w:ascii="Times New Roman" w:hAnsi="Times New Roman" w:cs="Times New Roman"/>
          <w:sz w:val="24"/>
          <w:szCs w:val="24"/>
        </w:rPr>
        <w:t>), kimyasal oksijen ihtiyacı (</w:t>
      </w:r>
      <w:r w:rsidR="009D570E">
        <w:rPr>
          <w:rFonts w:ascii="Times New Roman" w:hAnsi="Times New Roman" w:cs="Times New Roman"/>
          <w:sz w:val="24"/>
          <w:szCs w:val="24"/>
        </w:rPr>
        <w:t>KOİ</w:t>
      </w:r>
      <w:r>
        <w:rPr>
          <w:rFonts w:ascii="Times New Roman" w:hAnsi="Times New Roman" w:cs="Times New Roman"/>
          <w:sz w:val="24"/>
          <w:szCs w:val="24"/>
        </w:rPr>
        <w:t>), toplam azot (TN) ve toplam inorganik azot (N</w:t>
      </w:r>
      <w:r>
        <w:rPr>
          <w:rFonts w:ascii="Times New Roman" w:hAnsi="Times New Roman" w:cs="Times New Roman"/>
          <w:sz w:val="24"/>
          <w:szCs w:val="24"/>
          <w:vertAlign w:val="subscript"/>
        </w:rPr>
        <w:t>inorg</w:t>
      </w:r>
      <w:r>
        <w:rPr>
          <w:rFonts w:ascii="Times New Roman" w:hAnsi="Times New Roman" w:cs="Times New Roman"/>
          <w:sz w:val="24"/>
          <w:szCs w:val="24"/>
        </w:rPr>
        <w:t xml:space="preserve">) durumunda, </w:t>
      </w:r>
      <w:r w:rsidR="00D16060">
        <w:rPr>
          <w:rFonts w:ascii="Times New Roman" w:hAnsi="Times New Roman" w:cs="Times New Roman"/>
          <w:sz w:val="24"/>
          <w:szCs w:val="24"/>
        </w:rPr>
        <w:t>EK</w:t>
      </w:r>
      <w:r>
        <w:rPr>
          <w:rFonts w:ascii="Times New Roman" w:hAnsi="Times New Roman" w:cs="Times New Roman"/>
          <w:sz w:val="24"/>
          <w:szCs w:val="24"/>
        </w:rPr>
        <w:t>-</w:t>
      </w:r>
      <w:r w:rsidR="003F0C65">
        <w:rPr>
          <w:rFonts w:ascii="Times New Roman" w:hAnsi="Times New Roman" w:cs="Times New Roman"/>
          <w:sz w:val="24"/>
          <w:szCs w:val="24"/>
        </w:rPr>
        <w:t>10</w:t>
      </w:r>
      <w:r>
        <w:rPr>
          <w:rFonts w:ascii="Times New Roman" w:hAnsi="Times New Roman" w:cs="Times New Roman"/>
          <w:sz w:val="24"/>
          <w:szCs w:val="24"/>
        </w:rPr>
        <w:t>’d</w:t>
      </w:r>
      <w:r w:rsidR="003F0C65">
        <w:rPr>
          <w:rFonts w:ascii="Times New Roman" w:hAnsi="Times New Roman" w:cs="Times New Roman"/>
          <w:sz w:val="24"/>
          <w:szCs w:val="24"/>
        </w:rPr>
        <w:t>a</w:t>
      </w:r>
      <w:r>
        <w:rPr>
          <w:rFonts w:ascii="Times New Roman" w:hAnsi="Times New Roman" w:cs="Times New Roman"/>
          <w:sz w:val="24"/>
          <w:szCs w:val="24"/>
        </w:rPr>
        <w:t xml:space="preserve"> sunulan MET sonuçlarında (bkz. Tablo 1</w:t>
      </w:r>
      <w:r w:rsidR="003D338F">
        <w:rPr>
          <w:rFonts w:ascii="Times New Roman" w:hAnsi="Times New Roman" w:cs="Times New Roman"/>
          <w:sz w:val="24"/>
          <w:szCs w:val="24"/>
        </w:rPr>
        <w:t xml:space="preserve"> ve Tablo 2</w:t>
      </w:r>
      <w:r>
        <w:rPr>
          <w:rFonts w:ascii="Times New Roman" w:hAnsi="Times New Roman" w:cs="Times New Roman"/>
          <w:sz w:val="24"/>
          <w:szCs w:val="24"/>
        </w:rPr>
        <w:t>) verilen ortalama azaltım verimliliği hesaplaması,</w:t>
      </w:r>
      <w:r w:rsidR="00B8118A">
        <w:rPr>
          <w:rFonts w:ascii="Times New Roman" w:hAnsi="Times New Roman" w:cs="Times New Roman"/>
          <w:sz w:val="24"/>
          <w:szCs w:val="24"/>
        </w:rPr>
        <w:t xml:space="preserve"> yüklere bağlıdır ve atık suyun hem ön arıtmasını (MET 10(c)) hem de son arıtmasını (MET 10(d)) içerir.</w:t>
      </w:r>
    </w:p>
    <w:p w14:paraId="121E46FB" w14:textId="77777777" w:rsidR="001A46F4" w:rsidRPr="00311D82" w:rsidRDefault="001A46F4" w:rsidP="003610DF">
      <w:pPr>
        <w:spacing w:after="120" w:line="276" w:lineRule="auto"/>
        <w:jc w:val="both"/>
        <w:rPr>
          <w:rFonts w:ascii="Times New Roman" w:hAnsi="Times New Roman" w:cs="Times New Roman"/>
          <w:sz w:val="24"/>
          <w:szCs w:val="24"/>
        </w:rPr>
      </w:pPr>
    </w:p>
    <w:p w14:paraId="2E95CEFF" w14:textId="77777777" w:rsidR="00C07865" w:rsidRDefault="00C07865" w:rsidP="003610DF">
      <w:pPr>
        <w:spacing w:after="120" w:line="276" w:lineRule="auto"/>
        <w:jc w:val="both"/>
        <w:rPr>
          <w:rFonts w:ascii="Times New Roman" w:hAnsi="Times New Roman" w:cs="Times New Roman"/>
          <w:sz w:val="24"/>
          <w:szCs w:val="24"/>
        </w:rPr>
      </w:pPr>
    </w:p>
    <w:p w14:paraId="4432CEE0" w14:textId="77777777" w:rsidR="00C07865" w:rsidRPr="00C07865" w:rsidRDefault="00C07865" w:rsidP="00C07865">
      <w:pPr>
        <w:rPr>
          <w:rFonts w:ascii="Times New Roman" w:hAnsi="Times New Roman" w:cs="Times New Roman"/>
          <w:sz w:val="24"/>
          <w:szCs w:val="24"/>
        </w:rPr>
      </w:pPr>
    </w:p>
    <w:p w14:paraId="6C3730BA" w14:textId="77777777" w:rsidR="00C07865" w:rsidRPr="00C07865" w:rsidRDefault="00C07865" w:rsidP="00C07865">
      <w:pPr>
        <w:rPr>
          <w:rFonts w:ascii="Times New Roman" w:hAnsi="Times New Roman" w:cs="Times New Roman"/>
          <w:sz w:val="24"/>
          <w:szCs w:val="24"/>
        </w:rPr>
      </w:pPr>
    </w:p>
    <w:p w14:paraId="1C55491B" w14:textId="77777777" w:rsidR="00C07865" w:rsidRPr="00C07865" w:rsidRDefault="00C07865" w:rsidP="00C07865">
      <w:pPr>
        <w:rPr>
          <w:rFonts w:ascii="Times New Roman" w:hAnsi="Times New Roman" w:cs="Times New Roman"/>
          <w:sz w:val="24"/>
          <w:szCs w:val="24"/>
        </w:rPr>
      </w:pPr>
    </w:p>
    <w:p w14:paraId="42FBD774" w14:textId="77777777" w:rsidR="00C07865" w:rsidRPr="009C6CAC" w:rsidRDefault="00C07865" w:rsidP="00C07865">
      <w:pPr>
        <w:pStyle w:val="Balk1"/>
        <w:spacing w:before="0" w:after="120" w:line="276" w:lineRule="auto"/>
        <w:jc w:val="right"/>
        <w:rPr>
          <w:rFonts w:cs="Times New Roman"/>
          <w:b w:val="0"/>
          <w:bCs/>
          <w:szCs w:val="24"/>
        </w:rPr>
      </w:pPr>
      <w:r w:rsidRPr="009C6CAC">
        <w:rPr>
          <w:rFonts w:cs="Times New Roman"/>
          <w:bCs/>
          <w:szCs w:val="24"/>
        </w:rPr>
        <w:lastRenderedPageBreak/>
        <w:t>EK-2</w:t>
      </w:r>
    </w:p>
    <w:p w14:paraId="52855D6C" w14:textId="77777777" w:rsidR="00C07865" w:rsidRPr="009C6CAC" w:rsidRDefault="00C07865" w:rsidP="00C07865">
      <w:pPr>
        <w:pStyle w:val="Balk1"/>
        <w:spacing w:before="0" w:after="120" w:line="276" w:lineRule="auto"/>
        <w:jc w:val="center"/>
        <w:rPr>
          <w:rFonts w:cs="Times New Roman"/>
          <w:b w:val="0"/>
          <w:bCs/>
          <w:szCs w:val="24"/>
        </w:rPr>
      </w:pPr>
      <w:r w:rsidRPr="009C6CAC">
        <w:rPr>
          <w:rFonts w:cs="Times New Roman"/>
          <w:bCs/>
          <w:szCs w:val="24"/>
        </w:rPr>
        <w:t>KAĞIT HAMURU, KAĞIT VE KARTON SEKTÖRÜ İÇİN MEVCUT EN İYİ TEKNİKLER</w:t>
      </w:r>
    </w:p>
    <w:p w14:paraId="615DE1BB" w14:textId="261AA073"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Bu Tebliğin bu bölümü, 14.01.2025 tarihli ve 32782 sayılı Resmi Gazete’de yayımlanan Endüstriyel Emisyonların Yönetimi Yönetmeliği </w:t>
      </w:r>
      <w:r w:rsidR="00D16060">
        <w:rPr>
          <w:rFonts w:ascii="Times New Roman" w:hAnsi="Times New Roman" w:cs="Times New Roman"/>
          <w:sz w:val="24"/>
          <w:szCs w:val="24"/>
        </w:rPr>
        <w:t>EK</w:t>
      </w:r>
      <w:r w:rsidRPr="009C6CAC">
        <w:rPr>
          <w:rFonts w:ascii="Times New Roman" w:hAnsi="Times New Roman" w:cs="Times New Roman"/>
          <w:sz w:val="24"/>
          <w:szCs w:val="24"/>
        </w:rPr>
        <w:t>-1’inde yer alan aşağıdaki endüstriyel faaliyetleri kapsar:</w:t>
      </w:r>
    </w:p>
    <w:p w14:paraId="69A9B98B"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6.1. Aşağıdaki sınaî faaliyetleri yürüten tesislerde üretim:</w:t>
      </w:r>
    </w:p>
    <w:p w14:paraId="2F3FF7F1" w14:textId="77777777" w:rsidR="00C07865" w:rsidRPr="009C6CAC" w:rsidRDefault="00C07865" w:rsidP="00C07865">
      <w:pPr>
        <w:pStyle w:val="ListeParagraf"/>
        <w:numPr>
          <w:ilvl w:val="0"/>
          <w:numId w:val="6"/>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Odun ve diğer lifli materyallerden kağıt hamuru üretimi,</w:t>
      </w:r>
    </w:p>
    <w:p w14:paraId="4417A859" w14:textId="77777777" w:rsidR="00C07865" w:rsidRPr="009C6CAC" w:rsidRDefault="00C07865" w:rsidP="00C07865">
      <w:pPr>
        <w:pStyle w:val="ListeParagraf"/>
        <w:numPr>
          <w:ilvl w:val="0"/>
          <w:numId w:val="6"/>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Üretim kapasitesi günlük 20 ton üzeri olmak üzere kağıt veya karton üretimi.</w:t>
      </w:r>
    </w:p>
    <w:p w14:paraId="5AA2495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Bu MET sonuçları, özellikle aşağıdaki proses ve faaliyetleri de kapsar:</w:t>
      </w:r>
    </w:p>
    <w:p w14:paraId="1EE4040B" w14:textId="77777777" w:rsidR="00C07865" w:rsidRPr="009C6CAC" w:rsidRDefault="000E2BBC" w:rsidP="00C07865">
      <w:pPr>
        <w:pStyle w:val="ListeParagraf"/>
        <w:numPr>
          <w:ilvl w:val="0"/>
          <w:numId w:val="7"/>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Kimyasal kağıt hamuru üretim süreci:</w:t>
      </w:r>
    </w:p>
    <w:p w14:paraId="2C7BDC62" w14:textId="77777777" w:rsidR="00C07865" w:rsidRPr="009C6CAC" w:rsidRDefault="000E2BBC" w:rsidP="00C07865">
      <w:pPr>
        <w:pStyle w:val="ListeParagraf"/>
        <w:numPr>
          <w:ilvl w:val="0"/>
          <w:numId w:val="8"/>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Kraft (sülfat) kağıt hamuru üretim süreci</w:t>
      </w:r>
    </w:p>
    <w:p w14:paraId="26C272E5" w14:textId="77777777" w:rsidR="00C07865" w:rsidRPr="009C6CAC" w:rsidRDefault="000E2BBC" w:rsidP="00C07865">
      <w:pPr>
        <w:pStyle w:val="ListeParagraf"/>
        <w:numPr>
          <w:ilvl w:val="0"/>
          <w:numId w:val="8"/>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Sülfit kağıt hamuru üretim süreci</w:t>
      </w:r>
    </w:p>
    <w:p w14:paraId="0CBE8620" w14:textId="77777777" w:rsidR="00C07865" w:rsidRPr="009C6CAC" w:rsidRDefault="000E2BBC" w:rsidP="00C07865">
      <w:pPr>
        <w:pStyle w:val="ListeParagraf"/>
        <w:numPr>
          <w:ilvl w:val="0"/>
          <w:numId w:val="7"/>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Mekanik ve kimyasal mekanik kağıt ha</w:t>
      </w:r>
      <w:r w:rsidR="00C07865" w:rsidRPr="009C6CAC">
        <w:rPr>
          <w:rFonts w:ascii="Times New Roman" w:hAnsi="Times New Roman" w:cs="Times New Roman"/>
          <w:sz w:val="24"/>
          <w:szCs w:val="24"/>
        </w:rPr>
        <w:t>muru üretim süreci</w:t>
      </w:r>
    </w:p>
    <w:p w14:paraId="042C1F51" w14:textId="77777777" w:rsidR="00C07865" w:rsidRPr="009C6CAC" w:rsidRDefault="000E2BBC" w:rsidP="00C07865">
      <w:pPr>
        <w:pStyle w:val="ListeParagraf"/>
        <w:numPr>
          <w:ilvl w:val="0"/>
          <w:numId w:val="7"/>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Mürekkep gidermeli ve gidermesiz geri dönüşüm için kağıt işlenmesi</w:t>
      </w:r>
    </w:p>
    <w:p w14:paraId="2BBA27EA" w14:textId="77777777" w:rsidR="00C07865" w:rsidRPr="009C6CAC" w:rsidRDefault="000E2BBC" w:rsidP="00C07865">
      <w:pPr>
        <w:pStyle w:val="ListeParagraf"/>
        <w:numPr>
          <w:ilvl w:val="0"/>
          <w:numId w:val="7"/>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Kağıt yapımı ve ilişkili prosesler</w:t>
      </w:r>
    </w:p>
    <w:p w14:paraId="1F9A0C68" w14:textId="77777777" w:rsidR="00C07865" w:rsidRPr="009C6CAC" w:rsidRDefault="000E2BBC" w:rsidP="00C07865">
      <w:pPr>
        <w:pStyle w:val="ListeParagraf"/>
        <w:numPr>
          <w:ilvl w:val="0"/>
          <w:numId w:val="7"/>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Kağıt hamuru ve kağıt fabrikalarında faaliyet gösteren tüm geri kazanım kazanları ve kireç fırınları</w:t>
      </w:r>
    </w:p>
    <w:p w14:paraId="73DAC7CC"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Bu MET sonuçları, aşağıdaki faaliyetleri kapsamaz:</w:t>
      </w:r>
    </w:p>
    <w:p w14:paraId="2B2FCB08" w14:textId="77777777" w:rsidR="00C07865" w:rsidRPr="009C6CAC" w:rsidRDefault="000E2BBC" w:rsidP="00C07865">
      <w:pPr>
        <w:pStyle w:val="ListeParagraf"/>
        <w:numPr>
          <w:ilvl w:val="0"/>
          <w:numId w:val="9"/>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Odun dışı lifli hammaddelerden (örn. Yıllık bitki hamuru) kağıt hamuru üretimi;</w:t>
      </w:r>
    </w:p>
    <w:p w14:paraId="638CB75D" w14:textId="77777777" w:rsidR="00C07865" w:rsidRPr="009C6CAC" w:rsidRDefault="000E2BBC" w:rsidP="00C07865">
      <w:pPr>
        <w:pStyle w:val="ListeParagraf"/>
        <w:numPr>
          <w:ilvl w:val="0"/>
          <w:numId w:val="9"/>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Sabit içten yanmalı motorlar;</w:t>
      </w:r>
    </w:p>
    <w:p w14:paraId="2863533D" w14:textId="77777777" w:rsidR="00C07865" w:rsidRPr="009C6CAC" w:rsidRDefault="000E2BBC" w:rsidP="00C07865">
      <w:pPr>
        <w:pStyle w:val="ListeParagraf"/>
        <w:numPr>
          <w:ilvl w:val="0"/>
          <w:numId w:val="9"/>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Buhar ve güç üretimi için geri kazanım kazanları haricindeki yakma tesisleri;</w:t>
      </w:r>
    </w:p>
    <w:p w14:paraId="057D0695" w14:textId="77777777" w:rsidR="00C07865" w:rsidRPr="009C6CAC" w:rsidRDefault="000E2BBC" w:rsidP="00C07865">
      <w:pPr>
        <w:pStyle w:val="ListeParagraf"/>
        <w:numPr>
          <w:ilvl w:val="0"/>
          <w:numId w:val="9"/>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Kağıt makineleri </w:t>
      </w:r>
      <w:r w:rsidR="00C07865" w:rsidRPr="009C6CAC">
        <w:rPr>
          <w:rFonts w:ascii="Times New Roman" w:hAnsi="Times New Roman" w:cs="Times New Roman"/>
          <w:sz w:val="24"/>
          <w:szCs w:val="24"/>
        </w:rPr>
        <w:t>ve kaplayıcılar için içten brülörlü kurutucular.</w:t>
      </w:r>
    </w:p>
    <w:p w14:paraId="2872372E"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(1) Genel MET</w:t>
      </w:r>
    </w:p>
    <w:p w14:paraId="40BBAA44"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(1.1) Çevre Yönetim Sistemi</w:t>
      </w:r>
    </w:p>
    <w:p w14:paraId="7A7FC24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w:t>
      </w:r>
      <w:r w:rsidRPr="009C6CAC">
        <w:rPr>
          <w:rFonts w:ascii="Times New Roman" w:hAnsi="Times New Roman" w:cs="Times New Roman"/>
          <w:sz w:val="24"/>
          <w:szCs w:val="24"/>
        </w:rPr>
        <w:t xml:space="preserve"> Kağıt hamuru, kağıt ve karton üretim tesislerinin genel çevresel performansını iyileştirmek için, aşağıdaki özelliklerin tümünü içeren bir Çevre Yönetim Sistemi (ÇYS) uygulanır ve bu sisteme bağlı kalınır:</w:t>
      </w:r>
    </w:p>
    <w:p w14:paraId="124CF3E4"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Üst yönetim de dahil olmak üzere, yönetimin taahhüdü;</w:t>
      </w:r>
    </w:p>
    <w:p w14:paraId="2D351A11"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Yönetim tarafından, tesisin sürekli iyileştirilmesini içeren bir çevre politikasının tanımlanması;</w:t>
      </w:r>
    </w:p>
    <w:p w14:paraId="6935C668"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Finansal planlama ve yatırım ile bağlantılı olarak, gerekli prosedürlerin, amaçlar</w:t>
      </w:r>
      <w:r w:rsidR="00C07865" w:rsidRPr="009C6CAC">
        <w:rPr>
          <w:rFonts w:ascii="Times New Roman" w:hAnsi="Times New Roman" w:cs="Times New Roman"/>
          <w:sz w:val="24"/>
          <w:szCs w:val="24"/>
        </w:rPr>
        <w:t>ın ve hedeflerin planlanması ve oluşturulması;</w:t>
      </w:r>
    </w:p>
    <w:p w14:paraId="4F096184"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Aşağıdakilere özellikle dikkat edilerek prosedürlerin uygulanması:</w:t>
      </w:r>
    </w:p>
    <w:p w14:paraId="35EEE7B6"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Yapı ve sorumluluk</w:t>
      </w:r>
    </w:p>
    <w:p w14:paraId="293BF408"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Eğitim, farkındalık ve yeterlilik</w:t>
      </w:r>
    </w:p>
    <w:p w14:paraId="7C0D923F"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İletişim</w:t>
      </w:r>
    </w:p>
    <w:p w14:paraId="2FB075B2"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Çalışan katılımı</w:t>
      </w:r>
    </w:p>
    <w:p w14:paraId="1F9FFC6A"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Dokümantasyon</w:t>
      </w:r>
    </w:p>
    <w:p w14:paraId="57A344AD"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lastRenderedPageBreak/>
        <w:t>Etkin proses kontrolü</w:t>
      </w:r>
    </w:p>
    <w:p w14:paraId="2D8E7658"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Bakım programları</w:t>
      </w:r>
    </w:p>
    <w:p w14:paraId="4D5ECB1C"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Acil duru</w:t>
      </w:r>
      <w:r w:rsidR="00C07865" w:rsidRPr="009C6CAC">
        <w:rPr>
          <w:rFonts w:ascii="Times New Roman" w:hAnsi="Times New Roman" w:cs="Times New Roman"/>
          <w:sz w:val="24"/>
          <w:szCs w:val="24"/>
        </w:rPr>
        <w:t>m hazırlığı ve müdahalesi</w:t>
      </w:r>
    </w:p>
    <w:p w14:paraId="48A2D367" w14:textId="77777777" w:rsidR="00C07865" w:rsidRPr="009C6CAC" w:rsidRDefault="000E2BBC" w:rsidP="00C07865">
      <w:pPr>
        <w:pStyle w:val="ListeParagraf"/>
        <w:numPr>
          <w:ilvl w:val="0"/>
          <w:numId w:val="11"/>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Çevre mevzuatına uyum sağlanması;</w:t>
      </w:r>
    </w:p>
    <w:p w14:paraId="2994F547"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Aşağıdakilere özellikle dikkat edilerek performans kontrolü yapılması ve düzeltici eylemlerin alınması:</w:t>
      </w:r>
    </w:p>
    <w:p w14:paraId="52927CFC" w14:textId="77777777" w:rsidR="00C07865" w:rsidRPr="009C6CAC" w:rsidRDefault="000E2BBC" w:rsidP="00C07865">
      <w:pPr>
        <w:pStyle w:val="ListeParagraf"/>
        <w:numPr>
          <w:ilvl w:val="0"/>
          <w:numId w:val="12"/>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İzleme ve ölçüm</w:t>
      </w:r>
    </w:p>
    <w:p w14:paraId="58D1A15E" w14:textId="77777777" w:rsidR="00C07865" w:rsidRPr="009C6CAC" w:rsidRDefault="000E2BBC" w:rsidP="00C07865">
      <w:pPr>
        <w:pStyle w:val="ListeParagraf"/>
        <w:numPr>
          <w:ilvl w:val="0"/>
          <w:numId w:val="12"/>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Düzeltici ve önleyici eylem</w:t>
      </w:r>
    </w:p>
    <w:p w14:paraId="7D287A79" w14:textId="77777777" w:rsidR="00C07865" w:rsidRPr="009C6CAC" w:rsidRDefault="000E2BBC" w:rsidP="00C07865">
      <w:pPr>
        <w:pStyle w:val="ListeParagraf"/>
        <w:numPr>
          <w:ilvl w:val="0"/>
          <w:numId w:val="12"/>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Kayıtların tutulması</w:t>
      </w:r>
    </w:p>
    <w:p w14:paraId="14EF604E" w14:textId="77777777" w:rsidR="00C07865" w:rsidRPr="009C6CAC" w:rsidRDefault="000E2BBC" w:rsidP="00C07865">
      <w:pPr>
        <w:pStyle w:val="ListeParagraf"/>
        <w:numPr>
          <w:ilvl w:val="0"/>
          <w:numId w:val="12"/>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ÇYS’nin planlanan düzenlemelere uygun olup olmadığını ve doğru bir şekilde uygulanıp uygulanmadığını, sürdürülüp sürdürülmediğini belirlemek için, bağımsız (uygulanabilir </w:t>
      </w:r>
      <w:r w:rsidR="00C07865" w:rsidRPr="009C6CAC">
        <w:rPr>
          <w:rFonts w:ascii="Times New Roman" w:hAnsi="Times New Roman" w:cs="Times New Roman"/>
          <w:sz w:val="24"/>
          <w:szCs w:val="24"/>
        </w:rPr>
        <w:t>olduğu durumlarda) iç ve dış denetimlerin yapılması;</w:t>
      </w:r>
    </w:p>
    <w:p w14:paraId="3E4E5CFD" w14:textId="77777777" w:rsidR="00C07865" w:rsidRPr="009C6CAC" w:rsidRDefault="00C07865"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ÇYS’nin ve devam eden uygunluğunun, yeterliliğinin ve etkinliğinin üst yönetim tarafından değerlendirilmesi;</w:t>
      </w:r>
    </w:p>
    <w:p w14:paraId="5F5228C7"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Daha temiz teknolojilere yönelik gelişmelerin takip edilmesi;</w:t>
      </w:r>
    </w:p>
    <w:p w14:paraId="6DF35672"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Yeni bir tesisin tasarım aşamasında ve tüm kullanım ömrü boyunca, tesisin nihai olarak kapatılmasından kaynaklanacak çevresel etkilerin</w:t>
      </w:r>
      <w:r w:rsidR="00C07865" w:rsidRPr="009C6CAC">
        <w:rPr>
          <w:rFonts w:ascii="Times New Roman" w:hAnsi="Times New Roman" w:cs="Times New Roman"/>
          <w:sz w:val="24"/>
          <w:szCs w:val="24"/>
        </w:rPr>
        <w:t xml:space="preserve"> dikkate alınması;</w:t>
      </w:r>
    </w:p>
    <w:p w14:paraId="2B4852CB" w14:textId="77777777" w:rsidR="00C07865" w:rsidRPr="009C6CAC" w:rsidRDefault="000E2BBC" w:rsidP="00C07865">
      <w:pPr>
        <w:pStyle w:val="ListeParagraf"/>
        <w:numPr>
          <w:ilvl w:val="0"/>
          <w:numId w:val="10"/>
        </w:num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Düzenli aralıklarla </w:t>
      </w:r>
      <w:r w:rsidR="00C07865" w:rsidRPr="009C6CAC">
        <w:rPr>
          <w:rFonts w:ascii="Times New Roman" w:hAnsi="Times New Roman" w:cs="Times New Roman"/>
          <w:sz w:val="24"/>
          <w:szCs w:val="24"/>
        </w:rPr>
        <w:t>sektörel kıyaslamanın uygulanması.</w:t>
      </w:r>
    </w:p>
    <w:p w14:paraId="109D077F"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ÇYS’nin kapsamı (örn. ayrıntı düzeyleri) ve yapısı (örn. standart veya standart olmayan); genellikle tesisin yapısı, ölçeği ve karmaşıklık düzeyi ve neden olabileceği çevresel etkilerin çeşitliliği ile ilişkili olacaktır.</w:t>
      </w:r>
    </w:p>
    <w:p w14:paraId="73354D21"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(1.2) Materyal Yönetimi ile İyi Bakım ve Temizlik</w:t>
      </w:r>
    </w:p>
    <w:p w14:paraId="5EDCDB7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w:t>
      </w:r>
      <w:r w:rsidRPr="009C6CAC">
        <w:rPr>
          <w:rFonts w:ascii="Times New Roman" w:hAnsi="Times New Roman" w:cs="Times New Roman"/>
          <w:sz w:val="24"/>
          <w:szCs w:val="24"/>
        </w:rPr>
        <w:t xml:space="preserve"> Üretim proseslerinden kaynaklanan çevresel etkinin en aza indirilmesi için, aşağıdaki tekniklerin bir kombinasyonu kullanılarak iyi bakım ve temizlik ilkeleri uygulanır.</w:t>
      </w:r>
    </w:p>
    <w:tbl>
      <w:tblPr>
        <w:tblStyle w:val="TabloKlavuzu"/>
        <w:tblW w:w="0" w:type="auto"/>
        <w:jc w:val="center"/>
        <w:tblLook w:val="04A0" w:firstRow="1" w:lastRow="0" w:firstColumn="1" w:lastColumn="0" w:noHBand="0" w:noVBand="1"/>
      </w:tblPr>
      <w:tblGrid>
        <w:gridCol w:w="704"/>
        <w:gridCol w:w="8358"/>
      </w:tblGrid>
      <w:tr w:rsidR="00C07865" w:rsidRPr="009C6CAC" w14:paraId="274BBADE" w14:textId="77777777" w:rsidTr="000D79D6">
        <w:trPr>
          <w:tblHeader/>
          <w:jc w:val="center"/>
        </w:trPr>
        <w:tc>
          <w:tcPr>
            <w:tcW w:w="704" w:type="dxa"/>
            <w:vAlign w:val="center"/>
          </w:tcPr>
          <w:p w14:paraId="59DBE3B4"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63BB662D"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7C53727F" w14:textId="77777777" w:rsidTr="000D79D6">
        <w:trPr>
          <w:jc w:val="center"/>
        </w:trPr>
        <w:tc>
          <w:tcPr>
            <w:tcW w:w="704" w:type="dxa"/>
            <w:vAlign w:val="center"/>
          </w:tcPr>
          <w:p w14:paraId="1F4CAD6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5BA5A26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Kimyasal ve katkı maddelerinin dikkatli bir şekilde seçimi ve kontrolü</w:t>
            </w:r>
          </w:p>
        </w:tc>
      </w:tr>
      <w:tr w:rsidR="00C07865" w:rsidRPr="009C6CAC" w14:paraId="428F4D6F" w14:textId="77777777" w:rsidTr="000D79D6">
        <w:trPr>
          <w:jc w:val="center"/>
        </w:trPr>
        <w:tc>
          <w:tcPr>
            <w:tcW w:w="704" w:type="dxa"/>
            <w:vAlign w:val="center"/>
          </w:tcPr>
          <w:p w14:paraId="285C7DB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7F5031B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Miktar ve toksikolojik özellikleri de içerecek şekilde bir kimyasal envanter ile girdi-çıktı analizinin yapılması</w:t>
            </w:r>
          </w:p>
        </w:tc>
      </w:tr>
      <w:tr w:rsidR="00C07865" w:rsidRPr="009C6CAC" w14:paraId="4CF1187A" w14:textId="77777777" w:rsidTr="000D79D6">
        <w:trPr>
          <w:jc w:val="center"/>
        </w:trPr>
        <w:tc>
          <w:tcPr>
            <w:tcW w:w="704" w:type="dxa"/>
            <w:vAlign w:val="center"/>
          </w:tcPr>
          <w:p w14:paraId="0E9A782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570098C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Nihai ürünün kalite gereksinimlerine uygun olacak şekilde, kimyasal kullanımının minimum seviyeye indirilmesi</w:t>
            </w:r>
          </w:p>
        </w:tc>
      </w:tr>
      <w:tr w:rsidR="00C07865" w:rsidRPr="009C6CAC" w14:paraId="6CEBB925" w14:textId="77777777" w:rsidTr="000D79D6">
        <w:trPr>
          <w:jc w:val="center"/>
        </w:trPr>
        <w:tc>
          <w:tcPr>
            <w:tcW w:w="704" w:type="dxa"/>
            <w:vAlign w:val="center"/>
          </w:tcPr>
          <w:p w14:paraId="5844DD8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64F382B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Zararlı maddelerin (örn. nonilfenol etoksilat içeren dağıtıcı veya temizleyici maddeler veya yüzey aktif maddeler) kullanımından kaçınılması ve daha az zararlı alternatiflerle ikame edilmesi</w:t>
            </w:r>
          </w:p>
        </w:tc>
      </w:tr>
      <w:tr w:rsidR="00C07865" w:rsidRPr="009C6CAC" w14:paraId="102AABA0" w14:textId="77777777" w:rsidTr="000D79D6">
        <w:trPr>
          <w:jc w:val="center"/>
        </w:trPr>
        <w:tc>
          <w:tcPr>
            <w:tcW w:w="704" w:type="dxa"/>
            <w:vAlign w:val="center"/>
          </w:tcPr>
          <w:p w14:paraId="2A2A9F8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8358" w:type="dxa"/>
            <w:vAlign w:val="center"/>
          </w:tcPr>
          <w:p w14:paraId="4036C4D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Sızıntı yolu, havadan çökeltme ve hammadde, ürün veya </w:t>
            </w:r>
            <w:r w:rsidR="00ED1F9A">
              <w:rPr>
                <w:rFonts w:ascii="Times New Roman" w:hAnsi="Times New Roman" w:cs="Times New Roman"/>
                <w:sz w:val="24"/>
                <w:szCs w:val="24"/>
              </w:rPr>
              <w:t xml:space="preserve">atıkların </w:t>
            </w:r>
            <w:r w:rsidRPr="009C6CAC">
              <w:rPr>
                <w:rFonts w:ascii="Times New Roman" w:hAnsi="Times New Roman" w:cs="Times New Roman"/>
                <w:sz w:val="24"/>
                <w:szCs w:val="24"/>
              </w:rPr>
              <w:t>uygunsuz depolanması ile toprağa karışan madde girdisinin en aza indirilmesi</w:t>
            </w:r>
          </w:p>
        </w:tc>
      </w:tr>
      <w:tr w:rsidR="00C07865" w:rsidRPr="009C6CAC" w14:paraId="27A0CC7C" w14:textId="77777777" w:rsidTr="000D79D6">
        <w:trPr>
          <w:jc w:val="center"/>
        </w:trPr>
        <w:tc>
          <w:tcPr>
            <w:tcW w:w="704" w:type="dxa"/>
            <w:vAlign w:val="center"/>
          </w:tcPr>
          <w:p w14:paraId="5006D71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8358" w:type="dxa"/>
            <w:vAlign w:val="center"/>
          </w:tcPr>
          <w:p w14:paraId="31766F8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Toprak ve yer altı suyu kontaminasyonunu önlemek adına, sızıntı yönetim programının oluşturulması ve ilişkili kaynaklara yönelik kapsamın genişletilmesi</w:t>
            </w:r>
          </w:p>
        </w:tc>
      </w:tr>
      <w:tr w:rsidR="00C07865" w:rsidRPr="009C6CAC" w14:paraId="34810E7A" w14:textId="77777777" w:rsidTr="000D79D6">
        <w:trPr>
          <w:jc w:val="center"/>
        </w:trPr>
        <w:tc>
          <w:tcPr>
            <w:tcW w:w="704" w:type="dxa"/>
            <w:vAlign w:val="center"/>
          </w:tcPr>
          <w:p w14:paraId="5ED166F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8358" w:type="dxa"/>
            <w:vAlign w:val="center"/>
          </w:tcPr>
          <w:p w14:paraId="2269161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Yüzeyleri temiz tutmak ve yıkama ve temizleme ihtiyacını azaltmak adına, boru şebekesi ile depolama sistemlerine yönelik uygun ve doğru tasarımın yapılması</w:t>
            </w:r>
          </w:p>
        </w:tc>
      </w:tr>
    </w:tbl>
    <w:p w14:paraId="561538E8" w14:textId="77777777" w:rsidR="00C07865" w:rsidRPr="009C6CAC" w:rsidRDefault="00C07865" w:rsidP="00C07865">
      <w:pPr>
        <w:spacing w:after="120" w:line="276" w:lineRule="auto"/>
        <w:jc w:val="both"/>
        <w:rPr>
          <w:rFonts w:ascii="Times New Roman" w:hAnsi="Times New Roman" w:cs="Times New Roman"/>
          <w:sz w:val="24"/>
          <w:szCs w:val="24"/>
        </w:rPr>
      </w:pPr>
    </w:p>
    <w:p w14:paraId="07350D47"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w:t>
      </w:r>
      <w:r w:rsidRPr="009C6CAC">
        <w:rPr>
          <w:rFonts w:ascii="Times New Roman" w:hAnsi="Times New Roman" w:cs="Times New Roman"/>
          <w:sz w:val="24"/>
          <w:szCs w:val="24"/>
        </w:rPr>
        <w:t xml:space="preserve"> Peroksit ile ağartma işleminden kaynaklanan EDTA veya DTPA gibi kolayca biyobozunur olmayan organik şelatlaştırıcı madde salımlarını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0D1BAC1B" w14:textId="77777777" w:rsidTr="000D79D6">
        <w:trPr>
          <w:tblHeader/>
          <w:jc w:val="center"/>
        </w:trPr>
        <w:tc>
          <w:tcPr>
            <w:tcW w:w="704" w:type="dxa"/>
            <w:vAlign w:val="center"/>
          </w:tcPr>
          <w:p w14:paraId="194B0CF9"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6F3D7E6D"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252810DD"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668FCCC3" w14:textId="77777777" w:rsidTr="000D79D6">
        <w:trPr>
          <w:jc w:val="center"/>
        </w:trPr>
        <w:tc>
          <w:tcPr>
            <w:tcW w:w="704" w:type="dxa"/>
            <w:vAlign w:val="center"/>
          </w:tcPr>
          <w:p w14:paraId="79A635A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78659AE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Çevreye salınan şelatlaştırıcı madde miktarlarının periyodik ölçümlerle belirlenmesi</w:t>
            </w:r>
          </w:p>
        </w:tc>
        <w:tc>
          <w:tcPr>
            <w:tcW w:w="4179" w:type="dxa"/>
            <w:vAlign w:val="center"/>
          </w:tcPr>
          <w:p w14:paraId="6CF3F87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Şelatlaştırıcı madde kullanmayan fabrikalar için uygulanabilir değildir.</w:t>
            </w:r>
          </w:p>
        </w:tc>
      </w:tr>
      <w:tr w:rsidR="00C07865" w:rsidRPr="009C6CAC" w14:paraId="4B1A52A4" w14:textId="77777777" w:rsidTr="000D79D6">
        <w:trPr>
          <w:jc w:val="center"/>
        </w:trPr>
        <w:tc>
          <w:tcPr>
            <w:tcW w:w="704" w:type="dxa"/>
            <w:vAlign w:val="center"/>
          </w:tcPr>
          <w:p w14:paraId="35AF457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2008739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Kolayca biyobozunur olmayan şelatlaştırıcı maddelerin tüketimini ve emisyonunu azaltmak için, proses optimizasyonu</w:t>
            </w:r>
          </w:p>
        </w:tc>
        <w:tc>
          <w:tcPr>
            <w:tcW w:w="4179" w:type="dxa"/>
            <w:vAlign w:val="center"/>
          </w:tcPr>
          <w:p w14:paraId="7F46684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EDTA/DTPA’nın %70 veya daha fazlasını atık su arıtma tesislerinde veya proseslerinde azaltan tesisler için uygulanabilir değildir.</w:t>
            </w:r>
          </w:p>
        </w:tc>
      </w:tr>
      <w:tr w:rsidR="00C07865" w:rsidRPr="009C6CAC" w14:paraId="28540C4E" w14:textId="77777777" w:rsidTr="000D79D6">
        <w:trPr>
          <w:jc w:val="center"/>
        </w:trPr>
        <w:tc>
          <w:tcPr>
            <w:tcW w:w="704" w:type="dxa"/>
            <w:vAlign w:val="center"/>
          </w:tcPr>
          <w:p w14:paraId="4BE12CE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179" w:type="dxa"/>
            <w:vAlign w:val="center"/>
          </w:tcPr>
          <w:p w14:paraId="188567A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Biyobozunur olmayan ürünleri aşamalı olarak kullanımdan kaldırmak için, biyobozunur veya azaltılabilir şelatlaştırıcı maddelerin tercihen kullanılması</w:t>
            </w:r>
          </w:p>
        </w:tc>
        <w:tc>
          <w:tcPr>
            <w:tcW w:w="4179" w:type="dxa"/>
            <w:vAlign w:val="center"/>
          </w:tcPr>
          <w:p w14:paraId="50E6263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uygun ikamelerin (örn. kağıt hamurunun parlaklık gereksinimlerini karşılayan biyobozunur maddeler) mevcudiyetine bağlıdır.</w:t>
            </w:r>
          </w:p>
        </w:tc>
      </w:tr>
    </w:tbl>
    <w:p w14:paraId="3B68D265" w14:textId="77777777" w:rsidR="00C07865" w:rsidRPr="009C6CAC" w:rsidRDefault="00C07865" w:rsidP="00C07865">
      <w:pPr>
        <w:spacing w:after="120" w:line="276" w:lineRule="auto"/>
        <w:jc w:val="both"/>
        <w:rPr>
          <w:rFonts w:ascii="Times New Roman" w:hAnsi="Times New Roman" w:cs="Times New Roman"/>
          <w:sz w:val="24"/>
          <w:szCs w:val="24"/>
        </w:rPr>
      </w:pPr>
    </w:p>
    <w:p w14:paraId="3F5C4029"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(1.3) Su ve Atık Su Yönetimi</w:t>
      </w:r>
    </w:p>
    <w:p w14:paraId="51164C12"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w:t>
      </w:r>
      <w:r w:rsidRPr="009C6CAC">
        <w:rPr>
          <w:rFonts w:ascii="Times New Roman" w:hAnsi="Times New Roman" w:cs="Times New Roman"/>
          <w:sz w:val="24"/>
          <w:szCs w:val="24"/>
        </w:rPr>
        <w:t xml:space="preserve"> Odun depolama ve hazırlık işlemlerinden kaynaklanan atık su üretimini ve kirlilik yükünü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3810E9DD" w14:textId="77777777" w:rsidTr="000D79D6">
        <w:trPr>
          <w:tblHeader/>
          <w:jc w:val="center"/>
        </w:trPr>
        <w:tc>
          <w:tcPr>
            <w:tcW w:w="704" w:type="dxa"/>
            <w:vAlign w:val="center"/>
          </w:tcPr>
          <w:p w14:paraId="5F712CF2"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13D63B0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1CA3195E"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35ED808B" w14:textId="77777777" w:rsidTr="000D79D6">
        <w:trPr>
          <w:jc w:val="center"/>
        </w:trPr>
        <w:tc>
          <w:tcPr>
            <w:tcW w:w="704" w:type="dxa"/>
            <w:vAlign w:val="center"/>
          </w:tcPr>
          <w:p w14:paraId="7BE89E6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2611841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Kuru kabuk soyma</w:t>
            </w:r>
          </w:p>
        </w:tc>
        <w:tc>
          <w:tcPr>
            <w:tcW w:w="4179" w:type="dxa"/>
            <w:vAlign w:val="center"/>
          </w:tcPr>
          <w:p w14:paraId="0905933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TCF ile ağartma işlemi için gereken yüksek safsızlık ve parlaklık ile kısıtlanır.</w:t>
            </w:r>
          </w:p>
        </w:tc>
      </w:tr>
      <w:tr w:rsidR="00C07865" w:rsidRPr="009C6CAC" w14:paraId="40F2AFA1" w14:textId="77777777" w:rsidTr="000D79D6">
        <w:trPr>
          <w:jc w:val="center"/>
        </w:trPr>
        <w:tc>
          <w:tcPr>
            <w:tcW w:w="704" w:type="dxa"/>
            <w:vAlign w:val="center"/>
          </w:tcPr>
          <w:p w14:paraId="73692CF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24EFAD3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Ahşap kütüklerin, kabuk ve odunların kum ve taşlarla kontaminasyonunu engelleyecek şekilde işlenmesi</w:t>
            </w:r>
          </w:p>
        </w:tc>
        <w:tc>
          <w:tcPr>
            <w:tcW w:w="4179" w:type="dxa"/>
            <w:vAlign w:val="center"/>
          </w:tcPr>
          <w:p w14:paraId="19D5FA5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70C35BD8" w14:textId="77777777" w:rsidTr="000D79D6">
        <w:trPr>
          <w:jc w:val="center"/>
        </w:trPr>
        <w:tc>
          <w:tcPr>
            <w:tcW w:w="704" w:type="dxa"/>
            <w:vAlign w:val="center"/>
          </w:tcPr>
          <w:p w14:paraId="3948984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179" w:type="dxa"/>
            <w:vAlign w:val="center"/>
          </w:tcPr>
          <w:p w14:paraId="31064E4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Odun depo alanının ve özellikle yongaların depolanması için kullanılan yüzeylerin kaplanması</w:t>
            </w:r>
          </w:p>
        </w:tc>
        <w:tc>
          <w:tcPr>
            <w:tcW w:w="4179" w:type="dxa"/>
            <w:vAlign w:val="center"/>
          </w:tcPr>
          <w:p w14:paraId="59F6EBD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odun deposu ile depolama alanının büyüklüğünden dolayı kısıtlanabilir.</w:t>
            </w:r>
          </w:p>
        </w:tc>
      </w:tr>
      <w:tr w:rsidR="00C07865" w:rsidRPr="009C6CAC" w14:paraId="4BB7B9F6" w14:textId="77777777" w:rsidTr="000D79D6">
        <w:trPr>
          <w:jc w:val="center"/>
        </w:trPr>
        <w:tc>
          <w:tcPr>
            <w:tcW w:w="704" w:type="dxa"/>
            <w:vAlign w:val="center"/>
          </w:tcPr>
          <w:p w14:paraId="11A7502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4179" w:type="dxa"/>
            <w:vAlign w:val="center"/>
          </w:tcPr>
          <w:p w14:paraId="5ABAA42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Yağmurlama suyu akışının kontrolü ve odun deposundan gelen yüzey su akıntılarının en aza indirilmesi</w:t>
            </w:r>
          </w:p>
        </w:tc>
        <w:tc>
          <w:tcPr>
            <w:tcW w:w="4179" w:type="dxa"/>
            <w:vAlign w:val="center"/>
          </w:tcPr>
          <w:p w14:paraId="45398BD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4E78DCF7" w14:textId="77777777" w:rsidTr="000D79D6">
        <w:trPr>
          <w:jc w:val="center"/>
        </w:trPr>
        <w:tc>
          <w:tcPr>
            <w:tcW w:w="704" w:type="dxa"/>
            <w:vAlign w:val="center"/>
          </w:tcPr>
          <w:p w14:paraId="6265E4F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4179" w:type="dxa"/>
            <w:vAlign w:val="center"/>
          </w:tcPr>
          <w:p w14:paraId="7A0CAB7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Odun deposundan gelen kontamine su akıntısının toplanması ve biyolojik arıtmadan önce askıda katı madde atıklarının ayrıştırılması</w:t>
            </w:r>
          </w:p>
        </w:tc>
        <w:tc>
          <w:tcPr>
            <w:tcW w:w="4179" w:type="dxa"/>
            <w:vAlign w:val="center"/>
          </w:tcPr>
          <w:p w14:paraId="531B041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su akıntısının kontaminasyon seviyesi (örn. düşük konsantrasyon) ve/veya atık su arıtma tesisinin boyutu (örn. büyük hacimler) ile kısıtlanabilir.</w:t>
            </w:r>
          </w:p>
        </w:tc>
      </w:tr>
    </w:tbl>
    <w:p w14:paraId="0DC1DE2E" w14:textId="77777777" w:rsidR="00C07865" w:rsidRPr="009C6CAC" w:rsidRDefault="00C07865" w:rsidP="00C07865">
      <w:pPr>
        <w:spacing w:after="120" w:line="276" w:lineRule="auto"/>
        <w:jc w:val="both"/>
        <w:rPr>
          <w:rFonts w:ascii="Times New Roman" w:hAnsi="Times New Roman" w:cs="Times New Roman"/>
          <w:sz w:val="24"/>
          <w:szCs w:val="24"/>
        </w:rPr>
      </w:pPr>
    </w:p>
    <w:p w14:paraId="61753425"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Kuru kabuk soyma işleminden kaynaklanan </w:t>
      </w:r>
      <w:r w:rsidRPr="009C6CAC">
        <w:rPr>
          <w:rFonts w:ascii="Times New Roman" w:hAnsi="Times New Roman" w:cs="Times New Roman"/>
          <w:bCs/>
          <w:sz w:val="24"/>
          <w:szCs w:val="24"/>
        </w:rPr>
        <w:t>MET ile ilişkili atık su akışı</w:t>
      </w:r>
      <w:r w:rsidRPr="009C6CAC">
        <w:rPr>
          <w:rFonts w:ascii="Times New Roman" w:hAnsi="Times New Roman" w:cs="Times New Roman"/>
          <w:sz w:val="24"/>
          <w:szCs w:val="24"/>
        </w:rPr>
        <w:t>, 0,5-2,5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/ADt’dir.</w:t>
      </w:r>
    </w:p>
    <w:p w14:paraId="685E5A70"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5:</w:t>
      </w:r>
      <w:r w:rsidRPr="009C6CAC">
        <w:rPr>
          <w:rFonts w:ascii="Times New Roman" w:hAnsi="Times New Roman" w:cs="Times New Roman"/>
          <w:sz w:val="24"/>
          <w:szCs w:val="24"/>
        </w:rPr>
        <w:t xml:space="preserve"> Tatlı su kullanımı ile atık su oluşumunu azaltmak için, aşağıdaki tekniklerin bir kombinasyonu kullanılarak ve üretilen kağıt hamuru ve kağıt türüne uygun olarak su sistemi, teknik olarak mümkün olduğu ölçüde kapatılır.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3FAAC1FB" w14:textId="77777777" w:rsidTr="000D79D6">
        <w:trPr>
          <w:tblHeader/>
          <w:jc w:val="center"/>
        </w:trPr>
        <w:tc>
          <w:tcPr>
            <w:tcW w:w="704" w:type="dxa"/>
            <w:vAlign w:val="center"/>
          </w:tcPr>
          <w:p w14:paraId="06C06337"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1DAAF75F"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42E0A87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1C4D2A69" w14:textId="77777777" w:rsidTr="000D79D6">
        <w:trPr>
          <w:jc w:val="center"/>
        </w:trPr>
        <w:tc>
          <w:tcPr>
            <w:tcW w:w="704" w:type="dxa"/>
            <w:vAlign w:val="center"/>
          </w:tcPr>
          <w:p w14:paraId="14E0863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048A93A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kullanımı takibi ve optimizasyonu</w:t>
            </w:r>
          </w:p>
        </w:tc>
        <w:tc>
          <w:tcPr>
            <w:tcW w:w="4179" w:type="dxa"/>
            <w:vMerge w:val="restart"/>
            <w:vAlign w:val="center"/>
          </w:tcPr>
          <w:p w14:paraId="534F17B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63C5E20C" w14:textId="77777777" w:rsidTr="000D79D6">
        <w:trPr>
          <w:jc w:val="center"/>
        </w:trPr>
        <w:tc>
          <w:tcPr>
            <w:tcW w:w="704" w:type="dxa"/>
            <w:vAlign w:val="center"/>
          </w:tcPr>
          <w:p w14:paraId="5760C5B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368D4FC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resirkülasyon seçeneklerinin değerlendirilmesi</w:t>
            </w:r>
          </w:p>
        </w:tc>
        <w:tc>
          <w:tcPr>
            <w:tcW w:w="4179" w:type="dxa"/>
            <w:vMerge/>
            <w:vAlign w:val="center"/>
          </w:tcPr>
          <w:p w14:paraId="663A4069" w14:textId="77777777" w:rsidR="00C07865" w:rsidRPr="009C6CAC" w:rsidRDefault="00C07865" w:rsidP="000D79D6">
            <w:pPr>
              <w:jc w:val="both"/>
              <w:rPr>
                <w:rFonts w:ascii="Times New Roman" w:hAnsi="Times New Roman" w:cs="Times New Roman"/>
                <w:sz w:val="24"/>
                <w:szCs w:val="24"/>
              </w:rPr>
            </w:pPr>
          </w:p>
        </w:tc>
      </w:tr>
      <w:tr w:rsidR="00C07865" w:rsidRPr="009C6CAC" w14:paraId="3697D7D7" w14:textId="77777777" w:rsidTr="000D79D6">
        <w:trPr>
          <w:jc w:val="center"/>
        </w:trPr>
        <w:tc>
          <w:tcPr>
            <w:tcW w:w="704" w:type="dxa"/>
            <w:vAlign w:val="center"/>
          </w:tcPr>
          <w:p w14:paraId="397DC16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179" w:type="dxa"/>
            <w:vAlign w:val="center"/>
          </w:tcPr>
          <w:p w14:paraId="2871342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Su devrelerinin kapatılma derecesi ile olası dezavantajların dengelenmesi; </w:t>
            </w:r>
            <w:r w:rsidRPr="009C6CAC">
              <w:rPr>
                <w:rFonts w:ascii="Times New Roman" w:hAnsi="Times New Roman" w:cs="Times New Roman"/>
                <w:sz w:val="24"/>
                <w:szCs w:val="24"/>
              </w:rPr>
              <w:lastRenderedPageBreak/>
              <w:t>gerekli olduğu durumlarda ilave ekipman eklenmesi</w:t>
            </w:r>
          </w:p>
        </w:tc>
        <w:tc>
          <w:tcPr>
            <w:tcW w:w="4179" w:type="dxa"/>
            <w:vMerge/>
            <w:vAlign w:val="center"/>
          </w:tcPr>
          <w:p w14:paraId="19E9BA2C" w14:textId="77777777" w:rsidR="00C07865" w:rsidRPr="009C6CAC" w:rsidRDefault="00C07865" w:rsidP="000D79D6">
            <w:pPr>
              <w:jc w:val="both"/>
              <w:rPr>
                <w:rFonts w:ascii="Times New Roman" w:hAnsi="Times New Roman" w:cs="Times New Roman"/>
                <w:sz w:val="24"/>
                <w:szCs w:val="24"/>
              </w:rPr>
            </w:pPr>
          </w:p>
        </w:tc>
      </w:tr>
      <w:tr w:rsidR="00C07865" w:rsidRPr="009C6CAC" w14:paraId="55113D19" w14:textId="77777777" w:rsidTr="000D79D6">
        <w:trPr>
          <w:jc w:val="center"/>
        </w:trPr>
        <w:tc>
          <w:tcPr>
            <w:tcW w:w="704" w:type="dxa"/>
            <w:vAlign w:val="center"/>
          </w:tcPr>
          <w:p w14:paraId="7A40333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4179" w:type="dxa"/>
            <w:vAlign w:val="center"/>
          </w:tcPr>
          <w:p w14:paraId="0BFA86B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Vakum üretimi ve yeniden kullanımı için daha az kontamine sızdırmazlık suyunun pompalardan ayrılması</w:t>
            </w:r>
          </w:p>
        </w:tc>
        <w:tc>
          <w:tcPr>
            <w:tcW w:w="4179" w:type="dxa"/>
            <w:vMerge/>
            <w:vAlign w:val="center"/>
          </w:tcPr>
          <w:p w14:paraId="250F3FD9" w14:textId="77777777" w:rsidR="00C07865" w:rsidRPr="009C6CAC" w:rsidRDefault="00C07865" w:rsidP="000D79D6">
            <w:pPr>
              <w:jc w:val="both"/>
              <w:rPr>
                <w:rFonts w:ascii="Times New Roman" w:hAnsi="Times New Roman" w:cs="Times New Roman"/>
                <w:sz w:val="24"/>
                <w:szCs w:val="24"/>
              </w:rPr>
            </w:pPr>
          </w:p>
        </w:tc>
      </w:tr>
      <w:tr w:rsidR="00C07865" w:rsidRPr="009C6CAC" w14:paraId="1C03CEB0" w14:textId="77777777" w:rsidTr="000D79D6">
        <w:trPr>
          <w:jc w:val="center"/>
        </w:trPr>
        <w:tc>
          <w:tcPr>
            <w:tcW w:w="704" w:type="dxa"/>
            <w:vAlign w:val="center"/>
          </w:tcPr>
          <w:p w14:paraId="1161DD0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4179" w:type="dxa"/>
            <w:vAlign w:val="center"/>
          </w:tcPr>
          <w:p w14:paraId="7269DD9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Temiz soğutma suyunun, kontamine proses suyundan ayrılması ve yeniden kullanılması</w:t>
            </w:r>
          </w:p>
        </w:tc>
        <w:tc>
          <w:tcPr>
            <w:tcW w:w="4179" w:type="dxa"/>
            <w:vMerge/>
            <w:vAlign w:val="center"/>
          </w:tcPr>
          <w:p w14:paraId="6266C797" w14:textId="77777777" w:rsidR="00C07865" w:rsidRPr="009C6CAC" w:rsidRDefault="00C07865" w:rsidP="000D79D6">
            <w:pPr>
              <w:jc w:val="both"/>
              <w:rPr>
                <w:rFonts w:ascii="Times New Roman" w:hAnsi="Times New Roman" w:cs="Times New Roman"/>
                <w:sz w:val="24"/>
                <w:szCs w:val="24"/>
              </w:rPr>
            </w:pPr>
          </w:p>
        </w:tc>
      </w:tr>
      <w:tr w:rsidR="00C07865" w:rsidRPr="009C6CAC" w14:paraId="3806092A" w14:textId="77777777" w:rsidTr="000D79D6">
        <w:trPr>
          <w:jc w:val="center"/>
        </w:trPr>
        <w:tc>
          <w:tcPr>
            <w:tcW w:w="704" w:type="dxa"/>
            <w:vAlign w:val="center"/>
          </w:tcPr>
          <w:p w14:paraId="591CFFD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4179" w:type="dxa"/>
            <w:vAlign w:val="center"/>
          </w:tcPr>
          <w:p w14:paraId="488ED28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suyunun, tatlı su ikamesi olarak, yeniden kullanılması (su resirkülasyonu ve su döngülerinin kapatılması)</w:t>
            </w:r>
          </w:p>
        </w:tc>
        <w:tc>
          <w:tcPr>
            <w:tcW w:w="4179" w:type="dxa"/>
            <w:vAlign w:val="center"/>
          </w:tcPr>
          <w:p w14:paraId="2A2EC06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Yeni tesisler ve büyük tadilatlar/yenilemeler için uygulanabilir.</w:t>
            </w:r>
          </w:p>
          <w:p w14:paraId="5E98474C" w14:textId="77777777" w:rsidR="00C07865" w:rsidRPr="009C6CAC" w:rsidRDefault="00C07865" w:rsidP="000D79D6">
            <w:pPr>
              <w:jc w:val="both"/>
              <w:rPr>
                <w:rFonts w:ascii="Times New Roman" w:hAnsi="Times New Roman" w:cs="Times New Roman"/>
                <w:sz w:val="24"/>
                <w:szCs w:val="24"/>
              </w:rPr>
            </w:pPr>
          </w:p>
          <w:p w14:paraId="12F40F9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su kalitesinden ve/veya ürün kalite gereksinimlerinden dolayı veya teknik kısıtlamalardan (örn. su sisteminde çökelti/kabuklanma) veya rahatsız edici kokuda artıştan dolayı kısıtlanabilir.</w:t>
            </w:r>
          </w:p>
        </w:tc>
      </w:tr>
      <w:tr w:rsidR="00C07865" w:rsidRPr="009C6CAC" w14:paraId="6E990FBB" w14:textId="77777777" w:rsidTr="000D79D6">
        <w:trPr>
          <w:jc w:val="center"/>
        </w:trPr>
        <w:tc>
          <w:tcPr>
            <w:tcW w:w="704" w:type="dxa"/>
            <w:vAlign w:val="center"/>
          </w:tcPr>
          <w:p w14:paraId="5A9A61C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4179" w:type="dxa"/>
            <w:vAlign w:val="center"/>
          </w:tcPr>
          <w:p w14:paraId="6FA6011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Resirkülasyonu veya yeniden kullanımı sağlamak için su kalitesini iyileştirmek adına, proses suyunun (bir kısmının) hat-içi arıtılması</w:t>
            </w:r>
          </w:p>
        </w:tc>
        <w:tc>
          <w:tcPr>
            <w:tcW w:w="4179" w:type="dxa"/>
            <w:vAlign w:val="center"/>
          </w:tcPr>
          <w:p w14:paraId="4E8565A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bl>
    <w:p w14:paraId="00FD59E5" w14:textId="77777777" w:rsidR="00C07865" w:rsidRPr="009C6CAC" w:rsidRDefault="00C07865" w:rsidP="00C07865">
      <w:pPr>
        <w:spacing w:after="120" w:line="276" w:lineRule="auto"/>
        <w:jc w:val="both"/>
        <w:rPr>
          <w:rFonts w:ascii="Times New Roman" w:hAnsi="Times New Roman" w:cs="Times New Roman"/>
          <w:sz w:val="24"/>
          <w:szCs w:val="24"/>
        </w:rPr>
      </w:pPr>
    </w:p>
    <w:p w14:paraId="126E5B78"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Atık su arıtımından sonra deşarj noktasındaki </w:t>
      </w:r>
      <w:r w:rsidRPr="009C6CAC">
        <w:rPr>
          <w:rFonts w:ascii="Times New Roman" w:hAnsi="Times New Roman" w:cs="Times New Roman"/>
          <w:bCs/>
          <w:sz w:val="24"/>
          <w:szCs w:val="24"/>
        </w:rPr>
        <w:t>MET ile ilişkili atık su akışı</w:t>
      </w:r>
      <w:r w:rsidRPr="009C6CAC">
        <w:rPr>
          <w:rFonts w:ascii="Times New Roman" w:hAnsi="Times New Roman" w:cs="Times New Roman"/>
          <w:sz w:val="24"/>
          <w:szCs w:val="24"/>
        </w:rPr>
        <w:t xml:space="preserve"> yıllık ortalamalar olarak aşağıdaki gibidir:</w:t>
      </w:r>
    </w:p>
    <w:tbl>
      <w:tblPr>
        <w:tblStyle w:val="TabloKlavuzu"/>
        <w:tblW w:w="0" w:type="auto"/>
        <w:jc w:val="center"/>
        <w:tblLook w:val="04A0" w:firstRow="1" w:lastRow="0" w:firstColumn="1" w:lastColumn="0" w:noHBand="0" w:noVBand="1"/>
      </w:tblPr>
      <w:tblGrid>
        <w:gridCol w:w="4673"/>
        <w:gridCol w:w="4389"/>
      </w:tblGrid>
      <w:tr w:rsidR="00C07865" w:rsidRPr="009C6CAC" w14:paraId="253454F5" w14:textId="77777777" w:rsidTr="000D79D6">
        <w:trPr>
          <w:tblHeader/>
          <w:jc w:val="center"/>
        </w:trPr>
        <w:tc>
          <w:tcPr>
            <w:tcW w:w="4673" w:type="dxa"/>
            <w:vAlign w:val="center"/>
          </w:tcPr>
          <w:p w14:paraId="2EB7C3B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Sektör</w:t>
            </w:r>
          </w:p>
        </w:tc>
        <w:tc>
          <w:tcPr>
            <w:tcW w:w="4389" w:type="dxa"/>
            <w:vAlign w:val="center"/>
          </w:tcPr>
          <w:p w14:paraId="5ADB2C0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MET ile İlişkili Atık Su Akışı</w:t>
            </w:r>
          </w:p>
        </w:tc>
      </w:tr>
      <w:tr w:rsidR="00C07865" w:rsidRPr="009C6CAC" w14:paraId="478BABD9" w14:textId="77777777" w:rsidTr="000D79D6">
        <w:trPr>
          <w:jc w:val="center"/>
        </w:trPr>
        <w:tc>
          <w:tcPr>
            <w:tcW w:w="4673" w:type="dxa"/>
            <w:vAlign w:val="center"/>
          </w:tcPr>
          <w:p w14:paraId="63ABFF5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Ağartılmış Kraft</w:t>
            </w:r>
          </w:p>
        </w:tc>
        <w:tc>
          <w:tcPr>
            <w:tcW w:w="4389" w:type="dxa"/>
            <w:vAlign w:val="center"/>
          </w:tcPr>
          <w:p w14:paraId="586F794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25-50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5B24DED3" w14:textId="77777777" w:rsidTr="000D79D6">
        <w:trPr>
          <w:jc w:val="center"/>
        </w:trPr>
        <w:tc>
          <w:tcPr>
            <w:tcW w:w="4673" w:type="dxa"/>
            <w:vAlign w:val="center"/>
          </w:tcPr>
          <w:p w14:paraId="544C79A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Ağartılmamış Kraft</w:t>
            </w:r>
          </w:p>
        </w:tc>
        <w:tc>
          <w:tcPr>
            <w:tcW w:w="4389" w:type="dxa"/>
            <w:vAlign w:val="center"/>
          </w:tcPr>
          <w:p w14:paraId="14E2C82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15-40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65CC804A" w14:textId="77777777" w:rsidTr="000D79D6">
        <w:trPr>
          <w:jc w:val="center"/>
        </w:trPr>
        <w:tc>
          <w:tcPr>
            <w:tcW w:w="4673" w:type="dxa"/>
            <w:vAlign w:val="center"/>
          </w:tcPr>
          <w:p w14:paraId="3085250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Ağartılmış Sülfit Kağıt Hamuru</w:t>
            </w:r>
          </w:p>
        </w:tc>
        <w:tc>
          <w:tcPr>
            <w:tcW w:w="4389" w:type="dxa"/>
            <w:vAlign w:val="center"/>
          </w:tcPr>
          <w:p w14:paraId="7EE9AE3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25-50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5D6274A9" w14:textId="77777777" w:rsidTr="000D79D6">
        <w:trPr>
          <w:jc w:val="center"/>
        </w:trPr>
        <w:tc>
          <w:tcPr>
            <w:tcW w:w="4673" w:type="dxa"/>
            <w:vAlign w:val="center"/>
          </w:tcPr>
          <w:p w14:paraId="716285B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Magnefit Kağıt Hamuru</w:t>
            </w:r>
          </w:p>
        </w:tc>
        <w:tc>
          <w:tcPr>
            <w:tcW w:w="4389" w:type="dxa"/>
            <w:vAlign w:val="center"/>
          </w:tcPr>
          <w:p w14:paraId="6BB016A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45-70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5BBC645F" w14:textId="77777777" w:rsidTr="000D79D6">
        <w:trPr>
          <w:jc w:val="center"/>
        </w:trPr>
        <w:tc>
          <w:tcPr>
            <w:tcW w:w="4673" w:type="dxa"/>
            <w:vAlign w:val="center"/>
          </w:tcPr>
          <w:p w14:paraId="25226FC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Çözünen Kağıt Hamuru</w:t>
            </w:r>
          </w:p>
        </w:tc>
        <w:tc>
          <w:tcPr>
            <w:tcW w:w="4389" w:type="dxa"/>
            <w:vAlign w:val="center"/>
          </w:tcPr>
          <w:p w14:paraId="352807B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40-60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478BDB61" w14:textId="77777777" w:rsidTr="000D79D6">
        <w:trPr>
          <w:jc w:val="center"/>
        </w:trPr>
        <w:tc>
          <w:tcPr>
            <w:tcW w:w="4673" w:type="dxa"/>
            <w:vAlign w:val="center"/>
          </w:tcPr>
          <w:p w14:paraId="6563848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NSSC Kağıt Hamuru</w:t>
            </w:r>
          </w:p>
        </w:tc>
        <w:tc>
          <w:tcPr>
            <w:tcW w:w="4389" w:type="dxa"/>
            <w:vAlign w:val="center"/>
          </w:tcPr>
          <w:p w14:paraId="35DF033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11-20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1314B8AD" w14:textId="77777777" w:rsidTr="000D79D6">
        <w:trPr>
          <w:jc w:val="center"/>
        </w:trPr>
        <w:tc>
          <w:tcPr>
            <w:tcW w:w="4673" w:type="dxa"/>
            <w:vAlign w:val="center"/>
          </w:tcPr>
          <w:p w14:paraId="5B6BF61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Mekanik Kağıt Hamuru</w:t>
            </w:r>
          </w:p>
        </w:tc>
        <w:tc>
          <w:tcPr>
            <w:tcW w:w="4389" w:type="dxa"/>
            <w:vAlign w:val="center"/>
          </w:tcPr>
          <w:p w14:paraId="57CDF3F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9-16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/t</w:t>
            </w:r>
          </w:p>
        </w:tc>
      </w:tr>
      <w:tr w:rsidR="00C07865" w:rsidRPr="009C6CAC" w14:paraId="293BDE78" w14:textId="77777777" w:rsidTr="000D79D6">
        <w:trPr>
          <w:jc w:val="center"/>
        </w:trPr>
        <w:tc>
          <w:tcPr>
            <w:tcW w:w="4673" w:type="dxa"/>
            <w:vAlign w:val="center"/>
          </w:tcPr>
          <w:p w14:paraId="1CFD80F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CTMP ve CMP</w:t>
            </w:r>
          </w:p>
        </w:tc>
        <w:tc>
          <w:tcPr>
            <w:tcW w:w="4389" w:type="dxa"/>
            <w:vAlign w:val="center"/>
          </w:tcPr>
          <w:p w14:paraId="44486AF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9-16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w:t>
            </w:r>
          </w:p>
        </w:tc>
      </w:tr>
      <w:tr w:rsidR="00C07865" w:rsidRPr="009C6CAC" w14:paraId="63CE49DA" w14:textId="77777777" w:rsidTr="000D79D6">
        <w:trPr>
          <w:jc w:val="center"/>
        </w:trPr>
        <w:tc>
          <w:tcPr>
            <w:tcW w:w="4673" w:type="dxa"/>
            <w:vAlign w:val="center"/>
          </w:tcPr>
          <w:p w14:paraId="78D2748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Mürekkep Gidermesiz RCF Kağıt Fabrikaları</w:t>
            </w:r>
          </w:p>
        </w:tc>
        <w:tc>
          <w:tcPr>
            <w:tcW w:w="4389" w:type="dxa"/>
            <w:vAlign w:val="center"/>
          </w:tcPr>
          <w:p w14:paraId="3CCDAEE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1,5-10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/t</w:t>
            </w:r>
          </w:p>
          <w:p w14:paraId="39BB5C3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(aralığın yüksek sınırı esas olarak, katlanır kutu kartonu üretimi ile ilişkilidir)</w:t>
            </w:r>
          </w:p>
        </w:tc>
      </w:tr>
      <w:tr w:rsidR="00C07865" w:rsidRPr="009C6CAC" w14:paraId="6322E69D" w14:textId="77777777" w:rsidTr="000D79D6">
        <w:trPr>
          <w:jc w:val="center"/>
        </w:trPr>
        <w:tc>
          <w:tcPr>
            <w:tcW w:w="4673" w:type="dxa"/>
            <w:vAlign w:val="center"/>
          </w:tcPr>
          <w:p w14:paraId="7BF42B2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Mürekkep Gidermeli RCF Kağıt Fabrikaları</w:t>
            </w:r>
          </w:p>
        </w:tc>
        <w:tc>
          <w:tcPr>
            <w:tcW w:w="4389" w:type="dxa"/>
            <w:vAlign w:val="center"/>
          </w:tcPr>
          <w:p w14:paraId="612853C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8-15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/t</w:t>
            </w:r>
          </w:p>
        </w:tc>
      </w:tr>
      <w:tr w:rsidR="00C07865" w:rsidRPr="009C6CAC" w14:paraId="71555FFB" w14:textId="77777777" w:rsidTr="000D79D6">
        <w:trPr>
          <w:jc w:val="center"/>
        </w:trPr>
        <w:tc>
          <w:tcPr>
            <w:tcW w:w="4673" w:type="dxa"/>
            <w:vAlign w:val="center"/>
          </w:tcPr>
          <w:p w14:paraId="4CF5EF6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Mürekkep Gidermeli RCF Tabanlı Kağıt Mendil Fabrikaları</w:t>
            </w:r>
          </w:p>
        </w:tc>
        <w:tc>
          <w:tcPr>
            <w:tcW w:w="4389" w:type="dxa"/>
            <w:vAlign w:val="center"/>
          </w:tcPr>
          <w:p w14:paraId="11EDF82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10-25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/t</w:t>
            </w:r>
          </w:p>
        </w:tc>
      </w:tr>
      <w:tr w:rsidR="00C07865" w:rsidRPr="009C6CAC" w14:paraId="6F854EAB" w14:textId="77777777" w:rsidTr="000D79D6">
        <w:trPr>
          <w:jc w:val="center"/>
        </w:trPr>
        <w:tc>
          <w:tcPr>
            <w:tcW w:w="4673" w:type="dxa"/>
            <w:vAlign w:val="center"/>
          </w:tcPr>
          <w:p w14:paraId="7350176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Entegre Olmayan Kağıt Fabrikaları</w:t>
            </w:r>
          </w:p>
        </w:tc>
        <w:tc>
          <w:tcPr>
            <w:tcW w:w="4389" w:type="dxa"/>
            <w:vAlign w:val="center"/>
          </w:tcPr>
          <w:p w14:paraId="629E573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3,5-20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/t</w:t>
            </w:r>
          </w:p>
        </w:tc>
      </w:tr>
    </w:tbl>
    <w:p w14:paraId="6827E6F6" w14:textId="77777777" w:rsidR="00C07865" w:rsidRPr="009C6CAC" w:rsidRDefault="00C07865" w:rsidP="00C07865">
      <w:pPr>
        <w:spacing w:after="120" w:line="276" w:lineRule="auto"/>
        <w:jc w:val="both"/>
        <w:rPr>
          <w:rFonts w:ascii="Times New Roman" w:hAnsi="Times New Roman" w:cs="Times New Roman"/>
          <w:sz w:val="24"/>
          <w:szCs w:val="24"/>
        </w:rPr>
      </w:pPr>
    </w:p>
    <w:p w14:paraId="5DD45A7C"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(1.4) Enerji Tüketimi ve Verimliliği</w:t>
      </w:r>
    </w:p>
    <w:p w14:paraId="36A02F33"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6:</w:t>
      </w:r>
      <w:r w:rsidRPr="009C6CAC">
        <w:rPr>
          <w:rFonts w:ascii="Times New Roman" w:hAnsi="Times New Roman" w:cs="Times New Roman"/>
          <w:sz w:val="24"/>
          <w:szCs w:val="24"/>
        </w:rPr>
        <w:t xml:space="preserve"> Kağıt hamuru ve kağıt fabrikalarında yakıt ve enerji tüketimini azaltmak için, aşağıda verilen (a) tekniği ve diğer tekniklerin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6E2B2C7F" w14:textId="77777777" w:rsidTr="000D79D6">
        <w:trPr>
          <w:tblHeader/>
          <w:jc w:val="center"/>
        </w:trPr>
        <w:tc>
          <w:tcPr>
            <w:tcW w:w="704" w:type="dxa"/>
            <w:vAlign w:val="center"/>
          </w:tcPr>
          <w:p w14:paraId="3A3F7D70"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30BBF73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36080EC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2693AB68" w14:textId="77777777" w:rsidTr="000D79D6">
        <w:trPr>
          <w:jc w:val="center"/>
        </w:trPr>
        <w:tc>
          <w:tcPr>
            <w:tcW w:w="704" w:type="dxa"/>
            <w:vAlign w:val="center"/>
          </w:tcPr>
          <w:p w14:paraId="0957064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6A990BF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Aşağıdaki özelliklerin tümünü içeren bir enerji yönetim sisteminin kullanılması:</w:t>
            </w:r>
          </w:p>
          <w:p w14:paraId="0C6DD137" w14:textId="77777777" w:rsidR="00C07865" w:rsidRPr="009C6CAC" w:rsidRDefault="00C07865" w:rsidP="000D79D6">
            <w:pPr>
              <w:pStyle w:val="ListeParagraf"/>
              <w:numPr>
                <w:ilvl w:val="0"/>
                <w:numId w:val="13"/>
              </w:numPr>
              <w:jc w:val="both"/>
              <w:rPr>
                <w:rFonts w:ascii="Times New Roman" w:hAnsi="Times New Roman" w:cs="Times New Roman"/>
                <w:sz w:val="24"/>
                <w:szCs w:val="24"/>
              </w:rPr>
            </w:pPr>
            <w:r w:rsidRPr="009C6CAC">
              <w:rPr>
                <w:rFonts w:ascii="Times New Roman" w:hAnsi="Times New Roman" w:cs="Times New Roman"/>
                <w:sz w:val="24"/>
                <w:szCs w:val="24"/>
              </w:rPr>
              <w:t>Fabrikanın toplam enerji tüketimi ile üretiminin değerlendirilmesi</w:t>
            </w:r>
          </w:p>
          <w:p w14:paraId="6BFFD876" w14:textId="77777777" w:rsidR="00C07865" w:rsidRPr="009C6CAC" w:rsidRDefault="00C07865" w:rsidP="000D79D6">
            <w:pPr>
              <w:pStyle w:val="ListeParagraf"/>
              <w:numPr>
                <w:ilvl w:val="0"/>
                <w:numId w:val="13"/>
              </w:numPr>
              <w:jc w:val="both"/>
              <w:rPr>
                <w:rFonts w:ascii="Times New Roman" w:hAnsi="Times New Roman" w:cs="Times New Roman"/>
                <w:sz w:val="24"/>
                <w:szCs w:val="24"/>
              </w:rPr>
            </w:pPr>
            <w:r w:rsidRPr="009C6CAC">
              <w:rPr>
                <w:rFonts w:ascii="Times New Roman" w:hAnsi="Times New Roman" w:cs="Times New Roman"/>
                <w:sz w:val="24"/>
                <w:szCs w:val="24"/>
              </w:rPr>
              <w:t>Enerji geri kazanımı için potansiyel durumların tespit edilmesi, ölçülmesi ve optimize edilmesi</w:t>
            </w:r>
          </w:p>
          <w:p w14:paraId="51200A85" w14:textId="77777777" w:rsidR="00C07865" w:rsidRPr="009C6CAC" w:rsidRDefault="00C07865" w:rsidP="000D79D6">
            <w:pPr>
              <w:pStyle w:val="ListeParagraf"/>
              <w:numPr>
                <w:ilvl w:val="0"/>
                <w:numId w:val="13"/>
              </w:numPr>
              <w:jc w:val="both"/>
              <w:rPr>
                <w:rFonts w:ascii="Times New Roman" w:hAnsi="Times New Roman" w:cs="Times New Roman"/>
                <w:sz w:val="24"/>
                <w:szCs w:val="24"/>
              </w:rPr>
            </w:pPr>
            <w:r w:rsidRPr="009C6CAC">
              <w:rPr>
                <w:rFonts w:ascii="Times New Roman" w:hAnsi="Times New Roman" w:cs="Times New Roman"/>
                <w:sz w:val="24"/>
                <w:szCs w:val="24"/>
              </w:rPr>
              <w:t>Enerji tüketimi için optimize durumun izlenmesi ve korunması</w:t>
            </w:r>
          </w:p>
        </w:tc>
        <w:tc>
          <w:tcPr>
            <w:tcW w:w="4179" w:type="dxa"/>
            <w:vAlign w:val="center"/>
          </w:tcPr>
          <w:p w14:paraId="554080A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3EFA03F8" w14:textId="77777777" w:rsidTr="000D79D6">
        <w:trPr>
          <w:jc w:val="center"/>
        </w:trPr>
        <w:tc>
          <w:tcPr>
            <w:tcW w:w="704" w:type="dxa"/>
            <w:vAlign w:val="center"/>
          </w:tcPr>
          <w:p w14:paraId="0A23857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0FC48B3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MET 12’yi dikkate alarak, kağıt hamuru ve kağıt üretiminden kaynaklanan yüksek organik içerikli ve kalorifik değer</w:t>
            </w:r>
            <w:r w:rsidR="00ED1F9A">
              <w:rPr>
                <w:rFonts w:ascii="Times New Roman" w:hAnsi="Times New Roman" w:cs="Times New Roman"/>
                <w:sz w:val="24"/>
                <w:szCs w:val="24"/>
              </w:rPr>
              <w:t xml:space="preserve">i olan </w:t>
            </w:r>
            <w:r w:rsidRPr="009C6CAC">
              <w:rPr>
                <w:rFonts w:ascii="Times New Roman" w:hAnsi="Times New Roman" w:cs="Times New Roman"/>
                <w:sz w:val="24"/>
                <w:szCs w:val="24"/>
              </w:rPr>
              <w:t xml:space="preserve"> atıkların</w:t>
            </w:r>
            <w:r w:rsidR="00ED1F9A">
              <w:rPr>
                <w:rFonts w:ascii="Times New Roman" w:hAnsi="Times New Roman" w:cs="Times New Roman"/>
                <w:sz w:val="24"/>
                <w:szCs w:val="24"/>
              </w:rPr>
              <w:t xml:space="preserve"> </w:t>
            </w:r>
            <w:r w:rsidRPr="009C6CAC">
              <w:rPr>
                <w:rFonts w:ascii="Times New Roman" w:hAnsi="Times New Roman" w:cs="Times New Roman"/>
                <w:sz w:val="24"/>
                <w:szCs w:val="24"/>
              </w:rPr>
              <w:t>yakılması ile enerji geri kazanımı</w:t>
            </w:r>
          </w:p>
        </w:tc>
        <w:tc>
          <w:tcPr>
            <w:tcW w:w="4179" w:type="dxa"/>
            <w:vAlign w:val="center"/>
          </w:tcPr>
          <w:p w14:paraId="021D740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Sadece, kağıt hamuru ve kağıt üretiminden kaynaklanan yüksek organik içerikli ve kalorifik </w:t>
            </w:r>
            <w:r w:rsidR="00520C45" w:rsidRPr="009C6CAC">
              <w:rPr>
                <w:rFonts w:ascii="Times New Roman" w:hAnsi="Times New Roman" w:cs="Times New Roman"/>
                <w:sz w:val="24"/>
                <w:szCs w:val="24"/>
              </w:rPr>
              <w:t>değer</w:t>
            </w:r>
            <w:r w:rsidR="00520C45">
              <w:rPr>
                <w:rFonts w:ascii="Times New Roman" w:hAnsi="Times New Roman" w:cs="Times New Roman"/>
                <w:sz w:val="24"/>
                <w:szCs w:val="24"/>
              </w:rPr>
              <w:t xml:space="preserve">i olan </w:t>
            </w:r>
            <w:r w:rsidR="00520C45" w:rsidRPr="009C6CAC">
              <w:rPr>
                <w:rFonts w:ascii="Times New Roman" w:hAnsi="Times New Roman" w:cs="Times New Roman"/>
                <w:sz w:val="24"/>
                <w:szCs w:val="24"/>
              </w:rPr>
              <w:t xml:space="preserve"> atıkların</w:t>
            </w:r>
            <w:r w:rsidRPr="009C6CAC">
              <w:rPr>
                <w:rFonts w:ascii="Times New Roman" w:hAnsi="Times New Roman" w:cs="Times New Roman"/>
                <w:sz w:val="24"/>
                <w:szCs w:val="24"/>
              </w:rPr>
              <w:t xml:space="preserve"> geri dönüştürülemediği veya yeniden kullanılamadığı durumlarda uygulanabilir.</w:t>
            </w:r>
          </w:p>
        </w:tc>
      </w:tr>
      <w:tr w:rsidR="00C07865" w:rsidRPr="009C6CAC" w14:paraId="67568543" w14:textId="77777777" w:rsidTr="000D79D6">
        <w:trPr>
          <w:jc w:val="center"/>
        </w:trPr>
        <w:tc>
          <w:tcPr>
            <w:tcW w:w="704" w:type="dxa"/>
            <w:vAlign w:val="center"/>
          </w:tcPr>
          <w:p w14:paraId="1877147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179" w:type="dxa"/>
            <w:vAlign w:val="center"/>
          </w:tcPr>
          <w:p w14:paraId="2B59F69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Üretim proseslerine yönelik buhar ve güç talebinin, mümkün olduğunca, birleşik ısı ve güç (CHP) sistemlerinden karşılanması</w:t>
            </w:r>
          </w:p>
        </w:tc>
        <w:tc>
          <w:tcPr>
            <w:tcW w:w="4179" w:type="dxa"/>
            <w:vAlign w:val="center"/>
          </w:tcPr>
          <w:p w14:paraId="35570B3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Tüm yeni tesisler ve enerji tesisinin büyük tadilatları/iyileştirmeleri için uygulanabilir. Mevcut tesislerde uygulanabilirlik, fabrika düzeni ve mevcut alandan dolayı kısıtlanabilir.</w:t>
            </w:r>
          </w:p>
        </w:tc>
      </w:tr>
      <w:tr w:rsidR="00C07865" w:rsidRPr="009C6CAC" w14:paraId="3E265BEA" w14:textId="77777777" w:rsidTr="000D79D6">
        <w:trPr>
          <w:jc w:val="center"/>
        </w:trPr>
        <w:tc>
          <w:tcPr>
            <w:tcW w:w="704" w:type="dxa"/>
            <w:vAlign w:val="center"/>
          </w:tcPr>
          <w:p w14:paraId="7D43495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4179" w:type="dxa"/>
            <w:vAlign w:val="center"/>
          </w:tcPr>
          <w:p w14:paraId="1961349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Fazla ısının biyokütle ve çamurun kurutulması, kazan besleme suyu ile proses suyunun ısıtılması, binaların ısıtılması vb. için kullanılması</w:t>
            </w:r>
          </w:p>
        </w:tc>
        <w:tc>
          <w:tcPr>
            <w:tcW w:w="4179" w:type="dxa"/>
            <w:vAlign w:val="center"/>
          </w:tcPr>
          <w:p w14:paraId="412B88A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ısı kaynakları ile konumlarının birbirine çok uzak olduğu durumlarda kısıtlanabilir.</w:t>
            </w:r>
          </w:p>
        </w:tc>
      </w:tr>
      <w:tr w:rsidR="00C07865" w:rsidRPr="009C6CAC" w14:paraId="7ABBB366" w14:textId="77777777" w:rsidTr="000D79D6">
        <w:trPr>
          <w:jc w:val="center"/>
        </w:trPr>
        <w:tc>
          <w:tcPr>
            <w:tcW w:w="704" w:type="dxa"/>
            <w:vAlign w:val="center"/>
          </w:tcPr>
          <w:p w14:paraId="60A0F36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4179" w:type="dxa"/>
            <w:vAlign w:val="center"/>
          </w:tcPr>
          <w:p w14:paraId="19A696A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Termokompresörlerin kullanılması</w:t>
            </w:r>
          </w:p>
        </w:tc>
        <w:tc>
          <w:tcPr>
            <w:tcW w:w="4179" w:type="dxa"/>
            <w:vAlign w:val="center"/>
          </w:tcPr>
          <w:p w14:paraId="26ED5AA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Orta basınçlı buhar mevcut olduğu sürece, tüm kağıt türleri ve kaplayıcı makineleri için olan yeni ve mevcut tesislere uygulanabilir.</w:t>
            </w:r>
          </w:p>
        </w:tc>
      </w:tr>
      <w:tr w:rsidR="00C07865" w:rsidRPr="009C6CAC" w14:paraId="58C0F5B6" w14:textId="77777777" w:rsidTr="000D79D6">
        <w:trPr>
          <w:jc w:val="center"/>
        </w:trPr>
        <w:tc>
          <w:tcPr>
            <w:tcW w:w="704" w:type="dxa"/>
            <w:vAlign w:val="center"/>
          </w:tcPr>
          <w:p w14:paraId="0DDE3E2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4179" w:type="dxa"/>
            <w:vAlign w:val="center"/>
          </w:tcPr>
          <w:p w14:paraId="2202250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Buhar ve yoğuşma suyu boru bağlantı parçalarının yalıtımı</w:t>
            </w:r>
          </w:p>
        </w:tc>
        <w:tc>
          <w:tcPr>
            <w:tcW w:w="4179" w:type="dxa"/>
            <w:vMerge w:val="restart"/>
            <w:vAlign w:val="center"/>
          </w:tcPr>
          <w:p w14:paraId="4753110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51374974" w14:textId="77777777" w:rsidTr="000D79D6">
        <w:trPr>
          <w:jc w:val="center"/>
        </w:trPr>
        <w:tc>
          <w:tcPr>
            <w:tcW w:w="704" w:type="dxa"/>
            <w:vAlign w:val="center"/>
          </w:tcPr>
          <w:p w14:paraId="7D9F1B7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4179" w:type="dxa"/>
            <w:vAlign w:val="center"/>
          </w:tcPr>
          <w:p w14:paraId="5BEE521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Susuzlaştırma için enerji verimli vakum sistemlerinin kullanılması</w:t>
            </w:r>
          </w:p>
        </w:tc>
        <w:tc>
          <w:tcPr>
            <w:tcW w:w="4179" w:type="dxa"/>
            <w:vMerge/>
            <w:vAlign w:val="center"/>
          </w:tcPr>
          <w:p w14:paraId="60D11C4B" w14:textId="77777777" w:rsidR="00C07865" w:rsidRPr="009C6CAC" w:rsidRDefault="00C07865" w:rsidP="000D79D6">
            <w:pPr>
              <w:jc w:val="both"/>
              <w:rPr>
                <w:rFonts w:ascii="Times New Roman" w:hAnsi="Times New Roman" w:cs="Times New Roman"/>
                <w:sz w:val="24"/>
                <w:szCs w:val="24"/>
              </w:rPr>
            </w:pPr>
          </w:p>
        </w:tc>
      </w:tr>
      <w:tr w:rsidR="00C07865" w:rsidRPr="009C6CAC" w14:paraId="5B977019" w14:textId="77777777" w:rsidTr="000D79D6">
        <w:trPr>
          <w:jc w:val="center"/>
        </w:trPr>
        <w:tc>
          <w:tcPr>
            <w:tcW w:w="704" w:type="dxa"/>
            <w:vAlign w:val="center"/>
          </w:tcPr>
          <w:p w14:paraId="5109C9A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h</w:t>
            </w:r>
          </w:p>
        </w:tc>
        <w:tc>
          <w:tcPr>
            <w:tcW w:w="4179" w:type="dxa"/>
            <w:vAlign w:val="center"/>
          </w:tcPr>
          <w:p w14:paraId="7F8A9FD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enerji verimli elektrik motorları, pompalar ve karıştırıcıların kullanılması</w:t>
            </w:r>
          </w:p>
        </w:tc>
        <w:tc>
          <w:tcPr>
            <w:tcW w:w="4179" w:type="dxa"/>
            <w:vMerge/>
            <w:vAlign w:val="center"/>
          </w:tcPr>
          <w:p w14:paraId="04235C45" w14:textId="77777777" w:rsidR="00C07865" w:rsidRPr="009C6CAC" w:rsidRDefault="00C07865" w:rsidP="000D79D6">
            <w:pPr>
              <w:jc w:val="both"/>
              <w:rPr>
                <w:rFonts w:ascii="Times New Roman" w:hAnsi="Times New Roman" w:cs="Times New Roman"/>
                <w:sz w:val="24"/>
                <w:szCs w:val="24"/>
              </w:rPr>
            </w:pPr>
          </w:p>
        </w:tc>
      </w:tr>
      <w:tr w:rsidR="00C07865" w:rsidRPr="009C6CAC" w14:paraId="3C85A972" w14:textId="77777777" w:rsidTr="000D79D6">
        <w:trPr>
          <w:jc w:val="center"/>
        </w:trPr>
        <w:tc>
          <w:tcPr>
            <w:tcW w:w="704" w:type="dxa"/>
            <w:vAlign w:val="center"/>
          </w:tcPr>
          <w:p w14:paraId="5BB44F4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i</w:t>
            </w:r>
          </w:p>
        </w:tc>
        <w:tc>
          <w:tcPr>
            <w:tcW w:w="4179" w:type="dxa"/>
            <w:vAlign w:val="center"/>
          </w:tcPr>
          <w:p w14:paraId="2F52AC6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Fanlar, kompresörler ve pompalar için frekans invertörlerinin kullanılması</w:t>
            </w:r>
          </w:p>
        </w:tc>
        <w:tc>
          <w:tcPr>
            <w:tcW w:w="4179" w:type="dxa"/>
            <w:vMerge/>
            <w:vAlign w:val="center"/>
          </w:tcPr>
          <w:p w14:paraId="11AD32E1" w14:textId="77777777" w:rsidR="00C07865" w:rsidRPr="009C6CAC" w:rsidRDefault="00C07865" w:rsidP="000D79D6">
            <w:pPr>
              <w:jc w:val="both"/>
              <w:rPr>
                <w:rFonts w:ascii="Times New Roman" w:hAnsi="Times New Roman" w:cs="Times New Roman"/>
                <w:sz w:val="24"/>
                <w:szCs w:val="24"/>
              </w:rPr>
            </w:pPr>
          </w:p>
        </w:tc>
      </w:tr>
      <w:tr w:rsidR="00C07865" w:rsidRPr="009C6CAC" w14:paraId="3072471A" w14:textId="77777777" w:rsidTr="000D79D6">
        <w:trPr>
          <w:jc w:val="center"/>
        </w:trPr>
        <w:tc>
          <w:tcPr>
            <w:tcW w:w="704" w:type="dxa"/>
            <w:vAlign w:val="center"/>
          </w:tcPr>
          <w:p w14:paraId="6EC24DB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j</w:t>
            </w:r>
          </w:p>
        </w:tc>
        <w:tc>
          <w:tcPr>
            <w:tcW w:w="4179" w:type="dxa"/>
            <w:vAlign w:val="center"/>
          </w:tcPr>
          <w:p w14:paraId="2F2CFE8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Buhar basınç seviyelerinin gerçek basınç ihtiyaçları ile eşleştirilmesi</w:t>
            </w:r>
          </w:p>
        </w:tc>
        <w:tc>
          <w:tcPr>
            <w:tcW w:w="4179" w:type="dxa"/>
            <w:vMerge/>
            <w:vAlign w:val="center"/>
          </w:tcPr>
          <w:p w14:paraId="6C2DB47E" w14:textId="77777777" w:rsidR="00C07865" w:rsidRPr="009C6CAC" w:rsidRDefault="00C07865" w:rsidP="000D79D6">
            <w:pPr>
              <w:jc w:val="both"/>
              <w:rPr>
                <w:rFonts w:ascii="Times New Roman" w:hAnsi="Times New Roman" w:cs="Times New Roman"/>
                <w:sz w:val="24"/>
                <w:szCs w:val="24"/>
              </w:rPr>
            </w:pPr>
          </w:p>
        </w:tc>
      </w:tr>
    </w:tbl>
    <w:p w14:paraId="2B1E77B4" w14:textId="77777777" w:rsidR="00C07865" w:rsidRPr="009C6CAC" w:rsidRDefault="00C07865" w:rsidP="00C07865">
      <w:pPr>
        <w:spacing w:after="120" w:line="276" w:lineRule="auto"/>
        <w:jc w:val="both"/>
        <w:rPr>
          <w:rFonts w:ascii="Times New Roman" w:hAnsi="Times New Roman" w:cs="Times New Roman"/>
          <w:sz w:val="24"/>
          <w:szCs w:val="24"/>
        </w:rPr>
      </w:pPr>
    </w:p>
    <w:p w14:paraId="4AE3044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Teknik (c): Isı ve elektrik ve/veya mekanik enerji(si)nin tek bir proseste eş zamanlı olarak üretilmesi, birleşik ısı ve güç (CHP) tesisini ifade eder. Kağıt hamuru ve kağıt sektöründeki CHP tesisleri normalde, buhar türbinleri ve/veya gaz türbinleri uygular. Ekonomik uygulanabilirlik (ulaşılabilir tasarruflar ve geri ödeme süresi), elektrik ve yakıtların maliyetine bağlı olacaktır.</w:t>
      </w:r>
    </w:p>
    <w:p w14:paraId="0227704F"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lastRenderedPageBreak/>
        <w:t>(1.5) Koku Emisyonları</w:t>
      </w:r>
    </w:p>
    <w:p w14:paraId="3E0C44BE"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Kraft ve sülfit kağıt fabrikalarından kaynaklanan kötü kokulu, kükürt içerikli gaz emisyonları için, (2.2) ve (3.2) başlıklarında verilen prosese özel MET’lere bakınız.</w:t>
      </w:r>
    </w:p>
    <w:p w14:paraId="77B5EFC9"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7:</w:t>
      </w:r>
      <w:r w:rsidRPr="009C6CAC">
        <w:rPr>
          <w:rFonts w:ascii="Times New Roman" w:hAnsi="Times New Roman" w:cs="Times New Roman"/>
          <w:sz w:val="24"/>
          <w:szCs w:val="24"/>
        </w:rPr>
        <w:t xml:space="preserve"> Atık su sisteminden kaynaklanan kokulu bileşik emisyonlarını önlemek ve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8358"/>
      </w:tblGrid>
      <w:tr w:rsidR="00C07865" w:rsidRPr="009C6CAC" w14:paraId="2CE263C5" w14:textId="77777777" w:rsidTr="000D79D6">
        <w:trPr>
          <w:tblHeader/>
          <w:jc w:val="center"/>
        </w:trPr>
        <w:tc>
          <w:tcPr>
            <w:tcW w:w="704" w:type="dxa"/>
            <w:vAlign w:val="center"/>
          </w:tcPr>
          <w:p w14:paraId="19BCDCCC"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7D6F2B7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0046B2E8" w14:textId="77777777" w:rsidTr="000D79D6">
        <w:trPr>
          <w:jc w:val="center"/>
        </w:trPr>
        <w:tc>
          <w:tcPr>
            <w:tcW w:w="9062" w:type="dxa"/>
            <w:gridSpan w:val="2"/>
            <w:vAlign w:val="center"/>
          </w:tcPr>
          <w:p w14:paraId="041A4E9E" w14:textId="77777777" w:rsidR="00C07865" w:rsidRPr="009C6CAC" w:rsidRDefault="00C07865" w:rsidP="000D79D6">
            <w:pPr>
              <w:jc w:val="both"/>
              <w:rPr>
                <w:rFonts w:ascii="Times New Roman" w:hAnsi="Times New Roman" w:cs="Times New Roman"/>
                <w:b/>
                <w:bCs/>
                <w:sz w:val="24"/>
                <w:szCs w:val="24"/>
              </w:rPr>
            </w:pPr>
            <w:r w:rsidRPr="009C6CAC">
              <w:rPr>
                <w:rFonts w:ascii="Times New Roman" w:hAnsi="Times New Roman" w:cs="Times New Roman"/>
                <w:b/>
                <w:bCs/>
                <w:sz w:val="24"/>
                <w:szCs w:val="24"/>
              </w:rPr>
              <w:t>I. Su sistemlerinin kapatılması ile ilişkili kokular için uygulanabilir</w:t>
            </w:r>
          </w:p>
        </w:tc>
      </w:tr>
      <w:tr w:rsidR="00C07865" w:rsidRPr="009C6CAC" w14:paraId="2241419E" w14:textId="77777777" w:rsidTr="000D79D6">
        <w:trPr>
          <w:jc w:val="center"/>
        </w:trPr>
        <w:tc>
          <w:tcPr>
            <w:tcW w:w="704" w:type="dxa"/>
            <w:vAlign w:val="center"/>
          </w:tcPr>
          <w:p w14:paraId="334A27E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3EE9968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Organik ve biyolojik maddenin kontrolsüz bir şekilde birikmesini, çürümesini ve bozunmasını engellemek için kağıt fabrikası prosesleri, malzeme ve su depolama tankları, borular ve hazneler; uzun bekleme sürelerini, su devreleri ve ilişkili ünitelerde zayıf karıştırma olan ölü bölgeleri veya alanları önleyecek şekilde tasarlanması</w:t>
            </w:r>
          </w:p>
        </w:tc>
      </w:tr>
      <w:tr w:rsidR="00C07865" w:rsidRPr="009C6CAC" w14:paraId="27A142DE" w14:textId="77777777" w:rsidTr="000D79D6">
        <w:trPr>
          <w:jc w:val="center"/>
        </w:trPr>
        <w:tc>
          <w:tcPr>
            <w:tcW w:w="704" w:type="dxa"/>
            <w:vAlign w:val="center"/>
          </w:tcPr>
          <w:p w14:paraId="3C7F0C3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7103535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Koku ve çürüyen bakteri büyümesini kontrol etmek için biyositlerin, dağıtıcı maddelerin veya yükseltgen maddelerin (örn. hidrojen peroksitle katalitik dezenfeksiyon) kullanılması</w:t>
            </w:r>
          </w:p>
        </w:tc>
      </w:tr>
      <w:tr w:rsidR="00C07865" w:rsidRPr="009C6CAC" w14:paraId="13E968AA" w14:textId="77777777" w:rsidTr="000D79D6">
        <w:trPr>
          <w:jc w:val="center"/>
        </w:trPr>
        <w:tc>
          <w:tcPr>
            <w:tcW w:w="704" w:type="dxa"/>
            <w:vAlign w:val="center"/>
          </w:tcPr>
          <w:p w14:paraId="708F07B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3A27620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Beyaz su sistemindeki organik madde konsantrasyonlarını ve beraberinde olası koku problemlerini azaltmak için, içten arıtma proseslerinin kurulması</w:t>
            </w:r>
          </w:p>
        </w:tc>
      </w:tr>
      <w:tr w:rsidR="00C07865" w:rsidRPr="009C6CAC" w14:paraId="2DF1F8E0" w14:textId="77777777" w:rsidTr="000D79D6">
        <w:trPr>
          <w:jc w:val="center"/>
        </w:trPr>
        <w:tc>
          <w:tcPr>
            <w:tcW w:w="9062" w:type="dxa"/>
            <w:gridSpan w:val="2"/>
            <w:vAlign w:val="center"/>
          </w:tcPr>
          <w:p w14:paraId="7C60F05C" w14:textId="77777777" w:rsidR="00C07865" w:rsidRPr="009C6CAC" w:rsidRDefault="00C07865" w:rsidP="000D79D6">
            <w:pPr>
              <w:jc w:val="both"/>
              <w:rPr>
                <w:rFonts w:ascii="Times New Roman" w:hAnsi="Times New Roman" w:cs="Times New Roman"/>
                <w:b/>
                <w:bCs/>
                <w:sz w:val="24"/>
                <w:szCs w:val="24"/>
              </w:rPr>
            </w:pPr>
            <w:r w:rsidRPr="009C6CAC">
              <w:rPr>
                <w:rFonts w:ascii="Times New Roman" w:hAnsi="Times New Roman" w:cs="Times New Roman"/>
                <w:b/>
                <w:bCs/>
                <w:sz w:val="24"/>
                <w:szCs w:val="24"/>
              </w:rPr>
              <w:t>II. Atık su veya çamurun anaerobik olduğu koşulları engellemek için, atık su arıtımı ve çamur arıtımı ile ilişkili kokular için uygulanabilir</w:t>
            </w:r>
          </w:p>
        </w:tc>
      </w:tr>
      <w:tr w:rsidR="00C07865" w:rsidRPr="009C6CAC" w14:paraId="53176396" w14:textId="77777777" w:rsidTr="000D79D6">
        <w:trPr>
          <w:jc w:val="center"/>
        </w:trPr>
        <w:tc>
          <w:tcPr>
            <w:tcW w:w="704" w:type="dxa"/>
            <w:vAlign w:val="center"/>
          </w:tcPr>
          <w:p w14:paraId="36E5822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1DBF687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Kanalizasyon sistemlerinde hidrojen sülfür oluşumunu engellemek ve hidrojen sülfürü oksitlemek için bazı durumlarda kimyasallar kullanarak, kontrollü havalandırma delikleri ile kapalı kanalizasyon sistemlerinin uygulanması</w:t>
            </w:r>
          </w:p>
        </w:tc>
      </w:tr>
      <w:tr w:rsidR="00C07865" w:rsidRPr="009C6CAC" w14:paraId="6CFD2A3B" w14:textId="77777777" w:rsidTr="000D79D6">
        <w:trPr>
          <w:jc w:val="center"/>
        </w:trPr>
        <w:tc>
          <w:tcPr>
            <w:tcW w:w="704" w:type="dxa"/>
            <w:vAlign w:val="center"/>
          </w:tcPr>
          <w:p w14:paraId="435460D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1713C87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Dengeleme havuzlarında fazla havalandırmanın önlenmesi ama yeterli karıştırmanın sağlanması</w:t>
            </w:r>
          </w:p>
        </w:tc>
      </w:tr>
      <w:tr w:rsidR="00C07865" w:rsidRPr="009C6CAC" w14:paraId="0D2600B8" w14:textId="77777777" w:rsidTr="000D79D6">
        <w:trPr>
          <w:jc w:val="center"/>
        </w:trPr>
        <w:tc>
          <w:tcPr>
            <w:tcW w:w="704" w:type="dxa"/>
            <w:vAlign w:val="center"/>
          </w:tcPr>
          <w:p w14:paraId="474A067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7DE6751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Havalandırma havuzlarında yeterli havalandırma kapasitesinin ve karıştırmanın sağlanması; havalandırma sisteminin düzenli olarak gözden geçirilmesi</w:t>
            </w:r>
          </w:p>
        </w:tc>
      </w:tr>
      <w:tr w:rsidR="00C07865" w:rsidRPr="009C6CAC" w14:paraId="147E2803" w14:textId="77777777" w:rsidTr="000D79D6">
        <w:trPr>
          <w:jc w:val="center"/>
        </w:trPr>
        <w:tc>
          <w:tcPr>
            <w:tcW w:w="704" w:type="dxa"/>
            <w:vAlign w:val="center"/>
          </w:tcPr>
          <w:p w14:paraId="05F649E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547E834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İkincil çöktürme havuzu çamurunun toplanması ve geri devir pompalanmasına ilişkin uygun çalışmanın sağlanması</w:t>
            </w:r>
          </w:p>
        </w:tc>
      </w:tr>
      <w:tr w:rsidR="00C07865" w:rsidRPr="009C6CAC" w14:paraId="6EE7D26D" w14:textId="77777777" w:rsidTr="000D79D6">
        <w:trPr>
          <w:jc w:val="center"/>
        </w:trPr>
        <w:tc>
          <w:tcPr>
            <w:tcW w:w="704" w:type="dxa"/>
            <w:vAlign w:val="center"/>
          </w:tcPr>
          <w:p w14:paraId="46D1B4E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8358" w:type="dxa"/>
            <w:vAlign w:val="center"/>
          </w:tcPr>
          <w:p w14:paraId="7617175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Çamuru sürekli olarak susuzlaştırma ünitelerine göndererek, çamur depolarındaki bekleme süresinin kısıtlanması</w:t>
            </w:r>
          </w:p>
        </w:tc>
      </w:tr>
      <w:tr w:rsidR="00C07865" w:rsidRPr="009C6CAC" w14:paraId="47BEF7F1" w14:textId="77777777" w:rsidTr="000D79D6">
        <w:trPr>
          <w:jc w:val="center"/>
        </w:trPr>
        <w:tc>
          <w:tcPr>
            <w:tcW w:w="704" w:type="dxa"/>
            <w:vAlign w:val="center"/>
          </w:tcPr>
          <w:p w14:paraId="4E808DD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8358" w:type="dxa"/>
            <w:vAlign w:val="center"/>
          </w:tcPr>
          <w:p w14:paraId="34CD6C4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Atık suyun, sızıntı havuzunda gereğinden uzun süre depolanmasının engellenmesi; sızıntı havuzunun boş tutulması</w:t>
            </w:r>
          </w:p>
        </w:tc>
      </w:tr>
      <w:tr w:rsidR="00C07865" w:rsidRPr="009C6CAC" w14:paraId="50E28F9D" w14:textId="77777777" w:rsidTr="000D79D6">
        <w:trPr>
          <w:jc w:val="center"/>
        </w:trPr>
        <w:tc>
          <w:tcPr>
            <w:tcW w:w="704" w:type="dxa"/>
            <w:vAlign w:val="center"/>
          </w:tcPr>
          <w:p w14:paraId="043ABBD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8358" w:type="dxa"/>
            <w:vAlign w:val="center"/>
          </w:tcPr>
          <w:p w14:paraId="5C44A7B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Eğer çamur kurutucular kullanılıyorsa, termal çamur kurutucusu havalandırma gazlarının yıkama ve/veya biyofiltrasyon (kompost filtreleri gibi) ile arıtılması</w:t>
            </w:r>
          </w:p>
        </w:tc>
      </w:tr>
      <w:tr w:rsidR="00C07865" w:rsidRPr="009C6CAC" w14:paraId="290179CC" w14:textId="77777777" w:rsidTr="000D79D6">
        <w:trPr>
          <w:jc w:val="center"/>
        </w:trPr>
        <w:tc>
          <w:tcPr>
            <w:tcW w:w="704" w:type="dxa"/>
            <w:vAlign w:val="center"/>
          </w:tcPr>
          <w:p w14:paraId="1EAC511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h</w:t>
            </w:r>
          </w:p>
        </w:tc>
        <w:tc>
          <w:tcPr>
            <w:tcW w:w="8358" w:type="dxa"/>
            <w:vAlign w:val="center"/>
          </w:tcPr>
          <w:p w14:paraId="53B02ED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Plakalı ısı değiştiriciler uygulanarak arıtılmamış atık su için hava soğutma kuleleri kullanımının engellenmesi</w:t>
            </w:r>
          </w:p>
        </w:tc>
      </w:tr>
    </w:tbl>
    <w:p w14:paraId="38AA4779" w14:textId="77777777" w:rsidR="00C07865" w:rsidRPr="009C6CAC" w:rsidRDefault="00C07865" w:rsidP="00C07865">
      <w:pPr>
        <w:spacing w:after="120" w:line="276" w:lineRule="auto"/>
        <w:jc w:val="both"/>
        <w:rPr>
          <w:rFonts w:ascii="Times New Roman" w:hAnsi="Times New Roman" w:cs="Times New Roman"/>
          <w:sz w:val="24"/>
          <w:szCs w:val="24"/>
        </w:rPr>
      </w:pPr>
    </w:p>
    <w:p w14:paraId="7784C7EB"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(1.6) Temel Proses Parametreleri ile Suya ve Havaya Emisyonların İzlenmesi</w:t>
      </w:r>
    </w:p>
    <w:p w14:paraId="3BF66FD8"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8:</w:t>
      </w:r>
      <w:r w:rsidRPr="009C6CAC">
        <w:rPr>
          <w:rFonts w:ascii="Times New Roman" w:hAnsi="Times New Roman" w:cs="Times New Roman"/>
          <w:sz w:val="24"/>
          <w:szCs w:val="24"/>
        </w:rPr>
        <w:t xml:space="preserve"> Aşağıdaki tabloya göre temel proses parametreleri izlenir.</w:t>
      </w:r>
    </w:p>
    <w:tbl>
      <w:tblPr>
        <w:tblStyle w:val="TabloKlavuzu"/>
        <w:tblW w:w="0" w:type="auto"/>
        <w:jc w:val="center"/>
        <w:tblLook w:val="04A0" w:firstRow="1" w:lastRow="0" w:firstColumn="1" w:lastColumn="0" w:noHBand="0" w:noVBand="1"/>
      </w:tblPr>
      <w:tblGrid>
        <w:gridCol w:w="6091"/>
        <w:gridCol w:w="2971"/>
      </w:tblGrid>
      <w:tr w:rsidR="00C07865" w:rsidRPr="003526A3" w14:paraId="02B41080" w14:textId="77777777" w:rsidTr="000D79D6">
        <w:trPr>
          <w:jc w:val="center"/>
        </w:trPr>
        <w:tc>
          <w:tcPr>
            <w:tcW w:w="9062" w:type="dxa"/>
            <w:gridSpan w:val="2"/>
            <w:vAlign w:val="center"/>
          </w:tcPr>
          <w:p w14:paraId="782D737A" w14:textId="77777777" w:rsidR="00C07865" w:rsidRPr="003526A3" w:rsidRDefault="00C07865" w:rsidP="000D79D6">
            <w:pPr>
              <w:jc w:val="both"/>
              <w:rPr>
                <w:rFonts w:ascii="Times New Roman" w:hAnsi="Times New Roman" w:cs="Times New Roman"/>
                <w:b/>
                <w:bCs/>
              </w:rPr>
            </w:pPr>
            <w:r w:rsidRPr="003526A3">
              <w:rPr>
                <w:rFonts w:ascii="Times New Roman" w:hAnsi="Times New Roman" w:cs="Times New Roman"/>
                <w:b/>
                <w:bCs/>
              </w:rPr>
              <w:t>I. Havaya emisyonlar ile ilişkili temel proses parametrelerinin izlenmesi</w:t>
            </w:r>
          </w:p>
        </w:tc>
      </w:tr>
      <w:tr w:rsidR="00C07865" w:rsidRPr="003526A3" w14:paraId="4E2462DB" w14:textId="77777777" w:rsidTr="000D79D6">
        <w:trPr>
          <w:jc w:val="center"/>
        </w:trPr>
        <w:tc>
          <w:tcPr>
            <w:tcW w:w="6091" w:type="dxa"/>
            <w:vAlign w:val="center"/>
          </w:tcPr>
          <w:p w14:paraId="50E9B7AB"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2971" w:type="dxa"/>
            <w:vAlign w:val="center"/>
          </w:tcPr>
          <w:p w14:paraId="31380BAB"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İzleme Sıklığı</w:t>
            </w:r>
          </w:p>
        </w:tc>
      </w:tr>
      <w:tr w:rsidR="00C07865" w:rsidRPr="003526A3" w14:paraId="49355C97" w14:textId="77777777" w:rsidTr="000D79D6">
        <w:trPr>
          <w:jc w:val="center"/>
        </w:trPr>
        <w:tc>
          <w:tcPr>
            <w:tcW w:w="6091" w:type="dxa"/>
            <w:vAlign w:val="center"/>
          </w:tcPr>
          <w:p w14:paraId="64F14D3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Yakma prosesleri için baca gazındaki basınç, sıcaklık, oksijen, CO ve su buharı içeriği</w:t>
            </w:r>
          </w:p>
        </w:tc>
        <w:tc>
          <w:tcPr>
            <w:tcW w:w="2971" w:type="dxa"/>
            <w:vAlign w:val="center"/>
          </w:tcPr>
          <w:p w14:paraId="182B1E4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Sürekli</w:t>
            </w:r>
          </w:p>
        </w:tc>
      </w:tr>
      <w:tr w:rsidR="00C07865" w:rsidRPr="003526A3" w14:paraId="3D517F59" w14:textId="77777777" w:rsidTr="000D79D6">
        <w:trPr>
          <w:jc w:val="center"/>
        </w:trPr>
        <w:tc>
          <w:tcPr>
            <w:tcW w:w="9062" w:type="dxa"/>
            <w:gridSpan w:val="2"/>
            <w:vAlign w:val="center"/>
          </w:tcPr>
          <w:p w14:paraId="1F2DDBAF" w14:textId="77777777" w:rsidR="00C07865" w:rsidRPr="003526A3" w:rsidRDefault="00C07865" w:rsidP="000D79D6">
            <w:pPr>
              <w:jc w:val="both"/>
              <w:rPr>
                <w:rFonts w:ascii="Times New Roman" w:hAnsi="Times New Roman" w:cs="Times New Roman"/>
                <w:b/>
                <w:bCs/>
              </w:rPr>
            </w:pPr>
            <w:r w:rsidRPr="003526A3">
              <w:rPr>
                <w:rFonts w:ascii="Times New Roman" w:hAnsi="Times New Roman" w:cs="Times New Roman"/>
                <w:b/>
                <w:bCs/>
              </w:rPr>
              <w:t>II. Suya emisyonlar ile ilişkili temel proses parametrelerinin izlenmesi</w:t>
            </w:r>
          </w:p>
        </w:tc>
      </w:tr>
      <w:tr w:rsidR="00C07865" w:rsidRPr="003526A3" w14:paraId="1D8398DA" w14:textId="77777777" w:rsidTr="000D79D6">
        <w:trPr>
          <w:jc w:val="center"/>
        </w:trPr>
        <w:tc>
          <w:tcPr>
            <w:tcW w:w="6091" w:type="dxa"/>
            <w:vAlign w:val="center"/>
          </w:tcPr>
          <w:p w14:paraId="7A8F4AB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2971" w:type="dxa"/>
            <w:vAlign w:val="center"/>
          </w:tcPr>
          <w:p w14:paraId="6631BF45"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İzleme Sıklığı</w:t>
            </w:r>
          </w:p>
        </w:tc>
      </w:tr>
      <w:tr w:rsidR="00C07865" w:rsidRPr="003526A3" w14:paraId="57310C83" w14:textId="77777777" w:rsidTr="000D79D6">
        <w:trPr>
          <w:jc w:val="center"/>
        </w:trPr>
        <w:tc>
          <w:tcPr>
            <w:tcW w:w="6091" w:type="dxa"/>
            <w:vAlign w:val="center"/>
          </w:tcPr>
          <w:p w14:paraId="5C8BB46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Su akışı, sıcaklık ve pH</w:t>
            </w:r>
          </w:p>
        </w:tc>
        <w:tc>
          <w:tcPr>
            <w:tcW w:w="2971" w:type="dxa"/>
            <w:vAlign w:val="center"/>
          </w:tcPr>
          <w:p w14:paraId="769542D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Sürekli</w:t>
            </w:r>
          </w:p>
        </w:tc>
      </w:tr>
      <w:tr w:rsidR="00C07865" w:rsidRPr="003526A3" w14:paraId="454757E1" w14:textId="77777777" w:rsidTr="000D79D6">
        <w:trPr>
          <w:jc w:val="center"/>
        </w:trPr>
        <w:tc>
          <w:tcPr>
            <w:tcW w:w="6091" w:type="dxa"/>
            <w:vAlign w:val="center"/>
          </w:tcPr>
          <w:p w14:paraId="0FB9ED9C"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lastRenderedPageBreak/>
              <w:t>Biyokütledeki P ve N içeriği, çamur hacim indeksi, atık sudaki fazla amonyak ve orto-fosfat ve biyokütle için mikroskopi kontrolleri</w:t>
            </w:r>
          </w:p>
        </w:tc>
        <w:tc>
          <w:tcPr>
            <w:tcW w:w="2971" w:type="dxa"/>
            <w:vAlign w:val="center"/>
          </w:tcPr>
          <w:p w14:paraId="6ADD425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w:t>
            </w:r>
          </w:p>
        </w:tc>
      </w:tr>
      <w:tr w:rsidR="00C07865" w:rsidRPr="003526A3" w14:paraId="65E4F409" w14:textId="77777777" w:rsidTr="000D79D6">
        <w:trPr>
          <w:jc w:val="center"/>
        </w:trPr>
        <w:tc>
          <w:tcPr>
            <w:tcW w:w="6091" w:type="dxa"/>
            <w:vAlign w:val="center"/>
          </w:tcPr>
          <w:p w14:paraId="5D031CD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Anaerobik atık su arıtımında oluşan biyogazın akış hacmi ve CH</w:t>
            </w:r>
            <w:r w:rsidRPr="003526A3">
              <w:rPr>
                <w:rFonts w:ascii="Times New Roman" w:hAnsi="Times New Roman" w:cs="Times New Roman"/>
                <w:vertAlign w:val="subscript"/>
              </w:rPr>
              <w:t>4</w:t>
            </w:r>
            <w:r w:rsidRPr="003526A3">
              <w:rPr>
                <w:rFonts w:ascii="Times New Roman" w:hAnsi="Times New Roman" w:cs="Times New Roman"/>
              </w:rPr>
              <w:t xml:space="preserve"> içeriği</w:t>
            </w:r>
          </w:p>
        </w:tc>
        <w:tc>
          <w:tcPr>
            <w:tcW w:w="2971" w:type="dxa"/>
            <w:vAlign w:val="center"/>
          </w:tcPr>
          <w:p w14:paraId="5B76569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Sürekli</w:t>
            </w:r>
          </w:p>
        </w:tc>
      </w:tr>
      <w:tr w:rsidR="00C07865" w:rsidRPr="003526A3" w14:paraId="4ABE07AB" w14:textId="77777777" w:rsidTr="000D79D6">
        <w:trPr>
          <w:jc w:val="center"/>
        </w:trPr>
        <w:tc>
          <w:tcPr>
            <w:tcW w:w="6091" w:type="dxa"/>
            <w:vAlign w:val="center"/>
          </w:tcPr>
          <w:p w14:paraId="1B72EFE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Anaerobik atık su arıtımında oluşan biyogazın H</w:t>
            </w:r>
            <w:r w:rsidRPr="003526A3">
              <w:rPr>
                <w:rFonts w:ascii="Times New Roman" w:hAnsi="Times New Roman" w:cs="Times New Roman"/>
                <w:vertAlign w:val="subscript"/>
              </w:rPr>
              <w:t>2</w:t>
            </w:r>
            <w:r w:rsidRPr="003526A3">
              <w:rPr>
                <w:rFonts w:ascii="Times New Roman" w:hAnsi="Times New Roman" w:cs="Times New Roman"/>
              </w:rPr>
              <w:t>S ve CO</w:t>
            </w:r>
            <w:r w:rsidRPr="003526A3">
              <w:rPr>
                <w:rFonts w:ascii="Times New Roman" w:hAnsi="Times New Roman" w:cs="Times New Roman"/>
                <w:vertAlign w:val="subscript"/>
              </w:rPr>
              <w:t>2</w:t>
            </w:r>
            <w:r w:rsidRPr="003526A3">
              <w:rPr>
                <w:rFonts w:ascii="Times New Roman" w:hAnsi="Times New Roman" w:cs="Times New Roman"/>
              </w:rPr>
              <w:t xml:space="preserve"> içeriği</w:t>
            </w:r>
          </w:p>
        </w:tc>
        <w:tc>
          <w:tcPr>
            <w:tcW w:w="2971" w:type="dxa"/>
            <w:vAlign w:val="center"/>
          </w:tcPr>
          <w:p w14:paraId="236A940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w:t>
            </w:r>
          </w:p>
        </w:tc>
      </w:tr>
    </w:tbl>
    <w:p w14:paraId="77390242" w14:textId="77777777" w:rsidR="00C07865" w:rsidRPr="009C6CAC" w:rsidRDefault="00C07865" w:rsidP="00C07865">
      <w:pPr>
        <w:spacing w:after="120" w:line="276" w:lineRule="auto"/>
        <w:jc w:val="both"/>
        <w:rPr>
          <w:rFonts w:ascii="Times New Roman" w:hAnsi="Times New Roman" w:cs="Times New Roman"/>
          <w:sz w:val="24"/>
          <w:szCs w:val="24"/>
        </w:rPr>
      </w:pPr>
    </w:p>
    <w:p w14:paraId="6118A7B1"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9:</w:t>
      </w:r>
      <w:r w:rsidRPr="009C6CAC">
        <w:rPr>
          <w:rFonts w:ascii="Times New Roman" w:hAnsi="Times New Roman" w:cs="Times New Roman"/>
          <w:sz w:val="24"/>
          <w:szCs w:val="24"/>
        </w:rPr>
        <w:t xml:space="preserve"> Havaya emisyonlara yönelik izleme ve ölçüm, aşağıdaki tabloda belirtilen sıklıklarla düzenli aralıklarla ve TS EN standartlarına göre yapılır. Herhangi bir TS EN standardı mevcut değilse, eş değer bilimsel nitelikte veri elde edilmesini sağlayan ISO, ulusal veya uluslararası standartlar kullanılır.</w:t>
      </w:r>
    </w:p>
    <w:tbl>
      <w:tblPr>
        <w:tblStyle w:val="TabloKlavuzu"/>
        <w:tblW w:w="0" w:type="auto"/>
        <w:jc w:val="center"/>
        <w:tblLook w:val="04A0" w:firstRow="1" w:lastRow="0" w:firstColumn="1" w:lastColumn="0" w:noHBand="0" w:noVBand="1"/>
      </w:tblPr>
      <w:tblGrid>
        <w:gridCol w:w="421"/>
        <w:gridCol w:w="1842"/>
        <w:gridCol w:w="2552"/>
        <w:gridCol w:w="2434"/>
        <w:gridCol w:w="1813"/>
      </w:tblGrid>
      <w:tr w:rsidR="00C07865" w:rsidRPr="003526A3" w14:paraId="1DBDB42B" w14:textId="77777777" w:rsidTr="000D79D6">
        <w:trPr>
          <w:tblHeader/>
          <w:jc w:val="center"/>
        </w:trPr>
        <w:tc>
          <w:tcPr>
            <w:tcW w:w="421" w:type="dxa"/>
            <w:vAlign w:val="center"/>
          </w:tcPr>
          <w:p w14:paraId="09E62C1D" w14:textId="77777777" w:rsidR="00C07865" w:rsidRPr="003526A3" w:rsidRDefault="00C07865" w:rsidP="000D79D6">
            <w:pPr>
              <w:jc w:val="center"/>
              <w:rPr>
                <w:rFonts w:ascii="Times New Roman" w:hAnsi="Times New Roman" w:cs="Times New Roman"/>
                <w:b/>
                <w:bCs/>
              </w:rPr>
            </w:pPr>
          </w:p>
        </w:tc>
        <w:tc>
          <w:tcPr>
            <w:tcW w:w="1842" w:type="dxa"/>
            <w:vAlign w:val="center"/>
          </w:tcPr>
          <w:p w14:paraId="5E36FCD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2552" w:type="dxa"/>
            <w:vAlign w:val="center"/>
          </w:tcPr>
          <w:p w14:paraId="7E8EE007"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İzleme Sıklığı</w:t>
            </w:r>
          </w:p>
        </w:tc>
        <w:tc>
          <w:tcPr>
            <w:tcW w:w="2434" w:type="dxa"/>
            <w:vAlign w:val="center"/>
          </w:tcPr>
          <w:p w14:paraId="4A356C85"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Emisyon Kaynağı</w:t>
            </w:r>
          </w:p>
        </w:tc>
        <w:tc>
          <w:tcPr>
            <w:tcW w:w="1813" w:type="dxa"/>
            <w:vAlign w:val="center"/>
          </w:tcPr>
          <w:p w14:paraId="7E910D71"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İzleme ile İlişkili MET</w:t>
            </w:r>
          </w:p>
        </w:tc>
      </w:tr>
      <w:tr w:rsidR="00C07865" w:rsidRPr="003526A3" w14:paraId="230A6673" w14:textId="77777777" w:rsidTr="000D79D6">
        <w:trPr>
          <w:jc w:val="center"/>
        </w:trPr>
        <w:tc>
          <w:tcPr>
            <w:tcW w:w="421" w:type="dxa"/>
            <w:vMerge w:val="restart"/>
            <w:vAlign w:val="center"/>
          </w:tcPr>
          <w:p w14:paraId="11B5A2E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1842" w:type="dxa"/>
            <w:vMerge w:val="restart"/>
            <w:vAlign w:val="center"/>
          </w:tcPr>
          <w:p w14:paraId="0036294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NO</w:t>
            </w:r>
            <w:r w:rsidRPr="003526A3">
              <w:rPr>
                <w:rFonts w:ascii="Times New Roman" w:hAnsi="Times New Roman" w:cs="Times New Roman"/>
                <w:vertAlign w:val="subscript"/>
              </w:rPr>
              <w:t>x</w:t>
            </w:r>
            <w:r w:rsidRPr="003526A3">
              <w:rPr>
                <w:rFonts w:ascii="Times New Roman" w:hAnsi="Times New Roman" w:cs="Times New Roman"/>
              </w:rPr>
              <w:t xml:space="preserve"> ve SO</w:t>
            </w:r>
            <w:r w:rsidRPr="003526A3">
              <w:rPr>
                <w:rFonts w:ascii="Times New Roman" w:hAnsi="Times New Roman" w:cs="Times New Roman"/>
                <w:vertAlign w:val="subscript"/>
              </w:rPr>
              <w:t>2</w:t>
            </w:r>
            <w:r w:rsidRPr="003526A3">
              <w:rPr>
                <w:rFonts w:ascii="Times New Roman" w:hAnsi="Times New Roman" w:cs="Times New Roman"/>
              </w:rPr>
              <w:t xml:space="preserve"> </w:t>
            </w:r>
          </w:p>
        </w:tc>
        <w:tc>
          <w:tcPr>
            <w:tcW w:w="2552" w:type="dxa"/>
            <w:vAlign w:val="center"/>
          </w:tcPr>
          <w:p w14:paraId="38D9F0E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Sürekli</w:t>
            </w:r>
          </w:p>
        </w:tc>
        <w:tc>
          <w:tcPr>
            <w:tcW w:w="2434" w:type="dxa"/>
            <w:vAlign w:val="center"/>
          </w:tcPr>
          <w:p w14:paraId="1BFB36D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geri kazanım kazanı</w:t>
            </w:r>
          </w:p>
        </w:tc>
        <w:tc>
          <w:tcPr>
            <w:tcW w:w="1813" w:type="dxa"/>
            <w:vAlign w:val="center"/>
          </w:tcPr>
          <w:p w14:paraId="0F73C06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21</w:t>
            </w:r>
          </w:p>
          <w:p w14:paraId="66AA0C2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22</w:t>
            </w:r>
          </w:p>
          <w:p w14:paraId="24A05BD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36</w:t>
            </w:r>
          </w:p>
          <w:p w14:paraId="36EFA7F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37</w:t>
            </w:r>
          </w:p>
        </w:tc>
      </w:tr>
      <w:tr w:rsidR="00C07865" w:rsidRPr="003526A3" w14:paraId="26EFF921" w14:textId="77777777" w:rsidTr="000D79D6">
        <w:trPr>
          <w:jc w:val="center"/>
        </w:trPr>
        <w:tc>
          <w:tcPr>
            <w:tcW w:w="421" w:type="dxa"/>
            <w:vMerge/>
            <w:vAlign w:val="center"/>
          </w:tcPr>
          <w:p w14:paraId="61090F75" w14:textId="77777777" w:rsidR="00C07865" w:rsidRPr="003526A3" w:rsidRDefault="00C07865" w:rsidP="000D79D6">
            <w:pPr>
              <w:jc w:val="center"/>
              <w:rPr>
                <w:rFonts w:ascii="Times New Roman" w:hAnsi="Times New Roman" w:cs="Times New Roman"/>
              </w:rPr>
            </w:pPr>
          </w:p>
        </w:tc>
        <w:tc>
          <w:tcPr>
            <w:tcW w:w="1842" w:type="dxa"/>
            <w:vMerge/>
            <w:vAlign w:val="center"/>
          </w:tcPr>
          <w:p w14:paraId="33A2F8DC" w14:textId="77777777" w:rsidR="00C07865" w:rsidRPr="003526A3" w:rsidRDefault="00C07865" w:rsidP="000D79D6">
            <w:pPr>
              <w:jc w:val="both"/>
              <w:rPr>
                <w:rFonts w:ascii="Times New Roman" w:hAnsi="Times New Roman" w:cs="Times New Roman"/>
              </w:rPr>
            </w:pPr>
          </w:p>
        </w:tc>
        <w:tc>
          <w:tcPr>
            <w:tcW w:w="2552" w:type="dxa"/>
            <w:vAlign w:val="center"/>
          </w:tcPr>
          <w:p w14:paraId="0E31E55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 veya Sürekli</w:t>
            </w:r>
          </w:p>
        </w:tc>
        <w:tc>
          <w:tcPr>
            <w:tcW w:w="2434" w:type="dxa"/>
            <w:vAlign w:val="center"/>
          </w:tcPr>
          <w:p w14:paraId="2B38172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kireç fırını</w:t>
            </w:r>
          </w:p>
        </w:tc>
        <w:tc>
          <w:tcPr>
            <w:tcW w:w="1813" w:type="dxa"/>
            <w:vAlign w:val="center"/>
          </w:tcPr>
          <w:p w14:paraId="21DCA66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24</w:t>
            </w:r>
          </w:p>
          <w:p w14:paraId="28E9A87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26</w:t>
            </w:r>
          </w:p>
        </w:tc>
      </w:tr>
      <w:tr w:rsidR="00C07865" w:rsidRPr="003526A3" w14:paraId="76F467D0" w14:textId="77777777" w:rsidTr="000D79D6">
        <w:trPr>
          <w:jc w:val="center"/>
        </w:trPr>
        <w:tc>
          <w:tcPr>
            <w:tcW w:w="421" w:type="dxa"/>
            <w:vMerge/>
            <w:vAlign w:val="center"/>
          </w:tcPr>
          <w:p w14:paraId="5F35270D" w14:textId="77777777" w:rsidR="00C07865" w:rsidRPr="003526A3" w:rsidRDefault="00C07865" w:rsidP="000D79D6">
            <w:pPr>
              <w:jc w:val="center"/>
              <w:rPr>
                <w:rFonts w:ascii="Times New Roman" w:hAnsi="Times New Roman" w:cs="Times New Roman"/>
              </w:rPr>
            </w:pPr>
          </w:p>
        </w:tc>
        <w:tc>
          <w:tcPr>
            <w:tcW w:w="1842" w:type="dxa"/>
            <w:vMerge/>
            <w:vAlign w:val="center"/>
          </w:tcPr>
          <w:p w14:paraId="1528032E" w14:textId="77777777" w:rsidR="00C07865" w:rsidRPr="003526A3" w:rsidRDefault="00C07865" w:rsidP="000D79D6">
            <w:pPr>
              <w:jc w:val="both"/>
              <w:rPr>
                <w:rFonts w:ascii="Times New Roman" w:hAnsi="Times New Roman" w:cs="Times New Roman"/>
              </w:rPr>
            </w:pPr>
          </w:p>
        </w:tc>
        <w:tc>
          <w:tcPr>
            <w:tcW w:w="2552" w:type="dxa"/>
            <w:vAlign w:val="center"/>
          </w:tcPr>
          <w:p w14:paraId="3B0EACF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 veya Sürekli</w:t>
            </w:r>
          </w:p>
        </w:tc>
        <w:tc>
          <w:tcPr>
            <w:tcW w:w="2434" w:type="dxa"/>
            <w:vAlign w:val="center"/>
          </w:tcPr>
          <w:p w14:paraId="3D0D59F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özel TRS brülörü</w:t>
            </w:r>
          </w:p>
        </w:tc>
        <w:tc>
          <w:tcPr>
            <w:tcW w:w="1813" w:type="dxa"/>
            <w:vAlign w:val="center"/>
          </w:tcPr>
          <w:p w14:paraId="444220D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28</w:t>
            </w:r>
          </w:p>
          <w:p w14:paraId="37F2C17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MET29</w:t>
            </w:r>
          </w:p>
        </w:tc>
      </w:tr>
      <w:tr w:rsidR="00C07865" w:rsidRPr="003526A3" w14:paraId="4210ADC5" w14:textId="77777777" w:rsidTr="000D79D6">
        <w:trPr>
          <w:jc w:val="center"/>
        </w:trPr>
        <w:tc>
          <w:tcPr>
            <w:tcW w:w="421" w:type="dxa"/>
            <w:vMerge w:val="restart"/>
            <w:vAlign w:val="center"/>
          </w:tcPr>
          <w:p w14:paraId="193F8D4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1842" w:type="dxa"/>
            <w:vMerge w:val="restart"/>
            <w:vAlign w:val="center"/>
          </w:tcPr>
          <w:p w14:paraId="361A9F4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Toz</w:t>
            </w:r>
          </w:p>
        </w:tc>
        <w:tc>
          <w:tcPr>
            <w:tcW w:w="2552" w:type="dxa"/>
            <w:vAlign w:val="center"/>
          </w:tcPr>
          <w:p w14:paraId="365E18A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 veya Sürekli</w:t>
            </w:r>
          </w:p>
        </w:tc>
        <w:tc>
          <w:tcPr>
            <w:tcW w:w="2434" w:type="dxa"/>
            <w:vAlign w:val="center"/>
          </w:tcPr>
          <w:p w14:paraId="52E483A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geri kazanım kazanı (kraft) ve kireç fırını</w:t>
            </w:r>
          </w:p>
        </w:tc>
        <w:tc>
          <w:tcPr>
            <w:tcW w:w="1813" w:type="dxa"/>
            <w:vAlign w:val="center"/>
          </w:tcPr>
          <w:p w14:paraId="239C68D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23</w:t>
            </w:r>
          </w:p>
          <w:p w14:paraId="426F475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27</w:t>
            </w:r>
          </w:p>
        </w:tc>
      </w:tr>
      <w:tr w:rsidR="00C07865" w:rsidRPr="003526A3" w14:paraId="52AFEFFD" w14:textId="77777777" w:rsidTr="000D79D6">
        <w:trPr>
          <w:jc w:val="center"/>
        </w:trPr>
        <w:tc>
          <w:tcPr>
            <w:tcW w:w="421" w:type="dxa"/>
            <w:vMerge/>
            <w:vAlign w:val="center"/>
          </w:tcPr>
          <w:p w14:paraId="14E73E41" w14:textId="77777777" w:rsidR="00C07865" w:rsidRPr="003526A3" w:rsidRDefault="00C07865" w:rsidP="000D79D6">
            <w:pPr>
              <w:jc w:val="center"/>
              <w:rPr>
                <w:rFonts w:ascii="Times New Roman" w:hAnsi="Times New Roman" w:cs="Times New Roman"/>
              </w:rPr>
            </w:pPr>
          </w:p>
        </w:tc>
        <w:tc>
          <w:tcPr>
            <w:tcW w:w="1842" w:type="dxa"/>
            <w:vMerge/>
            <w:vAlign w:val="center"/>
          </w:tcPr>
          <w:p w14:paraId="064BF55F" w14:textId="77777777" w:rsidR="00C07865" w:rsidRPr="003526A3" w:rsidRDefault="00C07865" w:rsidP="000D79D6">
            <w:pPr>
              <w:jc w:val="both"/>
              <w:rPr>
                <w:rFonts w:ascii="Times New Roman" w:hAnsi="Times New Roman" w:cs="Times New Roman"/>
              </w:rPr>
            </w:pPr>
          </w:p>
        </w:tc>
        <w:tc>
          <w:tcPr>
            <w:tcW w:w="2552" w:type="dxa"/>
            <w:vAlign w:val="center"/>
          </w:tcPr>
          <w:p w14:paraId="2B10E20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w:t>
            </w:r>
          </w:p>
        </w:tc>
        <w:tc>
          <w:tcPr>
            <w:tcW w:w="2434" w:type="dxa"/>
            <w:vAlign w:val="center"/>
          </w:tcPr>
          <w:p w14:paraId="41BB057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geri kazanım kazanı (sülfit)</w:t>
            </w:r>
          </w:p>
        </w:tc>
        <w:tc>
          <w:tcPr>
            <w:tcW w:w="1813" w:type="dxa"/>
            <w:vAlign w:val="center"/>
          </w:tcPr>
          <w:p w14:paraId="3ECCD26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37</w:t>
            </w:r>
          </w:p>
        </w:tc>
      </w:tr>
      <w:tr w:rsidR="00C07865" w:rsidRPr="003526A3" w14:paraId="2E617935" w14:textId="77777777" w:rsidTr="000D79D6">
        <w:trPr>
          <w:jc w:val="center"/>
        </w:trPr>
        <w:tc>
          <w:tcPr>
            <w:tcW w:w="421" w:type="dxa"/>
            <w:vMerge w:val="restart"/>
            <w:vAlign w:val="center"/>
          </w:tcPr>
          <w:p w14:paraId="4296967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1842" w:type="dxa"/>
            <w:vMerge w:val="restart"/>
            <w:vAlign w:val="center"/>
          </w:tcPr>
          <w:p w14:paraId="261695F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TRS (H</w:t>
            </w:r>
            <w:r w:rsidRPr="003526A3">
              <w:rPr>
                <w:rFonts w:ascii="Times New Roman" w:hAnsi="Times New Roman" w:cs="Times New Roman"/>
                <w:vertAlign w:val="subscript"/>
              </w:rPr>
              <w:t>2</w:t>
            </w:r>
            <w:r w:rsidRPr="003526A3">
              <w:rPr>
                <w:rFonts w:ascii="Times New Roman" w:hAnsi="Times New Roman" w:cs="Times New Roman"/>
              </w:rPr>
              <w:t>S içerir)</w:t>
            </w:r>
          </w:p>
        </w:tc>
        <w:tc>
          <w:tcPr>
            <w:tcW w:w="2552" w:type="dxa"/>
            <w:vAlign w:val="center"/>
          </w:tcPr>
          <w:p w14:paraId="4B83021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Sürekli</w:t>
            </w:r>
          </w:p>
        </w:tc>
        <w:tc>
          <w:tcPr>
            <w:tcW w:w="2434" w:type="dxa"/>
            <w:vAlign w:val="center"/>
          </w:tcPr>
          <w:p w14:paraId="7BF2EC8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geri kazanım kazanı</w:t>
            </w:r>
          </w:p>
        </w:tc>
        <w:tc>
          <w:tcPr>
            <w:tcW w:w="1813" w:type="dxa"/>
            <w:vAlign w:val="center"/>
          </w:tcPr>
          <w:p w14:paraId="316943F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21</w:t>
            </w:r>
          </w:p>
        </w:tc>
      </w:tr>
      <w:tr w:rsidR="00C07865" w:rsidRPr="003526A3" w14:paraId="071C45B5" w14:textId="77777777" w:rsidTr="000D79D6">
        <w:trPr>
          <w:jc w:val="center"/>
        </w:trPr>
        <w:tc>
          <w:tcPr>
            <w:tcW w:w="421" w:type="dxa"/>
            <w:vMerge/>
            <w:vAlign w:val="center"/>
          </w:tcPr>
          <w:p w14:paraId="6C73A03F" w14:textId="77777777" w:rsidR="00C07865" w:rsidRPr="003526A3" w:rsidRDefault="00C07865" w:rsidP="000D79D6">
            <w:pPr>
              <w:jc w:val="center"/>
              <w:rPr>
                <w:rFonts w:ascii="Times New Roman" w:hAnsi="Times New Roman" w:cs="Times New Roman"/>
              </w:rPr>
            </w:pPr>
          </w:p>
        </w:tc>
        <w:tc>
          <w:tcPr>
            <w:tcW w:w="1842" w:type="dxa"/>
            <w:vMerge/>
            <w:vAlign w:val="center"/>
          </w:tcPr>
          <w:p w14:paraId="2AD7815B" w14:textId="77777777" w:rsidR="00C07865" w:rsidRPr="003526A3" w:rsidRDefault="00C07865" w:rsidP="000D79D6">
            <w:pPr>
              <w:jc w:val="both"/>
              <w:rPr>
                <w:rFonts w:ascii="Times New Roman" w:hAnsi="Times New Roman" w:cs="Times New Roman"/>
              </w:rPr>
            </w:pPr>
          </w:p>
        </w:tc>
        <w:tc>
          <w:tcPr>
            <w:tcW w:w="2552" w:type="dxa"/>
            <w:vAlign w:val="center"/>
          </w:tcPr>
          <w:p w14:paraId="288A4C4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 veya Sürekli</w:t>
            </w:r>
          </w:p>
        </w:tc>
        <w:tc>
          <w:tcPr>
            <w:tcW w:w="2434" w:type="dxa"/>
            <w:vAlign w:val="center"/>
          </w:tcPr>
          <w:p w14:paraId="5C9C75C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kireç fırını ve özel TRS brülörü</w:t>
            </w:r>
          </w:p>
        </w:tc>
        <w:tc>
          <w:tcPr>
            <w:tcW w:w="1813" w:type="dxa"/>
            <w:vAlign w:val="center"/>
          </w:tcPr>
          <w:p w14:paraId="795EA85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24</w:t>
            </w:r>
          </w:p>
          <w:p w14:paraId="3F6DA83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25</w:t>
            </w:r>
          </w:p>
          <w:p w14:paraId="6CDA207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28</w:t>
            </w:r>
          </w:p>
        </w:tc>
      </w:tr>
      <w:tr w:rsidR="00C07865" w:rsidRPr="003526A3" w14:paraId="662B48CD" w14:textId="77777777" w:rsidTr="000D79D6">
        <w:trPr>
          <w:jc w:val="center"/>
        </w:trPr>
        <w:tc>
          <w:tcPr>
            <w:tcW w:w="421" w:type="dxa"/>
            <w:vMerge/>
            <w:vAlign w:val="center"/>
          </w:tcPr>
          <w:p w14:paraId="62AAE786" w14:textId="77777777" w:rsidR="00C07865" w:rsidRPr="003526A3" w:rsidRDefault="00C07865" w:rsidP="000D79D6">
            <w:pPr>
              <w:jc w:val="center"/>
              <w:rPr>
                <w:rFonts w:ascii="Times New Roman" w:hAnsi="Times New Roman" w:cs="Times New Roman"/>
              </w:rPr>
            </w:pPr>
          </w:p>
        </w:tc>
        <w:tc>
          <w:tcPr>
            <w:tcW w:w="1842" w:type="dxa"/>
            <w:vMerge/>
            <w:vAlign w:val="center"/>
          </w:tcPr>
          <w:p w14:paraId="5180F76A" w14:textId="77777777" w:rsidR="00C07865" w:rsidRPr="003526A3" w:rsidRDefault="00C07865" w:rsidP="000D79D6">
            <w:pPr>
              <w:jc w:val="both"/>
              <w:rPr>
                <w:rFonts w:ascii="Times New Roman" w:hAnsi="Times New Roman" w:cs="Times New Roman"/>
              </w:rPr>
            </w:pPr>
          </w:p>
        </w:tc>
        <w:tc>
          <w:tcPr>
            <w:tcW w:w="2552" w:type="dxa"/>
            <w:vAlign w:val="center"/>
          </w:tcPr>
          <w:p w14:paraId="5BA0816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w:t>
            </w:r>
          </w:p>
        </w:tc>
        <w:tc>
          <w:tcPr>
            <w:tcW w:w="2434" w:type="dxa"/>
            <w:vAlign w:val="center"/>
          </w:tcPr>
          <w:p w14:paraId="379091A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farklı kaynaklardan yayılı emisyonlar (örn. lif hattı, tanklar, yonga kutuları vb.) ve kalıntı zayıf gazlar</w:t>
            </w:r>
          </w:p>
        </w:tc>
        <w:tc>
          <w:tcPr>
            <w:tcW w:w="1813" w:type="dxa"/>
            <w:vAlign w:val="center"/>
          </w:tcPr>
          <w:p w14:paraId="4031641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11</w:t>
            </w:r>
          </w:p>
          <w:p w14:paraId="41DA138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20</w:t>
            </w:r>
          </w:p>
        </w:tc>
      </w:tr>
      <w:tr w:rsidR="00C07865" w:rsidRPr="003526A3" w14:paraId="4376502A" w14:textId="77777777" w:rsidTr="000D79D6">
        <w:trPr>
          <w:jc w:val="center"/>
        </w:trPr>
        <w:tc>
          <w:tcPr>
            <w:tcW w:w="421" w:type="dxa"/>
            <w:vAlign w:val="center"/>
          </w:tcPr>
          <w:p w14:paraId="2594D3D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1842" w:type="dxa"/>
            <w:vAlign w:val="center"/>
          </w:tcPr>
          <w:p w14:paraId="599094A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NH</w:t>
            </w:r>
            <w:r w:rsidRPr="003526A3">
              <w:rPr>
                <w:rFonts w:ascii="Times New Roman" w:hAnsi="Times New Roman" w:cs="Times New Roman"/>
                <w:vertAlign w:val="subscript"/>
              </w:rPr>
              <w:t>3</w:t>
            </w:r>
            <w:r w:rsidRPr="003526A3">
              <w:rPr>
                <w:rFonts w:ascii="Times New Roman" w:hAnsi="Times New Roman" w:cs="Times New Roman"/>
              </w:rPr>
              <w:t xml:space="preserve"> </w:t>
            </w:r>
          </w:p>
        </w:tc>
        <w:tc>
          <w:tcPr>
            <w:tcW w:w="2552" w:type="dxa"/>
            <w:vAlign w:val="center"/>
          </w:tcPr>
          <w:p w14:paraId="1AA2F26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Periyodik</w:t>
            </w:r>
          </w:p>
        </w:tc>
        <w:tc>
          <w:tcPr>
            <w:tcW w:w="2434" w:type="dxa"/>
            <w:vAlign w:val="center"/>
          </w:tcPr>
          <w:p w14:paraId="783A344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SNCR ile donatılmış geri kazanım kazanı</w:t>
            </w:r>
          </w:p>
        </w:tc>
        <w:tc>
          <w:tcPr>
            <w:tcW w:w="1813" w:type="dxa"/>
            <w:vAlign w:val="center"/>
          </w:tcPr>
          <w:p w14:paraId="6BF57AD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36</w:t>
            </w:r>
          </w:p>
        </w:tc>
      </w:tr>
    </w:tbl>
    <w:p w14:paraId="2CEE2ECE" w14:textId="77777777" w:rsidR="00C07865" w:rsidRPr="009C6CAC" w:rsidRDefault="00C07865" w:rsidP="00C07865">
      <w:pPr>
        <w:spacing w:after="120" w:line="276" w:lineRule="auto"/>
        <w:jc w:val="both"/>
        <w:rPr>
          <w:rFonts w:ascii="Times New Roman" w:hAnsi="Times New Roman" w:cs="Times New Roman"/>
          <w:sz w:val="24"/>
          <w:szCs w:val="24"/>
        </w:rPr>
      </w:pPr>
    </w:p>
    <w:p w14:paraId="48865C9E"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10:</w:t>
      </w:r>
      <w:r w:rsidRPr="009C6CAC">
        <w:rPr>
          <w:rFonts w:ascii="Times New Roman" w:hAnsi="Times New Roman" w:cs="Times New Roman"/>
          <w:sz w:val="24"/>
          <w:szCs w:val="24"/>
        </w:rPr>
        <w:t xml:space="preserve"> Suya emisyonlara yönelik izleme, aşağıdaki tabloda belirtilen sıklıklarla ve TS EN standartlarına göre yapılır. Herhangi bir TS EN standardı mevcut değilse, eş değer bilimsel nitelikte veri elde edilmesini sağlayan ISO, ulusal veya uluslararası standartlar kullanılır.</w:t>
      </w:r>
    </w:p>
    <w:tbl>
      <w:tblPr>
        <w:tblStyle w:val="TabloKlavuzu"/>
        <w:tblW w:w="0" w:type="auto"/>
        <w:jc w:val="center"/>
        <w:tblLook w:val="04A0" w:firstRow="1" w:lastRow="0" w:firstColumn="1" w:lastColumn="0" w:noHBand="0" w:noVBand="1"/>
      </w:tblPr>
      <w:tblGrid>
        <w:gridCol w:w="421"/>
        <w:gridCol w:w="3827"/>
        <w:gridCol w:w="2977"/>
        <w:gridCol w:w="1837"/>
      </w:tblGrid>
      <w:tr w:rsidR="00C07865" w:rsidRPr="003526A3" w14:paraId="39687AB7" w14:textId="77777777" w:rsidTr="000D79D6">
        <w:trPr>
          <w:tblHeader/>
          <w:jc w:val="center"/>
        </w:trPr>
        <w:tc>
          <w:tcPr>
            <w:tcW w:w="421" w:type="dxa"/>
            <w:vAlign w:val="center"/>
          </w:tcPr>
          <w:p w14:paraId="659BF3AF" w14:textId="77777777" w:rsidR="00C07865" w:rsidRPr="003526A3" w:rsidRDefault="00C07865" w:rsidP="000D79D6">
            <w:pPr>
              <w:jc w:val="center"/>
              <w:rPr>
                <w:rFonts w:ascii="Times New Roman" w:hAnsi="Times New Roman" w:cs="Times New Roman"/>
                <w:b/>
                <w:bCs/>
              </w:rPr>
            </w:pPr>
          </w:p>
        </w:tc>
        <w:tc>
          <w:tcPr>
            <w:tcW w:w="3827" w:type="dxa"/>
            <w:vAlign w:val="center"/>
          </w:tcPr>
          <w:p w14:paraId="2AE07C0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2977" w:type="dxa"/>
            <w:vAlign w:val="center"/>
          </w:tcPr>
          <w:p w14:paraId="01040C1E"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İzleme Sıklığı</w:t>
            </w:r>
          </w:p>
        </w:tc>
        <w:tc>
          <w:tcPr>
            <w:tcW w:w="1837" w:type="dxa"/>
            <w:vAlign w:val="center"/>
          </w:tcPr>
          <w:p w14:paraId="1351850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İzleme ile İlişkili MET</w:t>
            </w:r>
          </w:p>
        </w:tc>
      </w:tr>
      <w:tr w:rsidR="00C07865" w:rsidRPr="003526A3" w14:paraId="67CB1E75" w14:textId="77777777" w:rsidTr="000D79D6">
        <w:trPr>
          <w:jc w:val="center"/>
        </w:trPr>
        <w:tc>
          <w:tcPr>
            <w:tcW w:w="421" w:type="dxa"/>
            <w:vAlign w:val="center"/>
          </w:tcPr>
          <w:p w14:paraId="78388D6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3827" w:type="dxa"/>
            <w:vAlign w:val="center"/>
          </w:tcPr>
          <w:p w14:paraId="2C96163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 veya Toplam Organik Karbon (</w:t>
            </w:r>
            <w:r w:rsidR="009D570E" w:rsidRPr="003526A3">
              <w:rPr>
                <w:rFonts w:ascii="Times New Roman" w:hAnsi="Times New Roman" w:cs="Times New Roman"/>
              </w:rPr>
              <w:t>TOK</w:t>
            </w:r>
            <w:r w:rsidRPr="003526A3">
              <w:rPr>
                <w:rFonts w:ascii="Times New Roman" w:hAnsi="Times New Roman" w:cs="Times New Roman"/>
              </w:rPr>
              <w:t>) (</w:t>
            </w:r>
            <w:r w:rsidRPr="003526A3">
              <w:rPr>
                <w:rFonts w:ascii="Times New Roman" w:hAnsi="Times New Roman" w:cs="Times New Roman"/>
                <w:vertAlign w:val="superscript"/>
              </w:rPr>
              <w:t>1</w:t>
            </w:r>
            <w:r w:rsidRPr="003526A3">
              <w:rPr>
                <w:rFonts w:ascii="Times New Roman" w:hAnsi="Times New Roman" w:cs="Times New Roman"/>
              </w:rPr>
              <w:t>)</w:t>
            </w:r>
          </w:p>
        </w:tc>
        <w:tc>
          <w:tcPr>
            <w:tcW w:w="2977" w:type="dxa"/>
            <w:vAlign w:val="center"/>
          </w:tcPr>
          <w:p w14:paraId="14E0106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Günlük (</w:t>
            </w:r>
            <w:r w:rsidRPr="003526A3">
              <w:rPr>
                <w:rFonts w:ascii="Times New Roman" w:hAnsi="Times New Roman" w:cs="Times New Roman"/>
                <w:vertAlign w:val="superscript"/>
              </w:rPr>
              <w:t>2</w:t>
            </w:r>
            <w:r w:rsidRPr="003526A3">
              <w:rPr>
                <w:rFonts w:ascii="Times New Roman" w:hAnsi="Times New Roman" w:cs="Times New Roman"/>
              </w:rPr>
              <w:t>)(</w:t>
            </w:r>
            <w:r w:rsidRPr="003526A3">
              <w:rPr>
                <w:rFonts w:ascii="Times New Roman" w:hAnsi="Times New Roman" w:cs="Times New Roman"/>
                <w:vertAlign w:val="superscript"/>
              </w:rPr>
              <w:t>3</w:t>
            </w:r>
            <w:r w:rsidRPr="003526A3">
              <w:rPr>
                <w:rFonts w:ascii="Times New Roman" w:hAnsi="Times New Roman" w:cs="Times New Roman"/>
              </w:rPr>
              <w:t>)</w:t>
            </w:r>
          </w:p>
        </w:tc>
        <w:tc>
          <w:tcPr>
            <w:tcW w:w="1837" w:type="dxa"/>
            <w:vMerge w:val="restart"/>
            <w:vAlign w:val="center"/>
          </w:tcPr>
          <w:p w14:paraId="72E13A7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19</w:t>
            </w:r>
          </w:p>
          <w:p w14:paraId="458DEB2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33</w:t>
            </w:r>
          </w:p>
          <w:p w14:paraId="70825ED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40</w:t>
            </w:r>
          </w:p>
          <w:p w14:paraId="547CBEE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45</w:t>
            </w:r>
          </w:p>
          <w:p w14:paraId="50B5C17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50</w:t>
            </w:r>
          </w:p>
        </w:tc>
      </w:tr>
      <w:tr w:rsidR="00C07865" w:rsidRPr="003526A3" w14:paraId="1F958B73" w14:textId="77777777" w:rsidTr="000D79D6">
        <w:trPr>
          <w:jc w:val="center"/>
        </w:trPr>
        <w:tc>
          <w:tcPr>
            <w:tcW w:w="421" w:type="dxa"/>
            <w:vAlign w:val="center"/>
          </w:tcPr>
          <w:p w14:paraId="765C6BD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3827" w:type="dxa"/>
            <w:vAlign w:val="center"/>
          </w:tcPr>
          <w:p w14:paraId="52A2AC57" w14:textId="77777777" w:rsidR="00C07865" w:rsidRPr="003526A3" w:rsidRDefault="00C07865" w:rsidP="00C91F89">
            <w:pPr>
              <w:jc w:val="both"/>
              <w:rPr>
                <w:rFonts w:ascii="Times New Roman" w:hAnsi="Times New Roman" w:cs="Times New Roman"/>
              </w:rPr>
            </w:pPr>
            <w:r w:rsidRPr="003526A3">
              <w:rPr>
                <w:rFonts w:ascii="Times New Roman" w:hAnsi="Times New Roman" w:cs="Times New Roman"/>
              </w:rPr>
              <w:t>BO</w:t>
            </w:r>
            <w:r w:rsidR="00C91F89" w:rsidRPr="003526A3">
              <w:rPr>
                <w:rFonts w:ascii="Times New Roman" w:hAnsi="Times New Roman" w:cs="Times New Roman"/>
              </w:rPr>
              <w:t>İ</w:t>
            </w:r>
            <w:r w:rsidRPr="003526A3">
              <w:rPr>
                <w:rFonts w:ascii="Times New Roman" w:hAnsi="Times New Roman" w:cs="Times New Roman"/>
                <w:vertAlign w:val="subscript"/>
              </w:rPr>
              <w:t>5</w:t>
            </w:r>
            <w:r w:rsidRPr="003526A3">
              <w:rPr>
                <w:rFonts w:ascii="Times New Roman" w:hAnsi="Times New Roman" w:cs="Times New Roman"/>
              </w:rPr>
              <w:t xml:space="preserve"> veya BO</w:t>
            </w:r>
            <w:r w:rsidR="00C91F89" w:rsidRPr="003526A3">
              <w:rPr>
                <w:rFonts w:ascii="Times New Roman" w:hAnsi="Times New Roman" w:cs="Times New Roman"/>
              </w:rPr>
              <w:t>İ</w:t>
            </w:r>
            <w:r w:rsidRPr="003526A3">
              <w:rPr>
                <w:rFonts w:ascii="Times New Roman" w:hAnsi="Times New Roman" w:cs="Times New Roman"/>
                <w:vertAlign w:val="subscript"/>
              </w:rPr>
              <w:t>7</w:t>
            </w:r>
            <w:r w:rsidRPr="003526A3">
              <w:rPr>
                <w:rFonts w:ascii="Times New Roman" w:hAnsi="Times New Roman" w:cs="Times New Roman"/>
              </w:rPr>
              <w:t xml:space="preserve"> </w:t>
            </w:r>
          </w:p>
        </w:tc>
        <w:tc>
          <w:tcPr>
            <w:tcW w:w="2977" w:type="dxa"/>
            <w:vAlign w:val="center"/>
          </w:tcPr>
          <w:p w14:paraId="45BA622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Haftalık (haftada bir kez)</w:t>
            </w:r>
          </w:p>
        </w:tc>
        <w:tc>
          <w:tcPr>
            <w:tcW w:w="1837" w:type="dxa"/>
            <w:vMerge/>
            <w:vAlign w:val="center"/>
          </w:tcPr>
          <w:p w14:paraId="1A53E56F" w14:textId="77777777" w:rsidR="00C07865" w:rsidRPr="003526A3" w:rsidRDefault="00C07865" w:rsidP="000D79D6">
            <w:pPr>
              <w:jc w:val="center"/>
              <w:rPr>
                <w:rFonts w:ascii="Times New Roman" w:hAnsi="Times New Roman" w:cs="Times New Roman"/>
              </w:rPr>
            </w:pPr>
          </w:p>
        </w:tc>
      </w:tr>
      <w:tr w:rsidR="00C07865" w:rsidRPr="003526A3" w14:paraId="1EE280FE" w14:textId="77777777" w:rsidTr="000D79D6">
        <w:trPr>
          <w:jc w:val="center"/>
        </w:trPr>
        <w:tc>
          <w:tcPr>
            <w:tcW w:w="421" w:type="dxa"/>
            <w:vAlign w:val="center"/>
          </w:tcPr>
          <w:p w14:paraId="4713702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3827" w:type="dxa"/>
            <w:vAlign w:val="center"/>
          </w:tcPr>
          <w:p w14:paraId="4FC1620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 (TSS)</w:t>
            </w:r>
          </w:p>
        </w:tc>
        <w:tc>
          <w:tcPr>
            <w:tcW w:w="2977" w:type="dxa"/>
            <w:vAlign w:val="center"/>
          </w:tcPr>
          <w:p w14:paraId="48DB722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Günlük (</w:t>
            </w:r>
            <w:r w:rsidRPr="003526A3">
              <w:rPr>
                <w:rFonts w:ascii="Times New Roman" w:hAnsi="Times New Roman" w:cs="Times New Roman"/>
                <w:vertAlign w:val="superscript"/>
              </w:rPr>
              <w:t>2</w:t>
            </w:r>
            <w:r w:rsidRPr="003526A3">
              <w:rPr>
                <w:rFonts w:ascii="Times New Roman" w:hAnsi="Times New Roman" w:cs="Times New Roman"/>
              </w:rPr>
              <w:t>)(</w:t>
            </w:r>
            <w:r w:rsidRPr="003526A3">
              <w:rPr>
                <w:rFonts w:ascii="Times New Roman" w:hAnsi="Times New Roman" w:cs="Times New Roman"/>
                <w:vertAlign w:val="superscript"/>
              </w:rPr>
              <w:t>3</w:t>
            </w:r>
            <w:r w:rsidRPr="003526A3">
              <w:rPr>
                <w:rFonts w:ascii="Times New Roman" w:hAnsi="Times New Roman" w:cs="Times New Roman"/>
              </w:rPr>
              <w:t>)</w:t>
            </w:r>
          </w:p>
        </w:tc>
        <w:tc>
          <w:tcPr>
            <w:tcW w:w="1837" w:type="dxa"/>
            <w:vMerge/>
            <w:vAlign w:val="center"/>
          </w:tcPr>
          <w:p w14:paraId="25B7FFF1" w14:textId="77777777" w:rsidR="00C07865" w:rsidRPr="003526A3" w:rsidRDefault="00C07865" w:rsidP="000D79D6">
            <w:pPr>
              <w:jc w:val="center"/>
              <w:rPr>
                <w:rFonts w:ascii="Times New Roman" w:hAnsi="Times New Roman" w:cs="Times New Roman"/>
              </w:rPr>
            </w:pPr>
          </w:p>
        </w:tc>
      </w:tr>
      <w:tr w:rsidR="00C07865" w:rsidRPr="003526A3" w14:paraId="2FA36DF4" w14:textId="77777777" w:rsidTr="000D79D6">
        <w:trPr>
          <w:jc w:val="center"/>
        </w:trPr>
        <w:tc>
          <w:tcPr>
            <w:tcW w:w="421" w:type="dxa"/>
            <w:vAlign w:val="center"/>
          </w:tcPr>
          <w:p w14:paraId="727B4BD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3827" w:type="dxa"/>
            <w:vAlign w:val="center"/>
          </w:tcPr>
          <w:p w14:paraId="7F19607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2977" w:type="dxa"/>
            <w:vAlign w:val="center"/>
          </w:tcPr>
          <w:p w14:paraId="0B962AF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Haftalık (haftada iki kez) (</w:t>
            </w:r>
            <w:r w:rsidRPr="003526A3">
              <w:rPr>
                <w:rFonts w:ascii="Times New Roman" w:hAnsi="Times New Roman" w:cs="Times New Roman"/>
                <w:vertAlign w:val="superscript"/>
              </w:rPr>
              <w:t>2</w:t>
            </w:r>
            <w:r w:rsidRPr="003526A3">
              <w:rPr>
                <w:rFonts w:ascii="Times New Roman" w:hAnsi="Times New Roman" w:cs="Times New Roman"/>
              </w:rPr>
              <w:t>)</w:t>
            </w:r>
          </w:p>
        </w:tc>
        <w:tc>
          <w:tcPr>
            <w:tcW w:w="1837" w:type="dxa"/>
            <w:vMerge/>
            <w:vAlign w:val="center"/>
          </w:tcPr>
          <w:p w14:paraId="1AFB2411" w14:textId="77777777" w:rsidR="00C07865" w:rsidRPr="003526A3" w:rsidRDefault="00C07865" w:rsidP="000D79D6">
            <w:pPr>
              <w:jc w:val="center"/>
              <w:rPr>
                <w:rFonts w:ascii="Times New Roman" w:hAnsi="Times New Roman" w:cs="Times New Roman"/>
              </w:rPr>
            </w:pPr>
          </w:p>
        </w:tc>
      </w:tr>
      <w:tr w:rsidR="00C07865" w:rsidRPr="003526A3" w14:paraId="6FB6C6C5" w14:textId="77777777" w:rsidTr="000D79D6">
        <w:trPr>
          <w:jc w:val="center"/>
        </w:trPr>
        <w:tc>
          <w:tcPr>
            <w:tcW w:w="421" w:type="dxa"/>
            <w:vAlign w:val="center"/>
          </w:tcPr>
          <w:p w14:paraId="2BBDF1F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3827" w:type="dxa"/>
            <w:vAlign w:val="center"/>
          </w:tcPr>
          <w:p w14:paraId="30F7B59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2977" w:type="dxa"/>
            <w:vAlign w:val="center"/>
          </w:tcPr>
          <w:p w14:paraId="29FF4D0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Haftalık (haftada bir kez) (</w:t>
            </w:r>
            <w:r w:rsidRPr="003526A3">
              <w:rPr>
                <w:rFonts w:ascii="Times New Roman" w:hAnsi="Times New Roman" w:cs="Times New Roman"/>
                <w:vertAlign w:val="superscript"/>
              </w:rPr>
              <w:t>2</w:t>
            </w:r>
            <w:r w:rsidRPr="003526A3">
              <w:rPr>
                <w:rFonts w:ascii="Times New Roman" w:hAnsi="Times New Roman" w:cs="Times New Roman"/>
              </w:rPr>
              <w:t>)</w:t>
            </w:r>
          </w:p>
        </w:tc>
        <w:tc>
          <w:tcPr>
            <w:tcW w:w="1837" w:type="dxa"/>
            <w:vMerge/>
            <w:vAlign w:val="center"/>
          </w:tcPr>
          <w:p w14:paraId="423B158E" w14:textId="77777777" w:rsidR="00C07865" w:rsidRPr="003526A3" w:rsidRDefault="00C07865" w:rsidP="000D79D6">
            <w:pPr>
              <w:jc w:val="center"/>
              <w:rPr>
                <w:rFonts w:ascii="Times New Roman" w:hAnsi="Times New Roman" w:cs="Times New Roman"/>
              </w:rPr>
            </w:pPr>
          </w:p>
        </w:tc>
      </w:tr>
      <w:tr w:rsidR="00C07865" w:rsidRPr="003526A3" w14:paraId="3A97287D" w14:textId="77777777" w:rsidTr="000D79D6">
        <w:trPr>
          <w:jc w:val="center"/>
        </w:trPr>
        <w:tc>
          <w:tcPr>
            <w:tcW w:w="421" w:type="dxa"/>
            <w:vAlign w:val="center"/>
          </w:tcPr>
          <w:p w14:paraId="51F459C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3827" w:type="dxa"/>
            <w:vAlign w:val="center"/>
          </w:tcPr>
          <w:p w14:paraId="2624AB1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EDTA, DTPA (</w:t>
            </w:r>
            <w:r w:rsidRPr="003526A3">
              <w:rPr>
                <w:rFonts w:ascii="Times New Roman" w:hAnsi="Times New Roman" w:cs="Times New Roman"/>
                <w:vertAlign w:val="superscript"/>
              </w:rPr>
              <w:t>4</w:t>
            </w:r>
            <w:r w:rsidRPr="003526A3">
              <w:rPr>
                <w:rFonts w:ascii="Times New Roman" w:hAnsi="Times New Roman" w:cs="Times New Roman"/>
              </w:rPr>
              <w:t>)</w:t>
            </w:r>
          </w:p>
        </w:tc>
        <w:tc>
          <w:tcPr>
            <w:tcW w:w="2977" w:type="dxa"/>
            <w:vAlign w:val="center"/>
          </w:tcPr>
          <w:p w14:paraId="67C55B7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Aylık (ayda bir kez)</w:t>
            </w:r>
          </w:p>
        </w:tc>
        <w:tc>
          <w:tcPr>
            <w:tcW w:w="1837" w:type="dxa"/>
            <w:vMerge/>
            <w:vAlign w:val="center"/>
          </w:tcPr>
          <w:p w14:paraId="1953B017" w14:textId="77777777" w:rsidR="00C07865" w:rsidRPr="003526A3" w:rsidRDefault="00C07865" w:rsidP="000D79D6">
            <w:pPr>
              <w:jc w:val="center"/>
              <w:rPr>
                <w:rFonts w:ascii="Times New Roman" w:hAnsi="Times New Roman" w:cs="Times New Roman"/>
              </w:rPr>
            </w:pPr>
          </w:p>
        </w:tc>
      </w:tr>
      <w:tr w:rsidR="00C07865" w:rsidRPr="003526A3" w14:paraId="71292081" w14:textId="77777777" w:rsidTr="000D79D6">
        <w:trPr>
          <w:jc w:val="center"/>
        </w:trPr>
        <w:tc>
          <w:tcPr>
            <w:tcW w:w="421" w:type="dxa"/>
            <w:vAlign w:val="center"/>
          </w:tcPr>
          <w:p w14:paraId="53F91DD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w:t>
            </w:r>
          </w:p>
        </w:tc>
        <w:tc>
          <w:tcPr>
            <w:tcW w:w="3827" w:type="dxa"/>
            <w:vMerge w:val="restart"/>
            <w:vAlign w:val="center"/>
          </w:tcPr>
          <w:p w14:paraId="16FAF0E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AOX (TS EN ISO 9562 standardına göre) (</w:t>
            </w:r>
            <w:r w:rsidRPr="003526A3">
              <w:rPr>
                <w:rFonts w:ascii="Times New Roman" w:hAnsi="Times New Roman" w:cs="Times New Roman"/>
                <w:vertAlign w:val="superscript"/>
              </w:rPr>
              <w:t>5</w:t>
            </w:r>
            <w:r w:rsidRPr="003526A3">
              <w:rPr>
                <w:rFonts w:ascii="Times New Roman" w:hAnsi="Times New Roman" w:cs="Times New Roman"/>
              </w:rPr>
              <w:t>)</w:t>
            </w:r>
          </w:p>
        </w:tc>
        <w:tc>
          <w:tcPr>
            <w:tcW w:w="2977" w:type="dxa"/>
            <w:vAlign w:val="center"/>
          </w:tcPr>
          <w:p w14:paraId="33F8134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Aylık (ayda bir kez)</w:t>
            </w:r>
          </w:p>
        </w:tc>
        <w:tc>
          <w:tcPr>
            <w:tcW w:w="1837" w:type="dxa"/>
            <w:vAlign w:val="center"/>
          </w:tcPr>
          <w:p w14:paraId="4F074F7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19:</w:t>
            </w:r>
          </w:p>
          <w:p w14:paraId="6680AAE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ağartılmış kraft</w:t>
            </w:r>
          </w:p>
        </w:tc>
      </w:tr>
      <w:tr w:rsidR="00C07865" w:rsidRPr="003526A3" w14:paraId="5F53DC22" w14:textId="77777777" w:rsidTr="000D79D6">
        <w:trPr>
          <w:jc w:val="center"/>
        </w:trPr>
        <w:tc>
          <w:tcPr>
            <w:tcW w:w="421" w:type="dxa"/>
            <w:vAlign w:val="center"/>
          </w:tcPr>
          <w:p w14:paraId="51D0E4BB" w14:textId="77777777" w:rsidR="00C07865" w:rsidRPr="003526A3" w:rsidRDefault="00C07865" w:rsidP="000D79D6">
            <w:pPr>
              <w:jc w:val="center"/>
              <w:rPr>
                <w:rFonts w:ascii="Times New Roman" w:hAnsi="Times New Roman" w:cs="Times New Roman"/>
              </w:rPr>
            </w:pPr>
          </w:p>
        </w:tc>
        <w:tc>
          <w:tcPr>
            <w:tcW w:w="3827" w:type="dxa"/>
            <w:vMerge/>
            <w:vAlign w:val="center"/>
          </w:tcPr>
          <w:p w14:paraId="55E3BB1D" w14:textId="77777777" w:rsidR="00C07865" w:rsidRPr="003526A3" w:rsidRDefault="00C07865" w:rsidP="000D79D6">
            <w:pPr>
              <w:jc w:val="both"/>
              <w:rPr>
                <w:rFonts w:ascii="Times New Roman" w:hAnsi="Times New Roman" w:cs="Times New Roman"/>
              </w:rPr>
            </w:pPr>
          </w:p>
        </w:tc>
        <w:tc>
          <w:tcPr>
            <w:tcW w:w="2977" w:type="dxa"/>
            <w:vAlign w:val="center"/>
          </w:tcPr>
          <w:p w14:paraId="1C8E37E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İki ayda bir</w:t>
            </w:r>
          </w:p>
        </w:tc>
        <w:tc>
          <w:tcPr>
            <w:tcW w:w="1837" w:type="dxa"/>
            <w:vAlign w:val="center"/>
          </w:tcPr>
          <w:p w14:paraId="17046A9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33:</w:t>
            </w:r>
          </w:p>
          <w:p w14:paraId="1F7B225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TCF ve NSSC fabrikaları dışında</w:t>
            </w:r>
          </w:p>
          <w:p w14:paraId="51E12F8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40:</w:t>
            </w:r>
          </w:p>
          <w:p w14:paraId="46E8682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CTMP ve CMP fabrikaları dışında</w:t>
            </w:r>
          </w:p>
          <w:p w14:paraId="5CF005B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45</w:t>
            </w:r>
          </w:p>
          <w:p w14:paraId="7F18391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MET 50</w:t>
            </w:r>
          </w:p>
        </w:tc>
      </w:tr>
      <w:tr w:rsidR="00C07865" w:rsidRPr="003526A3" w14:paraId="79E94C6E" w14:textId="77777777" w:rsidTr="000D79D6">
        <w:trPr>
          <w:jc w:val="center"/>
        </w:trPr>
        <w:tc>
          <w:tcPr>
            <w:tcW w:w="421" w:type="dxa"/>
            <w:tcBorders>
              <w:bottom w:val="single" w:sz="4" w:space="0" w:color="auto"/>
            </w:tcBorders>
            <w:vAlign w:val="center"/>
          </w:tcPr>
          <w:p w14:paraId="2F30F30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h</w:t>
            </w:r>
          </w:p>
        </w:tc>
        <w:tc>
          <w:tcPr>
            <w:tcW w:w="3827" w:type="dxa"/>
            <w:tcBorders>
              <w:bottom w:val="single" w:sz="4" w:space="0" w:color="auto"/>
            </w:tcBorders>
            <w:vAlign w:val="center"/>
          </w:tcPr>
          <w:p w14:paraId="03E7EB8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İlişkili Metaller (örn. Zn, Cu, Cd, Pb, Ni)</w:t>
            </w:r>
          </w:p>
        </w:tc>
        <w:tc>
          <w:tcPr>
            <w:tcW w:w="2977" w:type="dxa"/>
            <w:tcBorders>
              <w:bottom w:val="single" w:sz="4" w:space="0" w:color="auto"/>
            </w:tcBorders>
            <w:vAlign w:val="center"/>
          </w:tcPr>
          <w:p w14:paraId="73432BF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Yılda bir kez</w:t>
            </w:r>
          </w:p>
        </w:tc>
        <w:tc>
          <w:tcPr>
            <w:tcW w:w="1837" w:type="dxa"/>
            <w:tcBorders>
              <w:bottom w:val="single" w:sz="4" w:space="0" w:color="auto"/>
            </w:tcBorders>
            <w:vAlign w:val="center"/>
          </w:tcPr>
          <w:p w14:paraId="72F9F2EC" w14:textId="77777777" w:rsidR="00C07865" w:rsidRPr="003526A3" w:rsidRDefault="00C07865" w:rsidP="000D79D6">
            <w:pPr>
              <w:jc w:val="center"/>
              <w:rPr>
                <w:rFonts w:ascii="Times New Roman" w:hAnsi="Times New Roman" w:cs="Times New Roman"/>
              </w:rPr>
            </w:pPr>
          </w:p>
        </w:tc>
      </w:tr>
      <w:tr w:rsidR="0010256D" w:rsidRPr="003526A3" w14:paraId="04765A71" w14:textId="77777777" w:rsidTr="008239BE">
        <w:trPr>
          <w:jc w:val="center"/>
        </w:trPr>
        <w:tc>
          <w:tcPr>
            <w:tcW w:w="421" w:type="dxa"/>
            <w:tcBorders>
              <w:bottom w:val="single" w:sz="4" w:space="0" w:color="auto"/>
            </w:tcBorders>
            <w:vAlign w:val="center"/>
          </w:tcPr>
          <w:p w14:paraId="02698E9D" w14:textId="77777777" w:rsidR="0010256D" w:rsidRPr="003526A3" w:rsidRDefault="0010256D" w:rsidP="000D79D6">
            <w:pPr>
              <w:jc w:val="center"/>
              <w:rPr>
                <w:rFonts w:ascii="Times New Roman" w:hAnsi="Times New Roman" w:cs="Times New Roman"/>
              </w:rPr>
            </w:pPr>
          </w:p>
        </w:tc>
        <w:tc>
          <w:tcPr>
            <w:tcW w:w="8641" w:type="dxa"/>
            <w:gridSpan w:val="3"/>
            <w:tcBorders>
              <w:bottom w:val="single" w:sz="4" w:space="0" w:color="auto"/>
            </w:tcBorders>
            <w:vAlign w:val="center"/>
          </w:tcPr>
          <w:p w14:paraId="470A403B"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Ekonomik ve çevresel sebeplerden dolayı, KOİ’nin TOK’si ile ikamesine yönelik bir eğilim vardır. Eğer, temel proses parametresi olarak TOK ölçüldüyse, KOİ’yi ölçmeye gerek yoktur; bununla birlikte, özel emisyon kaynağı ve atık su arıtma adımı için iki parametre arasında bir ilişkili kurulmalıdır.</w:t>
            </w:r>
          </w:p>
          <w:p w14:paraId="6F4F038D"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 Hızlı test yöntemleri de kullanılabilir. Hızlı testlerin sonuçları, TS EN standartlarına veya -eğer TS EN standartları mevcut değilse- eş değer bilimsel nitelikte veri elde edilmesini sağlayan ISO, ulusal veya diğer uluslararası standartlara göre düzenli olarak kontrol edilmelidir.</w:t>
            </w:r>
          </w:p>
          <w:p w14:paraId="45483C8C"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3</w:t>
            </w:r>
            <w:r w:rsidRPr="003526A3">
              <w:rPr>
                <w:rFonts w:ascii="Times New Roman" w:hAnsi="Times New Roman" w:cs="Times New Roman"/>
              </w:rPr>
              <w:t>) Haftada yedi günden daha az çalışan fabrikalar için, KOİ ve TSS için olan izleme sıklıkları, fabrikanın çalıştığı günleri kapsayacak veya örnekleme süresini 48 ya da 72 saate çıkaracak şekilde azaltılabilir.</w:t>
            </w:r>
          </w:p>
          <w:p w14:paraId="7F47984E"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4</w:t>
            </w:r>
            <w:r w:rsidRPr="003526A3">
              <w:rPr>
                <w:rFonts w:ascii="Times New Roman" w:hAnsi="Times New Roman" w:cs="Times New Roman"/>
              </w:rPr>
              <w:t>) EDTA veya DTPA’nın (şelatlaştırıcı maddeler) prosesler kullanıldığı durumlarda uygulanabilir.</w:t>
            </w:r>
          </w:p>
          <w:p w14:paraId="1A2B26A5" w14:textId="78AAD32E" w:rsidR="0010256D" w:rsidRPr="003526A3" w:rsidRDefault="0010256D" w:rsidP="0082590D">
            <w:pPr>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 AOX’in hiç üretilmediğini veya kimyasal katkı maddeleri ve hammaddeler aracılığıyla eklenmediğini kanıtlayan tesisler için uygulanabilir değildir.</w:t>
            </w:r>
          </w:p>
        </w:tc>
      </w:tr>
      <w:tr w:rsidR="00C07865" w:rsidRPr="003526A3" w14:paraId="422F0628" w14:textId="77777777" w:rsidTr="000D79D6">
        <w:trPr>
          <w:jc w:val="center"/>
        </w:trPr>
        <w:tc>
          <w:tcPr>
            <w:tcW w:w="9062" w:type="dxa"/>
            <w:gridSpan w:val="4"/>
            <w:tcBorders>
              <w:top w:val="single" w:sz="4" w:space="0" w:color="auto"/>
              <w:left w:val="nil"/>
              <w:bottom w:val="nil"/>
              <w:right w:val="nil"/>
            </w:tcBorders>
            <w:vAlign w:val="center"/>
          </w:tcPr>
          <w:p w14:paraId="623263E4" w14:textId="1BC82EB2" w:rsidR="00C07865" w:rsidRPr="003526A3" w:rsidRDefault="00C07865" w:rsidP="000D79D6">
            <w:pPr>
              <w:jc w:val="both"/>
              <w:rPr>
                <w:rFonts w:ascii="Times New Roman" w:hAnsi="Times New Roman" w:cs="Times New Roman"/>
                <w:i/>
                <w:iCs/>
              </w:rPr>
            </w:pPr>
          </w:p>
        </w:tc>
      </w:tr>
    </w:tbl>
    <w:p w14:paraId="210C0EB1" w14:textId="77777777" w:rsidR="00C07865" w:rsidRPr="009C6CAC" w:rsidRDefault="00C07865" w:rsidP="00C07865">
      <w:pPr>
        <w:spacing w:after="120" w:line="276" w:lineRule="auto"/>
        <w:jc w:val="both"/>
        <w:rPr>
          <w:rFonts w:ascii="Times New Roman" w:hAnsi="Times New Roman" w:cs="Times New Roman"/>
          <w:sz w:val="24"/>
          <w:szCs w:val="24"/>
        </w:rPr>
      </w:pPr>
    </w:p>
    <w:p w14:paraId="669C4DD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11:</w:t>
      </w:r>
      <w:r w:rsidRPr="009C6CAC">
        <w:rPr>
          <w:rFonts w:ascii="Times New Roman" w:hAnsi="Times New Roman" w:cs="Times New Roman"/>
          <w:sz w:val="24"/>
          <w:szCs w:val="24"/>
        </w:rPr>
        <w:t xml:space="preserve"> İlişkili kaynaklardan çıkan toplam yayılı indirgenmiş kükürt emisyonları düzenli olarak izlenir ve değerlendirilir.</w:t>
      </w:r>
    </w:p>
    <w:p w14:paraId="15629A55"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Toplam yayılı indirgenmiş kükürt emisyonlarına yönelik değerlendirme periyodik ölçümlerle ve farklı kaynaklardan (örn. lif hattı, tanklar, yonga kutuları vb.) çıkan yayılı emisyonlara yönelik değerlendirilme ise doğrudan ölçümlerle yapılabilir.</w:t>
      </w:r>
    </w:p>
    <w:p w14:paraId="02C759F7"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(1.7) Atık Yönetimi</w:t>
      </w:r>
    </w:p>
    <w:p w14:paraId="34D31D37"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12:</w:t>
      </w:r>
      <w:r w:rsidRPr="009C6CAC">
        <w:rPr>
          <w:rFonts w:ascii="Times New Roman" w:hAnsi="Times New Roman" w:cs="Times New Roman"/>
          <w:sz w:val="24"/>
          <w:szCs w:val="24"/>
        </w:rPr>
        <w:t xml:space="preserve"> Bertarafa gönderilen atık miktarını azaltmak amacıyla atıkların yeniden kullanımını kolaylaştırmak veya bunun sağlanamadığı durumda atı</w:t>
      </w:r>
      <w:r w:rsidR="00520C45">
        <w:rPr>
          <w:rFonts w:ascii="Times New Roman" w:hAnsi="Times New Roman" w:cs="Times New Roman"/>
          <w:sz w:val="24"/>
          <w:szCs w:val="24"/>
        </w:rPr>
        <w:t>ğın</w:t>
      </w:r>
      <w:r w:rsidRPr="009C6CAC">
        <w:rPr>
          <w:rFonts w:ascii="Times New Roman" w:hAnsi="Times New Roman" w:cs="Times New Roman"/>
          <w:sz w:val="24"/>
          <w:szCs w:val="24"/>
        </w:rPr>
        <w:t xml:space="preserve"> geri </w:t>
      </w:r>
      <w:r w:rsidR="00520C45">
        <w:rPr>
          <w:rFonts w:ascii="Times New Roman" w:hAnsi="Times New Roman" w:cs="Times New Roman"/>
          <w:sz w:val="24"/>
          <w:szCs w:val="24"/>
        </w:rPr>
        <w:t xml:space="preserve">kazanımını </w:t>
      </w:r>
      <w:r w:rsidRPr="009C6CAC">
        <w:rPr>
          <w:rFonts w:ascii="Times New Roman" w:hAnsi="Times New Roman" w:cs="Times New Roman"/>
          <w:sz w:val="24"/>
          <w:szCs w:val="24"/>
        </w:rPr>
        <w:t>kolaylaştırmak veya sağlanamadığı durumda aşağıdaki tekniklerin bir kombinasyonunu içeren diğer geri kazanımları kolaylaştırmak için bir atık değerlendirme (atık envanterleri de dahil) ve yönetim sistemi uygulanır.</w:t>
      </w:r>
    </w:p>
    <w:tbl>
      <w:tblPr>
        <w:tblStyle w:val="TabloKlavuzu"/>
        <w:tblW w:w="0" w:type="auto"/>
        <w:jc w:val="center"/>
        <w:tblLook w:val="04A0" w:firstRow="1" w:lastRow="0" w:firstColumn="1" w:lastColumn="0" w:noHBand="0" w:noVBand="1"/>
      </w:tblPr>
      <w:tblGrid>
        <w:gridCol w:w="704"/>
        <w:gridCol w:w="4179"/>
        <w:gridCol w:w="4179"/>
      </w:tblGrid>
      <w:tr w:rsidR="00C07865" w:rsidRPr="003526A3" w14:paraId="62BA8E29" w14:textId="77777777" w:rsidTr="000D79D6">
        <w:trPr>
          <w:tblHeader/>
          <w:jc w:val="center"/>
        </w:trPr>
        <w:tc>
          <w:tcPr>
            <w:tcW w:w="704" w:type="dxa"/>
            <w:vAlign w:val="center"/>
          </w:tcPr>
          <w:p w14:paraId="2214A193" w14:textId="77777777" w:rsidR="00C07865" w:rsidRPr="003526A3" w:rsidRDefault="00C07865" w:rsidP="000D79D6">
            <w:pPr>
              <w:jc w:val="center"/>
              <w:rPr>
                <w:rFonts w:ascii="Times New Roman" w:hAnsi="Times New Roman" w:cs="Times New Roman"/>
                <w:b/>
                <w:bCs/>
              </w:rPr>
            </w:pPr>
          </w:p>
        </w:tc>
        <w:tc>
          <w:tcPr>
            <w:tcW w:w="4179" w:type="dxa"/>
            <w:vAlign w:val="center"/>
          </w:tcPr>
          <w:p w14:paraId="0C873FAD"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4179" w:type="dxa"/>
            <w:vAlign w:val="center"/>
          </w:tcPr>
          <w:p w14:paraId="3BA276F6"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16C15D6F" w14:textId="77777777" w:rsidTr="000D79D6">
        <w:trPr>
          <w:jc w:val="center"/>
        </w:trPr>
        <w:tc>
          <w:tcPr>
            <w:tcW w:w="704" w:type="dxa"/>
            <w:vAlign w:val="center"/>
          </w:tcPr>
          <w:p w14:paraId="29ECB01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4179" w:type="dxa"/>
            <w:vAlign w:val="center"/>
          </w:tcPr>
          <w:p w14:paraId="782BF2C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Farklı atık </w:t>
            </w:r>
            <w:r w:rsidR="00520C45" w:rsidRPr="003526A3">
              <w:rPr>
                <w:rFonts w:ascii="Times New Roman" w:hAnsi="Times New Roman" w:cs="Times New Roman"/>
              </w:rPr>
              <w:t>türlerinin</w:t>
            </w:r>
            <w:r w:rsidRPr="003526A3">
              <w:rPr>
                <w:rFonts w:ascii="Times New Roman" w:hAnsi="Times New Roman" w:cs="Times New Roman"/>
              </w:rPr>
              <w:t xml:space="preserve"> ayrı toplanması (tehlikeli atıkların ayrıştırılması ve sınıflandırılması da dahil)</w:t>
            </w:r>
          </w:p>
        </w:tc>
        <w:tc>
          <w:tcPr>
            <w:tcW w:w="4179" w:type="dxa"/>
            <w:vAlign w:val="center"/>
          </w:tcPr>
          <w:p w14:paraId="490D1A9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58D9A07F" w14:textId="77777777" w:rsidTr="000D79D6">
        <w:trPr>
          <w:jc w:val="center"/>
        </w:trPr>
        <w:tc>
          <w:tcPr>
            <w:tcW w:w="704" w:type="dxa"/>
            <w:vAlign w:val="center"/>
          </w:tcPr>
          <w:p w14:paraId="132A319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4179" w:type="dxa"/>
            <w:vAlign w:val="center"/>
          </w:tcPr>
          <w:p w14:paraId="54BDEFA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Daha iyi bir kullanımı mümkün olabilen karışımlar elde etmek için uygun </w:t>
            </w:r>
            <w:r w:rsidR="00520C45" w:rsidRPr="003526A3">
              <w:rPr>
                <w:rFonts w:ascii="Times New Roman" w:hAnsi="Times New Roman" w:cs="Times New Roman"/>
              </w:rPr>
              <w:t xml:space="preserve">türlerin </w:t>
            </w:r>
            <w:r w:rsidRPr="003526A3">
              <w:rPr>
                <w:rFonts w:ascii="Times New Roman" w:hAnsi="Times New Roman" w:cs="Times New Roman"/>
              </w:rPr>
              <w:t xml:space="preserve"> birleştirilmesi</w:t>
            </w:r>
          </w:p>
        </w:tc>
        <w:tc>
          <w:tcPr>
            <w:tcW w:w="4179" w:type="dxa"/>
            <w:vAlign w:val="center"/>
          </w:tcPr>
          <w:p w14:paraId="15A0E76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3FC482ED" w14:textId="77777777" w:rsidTr="000D79D6">
        <w:trPr>
          <w:jc w:val="center"/>
        </w:trPr>
        <w:tc>
          <w:tcPr>
            <w:tcW w:w="704" w:type="dxa"/>
            <w:vAlign w:val="center"/>
          </w:tcPr>
          <w:p w14:paraId="2FEF18A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4179" w:type="dxa"/>
            <w:vAlign w:val="center"/>
          </w:tcPr>
          <w:p w14:paraId="02929E4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Proses </w:t>
            </w:r>
            <w:r w:rsidR="00520C45" w:rsidRPr="003526A3">
              <w:rPr>
                <w:rFonts w:ascii="Times New Roman" w:hAnsi="Times New Roman" w:cs="Times New Roman"/>
              </w:rPr>
              <w:t>atıkların</w:t>
            </w:r>
            <w:r w:rsidRPr="003526A3">
              <w:rPr>
                <w:rFonts w:ascii="Times New Roman" w:hAnsi="Times New Roman" w:cs="Times New Roman"/>
              </w:rPr>
              <w:t xml:space="preserve"> yeniden kullanım veya geri </w:t>
            </w:r>
            <w:r w:rsidR="00520C45" w:rsidRPr="003526A3">
              <w:rPr>
                <w:rFonts w:ascii="Times New Roman" w:hAnsi="Times New Roman" w:cs="Times New Roman"/>
              </w:rPr>
              <w:t xml:space="preserve">kazanımdan </w:t>
            </w:r>
            <w:r w:rsidRPr="003526A3">
              <w:rPr>
                <w:rFonts w:ascii="Times New Roman" w:hAnsi="Times New Roman" w:cs="Times New Roman"/>
              </w:rPr>
              <w:t>ön işle</w:t>
            </w:r>
            <w:r w:rsidR="00520C45" w:rsidRPr="003526A3">
              <w:rPr>
                <w:rFonts w:ascii="Times New Roman" w:hAnsi="Times New Roman" w:cs="Times New Roman"/>
              </w:rPr>
              <w:t>mi</w:t>
            </w:r>
          </w:p>
        </w:tc>
        <w:tc>
          <w:tcPr>
            <w:tcW w:w="4179" w:type="dxa"/>
            <w:vAlign w:val="center"/>
          </w:tcPr>
          <w:p w14:paraId="4DD0010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5D3956DD" w14:textId="77777777" w:rsidTr="000D79D6">
        <w:trPr>
          <w:jc w:val="center"/>
        </w:trPr>
        <w:tc>
          <w:tcPr>
            <w:tcW w:w="704" w:type="dxa"/>
            <w:vAlign w:val="center"/>
          </w:tcPr>
          <w:p w14:paraId="70DF819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4179" w:type="dxa"/>
            <w:vAlign w:val="center"/>
          </w:tcPr>
          <w:p w14:paraId="497C0A6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Materyal geri kazanımının ve proses </w:t>
            </w:r>
            <w:r w:rsidR="00520C45" w:rsidRPr="003526A3">
              <w:rPr>
                <w:rFonts w:ascii="Times New Roman" w:hAnsi="Times New Roman" w:cs="Times New Roman"/>
              </w:rPr>
              <w:t>atıkların</w:t>
            </w:r>
            <w:r w:rsidRPr="003526A3">
              <w:rPr>
                <w:rFonts w:ascii="Times New Roman" w:hAnsi="Times New Roman" w:cs="Times New Roman"/>
              </w:rPr>
              <w:t xml:space="preserve"> geri </w:t>
            </w:r>
            <w:r w:rsidR="00520C45" w:rsidRPr="003526A3">
              <w:rPr>
                <w:rFonts w:ascii="Times New Roman" w:hAnsi="Times New Roman" w:cs="Times New Roman"/>
              </w:rPr>
              <w:t>kazanımın</w:t>
            </w:r>
            <w:r w:rsidRPr="003526A3">
              <w:rPr>
                <w:rFonts w:ascii="Times New Roman" w:hAnsi="Times New Roman" w:cs="Times New Roman"/>
              </w:rPr>
              <w:t xml:space="preserve"> saha içinde yapılması</w:t>
            </w:r>
          </w:p>
        </w:tc>
        <w:tc>
          <w:tcPr>
            <w:tcW w:w="4179" w:type="dxa"/>
            <w:vAlign w:val="center"/>
          </w:tcPr>
          <w:p w14:paraId="36A7C4E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23EB6916" w14:textId="77777777" w:rsidTr="000D79D6">
        <w:trPr>
          <w:jc w:val="center"/>
        </w:trPr>
        <w:tc>
          <w:tcPr>
            <w:tcW w:w="704" w:type="dxa"/>
            <w:vAlign w:val="center"/>
          </w:tcPr>
          <w:p w14:paraId="7BC635A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lastRenderedPageBreak/>
              <w:t>e</w:t>
            </w:r>
          </w:p>
        </w:tc>
        <w:tc>
          <w:tcPr>
            <w:tcW w:w="4179" w:type="dxa"/>
            <w:vAlign w:val="center"/>
          </w:tcPr>
          <w:p w14:paraId="7E05FC1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organik içerikli atıklardan enerji geri kazanımının saha içinde veya dışında yapılması</w:t>
            </w:r>
          </w:p>
        </w:tc>
        <w:tc>
          <w:tcPr>
            <w:tcW w:w="4179" w:type="dxa"/>
            <w:vAlign w:val="center"/>
          </w:tcPr>
          <w:p w14:paraId="46A430A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Saha dışı kullanım için uygulanabilirlik, üçüncü bir tarafın mevcudiyetine bağlıdır.</w:t>
            </w:r>
          </w:p>
        </w:tc>
      </w:tr>
      <w:tr w:rsidR="00C07865" w:rsidRPr="003526A3" w14:paraId="202947DD" w14:textId="77777777" w:rsidTr="000D79D6">
        <w:trPr>
          <w:jc w:val="center"/>
        </w:trPr>
        <w:tc>
          <w:tcPr>
            <w:tcW w:w="704" w:type="dxa"/>
            <w:vAlign w:val="center"/>
          </w:tcPr>
          <w:p w14:paraId="192B327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4179" w:type="dxa"/>
            <w:vAlign w:val="center"/>
          </w:tcPr>
          <w:p w14:paraId="293C691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Materyallerin harici kullanımı</w:t>
            </w:r>
          </w:p>
        </w:tc>
        <w:tc>
          <w:tcPr>
            <w:tcW w:w="4179" w:type="dxa"/>
            <w:vAlign w:val="center"/>
          </w:tcPr>
          <w:p w14:paraId="0D9820A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Uygulanabilirlik, üçüncü bir tarafın mevcudiyetine bağlıdır.</w:t>
            </w:r>
          </w:p>
        </w:tc>
      </w:tr>
      <w:tr w:rsidR="00C07865" w:rsidRPr="003526A3" w14:paraId="032E83E0" w14:textId="77777777" w:rsidTr="000D79D6">
        <w:trPr>
          <w:jc w:val="center"/>
        </w:trPr>
        <w:tc>
          <w:tcPr>
            <w:tcW w:w="704" w:type="dxa"/>
            <w:vAlign w:val="center"/>
          </w:tcPr>
          <w:p w14:paraId="6AB6AEA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w:t>
            </w:r>
          </w:p>
        </w:tc>
        <w:tc>
          <w:tcPr>
            <w:tcW w:w="4179" w:type="dxa"/>
            <w:vAlign w:val="center"/>
          </w:tcPr>
          <w:p w14:paraId="7D57B79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Atığın bertaraftan önce ön i</w:t>
            </w:r>
            <w:r w:rsidR="00520C45" w:rsidRPr="003526A3">
              <w:rPr>
                <w:rFonts w:ascii="Times New Roman" w:hAnsi="Times New Roman" w:cs="Times New Roman"/>
              </w:rPr>
              <w:t>şlemi</w:t>
            </w:r>
          </w:p>
        </w:tc>
        <w:tc>
          <w:tcPr>
            <w:tcW w:w="4179" w:type="dxa"/>
            <w:vAlign w:val="center"/>
          </w:tcPr>
          <w:p w14:paraId="292B74D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bl>
    <w:p w14:paraId="2A85D017" w14:textId="77777777" w:rsidR="00C07865" w:rsidRPr="009C6CAC" w:rsidRDefault="00C07865" w:rsidP="00C07865">
      <w:pPr>
        <w:spacing w:after="120" w:line="276" w:lineRule="auto"/>
        <w:jc w:val="both"/>
        <w:rPr>
          <w:rFonts w:ascii="Times New Roman" w:hAnsi="Times New Roman" w:cs="Times New Roman"/>
          <w:sz w:val="24"/>
          <w:szCs w:val="24"/>
        </w:rPr>
      </w:pPr>
    </w:p>
    <w:p w14:paraId="6A8CC02C"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(1.8) Suya Emisyonlar</w:t>
      </w:r>
    </w:p>
    <w:p w14:paraId="34B54335"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Kağıt hamuru ve kağıt fabrikalarındaki atık su arıtımına yönelik daha fazla bilgi ve prosese özel MET-İES’ler, (1.2)-(1.6) başlıklı bölümlerde verilmiştir.</w:t>
      </w:r>
    </w:p>
    <w:p w14:paraId="28E01F53"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13:</w:t>
      </w:r>
      <w:r w:rsidRPr="009C6CAC">
        <w:rPr>
          <w:rFonts w:ascii="Times New Roman" w:hAnsi="Times New Roman" w:cs="Times New Roman"/>
          <w:sz w:val="24"/>
          <w:szCs w:val="24"/>
        </w:rPr>
        <w:t xml:space="preserve"> Alıcı sulara olan besin (azot ve fosfor) emisyonlarını azaltmak için yüksek azot ve fosfor içerikli kimyasal katkı maddeleri, düşük azot ve fosfor içerikli katkı maddeleri ile ikame edilir.</w:t>
      </w:r>
    </w:p>
    <w:p w14:paraId="391E692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Kimyasal katkı maddelerindeki azotun biyolojik olarak kullanılabilir olmadığı (biyolojik arıtmada besin kaynağı olarak kullanılamaz) veya besin miktarının fazla olduğu durumlarda uygulanabilir.</w:t>
      </w:r>
    </w:p>
    <w:p w14:paraId="5EB5BBC3"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14:</w:t>
      </w:r>
      <w:r w:rsidRPr="009C6CAC">
        <w:rPr>
          <w:rFonts w:ascii="Times New Roman" w:hAnsi="Times New Roman" w:cs="Times New Roman"/>
          <w:sz w:val="24"/>
          <w:szCs w:val="24"/>
        </w:rPr>
        <w:t xml:space="preserve"> Alıcı sulara olan kirletici emisyonlarını azaltmak için, aşağıdaki tekniklerin tümü kullanılır.</w:t>
      </w:r>
    </w:p>
    <w:tbl>
      <w:tblPr>
        <w:tblStyle w:val="TabloKlavuzu"/>
        <w:tblW w:w="0" w:type="auto"/>
        <w:tblLook w:val="04A0" w:firstRow="1" w:lastRow="0" w:firstColumn="1" w:lastColumn="0" w:noHBand="0" w:noVBand="1"/>
      </w:tblPr>
      <w:tblGrid>
        <w:gridCol w:w="704"/>
        <w:gridCol w:w="8358"/>
      </w:tblGrid>
      <w:tr w:rsidR="00C07865" w:rsidRPr="003526A3" w14:paraId="1B6D79D6" w14:textId="77777777" w:rsidTr="0082590D">
        <w:tc>
          <w:tcPr>
            <w:tcW w:w="704" w:type="dxa"/>
          </w:tcPr>
          <w:p w14:paraId="7CF10E90" w14:textId="77777777" w:rsidR="00C07865" w:rsidRPr="003526A3" w:rsidRDefault="00C07865" w:rsidP="000D79D6">
            <w:pPr>
              <w:jc w:val="center"/>
              <w:rPr>
                <w:rFonts w:ascii="Times New Roman" w:hAnsi="Times New Roman" w:cs="Times New Roman"/>
                <w:b/>
                <w:bCs/>
              </w:rPr>
            </w:pPr>
          </w:p>
        </w:tc>
        <w:tc>
          <w:tcPr>
            <w:tcW w:w="8358" w:type="dxa"/>
          </w:tcPr>
          <w:p w14:paraId="46C8ABA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r>
      <w:tr w:rsidR="00C07865" w:rsidRPr="003526A3" w14:paraId="0347DF68" w14:textId="77777777" w:rsidTr="0082590D">
        <w:tc>
          <w:tcPr>
            <w:tcW w:w="704" w:type="dxa"/>
          </w:tcPr>
          <w:p w14:paraId="51E7D69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8358" w:type="dxa"/>
          </w:tcPr>
          <w:p w14:paraId="4621370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Birincil (Fiziko-Kimyasal) Arıtma</w:t>
            </w:r>
          </w:p>
        </w:tc>
      </w:tr>
      <w:tr w:rsidR="00C07865" w:rsidRPr="003526A3" w14:paraId="57199F77" w14:textId="77777777" w:rsidTr="0082590D">
        <w:tc>
          <w:tcPr>
            <w:tcW w:w="704" w:type="dxa"/>
          </w:tcPr>
          <w:p w14:paraId="77525B8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8358" w:type="dxa"/>
          </w:tcPr>
          <w:p w14:paraId="2D8EB74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İkincil (Biyolojik) Arıtma (</w:t>
            </w:r>
            <w:r w:rsidRPr="003526A3">
              <w:rPr>
                <w:rFonts w:ascii="Times New Roman" w:hAnsi="Times New Roman" w:cs="Times New Roman"/>
                <w:vertAlign w:val="superscript"/>
              </w:rPr>
              <w:t>1</w:t>
            </w:r>
            <w:r w:rsidRPr="003526A3">
              <w:rPr>
                <w:rFonts w:ascii="Times New Roman" w:hAnsi="Times New Roman" w:cs="Times New Roman"/>
              </w:rPr>
              <w:t>)</w:t>
            </w:r>
          </w:p>
        </w:tc>
      </w:tr>
      <w:tr w:rsidR="00C07865" w:rsidRPr="003526A3" w14:paraId="7556242D" w14:textId="77777777" w:rsidTr="0082590D">
        <w:tc>
          <w:tcPr>
            <w:tcW w:w="9062" w:type="dxa"/>
            <w:gridSpan w:val="2"/>
          </w:tcPr>
          <w:p w14:paraId="0D078A6D" w14:textId="77777777" w:rsidR="00C07865" w:rsidRPr="003526A3" w:rsidRDefault="00C07865" w:rsidP="000D79D6">
            <w:pPr>
              <w:jc w:val="both"/>
              <w:rPr>
                <w:rFonts w:ascii="Times New Roman" w:hAnsi="Times New Roman" w:cs="Times New Roman"/>
                <w:i/>
                <w:iCs/>
              </w:rPr>
            </w:pPr>
            <w:r w:rsidRPr="003526A3">
              <w:rPr>
                <w:rFonts w:ascii="Times New Roman" w:hAnsi="Times New Roman" w:cs="Times New Roman"/>
                <w:i/>
                <w:iCs/>
              </w:rPr>
              <w:t>(</w:t>
            </w:r>
            <w:r w:rsidRPr="003526A3">
              <w:rPr>
                <w:rFonts w:ascii="Times New Roman" w:hAnsi="Times New Roman" w:cs="Times New Roman"/>
                <w:i/>
                <w:iCs/>
                <w:vertAlign w:val="superscript"/>
              </w:rPr>
              <w:t>1</w:t>
            </w:r>
            <w:r w:rsidRPr="003526A3">
              <w:rPr>
                <w:rFonts w:ascii="Times New Roman" w:hAnsi="Times New Roman" w:cs="Times New Roman"/>
                <w:i/>
                <w:iCs/>
              </w:rPr>
              <w:t>) Atık su biyolojik yükünün birincil arıtmadan sonra çok düşük olduğu tesislere (örn. özel kağıt üreten bazı kağıt fabrikaları) uygulanamaz.</w:t>
            </w:r>
          </w:p>
        </w:tc>
      </w:tr>
    </w:tbl>
    <w:p w14:paraId="752857FF"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15:</w:t>
      </w:r>
      <w:r w:rsidRPr="009C6CAC">
        <w:rPr>
          <w:rFonts w:ascii="Times New Roman" w:hAnsi="Times New Roman" w:cs="Times New Roman"/>
          <w:sz w:val="24"/>
          <w:szCs w:val="24"/>
        </w:rPr>
        <w:t xml:space="preserve"> Organik madde, azot ve fosfor için ileri arıtma gerektiği durumlarda, üçüncül arıtma kullanılır.</w:t>
      </w:r>
    </w:p>
    <w:p w14:paraId="27C4D80F"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16:</w:t>
      </w:r>
      <w:r w:rsidRPr="009C6CAC">
        <w:rPr>
          <w:rFonts w:ascii="Times New Roman" w:hAnsi="Times New Roman" w:cs="Times New Roman"/>
          <w:sz w:val="24"/>
          <w:szCs w:val="24"/>
        </w:rPr>
        <w:t xml:space="preserve"> Biyolojik atık su arıtma tesislerinden alıcı sulara olan kirletici emisyonlarını azaltmak için, aşağıdaki tekniklerin tümü kullanılır.</w:t>
      </w:r>
    </w:p>
    <w:tbl>
      <w:tblPr>
        <w:tblStyle w:val="TabloKlavuzu"/>
        <w:tblW w:w="0" w:type="auto"/>
        <w:jc w:val="center"/>
        <w:tblLook w:val="04A0" w:firstRow="1" w:lastRow="0" w:firstColumn="1" w:lastColumn="0" w:noHBand="0" w:noVBand="1"/>
      </w:tblPr>
      <w:tblGrid>
        <w:gridCol w:w="704"/>
        <w:gridCol w:w="8358"/>
      </w:tblGrid>
      <w:tr w:rsidR="00C07865" w:rsidRPr="003526A3" w14:paraId="57752169" w14:textId="77777777" w:rsidTr="000D79D6">
        <w:trPr>
          <w:tblHeader/>
          <w:jc w:val="center"/>
        </w:trPr>
        <w:tc>
          <w:tcPr>
            <w:tcW w:w="704" w:type="dxa"/>
            <w:vAlign w:val="center"/>
          </w:tcPr>
          <w:p w14:paraId="45A18C31" w14:textId="77777777" w:rsidR="00C07865" w:rsidRPr="003526A3" w:rsidRDefault="00C07865" w:rsidP="000D79D6">
            <w:pPr>
              <w:jc w:val="center"/>
              <w:rPr>
                <w:rFonts w:ascii="Times New Roman" w:hAnsi="Times New Roman" w:cs="Times New Roman"/>
                <w:b/>
                <w:bCs/>
              </w:rPr>
            </w:pPr>
          </w:p>
        </w:tc>
        <w:tc>
          <w:tcPr>
            <w:tcW w:w="8358" w:type="dxa"/>
            <w:vAlign w:val="center"/>
          </w:tcPr>
          <w:p w14:paraId="618C1E59"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r>
      <w:tr w:rsidR="00C07865" w:rsidRPr="003526A3" w14:paraId="49C408E0" w14:textId="77777777" w:rsidTr="000D79D6">
        <w:trPr>
          <w:jc w:val="center"/>
        </w:trPr>
        <w:tc>
          <w:tcPr>
            <w:tcW w:w="704" w:type="dxa"/>
            <w:vAlign w:val="center"/>
          </w:tcPr>
          <w:p w14:paraId="438F944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8358" w:type="dxa"/>
            <w:vAlign w:val="center"/>
          </w:tcPr>
          <w:p w14:paraId="76377D0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Biyolojik arıtma tesisinin uygun tasarımı ve operasyonu</w:t>
            </w:r>
          </w:p>
        </w:tc>
      </w:tr>
      <w:tr w:rsidR="00C07865" w:rsidRPr="003526A3" w14:paraId="67D75D7E" w14:textId="77777777" w:rsidTr="000D79D6">
        <w:trPr>
          <w:jc w:val="center"/>
        </w:trPr>
        <w:tc>
          <w:tcPr>
            <w:tcW w:w="704" w:type="dxa"/>
            <w:vAlign w:val="center"/>
          </w:tcPr>
          <w:p w14:paraId="00954E2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8358" w:type="dxa"/>
            <w:vAlign w:val="center"/>
          </w:tcPr>
          <w:p w14:paraId="7AE2BF7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Aktif biyokütlenin düzenli kontrolü</w:t>
            </w:r>
          </w:p>
        </w:tc>
      </w:tr>
      <w:tr w:rsidR="00C07865" w:rsidRPr="003526A3" w14:paraId="2090BA57" w14:textId="77777777" w:rsidTr="000D79D6">
        <w:trPr>
          <w:jc w:val="center"/>
        </w:trPr>
        <w:tc>
          <w:tcPr>
            <w:tcW w:w="704" w:type="dxa"/>
            <w:tcBorders>
              <w:bottom w:val="single" w:sz="4" w:space="0" w:color="auto"/>
            </w:tcBorders>
            <w:vAlign w:val="center"/>
          </w:tcPr>
          <w:p w14:paraId="4C2A918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8358" w:type="dxa"/>
            <w:tcBorders>
              <w:bottom w:val="single" w:sz="4" w:space="0" w:color="auto"/>
            </w:tcBorders>
            <w:vAlign w:val="center"/>
          </w:tcPr>
          <w:p w14:paraId="181CB67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Besin tedariğinin (azot ve fosfor) aktif biyokütlenin gerçek ihtiyacına göre düzenlenmesi</w:t>
            </w:r>
          </w:p>
        </w:tc>
      </w:tr>
    </w:tbl>
    <w:p w14:paraId="6B495D8A" w14:textId="77777777" w:rsidR="00C07865" w:rsidRPr="009C6CAC" w:rsidRDefault="00C07865" w:rsidP="00C07865">
      <w:pPr>
        <w:spacing w:after="120" w:line="276" w:lineRule="auto"/>
        <w:jc w:val="both"/>
        <w:rPr>
          <w:rFonts w:ascii="Times New Roman" w:hAnsi="Times New Roman" w:cs="Times New Roman"/>
          <w:sz w:val="24"/>
          <w:szCs w:val="24"/>
        </w:rPr>
      </w:pPr>
    </w:p>
    <w:p w14:paraId="78967156"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(1.9) Gürültü Emisyonları</w:t>
      </w:r>
    </w:p>
    <w:p w14:paraId="3E86FA5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17:</w:t>
      </w:r>
      <w:r w:rsidRPr="009C6CAC">
        <w:rPr>
          <w:rFonts w:ascii="Times New Roman" w:hAnsi="Times New Roman" w:cs="Times New Roman"/>
          <w:sz w:val="24"/>
          <w:szCs w:val="24"/>
        </w:rPr>
        <w:t xml:space="preserve"> Kağıt hamuru ve kağıt üretiminden kaynaklanan gürültü emisyonlarını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2786"/>
        <w:gridCol w:w="2786"/>
        <w:gridCol w:w="2786"/>
      </w:tblGrid>
      <w:tr w:rsidR="00C07865" w:rsidRPr="009C6CAC" w14:paraId="13B39D91" w14:textId="77777777" w:rsidTr="000D79D6">
        <w:trPr>
          <w:tblHeader/>
          <w:jc w:val="center"/>
        </w:trPr>
        <w:tc>
          <w:tcPr>
            <w:tcW w:w="704" w:type="dxa"/>
            <w:vAlign w:val="center"/>
          </w:tcPr>
          <w:p w14:paraId="5B3E8617" w14:textId="77777777" w:rsidR="00C07865" w:rsidRPr="003526A3" w:rsidRDefault="00C07865" w:rsidP="000D79D6">
            <w:pPr>
              <w:jc w:val="center"/>
              <w:rPr>
                <w:rFonts w:ascii="Times New Roman" w:hAnsi="Times New Roman" w:cs="Times New Roman"/>
                <w:b/>
                <w:bCs/>
              </w:rPr>
            </w:pPr>
          </w:p>
        </w:tc>
        <w:tc>
          <w:tcPr>
            <w:tcW w:w="2786" w:type="dxa"/>
            <w:vAlign w:val="center"/>
          </w:tcPr>
          <w:p w14:paraId="08AAF9D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2786" w:type="dxa"/>
            <w:vAlign w:val="center"/>
          </w:tcPr>
          <w:p w14:paraId="223EC27C"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Açıklama</w:t>
            </w:r>
          </w:p>
        </w:tc>
        <w:tc>
          <w:tcPr>
            <w:tcW w:w="2786" w:type="dxa"/>
            <w:vAlign w:val="center"/>
          </w:tcPr>
          <w:p w14:paraId="5CB7D6AD"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9C6CAC" w14:paraId="22843AC6" w14:textId="77777777" w:rsidTr="000D79D6">
        <w:trPr>
          <w:jc w:val="center"/>
        </w:trPr>
        <w:tc>
          <w:tcPr>
            <w:tcW w:w="704" w:type="dxa"/>
            <w:vAlign w:val="center"/>
          </w:tcPr>
          <w:p w14:paraId="6CB07AA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2786" w:type="dxa"/>
            <w:vAlign w:val="center"/>
          </w:tcPr>
          <w:p w14:paraId="495EFEC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Gürültü azaltım programları</w:t>
            </w:r>
          </w:p>
        </w:tc>
        <w:tc>
          <w:tcPr>
            <w:tcW w:w="2786" w:type="dxa"/>
            <w:vAlign w:val="center"/>
          </w:tcPr>
          <w:p w14:paraId="5C60566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Gürültü azaltım programı; kaynakların ve etkilenen alanların belirlenmesini, gürültü seviyelerine göre kaynakları sıralamak için gürültü seviyelerinin hesaplanması ile ölçülmesini, </w:t>
            </w:r>
            <w:r w:rsidRPr="003526A3">
              <w:rPr>
                <w:rFonts w:ascii="Times New Roman" w:hAnsi="Times New Roman" w:cs="Times New Roman"/>
              </w:rPr>
              <w:lastRenderedPageBreak/>
              <w:t>tekniklerin en uygun maliyetli kombinasyonunun belirlenmesini, tekniklerin uygulanmasını ve izlenmesini içerir.</w:t>
            </w:r>
          </w:p>
        </w:tc>
        <w:tc>
          <w:tcPr>
            <w:tcW w:w="2786" w:type="dxa"/>
            <w:vAlign w:val="center"/>
          </w:tcPr>
          <w:p w14:paraId="76E0A0C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lastRenderedPageBreak/>
              <w:t>Genellikle uygulanabilir.</w:t>
            </w:r>
          </w:p>
        </w:tc>
      </w:tr>
      <w:tr w:rsidR="00C07865" w:rsidRPr="009C6CAC" w14:paraId="18FFB95C" w14:textId="77777777" w:rsidTr="000D79D6">
        <w:trPr>
          <w:jc w:val="center"/>
        </w:trPr>
        <w:tc>
          <w:tcPr>
            <w:tcW w:w="704" w:type="dxa"/>
            <w:vAlign w:val="center"/>
          </w:tcPr>
          <w:p w14:paraId="45CF80F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2786" w:type="dxa"/>
            <w:vAlign w:val="center"/>
          </w:tcPr>
          <w:p w14:paraId="4494598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Ekipman, ünite ve bina konumlarının stratejik planlaması</w:t>
            </w:r>
          </w:p>
        </w:tc>
        <w:tc>
          <w:tcPr>
            <w:tcW w:w="2786" w:type="dxa"/>
            <w:vAlign w:val="center"/>
          </w:tcPr>
          <w:p w14:paraId="0A3C68C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Gürültü seviyeleri, kaynak ve alıcı arasındaki mesafeyi artırarak ve binaları gürültü bariyerleri olarak kullanarak azaltılabilir.</w:t>
            </w:r>
          </w:p>
        </w:tc>
        <w:tc>
          <w:tcPr>
            <w:tcW w:w="2786" w:type="dxa"/>
            <w:vAlign w:val="center"/>
          </w:tcPr>
          <w:p w14:paraId="4A8CDCC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Yeni tesislere genellikle uygulanabilir. Mevcut tesisler için ekipmanların ve üretim ünitelerinin yeniden konumlandırılması, alan yetersizliği veya fazla maliyetler dolayısıyla kısıtlanabilir.</w:t>
            </w:r>
          </w:p>
        </w:tc>
      </w:tr>
      <w:tr w:rsidR="00C07865" w:rsidRPr="009C6CAC" w14:paraId="328EAF49" w14:textId="77777777" w:rsidTr="000D79D6">
        <w:trPr>
          <w:jc w:val="center"/>
        </w:trPr>
        <w:tc>
          <w:tcPr>
            <w:tcW w:w="704" w:type="dxa"/>
            <w:vAlign w:val="center"/>
          </w:tcPr>
          <w:p w14:paraId="2576AED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2786" w:type="dxa"/>
            <w:vAlign w:val="center"/>
          </w:tcPr>
          <w:p w14:paraId="551DBB8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Gürültülü ekipman bulunan binalarda operasyonel ve yönetim teknikleri</w:t>
            </w:r>
          </w:p>
        </w:tc>
        <w:tc>
          <w:tcPr>
            <w:tcW w:w="2786" w:type="dxa"/>
            <w:vAlign w:val="center"/>
          </w:tcPr>
          <w:p w14:paraId="70B012F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Şunları içerir:</w:t>
            </w:r>
          </w:p>
          <w:p w14:paraId="2DD38CC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arızaları önlemek için ekipmanların iyileştirilmiş denetimi ve bakımı</w:t>
            </w:r>
          </w:p>
          <w:p w14:paraId="27CC976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kapalı alanların kapı ve pencerelerinin kapatılması</w:t>
            </w:r>
          </w:p>
          <w:p w14:paraId="6ED9B7A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ekipmanın deneyimli personel tarafından operasyonu</w:t>
            </w:r>
          </w:p>
          <w:p w14:paraId="3166EB4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gürültülü faaliyetlerin gece vaktinde yapılmasının engellenmesi</w:t>
            </w:r>
          </w:p>
          <w:p w14:paraId="545C5DB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bakım faaliyetleri sırasında gürültü kontrolü için şartlar</w:t>
            </w:r>
          </w:p>
        </w:tc>
        <w:tc>
          <w:tcPr>
            <w:tcW w:w="2786" w:type="dxa"/>
            <w:vMerge w:val="restart"/>
            <w:vAlign w:val="center"/>
          </w:tcPr>
          <w:p w14:paraId="76839F9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9C6CAC" w14:paraId="058AD855" w14:textId="77777777" w:rsidTr="000D79D6">
        <w:trPr>
          <w:jc w:val="center"/>
        </w:trPr>
        <w:tc>
          <w:tcPr>
            <w:tcW w:w="704" w:type="dxa"/>
            <w:tcBorders>
              <w:bottom w:val="single" w:sz="4" w:space="0" w:color="auto"/>
            </w:tcBorders>
            <w:vAlign w:val="center"/>
          </w:tcPr>
          <w:p w14:paraId="26E7635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2786" w:type="dxa"/>
            <w:tcBorders>
              <w:bottom w:val="single" w:sz="4" w:space="0" w:color="auto"/>
            </w:tcBorders>
            <w:vAlign w:val="center"/>
          </w:tcPr>
          <w:p w14:paraId="15DB59C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Gürültü ekipman ve ünitelerin etrafının kapatılması</w:t>
            </w:r>
          </w:p>
        </w:tc>
        <w:tc>
          <w:tcPr>
            <w:tcW w:w="2786" w:type="dxa"/>
            <w:tcBorders>
              <w:bottom w:val="single" w:sz="4" w:space="0" w:color="auto"/>
            </w:tcBorders>
            <w:vAlign w:val="center"/>
          </w:tcPr>
          <w:p w14:paraId="1B0EDD5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iç-dış kaplamanın etki azaltan materyallerle yapıldığı binalar veya ses geçirmez odalar gibi ayrı yapılarda bulunan odun işleme, hidrolik üniteler ve kompresörler gibi gürültülü ekipmanların etrafının kapatılması</w:t>
            </w:r>
          </w:p>
        </w:tc>
        <w:tc>
          <w:tcPr>
            <w:tcW w:w="2786" w:type="dxa"/>
            <w:vMerge/>
            <w:vAlign w:val="center"/>
          </w:tcPr>
          <w:p w14:paraId="244EFE9F" w14:textId="77777777" w:rsidR="00C07865" w:rsidRPr="003526A3" w:rsidRDefault="00C07865" w:rsidP="000D79D6">
            <w:pPr>
              <w:jc w:val="both"/>
              <w:rPr>
                <w:rFonts w:ascii="Times New Roman" w:hAnsi="Times New Roman" w:cs="Times New Roman"/>
              </w:rPr>
            </w:pPr>
          </w:p>
        </w:tc>
      </w:tr>
      <w:tr w:rsidR="00C07865" w:rsidRPr="009C6CAC" w14:paraId="5255EB1C" w14:textId="77777777" w:rsidTr="000D79D6">
        <w:trPr>
          <w:jc w:val="center"/>
        </w:trPr>
        <w:tc>
          <w:tcPr>
            <w:tcW w:w="704" w:type="dxa"/>
            <w:tcBorders>
              <w:bottom w:val="single" w:sz="4" w:space="0" w:color="auto"/>
            </w:tcBorders>
            <w:vAlign w:val="center"/>
          </w:tcPr>
          <w:p w14:paraId="3A99DBB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5572" w:type="dxa"/>
            <w:gridSpan w:val="2"/>
            <w:tcBorders>
              <w:bottom w:val="single" w:sz="4" w:space="0" w:color="auto"/>
            </w:tcBorders>
            <w:vAlign w:val="center"/>
          </w:tcPr>
          <w:p w14:paraId="3B8DF29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Ekipman ve havalandırma kanallarında düşük gürültülü araçların ve gürültü azaltıcıların kullanılması.</w:t>
            </w:r>
          </w:p>
        </w:tc>
        <w:tc>
          <w:tcPr>
            <w:tcW w:w="2786" w:type="dxa"/>
            <w:vMerge/>
            <w:vAlign w:val="center"/>
          </w:tcPr>
          <w:p w14:paraId="4FA043CD" w14:textId="77777777" w:rsidR="00C07865" w:rsidRPr="003526A3" w:rsidRDefault="00C07865" w:rsidP="000D79D6">
            <w:pPr>
              <w:jc w:val="both"/>
              <w:rPr>
                <w:rFonts w:ascii="Times New Roman" w:hAnsi="Times New Roman" w:cs="Times New Roman"/>
              </w:rPr>
            </w:pPr>
          </w:p>
        </w:tc>
      </w:tr>
      <w:tr w:rsidR="00C07865" w:rsidRPr="009C6CAC" w14:paraId="5C31F9E5" w14:textId="77777777" w:rsidTr="000D79D6">
        <w:trPr>
          <w:jc w:val="center"/>
        </w:trPr>
        <w:tc>
          <w:tcPr>
            <w:tcW w:w="704" w:type="dxa"/>
            <w:tcBorders>
              <w:bottom w:val="single" w:sz="4" w:space="0" w:color="auto"/>
            </w:tcBorders>
            <w:vAlign w:val="center"/>
          </w:tcPr>
          <w:p w14:paraId="452970A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2786" w:type="dxa"/>
            <w:tcBorders>
              <w:bottom w:val="single" w:sz="4" w:space="0" w:color="auto"/>
            </w:tcBorders>
            <w:vAlign w:val="center"/>
          </w:tcPr>
          <w:p w14:paraId="61D2BA0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Titreşim yalıtımı</w:t>
            </w:r>
          </w:p>
        </w:tc>
        <w:tc>
          <w:tcPr>
            <w:tcW w:w="2786" w:type="dxa"/>
            <w:tcBorders>
              <w:bottom w:val="single" w:sz="4" w:space="0" w:color="auto"/>
            </w:tcBorders>
            <w:vAlign w:val="center"/>
          </w:tcPr>
          <w:p w14:paraId="6C38CF0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Makinelerin titreşim yalıtımı ile gürültü kaynaklarının ve olası yankı yapan bileşenlerin ayrı bir şekilde konumlandırılması</w:t>
            </w:r>
          </w:p>
        </w:tc>
        <w:tc>
          <w:tcPr>
            <w:tcW w:w="2786" w:type="dxa"/>
            <w:vMerge/>
            <w:vAlign w:val="center"/>
          </w:tcPr>
          <w:p w14:paraId="5A6B29DD" w14:textId="77777777" w:rsidR="00C07865" w:rsidRPr="003526A3" w:rsidRDefault="00C07865" w:rsidP="000D79D6">
            <w:pPr>
              <w:jc w:val="both"/>
              <w:rPr>
                <w:rFonts w:ascii="Times New Roman" w:hAnsi="Times New Roman" w:cs="Times New Roman"/>
              </w:rPr>
            </w:pPr>
          </w:p>
        </w:tc>
      </w:tr>
      <w:tr w:rsidR="00C07865" w:rsidRPr="009C6CAC" w14:paraId="477287EA" w14:textId="77777777" w:rsidTr="000D79D6">
        <w:trPr>
          <w:jc w:val="center"/>
        </w:trPr>
        <w:tc>
          <w:tcPr>
            <w:tcW w:w="704" w:type="dxa"/>
            <w:tcBorders>
              <w:bottom w:val="single" w:sz="4" w:space="0" w:color="auto"/>
            </w:tcBorders>
            <w:vAlign w:val="center"/>
          </w:tcPr>
          <w:p w14:paraId="044CB4A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w:t>
            </w:r>
          </w:p>
        </w:tc>
        <w:tc>
          <w:tcPr>
            <w:tcW w:w="2786" w:type="dxa"/>
            <w:tcBorders>
              <w:bottom w:val="single" w:sz="4" w:space="0" w:color="auto"/>
            </w:tcBorders>
            <w:vAlign w:val="center"/>
          </w:tcPr>
          <w:p w14:paraId="0DBAA10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Binaların ses geçirmezliği</w:t>
            </w:r>
          </w:p>
        </w:tc>
        <w:tc>
          <w:tcPr>
            <w:tcW w:w="2786" w:type="dxa"/>
            <w:tcBorders>
              <w:bottom w:val="single" w:sz="4" w:space="0" w:color="auto"/>
            </w:tcBorders>
            <w:vAlign w:val="center"/>
          </w:tcPr>
          <w:p w14:paraId="4BBFDB1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İmkan dahilinde aşağıdakileri içerir:</w:t>
            </w:r>
          </w:p>
          <w:p w14:paraId="1A44C38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duvar ve tavanlarda ses emici materyaller</w:t>
            </w:r>
          </w:p>
          <w:p w14:paraId="5B0D87B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ses yalıtımlı kapılar</w:t>
            </w:r>
          </w:p>
          <w:p w14:paraId="311BDBA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çift camlı pencereler</w:t>
            </w:r>
          </w:p>
        </w:tc>
        <w:tc>
          <w:tcPr>
            <w:tcW w:w="2786" w:type="dxa"/>
            <w:vMerge/>
            <w:tcBorders>
              <w:bottom w:val="single" w:sz="4" w:space="0" w:color="auto"/>
            </w:tcBorders>
            <w:vAlign w:val="center"/>
          </w:tcPr>
          <w:p w14:paraId="14C79381" w14:textId="77777777" w:rsidR="00C07865" w:rsidRPr="003526A3" w:rsidRDefault="00C07865" w:rsidP="000D79D6">
            <w:pPr>
              <w:jc w:val="both"/>
              <w:rPr>
                <w:rFonts w:ascii="Times New Roman" w:hAnsi="Times New Roman" w:cs="Times New Roman"/>
              </w:rPr>
            </w:pPr>
          </w:p>
        </w:tc>
      </w:tr>
      <w:tr w:rsidR="00C07865" w:rsidRPr="009C6CAC" w14:paraId="1338A5DD" w14:textId="77777777" w:rsidTr="000D79D6">
        <w:trPr>
          <w:jc w:val="center"/>
        </w:trPr>
        <w:tc>
          <w:tcPr>
            <w:tcW w:w="704" w:type="dxa"/>
            <w:tcBorders>
              <w:bottom w:val="single" w:sz="4" w:space="0" w:color="auto"/>
            </w:tcBorders>
            <w:vAlign w:val="center"/>
          </w:tcPr>
          <w:p w14:paraId="0FD503D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h</w:t>
            </w:r>
          </w:p>
        </w:tc>
        <w:tc>
          <w:tcPr>
            <w:tcW w:w="2786" w:type="dxa"/>
            <w:tcBorders>
              <w:bottom w:val="single" w:sz="4" w:space="0" w:color="auto"/>
            </w:tcBorders>
            <w:vAlign w:val="center"/>
          </w:tcPr>
          <w:p w14:paraId="7A01DF5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Gürültü azaltımı</w:t>
            </w:r>
          </w:p>
        </w:tc>
        <w:tc>
          <w:tcPr>
            <w:tcW w:w="2786" w:type="dxa"/>
            <w:tcBorders>
              <w:bottom w:val="single" w:sz="4" w:space="0" w:color="auto"/>
            </w:tcBorders>
            <w:vAlign w:val="center"/>
          </w:tcPr>
          <w:p w14:paraId="34E122C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Gürültü yayılımı, kaynaklar ve alıcılar arasına bariyerler yerleştirilerek azaltılabilir. Uygun bariyerler; duvarları, </w:t>
            </w:r>
            <w:r w:rsidRPr="003526A3">
              <w:rPr>
                <w:rFonts w:ascii="Times New Roman" w:hAnsi="Times New Roman" w:cs="Times New Roman"/>
              </w:rPr>
              <w:lastRenderedPageBreak/>
              <w:t>setleri ve binaları içerir. Uygun ses azaltım teknikleri, buhar tahliyeleri ve kurutucu havalandırma delikleri gibi gürültülü ekipmanlara susturucu ve zayıflatıcı takılmasını içerir.</w:t>
            </w:r>
          </w:p>
        </w:tc>
        <w:tc>
          <w:tcPr>
            <w:tcW w:w="2786" w:type="dxa"/>
            <w:tcBorders>
              <w:bottom w:val="single" w:sz="4" w:space="0" w:color="auto"/>
            </w:tcBorders>
            <w:vAlign w:val="center"/>
          </w:tcPr>
          <w:p w14:paraId="3C0126C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lastRenderedPageBreak/>
              <w:t xml:space="preserve">Yeni tesislere genellikle uygulanabilir. Mevcut tesisler için bariyerlerin yerleştirilmesi, alan </w:t>
            </w:r>
            <w:r w:rsidRPr="003526A3">
              <w:rPr>
                <w:rFonts w:ascii="Times New Roman" w:hAnsi="Times New Roman" w:cs="Times New Roman"/>
              </w:rPr>
              <w:lastRenderedPageBreak/>
              <w:t>yetersizliği nedeniyle kısıtlanabilir.</w:t>
            </w:r>
          </w:p>
        </w:tc>
      </w:tr>
      <w:tr w:rsidR="00C07865" w:rsidRPr="009C6CAC" w14:paraId="1DB55618" w14:textId="77777777" w:rsidTr="000D79D6">
        <w:trPr>
          <w:jc w:val="center"/>
        </w:trPr>
        <w:tc>
          <w:tcPr>
            <w:tcW w:w="704" w:type="dxa"/>
            <w:tcBorders>
              <w:bottom w:val="single" w:sz="4" w:space="0" w:color="auto"/>
            </w:tcBorders>
            <w:vAlign w:val="center"/>
          </w:tcPr>
          <w:p w14:paraId="7F3FCA6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lastRenderedPageBreak/>
              <w:t>i</w:t>
            </w:r>
          </w:p>
        </w:tc>
        <w:tc>
          <w:tcPr>
            <w:tcW w:w="5572" w:type="dxa"/>
            <w:gridSpan w:val="2"/>
            <w:tcBorders>
              <w:bottom w:val="single" w:sz="4" w:space="0" w:color="auto"/>
            </w:tcBorders>
            <w:vAlign w:val="center"/>
          </w:tcPr>
          <w:p w14:paraId="4D44B75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Kaldırma ve taşıma sürelerini kısaltmak ve kütük yığınlarına veya besleme tablasına düşen kütüklerden çıkan sesi azaltmak için daha büyük odun işleme makinelerinin kullanılması.</w:t>
            </w:r>
          </w:p>
        </w:tc>
        <w:tc>
          <w:tcPr>
            <w:tcW w:w="2786" w:type="dxa"/>
            <w:vMerge w:val="restart"/>
            <w:vAlign w:val="center"/>
          </w:tcPr>
          <w:p w14:paraId="60399FD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9C6CAC" w14:paraId="7C043A8E" w14:textId="77777777" w:rsidTr="000D79D6">
        <w:trPr>
          <w:jc w:val="center"/>
        </w:trPr>
        <w:tc>
          <w:tcPr>
            <w:tcW w:w="704" w:type="dxa"/>
            <w:tcBorders>
              <w:bottom w:val="single" w:sz="4" w:space="0" w:color="auto"/>
            </w:tcBorders>
            <w:vAlign w:val="center"/>
          </w:tcPr>
          <w:p w14:paraId="50B4948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j</w:t>
            </w:r>
          </w:p>
        </w:tc>
        <w:tc>
          <w:tcPr>
            <w:tcW w:w="5572" w:type="dxa"/>
            <w:gridSpan w:val="2"/>
            <w:tcBorders>
              <w:bottom w:val="single" w:sz="4" w:space="0" w:color="auto"/>
            </w:tcBorders>
            <w:vAlign w:val="center"/>
          </w:tcPr>
          <w:p w14:paraId="3AB31FF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İyileştirilmiş çalışma şekilleri, örn. kütükleri, daha düşük bir yükseklikten kütük yığınları veya besleme tablası üzerine bırakmak; çalışanlar için gürültü seviyesine yönelik anlık geri bildirim.</w:t>
            </w:r>
          </w:p>
        </w:tc>
        <w:tc>
          <w:tcPr>
            <w:tcW w:w="2786" w:type="dxa"/>
            <w:vMerge/>
            <w:tcBorders>
              <w:bottom w:val="single" w:sz="4" w:space="0" w:color="auto"/>
            </w:tcBorders>
            <w:vAlign w:val="center"/>
          </w:tcPr>
          <w:p w14:paraId="04DF0D0C" w14:textId="77777777" w:rsidR="00C07865" w:rsidRPr="009C6CAC" w:rsidRDefault="00C07865" w:rsidP="000D79D6">
            <w:pPr>
              <w:jc w:val="both"/>
              <w:rPr>
                <w:rFonts w:ascii="Times New Roman" w:hAnsi="Times New Roman" w:cs="Times New Roman"/>
                <w:sz w:val="24"/>
                <w:szCs w:val="24"/>
              </w:rPr>
            </w:pPr>
          </w:p>
        </w:tc>
      </w:tr>
    </w:tbl>
    <w:p w14:paraId="49475870" w14:textId="77777777" w:rsidR="00C07865" w:rsidRPr="009C6CAC" w:rsidRDefault="00C07865" w:rsidP="00C07865">
      <w:pPr>
        <w:spacing w:after="120" w:line="276" w:lineRule="auto"/>
        <w:jc w:val="both"/>
        <w:rPr>
          <w:rFonts w:ascii="Times New Roman" w:hAnsi="Times New Roman" w:cs="Times New Roman"/>
          <w:sz w:val="24"/>
          <w:szCs w:val="24"/>
        </w:rPr>
      </w:pPr>
    </w:p>
    <w:p w14:paraId="5118AE75"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(1.10) Tesisin Kapatılması</w:t>
      </w:r>
    </w:p>
    <w:p w14:paraId="3AE99C51"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18:</w:t>
      </w:r>
      <w:r w:rsidRPr="009C6CAC">
        <w:rPr>
          <w:rFonts w:ascii="Times New Roman" w:hAnsi="Times New Roman" w:cs="Times New Roman"/>
          <w:sz w:val="24"/>
          <w:szCs w:val="24"/>
        </w:rPr>
        <w:t xml:space="preserve"> Tesisin kapatılması durumundaki kirlilik risklerini önlemek için, aşağıda verilen genel teknikler kullanılır.</w:t>
      </w:r>
    </w:p>
    <w:tbl>
      <w:tblPr>
        <w:tblStyle w:val="TabloKlavuzu"/>
        <w:tblW w:w="0" w:type="auto"/>
        <w:jc w:val="center"/>
        <w:tblLook w:val="04A0" w:firstRow="1" w:lastRow="0" w:firstColumn="1" w:lastColumn="0" w:noHBand="0" w:noVBand="1"/>
      </w:tblPr>
      <w:tblGrid>
        <w:gridCol w:w="704"/>
        <w:gridCol w:w="8358"/>
      </w:tblGrid>
      <w:tr w:rsidR="00C07865" w:rsidRPr="009C6CAC" w14:paraId="5B169010" w14:textId="77777777" w:rsidTr="000D79D6">
        <w:trPr>
          <w:tblHeader/>
          <w:jc w:val="center"/>
        </w:trPr>
        <w:tc>
          <w:tcPr>
            <w:tcW w:w="704" w:type="dxa"/>
            <w:vAlign w:val="center"/>
          </w:tcPr>
          <w:p w14:paraId="2F1E92CA"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42F20E2C"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796E3106" w14:textId="77777777" w:rsidTr="000D79D6">
        <w:trPr>
          <w:jc w:val="center"/>
        </w:trPr>
        <w:tc>
          <w:tcPr>
            <w:tcW w:w="704" w:type="dxa"/>
            <w:vAlign w:val="center"/>
          </w:tcPr>
          <w:p w14:paraId="0BA1AD1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547A788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Yer altı tankları ve boru şebekesi kurulumunun tasarım aşamasında engellenmesi veya konumlarının iyi bilinmesi ve belgelenmesi.</w:t>
            </w:r>
          </w:p>
        </w:tc>
      </w:tr>
      <w:tr w:rsidR="00C07865" w:rsidRPr="009C6CAC" w14:paraId="76EE2CB5" w14:textId="77777777" w:rsidTr="000D79D6">
        <w:trPr>
          <w:jc w:val="center"/>
        </w:trPr>
        <w:tc>
          <w:tcPr>
            <w:tcW w:w="704" w:type="dxa"/>
            <w:vAlign w:val="center"/>
          </w:tcPr>
          <w:p w14:paraId="135BA18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3D51672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ekipmanlarının, araçlarının ve boru şebekesinin boşaltılması için yönergelerin oluşturulması.</w:t>
            </w:r>
          </w:p>
        </w:tc>
      </w:tr>
      <w:tr w:rsidR="00C07865" w:rsidRPr="009C6CAC" w14:paraId="272A823D" w14:textId="77777777" w:rsidTr="000D79D6">
        <w:trPr>
          <w:jc w:val="center"/>
        </w:trPr>
        <w:tc>
          <w:tcPr>
            <w:tcW w:w="704" w:type="dxa"/>
            <w:vAlign w:val="center"/>
          </w:tcPr>
          <w:p w14:paraId="2A36262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7A62462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Tesis kapatılırken temiz bir kapanışın sağlanması, örn. sahanın temizlenmesi ve onarılması. Toprağın doğal işlevleri korunmalı, mümkün ise.</w:t>
            </w:r>
          </w:p>
        </w:tc>
      </w:tr>
      <w:tr w:rsidR="00C07865" w:rsidRPr="009C6CAC" w14:paraId="3D02F93F" w14:textId="77777777" w:rsidTr="000D79D6">
        <w:trPr>
          <w:jc w:val="center"/>
        </w:trPr>
        <w:tc>
          <w:tcPr>
            <w:tcW w:w="704" w:type="dxa"/>
            <w:vAlign w:val="center"/>
          </w:tcPr>
          <w:p w14:paraId="24D3350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55A52ED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Saha veya komşu alanlar üzerindeki olası gelecek etkilerin belirlenmesi için, özellikle yer altı suyu ile ilişkili olarak, bir izleme programının kullanılması.</w:t>
            </w:r>
          </w:p>
        </w:tc>
      </w:tr>
      <w:tr w:rsidR="00C07865" w:rsidRPr="009C6CAC" w14:paraId="520C58BF" w14:textId="77777777" w:rsidTr="000D79D6">
        <w:trPr>
          <w:jc w:val="center"/>
        </w:trPr>
        <w:tc>
          <w:tcPr>
            <w:tcW w:w="704" w:type="dxa"/>
            <w:tcBorders>
              <w:bottom w:val="single" w:sz="4" w:space="0" w:color="auto"/>
            </w:tcBorders>
            <w:vAlign w:val="center"/>
          </w:tcPr>
          <w:p w14:paraId="3620CB7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8358" w:type="dxa"/>
            <w:tcBorders>
              <w:bottom w:val="single" w:sz="4" w:space="0" w:color="auto"/>
            </w:tcBorders>
            <w:vAlign w:val="center"/>
          </w:tcPr>
          <w:p w14:paraId="232B5FF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Kapatma çalışmasının, ilişkili yerel özel koşulları dikkate alan şeffaf bir organizasyonunu içeren risk analizine dayalı olarak bir saha kapatma veya durdurma planının oluşturulması ve sürdürülmesi.</w:t>
            </w:r>
          </w:p>
        </w:tc>
      </w:tr>
    </w:tbl>
    <w:p w14:paraId="3EB57A11" w14:textId="77777777" w:rsidR="00C07865" w:rsidRPr="009C6CAC" w:rsidRDefault="00C07865" w:rsidP="00C07865">
      <w:pPr>
        <w:spacing w:after="120" w:line="276" w:lineRule="auto"/>
        <w:jc w:val="both"/>
        <w:rPr>
          <w:rFonts w:ascii="Times New Roman" w:hAnsi="Times New Roman" w:cs="Times New Roman"/>
          <w:sz w:val="24"/>
          <w:szCs w:val="24"/>
        </w:rPr>
      </w:pPr>
    </w:p>
    <w:p w14:paraId="5318C07B"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(2) Kraft Kağıt Hamuru Üretim Prosesi İçin MET</w:t>
      </w:r>
    </w:p>
    <w:p w14:paraId="779D1482"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Entegre kraft kağıt hamuru ve kağıdı fabrikaları için, bu bölümde sunulan MET  ek olarak (1.6) bölümünde sunulan kağıt üretimi için prosese özel MET geçerlidir.</w:t>
      </w:r>
    </w:p>
    <w:p w14:paraId="6028B9A8"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(2.1) Atık Su ve Suya Emisyonlar</w:t>
      </w:r>
    </w:p>
    <w:p w14:paraId="15675ABE"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19:</w:t>
      </w:r>
      <w:r w:rsidRPr="009C6CAC">
        <w:rPr>
          <w:rFonts w:ascii="Times New Roman" w:hAnsi="Times New Roman" w:cs="Times New Roman"/>
          <w:sz w:val="24"/>
          <w:szCs w:val="24"/>
        </w:rPr>
        <w:t xml:space="preserve"> Tüm fabrikalardan alıcı sulara olan kirletici emisyonlarını azaltmak için, TCF veya modern ECF ile ağartma yöntemi ve MET 13, MET 14, MET 15 ile MET 16’da belirtilen tekniklerin ve aşağıdaki tekniklerin uygun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3526A3" w14:paraId="20ED84C9" w14:textId="77777777" w:rsidTr="000D79D6">
        <w:trPr>
          <w:tblHeader/>
          <w:jc w:val="center"/>
        </w:trPr>
        <w:tc>
          <w:tcPr>
            <w:tcW w:w="704" w:type="dxa"/>
            <w:vAlign w:val="center"/>
          </w:tcPr>
          <w:p w14:paraId="3910F667" w14:textId="77777777" w:rsidR="00C07865" w:rsidRPr="003526A3" w:rsidRDefault="00C07865" w:rsidP="000D79D6">
            <w:pPr>
              <w:jc w:val="center"/>
              <w:rPr>
                <w:rFonts w:ascii="Times New Roman" w:hAnsi="Times New Roman" w:cs="Times New Roman"/>
                <w:b/>
                <w:bCs/>
              </w:rPr>
            </w:pPr>
          </w:p>
        </w:tc>
        <w:tc>
          <w:tcPr>
            <w:tcW w:w="4179" w:type="dxa"/>
            <w:vAlign w:val="center"/>
          </w:tcPr>
          <w:p w14:paraId="5AC99CEA"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4179" w:type="dxa"/>
            <w:vAlign w:val="center"/>
          </w:tcPr>
          <w:p w14:paraId="0395B280"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05846861" w14:textId="77777777" w:rsidTr="000D79D6">
        <w:trPr>
          <w:jc w:val="center"/>
        </w:trPr>
        <w:tc>
          <w:tcPr>
            <w:tcW w:w="704" w:type="dxa"/>
            <w:vAlign w:val="center"/>
          </w:tcPr>
          <w:p w14:paraId="530BD3E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4179" w:type="dxa"/>
            <w:vAlign w:val="center"/>
          </w:tcPr>
          <w:p w14:paraId="07CD50A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Ağartmadan önce modifiye edilmiş pişirme</w:t>
            </w:r>
          </w:p>
        </w:tc>
        <w:tc>
          <w:tcPr>
            <w:tcW w:w="4179" w:type="dxa"/>
            <w:vMerge w:val="restart"/>
            <w:vAlign w:val="center"/>
          </w:tcPr>
          <w:p w14:paraId="6A9C340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5E9E900F" w14:textId="77777777" w:rsidTr="000D79D6">
        <w:trPr>
          <w:jc w:val="center"/>
        </w:trPr>
        <w:tc>
          <w:tcPr>
            <w:tcW w:w="704" w:type="dxa"/>
            <w:vAlign w:val="center"/>
          </w:tcPr>
          <w:p w14:paraId="43A50C6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4179" w:type="dxa"/>
            <w:vAlign w:val="center"/>
          </w:tcPr>
          <w:p w14:paraId="2DDAC4D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Ağartmadan önce oksijenle delignifikasyon</w:t>
            </w:r>
          </w:p>
        </w:tc>
        <w:tc>
          <w:tcPr>
            <w:tcW w:w="4179" w:type="dxa"/>
            <w:vMerge/>
            <w:vAlign w:val="center"/>
          </w:tcPr>
          <w:p w14:paraId="3CBDF64C" w14:textId="77777777" w:rsidR="00C07865" w:rsidRPr="003526A3" w:rsidRDefault="00C07865" w:rsidP="000D79D6">
            <w:pPr>
              <w:jc w:val="both"/>
              <w:rPr>
                <w:rFonts w:ascii="Times New Roman" w:hAnsi="Times New Roman" w:cs="Times New Roman"/>
              </w:rPr>
            </w:pPr>
          </w:p>
        </w:tc>
      </w:tr>
      <w:tr w:rsidR="00C07865" w:rsidRPr="003526A3" w14:paraId="30BC9C80" w14:textId="77777777" w:rsidTr="000D79D6">
        <w:trPr>
          <w:jc w:val="center"/>
        </w:trPr>
        <w:tc>
          <w:tcPr>
            <w:tcW w:w="704" w:type="dxa"/>
            <w:vAlign w:val="center"/>
          </w:tcPr>
          <w:p w14:paraId="0409701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4179" w:type="dxa"/>
            <w:vAlign w:val="center"/>
          </w:tcPr>
          <w:p w14:paraId="791EA1C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Kapalı esmer hamur taraması ve etkin esmer hamur yıkaması</w:t>
            </w:r>
          </w:p>
        </w:tc>
        <w:tc>
          <w:tcPr>
            <w:tcW w:w="4179" w:type="dxa"/>
            <w:vMerge/>
            <w:vAlign w:val="center"/>
          </w:tcPr>
          <w:p w14:paraId="27317E07" w14:textId="77777777" w:rsidR="00C07865" w:rsidRPr="003526A3" w:rsidRDefault="00C07865" w:rsidP="000D79D6">
            <w:pPr>
              <w:jc w:val="both"/>
              <w:rPr>
                <w:rFonts w:ascii="Times New Roman" w:hAnsi="Times New Roman" w:cs="Times New Roman"/>
              </w:rPr>
            </w:pPr>
          </w:p>
        </w:tc>
      </w:tr>
      <w:tr w:rsidR="00C07865" w:rsidRPr="003526A3" w14:paraId="43C61E7B" w14:textId="77777777" w:rsidTr="000D79D6">
        <w:trPr>
          <w:jc w:val="center"/>
        </w:trPr>
        <w:tc>
          <w:tcPr>
            <w:tcW w:w="704" w:type="dxa"/>
            <w:vAlign w:val="center"/>
          </w:tcPr>
          <w:p w14:paraId="4ECC98B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lastRenderedPageBreak/>
              <w:t>d</w:t>
            </w:r>
          </w:p>
        </w:tc>
        <w:tc>
          <w:tcPr>
            <w:tcW w:w="4179" w:type="dxa"/>
            <w:vAlign w:val="center"/>
          </w:tcPr>
          <w:p w14:paraId="1A0A8F0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 tesisinde kısmi proses suyu geri dönüşümü</w:t>
            </w:r>
          </w:p>
        </w:tc>
        <w:tc>
          <w:tcPr>
            <w:tcW w:w="4179" w:type="dxa"/>
            <w:vAlign w:val="center"/>
          </w:tcPr>
          <w:p w14:paraId="221CBE8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 işlemindeki kabuklanmadan dolayı, su geri dönüşümü kısıtlanabilir.</w:t>
            </w:r>
          </w:p>
        </w:tc>
      </w:tr>
      <w:tr w:rsidR="00C07865" w:rsidRPr="003526A3" w14:paraId="654990EA" w14:textId="77777777" w:rsidTr="000D79D6">
        <w:trPr>
          <w:jc w:val="center"/>
        </w:trPr>
        <w:tc>
          <w:tcPr>
            <w:tcW w:w="704" w:type="dxa"/>
            <w:vAlign w:val="center"/>
          </w:tcPr>
          <w:p w14:paraId="228C1B9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4179" w:type="dxa"/>
            <w:vAlign w:val="center"/>
          </w:tcPr>
          <w:p w14:paraId="740A5D1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Etkin sızıntı izleme ve uygun bir geri kazanım sistemi ile sınırlama</w:t>
            </w:r>
          </w:p>
        </w:tc>
        <w:tc>
          <w:tcPr>
            <w:tcW w:w="4179" w:type="dxa"/>
            <w:vAlign w:val="center"/>
          </w:tcPr>
          <w:p w14:paraId="4CA15BB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7C4D72D9" w14:textId="77777777" w:rsidTr="000D79D6">
        <w:trPr>
          <w:jc w:val="center"/>
        </w:trPr>
        <w:tc>
          <w:tcPr>
            <w:tcW w:w="704" w:type="dxa"/>
            <w:vAlign w:val="center"/>
          </w:tcPr>
          <w:p w14:paraId="52495BB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4179" w:type="dxa"/>
            <w:vAlign w:val="center"/>
          </w:tcPr>
          <w:p w14:paraId="63514FB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Yeterli siyah likör buharlaşmasının ve azami yüklerle başa çıkabilecek geri kazanım kazan kapasitesinin sağlanması</w:t>
            </w:r>
          </w:p>
        </w:tc>
        <w:tc>
          <w:tcPr>
            <w:tcW w:w="4179" w:type="dxa"/>
            <w:vMerge w:val="restart"/>
            <w:vAlign w:val="center"/>
          </w:tcPr>
          <w:p w14:paraId="416C8C4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7509553A" w14:textId="77777777" w:rsidTr="000D79D6">
        <w:trPr>
          <w:jc w:val="center"/>
        </w:trPr>
        <w:tc>
          <w:tcPr>
            <w:tcW w:w="704" w:type="dxa"/>
            <w:vAlign w:val="center"/>
          </w:tcPr>
          <w:p w14:paraId="423BFBD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w:t>
            </w:r>
          </w:p>
        </w:tc>
        <w:tc>
          <w:tcPr>
            <w:tcW w:w="4179" w:type="dxa"/>
            <w:vAlign w:val="center"/>
          </w:tcPr>
          <w:p w14:paraId="123987F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Kontamine (kirli) yoğuşuk maddelerin sıyrılması ve yoğuşuk maddelerin proseste yeniden kullanılması</w:t>
            </w:r>
          </w:p>
        </w:tc>
        <w:tc>
          <w:tcPr>
            <w:tcW w:w="4179" w:type="dxa"/>
            <w:vMerge/>
            <w:vAlign w:val="center"/>
          </w:tcPr>
          <w:p w14:paraId="44225AFC" w14:textId="77777777" w:rsidR="00C07865" w:rsidRPr="003526A3" w:rsidRDefault="00C07865" w:rsidP="000D79D6">
            <w:pPr>
              <w:jc w:val="both"/>
              <w:rPr>
                <w:rFonts w:ascii="Times New Roman" w:hAnsi="Times New Roman" w:cs="Times New Roman"/>
              </w:rPr>
            </w:pPr>
          </w:p>
        </w:tc>
      </w:tr>
    </w:tbl>
    <w:p w14:paraId="0217908E" w14:textId="77777777" w:rsidR="00C07865" w:rsidRPr="009C6CAC" w:rsidRDefault="00C07865" w:rsidP="00C07865">
      <w:pPr>
        <w:spacing w:after="120" w:line="276" w:lineRule="auto"/>
        <w:jc w:val="both"/>
        <w:rPr>
          <w:rFonts w:ascii="Times New Roman" w:hAnsi="Times New Roman" w:cs="Times New Roman"/>
          <w:sz w:val="24"/>
          <w:szCs w:val="24"/>
        </w:rPr>
      </w:pPr>
    </w:p>
    <w:p w14:paraId="5D113C13"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793A9059"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Tablo 1 ve 2’ye bakınız. Bu MET-İES’ler, çözünen kraft kağıt hamuru fabrikaları için uygulanamaz.</w:t>
      </w:r>
    </w:p>
    <w:p w14:paraId="56C0A94E"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Kraft fabrikaları için referans atık su akışı, MET 5’te belirtilmiştir.</w:t>
      </w:r>
    </w:p>
    <w:p w14:paraId="382C02A8" w14:textId="4CB72AD3"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w:t>
      </w:r>
    </w:p>
    <w:p w14:paraId="0B6EC166"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Ağartılmış kraft kağıt hamuru fabrikasından alıcı sulara olan doğrudan atık su deşarjlarına yönelik MET-İES’ler</w:t>
      </w:r>
    </w:p>
    <w:tbl>
      <w:tblPr>
        <w:tblStyle w:val="TabloKlavuzu"/>
        <w:tblW w:w="0" w:type="auto"/>
        <w:jc w:val="center"/>
        <w:tblLook w:val="04A0" w:firstRow="1" w:lastRow="0" w:firstColumn="1" w:lastColumn="0" w:noHBand="0" w:noVBand="1"/>
      </w:tblPr>
      <w:tblGrid>
        <w:gridCol w:w="5240"/>
        <w:gridCol w:w="3822"/>
      </w:tblGrid>
      <w:tr w:rsidR="00C07865" w:rsidRPr="003526A3" w14:paraId="271F6157" w14:textId="77777777" w:rsidTr="000D79D6">
        <w:trPr>
          <w:tblHeader/>
          <w:jc w:val="center"/>
        </w:trPr>
        <w:tc>
          <w:tcPr>
            <w:tcW w:w="5240" w:type="dxa"/>
            <w:vAlign w:val="center"/>
          </w:tcPr>
          <w:p w14:paraId="32FE1BC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3822" w:type="dxa"/>
            <w:vAlign w:val="center"/>
          </w:tcPr>
          <w:p w14:paraId="597C8432"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18E86961"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kg/ADt (</w:t>
            </w:r>
            <w:r w:rsidRPr="003526A3">
              <w:rPr>
                <w:rFonts w:ascii="Times New Roman" w:hAnsi="Times New Roman" w:cs="Times New Roman"/>
                <w:b/>
                <w:bCs/>
                <w:vertAlign w:val="superscript"/>
              </w:rPr>
              <w:t>1</w:t>
            </w:r>
            <w:r w:rsidRPr="003526A3">
              <w:rPr>
                <w:rFonts w:ascii="Times New Roman" w:hAnsi="Times New Roman" w:cs="Times New Roman"/>
                <w:b/>
                <w:bCs/>
              </w:rPr>
              <w:t>)</w:t>
            </w:r>
          </w:p>
        </w:tc>
      </w:tr>
      <w:tr w:rsidR="00C07865" w:rsidRPr="003526A3" w14:paraId="2B788B29" w14:textId="77777777" w:rsidTr="000D79D6">
        <w:trPr>
          <w:jc w:val="center"/>
        </w:trPr>
        <w:tc>
          <w:tcPr>
            <w:tcW w:w="5240" w:type="dxa"/>
            <w:vAlign w:val="center"/>
          </w:tcPr>
          <w:p w14:paraId="79E61BCC"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w:t>
            </w:r>
          </w:p>
        </w:tc>
        <w:tc>
          <w:tcPr>
            <w:tcW w:w="3822" w:type="dxa"/>
            <w:vAlign w:val="center"/>
          </w:tcPr>
          <w:p w14:paraId="0BC54F1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7-20</w:t>
            </w:r>
          </w:p>
        </w:tc>
      </w:tr>
      <w:tr w:rsidR="00C07865" w:rsidRPr="003526A3" w14:paraId="2DF38259" w14:textId="77777777" w:rsidTr="000D79D6">
        <w:trPr>
          <w:jc w:val="center"/>
        </w:trPr>
        <w:tc>
          <w:tcPr>
            <w:tcW w:w="5240" w:type="dxa"/>
            <w:vAlign w:val="center"/>
          </w:tcPr>
          <w:p w14:paraId="4A7F814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Maddeler (TSS)</w:t>
            </w:r>
          </w:p>
        </w:tc>
        <w:tc>
          <w:tcPr>
            <w:tcW w:w="3822" w:type="dxa"/>
            <w:vAlign w:val="center"/>
          </w:tcPr>
          <w:p w14:paraId="188E80E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0,3-1,5</w:t>
            </w:r>
          </w:p>
        </w:tc>
      </w:tr>
      <w:tr w:rsidR="00C07865" w:rsidRPr="003526A3" w14:paraId="7247B4CD" w14:textId="77777777" w:rsidTr="000D79D6">
        <w:trPr>
          <w:jc w:val="center"/>
        </w:trPr>
        <w:tc>
          <w:tcPr>
            <w:tcW w:w="5240" w:type="dxa"/>
            <w:vAlign w:val="center"/>
          </w:tcPr>
          <w:p w14:paraId="71DC49C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3822" w:type="dxa"/>
            <w:vAlign w:val="center"/>
          </w:tcPr>
          <w:p w14:paraId="2B08238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0,05-0,25 (</w:t>
            </w:r>
            <w:r w:rsidRPr="003526A3">
              <w:rPr>
                <w:rFonts w:ascii="Times New Roman" w:hAnsi="Times New Roman" w:cs="Times New Roman"/>
                <w:vertAlign w:val="superscript"/>
              </w:rPr>
              <w:t>2</w:t>
            </w:r>
            <w:r w:rsidRPr="003526A3">
              <w:rPr>
                <w:rFonts w:ascii="Times New Roman" w:hAnsi="Times New Roman" w:cs="Times New Roman"/>
              </w:rPr>
              <w:t>)</w:t>
            </w:r>
          </w:p>
        </w:tc>
      </w:tr>
      <w:tr w:rsidR="00C07865" w:rsidRPr="003526A3" w14:paraId="5043667C" w14:textId="77777777" w:rsidTr="000D79D6">
        <w:trPr>
          <w:jc w:val="center"/>
        </w:trPr>
        <w:tc>
          <w:tcPr>
            <w:tcW w:w="5240" w:type="dxa"/>
            <w:vAlign w:val="center"/>
          </w:tcPr>
          <w:p w14:paraId="43F0169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3822" w:type="dxa"/>
            <w:vAlign w:val="center"/>
          </w:tcPr>
          <w:p w14:paraId="6CA0152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0,01-0,03 (</w:t>
            </w:r>
            <w:r w:rsidRPr="003526A3">
              <w:rPr>
                <w:rFonts w:ascii="Times New Roman" w:hAnsi="Times New Roman" w:cs="Times New Roman"/>
                <w:vertAlign w:val="superscript"/>
              </w:rPr>
              <w:t>2</w:t>
            </w:r>
            <w:r w:rsidRPr="003526A3">
              <w:rPr>
                <w:rFonts w:ascii="Times New Roman" w:hAnsi="Times New Roman" w:cs="Times New Roman"/>
              </w:rPr>
              <w:t>)</w:t>
            </w:r>
          </w:p>
          <w:p w14:paraId="5458084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Okaliptüs: 0,02-0,11 kg/ADt (</w:t>
            </w:r>
            <w:r w:rsidRPr="003526A3">
              <w:rPr>
                <w:rFonts w:ascii="Times New Roman" w:hAnsi="Times New Roman" w:cs="Times New Roman"/>
                <w:vertAlign w:val="superscript"/>
              </w:rPr>
              <w:t>3</w:t>
            </w:r>
            <w:r w:rsidRPr="003526A3">
              <w:rPr>
                <w:rFonts w:ascii="Times New Roman" w:hAnsi="Times New Roman" w:cs="Times New Roman"/>
              </w:rPr>
              <w:t>)</w:t>
            </w:r>
          </w:p>
        </w:tc>
      </w:tr>
      <w:tr w:rsidR="00C07865" w:rsidRPr="003526A3" w14:paraId="4D47BED9" w14:textId="77777777" w:rsidTr="000D79D6">
        <w:trPr>
          <w:jc w:val="center"/>
        </w:trPr>
        <w:tc>
          <w:tcPr>
            <w:tcW w:w="5240" w:type="dxa"/>
            <w:tcBorders>
              <w:bottom w:val="single" w:sz="4" w:space="0" w:color="auto"/>
            </w:tcBorders>
            <w:vAlign w:val="center"/>
          </w:tcPr>
          <w:p w14:paraId="44BF8E3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Adsorplanabilir Organik Bağlı Halojenler (AOX) (</w:t>
            </w:r>
            <w:r w:rsidRPr="003526A3">
              <w:rPr>
                <w:rFonts w:ascii="Times New Roman" w:hAnsi="Times New Roman" w:cs="Times New Roman"/>
                <w:vertAlign w:val="superscript"/>
              </w:rPr>
              <w:t>4</w:t>
            </w: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w:t>
            </w:r>
          </w:p>
        </w:tc>
        <w:tc>
          <w:tcPr>
            <w:tcW w:w="3822" w:type="dxa"/>
            <w:tcBorders>
              <w:bottom w:val="single" w:sz="4" w:space="0" w:color="auto"/>
            </w:tcBorders>
            <w:vAlign w:val="center"/>
          </w:tcPr>
          <w:p w14:paraId="03BEE444" w14:textId="77777777" w:rsidR="00C07865" w:rsidRPr="003526A3" w:rsidRDefault="00C07865" w:rsidP="000D79D6">
            <w:pPr>
              <w:jc w:val="center"/>
              <w:rPr>
                <w:rFonts w:ascii="Times New Roman" w:hAnsi="Times New Roman" w:cs="Times New Roman"/>
              </w:rPr>
            </w:pPr>
          </w:p>
        </w:tc>
      </w:tr>
      <w:tr w:rsidR="0010256D" w:rsidRPr="003526A3" w14:paraId="04CDECB0" w14:textId="77777777" w:rsidTr="00BB641A">
        <w:trPr>
          <w:jc w:val="center"/>
        </w:trPr>
        <w:tc>
          <w:tcPr>
            <w:tcW w:w="9062" w:type="dxa"/>
            <w:gridSpan w:val="2"/>
            <w:tcBorders>
              <w:bottom w:val="single" w:sz="4" w:space="0" w:color="auto"/>
            </w:tcBorders>
            <w:vAlign w:val="center"/>
          </w:tcPr>
          <w:p w14:paraId="73AD2B4C"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MET-İES aralığı, piyasaya sürüleni kağıt hamuru üretimi ile entegre fabrikaların kağıt hamuru üretimlerini ifade eder (kağıt üretiminden kaynaklanan emisyonlar dahil değildir).</w:t>
            </w:r>
          </w:p>
          <w:p w14:paraId="556305E2"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 Yoğun bir biyolojik atık su arıtma tesisi, biraz daha yükse emisyon seviyelerine yol açabilir.</w:t>
            </w:r>
          </w:p>
          <w:p w14:paraId="52E591EE"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3</w:t>
            </w:r>
            <w:r w:rsidRPr="003526A3">
              <w:rPr>
                <w:rFonts w:ascii="Times New Roman" w:hAnsi="Times New Roman" w:cs="Times New Roman"/>
              </w:rPr>
              <w:t>) Aralığın üst sınırı, yüksek seviyelerde fosfor içeren bölgelerin okaliptüs ağacını (örn. Kafkas okaliptüsü) kullanan fabrikaları ifade eder.</w:t>
            </w:r>
          </w:p>
          <w:p w14:paraId="4C1C47B4" w14:textId="77777777" w:rsidR="0010256D" w:rsidRPr="003526A3" w:rsidRDefault="0010256D" w:rsidP="00294440">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4</w:t>
            </w:r>
            <w:r w:rsidRPr="003526A3">
              <w:rPr>
                <w:rFonts w:ascii="Times New Roman" w:hAnsi="Times New Roman" w:cs="Times New Roman"/>
              </w:rPr>
              <w:t>) Klor içerikli ağartma kimyasalları kullanan fabrikalar için uygulanabilir.</w:t>
            </w:r>
          </w:p>
          <w:p w14:paraId="2207156E" w14:textId="73F7A1F9" w:rsidR="0010256D" w:rsidRPr="003526A3" w:rsidRDefault="0010256D" w:rsidP="0082590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 Yüksek mukavemet, sertlik ve safsızlık özellikli (örn. sıvı ambalajlama kutusu ve LWC için) kağıt hamuru üreten fabrikalar için AOX emisyon seviyesi, 0,25 kg/ADt’a kadar çıkabilir.</w:t>
            </w:r>
          </w:p>
        </w:tc>
      </w:tr>
      <w:tr w:rsidR="0010256D" w:rsidRPr="003526A3" w14:paraId="1F96327D" w14:textId="77777777" w:rsidTr="000D79D6">
        <w:trPr>
          <w:jc w:val="center"/>
        </w:trPr>
        <w:tc>
          <w:tcPr>
            <w:tcW w:w="9062" w:type="dxa"/>
            <w:gridSpan w:val="2"/>
            <w:tcBorders>
              <w:top w:val="single" w:sz="4" w:space="0" w:color="auto"/>
              <w:left w:val="nil"/>
              <w:bottom w:val="nil"/>
              <w:right w:val="nil"/>
            </w:tcBorders>
            <w:vAlign w:val="center"/>
          </w:tcPr>
          <w:p w14:paraId="1CD48244" w14:textId="2A1F8B0D" w:rsidR="0010256D" w:rsidRPr="003526A3" w:rsidRDefault="0010256D" w:rsidP="0010256D">
            <w:pPr>
              <w:jc w:val="both"/>
              <w:rPr>
                <w:rFonts w:ascii="Times New Roman" w:hAnsi="Times New Roman" w:cs="Times New Roman"/>
                <w:i/>
                <w:iCs/>
              </w:rPr>
            </w:pPr>
          </w:p>
        </w:tc>
      </w:tr>
    </w:tbl>
    <w:p w14:paraId="1DD64D5D"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2</w:t>
      </w:r>
    </w:p>
    <w:p w14:paraId="4162A973"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Ağartılmamış kraft kağıt hamuru fabrikasından alıcı sulara olan doğrudan atık su deşarjlarına yönelik MET-İES’ler</w:t>
      </w:r>
    </w:p>
    <w:tbl>
      <w:tblPr>
        <w:tblStyle w:val="TabloKlavuzu"/>
        <w:tblW w:w="0" w:type="auto"/>
        <w:jc w:val="center"/>
        <w:tblLook w:val="04A0" w:firstRow="1" w:lastRow="0" w:firstColumn="1" w:lastColumn="0" w:noHBand="0" w:noVBand="1"/>
      </w:tblPr>
      <w:tblGrid>
        <w:gridCol w:w="5240"/>
        <w:gridCol w:w="3822"/>
      </w:tblGrid>
      <w:tr w:rsidR="00C07865" w:rsidRPr="003526A3" w14:paraId="2F28F2D8" w14:textId="77777777" w:rsidTr="000D79D6">
        <w:trPr>
          <w:tblHeader/>
          <w:jc w:val="center"/>
        </w:trPr>
        <w:tc>
          <w:tcPr>
            <w:tcW w:w="5240" w:type="dxa"/>
            <w:vAlign w:val="center"/>
          </w:tcPr>
          <w:p w14:paraId="010B7141"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3822" w:type="dxa"/>
            <w:vAlign w:val="center"/>
          </w:tcPr>
          <w:p w14:paraId="2F04813D"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5ADEC49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kg/ADt (</w:t>
            </w:r>
            <w:r w:rsidRPr="003526A3">
              <w:rPr>
                <w:rFonts w:ascii="Times New Roman" w:hAnsi="Times New Roman" w:cs="Times New Roman"/>
                <w:b/>
                <w:bCs/>
                <w:vertAlign w:val="superscript"/>
              </w:rPr>
              <w:t>1</w:t>
            </w:r>
            <w:r w:rsidRPr="003526A3">
              <w:rPr>
                <w:rFonts w:ascii="Times New Roman" w:hAnsi="Times New Roman" w:cs="Times New Roman"/>
                <w:b/>
                <w:bCs/>
              </w:rPr>
              <w:t>)</w:t>
            </w:r>
          </w:p>
        </w:tc>
      </w:tr>
      <w:tr w:rsidR="00C07865" w:rsidRPr="003526A3" w14:paraId="0DEBDA71" w14:textId="77777777" w:rsidTr="000D79D6">
        <w:trPr>
          <w:jc w:val="center"/>
        </w:trPr>
        <w:tc>
          <w:tcPr>
            <w:tcW w:w="5240" w:type="dxa"/>
            <w:vAlign w:val="center"/>
          </w:tcPr>
          <w:p w14:paraId="50F90EC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w:t>
            </w:r>
          </w:p>
        </w:tc>
        <w:tc>
          <w:tcPr>
            <w:tcW w:w="3822" w:type="dxa"/>
            <w:vAlign w:val="center"/>
          </w:tcPr>
          <w:p w14:paraId="7DB7C41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2,5-8</w:t>
            </w:r>
          </w:p>
        </w:tc>
      </w:tr>
      <w:tr w:rsidR="00C07865" w:rsidRPr="003526A3" w14:paraId="59A2858F" w14:textId="77777777" w:rsidTr="000D79D6">
        <w:trPr>
          <w:jc w:val="center"/>
        </w:trPr>
        <w:tc>
          <w:tcPr>
            <w:tcW w:w="5240" w:type="dxa"/>
            <w:vAlign w:val="center"/>
          </w:tcPr>
          <w:p w14:paraId="2C27DA3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Maddeler (TSS)</w:t>
            </w:r>
          </w:p>
        </w:tc>
        <w:tc>
          <w:tcPr>
            <w:tcW w:w="3822" w:type="dxa"/>
            <w:vAlign w:val="center"/>
          </w:tcPr>
          <w:p w14:paraId="0FEB86E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0,3-1,0</w:t>
            </w:r>
          </w:p>
        </w:tc>
      </w:tr>
      <w:tr w:rsidR="00C07865" w:rsidRPr="003526A3" w14:paraId="376CB6E0" w14:textId="77777777" w:rsidTr="000D79D6">
        <w:trPr>
          <w:jc w:val="center"/>
        </w:trPr>
        <w:tc>
          <w:tcPr>
            <w:tcW w:w="5240" w:type="dxa"/>
            <w:vAlign w:val="center"/>
          </w:tcPr>
          <w:p w14:paraId="4AEAA9A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3822" w:type="dxa"/>
            <w:vAlign w:val="center"/>
          </w:tcPr>
          <w:p w14:paraId="277B11F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0,1-0,2 (</w:t>
            </w:r>
            <w:r w:rsidRPr="003526A3">
              <w:rPr>
                <w:rFonts w:ascii="Times New Roman" w:hAnsi="Times New Roman" w:cs="Times New Roman"/>
                <w:vertAlign w:val="superscript"/>
              </w:rPr>
              <w:t>2</w:t>
            </w:r>
            <w:r w:rsidRPr="003526A3">
              <w:rPr>
                <w:rFonts w:ascii="Times New Roman" w:hAnsi="Times New Roman" w:cs="Times New Roman"/>
              </w:rPr>
              <w:t>)</w:t>
            </w:r>
          </w:p>
        </w:tc>
      </w:tr>
      <w:tr w:rsidR="00C07865" w:rsidRPr="003526A3" w14:paraId="45EC8DF6" w14:textId="77777777" w:rsidTr="000D79D6">
        <w:trPr>
          <w:jc w:val="center"/>
        </w:trPr>
        <w:tc>
          <w:tcPr>
            <w:tcW w:w="5240" w:type="dxa"/>
            <w:vAlign w:val="center"/>
          </w:tcPr>
          <w:p w14:paraId="60B0852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3822" w:type="dxa"/>
            <w:vAlign w:val="center"/>
          </w:tcPr>
          <w:p w14:paraId="6EF19BA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0,01-0,02 (</w:t>
            </w:r>
            <w:r w:rsidRPr="003526A3">
              <w:rPr>
                <w:rFonts w:ascii="Times New Roman" w:hAnsi="Times New Roman" w:cs="Times New Roman"/>
                <w:vertAlign w:val="superscript"/>
              </w:rPr>
              <w:t>2</w:t>
            </w:r>
            <w:r w:rsidRPr="003526A3">
              <w:rPr>
                <w:rFonts w:ascii="Times New Roman" w:hAnsi="Times New Roman" w:cs="Times New Roman"/>
              </w:rPr>
              <w:t>)</w:t>
            </w:r>
          </w:p>
        </w:tc>
      </w:tr>
      <w:tr w:rsidR="0010256D" w:rsidRPr="003526A3" w14:paraId="0A914AFA" w14:textId="77777777" w:rsidTr="009836D8">
        <w:trPr>
          <w:jc w:val="center"/>
        </w:trPr>
        <w:tc>
          <w:tcPr>
            <w:tcW w:w="9062" w:type="dxa"/>
            <w:gridSpan w:val="2"/>
            <w:vAlign w:val="center"/>
          </w:tcPr>
          <w:p w14:paraId="4C8D27B5" w14:textId="77777777" w:rsidR="0010256D" w:rsidRPr="003526A3" w:rsidRDefault="0010256D" w:rsidP="0010256D">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MET-İES aralığı, piyasaya sürülen kağıt hamuru üretimi ile entegre fabrikaların kağıt hamuru üretimlerini ifade eder (kağıt üretiminden kaynaklanan emisyonlar dahil değildir).</w:t>
            </w:r>
          </w:p>
          <w:p w14:paraId="63D8ADD2" w14:textId="5E3936E0" w:rsidR="0010256D" w:rsidRPr="003526A3" w:rsidRDefault="0010256D" w:rsidP="0082590D">
            <w:pPr>
              <w:jc w:val="both"/>
              <w:rPr>
                <w:rFonts w:ascii="Times New Roman" w:hAnsi="Times New Roman" w:cs="Times New Roman"/>
              </w:rPr>
            </w:pPr>
            <w:r w:rsidRPr="003526A3">
              <w:rPr>
                <w:rFonts w:ascii="Times New Roman" w:hAnsi="Times New Roman" w:cs="Times New Roman"/>
              </w:rPr>
              <w:lastRenderedPageBreak/>
              <w:t>(</w:t>
            </w:r>
            <w:r w:rsidRPr="003526A3">
              <w:rPr>
                <w:rFonts w:ascii="Times New Roman" w:hAnsi="Times New Roman" w:cs="Times New Roman"/>
                <w:vertAlign w:val="superscript"/>
              </w:rPr>
              <w:t>2</w:t>
            </w:r>
            <w:r w:rsidRPr="003526A3">
              <w:rPr>
                <w:rFonts w:ascii="Times New Roman" w:hAnsi="Times New Roman" w:cs="Times New Roman"/>
              </w:rPr>
              <w:t>) Yoğun bir biyolojik atık su arıtma tesisi, biraz daha yükse emisyon seviyelerine yol açabilir.</w:t>
            </w:r>
          </w:p>
        </w:tc>
      </w:tr>
      <w:tr w:rsidR="00C07865" w:rsidRPr="003526A3" w14:paraId="68A5ADDD" w14:textId="77777777" w:rsidTr="000D79D6">
        <w:trPr>
          <w:jc w:val="center"/>
        </w:trPr>
        <w:tc>
          <w:tcPr>
            <w:tcW w:w="9062" w:type="dxa"/>
            <w:gridSpan w:val="2"/>
            <w:tcBorders>
              <w:top w:val="single" w:sz="4" w:space="0" w:color="auto"/>
              <w:left w:val="nil"/>
              <w:bottom w:val="nil"/>
              <w:right w:val="nil"/>
            </w:tcBorders>
            <w:vAlign w:val="center"/>
          </w:tcPr>
          <w:p w14:paraId="1C1EE78C" w14:textId="0915527C" w:rsidR="00C07865" w:rsidRPr="003526A3" w:rsidRDefault="00C07865" w:rsidP="000D79D6">
            <w:pPr>
              <w:jc w:val="both"/>
              <w:rPr>
                <w:rFonts w:ascii="Times New Roman" w:hAnsi="Times New Roman" w:cs="Times New Roman"/>
                <w:i/>
                <w:iCs/>
              </w:rPr>
            </w:pPr>
          </w:p>
        </w:tc>
      </w:tr>
    </w:tbl>
    <w:p w14:paraId="5E95C570" w14:textId="5E625708" w:rsidR="00C07865" w:rsidRDefault="00C91F89" w:rsidP="00C078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Arıtılmış atık sulardaki BOİ</w:t>
      </w:r>
      <w:r w:rsidR="00C07865" w:rsidRPr="009C6CAC">
        <w:rPr>
          <w:rFonts w:ascii="Times New Roman" w:hAnsi="Times New Roman" w:cs="Times New Roman"/>
          <w:sz w:val="24"/>
          <w:szCs w:val="24"/>
        </w:rPr>
        <w:t xml:space="preserve"> konsantrasyonlarının düşük olması beklenir (24 saatlik kompozit numune olarak yaklaşık 25 mg/L).</w:t>
      </w:r>
    </w:p>
    <w:p w14:paraId="7DB1BEAB" w14:textId="77777777" w:rsidR="000275A3" w:rsidRPr="009C6CAC" w:rsidRDefault="000275A3" w:rsidP="00C07865">
      <w:pPr>
        <w:spacing w:after="120" w:line="276" w:lineRule="auto"/>
        <w:jc w:val="both"/>
        <w:rPr>
          <w:rFonts w:ascii="Times New Roman" w:hAnsi="Times New Roman" w:cs="Times New Roman"/>
          <w:sz w:val="24"/>
          <w:szCs w:val="24"/>
        </w:rPr>
      </w:pPr>
    </w:p>
    <w:p w14:paraId="32C441D7"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(2.2) Havaya Emisyonlar</w:t>
      </w:r>
    </w:p>
    <w:p w14:paraId="2E1E9B04" w14:textId="77777777" w:rsidR="00C07865" w:rsidRPr="009C6CAC" w:rsidRDefault="00C07865" w:rsidP="00C07865">
      <w:pPr>
        <w:pStyle w:val="Balk4"/>
        <w:spacing w:before="0" w:after="120" w:line="276" w:lineRule="auto"/>
        <w:jc w:val="both"/>
        <w:rPr>
          <w:rFonts w:ascii="Times New Roman" w:hAnsi="Times New Roman" w:cs="Times New Roman"/>
          <w:b/>
          <w:bCs/>
          <w:i w:val="0"/>
          <w:iCs w:val="0"/>
          <w:color w:val="auto"/>
          <w:sz w:val="24"/>
          <w:szCs w:val="24"/>
        </w:rPr>
      </w:pPr>
      <w:r w:rsidRPr="009C6CAC">
        <w:rPr>
          <w:rFonts w:ascii="Times New Roman" w:hAnsi="Times New Roman" w:cs="Times New Roman"/>
          <w:b/>
          <w:bCs/>
          <w:i w:val="0"/>
          <w:iCs w:val="0"/>
          <w:color w:val="auto"/>
          <w:sz w:val="24"/>
          <w:szCs w:val="24"/>
        </w:rPr>
        <w:t>(2.2.1) Güçlü ve Zayıf Kokulu Gaz Emisyonlarının Azaltımı</w:t>
      </w:r>
    </w:p>
    <w:p w14:paraId="672DADFC" w14:textId="26ECB47D" w:rsidR="00C07865"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20:</w:t>
      </w:r>
      <w:r w:rsidRPr="009C6CAC">
        <w:rPr>
          <w:rFonts w:ascii="Times New Roman" w:hAnsi="Times New Roman" w:cs="Times New Roman"/>
          <w:sz w:val="24"/>
          <w:szCs w:val="24"/>
        </w:rPr>
        <w:t xml:space="preserve"> Koku emisyonları ile güçlü ve zayıf kokulu gazlardan kaynaklanan toplam indirgenmiş kükürt emisyonlarını azaltmak için aşağıdaki tekniklerin tümünün uygulanması ile, kükürt içerikli emisyonların olduğu tüm havalandırma delikleri de dahil olmak üzere, tüm proses bazlı kükürt içerikli çıkış gazları yakalanarak yayılı emisyonlar önlenir.</w:t>
      </w:r>
    </w:p>
    <w:tbl>
      <w:tblPr>
        <w:tblStyle w:val="TabloKlavuzuAk"/>
        <w:tblW w:w="0" w:type="auto"/>
        <w:tblLook w:val="04A0" w:firstRow="1" w:lastRow="0" w:firstColumn="1" w:lastColumn="0" w:noHBand="0" w:noVBand="1"/>
      </w:tblPr>
      <w:tblGrid>
        <w:gridCol w:w="704"/>
        <w:gridCol w:w="3544"/>
        <w:gridCol w:w="4814"/>
      </w:tblGrid>
      <w:tr w:rsidR="00C07865" w:rsidRPr="009C6CAC" w14:paraId="38781DEE" w14:textId="77777777" w:rsidTr="0082590D">
        <w:tc>
          <w:tcPr>
            <w:tcW w:w="704" w:type="dxa"/>
          </w:tcPr>
          <w:p w14:paraId="5E788BF7" w14:textId="77777777" w:rsidR="00C07865" w:rsidRPr="009C6CAC" w:rsidRDefault="00C07865" w:rsidP="000D79D6">
            <w:pPr>
              <w:jc w:val="center"/>
              <w:rPr>
                <w:rFonts w:ascii="Times New Roman" w:hAnsi="Times New Roman" w:cs="Times New Roman"/>
                <w:b/>
                <w:bCs/>
                <w:sz w:val="24"/>
                <w:szCs w:val="24"/>
              </w:rPr>
            </w:pPr>
          </w:p>
        </w:tc>
        <w:tc>
          <w:tcPr>
            <w:tcW w:w="3544" w:type="dxa"/>
          </w:tcPr>
          <w:p w14:paraId="519E6064"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814" w:type="dxa"/>
          </w:tcPr>
          <w:p w14:paraId="43E4B81E"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1E9A9457" w14:textId="77777777" w:rsidTr="0082590D">
        <w:tc>
          <w:tcPr>
            <w:tcW w:w="704" w:type="dxa"/>
          </w:tcPr>
          <w:p w14:paraId="732114C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gridSpan w:val="2"/>
          </w:tcPr>
          <w:p w14:paraId="572787B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ve zayıf kokulu gazlar için aşağıdaki özellikleri içeren toplama sistemleri:</w:t>
            </w:r>
          </w:p>
          <w:p w14:paraId="228E348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kapaklar, emme davlumbazı, havalandırma kanalları ve yeterli kapasiteli tahliye sistemi;</w:t>
            </w:r>
          </w:p>
          <w:p w14:paraId="4482BA1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sürekli sızıntı tespit sistemi;</w:t>
            </w:r>
          </w:p>
          <w:p w14:paraId="662B1A3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güvenlik önlemleri ve ekipmanı.</w:t>
            </w:r>
          </w:p>
        </w:tc>
      </w:tr>
      <w:tr w:rsidR="00C07865" w:rsidRPr="009C6CAC" w14:paraId="4A05531D" w14:textId="77777777" w:rsidTr="0082590D">
        <w:tc>
          <w:tcPr>
            <w:tcW w:w="704" w:type="dxa"/>
          </w:tcPr>
          <w:p w14:paraId="2B39A2F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3544" w:type="dxa"/>
          </w:tcPr>
          <w:p w14:paraId="5D2D19D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ve zayıf yoğuşmayan gazlar</w:t>
            </w:r>
          </w:p>
        </w:tc>
        <w:tc>
          <w:tcPr>
            <w:tcW w:w="4814" w:type="dxa"/>
          </w:tcPr>
          <w:p w14:paraId="26455DF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Yakma, aşağıdakiler kullanılarak yürütülebilir:</w:t>
            </w:r>
          </w:p>
          <w:p w14:paraId="4E31C4A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geri kazanım kazanı</w:t>
            </w:r>
          </w:p>
          <w:p w14:paraId="665266A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kireç fırını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p w14:paraId="0238032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SO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uzaklaştırması için ıslak yıkayıcılarla donatılmış özel TRS brülörü veya</w:t>
            </w:r>
          </w:p>
          <w:p w14:paraId="39DDF91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güç kazanı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p w14:paraId="13AA9060" w14:textId="77777777" w:rsidR="00C07865" w:rsidRPr="009C6CAC" w:rsidRDefault="00C07865" w:rsidP="000D79D6">
            <w:pPr>
              <w:jc w:val="both"/>
              <w:rPr>
                <w:rFonts w:ascii="Times New Roman" w:hAnsi="Times New Roman" w:cs="Times New Roman"/>
                <w:sz w:val="24"/>
                <w:szCs w:val="24"/>
              </w:rPr>
            </w:pPr>
          </w:p>
          <w:p w14:paraId="11717E4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kokulu gazlar için sabit bir yakma sağlamak adına, destek sistemleri kurulur. Kireç fırınları, geri kazanım kazanları için destek sistemi olabilir; diğer destek sistemleri ise, alevler ve paket tipi kazanlardır.</w:t>
            </w:r>
          </w:p>
        </w:tc>
      </w:tr>
      <w:tr w:rsidR="00C07865" w:rsidRPr="009C6CAC" w14:paraId="28C372E3" w14:textId="77777777" w:rsidTr="0082590D">
        <w:tc>
          <w:tcPr>
            <w:tcW w:w="704" w:type="dxa"/>
          </w:tcPr>
          <w:p w14:paraId="49524EA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gridSpan w:val="2"/>
          </w:tcPr>
          <w:p w14:paraId="75A07C0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Yakma sisteminin kesintisine ve ilişkili emisyonlara yönelik kayıt tutulması (</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 xml:space="preserve">) </w:t>
            </w:r>
          </w:p>
        </w:tc>
      </w:tr>
      <w:tr w:rsidR="0010256D" w:rsidRPr="009C6CAC" w14:paraId="65E1A6DA" w14:textId="77777777" w:rsidTr="0082590D">
        <w:tc>
          <w:tcPr>
            <w:tcW w:w="9062" w:type="dxa"/>
            <w:gridSpan w:val="3"/>
          </w:tcPr>
          <w:p w14:paraId="3B1FBB3A" w14:textId="77777777" w:rsidR="007829D0" w:rsidRPr="0082590D" w:rsidRDefault="007829D0" w:rsidP="007829D0">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Güçlü yoğuşmayan gazlar (NCG) fırına beslendiğinde ve alkali yıkayıcılar kullanılmadığında, kireç fırınından kaynaklanan SO</w:t>
            </w:r>
            <w:r w:rsidRPr="0082590D">
              <w:rPr>
                <w:rFonts w:ascii="Times New Roman" w:hAnsi="Times New Roman" w:cs="Times New Roman"/>
                <w:sz w:val="20"/>
                <w:szCs w:val="20"/>
                <w:vertAlign w:val="subscript"/>
              </w:rPr>
              <w:t>x</w:t>
            </w:r>
            <w:r w:rsidRPr="0082590D">
              <w:rPr>
                <w:rFonts w:ascii="Times New Roman" w:hAnsi="Times New Roman" w:cs="Times New Roman"/>
                <w:sz w:val="20"/>
                <w:szCs w:val="20"/>
              </w:rPr>
              <w:t xml:space="preserve"> emisyon seviyeleri önemli ölçüde artar.</w:t>
            </w:r>
          </w:p>
          <w:p w14:paraId="4B5E7ABC" w14:textId="77777777" w:rsidR="007829D0" w:rsidRPr="0082590D" w:rsidRDefault="007829D0" w:rsidP="007829D0">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Zayıf kokulu gazların arıtımı için uygulanabilir.</w:t>
            </w:r>
          </w:p>
          <w:p w14:paraId="3FE240ED" w14:textId="02974FE6" w:rsidR="0010256D" w:rsidRPr="009C6CAC" w:rsidRDefault="007829D0" w:rsidP="007829D0">
            <w:pPr>
              <w:jc w:val="both"/>
              <w:rPr>
                <w:rFonts w:ascii="Times New Roman" w:hAnsi="Times New Roman" w:cs="Times New Roman"/>
                <w:sz w:val="24"/>
                <w:szCs w:val="24"/>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Güçlü kokulu gazların arıtımı için uygulanabilir.</w:t>
            </w:r>
          </w:p>
        </w:tc>
      </w:tr>
      <w:tr w:rsidR="00C07865" w:rsidRPr="009C6CAC" w14:paraId="7262CCAD" w14:textId="77777777" w:rsidTr="0082590D">
        <w:tc>
          <w:tcPr>
            <w:tcW w:w="9062" w:type="dxa"/>
            <w:gridSpan w:val="3"/>
          </w:tcPr>
          <w:p w14:paraId="42E8A731" w14:textId="71506E8D" w:rsidR="00C07865" w:rsidRPr="009C6CAC" w:rsidRDefault="00C07865" w:rsidP="000D79D6">
            <w:pPr>
              <w:jc w:val="both"/>
              <w:rPr>
                <w:rFonts w:ascii="Times New Roman" w:hAnsi="Times New Roman" w:cs="Times New Roman"/>
                <w:i/>
                <w:iCs/>
                <w:sz w:val="24"/>
                <w:szCs w:val="24"/>
              </w:rPr>
            </w:pPr>
          </w:p>
        </w:tc>
      </w:tr>
    </w:tbl>
    <w:p w14:paraId="53530CCC" w14:textId="77777777" w:rsidR="00C07865" w:rsidRPr="009C6CAC" w:rsidRDefault="00C07865" w:rsidP="00C07865">
      <w:pPr>
        <w:spacing w:after="120" w:line="276" w:lineRule="auto"/>
        <w:jc w:val="both"/>
        <w:rPr>
          <w:rFonts w:ascii="Times New Roman" w:hAnsi="Times New Roman" w:cs="Times New Roman"/>
          <w:sz w:val="24"/>
          <w:szCs w:val="24"/>
        </w:rPr>
      </w:pPr>
    </w:p>
    <w:p w14:paraId="341EC301"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Yeni tesisler ve mevcut tesislerdeki büyük iyileştirmeler için genellikle uygulanabilir. Gerekli ekipmanların kurulumu, düzen ve alan kısıtlamalarından dolayı mevcut tesisler için zor olabilir. Yakma uygulanabilirliği, güvenlik gerekçesiyle kısıtlanabilir ve bu durumda, ıslak yıkayıcılar kullanılabilir.</w:t>
      </w:r>
    </w:p>
    <w:p w14:paraId="1B2BCF7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 xml:space="preserve">Salınan artık zayıf gazlardaki toplam indirgenmiş sülfürün (TRS) </w:t>
      </w:r>
      <w:r w:rsidR="00C62A87">
        <w:rPr>
          <w:rFonts w:ascii="Times New Roman" w:hAnsi="Times New Roman" w:cs="Times New Roman"/>
          <w:sz w:val="24"/>
          <w:szCs w:val="24"/>
        </w:rPr>
        <w:t>MET</w:t>
      </w:r>
      <w:r w:rsidRPr="009C6CAC">
        <w:rPr>
          <w:rFonts w:ascii="Times New Roman" w:hAnsi="Times New Roman" w:cs="Times New Roman"/>
          <w:sz w:val="24"/>
          <w:szCs w:val="24"/>
        </w:rPr>
        <w:t xml:space="preserve"> ile ilişkili emisyon seviyesi 0,05 - 0,2 kg S/ADt'dir.</w:t>
      </w:r>
    </w:p>
    <w:p w14:paraId="7AC3A4E1" w14:textId="77777777" w:rsidR="00C07865" w:rsidRPr="009C6CAC" w:rsidRDefault="00C07865" w:rsidP="00C07865">
      <w:pPr>
        <w:pStyle w:val="Balk4"/>
        <w:spacing w:before="0" w:after="120" w:line="276" w:lineRule="auto"/>
        <w:jc w:val="both"/>
        <w:rPr>
          <w:rFonts w:ascii="Times New Roman" w:hAnsi="Times New Roman" w:cs="Times New Roman"/>
          <w:b/>
          <w:bCs/>
          <w:i w:val="0"/>
          <w:iCs w:val="0"/>
          <w:color w:val="auto"/>
          <w:sz w:val="24"/>
          <w:szCs w:val="24"/>
        </w:rPr>
      </w:pPr>
      <w:r w:rsidRPr="009C6CAC">
        <w:rPr>
          <w:rFonts w:ascii="Times New Roman" w:hAnsi="Times New Roman" w:cs="Times New Roman"/>
          <w:b/>
          <w:bCs/>
          <w:i w:val="0"/>
          <w:iCs w:val="0"/>
          <w:color w:val="auto"/>
          <w:sz w:val="24"/>
          <w:szCs w:val="24"/>
        </w:rPr>
        <w:lastRenderedPageBreak/>
        <w:t>(2.2.2) Geri Kazanım Kazanından Kaynaklanan Emisyonların Azaltımı</w:t>
      </w:r>
    </w:p>
    <w:p w14:paraId="3E994DF7"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SO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ve TRS Emisyonları</w:t>
      </w:r>
    </w:p>
    <w:p w14:paraId="1A50CAE2"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21:</w:t>
      </w:r>
      <w:r w:rsidRPr="009C6CAC">
        <w:rPr>
          <w:rFonts w:ascii="Times New Roman" w:hAnsi="Times New Roman" w:cs="Times New Roman"/>
          <w:sz w:val="24"/>
          <w:szCs w:val="24"/>
        </w:rPr>
        <w:t xml:space="preserve"> Geri kazanım kazanından kaynaklanan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ve TRS emisyonlarını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63E4FC54" w14:textId="77777777" w:rsidTr="000D79D6">
        <w:trPr>
          <w:tblHeader/>
          <w:jc w:val="center"/>
        </w:trPr>
        <w:tc>
          <w:tcPr>
            <w:tcW w:w="704" w:type="dxa"/>
            <w:vAlign w:val="center"/>
          </w:tcPr>
          <w:p w14:paraId="288404E3"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6BBC489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31389CD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1E12DDC9" w14:textId="77777777" w:rsidTr="000D79D6">
        <w:trPr>
          <w:jc w:val="center"/>
        </w:trPr>
        <w:tc>
          <w:tcPr>
            <w:tcW w:w="704" w:type="dxa"/>
            <w:vAlign w:val="center"/>
          </w:tcPr>
          <w:p w14:paraId="62B10CC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3D438469"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 xml:space="preserve">Siyah </w:t>
            </w:r>
            <w:r w:rsidR="00E94888" w:rsidRPr="00DB27A7">
              <w:rPr>
                <w:rFonts w:ascii="Times New Roman" w:hAnsi="Times New Roman" w:cs="Times New Roman"/>
                <w:color w:val="000000" w:themeColor="text1"/>
                <w:sz w:val="24"/>
                <w:szCs w:val="24"/>
              </w:rPr>
              <w:t>banyo sularındaki</w:t>
            </w:r>
            <w:r w:rsidRPr="00DB27A7">
              <w:rPr>
                <w:rFonts w:ascii="Times New Roman" w:hAnsi="Times New Roman" w:cs="Times New Roman"/>
                <w:color w:val="000000" w:themeColor="text1"/>
                <w:sz w:val="24"/>
                <w:szCs w:val="24"/>
              </w:rPr>
              <w:t xml:space="preserve"> kuru katı (DS) içeriğinin artırılması</w:t>
            </w:r>
          </w:p>
        </w:tc>
        <w:tc>
          <w:tcPr>
            <w:tcW w:w="4179" w:type="dxa"/>
            <w:vAlign w:val="center"/>
          </w:tcPr>
          <w:p w14:paraId="623B7560"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 xml:space="preserve">Siyah </w:t>
            </w:r>
            <w:r w:rsidR="00E94888" w:rsidRPr="00DB27A7">
              <w:rPr>
                <w:rFonts w:ascii="Times New Roman" w:hAnsi="Times New Roman" w:cs="Times New Roman"/>
                <w:color w:val="000000" w:themeColor="text1"/>
                <w:sz w:val="24"/>
                <w:szCs w:val="24"/>
              </w:rPr>
              <w:t>banyo suları</w:t>
            </w:r>
            <w:r w:rsidRPr="00DB27A7">
              <w:rPr>
                <w:rFonts w:ascii="Times New Roman" w:hAnsi="Times New Roman" w:cs="Times New Roman"/>
                <w:color w:val="000000" w:themeColor="text1"/>
                <w:sz w:val="24"/>
                <w:szCs w:val="24"/>
              </w:rPr>
              <w:t>, yakmadan önce bir buharlaştırma prosesi ile konsantre hale getirilebilir.</w:t>
            </w:r>
          </w:p>
        </w:tc>
      </w:tr>
      <w:tr w:rsidR="00C07865" w:rsidRPr="009C6CAC" w14:paraId="073DE409" w14:textId="77777777" w:rsidTr="000D79D6">
        <w:trPr>
          <w:jc w:val="center"/>
        </w:trPr>
        <w:tc>
          <w:tcPr>
            <w:tcW w:w="704" w:type="dxa"/>
            <w:vAlign w:val="center"/>
          </w:tcPr>
          <w:p w14:paraId="54D32FC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44DDA5C3"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Optimize edilmiş pişirme</w:t>
            </w:r>
          </w:p>
        </w:tc>
        <w:tc>
          <w:tcPr>
            <w:tcW w:w="4179" w:type="dxa"/>
            <w:vAlign w:val="center"/>
          </w:tcPr>
          <w:p w14:paraId="062CFEF6"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Pişirme koşulları, örn. hava ve yakıtın iyi karıştırılması, fırın yükünün kontrolü vb. ile iyileştirilebilir.</w:t>
            </w:r>
          </w:p>
        </w:tc>
      </w:tr>
      <w:tr w:rsidR="00C07865" w:rsidRPr="009C6CAC" w14:paraId="42BA5195" w14:textId="77777777" w:rsidTr="000D79D6">
        <w:trPr>
          <w:jc w:val="center"/>
        </w:trPr>
        <w:tc>
          <w:tcPr>
            <w:tcW w:w="704" w:type="dxa"/>
            <w:vAlign w:val="center"/>
          </w:tcPr>
          <w:p w14:paraId="6C61D76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gridSpan w:val="2"/>
            <w:vAlign w:val="center"/>
          </w:tcPr>
          <w:p w14:paraId="0090813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Islak yıkayıcı</w:t>
            </w:r>
          </w:p>
        </w:tc>
      </w:tr>
    </w:tbl>
    <w:p w14:paraId="32C9B319" w14:textId="77777777" w:rsidR="0012437F" w:rsidRDefault="0012437F" w:rsidP="00C07865">
      <w:pPr>
        <w:spacing w:after="120" w:line="276" w:lineRule="auto"/>
        <w:jc w:val="both"/>
        <w:rPr>
          <w:rFonts w:ascii="Times New Roman" w:hAnsi="Times New Roman" w:cs="Times New Roman"/>
          <w:b/>
          <w:bCs/>
          <w:sz w:val="24"/>
          <w:szCs w:val="24"/>
        </w:rPr>
      </w:pPr>
    </w:p>
    <w:p w14:paraId="0EC6EFDD" w14:textId="4B02502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14CC83BC"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3</w:t>
      </w:r>
    </w:p>
    <w:p w14:paraId="04E68CC5"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kazanım kazanından kaynaklanan SO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ve TRS emisyonlarına yönelik MET-İES’ler</w:t>
      </w:r>
    </w:p>
    <w:tbl>
      <w:tblPr>
        <w:tblStyle w:val="TabloKlavuzuAk"/>
        <w:tblW w:w="0" w:type="auto"/>
        <w:tblLook w:val="04A0" w:firstRow="1" w:lastRow="0" w:firstColumn="1" w:lastColumn="0" w:noHBand="0" w:noVBand="1"/>
      </w:tblPr>
      <w:tblGrid>
        <w:gridCol w:w="1812"/>
        <w:gridCol w:w="1585"/>
        <w:gridCol w:w="1701"/>
        <w:gridCol w:w="1985"/>
        <w:gridCol w:w="1979"/>
      </w:tblGrid>
      <w:tr w:rsidR="00C07865" w:rsidRPr="009C6CAC" w14:paraId="5AB69632" w14:textId="77777777" w:rsidTr="0082590D">
        <w:tc>
          <w:tcPr>
            <w:tcW w:w="3397" w:type="dxa"/>
            <w:gridSpan w:val="2"/>
          </w:tcPr>
          <w:p w14:paraId="1BB3112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1701" w:type="dxa"/>
          </w:tcPr>
          <w:p w14:paraId="3FA59F6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Günlük Ortalama (</w:t>
            </w:r>
            <w:r w:rsidRPr="009C6CAC">
              <w:rPr>
                <w:rFonts w:ascii="Times New Roman" w:hAnsi="Times New Roman" w:cs="Times New Roman"/>
                <w:b/>
                <w:bCs/>
                <w:sz w:val="24"/>
                <w:szCs w:val="24"/>
                <w:vertAlign w:val="superscript"/>
              </w:rPr>
              <w:t>1</w:t>
            </w:r>
            <w:r w:rsidRPr="009C6CAC">
              <w:rPr>
                <w:rFonts w:ascii="Times New Roman" w:hAnsi="Times New Roman" w:cs="Times New Roman"/>
                <w:b/>
                <w:bCs/>
                <w:sz w:val="24"/>
                <w:szCs w:val="24"/>
              </w:rPr>
              <w:t>)(</w:t>
            </w:r>
            <w:r w:rsidRPr="009C6CAC">
              <w:rPr>
                <w:rFonts w:ascii="Times New Roman" w:hAnsi="Times New Roman" w:cs="Times New Roman"/>
                <w:b/>
                <w:bCs/>
                <w:sz w:val="24"/>
                <w:szCs w:val="24"/>
                <w:vertAlign w:val="superscript"/>
              </w:rPr>
              <w:t>2</w:t>
            </w:r>
            <w:r w:rsidRPr="009C6CAC">
              <w:rPr>
                <w:rFonts w:ascii="Times New Roman" w:hAnsi="Times New Roman" w:cs="Times New Roman"/>
                <w:b/>
                <w:bCs/>
                <w:sz w:val="24"/>
                <w:szCs w:val="24"/>
              </w:rPr>
              <w:t>)</w:t>
            </w:r>
          </w:p>
          <w:p w14:paraId="4FE0AF3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1985" w:type="dxa"/>
          </w:tcPr>
          <w:p w14:paraId="79ADF24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 (</w:t>
            </w:r>
            <w:r w:rsidRPr="009C6CAC">
              <w:rPr>
                <w:rFonts w:ascii="Times New Roman" w:hAnsi="Times New Roman" w:cs="Times New Roman"/>
                <w:b/>
                <w:bCs/>
                <w:sz w:val="24"/>
                <w:szCs w:val="24"/>
                <w:vertAlign w:val="superscript"/>
              </w:rPr>
              <w:t>1</w:t>
            </w:r>
            <w:r w:rsidRPr="009C6CAC">
              <w:rPr>
                <w:rFonts w:ascii="Times New Roman" w:hAnsi="Times New Roman" w:cs="Times New Roman"/>
                <w:b/>
                <w:bCs/>
                <w:sz w:val="24"/>
                <w:szCs w:val="24"/>
              </w:rPr>
              <w:t>)</w:t>
            </w:r>
          </w:p>
          <w:p w14:paraId="21342A7E"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1979" w:type="dxa"/>
          </w:tcPr>
          <w:p w14:paraId="694EED2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 (</w:t>
            </w:r>
            <w:r w:rsidRPr="009C6CAC">
              <w:rPr>
                <w:rFonts w:ascii="Times New Roman" w:hAnsi="Times New Roman" w:cs="Times New Roman"/>
                <w:b/>
                <w:bCs/>
                <w:sz w:val="24"/>
                <w:szCs w:val="24"/>
                <w:vertAlign w:val="superscript"/>
              </w:rPr>
              <w:t>1</w:t>
            </w:r>
            <w:r w:rsidRPr="009C6CAC">
              <w:rPr>
                <w:rFonts w:ascii="Times New Roman" w:hAnsi="Times New Roman" w:cs="Times New Roman"/>
                <w:b/>
                <w:bCs/>
                <w:sz w:val="24"/>
                <w:szCs w:val="24"/>
              </w:rPr>
              <w:t>)</w:t>
            </w:r>
          </w:p>
          <w:p w14:paraId="13EBDE2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S/ADt</w:t>
            </w:r>
          </w:p>
        </w:tc>
      </w:tr>
      <w:tr w:rsidR="00C07865" w:rsidRPr="009C6CAC" w14:paraId="0D7440A5" w14:textId="77777777" w:rsidTr="0082590D">
        <w:tc>
          <w:tcPr>
            <w:tcW w:w="1812" w:type="dxa"/>
            <w:vMerge w:val="restart"/>
          </w:tcPr>
          <w:p w14:paraId="29ACEB0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w:t>
            </w:r>
          </w:p>
        </w:tc>
        <w:tc>
          <w:tcPr>
            <w:tcW w:w="1585" w:type="dxa"/>
          </w:tcPr>
          <w:p w14:paraId="69C271B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&lt; %75</w:t>
            </w:r>
          </w:p>
        </w:tc>
        <w:tc>
          <w:tcPr>
            <w:tcW w:w="1701" w:type="dxa"/>
          </w:tcPr>
          <w:p w14:paraId="63908BE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10-70</w:t>
            </w:r>
          </w:p>
        </w:tc>
        <w:tc>
          <w:tcPr>
            <w:tcW w:w="1985" w:type="dxa"/>
          </w:tcPr>
          <w:p w14:paraId="3B553A9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5-50</w:t>
            </w:r>
          </w:p>
        </w:tc>
        <w:tc>
          <w:tcPr>
            <w:tcW w:w="1979" w:type="dxa"/>
          </w:tcPr>
          <w:p w14:paraId="4FB5D33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2DDE46CD" w14:textId="77777777" w:rsidTr="0082590D">
        <w:tc>
          <w:tcPr>
            <w:tcW w:w="1812" w:type="dxa"/>
            <w:vMerge/>
          </w:tcPr>
          <w:p w14:paraId="3FE0A9BF" w14:textId="77777777" w:rsidR="00C07865" w:rsidRPr="009C6CAC" w:rsidRDefault="00C07865" w:rsidP="000D79D6">
            <w:pPr>
              <w:jc w:val="center"/>
              <w:rPr>
                <w:rFonts w:ascii="Times New Roman" w:hAnsi="Times New Roman" w:cs="Times New Roman"/>
                <w:sz w:val="24"/>
                <w:szCs w:val="24"/>
              </w:rPr>
            </w:pPr>
          </w:p>
        </w:tc>
        <w:tc>
          <w:tcPr>
            <w:tcW w:w="1585" w:type="dxa"/>
          </w:tcPr>
          <w:p w14:paraId="28DCD9E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%75-83 (</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w:t>
            </w:r>
          </w:p>
        </w:tc>
        <w:tc>
          <w:tcPr>
            <w:tcW w:w="1701" w:type="dxa"/>
          </w:tcPr>
          <w:p w14:paraId="3B9F703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10-50</w:t>
            </w:r>
          </w:p>
        </w:tc>
        <w:tc>
          <w:tcPr>
            <w:tcW w:w="1985" w:type="dxa"/>
          </w:tcPr>
          <w:p w14:paraId="6EA1DCC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5-25</w:t>
            </w:r>
          </w:p>
        </w:tc>
        <w:tc>
          <w:tcPr>
            <w:tcW w:w="1979" w:type="dxa"/>
          </w:tcPr>
          <w:p w14:paraId="529EB6F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58E7793C" w14:textId="77777777" w:rsidTr="0082590D">
        <w:tc>
          <w:tcPr>
            <w:tcW w:w="3397" w:type="dxa"/>
            <w:gridSpan w:val="2"/>
          </w:tcPr>
          <w:p w14:paraId="434EDFD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İndirgenmiş Kükürt (TRS)</w:t>
            </w:r>
          </w:p>
        </w:tc>
        <w:tc>
          <w:tcPr>
            <w:tcW w:w="1701" w:type="dxa"/>
          </w:tcPr>
          <w:p w14:paraId="43EF26B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1-10 (</w:t>
            </w:r>
            <w:r w:rsidRPr="009C6CAC">
              <w:rPr>
                <w:rFonts w:ascii="Times New Roman" w:hAnsi="Times New Roman" w:cs="Times New Roman"/>
                <w:sz w:val="24"/>
                <w:szCs w:val="24"/>
                <w:vertAlign w:val="superscript"/>
              </w:rPr>
              <w:t>4</w:t>
            </w:r>
            <w:r w:rsidRPr="009C6CAC">
              <w:rPr>
                <w:rFonts w:ascii="Times New Roman" w:hAnsi="Times New Roman" w:cs="Times New Roman"/>
                <w:sz w:val="24"/>
                <w:szCs w:val="24"/>
              </w:rPr>
              <w:t>)</w:t>
            </w:r>
          </w:p>
        </w:tc>
        <w:tc>
          <w:tcPr>
            <w:tcW w:w="1985" w:type="dxa"/>
          </w:tcPr>
          <w:p w14:paraId="48ADC10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1-5</w:t>
            </w:r>
          </w:p>
        </w:tc>
        <w:tc>
          <w:tcPr>
            <w:tcW w:w="1979" w:type="dxa"/>
          </w:tcPr>
          <w:p w14:paraId="4CD3155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06FCCFFF" w14:textId="77777777" w:rsidTr="0082590D">
        <w:tc>
          <w:tcPr>
            <w:tcW w:w="1812" w:type="dxa"/>
            <w:vMerge w:val="restart"/>
          </w:tcPr>
          <w:p w14:paraId="4322D49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Gaz Halindeki S (TRS-S +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w:t>
            </w:r>
          </w:p>
        </w:tc>
        <w:tc>
          <w:tcPr>
            <w:tcW w:w="1585" w:type="dxa"/>
          </w:tcPr>
          <w:p w14:paraId="2A420D2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&lt; %75</w:t>
            </w:r>
          </w:p>
        </w:tc>
        <w:tc>
          <w:tcPr>
            <w:tcW w:w="1701" w:type="dxa"/>
            <w:vMerge w:val="restart"/>
          </w:tcPr>
          <w:p w14:paraId="4300684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c>
          <w:tcPr>
            <w:tcW w:w="1985" w:type="dxa"/>
            <w:vMerge w:val="restart"/>
          </w:tcPr>
          <w:p w14:paraId="01ACC84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c>
          <w:tcPr>
            <w:tcW w:w="1979" w:type="dxa"/>
          </w:tcPr>
          <w:p w14:paraId="5C8C21E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0,03-0,17</w:t>
            </w:r>
          </w:p>
        </w:tc>
      </w:tr>
      <w:tr w:rsidR="00C07865" w:rsidRPr="009C6CAC" w14:paraId="1D9EB7F8" w14:textId="77777777" w:rsidTr="0082590D">
        <w:tc>
          <w:tcPr>
            <w:tcW w:w="1812" w:type="dxa"/>
            <w:vMerge/>
          </w:tcPr>
          <w:p w14:paraId="2BC41B8A" w14:textId="77777777" w:rsidR="00C07865" w:rsidRPr="009C6CAC" w:rsidRDefault="00C07865" w:rsidP="000D79D6">
            <w:pPr>
              <w:jc w:val="center"/>
              <w:rPr>
                <w:rFonts w:ascii="Times New Roman" w:hAnsi="Times New Roman" w:cs="Times New Roman"/>
                <w:sz w:val="24"/>
                <w:szCs w:val="24"/>
              </w:rPr>
            </w:pPr>
          </w:p>
        </w:tc>
        <w:tc>
          <w:tcPr>
            <w:tcW w:w="1585" w:type="dxa"/>
          </w:tcPr>
          <w:p w14:paraId="1D6155E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%75-83 (</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w:t>
            </w:r>
          </w:p>
        </w:tc>
        <w:tc>
          <w:tcPr>
            <w:tcW w:w="1701" w:type="dxa"/>
            <w:vMerge/>
          </w:tcPr>
          <w:p w14:paraId="3A2A21F1" w14:textId="77777777" w:rsidR="00C07865" w:rsidRPr="009C6CAC" w:rsidRDefault="00C07865" w:rsidP="000D79D6">
            <w:pPr>
              <w:jc w:val="center"/>
              <w:rPr>
                <w:rFonts w:ascii="Times New Roman" w:hAnsi="Times New Roman" w:cs="Times New Roman"/>
                <w:sz w:val="24"/>
                <w:szCs w:val="24"/>
              </w:rPr>
            </w:pPr>
          </w:p>
        </w:tc>
        <w:tc>
          <w:tcPr>
            <w:tcW w:w="1985" w:type="dxa"/>
            <w:vMerge/>
          </w:tcPr>
          <w:p w14:paraId="7D64E0E8" w14:textId="77777777" w:rsidR="00C07865" w:rsidRPr="009C6CAC" w:rsidRDefault="00C07865" w:rsidP="000D79D6">
            <w:pPr>
              <w:jc w:val="center"/>
              <w:rPr>
                <w:rFonts w:ascii="Times New Roman" w:hAnsi="Times New Roman" w:cs="Times New Roman"/>
                <w:sz w:val="24"/>
                <w:szCs w:val="24"/>
              </w:rPr>
            </w:pPr>
          </w:p>
        </w:tc>
        <w:tc>
          <w:tcPr>
            <w:tcW w:w="1979" w:type="dxa"/>
          </w:tcPr>
          <w:p w14:paraId="221513A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0,03-0,13</w:t>
            </w:r>
          </w:p>
        </w:tc>
      </w:tr>
      <w:tr w:rsidR="007829D0" w:rsidRPr="009C6CAC" w14:paraId="659CEBE2" w14:textId="77777777" w:rsidTr="005343AF">
        <w:tc>
          <w:tcPr>
            <w:tcW w:w="9062" w:type="dxa"/>
            <w:gridSpan w:val="5"/>
          </w:tcPr>
          <w:p w14:paraId="331CDFAA" w14:textId="77777777" w:rsidR="007829D0" w:rsidRPr="0082590D" w:rsidRDefault="007829D0" w:rsidP="007829D0">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1</w:t>
            </w:r>
            <w:r w:rsidRPr="0082590D">
              <w:rPr>
                <w:rFonts w:ascii="Times New Roman" w:hAnsi="Times New Roman" w:cs="Times New Roman"/>
                <w:color w:val="000000" w:themeColor="text1"/>
                <w:sz w:val="20"/>
                <w:szCs w:val="20"/>
              </w:rPr>
              <w:t>) Siyah banyo sularının DS içeriğinin artırılması, daha düşük SO</w:t>
            </w:r>
            <w:r w:rsidRPr="0082590D">
              <w:rPr>
                <w:rFonts w:ascii="Times New Roman" w:hAnsi="Times New Roman" w:cs="Times New Roman"/>
                <w:color w:val="000000" w:themeColor="text1"/>
                <w:sz w:val="20"/>
                <w:szCs w:val="20"/>
                <w:vertAlign w:val="subscript"/>
              </w:rPr>
              <w:t>2</w:t>
            </w:r>
            <w:r w:rsidRPr="0082590D">
              <w:rPr>
                <w:rFonts w:ascii="Times New Roman" w:hAnsi="Times New Roman" w:cs="Times New Roman"/>
                <w:color w:val="000000" w:themeColor="text1"/>
                <w:sz w:val="20"/>
                <w:szCs w:val="20"/>
              </w:rPr>
              <w:t xml:space="preserve"> ve daha yüksek NO</w:t>
            </w:r>
            <w:r w:rsidRPr="0082590D">
              <w:rPr>
                <w:rFonts w:ascii="Times New Roman" w:hAnsi="Times New Roman" w:cs="Times New Roman"/>
                <w:color w:val="000000" w:themeColor="text1"/>
                <w:sz w:val="20"/>
                <w:szCs w:val="20"/>
                <w:vertAlign w:val="subscript"/>
              </w:rPr>
              <w:t>x</w:t>
            </w:r>
            <w:r w:rsidRPr="0082590D">
              <w:rPr>
                <w:rFonts w:ascii="Times New Roman" w:hAnsi="Times New Roman" w:cs="Times New Roman"/>
                <w:color w:val="000000" w:themeColor="text1"/>
                <w:sz w:val="20"/>
                <w:szCs w:val="20"/>
              </w:rPr>
              <w:t xml:space="preserve"> emisyonlarına yol açar. Bundan dolayı, düşük SO</w:t>
            </w:r>
            <w:r w:rsidRPr="0082590D">
              <w:rPr>
                <w:rFonts w:ascii="Times New Roman" w:hAnsi="Times New Roman" w:cs="Times New Roman"/>
                <w:color w:val="000000" w:themeColor="text1"/>
                <w:sz w:val="20"/>
                <w:szCs w:val="20"/>
                <w:vertAlign w:val="subscript"/>
              </w:rPr>
              <w:t>2</w:t>
            </w:r>
            <w:r w:rsidRPr="0082590D">
              <w:rPr>
                <w:rFonts w:ascii="Times New Roman" w:hAnsi="Times New Roman" w:cs="Times New Roman"/>
                <w:color w:val="000000" w:themeColor="text1"/>
                <w:sz w:val="20"/>
                <w:szCs w:val="20"/>
              </w:rPr>
              <w:t xml:space="preserve"> emisyon seviyeli geri kazanım kazanı, NO</w:t>
            </w:r>
            <w:r w:rsidRPr="0082590D">
              <w:rPr>
                <w:rFonts w:ascii="Times New Roman" w:hAnsi="Times New Roman" w:cs="Times New Roman"/>
                <w:color w:val="000000" w:themeColor="text1"/>
                <w:sz w:val="20"/>
                <w:szCs w:val="20"/>
                <w:vertAlign w:val="subscript"/>
              </w:rPr>
              <w:t>x</w:t>
            </w:r>
            <w:r w:rsidRPr="0082590D">
              <w:rPr>
                <w:rFonts w:ascii="Times New Roman" w:hAnsi="Times New Roman" w:cs="Times New Roman"/>
                <w:color w:val="000000" w:themeColor="text1"/>
                <w:sz w:val="20"/>
                <w:szCs w:val="20"/>
              </w:rPr>
              <w:t xml:space="preserve"> için aralığın daha yüksek olan sınırında bulunabilir veya tam tersi olabilir.</w:t>
            </w:r>
          </w:p>
          <w:p w14:paraId="75BD41B0" w14:textId="77777777" w:rsidR="007829D0" w:rsidRPr="0082590D" w:rsidRDefault="007829D0" w:rsidP="007829D0">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2</w:t>
            </w:r>
            <w:r w:rsidRPr="0082590D">
              <w:rPr>
                <w:rFonts w:ascii="Times New Roman" w:hAnsi="Times New Roman" w:cs="Times New Roman"/>
                <w:color w:val="000000" w:themeColor="text1"/>
                <w:sz w:val="20"/>
                <w:szCs w:val="20"/>
              </w:rPr>
              <w:t>) MET-İES’ler geri kazanım kazanının, siyah banyo suları konsantrasyon tesisinin kapanmasından veya bakımından dolayı normal DS içeriğinden daha düşük bir DS içeriği ile çalıştığı süreleri kapsamaz.</w:t>
            </w:r>
          </w:p>
          <w:p w14:paraId="788E0155" w14:textId="77777777" w:rsidR="007829D0" w:rsidRPr="0082590D" w:rsidRDefault="007829D0" w:rsidP="00294440">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3</w:t>
            </w:r>
            <w:r w:rsidRPr="0082590D">
              <w:rPr>
                <w:rFonts w:ascii="Times New Roman" w:hAnsi="Times New Roman" w:cs="Times New Roman"/>
                <w:color w:val="000000" w:themeColor="text1"/>
                <w:sz w:val="20"/>
                <w:szCs w:val="20"/>
              </w:rPr>
              <w:t>) Eğer geri kazanım kazanı, DS &gt; %83 içerikli siyah banyo suyunu yakacak olursa, SO</w:t>
            </w:r>
            <w:r w:rsidRPr="0082590D">
              <w:rPr>
                <w:rFonts w:ascii="Times New Roman" w:hAnsi="Times New Roman" w:cs="Times New Roman"/>
                <w:color w:val="000000" w:themeColor="text1"/>
                <w:sz w:val="20"/>
                <w:szCs w:val="20"/>
                <w:vertAlign w:val="subscript"/>
              </w:rPr>
              <w:t>2</w:t>
            </w:r>
            <w:r w:rsidRPr="0082590D">
              <w:rPr>
                <w:rFonts w:ascii="Times New Roman" w:hAnsi="Times New Roman" w:cs="Times New Roman"/>
                <w:color w:val="000000" w:themeColor="text1"/>
                <w:sz w:val="20"/>
                <w:szCs w:val="20"/>
              </w:rPr>
              <w:t xml:space="preserve"> ve gaz halindeki S emisyon seviyeleri özel duruma dayalı bir şekilde yeniden değerlendirilmelidir.</w:t>
            </w:r>
          </w:p>
          <w:p w14:paraId="7AD61894" w14:textId="77777777" w:rsidR="007829D0" w:rsidRPr="0082590D" w:rsidRDefault="007829D0">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4</w:t>
            </w:r>
            <w:r w:rsidRPr="0082590D">
              <w:rPr>
                <w:rFonts w:ascii="Times New Roman" w:hAnsi="Times New Roman" w:cs="Times New Roman"/>
                <w:color w:val="000000" w:themeColor="text1"/>
                <w:sz w:val="20"/>
                <w:szCs w:val="20"/>
              </w:rPr>
              <w:t>) Aralık, güçlü kokulu gazlar yakılmaksızın uygulanabilir.</w:t>
            </w:r>
          </w:p>
          <w:p w14:paraId="674F3B25" w14:textId="0279EBF7" w:rsidR="007829D0" w:rsidRPr="009C6CAC" w:rsidRDefault="007829D0" w:rsidP="0082590D">
            <w:pPr>
              <w:jc w:val="both"/>
              <w:rPr>
                <w:rFonts w:ascii="Times New Roman" w:hAnsi="Times New Roman" w:cs="Times New Roman"/>
                <w:sz w:val="24"/>
                <w:szCs w:val="24"/>
              </w:rPr>
            </w:pPr>
            <w:r w:rsidRPr="0082590D">
              <w:rPr>
                <w:rFonts w:ascii="Times New Roman" w:hAnsi="Times New Roman" w:cs="Times New Roman"/>
                <w:color w:val="000000" w:themeColor="text1"/>
                <w:sz w:val="20"/>
                <w:szCs w:val="20"/>
              </w:rPr>
              <w:t>DS = siyah banyo suları kuru katı içeriği.</w:t>
            </w:r>
          </w:p>
        </w:tc>
      </w:tr>
    </w:tbl>
    <w:p w14:paraId="1A558F1D" w14:textId="2A97D7CA" w:rsidR="00C07865" w:rsidRDefault="00C07865" w:rsidP="00C07865">
      <w:pPr>
        <w:spacing w:after="120" w:line="276" w:lineRule="auto"/>
        <w:jc w:val="both"/>
        <w:rPr>
          <w:rFonts w:ascii="Times New Roman" w:hAnsi="Times New Roman" w:cs="Times New Roman"/>
          <w:sz w:val="24"/>
          <w:szCs w:val="24"/>
        </w:rPr>
      </w:pPr>
    </w:p>
    <w:p w14:paraId="1E3E2E9C" w14:textId="528EE26C" w:rsidR="003526A3" w:rsidRDefault="003526A3" w:rsidP="00C07865">
      <w:pPr>
        <w:spacing w:after="120" w:line="276" w:lineRule="auto"/>
        <w:jc w:val="both"/>
        <w:rPr>
          <w:rFonts w:ascii="Times New Roman" w:hAnsi="Times New Roman" w:cs="Times New Roman"/>
          <w:sz w:val="24"/>
          <w:szCs w:val="24"/>
        </w:rPr>
      </w:pPr>
    </w:p>
    <w:p w14:paraId="4E913B93" w14:textId="34A75749" w:rsidR="003526A3" w:rsidRDefault="003526A3" w:rsidP="00C07865">
      <w:pPr>
        <w:spacing w:after="120" w:line="276" w:lineRule="auto"/>
        <w:jc w:val="both"/>
        <w:rPr>
          <w:rFonts w:ascii="Times New Roman" w:hAnsi="Times New Roman" w:cs="Times New Roman"/>
          <w:sz w:val="24"/>
          <w:szCs w:val="24"/>
        </w:rPr>
      </w:pPr>
    </w:p>
    <w:p w14:paraId="12CC600B" w14:textId="458D3547" w:rsidR="003526A3" w:rsidRDefault="003526A3" w:rsidP="00C07865">
      <w:pPr>
        <w:spacing w:after="120" w:line="276" w:lineRule="auto"/>
        <w:jc w:val="both"/>
        <w:rPr>
          <w:rFonts w:ascii="Times New Roman" w:hAnsi="Times New Roman" w:cs="Times New Roman"/>
          <w:sz w:val="24"/>
          <w:szCs w:val="24"/>
        </w:rPr>
      </w:pPr>
    </w:p>
    <w:p w14:paraId="5541AFDF" w14:textId="77777777" w:rsidR="003526A3" w:rsidRPr="009C6CAC" w:rsidRDefault="003526A3" w:rsidP="00C07865">
      <w:pPr>
        <w:spacing w:after="120" w:line="276" w:lineRule="auto"/>
        <w:jc w:val="both"/>
        <w:rPr>
          <w:rFonts w:ascii="Times New Roman" w:hAnsi="Times New Roman" w:cs="Times New Roman"/>
          <w:sz w:val="24"/>
          <w:szCs w:val="24"/>
        </w:rPr>
      </w:pPr>
    </w:p>
    <w:p w14:paraId="5F601CC1"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lastRenderedPageBreak/>
        <w:t>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Emisyonları</w:t>
      </w:r>
    </w:p>
    <w:p w14:paraId="053C146C"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22:</w:t>
      </w:r>
      <w:r w:rsidRPr="009C6CAC">
        <w:rPr>
          <w:rFonts w:ascii="Times New Roman" w:hAnsi="Times New Roman" w:cs="Times New Roman"/>
          <w:sz w:val="24"/>
          <w:szCs w:val="24"/>
        </w:rPr>
        <w:t xml:space="preserve"> Geri kazanım kazanından kaynaklanan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 azaltmak için, aşağıdaki özelliklerin tümünü içeren optimize edilmiş bir pişirme sistemi kullanılır.</w:t>
      </w:r>
    </w:p>
    <w:tbl>
      <w:tblPr>
        <w:tblStyle w:val="TabloKlavuzu"/>
        <w:tblW w:w="0" w:type="auto"/>
        <w:jc w:val="center"/>
        <w:tblLook w:val="04A0" w:firstRow="1" w:lastRow="0" w:firstColumn="1" w:lastColumn="0" w:noHBand="0" w:noVBand="1"/>
      </w:tblPr>
      <w:tblGrid>
        <w:gridCol w:w="704"/>
        <w:gridCol w:w="8358"/>
      </w:tblGrid>
      <w:tr w:rsidR="00C07865" w:rsidRPr="009C6CAC" w14:paraId="0E9BB2B7" w14:textId="77777777" w:rsidTr="000D79D6">
        <w:trPr>
          <w:tblHeader/>
          <w:jc w:val="center"/>
        </w:trPr>
        <w:tc>
          <w:tcPr>
            <w:tcW w:w="704" w:type="dxa"/>
            <w:vAlign w:val="center"/>
          </w:tcPr>
          <w:p w14:paraId="6CE833D2"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2318EF2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339D8054" w14:textId="77777777" w:rsidTr="000D79D6">
        <w:trPr>
          <w:jc w:val="center"/>
        </w:trPr>
        <w:tc>
          <w:tcPr>
            <w:tcW w:w="704" w:type="dxa"/>
            <w:vAlign w:val="center"/>
          </w:tcPr>
          <w:p w14:paraId="0623E08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2968C6C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Bilgisayar donanımlı yakma kontrolü</w:t>
            </w:r>
          </w:p>
        </w:tc>
      </w:tr>
      <w:tr w:rsidR="00C07865" w:rsidRPr="009C6CAC" w14:paraId="6E9083A8" w14:textId="77777777" w:rsidTr="000D79D6">
        <w:trPr>
          <w:jc w:val="center"/>
        </w:trPr>
        <w:tc>
          <w:tcPr>
            <w:tcW w:w="704" w:type="dxa"/>
            <w:vAlign w:val="center"/>
          </w:tcPr>
          <w:p w14:paraId="3C50E26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060AFCC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Yakıt ve havanın iyi karıştırılması</w:t>
            </w:r>
          </w:p>
        </w:tc>
      </w:tr>
      <w:tr w:rsidR="00C07865" w:rsidRPr="009C6CAC" w14:paraId="03607066" w14:textId="77777777" w:rsidTr="000D79D6">
        <w:trPr>
          <w:jc w:val="center"/>
        </w:trPr>
        <w:tc>
          <w:tcPr>
            <w:tcW w:w="704" w:type="dxa"/>
            <w:vAlign w:val="center"/>
          </w:tcPr>
          <w:p w14:paraId="3917BFA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5F20AB8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Aşamalı hava besleme sistemleri, örn. farklı hava menfezileri ve hava giriş bağlantıları kullanılarak</w:t>
            </w:r>
          </w:p>
        </w:tc>
      </w:tr>
    </w:tbl>
    <w:p w14:paraId="25C4A830" w14:textId="77777777" w:rsidR="00C07865" w:rsidRPr="009C6CAC" w:rsidRDefault="00C07865" w:rsidP="00C07865">
      <w:pPr>
        <w:spacing w:after="120" w:line="276" w:lineRule="auto"/>
        <w:jc w:val="both"/>
        <w:rPr>
          <w:rFonts w:ascii="Times New Roman" w:hAnsi="Times New Roman" w:cs="Times New Roman"/>
          <w:sz w:val="24"/>
          <w:szCs w:val="24"/>
        </w:rPr>
      </w:pPr>
    </w:p>
    <w:p w14:paraId="0474F695"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(c) tekniği, hava besleme sistemleri ve fırın için oldukça çok sayıda değişiklik gerektirmesi sebebiyle, yeni geri kazanım kazanları ve mevcut geri kazanım kazanlarındaki büyük iyileştirmeler için uygulanabilir.</w:t>
      </w:r>
    </w:p>
    <w:p w14:paraId="16246E00"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2BDF1654"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4</w:t>
      </w:r>
    </w:p>
    <w:p w14:paraId="28686657"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kazanım kazanından kaynaklanan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emisyonlarına yönelik MET-İES’ler</w:t>
      </w:r>
    </w:p>
    <w:tbl>
      <w:tblPr>
        <w:tblStyle w:val="TabloKlavuzu"/>
        <w:tblW w:w="0" w:type="auto"/>
        <w:tblLook w:val="04A0" w:firstRow="1" w:lastRow="0" w:firstColumn="1" w:lastColumn="0" w:noHBand="0" w:noVBand="1"/>
      </w:tblPr>
      <w:tblGrid>
        <w:gridCol w:w="1413"/>
        <w:gridCol w:w="1984"/>
        <w:gridCol w:w="2977"/>
        <w:gridCol w:w="2688"/>
      </w:tblGrid>
      <w:tr w:rsidR="00C07865" w:rsidRPr="009C6CAC" w14:paraId="5F4A6E9B" w14:textId="77777777" w:rsidTr="0082590D">
        <w:tc>
          <w:tcPr>
            <w:tcW w:w="3397" w:type="dxa"/>
            <w:gridSpan w:val="2"/>
          </w:tcPr>
          <w:p w14:paraId="482AD89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2977" w:type="dxa"/>
          </w:tcPr>
          <w:p w14:paraId="2EC31F0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 (</w:t>
            </w:r>
            <w:r w:rsidRPr="009C6CAC">
              <w:rPr>
                <w:rFonts w:ascii="Times New Roman" w:hAnsi="Times New Roman" w:cs="Times New Roman"/>
                <w:b/>
                <w:bCs/>
                <w:sz w:val="24"/>
                <w:szCs w:val="24"/>
                <w:vertAlign w:val="superscript"/>
              </w:rPr>
              <w:t>1</w:t>
            </w:r>
            <w:r w:rsidRPr="009C6CAC">
              <w:rPr>
                <w:rFonts w:ascii="Times New Roman" w:hAnsi="Times New Roman" w:cs="Times New Roman"/>
                <w:b/>
                <w:bCs/>
                <w:sz w:val="24"/>
                <w:szCs w:val="24"/>
              </w:rPr>
              <w:t>)</w:t>
            </w:r>
          </w:p>
          <w:p w14:paraId="0E89F5AF"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2688" w:type="dxa"/>
          </w:tcPr>
          <w:p w14:paraId="5DA2FF8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 (</w:t>
            </w:r>
            <w:r w:rsidRPr="009C6CAC">
              <w:rPr>
                <w:rFonts w:ascii="Times New Roman" w:hAnsi="Times New Roman" w:cs="Times New Roman"/>
                <w:b/>
                <w:bCs/>
                <w:sz w:val="24"/>
                <w:szCs w:val="24"/>
                <w:vertAlign w:val="superscript"/>
              </w:rPr>
              <w:t>1</w:t>
            </w:r>
            <w:r w:rsidRPr="009C6CAC">
              <w:rPr>
                <w:rFonts w:ascii="Times New Roman" w:hAnsi="Times New Roman" w:cs="Times New Roman"/>
                <w:b/>
                <w:bCs/>
                <w:sz w:val="24"/>
                <w:szCs w:val="24"/>
              </w:rPr>
              <w:t>)</w:t>
            </w:r>
          </w:p>
          <w:p w14:paraId="5130FC4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/ADt</w:t>
            </w:r>
          </w:p>
        </w:tc>
      </w:tr>
      <w:tr w:rsidR="00C07865" w:rsidRPr="009C6CAC" w14:paraId="4C6F997E" w14:textId="77777777" w:rsidTr="0082590D">
        <w:tc>
          <w:tcPr>
            <w:tcW w:w="1413" w:type="dxa"/>
            <w:vMerge w:val="restart"/>
          </w:tcPr>
          <w:p w14:paraId="4582091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w:t>
            </w:r>
          </w:p>
        </w:tc>
        <w:tc>
          <w:tcPr>
            <w:tcW w:w="1984" w:type="dxa"/>
          </w:tcPr>
          <w:p w14:paraId="28A3E74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Yumuşak Kereste</w:t>
            </w:r>
          </w:p>
        </w:tc>
        <w:tc>
          <w:tcPr>
            <w:tcW w:w="2977" w:type="dxa"/>
          </w:tcPr>
          <w:p w14:paraId="32ECC83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120-200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tc>
        <w:tc>
          <w:tcPr>
            <w:tcW w:w="2688" w:type="dxa"/>
          </w:tcPr>
          <w:p w14:paraId="40CABB8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&lt; %75: 0,8-1,4</w:t>
            </w:r>
          </w:p>
          <w:p w14:paraId="3C881A8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%75-83 (</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 1,0-1,6</w:t>
            </w:r>
          </w:p>
        </w:tc>
      </w:tr>
      <w:tr w:rsidR="00C07865" w:rsidRPr="009C6CAC" w14:paraId="364B6ACF" w14:textId="77777777" w:rsidTr="0082590D">
        <w:tc>
          <w:tcPr>
            <w:tcW w:w="1413" w:type="dxa"/>
            <w:vMerge/>
          </w:tcPr>
          <w:p w14:paraId="706063CB" w14:textId="77777777" w:rsidR="00C07865" w:rsidRPr="009C6CAC" w:rsidRDefault="00C07865" w:rsidP="000D79D6">
            <w:pPr>
              <w:jc w:val="center"/>
              <w:rPr>
                <w:rFonts w:ascii="Times New Roman" w:hAnsi="Times New Roman" w:cs="Times New Roman"/>
                <w:sz w:val="24"/>
                <w:szCs w:val="24"/>
              </w:rPr>
            </w:pPr>
          </w:p>
        </w:tc>
        <w:tc>
          <w:tcPr>
            <w:tcW w:w="1984" w:type="dxa"/>
          </w:tcPr>
          <w:p w14:paraId="3CE1479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Sert Kereste</w:t>
            </w:r>
          </w:p>
        </w:tc>
        <w:tc>
          <w:tcPr>
            <w:tcW w:w="2977" w:type="dxa"/>
          </w:tcPr>
          <w:p w14:paraId="2984A54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120-200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tc>
        <w:tc>
          <w:tcPr>
            <w:tcW w:w="2688" w:type="dxa"/>
          </w:tcPr>
          <w:p w14:paraId="60C66A5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&lt; %75: 0,8-1,4</w:t>
            </w:r>
          </w:p>
          <w:p w14:paraId="36E97C1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DS %75-83 (</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 1,0-1,7</w:t>
            </w:r>
          </w:p>
        </w:tc>
      </w:tr>
      <w:tr w:rsidR="00DB27A7" w:rsidRPr="00DB27A7" w14:paraId="5CF42F66" w14:textId="77777777" w:rsidTr="0082590D">
        <w:tc>
          <w:tcPr>
            <w:tcW w:w="9062" w:type="dxa"/>
            <w:gridSpan w:val="4"/>
          </w:tcPr>
          <w:p w14:paraId="064D4DDC" w14:textId="77777777" w:rsidR="00C07865" w:rsidRPr="0082590D" w:rsidRDefault="00C07865" w:rsidP="000D79D6">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1</w:t>
            </w:r>
            <w:r w:rsidRPr="0082590D">
              <w:rPr>
                <w:rFonts w:ascii="Times New Roman" w:hAnsi="Times New Roman" w:cs="Times New Roman"/>
                <w:color w:val="000000" w:themeColor="text1"/>
                <w:sz w:val="20"/>
                <w:szCs w:val="20"/>
              </w:rPr>
              <w:t xml:space="preserve">) Siyah </w:t>
            </w:r>
            <w:r w:rsidR="00430B37" w:rsidRPr="0082590D">
              <w:rPr>
                <w:rFonts w:ascii="Times New Roman" w:hAnsi="Times New Roman" w:cs="Times New Roman"/>
                <w:color w:val="000000" w:themeColor="text1"/>
                <w:sz w:val="20"/>
                <w:szCs w:val="20"/>
              </w:rPr>
              <w:t>banyo suları</w:t>
            </w:r>
            <w:r w:rsidRPr="0082590D">
              <w:rPr>
                <w:rFonts w:ascii="Times New Roman" w:hAnsi="Times New Roman" w:cs="Times New Roman"/>
                <w:color w:val="000000" w:themeColor="text1"/>
                <w:sz w:val="20"/>
                <w:szCs w:val="20"/>
              </w:rPr>
              <w:t xml:space="preserve"> DS içeriğinin artırılması, daha düşük SO</w:t>
            </w:r>
            <w:r w:rsidRPr="0082590D">
              <w:rPr>
                <w:rFonts w:ascii="Times New Roman" w:hAnsi="Times New Roman" w:cs="Times New Roman"/>
                <w:color w:val="000000" w:themeColor="text1"/>
                <w:sz w:val="20"/>
                <w:szCs w:val="20"/>
                <w:vertAlign w:val="subscript"/>
              </w:rPr>
              <w:t>2</w:t>
            </w:r>
            <w:r w:rsidRPr="0082590D">
              <w:rPr>
                <w:rFonts w:ascii="Times New Roman" w:hAnsi="Times New Roman" w:cs="Times New Roman"/>
                <w:color w:val="000000" w:themeColor="text1"/>
                <w:sz w:val="20"/>
                <w:szCs w:val="20"/>
              </w:rPr>
              <w:t xml:space="preserve"> ve daha yüksek NO</w:t>
            </w:r>
            <w:r w:rsidRPr="0082590D">
              <w:rPr>
                <w:rFonts w:ascii="Times New Roman" w:hAnsi="Times New Roman" w:cs="Times New Roman"/>
                <w:color w:val="000000" w:themeColor="text1"/>
                <w:sz w:val="20"/>
                <w:szCs w:val="20"/>
                <w:vertAlign w:val="subscript"/>
              </w:rPr>
              <w:t>x</w:t>
            </w:r>
            <w:r w:rsidRPr="0082590D">
              <w:rPr>
                <w:rFonts w:ascii="Times New Roman" w:hAnsi="Times New Roman" w:cs="Times New Roman"/>
                <w:color w:val="000000" w:themeColor="text1"/>
                <w:sz w:val="20"/>
                <w:szCs w:val="20"/>
              </w:rPr>
              <w:t xml:space="preserve"> emisyonlarına yol açar. Bundan dolayı, düşük SO</w:t>
            </w:r>
            <w:r w:rsidRPr="0082590D">
              <w:rPr>
                <w:rFonts w:ascii="Times New Roman" w:hAnsi="Times New Roman" w:cs="Times New Roman"/>
                <w:color w:val="000000" w:themeColor="text1"/>
                <w:sz w:val="20"/>
                <w:szCs w:val="20"/>
                <w:vertAlign w:val="subscript"/>
              </w:rPr>
              <w:t>2</w:t>
            </w:r>
            <w:r w:rsidRPr="0082590D">
              <w:rPr>
                <w:rFonts w:ascii="Times New Roman" w:hAnsi="Times New Roman" w:cs="Times New Roman"/>
                <w:color w:val="000000" w:themeColor="text1"/>
                <w:sz w:val="20"/>
                <w:szCs w:val="20"/>
              </w:rPr>
              <w:t xml:space="preserve"> emisyon seviyeli geri kazanım kazanı, NO</w:t>
            </w:r>
            <w:r w:rsidRPr="0082590D">
              <w:rPr>
                <w:rFonts w:ascii="Times New Roman" w:hAnsi="Times New Roman" w:cs="Times New Roman"/>
                <w:color w:val="000000" w:themeColor="text1"/>
                <w:sz w:val="20"/>
                <w:szCs w:val="20"/>
                <w:vertAlign w:val="subscript"/>
              </w:rPr>
              <w:t>x</w:t>
            </w:r>
            <w:r w:rsidRPr="0082590D">
              <w:rPr>
                <w:rFonts w:ascii="Times New Roman" w:hAnsi="Times New Roman" w:cs="Times New Roman"/>
                <w:color w:val="000000" w:themeColor="text1"/>
                <w:sz w:val="20"/>
                <w:szCs w:val="20"/>
              </w:rPr>
              <w:t xml:space="preserve"> için aralığın daha yüksek olan sınırında bulunabilir veya tam tersi olabilir.</w:t>
            </w:r>
          </w:p>
          <w:p w14:paraId="5EB0AF69" w14:textId="77777777" w:rsidR="00C07865" w:rsidRPr="0082590D" w:rsidRDefault="00C07865" w:rsidP="000D79D6">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2</w:t>
            </w:r>
            <w:r w:rsidRPr="0082590D">
              <w:rPr>
                <w:rFonts w:ascii="Times New Roman" w:hAnsi="Times New Roman" w:cs="Times New Roman"/>
                <w:color w:val="000000" w:themeColor="text1"/>
                <w:sz w:val="20"/>
                <w:szCs w:val="20"/>
              </w:rPr>
              <w:t>) Geri kazanım kazanından kaynaklanan gerçek NO</w:t>
            </w:r>
            <w:r w:rsidRPr="0082590D">
              <w:rPr>
                <w:rFonts w:ascii="Times New Roman" w:hAnsi="Times New Roman" w:cs="Times New Roman"/>
                <w:color w:val="000000" w:themeColor="text1"/>
                <w:sz w:val="20"/>
                <w:szCs w:val="20"/>
                <w:vertAlign w:val="subscript"/>
              </w:rPr>
              <w:t>x</w:t>
            </w:r>
            <w:r w:rsidRPr="0082590D">
              <w:rPr>
                <w:rFonts w:ascii="Times New Roman" w:hAnsi="Times New Roman" w:cs="Times New Roman"/>
                <w:color w:val="000000" w:themeColor="text1"/>
                <w:sz w:val="20"/>
                <w:szCs w:val="20"/>
              </w:rPr>
              <w:t xml:space="preserve"> emisyon seviyesi, siyah </w:t>
            </w:r>
            <w:r w:rsidR="00430B37" w:rsidRPr="0082590D">
              <w:rPr>
                <w:rFonts w:ascii="Times New Roman" w:hAnsi="Times New Roman" w:cs="Times New Roman"/>
                <w:color w:val="000000" w:themeColor="text1"/>
                <w:sz w:val="20"/>
                <w:szCs w:val="20"/>
              </w:rPr>
              <w:t>banyo sularının</w:t>
            </w:r>
            <w:r w:rsidRPr="0082590D">
              <w:rPr>
                <w:rFonts w:ascii="Times New Roman" w:hAnsi="Times New Roman" w:cs="Times New Roman"/>
                <w:color w:val="000000" w:themeColor="text1"/>
                <w:sz w:val="20"/>
                <w:szCs w:val="20"/>
              </w:rPr>
              <w:t xml:space="preserve"> DS ve azot içeriği ile NCG ve yakılan diğer azot içerikli akışların (örn. çözünme tankı havalandırma gazı, yoğuşuk maddeden ayrıştırılan metanol, biyoçamur) miktarına ve kombinasyonuna bağlıdır. Bunların daha yüksek miktarlarda bulunması emisyonların, MET-İES aralığının üst sınırına daha yakın olmasına sebep olacaktır.</w:t>
            </w:r>
          </w:p>
          <w:p w14:paraId="3B463BB7" w14:textId="77777777" w:rsidR="00C07865" w:rsidRPr="0082590D" w:rsidRDefault="00C07865" w:rsidP="000D79D6">
            <w:pPr>
              <w:jc w:val="both"/>
              <w:rPr>
                <w:rFonts w:ascii="Times New Roman" w:hAnsi="Times New Roman" w:cs="Times New Roman"/>
                <w:color w:val="000000" w:themeColor="text1"/>
                <w:sz w:val="20"/>
                <w:szCs w:val="20"/>
              </w:rPr>
            </w:pPr>
            <w:r w:rsidRPr="0082590D">
              <w:rPr>
                <w:rFonts w:ascii="Times New Roman" w:hAnsi="Times New Roman" w:cs="Times New Roman"/>
                <w:color w:val="000000" w:themeColor="text1"/>
                <w:sz w:val="20"/>
                <w:szCs w:val="20"/>
              </w:rPr>
              <w:t>(</w:t>
            </w:r>
            <w:r w:rsidRPr="0082590D">
              <w:rPr>
                <w:rFonts w:ascii="Times New Roman" w:hAnsi="Times New Roman" w:cs="Times New Roman"/>
                <w:color w:val="000000" w:themeColor="text1"/>
                <w:sz w:val="20"/>
                <w:szCs w:val="20"/>
                <w:vertAlign w:val="superscript"/>
              </w:rPr>
              <w:t>3</w:t>
            </w:r>
            <w:r w:rsidRPr="0082590D">
              <w:rPr>
                <w:rFonts w:ascii="Times New Roman" w:hAnsi="Times New Roman" w:cs="Times New Roman"/>
                <w:color w:val="000000" w:themeColor="text1"/>
                <w:sz w:val="20"/>
                <w:szCs w:val="20"/>
              </w:rPr>
              <w:t xml:space="preserve">) Eğer geri kazanım kazanı, DS &gt; %83 içerikli siyah </w:t>
            </w:r>
            <w:r w:rsidR="00430B37" w:rsidRPr="0082590D">
              <w:rPr>
                <w:rFonts w:ascii="Times New Roman" w:hAnsi="Times New Roman" w:cs="Times New Roman"/>
                <w:color w:val="000000" w:themeColor="text1"/>
                <w:sz w:val="20"/>
                <w:szCs w:val="20"/>
              </w:rPr>
              <w:t>banyo sularını</w:t>
            </w:r>
            <w:r w:rsidRPr="0082590D">
              <w:rPr>
                <w:rFonts w:ascii="Times New Roman" w:hAnsi="Times New Roman" w:cs="Times New Roman"/>
                <w:color w:val="000000" w:themeColor="text1"/>
                <w:sz w:val="20"/>
                <w:szCs w:val="20"/>
              </w:rPr>
              <w:t xml:space="preserve"> yakacak olursa, NO</w:t>
            </w:r>
            <w:r w:rsidRPr="0082590D">
              <w:rPr>
                <w:rFonts w:ascii="Times New Roman" w:hAnsi="Times New Roman" w:cs="Times New Roman"/>
                <w:color w:val="000000" w:themeColor="text1"/>
                <w:sz w:val="20"/>
                <w:szCs w:val="20"/>
                <w:vertAlign w:val="subscript"/>
              </w:rPr>
              <w:t>x</w:t>
            </w:r>
            <w:r w:rsidRPr="0082590D">
              <w:rPr>
                <w:rFonts w:ascii="Times New Roman" w:hAnsi="Times New Roman" w:cs="Times New Roman"/>
                <w:color w:val="000000" w:themeColor="text1"/>
                <w:sz w:val="20"/>
                <w:szCs w:val="20"/>
              </w:rPr>
              <w:t xml:space="preserve"> emisyon seviyeleri özel duruma dayalı bir şekilde yeniden değerlendirilmelidir.</w:t>
            </w:r>
          </w:p>
          <w:p w14:paraId="106DBCE4" w14:textId="77777777" w:rsidR="00C07865" w:rsidRPr="00DB27A7" w:rsidRDefault="00C07865" w:rsidP="000D79D6">
            <w:pPr>
              <w:jc w:val="both"/>
              <w:rPr>
                <w:rFonts w:ascii="Times New Roman" w:hAnsi="Times New Roman" w:cs="Times New Roman"/>
                <w:i/>
                <w:iCs/>
                <w:color w:val="000000" w:themeColor="text1"/>
                <w:sz w:val="24"/>
                <w:szCs w:val="24"/>
              </w:rPr>
            </w:pPr>
            <w:r w:rsidRPr="0082590D">
              <w:rPr>
                <w:rFonts w:ascii="Times New Roman" w:hAnsi="Times New Roman" w:cs="Times New Roman"/>
                <w:color w:val="000000" w:themeColor="text1"/>
                <w:sz w:val="20"/>
                <w:szCs w:val="20"/>
              </w:rPr>
              <w:t xml:space="preserve">DS = siyah </w:t>
            </w:r>
            <w:r w:rsidR="00430B37" w:rsidRPr="0082590D">
              <w:rPr>
                <w:rFonts w:ascii="Times New Roman" w:hAnsi="Times New Roman" w:cs="Times New Roman"/>
                <w:color w:val="000000" w:themeColor="text1"/>
                <w:sz w:val="20"/>
                <w:szCs w:val="20"/>
              </w:rPr>
              <w:t>banyo suları</w:t>
            </w:r>
            <w:r w:rsidRPr="0082590D">
              <w:rPr>
                <w:rFonts w:ascii="Times New Roman" w:hAnsi="Times New Roman" w:cs="Times New Roman"/>
                <w:color w:val="000000" w:themeColor="text1"/>
                <w:sz w:val="20"/>
                <w:szCs w:val="20"/>
              </w:rPr>
              <w:t xml:space="preserve"> kuru katı içeriği.</w:t>
            </w:r>
          </w:p>
        </w:tc>
      </w:tr>
    </w:tbl>
    <w:p w14:paraId="1ECB3B37" w14:textId="77777777" w:rsidR="00C07865" w:rsidRPr="009C6CAC" w:rsidRDefault="00C07865" w:rsidP="00C07865">
      <w:pPr>
        <w:spacing w:after="120" w:line="276" w:lineRule="auto"/>
        <w:jc w:val="both"/>
        <w:rPr>
          <w:rFonts w:ascii="Times New Roman" w:hAnsi="Times New Roman" w:cs="Times New Roman"/>
          <w:sz w:val="24"/>
          <w:szCs w:val="24"/>
        </w:rPr>
      </w:pPr>
    </w:p>
    <w:p w14:paraId="75AB7AAE"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Toz Emisyonları</w:t>
      </w:r>
    </w:p>
    <w:p w14:paraId="4E8E4CE9"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23:</w:t>
      </w:r>
      <w:r w:rsidRPr="009C6CAC">
        <w:rPr>
          <w:rFonts w:ascii="Times New Roman" w:hAnsi="Times New Roman" w:cs="Times New Roman"/>
          <w:sz w:val="24"/>
          <w:szCs w:val="24"/>
        </w:rPr>
        <w:t xml:space="preserve"> Geri kazanım kazanından kaynaklanan toz emisyonlarını azaltmak için, elektrostatik filtre (ESP) veya ESP ve ıslak yıkayıcı birlikte kullanılır.</w:t>
      </w:r>
    </w:p>
    <w:p w14:paraId="44296F78"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58DF579B" w14:textId="77777777" w:rsidR="003526A3" w:rsidRDefault="003526A3" w:rsidP="00C07865">
      <w:pPr>
        <w:spacing w:after="120" w:line="276" w:lineRule="auto"/>
        <w:jc w:val="center"/>
        <w:rPr>
          <w:rFonts w:ascii="Times New Roman" w:hAnsi="Times New Roman" w:cs="Times New Roman"/>
          <w:i/>
          <w:iCs/>
          <w:sz w:val="24"/>
          <w:szCs w:val="24"/>
        </w:rPr>
      </w:pPr>
    </w:p>
    <w:p w14:paraId="6A2E6343" w14:textId="77777777" w:rsidR="003526A3" w:rsidRDefault="003526A3" w:rsidP="00C07865">
      <w:pPr>
        <w:spacing w:after="120" w:line="276" w:lineRule="auto"/>
        <w:jc w:val="center"/>
        <w:rPr>
          <w:rFonts w:ascii="Times New Roman" w:hAnsi="Times New Roman" w:cs="Times New Roman"/>
          <w:i/>
          <w:iCs/>
          <w:sz w:val="24"/>
          <w:szCs w:val="24"/>
        </w:rPr>
      </w:pPr>
    </w:p>
    <w:p w14:paraId="555467A3" w14:textId="77777777" w:rsidR="003526A3" w:rsidRDefault="003526A3" w:rsidP="00C07865">
      <w:pPr>
        <w:spacing w:after="120" w:line="276" w:lineRule="auto"/>
        <w:jc w:val="center"/>
        <w:rPr>
          <w:rFonts w:ascii="Times New Roman" w:hAnsi="Times New Roman" w:cs="Times New Roman"/>
          <w:i/>
          <w:iCs/>
          <w:sz w:val="24"/>
          <w:szCs w:val="24"/>
        </w:rPr>
      </w:pPr>
    </w:p>
    <w:p w14:paraId="2A118223" w14:textId="77777777" w:rsidR="003526A3" w:rsidRDefault="003526A3" w:rsidP="00C07865">
      <w:pPr>
        <w:spacing w:after="120" w:line="276" w:lineRule="auto"/>
        <w:jc w:val="center"/>
        <w:rPr>
          <w:rFonts w:ascii="Times New Roman" w:hAnsi="Times New Roman" w:cs="Times New Roman"/>
          <w:i/>
          <w:iCs/>
          <w:sz w:val="24"/>
          <w:szCs w:val="24"/>
        </w:rPr>
      </w:pPr>
    </w:p>
    <w:p w14:paraId="103AC313" w14:textId="77777777" w:rsidR="003526A3" w:rsidRDefault="003526A3" w:rsidP="00C07865">
      <w:pPr>
        <w:spacing w:after="120" w:line="276" w:lineRule="auto"/>
        <w:jc w:val="center"/>
        <w:rPr>
          <w:rFonts w:ascii="Times New Roman" w:hAnsi="Times New Roman" w:cs="Times New Roman"/>
          <w:i/>
          <w:iCs/>
          <w:sz w:val="24"/>
          <w:szCs w:val="24"/>
        </w:rPr>
      </w:pPr>
    </w:p>
    <w:p w14:paraId="7613945D" w14:textId="7CBA401E"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lastRenderedPageBreak/>
        <w:t>Tablo 5</w:t>
      </w:r>
    </w:p>
    <w:p w14:paraId="682FA693"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kazanım kazanından kaynaklanan toz emisyonlarına yönelik MET-İES’ler</w:t>
      </w:r>
    </w:p>
    <w:tbl>
      <w:tblPr>
        <w:tblStyle w:val="TabloKlavuzu"/>
        <w:tblW w:w="0" w:type="auto"/>
        <w:jc w:val="center"/>
        <w:tblLook w:val="04A0" w:firstRow="1" w:lastRow="0" w:firstColumn="1" w:lastColumn="0" w:noHBand="0" w:noVBand="1"/>
      </w:tblPr>
      <w:tblGrid>
        <w:gridCol w:w="1413"/>
        <w:gridCol w:w="2551"/>
        <w:gridCol w:w="3119"/>
        <w:gridCol w:w="1979"/>
      </w:tblGrid>
      <w:tr w:rsidR="00C07865" w:rsidRPr="009C6CAC" w14:paraId="293B6B21" w14:textId="77777777" w:rsidTr="000D79D6">
        <w:trPr>
          <w:tblHeader/>
          <w:jc w:val="center"/>
        </w:trPr>
        <w:tc>
          <w:tcPr>
            <w:tcW w:w="1413" w:type="dxa"/>
            <w:vAlign w:val="center"/>
          </w:tcPr>
          <w:p w14:paraId="071639BC"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2551" w:type="dxa"/>
            <w:vAlign w:val="center"/>
          </w:tcPr>
          <w:p w14:paraId="7AB19D1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Toz Azaltım Sistemi</w:t>
            </w:r>
          </w:p>
        </w:tc>
        <w:tc>
          <w:tcPr>
            <w:tcW w:w="3119" w:type="dxa"/>
            <w:vAlign w:val="center"/>
          </w:tcPr>
          <w:p w14:paraId="0AE4534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745A744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1979" w:type="dxa"/>
            <w:vAlign w:val="center"/>
          </w:tcPr>
          <w:p w14:paraId="4D2B79D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17EE3A3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toz/ADt</w:t>
            </w:r>
          </w:p>
        </w:tc>
      </w:tr>
      <w:tr w:rsidR="00C07865" w:rsidRPr="009C6CAC" w14:paraId="36E1BF87" w14:textId="77777777" w:rsidTr="000D79D6">
        <w:trPr>
          <w:jc w:val="center"/>
        </w:trPr>
        <w:tc>
          <w:tcPr>
            <w:tcW w:w="1413" w:type="dxa"/>
            <w:vMerge w:val="restart"/>
            <w:vAlign w:val="center"/>
          </w:tcPr>
          <w:p w14:paraId="6789981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Toz</w:t>
            </w:r>
          </w:p>
        </w:tc>
        <w:tc>
          <w:tcPr>
            <w:tcW w:w="2551" w:type="dxa"/>
            <w:vAlign w:val="center"/>
          </w:tcPr>
          <w:p w14:paraId="249CB90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Yeni veya büyük iyileştirme</w:t>
            </w:r>
          </w:p>
        </w:tc>
        <w:tc>
          <w:tcPr>
            <w:tcW w:w="3119" w:type="dxa"/>
            <w:vAlign w:val="center"/>
          </w:tcPr>
          <w:p w14:paraId="2B72C8A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10-25</w:t>
            </w:r>
          </w:p>
        </w:tc>
        <w:tc>
          <w:tcPr>
            <w:tcW w:w="1979" w:type="dxa"/>
            <w:vAlign w:val="center"/>
          </w:tcPr>
          <w:p w14:paraId="6D88DF0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0,02-0,20</w:t>
            </w:r>
          </w:p>
        </w:tc>
      </w:tr>
      <w:tr w:rsidR="00C07865" w:rsidRPr="009C6CAC" w14:paraId="25DBC6B6" w14:textId="77777777" w:rsidTr="000D79D6">
        <w:trPr>
          <w:jc w:val="center"/>
        </w:trPr>
        <w:tc>
          <w:tcPr>
            <w:tcW w:w="1413" w:type="dxa"/>
            <w:vMerge/>
            <w:vAlign w:val="center"/>
          </w:tcPr>
          <w:p w14:paraId="0D7D74BD" w14:textId="77777777" w:rsidR="00C07865" w:rsidRPr="009C6CAC" w:rsidRDefault="00C07865" w:rsidP="000D79D6">
            <w:pPr>
              <w:jc w:val="center"/>
              <w:rPr>
                <w:rFonts w:ascii="Times New Roman" w:hAnsi="Times New Roman" w:cs="Times New Roman"/>
                <w:sz w:val="24"/>
                <w:szCs w:val="24"/>
              </w:rPr>
            </w:pPr>
          </w:p>
        </w:tc>
        <w:tc>
          <w:tcPr>
            <w:tcW w:w="2551" w:type="dxa"/>
            <w:vAlign w:val="center"/>
          </w:tcPr>
          <w:p w14:paraId="20F4303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Mevcut</w:t>
            </w:r>
          </w:p>
        </w:tc>
        <w:tc>
          <w:tcPr>
            <w:tcW w:w="3119" w:type="dxa"/>
            <w:vAlign w:val="center"/>
          </w:tcPr>
          <w:p w14:paraId="52EA27E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10-40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c>
          <w:tcPr>
            <w:tcW w:w="1979" w:type="dxa"/>
            <w:vAlign w:val="center"/>
          </w:tcPr>
          <w:p w14:paraId="7C09FA7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0,02-0,3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7829D0" w:rsidRPr="009C6CAC" w14:paraId="38D7D841" w14:textId="77777777" w:rsidTr="001076ED">
        <w:trPr>
          <w:jc w:val="center"/>
        </w:trPr>
        <w:tc>
          <w:tcPr>
            <w:tcW w:w="9062" w:type="dxa"/>
            <w:gridSpan w:val="4"/>
            <w:vAlign w:val="center"/>
          </w:tcPr>
          <w:p w14:paraId="4C5375B7" w14:textId="301E9B11" w:rsidR="007829D0" w:rsidRPr="0082590D" w:rsidRDefault="007829D0" w:rsidP="0082590D">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Çalışma ömrünün sonuna yaklaşan bir ESP ile donatılmış mevcut geri kazanım kazanı için emisyon seviyeleri, zamanla 50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xml:space="preserve"> değerine (0,4 kg/ADt’a eş değer) kadar yükselebilir.</w:t>
            </w:r>
          </w:p>
        </w:tc>
      </w:tr>
      <w:tr w:rsidR="007829D0" w:rsidRPr="009C6CAC" w14:paraId="1D80B6B4" w14:textId="77777777" w:rsidTr="000D79D6">
        <w:trPr>
          <w:jc w:val="center"/>
        </w:trPr>
        <w:tc>
          <w:tcPr>
            <w:tcW w:w="9062" w:type="dxa"/>
            <w:gridSpan w:val="4"/>
            <w:tcBorders>
              <w:top w:val="single" w:sz="4" w:space="0" w:color="auto"/>
              <w:left w:val="nil"/>
              <w:bottom w:val="nil"/>
              <w:right w:val="nil"/>
            </w:tcBorders>
            <w:vAlign w:val="center"/>
          </w:tcPr>
          <w:p w14:paraId="7B62EF3B" w14:textId="77568AA2" w:rsidR="007829D0" w:rsidRPr="009C6CAC" w:rsidRDefault="007829D0" w:rsidP="007829D0">
            <w:pPr>
              <w:jc w:val="both"/>
              <w:rPr>
                <w:rFonts w:ascii="Times New Roman" w:hAnsi="Times New Roman" w:cs="Times New Roman"/>
                <w:i/>
                <w:iCs/>
                <w:sz w:val="24"/>
                <w:szCs w:val="24"/>
              </w:rPr>
            </w:pPr>
          </w:p>
        </w:tc>
      </w:tr>
    </w:tbl>
    <w:p w14:paraId="56BA7640" w14:textId="77777777" w:rsidR="00C07865" w:rsidRPr="009C6CAC" w:rsidRDefault="00C07865" w:rsidP="00C07865">
      <w:pPr>
        <w:pStyle w:val="Balk4"/>
        <w:spacing w:before="0" w:after="120" w:line="276" w:lineRule="auto"/>
        <w:jc w:val="both"/>
        <w:rPr>
          <w:rFonts w:ascii="Times New Roman" w:hAnsi="Times New Roman" w:cs="Times New Roman"/>
          <w:b/>
          <w:bCs/>
          <w:i w:val="0"/>
          <w:iCs w:val="0"/>
          <w:color w:val="auto"/>
          <w:sz w:val="24"/>
          <w:szCs w:val="24"/>
        </w:rPr>
      </w:pPr>
      <w:r w:rsidRPr="009C6CAC">
        <w:rPr>
          <w:rFonts w:ascii="Times New Roman" w:hAnsi="Times New Roman" w:cs="Times New Roman"/>
          <w:b/>
          <w:bCs/>
          <w:i w:val="0"/>
          <w:iCs w:val="0"/>
          <w:color w:val="auto"/>
          <w:sz w:val="24"/>
          <w:szCs w:val="24"/>
        </w:rPr>
        <w:t>(2.2.3) Kireç Fırınından Kaynaklanan Emisyonların Azaltımı</w:t>
      </w:r>
    </w:p>
    <w:p w14:paraId="4A575994"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SO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Emisyonları</w:t>
      </w:r>
    </w:p>
    <w:p w14:paraId="141464E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24:</w:t>
      </w:r>
      <w:r w:rsidRPr="009C6CAC">
        <w:rPr>
          <w:rFonts w:ascii="Times New Roman" w:hAnsi="Times New Roman" w:cs="Times New Roman"/>
          <w:sz w:val="24"/>
          <w:szCs w:val="24"/>
        </w:rPr>
        <w:t xml:space="preserve"> Kireç fırınından kaynaklanan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 azaltmak için, aşağıdaki tekniklerin biri veya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9C6CAC" w14:paraId="28C3E923" w14:textId="77777777" w:rsidTr="000D79D6">
        <w:trPr>
          <w:tblHeader/>
          <w:jc w:val="center"/>
        </w:trPr>
        <w:tc>
          <w:tcPr>
            <w:tcW w:w="704" w:type="dxa"/>
            <w:vAlign w:val="center"/>
          </w:tcPr>
          <w:p w14:paraId="6D70899F"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115C9B7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2B94549B" w14:textId="77777777" w:rsidTr="000D79D6">
        <w:trPr>
          <w:jc w:val="center"/>
        </w:trPr>
        <w:tc>
          <w:tcPr>
            <w:tcW w:w="704" w:type="dxa"/>
            <w:vAlign w:val="center"/>
          </w:tcPr>
          <w:p w14:paraId="7ED3A83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18E8871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Yakıt seçimi/düşük kükürt içerikli yakıt</w:t>
            </w:r>
          </w:p>
        </w:tc>
      </w:tr>
      <w:tr w:rsidR="00C07865" w:rsidRPr="009C6CAC" w14:paraId="148E8D69" w14:textId="77777777" w:rsidTr="000D79D6">
        <w:trPr>
          <w:jc w:val="center"/>
        </w:trPr>
        <w:tc>
          <w:tcPr>
            <w:tcW w:w="704" w:type="dxa"/>
            <w:vAlign w:val="center"/>
          </w:tcPr>
          <w:p w14:paraId="747E757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326CD75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Kükürt içerikli güçlü kokulu gazların kireç fırınında yakılmasının kısıtlanması</w:t>
            </w:r>
          </w:p>
        </w:tc>
      </w:tr>
      <w:tr w:rsidR="00C07865" w:rsidRPr="009C6CAC" w14:paraId="507806B4" w14:textId="77777777" w:rsidTr="000D79D6">
        <w:trPr>
          <w:jc w:val="center"/>
        </w:trPr>
        <w:tc>
          <w:tcPr>
            <w:tcW w:w="704" w:type="dxa"/>
            <w:vAlign w:val="center"/>
          </w:tcPr>
          <w:p w14:paraId="3BD3B65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4406B5C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Kireç çamuru beslemesindeki Na</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 içeriğinin kontrolü</w:t>
            </w:r>
          </w:p>
        </w:tc>
      </w:tr>
      <w:tr w:rsidR="00C07865" w:rsidRPr="009C6CAC" w14:paraId="6C4FA815" w14:textId="77777777" w:rsidTr="000D79D6">
        <w:trPr>
          <w:jc w:val="center"/>
        </w:trPr>
        <w:tc>
          <w:tcPr>
            <w:tcW w:w="704" w:type="dxa"/>
            <w:vAlign w:val="center"/>
          </w:tcPr>
          <w:p w14:paraId="27A613D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2952E60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Alkali yıkayıcı</w:t>
            </w:r>
          </w:p>
        </w:tc>
      </w:tr>
    </w:tbl>
    <w:p w14:paraId="46F00C0A" w14:textId="77777777" w:rsidR="00C07865" w:rsidRPr="009C6CAC" w:rsidRDefault="00C07865" w:rsidP="00C07865">
      <w:pPr>
        <w:spacing w:after="120" w:line="276" w:lineRule="auto"/>
        <w:jc w:val="both"/>
        <w:rPr>
          <w:rFonts w:ascii="Times New Roman" w:hAnsi="Times New Roman" w:cs="Times New Roman"/>
          <w:sz w:val="24"/>
          <w:szCs w:val="24"/>
        </w:rPr>
      </w:pPr>
    </w:p>
    <w:p w14:paraId="020AB061" w14:textId="7EE89221"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4FCA3D50"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6</w:t>
      </w:r>
    </w:p>
    <w:p w14:paraId="1C9F182E"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Kireç fırınından kaynaklanan SO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ve kükürt emisyonlarına yönelik MET-İES’ler</w:t>
      </w:r>
    </w:p>
    <w:tbl>
      <w:tblPr>
        <w:tblStyle w:val="TabloKlavuzu"/>
        <w:tblW w:w="0" w:type="auto"/>
        <w:jc w:val="center"/>
        <w:tblLook w:val="04A0" w:firstRow="1" w:lastRow="0" w:firstColumn="1" w:lastColumn="0" w:noHBand="0" w:noVBand="1"/>
      </w:tblPr>
      <w:tblGrid>
        <w:gridCol w:w="4673"/>
        <w:gridCol w:w="2268"/>
        <w:gridCol w:w="2121"/>
      </w:tblGrid>
      <w:tr w:rsidR="00C07865" w:rsidRPr="009C6CAC" w14:paraId="748BE7FF" w14:textId="77777777" w:rsidTr="000D79D6">
        <w:trPr>
          <w:tblHeader/>
          <w:jc w:val="center"/>
        </w:trPr>
        <w:tc>
          <w:tcPr>
            <w:tcW w:w="4673" w:type="dxa"/>
            <w:vAlign w:val="center"/>
          </w:tcPr>
          <w:p w14:paraId="1E6F68B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 (</w:t>
            </w:r>
            <w:r w:rsidRPr="009C6CAC">
              <w:rPr>
                <w:rFonts w:ascii="Times New Roman" w:hAnsi="Times New Roman" w:cs="Times New Roman"/>
                <w:b/>
                <w:bCs/>
                <w:sz w:val="24"/>
                <w:szCs w:val="24"/>
                <w:vertAlign w:val="superscript"/>
              </w:rPr>
              <w:t>1</w:t>
            </w:r>
            <w:r w:rsidRPr="009C6CAC">
              <w:rPr>
                <w:rFonts w:ascii="Times New Roman" w:hAnsi="Times New Roman" w:cs="Times New Roman"/>
                <w:b/>
                <w:bCs/>
                <w:sz w:val="24"/>
                <w:szCs w:val="24"/>
              </w:rPr>
              <w:t>)</w:t>
            </w:r>
          </w:p>
        </w:tc>
        <w:tc>
          <w:tcPr>
            <w:tcW w:w="2268" w:type="dxa"/>
            <w:vAlign w:val="center"/>
          </w:tcPr>
          <w:p w14:paraId="331008D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092F34D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 SO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2121" w:type="dxa"/>
            <w:vAlign w:val="center"/>
          </w:tcPr>
          <w:p w14:paraId="7309BED7"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57EB2F8C"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S/ADt</w:t>
            </w:r>
          </w:p>
        </w:tc>
      </w:tr>
      <w:tr w:rsidR="00C07865" w:rsidRPr="009C6CAC" w14:paraId="1FB5AE18" w14:textId="77777777" w:rsidTr="000D79D6">
        <w:trPr>
          <w:jc w:val="center"/>
        </w:trPr>
        <w:tc>
          <w:tcPr>
            <w:tcW w:w="4673" w:type="dxa"/>
            <w:vAlign w:val="center"/>
          </w:tcPr>
          <w:p w14:paraId="36500F2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gazların kireç fırınında yakılmadığı durumlarda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w:t>
            </w:r>
          </w:p>
        </w:tc>
        <w:tc>
          <w:tcPr>
            <w:tcW w:w="2268" w:type="dxa"/>
            <w:vAlign w:val="center"/>
          </w:tcPr>
          <w:p w14:paraId="3863472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5-70</w:t>
            </w:r>
          </w:p>
        </w:tc>
        <w:tc>
          <w:tcPr>
            <w:tcW w:w="2121" w:type="dxa"/>
            <w:vAlign w:val="center"/>
          </w:tcPr>
          <w:p w14:paraId="53AC9AA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575E9B7F" w14:textId="77777777" w:rsidTr="000D79D6">
        <w:trPr>
          <w:jc w:val="center"/>
        </w:trPr>
        <w:tc>
          <w:tcPr>
            <w:tcW w:w="4673" w:type="dxa"/>
            <w:vAlign w:val="center"/>
          </w:tcPr>
          <w:p w14:paraId="17E495C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gazların kireç fırınında yakıldığı durumlarda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w:t>
            </w:r>
          </w:p>
        </w:tc>
        <w:tc>
          <w:tcPr>
            <w:tcW w:w="2268" w:type="dxa"/>
            <w:vAlign w:val="center"/>
          </w:tcPr>
          <w:p w14:paraId="3751C81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55-120</w:t>
            </w:r>
          </w:p>
        </w:tc>
        <w:tc>
          <w:tcPr>
            <w:tcW w:w="2121" w:type="dxa"/>
            <w:vAlign w:val="center"/>
          </w:tcPr>
          <w:p w14:paraId="5775A59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75D7966F" w14:textId="77777777" w:rsidTr="000D79D6">
        <w:trPr>
          <w:jc w:val="center"/>
        </w:trPr>
        <w:tc>
          <w:tcPr>
            <w:tcW w:w="4673" w:type="dxa"/>
            <w:vAlign w:val="center"/>
          </w:tcPr>
          <w:p w14:paraId="63804AD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gazların kireç fırınında yakılmadığı durumlarda gaz halindeki S (TRS-S +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w:t>
            </w:r>
          </w:p>
        </w:tc>
        <w:tc>
          <w:tcPr>
            <w:tcW w:w="2268" w:type="dxa"/>
            <w:vAlign w:val="center"/>
          </w:tcPr>
          <w:p w14:paraId="4BC36BE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c>
          <w:tcPr>
            <w:tcW w:w="2121" w:type="dxa"/>
            <w:vAlign w:val="center"/>
          </w:tcPr>
          <w:p w14:paraId="230E477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0,005-0,07</w:t>
            </w:r>
          </w:p>
        </w:tc>
      </w:tr>
      <w:tr w:rsidR="00C07865" w:rsidRPr="009C6CAC" w14:paraId="41B16289" w14:textId="77777777" w:rsidTr="000D79D6">
        <w:trPr>
          <w:jc w:val="center"/>
        </w:trPr>
        <w:tc>
          <w:tcPr>
            <w:tcW w:w="4673" w:type="dxa"/>
            <w:vAlign w:val="center"/>
          </w:tcPr>
          <w:p w14:paraId="6AB31F1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Güçlü gazların kireç fırınında yakıldığı durumlarda gaz halindeki S (TRS-S +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w:t>
            </w:r>
          </w:p>
        </w:tc>
        <w:tc>
          <w:tcPr>
            <w:tcW w:w="2268" w:type="dxa"/>
            <w:vAlign w:val="center"/>
          </w:tcPr>
          <w:p w14:paraId="74BD0F2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c>
          <w:tcPr>
            <w:tcW w:w="2121" w:type="dxa"/>
            <w:vAlign w:val="center"/>
          </w:tcPr>
          <w:p w14:paraId="13FBE5F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0,055-0,12</w:t>
            </w:r>
          </w:p>
        </w:tc>
      </w:tr>
      <w:tr w:rsidR="00C07865" w:rsidRPr="009C6CAC" w14:paraId="10CC128C" w14:textId="77777777" w:rsidTr="000D79D6">
        <w:trPr>
          <w:jc w:val="center"/>
        </w:trPr>
        <w:tc>
          <w:tcPr>
            <w:tcW w:w="9062" w:type="dxa"/>
            <w:gridSpan w:val="3"/>
            <w:tcBorders>
              <w:top w:val="single" w:sz="4" w:space="0" w:color="auto"/>
              <w:left w:val="nil"/>
              <w:bottom w:val="nil"/>
              <w:right w:val="nil"/>
            </w:tcBorders>
            <w:vAlign w:val="center"/>
          </w:tcPr>
          <w:p w14:paraId="4D1DF1A5" w14:textId="77777777" w:rsidR="00C07865" w:rsidRPr="009C6CAC" w:rsidRDefault="00C07865" w:rsidP="000D79D6">
            <w:pPr>
              <w:jc w:val="both"/>
              <w:rPr>
                <w:rFonts w:ascii="Times New Roman" w:hAnsi="Times New Roman" w:cs="Times New Roman"/>
                <w:i/>
                <w:iCs/>
                <w:sz w:val="24"/>
                <w:szCs w:val="24"/>
              </w:rPr>
            </w:pPr>
            <w:r w:rsidRPr="009C6CAC">
              <w:rPr>
                <w:rFonts w:ascii="Times New Roman" w:hAnsi="Times New Roman" w:cs="Times New Roman"/>
                <w:i/>
                <w:iCs/>
                <w:sz w:val="24"/>
                <w:szCs w:val="24"/>
              </w:rPr>
              <w:t>(</w:t>
            </w:r>
            <w:r w:rsidRPr="009C6CAC">
              <w:rPr>
                <w:rFonts w:ascii="Times New Roman" w:hAnsi="Times New Roman" w:cs="Times New Roman"/>
                <w:i/>
                <w:iCs/>
                <w:sz w:val="24"/>
                <w:szCs w:val="24"/>
                <w:vertAlign w:val="superscript"/>
              </w:rPr>
              <w:t>1</w:t>
            </w:r>
            <w:r w:rsidRPr="009C6CAC">
              <w:rPr>
                <w:rFonts w:ascii="Times New Roman" w:hAnsi="Times New Roman" w:cs="Times New Roman"/>
                <w:i/>
                <w:iCs/>
                <w:sz w:val="24"/>
                <w:szCs w:val="24"/>
              </w:rPr>
              <w:t>) “Güçlü gazlar”, metanol ve terebentini kapsar.</w:t>
            </w:r>
          </w:p>
        </w:tc>
      </w:tr>
    </w:tbl>
    <w:p w14:paraId="7FF042E5" w14:textId="77777777" w:rsidR="00C07865" w:rsidRPr="009C6CAC" w:rsidRDefault="00C07865" w:rsidP="00C07865">
      <w:pPr>
        <w:spacing w:after="120" w:line="276" w:lineRule="auto"/>
        <w:jc w:val="both"/>
        <w:rPr>
          <w:rFonts w:ascii="Times New Roman" w:hAnsi="Times New Roman" w:cs="Times New Roman"/>
          <w:sz w:val="24"/>
          <w:szCs w:val="24"/>
        </w:rPr>
      </w:pPr>
    </w:p>
    <w:p w14:paraId="3F435AAE"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TRS Emisyonları</w:t>
      </w:r>
    </w:p>
    <w:p w14:paraId="15FA990F"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25:</w:t>
      </w:r>
      <w:r w:rsidRPr="009C6CAC">
        <w:rPr>
          <w:rFonts w:ascii="Times New Roman" w:hAnsi="Times New Roman" w:cs="Times New Roman"/>
          <w:sz w:val="24"/>
          <w:szCs w:val="24"/>
        </w:rPr>
        <w:t xml:space="preserve"> Kireç fırınından kaynaklanan TRS emisyonlarını azaltmak için, aşağıdaki tekniklerin biri veya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9C6CAC" w14:paraId="3C326EA2" w14:textId="77777777" w:rsidTr="000D79D6">
        <w:trPr>
          <w:tblHeader/>
          <w:jc w:val="center"/>
        </w:trPr>
        <w:tc>
          <w:tcPr>
            <w:tcW w:w="704" w:type="dxa"/>
            <w:vAlign w:val="center"/>
          </w:tcPr>
          <w:p w14:paraId="49CE91BE"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14B9EFD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79CC144E" w14:textId="77777777" w:rsidTr="000D79D6">
        <w:trPr>
          <w:jc w:val="center"/>
        </w:trPr>
        <w:tc>
          <w:tcPr>
            <w:tcW w:w="704" w:type="dxa"/>
            <w:vAlign w:val="center"/>
          </w:tcPr>
          <w:p w14:paraId="75CB15C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0B0FD78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Fazla oksijenin kontrolü</w:t>
            </w:r>
          </w:p>
        </w:tc>
      </w:tr>
      <w:tr w:rsidR="00C07865" w:rsidRPr="009C6CAC" w14:paraId="0E2B3024" w14:textId="77777777" w:rsidTr="000D79D6">
        <w:trPr>
          <w:jc w:val="center"/>
        </w:trPr>
        <w:tc>
          <w:tcPr>
            <w:tcW w:w="704" w:type="dxa"/>
            <w:vAlign w:val="center"/>
          </w:tcPr>
          <w:p w14:paraId="2533F25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lastRenderedPageBreak/>
              <w:t>b</w:t>
            </w:r>
          </w:p>
        </w:tc>
        <w:tc>
          <w:tcPr>
            <w:tcW w:w="8358" w:type="dxa"/>
            <w:vAlign w:val="center"/>
          </w:tcPr>
          <w:p w14:paraId="54E5C7B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Kireç çamuru beslemesindeki Na</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 içeriğinin kontrolü</w:t>
            </w:r>
          </w:p>
        </w:tc>
      </w:tr>
      <w:tr w:rsidR="00C07865" w:rsidRPr="009C6CAC" w14:paraId="0F82CB38" w14:textId="77777777" w:rsidTr="000D79D6">
        <w:trPr>
          <w:jc w:val="center"/>
        </w:trPr>
        <w:tc>
          <w:tcPr>
            <w:tcW w:w="704" w:type="dxa"/>
            <w:vAlign w:val="center"/>
          </w:tcPr>
          <w:p w14:paraId="29E2903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73C2B41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ESP ve alkali yıkayıcı kombinasyonu</w:t>
            </w:r>
          </w:p>
        </w:tc>
      </w:tr>
    </w:tbl>
    <w:p w14:paraId="27BACB22" w14:textId="77777777" w:rsidR="00C07865" w:rsidRPr="009C6CAC" w:rsidRDefault="00C07865" w:rsidP="00C07865">
      <w:pPr>
        <w:spacing w:after="120" w:line="276" w:lineRule="auto"/>
        <w:jc w:val="both"/>
        <w:rPr>
          <w:rFonts w:ascii="Times New Roman" w:hAnsi="Times New Roman" w:cs="Times New Roman"/>
          <w:sz w:val="24"/>
          <w:szCs w:val="24"/>
        </w:rPr>
      </w:pPr>
    </w:p>
    <w:p w14:paraId="440F9C23"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793C9E11"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7</w:t>
      </w:r>
    </w:p>
    <w:p w14:paraId="2588F095"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Kireç fırınından kaynaklanan TRS emisyonlarına yönelik MET-İES’ler</w:t>
      </w:r>
    </w:p>
    <w:tbl>
      <w:tblPr>
        <w:tblStyle w:val="TabloKlavuzu"/>
        <w:tblW w:w="0" w:type="auto"/>
        <w:jc w:val="center"/>
        <w:tblLook w:val="04A0" w:firstRow="1" w:lastRow="0" w:firstColumn="1" w:lastColumn="0" w:noHBand="0" w:noVBand="1"/>
      </w:tblPr>
      <w:tblGrid>
        <w:gridCol w:w="4673"/>
        <w:gridCol w:w="4389"/>
      </w:tblGrid>
      <w:tr w:rsidR="00C07865" w:rsidRPr="009C6CAC" w14:paraId="577F563C" w14:textId="77777777" w:rsidTr="000D79D6">
        <w:trPr>
          <w:tblHeader/>
          <w:jc w:val="center"/>
        </w:trPr>
        <w:tc>
          <w:tcPr>
            <w:tcW w:w="4673" w:type="dxa"/>
            <w:vAlign w:val="center"/>
          </w:tcPr>
          <w:p w14:paraId="1182481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4389" w:type="dxa"/>
            <w:vAlign w:val="center"/>
          </w:tcPr>
          <w:p w14:paraId="4E146A87"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0047A48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 S/Nm</w:t>
            </w:r>
            <w:r w:rsidRPr="009C6CAC">
              <w:rPr>
                <w:rFonts w:ascii="Times New Roman" w:hAnsi="Times New Roman" w:cs="Times New Roman"/>
                <w:b/>
                <w:bCs/>
                <w:sz w:val="24"/>
                <w:szCs w:val="24"/>
                <w:vertAlign w:val="superscript"/>
              </w:rPr>
              <w:t>3</w:t>
            </w:r>
          </w:p>
        </w:tc>
      </w:tr>
      <w:tr w:rsidR="00C07865" w:rsidRPr="009C6CAC" w14:paraId="5E3C6F88" w14:textId="77777777" w:rsidTr="000D79D6">
        <w:trPr>
          <w:jc w:val="center"/>
        </w:trPr>
        <w:tc>
          <w:tcPr>
            <w:tcW w:w="4673" w:type="dxa"/>
            <w:vAlign w:val="center"/>
          </w:tcPr>
          <w:p w14:paraId="4B1C266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İndirgenmiş Kükürt (TRS)</w:t>
            </w:r>
          </w:p>
        </w:tc>
        <w:tc>
          <w:tcPr>
            <w:tcW w:w="4389" w:type="dxa"/>
            <w:vAlign w:val="center"/>
          </w:tcPr>
          <w:p w14:paraId="11FAD14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&lt;1-10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9C6CAC" w14:paraId="52CF275B" w14:textId="77777777" w:rsidTr="000D79D6">
        <w:trPr>
          <w:jc w:val="center"/>
        </w:trPr>
        <w:tc>
          <w:tcPr>
            <w:tcW w:w="9062" w:type="dxa"/>
            <w:gridSpan w:val="2"/>
            <w:tcBorders>
              <w:top w:val="single" w:sz="4" w:space="0" w:color="auto"/>
              <w:left w:val="nil"/>
              <w:bottom w:val="nil"/>
              <w:right w:val="nil"/>
            </w:tcBorders>
            <w:vAlign w:val="center"/>
          </w:tcPr>
          <w:p w14:paraId="4F8F9836" w14:textId="77777777" w:rsidR="00C07865" w:rsidRPr="009C6CAC" w:rsidRDefault="00C07865" w:rsidP="000D79D6">
            <w:pPr>
              <w:jc w:val="both"/>
              <w:rPr>
                <w:rFonts w:ascii="Times New Roman" w:hAnsi="Times New Roman" w:cs="Times New Roman"/>
                <w:i/>
                <w:iCs/>
                <w:sz w:val="24"/>
                <w:szCs w:val="24"/>
              </w:rPr>
            </w:pPr>
            <w:r w:rsidRPr="009C6CAC">
              <w:rPr>
                <w:rFonts w:ascii="Times New Roman" w:hAnsi="Times New Roman" w:cs="Times New Roman"/>
                <w:i/>
                <w:iCs/>
                <w:sz w:val="24"/>
                <w:szCs w:val="24"/>
              </w:rPr>
              <w:t>(</w:t>
            </w:r>
            <w:r w:rsidRPr="009C6CAC">
              <w:rPr>
                <w:rFonts w:ascii="Times New Roman" w:hAnsi="Times New Roman" w:cs="Times New Roman"/>
                <w:i/>
                <w:iCs/>
                <w:sz w:val="24"/>
                <w:szCs w:val="24"/>
                <w:vertAlign w:val="superscript"/>
              </w:rPr>
              <w:t>1</w:t>
            </w:r>
            <w:r w:rsidRPr="009C6CAC">
              <w:rPr>
                <w:rFonts w:ascii="Times New Roman" w:hAnsi="Times New Roman" w:cs="Times New Roman"/>
                <w:i/>
                <w:iCs/>
                <w:sz w:val="24"/>
                <w:szCs w:val="24"/>
              </w:rPr>
              <w:t>) Güçlü gazların (metanol ve terebentin dahil) yakıldığı kireç fırınları için aralığın üst sınırı, 40 mg/Nm</w:t>
            </w:r>
            <w:r w:rsidRPr="009C6CAC">
              <w:rPr>
                <w:rFonts w:ascii="Times New Roman" w:hAnsi="Times New Roman" w:cs="Times New Roman"/>
                <w:i/>
                <w:iCs/>
                <w:sz w:val="24"/>
                <w:szCs w:val="24"/>
                <w:vertAlign w:val="superscript"/>
              </w:rPr>
              <w:t>3</w:t>
            </w:r>
            <w:r w:rsidRPr="009C6CAC">
              <w:rPr>
                <w:rFonts w:ascii="Times New Roman" w:hAnsi="Times New Roman" w:cs="Times New Roman"/>
                <w:i/>
                <w:iCs/>
                <w:sz w:val="24"/>
                <w:szCs w:val="24"/>
              </w:rPr>
              <w:t>’e kadar çıkabilir.</w:t>
            </w:r>
          </w:p>
        </w:tc>
      </w:tr>
    </w:tbl>
    <w:p w14:paraId="7025C2CB" w14:textId="77777777" w:rsidR="00C07865" w:rsidRPr="009C6CAC" w:rsidRDefault="00C07865" w:rsidP="00C07865">
      <w:pPr>
        <w:spacing w:after="120" w:line="276" w:lineRule="auto"/>
        <w:jc w:val="both"/>
        <w:rPr>
          <w:rFonts w:ascii="Times New Roman" w:hAnsi="Times New Roman" w:cs="Times New Roman"/>
          <w:sz w:val="24"/>
          <w:szCs w:val="24"/>
        </w:rPr>
      </w:pPr>
    </w:p>
    <w:p w14:paraId="73AEE5CC"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Emisyonları</w:t>
      </w:r>
    </w:p>
    <w:p w14:paraId="17B2AD49"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26:</w:t>
      </w:r>
      <w:r w:rsidRPr="009C6CAC">
        <w:rPr>
          <w:rFonts w:ascii="Times New Roman" w:hAnsi="Times New Roman" w:cs="Times New Roman"/>
          <w:sz w:val="24"/>
          <w:szCs w:val="24"/>
        </w:rPr>
        <w:t xml:space="preserve"> Kireç fırınından kaynaklanan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 azaltmak için, aşağıdaki tekniklerin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9C6CAC" w14:paraId="54D3DA70" w14:textId="77777777" w:rsidTr="000D79D6">
        <w:trPr>
          <w:tblHeader/>
          <w:jc w:val="center"/>
        </w:trPr>
        <w:tc>
          <w:tcPr>
            <w:tcW w:w="704" w:type="dxa"/>
            <w:vAlign w:val="center"/>
          </w:tcPr>
          <w:p w14:paraId="3CAE8BD5"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0F373AB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621AB08D" w14:textId="77777777" w:rsidTr="000D79D6">
        <w:trPr>
          <w:jc w:val="center"/>
        </w:trPr>
        <w:tc>
          <w:tcPr>
            <w:tcW w:w="704" w:type="dxa"/>
            <w:vAlign w:val="center"/>
          </w:tcPr>
          <w:p w14:paraId="5E6FECB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06D986F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Optimize edilmiş yakma ve yakma kontrolü</w:t>
            </w:r>
          </w:p>
        </w:tc>
      </w:tr>
      <w:tr w:rsidR="00C07865" w:rsidRPr="009C6CAC" w14:paraId="7EBF44C3" w14:textId="77777777" w:rsidTr="000D79D6">
        <w:trPr>
          <w:jc w:val="center"/>
        </w:trPr>
        <w:tc>
          <w:tcPr>
            <w:tcW w:w="704" w:type="dxa"/>
            <w:vAlign w:val="center"/>
          </w:tcPr>
          <w:p w14:paraId="34F40BB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1172DE1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Yakıt ve havanın iyi bir şekilde karıştırılması</w:t>
            </w:r>
          </w:p>
        </w:tc>
      </w:tr>
      <w:tr w:rsidR="00C07865" w:rsidRPr="009C6CAC" w14:paraId="26D64607" w14:textId="77777777" w:rsidTr="000D79D6">
        <w:trPr>
          <w:jc w:val="center"/>
        </w:trPr>
        <w:tc>
          <w:tcPr>
            <w:tcW w:w="704" w:type="dxa"/>
            <w:vAlign w:val="center"/>
          </w:tcPr>
          <w:p w14:paraId="0ABDEB5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32F973A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Düşük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brülörü</w:t>
            </w:r>
          </w:p>
        </w:tc>
      </w:tr>
      <w:tr w:rsidR="00C07865" w:rsidRPr="009C6CAC" w14:paraId="308E7957" w14:textId="77777777" w:rsidTr="000D79D6">
        <w:trPr>
          <w:jc w:val="center"/>
        </w:trPr>
        <w:tc>
          <w:tcPr>
            <w:tcW w:w="704" w:type="dxa"/>
            <w:vAlign w:val="center"/>
          </w:tcPr>
          <w:p w14:paraId="0549402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662EE83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Yakıt seçimi/düşük N içerikli yakıt</w:t>
            </w:r>
          </w:p>
        </w:tc>
      </w:tr>
    </w:tbl>
    <w:p w14:paraId="64D1DAC4" w14:textId="77777777" w:rsidR="00C07865" w:rsidRPr="009C6CAC" w:rsidRDefault="00C07865" w:rsidP="00C07865">
      <w:pPr>
        <w:spacing w:after="120" w:line="276" w:lineRule="auto"/>
        <w:jc w:val="both"/>
        <w:rPr>
          <w:rFonts w:ascii="Times New Roman" w:hAnsi="Times New Roman" w:cs="Times New Roman"/>
          <w:sz w:val="24"/>
          <w:szCs w:val="24"/>
        </w:rPr>
      </w:pPr>
    </w:p>
    <w:p w14:paraId="61C27B13"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63933C1C"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8</w:t>
      </w:r>
    </w:p>
    <w:p w14:paraId="2275F649"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Kireç fırınından kaynaklanan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emisyonlarına yönelik MET-İES’ler</w:t>
      </w:r>
    </w:p>
    <w:tbl>
      <w:tblPr>
        <w:tblStyle w:val="TabloKlavuzu"/>
        <w:tblW w:w="0" w:type="auto"/>
        <w:tblLook w:val="04A0" w:firstRow="1" w:lastRow="0" w:firstColumn="1" w:lastColumn="0" w:noHBand="0" w:noVBand="1"/>
      </w:tblPr>
      <w:tblGrid>
        <w:gridCol w:w="1413"/>
        <w:gridCol w:w="1984"/>
        <w:gridCol w:w="2977"/>
        <w:gridCol w:w="2688"/>
      </w:tblGrid>
      <w:tr w:rsidR="00C07865" w:rsidRPr="009C6CAC" w14:paraId="2328AEE3" w14:textId="77777777" w:rsidTr="0082590D">
        <w:tc>
          <w:tcPr>
            <w:tcW w:w="3397" w:type="dxa"/>
            <w:gridSpan w:val="2"/>
          </w:tcPr>
          <w:p w14:paraId="22760884"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2977" w:type="dxa"/>
          </w:tcPr>
          <w:p w14:paraId="25317A0F"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76245D9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2688" w:type="dxa"/>
          </w:tcPr>
          <w:p w14:paraId="6C26BF3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2582BA1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/ADt</w:t>
            </w:r>
          </w:p>
        </w:tc>
      </w:tr>
      <w:tr w:rsidR="00C07865" w:rsidRPr="009C6CAC" w14:paraId="7F8BD5E9" w14:textId="77777777" w:rsidTr="0082590D">
        <w:tc>
          <w:tcPr>
            <w:tcW w:w="1413" w:type="dxa"/>
            <w:vMerge w:val="restart"/>
          </w:tcPr>
          <w:p w14:paraId="6ACA015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w:t>
            </w:r>
          </w:p>
        </w:tc>
        <w:tc>
          <w:tcPr>
            <w:tcW w:w="1984" w:type="dxa"/>
          </w:tcPr>
          <w:p w14:paraId="62A286B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Sıvı Yakıtlar</w:t>
            </w:r>
          </w:p>
        </w:tc>
        <w:tc>
          <w:tcPr>
            <w:tcW w:w="2977" w:type="dxa"/>
          </w:tcPr>
          <w:p w14:paraId="10176DD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100-200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c>
          <w:tcPr>
            <w:tcW w:w="2688" w:type="dxa"/>
          </w:tcPr>
          <w:p w14:paraId="6DDE2DB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0,1-0,2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9C6CAC" w14:paraId="2B764EFB" w14:textId="77777777" w:rsidTr="0082590D">
        <w:tc>
          <w:tcPr>
            <w:tcW w:w="1413" w:type="dxa"/>
            <w:vMerge/>
          </w:tcPr>
          <w:p w14:paraId="329A3A2A" w14:textId="77777777" w:rsidR="00C07865" w:rsidRPr="009C6CAC" w:rsidRDefault="00C07865" w:rsidP="000D79D6">
            <w:pPr>
              <w:jc w:val="center"/>
              <w:rPr>
                <w:rFonts w:ascii="Times New Roman" w:hAnsi="Times New Roman" w:cs="Times New Roman"/>
                <w:sz w:val="24"/>
                <w:szCs w:val="24"/>
              </w:rPr>
            </w:pPr>
          </w:p>
        </w:tc>
        <w:tc>
          <w:tcPr>
            <w:tcW w:w="1984" w:type="dxa"/>
          </w:tcPr>
          <w:p w14:paraId="61B6341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Gaz Yakıtlar</w:t>
            </w:r>
          </w:p>
        </w:tc>
        <w:tc>
          <w:tcPr>
            <w:tcW w:w="2977" w:type="dxa"/>
          </w:tcPr>
          <w:p w14:paraId="25F990E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100-350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tc>
        <w:tc>
          <w:tcPr>
            <w:tcW w:w="2688" w:type="dxa"/>
          </w:tcPr>
          <w:p w14:paraId="7239B8E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0,1-0,3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tc>
      </w:tr>
      <w:tr w:rsidR="00C07865" w:rsidRPr="009C6CAC" w14:paraId="1421B3A9" w14:textId="77777777" w:rsidTr="0082590D">
        <w:tc>
          <w:tcPr>
            <w:tcW w:w="9062" w:type="dxa"/>
            <w:gridSpan w:val="4"/>
          </w:tcPr>
          <w:p w14:paraId="74C0B258"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Kağıt hamuru üretim sürecinde yan ürün olarak elde edilenler de dahil olmak üzere, bitkisel madde kökenli sıvı yakıtlar (örn. terebentin, metanol, tall yağı) kullanıldığında emisyon seviyeleri, 350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’e (0,35 kg NO</w:t>
            </w:r>
            <w:r w:rsidRPr="0082590D">
              <w:rPr>
                <w:rFonts w:ascii="Times New Roman" w:hAnsi="Times New Roman" w:cs="Times New Roman"/>
                <w:sz w:val="20"/>
                <w:szCs w:val="20"/>
                <w:vertAlign w:val="subscript"/>
              </w:rPr>
              <w:t>x</w:t>
            </w:r>
            <w:r w:rsidRPr="0082590D">
              <w:rPr>
                <w:rFonts w:ascii="Times New Roman" w:hAnsi="Times New Roman" w:cs="Times New Roman"/>
                <w:sz w:val="20"/>
                <w:szCs w:val="20"/>
              </w:rPr>
              <w:t>/ADt’a eş değer) kadar çıkabilir.</w:t>
            </w:r>
          </w:p>
          <w:p w14:paraId="1F86DEE5" w14:textId="77777777" w:rsidR="00C07865" w:rsidRPr="009C6CAC" w:rsidRDefault="00C07865" w:rsidP="000D79D6">
            <w:pPr>
              <w:jc w:val="both"/>
              <w:rPr>
                <w:rFonts w:ascii="Times New Roman" w:hAnsi="Times New Roman" w:cs="Times New Roman"/>
                <w:i/>
                <w:iCs/>
                <w:sz w:val="24"/>
                <w:szCs w:val="24"/>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Kağıt hamuru üretim sürecinde yan ürün olarak elde edilenler de dahil olmak üzere, bitkisel madde kökenli gaz yakıtlar (örn. yoğuşmayan gaz) kullanıldığında emisyon seviyeleri, 450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’e (0,45 kg NO</w:t>
            </w:r>
            <w:r w:rsidRPr="0082590D">
              <w:rPr>
                <w:rFonts w:ascii="Times New Roman" w:hAnsi="Times New Roman" w:cs="Times New Roman"/>
                <w:sz w:val="20"/>
                <w:szCs w:val="20"/>
                <w:vertAlign w:val="subscript"/>
              </w:rPr>
              <w:t>x</w:t>
            </w:r>
            <w:r w:rsidRPr="0082590D">
              <w:rPr>
                <w:rFonts w:ascii="Times New Roman" w:hAnsi="Times New Roman" w:cs="Times New Roman"/>
                <w:sz w:val="20"/>
                <w:szCs w:val="20"/>
              </w:rPr>
              <w:t>/ADt’a eş değer) kadar çıkabilir.</w:t>
            </w:r>
          </w:p>
        </w:tc>
      </w:tr>
    </w:tbl>
    <w:p w14:paraId="6BF62445" w14:textId="77777777" w:rsidR="00C07865" w:rsidRPr="009C6CAC" w:rsidRDefault="00C07865" w:rsidP="00C07865">
      <w:pPr>
        <w:spacing w:after="120" w:line="276" w:lineRule="auto"/>
        <w:jc w:val="both"/>
        <w:rPr>
          <w:rFonts w:ascii="Times New Roman" w:hAnsi="Times New Roman" w:cs="Times New Roman"/>
          <w:sz w:val="24"/>
          <w:szCs w:val="24"/>
        </w:rPr>
      </w:pPr>
    </w:p>
    <w:p w14:paraId="5CDA6F04"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Toz Emisyonları</w:t>
      </w:r>
    </w:p>
    <w:p w14:paraId="42E1C159"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27:</w:t>
      </w:r>
      <w:r w:rsidRPr="009C6CAC">
        <w:rPr>
          <w:rFonts w:ascii="Times New Roman" w:hAnsi="Times New Roman" w:cs="Times New Roman"/>
          <w:sz w:val="24"/>
          <w:szCs w:val="24"/>
        </w:rPr>
        <w:t xml:space="preserve"> Kireç fırınından kaynaklanan toz emisyonlarını azaltmak için, elektrostatik filtre (ESP) veya ESP ve ıslak yıkayıcı kombinasyonu kullanılır.</w:t>
      </w:r>
    </w:p>
    <w:p w14:paraId="78A299F8" w14:textId="77777777" w:rsidR="003526A3" w:rsidRDefault="003526A3" w:rsidP="00C07865">
      <w:pPr>
        <w:spacing w:after="120" w:line="276" w:lineRule="auto"/>
        <w:jc w:val="both"/>
        <w:rPr>
          <w:rFonts w:ascii="Times New Roman" w:hAnsi="Times New Roman" w:cs="Times New Roman"/>
          <w:b/>
          <w:bCs/>
          <w:sz w:val="24"/>
          <w:szCs w:val="24"/>
        </w:rPr>
      </w:pPr>
    </w:p>
    <w:p w14:paraId="55808E10" w14:textId="77777777" w:rsidR="003526A3" w:rsidRDefault="003526A3" w:rsidP="00C07865">
      <w:pPr>
        <w:spacing w:after="120" w:line="276" w:lineRule="auto"/>
        <w:jc w:val="both"/>
        <w:rPr>
          <w:rFonts w:ascii="Times New Roman" w:hAnsi="Times New Roman" w:cs="Times New Roman"/>
          <w:b/>
          <w:bCs/>
          <w:sz w:val="24"/>
          <w:szCs w:val="24"/>
        </w:rPr>
      </w:pPr>
    </w:p>
    <w:p w14:paraId="69C34574" w14:textId="10F9AD78"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lastRenderedPageBreak/>
        <w:t>MET ile İlişkili Emisyon Seviyeleri</w:t>
      </w:r>
    </w:p>
    <w:p w14:paraId="21A505AF"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9</w:t>
      </w:r>
    </w:p>
    <w:p w14:paraId="52D7D893"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Kireç fırınından kaynaklanan toz emisyonlarına yönelik MET-İES’ler</w:t>
      </w:r>
    </w:p>
    <w:tbl>
      <w:tblPr>
        <w:tblStyle w:val="TabloKlavuzu"/>
        <w:tblW w:w="0" w:type="auto"/>
        <w:tblLook w:val="04A0" w:firstRow="1" w:lastRow="0" w:firstColumn="1" w:lastColumn="0" w:noHBand="0" w:noVBand="1"/>
      </w:tblPr>
      <w:tblGrid>
        <w:gridCol w:w="1413"/>
        <w:gridCol w:w="2551"/>
        <w:gridCol w:w="3119"/>
        <w:gridCol w:w="1979"/>
      </w:tblGrid>
      <w:tr w:rsidR="00C07865" w:rsidRPr="009C6CAC" w14:paraId="3A5855AB" w14:textId="77777777" w:rsidTr="0082590D">
        <w:tc>
          <w:tcPr>
            <w:tcW w:w="1413" w:type="dxa"/>
          </w:tcPr>
          <w:p w14:paraId="3D9C739E"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2551" w:type="dxa"/>
          </w:tcPr>
          <w:p w14:paraId="360C43AC"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Toz Azaltım Sistemi</w:t>
            </w:r>
          </w:p>
        </w:tc>
        <w:tc>
          <w:tcPr>
            <w:tcW w:w="3119" w:type="dxa"/>
          </w:tcPr>
          <w:p w14:paraId="0F8CFE1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2EFBB130"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%6’lık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1979" w:type="dxa"/>
          </w:tcPr>
          <w:p w14:paraId="08C93E3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2B641A7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toz/ADt</w:t>
            </w:r>
          </w:p>
        </w:tc>
      </w:tr>
      <w:tr w:rsidR="00C07865" w:rsidRPr="009C6CAC" w14:paraId="2DE34311" w14:textId="77777777" w:rsidTr="0082590D">
        <w:tc>
          <w:tcPr>
            <w:tcW w:w="1413" w:type="dxa"/>
            <w:vMerge w:val="restart"/>
          </w:tcPr>
          <w:p w14:paraId="69DB666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Toz</w:t>
            </w:r>
          </w:p>
        </w:tc>
        <w:tc>
          <w:tcPr>
            <w:tcW w:w="2551" w:type="dxa"/>
          </w:tcPr>
          <w:p w14:paraId="20F52D4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Yeni veya büyük iyileştirme</w:t>
            </w:r>
          </w:p>
        </w:tc>
        <w:tc>
          <w:tcPr>
            <w:tcW w:w="3119" w:type="dxa"/>
          </w:tcPr>
          <w:p w14:paraId="78D5DF4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10-25</w:t>
            </w:r>
          </w:p>
        </w:tc>
        <w:tc>
          <w:tcPr>
            <w:tcW w:w="1979" w:type="dxa"/>
          </w:tcPr>
          <w:p w14:paraId="3FE4216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0,005-0,02</w:t>
            </w:r>
          </w:p>
        </w:tc>
      </w:tr>
      <w:tr w:rsidR="00C07865" w:rsidRPr="009C6CAC" w14:paraId="3D8362DF" w14:textId="77777777" w:rsidTr="0082590D">
        <w:tc>
          <w:tcPr>
            <w:tcW w:w="1413" w:type="dxa"/>
            <w:vMerge/>
          </w:tcPr>
          <w:p w14:paraId="0290AF4F" w14:textId="77777777" w:rsidR="00C07865" w:rsidRPr="009C6CAC" w:rsidRDefault="00C07865" w:rsidP="000D79D6">
            <w:pPr>
              <w:jc w:val="center"/>
              <w:rPr>
                <w:rFonts w:ascii="Times New Roman" w:hAnsi="Times New Roman" w:cs="Times New Roman"/>
                <w:sz w:val="24"/>
                <w:szCs w:val="24"/>
              </w:rPr>
            </w:pPr>
          </w:p>
        </w:tc>
        <w:tc>
          <w:tcPr>
            <w:tcW w:w="2551" w:type="dxa"/>
          </w:tcPr>
          <w:p w14:paraId="03A20BC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Mevcut</w:t>
            </w:r>
          </w:p>
        </w:tc>
        <w:tc>
          <w:tcPr>
            <w:tcW w:w="3119" w:type="dxa"/>
          </w:tcPr>
          <w:p w14:paraId="7AAB370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10-30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c>
          <w:tcPr>
            <w:tcW w:w="1979" w:type="dxa"/>
          </w:tcPr>
          <w:p w14:paraId="156ACE9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0,005-0,03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CA2309" w14:paraId="441471AB" w14:textId="77777777" w:rsidTr="0082590D">
        <w:tc>
          <w:tcPr>
            <w:tcW w:w="9062" w:type="dxa"/>
            <w:gridSpan w:val="4"/>
          </w:tcPr>
          <w:p w14:paraId="7474E8D0"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Çalışma ömrünün sonuna yaklaşan bir ESP ile donatılmış mevcut kireç fırını için emisyon seviyeleri, zamanla 50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xml:space="preserve"> değerine (0,05 kg/ADt’a eş değer) kadar yükselebilir.</w:t>
            </w:r>
          </w:p>
        </w:tc>
      </w:tr>
    </w:tbl>
    <w:p w14:paraId="5F597B92" w14:textId="77777777" w:rsidR="00C07865" w:rsidRPr="0082590D" w:rsidRDefault="00C07865" w:rsidP="00C07865">
      <w:pPr>
        <w:spacing w:after="120" w:line="276" w:lineRule="auto"/>
        <w:jc w:val="both"/>
        <w:rPr>
          <w:rFonts w:ascii="Times New Roman" w:hAnsi="Times New Roman" w:cs="Times New Roman"/>
          <w:sz w:val="20"/>
          <w:szCs w:val="20"/>
        </w:rPr>
      </w:pPr>
    </w:p>
    <w:p w14:paraId="06E670B3" w14:textId="77777777" w:rsidR="00C07865" w:rsidRPr="009C6CAC" w:rsidRDefault="00C07865" w:rsidP="00C07865">
      <w:pPr>
        <w:pStyle w:val="Balk4"/>
        <w:spacing w:before="0" w:after="120" w:line="276" w:lineRule="auto"/>
        <w:jc w:val="both"/>
        <w:rPr>
          <w:rFonts w:ascii="Times New Roman" w:hAnsi="Times New Roman" w:cs="Times New Roman"/>
          <w:b/>
          <w:bCs/>
          <w:i w:val="0"/>
          <w:iCs w:val="0"/>
          <w:color w:val="auto"/>
          <w:sz w:val="24"/>
          <w:szCs w:val="24"/>
        </w:rPr>
      </w:pPr>
      <w:r w:rsidRPr="009C6CAC">
        <w:rPr>
          <w:rFonts w:ascii="Times New Roman" w:hAnsi="Times New Roman" w:cs="Times New Roman"/>
          <w:b/>
          <w:bCs/>
          <w:i w:val="0"/>
          <w:iCs w:val="0"/>
          <w:color w:val="auto"/>
          <w:sz w:val="24"/>
          <w:szCs w:val="24"/>
        </w:rPr>
        <w:t>(2.2.4) Güçlü Kokulu Gazlara Yönelik Brülörden (Özel TRS Brülörü) Kaynaklanan Emisyonların Azaltımı</w:t>
      </w:r>
    </w:p>
    <w:p w14:paraId="517E42A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28:</w:t>
      </w:r>
      <w:r w:rsidRPr="009C6CAC">
        <w:rPr>
          <w:rFonts w:ascii="Times New Roman" w:hAnsi="Times New Roman" w:cs="Times New Roman"/>
          <w:sz w:val="24"/>
          <w:szCs w:val="24"/>
        </w:rPr>
        <w:t xml:space="preserve"> Güçlü kokulu gazların özel bir TRS brülöründe yakılmasından kaynaklanan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 azaltmak için, alkali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yıkayıcı kullanılır.</w:t>
      </w:r>
    </w:p>
    <w:p w14:paraId="31A3C443" w14:textId="77777777" w:rsidR="003526A3" w:rsidRDefault="003526A3" w:rsidP="00C07865">
      <w:pPr>
        <w:spacing w:after="120" w:line="276" w:lineRule="auto"/>
        <w:jc w:val="both"/>
        <w:rPr>
          <w:rFonts w:ascii="Times New Roman" w:hAnsi="Times New Roman" w:cs="Times New Roman"/>
          <w:b/>
          <w:bCs/>
          <w:sz w:val="24"/>
          <w:szCs w:val="24"/>
        </w:rPr>
      </w:pPr>
    </w:p>
    <w:p w14:paraId="73CF6F95" w14:textId="3FD6E1DD"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16D6D50C"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10</w:t>
      </w:r>
    </w:p>
    <w:p w14:paraId="4AB7DEBD"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Güçlü gazların özel bir TRS brülöründe yakılmasından kaynaklanan SO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ve TRS emisyonlarına yönelik MET-İES’ler</w:t>
      </w:r>
    </w:p>
    <w:tbl>
      <w:tblPr>
        <w:tblStyle w:val="TabloKlavuzu"/>
        <w:tblW w:w="0" w:type="auto"/>
        <w:tblLook w:val="04A0" w:firstRow="1" w:lastRow="0" w:firstColumn="1" w:lastColumn="0" w:noHBand="0" w:noVBand="1"/>
      </w:tblPr>
      <w:tblGrid>
        <w:gridCol w:w="3256"/>
        <w:gridCol w:w="3118"/>
        <w:gridCol w:w="2688"/>
      </w:tblGrid>
      <w:tr w:rsidR="00C07865" w:rsidRPr="009C6CAC" w14:paraId="3F61B8C4" w14:textId="77777777" w:rsidTr="0082590D">
        <w:tc>
          <w:tcPr>
            <w:tcW w:w="3256" w:type="dxa"/>
          </w:tcPr>
          <w:p w14:paraId="0AE8C70A"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3118" w:type="dxa"/>
          </w:tcPr>
          <w:p w14:paraId="1F287DF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6F750A1A"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%9’luk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2688" w:type="dxa"/>
          </w:tcPr>
          <w:p w14:paraId="7811691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4EF8F1D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S/ADt</w:t>
            </w:r>
          </w:p>
        </w:tc>
      </w:tr>
      <w:tr w:rsidR="00C07865" w:rsidRPr="009C6CAC" w14:paraId="0AF302B8" w14:textId="77777777" w:rsidTr="0082590D">
        <w:tc>
          <w:tcPr>
            <w:tcW w:w="3256" w:type="dxa"/>
          </w:tcPr>
          <w:p w14:paraId="22FA08E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w:t>
            </w:r>
          </w:p>
        </w:tc>
        <w:tc>
          <w:tcPr>
            <w:tcW w:w="3118" w:type="dxa"/>
          </w:tcPr>
          <w:p w14:paraId="6D3352C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20-120</w:t>
            </w:r>
          </w:p>
        </w:tc>
        <w:tc>
          <w:tcPr>
            <w:tcW w:w="2688" w:type="dxa"/>
          </w:tcPr>
          <w:p w14:paraId="64FAF76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368957B1" w14:textId="77777777" w:rsidTr="0082590D">
        <w:tc>
          <w:tcPr>
            <w:tcW w:w="3256" w:type="dxa"/>
          </w:tcPr>
          <w:p w14:paraId="27BBF27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TRS</w:t>
            </w:r>
          </w:p>
        </w:tc>
        <w:tc>
          <w:tcPr>
            <w:tcW w:w="3118" w:type="dxa"/>
          </w:tcPr>
          <w:p w14:paraId="7051536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1-5</w:t>
            </w:r>
          </w:p>
        </w:tc>
        <w:tc>
          <w:tcPr>
            <w:tcW w:w="2688" w:type="dxa"/>
          </w:tcPr>
          <w:p w14:paraId="7AF8D17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r>
      <w:tr w:rsidR="00C07865" w:rsidRPr="009C6CAC" w14:paraId="306DDBA3" w14:textId="77777777" w:rsidTr="0082590D">
        <w:tc>
          <w:tcPr>
            <w:tcW w:w="3256" w:type="dxa"/>
          </w:tcPr>
          <w:p w14:paraId="4DF5EC7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Gaz Halindeki S (TRS-S +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w:t>
            </w:r>
          </w:p>
        </w:tc>
        <w:tc>
          <w:tcPr>
            <w:tcW w:w="3118" w:type="dxa"/>
          </w:tcPr>
          <w:p w14:paraId="6E7CFF1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w:t>
            </w:r>
          </w:p>
        </w:tc>
        <w:tc>
          <w:tcPr>
            <w:tcW w:w="2688" w:type="dxa"/>
          </w:tcPr>
          <w:p w14:paraId="4C533D9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0,002-0,05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9C6CAC" w14:paraId="04F71591" w14:textId="77777777" w:rsidTr="0082590D">
        <w:tc>
          <w:tcPr>
            <w:tcW w:w="9062" w:type="dxa"/>
            <w:gridSpan w:val="3"/>
          </w:tcPr>
          <w:p w14:paraId="018FCEA4"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Bu MET-İES, 100-200 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/ADt aralığındaki gaz akışını temel alır.</w:t>
            </w:r>
          </w:p>
        </w:tc>
      </w:tr>
    </w:tbl>
    <w:p w14:paraId="160300B2" w14:textId="77777777" w:rsidR="00C07865" w:rsidRPr="009C6CAC" w:rsidRDefault="00C07865" w:rsidP="00C07865">
      <w:pPr>
        <w:spacing w:after="120" w:line="276" w:lineRule="auto"/>
        <w:jc w:val="both"/>
        <w:rPr>
          <w:rFonts w:ascii="Times New Roman" w:hAnsi="Times New Roman" w:cs="Times New Roman"/>
          <w:sz w:val="24"/>
          <w:szCs w:val="24"/>
        </w:rPr>
      </w:pPr>
    </w:p>
    <w:p w14:paraId="0C3E614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29:</w:t>
      </w:r>
      <w:r w:rsidRPr="009C6CAC">
        <w:rPr>
          <w:rFonts w:ascii="Times New Roman" w:hAnsi="Times New Roman" w:cs="Times New Roman"/>
          <w:sz w:val="24"/>
          <w:szCs w:val="24"/>
        </w:rPr>
        <w:t xml:space="preserve"> Güçlü kokulu gazların özel bir TRS brülöründe yakılmasından kaynaklanan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 azaltmak için, aşağıdaki tekniklerin biri veya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4CF7C1D4" w14:textId="77777777" w:rsidTr="000D79D6">
        <w:trPr>
          <w:tblHeader/>
          <w:jc w:val="center"/>
        </w:trPr>
        <w:tc>
          <w:tcPr>
            <w:tcW w:w="704" w:type="dxa"/>
            <w:vAlign w:val="center"/>
          </w:tcPr>
          <w:p w14:paraId="502776C2"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1503CDD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4DFBB91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41CC4241" w14:textId="77777777" w:rsidTr="000D79D6">
        <w:trPr>
          <w:jc w:val="center"/>
        </w:trPr>
        <w:tc>
          <w:tcPr>
            <w:tcW w:w="704" w:type="dxa"/>
            <w:vAlign w:val="center"/>
          </w:tcPr>
          <w:p w14:paraId="57D3B72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70257A6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Brülör/Pişirme Optimizasyonu</w:t>
            </w:r>
          </w:p>
        </w:tc>
        <w:tc>
          <w:tcPr>
            <w:tcW w:w="4179" w:type="dxa"/>
            <w:vAlign w:val="center"/>
          </w:tcPr>
          <w:p w14:paraId="68D4ABB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7A2D4BF3" w14:textId="77777777" w:rsidTr="000D79D6">
        <w:trPr>
          <w:jc w:val="center"/>
        </w:trPr>
        <w:tc>
          <w:tcPr>
            <w:tcW w:w="704" w:type="dxa"/>
            <w:vAlign w:val="center"/>
          </w:tcPr>
          <w:p w14:paraId="541688F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7F920F6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Aşamalı Yakma</w:t>
            </w:r>
          </w:p>
        </w:tc>
        <w:tc>
          <w:tcPr>
            <w:tcW w:w="4179" w:type="dxa"/>
            <w:vAlign w:val="center"/>
          </w:tcPr>
          <w:p w14:paraId="2166A74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Yeni tesisler ve büyük iyileştirmeler için genellikle uygulanabilir. Mevcut fabrikalarda, sadece ekipman kurulumu için yeterli alan bulunması durumunda uygulanabilir.</w:t>
            </w:r>
          </w:p>
        </w:tc>
      </w:tr>
    </w:tbl>
    <w:p w14:paraId="36C7A9B5" w14:textId="77777777" w:rsidR="00C07865" w:rsidRPr="009C6CAC" w:rsidRDefault="00C07865" w:rsidP="00C07865">
      <w:pPr>
        <w:spacing w:after="120" w:line="276" w:lineRule="auto"/>
        <w:jc w:val="both"/>
        <w:rPr>
          <w:rFonts w:ascii="Times New Roman" w:hAnsi="Times New Roman" w:cs="Times New Roman"/>
          <w:sz w:val="24"/>
          <w:szCs w:val="24"/>
        </w:rPr>
      </w:pPr>
    </w:p>
    <w:p w14:paraId="7285F0E9" w14:textId="77777777" w:rsidR="003526A3" w:rsidRDefault="003526A3" w:rsidP="00C07865">
      <w:pPr>
        <w:spacing w:after="120" w:line="276" w:lineRule="auto"/>
        <w:jc w:val="both"/>
        <w:rPr>
          <w:rFonts w:ascii="Times New Roman" w:hAnsi="Times New Roman" w:cs="Times New Roman"/>
          <w:b/>
          <w:bCs/>
          <w:sz w:val="24"/>
          <w:szCs w:val="24"/>
        </w:rPr>
      </w:pPr>
    </w:p>
    <w:p w14:paraId="73C7DE4D" w14:textId="77777777" w:rsidR="003526A3" w:rsidRDefault="003526A3" w:rsidP="00C07865">
      <w:pPr>
        <w:spacing w:after="120" w:line="276" w:lineRule="auto"/>
        <w:jc w:val="both"/>
        <w:rPr>
          <w:rFonts w:ascii="Times New Roman" w:hAnsi="Times New Roman" w:cs="Times New Roman"/>
          <w:b/>
          <w:bCs/>
          <w:sz w:val="24"/>
          <w:szCs w:val="24"/>
        </w:rPr>
      </w:pPr>
    </w:p>
    <w:p w14:paraId="24C6451F" w14:textId="17780E43"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lastRenderedPageBreak/>
        <w:t>MET ile İlişkili Emisyon Seviyeleri</w:t>
      </w:r>
    </w:p>
    <w:p w14:paraId="3F4E6764"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11</w:t>
      </w:r>
    </w:p>
    <w:p w14:paraId="3DE14FA1"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Güçlü gazların özel bir TRS brülöründe yakılmasından kaynaklanan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emisyonlarına yönelik MET-İES’ler</w:t>
      </w:r>
    </w:p>
    <w:tbl>
      <w:tblPr>
        <w:tblStyle w:val="TabloKlavuzu"/>
        <w:tblW w:w="0" w:type="auto"/>
        <w:tblLook w:val="04A0" w:firstRow="1" w:lastRow="0" w:firstColumn="1" w:lastColumn="0" w:noHBand="0" w:noVBand="1"/>
      </w:tblPr>
      <w:tblGrid>
        <w:gridCol w:w="3256"/>
        <w:gridCol w:w="3118"/>
        <w:gridCol w:w="2688"/>
      </w:tblGrid>
      <w:tr w:rsidR="00C07865" w:rsidRPr="009C6CAC" w14:paraId="25C13342" w14:textId="77777777" w:rsidTr="0082590D">
        <w:tc>
          <w:tcPr>
            <w:tcW w:w="3256" w:type="dxa"/>
          </w:tcPr>
          <w:p w14:paraId="07B8A75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3118" w:type="dxa"/>
          </w:tcPr>
          <w:p w14:paraId="51F84B8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3D769093"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%9’luk 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varlığında mg/Nm</w:t>
            </w:r>
            <w:r w:rsidRPr="009C6CAC">
              <w:rPr>
                <w:rFonts w:ascii="Times New Roman" w:hAnsi="Times New Roman" w:cs="Times New Roman"/>
                <w:b/>
                <w:bCs/>
                <w:sz w:val="24"/>
                <w:szCs w:val="24"/>
                <w:vertAlign w:val="superscript"/>
              </w:rPr>
              <w:t>3</w:t>
            </w:r>
            <w:r w:rsidRPr="009C6CAC">
              <w:rPr>
                <w:rFonts w:ascii="Times New Roman" w:hAnsi="Times New Roman" w:cs="Times New Roman"/>
                <w:b/>
                <w:bCs/>
                <w:sz w:val="24"/>
                <w:szCs w:val="24"/>
              </w:rPr>
              <w:t xml:space="preserve"> </w:t>
            </w:r>
          </w:p>
        </w:tc>
        <w:tc>
          <w:tcPr>
            <w:tcW w:w="2688" w:type="dxa"/>
          </w:tcPr>
          <w:p w14:paraId="08952E0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5E134EC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/ADt</w:t>
            </w:r>
          </w:p>
        </w:tc>
      </w:tr>
      <w:tr w:rsidR="00C07865" w:rsidRPr="009C6CAC" w14:paraId="0B20F0AA" w14:textId="77777777" w:rsidTr="0082590D">
        <w:tc>
          <w:tcPr>
            <w:tcW w:w="3256" w:type="dxa"/>
          </w:tcPr>
          <w:p w14:paraId="7FD8291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w:t>
            </w:r>
          </w:p>
        </w:tc>
        <w:tc>
          <w:tcPr>
            <w:tcW w:w="3118" w:type="dxa"/>
          </w:tcPr>
          <w:p w14:paraId="22AD477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50-400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c>
          <w:tcPr>
            <w:tcW w:w="2688" w:type="dxa"/>
          </w:tcPr>
          <w:p w14:paraId="6C9AD66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0,01-0,1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9C6CAC" w14:paraId="3E6432DA" w14:textId="77777777" w:rsidTr="0082590D">
        <w:tc>
          <w:tcPr>
            <w:tcW w:w="9062" w:type="dxa"/>
            <w:gridSpan w:val="3"/>
          </w:tcPr>
          <w:p w14:paraId="09BD4DF4"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Aşamalı yakmanın uygulanabilir olmadığı mevcut tesislerde emisyon seviyeleri, 1.000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’e (0,2 kg/ADt’a eş değer) kadar çıkabilir.</w:t>
            </w:r>
          </w:p>
        </w:tc>
      </w:tr>
    </w:tbl>
    <w:p w14:paraId="24FFAB4A" w14:textId="77777777" w:rsidR="00C07865" w:rsidRPr="009C6CAC" w:rsidRDefault="00C07865" w:rsidP="00C07865">
      <w:pPr>
        <w:spacing w:after="120" w:line="276" w:lineRule="auto"/>
        <w:jc w:val="both"/>
        <w:rPr>
          <w:rFonts w:ascii="Times New Roman" w:hAnsi="Times New Roman" w:cs="Times New Roman"/>
          <w:sz w:val="24"/>
          <w:szCs w:val="24"/>
        </w:rPr>
      </w:pPr>
    </w:p>
    <w:p w14:paraId="7F5B0467"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(2.3) Atık Oluşumu</w:t>
      </w:r>
    </w:p>
    <w:p w14:paraId="61C4F168" w14:textId="77777777" w:rsidR="00C07865" w:rsidRPr="00DB27A7" w:rsidRDefault="00C07865" w:rsidP="00C07865">
      <w:pPr>
        <w:spacing w:after="120" w:line="276" w:lineRule="auto"/>
        <w:jc w:val="both"/>
        <w:rPr>
          <w:rFonts w:ascii="Times New Roman" w:hAnsi="Times New Roman" w:cs="Times New Roman"/>
          <w:color w:val="000000" w:themeColor="text1"/>
          <w:sz w:val="24"/>
          <w:szCs w:val="24"/>
        </w:rPr>
      </w:pPr>
      <w:r w:rsidRPr="009C6CAC">
        <w:rPr>
          <w:rFonts w:ascii="Times New Roman" w:hAnsi="Times New Roman" w:cs="Times New Roman"/>
          <w:b/>
          <w:bCs/>
          <w:sz w:val="24"/>
          <w:szCs w:val="24"/>
        </w:rPr>
        <w:t>MET 30:</w:t>
      </w:r>
      <w:r w:rsidRPr="009C6CAC">
        <w:rPr>
          <w:rFonts w:ascii="Times New Roman" w:hAnsi="Times New Roman" w:cs="Times New Roman"/>
          <w:sz w:val="24"/>
          <w:szCs w:val="24"/>
        </w:rPr>
        <w:t xml:space="preserve"> Atık oluşumunu önlemek ve bertaraf edilecek  atık miktarını en aza indirmek için siyah </w:t>
      </w:r>
      <w:r w:rsidR="002060E1" w:rsidRPr="00DB27A7">
        <w:rPr>
          <w:rFonts w:ascii="Times New Roman" w:hAnsi="Times New Roman" w:cs="Times New Roman"/>
          <w:color w:val="000000" w:themeColor="text1"/>
          <w:sz w:val="24"/>
          <w:szCs w:val="24"/>
        </w:rPr>
        <w:t>banyo suları</w:t>
      </w:r>
      <w:r w:rsidRPr="00DB27A7">
        <w:rPr>
          <w:rFonts w:ascii="Times New Roman" w:hAnsi="Times New Roman" w:cs="Times New Roman"/>
          <w:color w:val="000000" w:themeColor="text1"/>
          <w:sz w:val="24"/>
          <w:szCs w:val="24"/>
        </w:rPr>
        <w:t xml:space="preserve"> geri kazanım kazanı ESP’sinden gelen toz, prosese geri dönüştürülür.</w:t>
      </w:r>
    </w:p>
    <w:p w14:paraId="5B6E04B6" w14:textId="77777777" w:rsidR="00C07865" w:rsidRPr="00DB27A7" w:rsidRDefault="00C07865" w:rsidP="00C07865">
      <w:pPr>
        <w:spacing w:after="120" w:line="276" w:lineRule="auto"/>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Toz resirkülasyonu, tozda bulunan proses dışı unsurlardan dolayı kısıtlanabilir.</w:t>
      </w:r>
    </w:p>
    <w:p w14:paraId="26B7A378" w14:textId="77777777" w:rsidR="00C07865" w:rsidRPr="00DB27A7" w:rsidRDefault="00C07865" w:rsidP="00C07865">
      <w:pPr>
        <w:pStyle w:val="Balk3"/>
        <w:spacing w:before="0" w:after="120" w:line="276" w:lineRule="auto"/>
        <w:jc w:val="both"/>
        <w:rPr>
          <w:rFonts w:cs="Times New Roman"/>
          <w:b w:val="0"/>
          <w:bCs/>
          <w:color w:val="000000" w:themeColor="text1"/>
          <w:szCs w:val="24"/>
        </w:rPr>
      </w:pPr>
      <w:r w:rsidRPr="00DB27A7">
        <w:rPr>
          <w:rFonts w:cs="Times New Roman"/>
          <w:bCs/>
          <w:color w:val="000000" w:themeColor="text1"/>
          <w:szCs w:val="24"/>
        </w:rPr>
        <w:t>(2.4) Enerji Tüketimi ve Verimliliği</w:t>
      </w:r>
    </w:p>
    <w:p w14:paraId="6E06F4E7" w14:textId="77777777" w:rsidR="00C07865" w:rsidRPr="009C6CAC" w:rsidRDefault="00C07865" w:rsidP="00C07865">
      <w:pPr>
        <w:spacing w:after="120" w:line="276" w:lineRule="auto"/>
        <w:jc w:val="both"/>
        <w:rPr>
          <w:rFonts w:ascii="Times New Roman" w:hAnsi="Times New Roman" w:cs="Times New Roman"/>
          <w:sz w:val="24"/>
          <w:szCs w:val="24"/>
        </w:rPr>
      </w:pPr>
      <w:r w:rsidRPr="00DB27A7">
        <w:rPr>
          <w:rFonts w:ascii="Times New Roman" w:hAnsi="Times New Roman" w:cs="Times New Roman"/>
          <w:b/>
          <w:bCs/>
          <w:color w:val="000000" w:themeColor="text1"/>
          <w:sz w:val="24"/>
          <w:szCs w:val="24"/>
        </w:rPr>
        <w:t>MET 31:</w:t>
      </w:r>
      <w:r w:rsidRPr="00DB27A7">
        <w:rPr>
          <w:rFonts w:ascii="Times New Roman" w:hAnsi="Times New Roman" w:cs="Times New Roman"/>
          <w:color w:val="000000" w:themeColor="text1"/>
          <w:sz w:val="24"/>
          <w:szCs w:val="24"/>
        </w:rPr>
        <w:t xml:space="preserve"> Termal enerji tüketimi (buhar) ile elektrik tüketimini azaltmak ve kullanılan enerji taşıyıcılarına yönelik kazancı en yüksek </w:t>
      </w:r>
      <w:r w:rsidRPr="009C6CAC">
        <w:rPr>
          <w:rFonts w:ascii="Times New Roman" w:hAnsi="Times New Roman" w:cs="Times New Roman"/>
          <w:sz w:val="24"/>
          <w:szCs w:val="24"/>
        </w:rPr>
        <w:t>seviyeye çıkarmak için, aşağıdaki tekniklerin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9C6CAC" w14:paraId="65E9D219" w14:textId="77777777" w:rsidTr="000D79D6">
        <w:trPr>
          <w:tblHeader/>
          <w:jc w:val="center"/>
        </w:trPr>
        <w:tc>
          <w:tcPr>
            <w:tcW w:w="704" w:type="dxa"/>
            <w:vAlign w:val="center"/>
          </w:tcPr>
          <w:p w14:paraId="1BEE389B"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1CFE615C"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16D4BE97" w14:textId="77777777" w:rsidTr="000D79D6">
        <w:trPr>
          <w:jc w:val="center"/>
        </w:trPr>
        <w:tc>
          <w:tcPr>
            <w:tcW w:w="704" w:type="dxa"/>
            <w:vAlign w:val="center"/>
          </w:tcPr>
          <w:p w14:paraId="562DF47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3C07EB2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Etkin pres makinelerinin veya kurutmanın kullanımı ile, yüksek kuru katı içerikli ağaç kabuğu</w:t>
            </w:r>
          </w:p>
        </w:tc>
      </w:tr>
      <w:tr w:rsidR="00C07865" w:rsidRPr="009C6CAC" w14:paraId="2E5D81AC" w14:textId="77777777" w:rsidTr="000D79D6">
        <w:trPr>
          <w:jc w:val="center"/>
        </w:trPr>
        <w:tc>
          <w:tcPr>
            <w:tcW w:w="704" w:type="dxa"/>
            <w:vAlign w:val="center"/>
          </w:tcPr>
          <w:p w14:paraId="7AA059A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749C61B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verimli buhar kazanları, örn. düşük baca gazı sıcaklıkları</w:t>
            </w:r>
          </w:p>
        </w:tc>
      </w:tr>
      <w:tr w:rsidR="00C07865" w:rsidRPr="009C6CAC" w14:paraId="06E661A3" w14:textId="77777777" w:rsidTr="000D79D6">
        <w:trPr>
          <w:jc w:val="center"/>
        </w:trPr>
        <w:tc>
          <w:tcPr>
            <w:tcW w:w="704" w:type="dxa"/>
            <w:vAlign w:val="center"/>
          </w:tcPr>
          <w:p w14:paraId="5444756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6157F88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Etkin ikincil ısıtma sistemleri</w:t>
            </w:r>
          </w:p>
        </w:tc>
      </w:tr>
      <w:tr w:rsidR="00C07865" w:rsidRPr="009C6CAC" w14:paraId="73DF3AC2" w14:textId="77777777" w:rsidTr="000D79D6">
        <w:trPr>
          <w:jc w:val="center"/>
        </w:trPr>
        <w:tc>
          <w:tcPr>
            <w:tcW w:w="704" w:type="dxa"/>
            <w:vAlign w:val="center"/>
          </w:tcPr>
          <w:p w14:paraId="4F3C50B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57F1D75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Ağartma tesisi dahil, kapalı su sistemleri</w:t>
            </w:r>
          </w:p>
        </w:tc>
      </w:tr>
      <w:tr w:rsidR="00C07865" w:rsidRPr="009C6CAC" w14:paraId="3F4256ED" w14:textId="77777777" w:rsidTr="000D79D6">
        <w:trPr>
          <w:jc w:val="center"/>
        </w:trPr>
        <w:tc>
          <w:tcPr>
            <w:tcW w:w="704" w:type="dxa"/>
            <w:vAlign w:val="center"/>
          </w:tcPr>
          <w:p w14:paraId="55DE24F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8358" w:type="dxa"/>
            <w:vAlign w:val="center"/>
          </w:tcPr>
          <w:p w14:paraId="463D787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kağıt hamuru konsantrasyonu (orta veya yüksek kıvam tekniği)</w:t>
            </w:r>
          </w:p>
        </w:tc>
      </w:tr>
      <w:tr w:rsidR="00C07865" w:rsidRPr="009C6CAC" w14:paraId="43719516" w14:textId="77777777" w:rsidTr="000D79D6">
        <w:trPr>
          <w:jc w:val="center"/>
        </w:trPr>
        <w:tc>
          <w:tcPr>
            <w:tcW w:w="704" w:type="dxa"/>
            <w:vAlign w:val="center"/>
          </w:tcPr>
          <w:p w14:paraId="6F0D8DB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8358" w:type="dxa"/>
            <w:vAlign w:val="center"/>
          </w:tcPr>
          <w:p w14:paraId="7601F06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verimli buharlaştırma tesisi</w:t>
            </w:r>
          </w:p>
        </w:tc>
      </w:tr>
      <w:tr w:rsidR="00C07865" w:rsidRPr="009C6CAC" w14:paraId="4AFA5402" w14:textId="77777777" w:rsidTr="000D79D6">
        <w:trPr>
          <w:jc w:val="center"/>
        </w:trPr>
        <w:tc>
          <w:tcPr>
            <w:tcW w:w="704" w:type="dxa"/>
            <w:vAlign w:val="center"/>
          </w:tcPr>
          <w:p w14:paraId="777140D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8358" w:type="dxa"/>
            <w:vAlign w:val="center"/>
          </w:tcPr>
          <w:p w14:paraId="4ED1356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Çözünme tanklarından kaynaklanan ısının geri kazanımı, örn. havalandırma temizleyicileri ile</w:t>
            </w:r>
          </w:p>
        </w:tc>
      </w:tr>
      <w:tr w:rsidR="00C07865" w:rsidRPr="009C6CAC" w14:paraId="41A8AC16" w14:textId="77777777" w:rsidTr="000D79D6">
        <w:trPr>
          <w:jc w:val="center"/>
        </w:trPr>
        <w:tc>
          <w:tcPr>
            <w:tcW w:w="704" w:type="dxa"/>
            <w:vAlign w:val="center"/>
          </w:tcPr>
          <w:p w14:paraId="0075B54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h</w:t>
            </w:r>
          </w:p>
        </w:tc>
        <w:tc>
          <w:tcPr>
            <w:tcW w:w="8358" w:type="dxa"/>
            <w:vAlign w:val="center"/>
          </w:tcPr>
          <w:p w14:paraId="3EB85BD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Binaları, kazan besleme suyunu ve proses suyunu ısıtmak için, çıkış gazlarından ve diğer atık ısı kaynaklarından gelen düşük sıcaklıklı akışların geri kazanımı ve kullanımı</w:t>
            </w:r>
          </w:p>
        </w:tc>
      </w:tr>
      <w:tr w:rsidR="00C07865" w:rsidRPr="009C6CAC" w14:paraId="4C500236" w14:textId="77777777" w:rsidTr="000D79D6">
        <w:trPr>
          <w:jc w:val="center"/>
        </w:trPr>
        <w:tc>
          <w:tcPr>
            <w:tcW w:w="704" w:type="dxa"/>
            <w:vAlign w:val="center"/>
          </w:tcPr>
          <w:p w14:paraId="7EDEB0E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i</w:t>
            </w:r>
          </w:p>
        </w:tc>
        <w:tc>
          <w:tcPr>
            <w:tcW w:w="8358" w:type="dxa"/>
            <w:vAlign w:val="center"/>
          </w:tcPr>
          <w:p w14:paraId="4035000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İkincil ısı ve ikincil yoğuşuk maddenin uygun kullanımı</w:t>
            </w:r>
          </w:p>
        </w:tc>
      </w:tr>
      <w:tr w:rsidR="00C07865" w:rsidRPr="009C6CAC" w14:paraId="3FAD0B98" w14:textId="77777777" w:rsidTr="000D79D6">
        <w:trPr>
          <w:jc w:val="center"/>
        </w:trPr>
        <w:tc>
          <w:tcPr>
            <w:tcW w:w="704" w:type="dxa"/>
            <w:vAlign w:val="center"/>
          </w:tcPr>
          <w:p w14:paraId="3471A56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j</w:t>
            </w:r>
          </w:p>
        </w:tc>
        <w:tc>
          <w:tcPr>
            <w:tcW w:w="8358" w:type="dxa"/>
            <w:vAlign w:val="center"/>
          </w:tcPr>
          <w:p w14:paraId="06E2A3A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İleri kontrol sistemleri ile proseslerin izlenmesi ve kontrolü</w:t>
            </w:r>
          </w:p>
        </w:tc>
      </w:tr>
      <w:tr w:rsidR="00C07865" w:rsidRPr="009C6CAC" w14:paraId="3AAC710D" w14:textId="77777777" w:rsidTr="000D79D6">
        <w:trPr>
          <w:jc w:val="center"/>
        </w:trPr>
        <w:tc>
          <w:tcPr>
            <w:tcW w:w="704" w:type="dxa"/>
            <w:vAlign w:val="center"/>
          </w:tcPr>
          <w:p w14:paraId="6CA29C7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k</w:t>
            </w:r>
          </w:p>
        </w:tc>
        <w:tc>
          <w:tcPr>
            <w:tcW w:w="8358" w:type="dxa"/>
            <w:vAlign w:val="center"/>
          </w:tcPr>
          <w:p w14:paraId="3559375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Entegre ısı eşanjörü sisteminin optimizasyonu</w:t>
            </w:r>
          </w:p>
        </w:tc>
      </w:tr>
      <w:tr w:rsidR="00C07865" w:rsidRPr="009C6CAC" w14:paraId="6A133BC9" w14:textId="77777777" w:rsidTr="000D79D6">
        <w:trPr>
          <w:jc w:val="center"/>
        </w:trPr>
        <w:tc>
          <w:tcPr>
            <w:tcW w:w="704" w:type="dxa"/>
            <w:vAlign w:val="center"/>
          </w:tcPr>
          <w:p w14:paraId="0479C9E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l</w:t>
            </w:r>
          </w:p>
        </w:tc>
        <w:tc>
          <w:tcPr>
            <w:tcW w:w="8358" w:type="dxa"/>
            <w:vAlign w:val="center"/>
          </w:tcPr>
          <w:p w14:paraId="4F43760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ESP ve fan arasındaki geri kazanım kazanından çıkan baca gazlarına yönelik ısı geri kazanımı</w:t>
            </w:r>
          </w:p>
        </w:tc>
      </w:tr>
      <w:tr w:rsidR="00C07865" w:rsidRPr="009C6CAC" w14:paraId="52538005" w14:textId="77777777" w:rsidTr="000D79D6">
        <w:trPr>
          <w:jc w:val="center"/>
        </w:trPr>
        <w:tc>
          <w:tcPr>
            <w:tcW w:w="704" w:type="dxa"/>
            <w:vAlign w:val="center"/>
          </w:tcPr>
          <w:p w14:paraId="7EE9810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m</w:t>
            </w:r>
          </w:p>
        </w:tc>
        <w:tc>
          <w:tcPr>
            <w:tcW w:w="8358" w:type="dxa"/>
            <w:vAlign w:val="center"/>
          </w:tcPr>
          <w:p w14:paraId="5F08092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Eleme ve temizlemede, kağıt hamuruna yönelik mümkün olan en yüksek kıvamın sağlanması</w:t>
            </w:r>
          </w:p>
        </w:tc>
      </w:tr>
      <w:tr w:rsidR="00C07865" w:rsidRPr="009C6CAC" w14:paraId="440F1CA5" w14:textId="77777777" w:rsidTr="000D79D6">
        <w:trPr>
          <w:jc w:val="center"/>
        </w:trPr>
        <w:tc>
          <w:tcPr>
            <w:tcW w:w="704" w:type="dxa"/>
            <w:vAlign w:val="center"/>
          </w:tcPr>
          <w:p w14:paraId="686326C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n</w:t>
            </w:r>
          </w:p>
        </w:tc>
        <w:tc>
          <w:tcPr>
            <w:tcW w:w="8358" w:type="dxa"/>
            <w:vAlign w:val="center"/>
          </w:tcPr>
          <w:p w14:paraId="3ED31D1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Çeşitli büyük motorlar için hız kontrol sistemlerinin kullanımı</w:t>
            </w:r>
          </w:p>
        </w:tc>
      </w:tr>
      <w:tr w:rsidR="00C07865" w:rsidRPr="009C6CAC" w14:paraId="5E09D229" w14:textId="77777777" w:rsidTr="000D79D6">
        <w:trPr>
          <w:jc w:val="center"/>
        </w:trPr>
        <w:tc>
          <w:tcPr>
            <w:tcW w:w="704" w:type="dxa"/>
            <w:vAlign w:val="center"/>
          </w:tcPr>
          <w:p w14:paraId="12CACF5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o</w:t>
            </w:r>
          </w:p>
        </w:tc>
        <w:tc>
          <w:tcPr>
            <w:tcW w:w="8358" w:type="dxa"/>
            <w:vAlign w:val="center"/>
          </w:tcPr>
          <w:p w14:paraId="0982126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Etkin vakum pompalarının kullanımı</w:t>
            </w:r>
          </w:p>
        </w:tc>
      </w:tr>
      <w:tr w:rsidR="00C07865" w:rsidRPr="009C6CAC" w14:paraId="1CECBDB4" w14:textId="77777777" w:rsidTr="000D79D6">
        <w:trPr>
          <w:jc w:val="center"/>
        </w:trPr>
        <w:tc>
          <w:tcPr>
            <w:tcW w:w="704" w:type="dxa"/>
            <w:vAlign w:val="center"/>
          </w:tcPr>
          <w:p w14:paraId="39D064A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p</w:t>
            </w:r>
          </w:p>
        </w:tc>
        <w:tc>
          <w:tcPr>
            <w:tcW w:w="8358" w:type="dxa"/>
            <w:vAlign w:val="center"/>
          </w:tcPr>
          <w:p w14:paraId="0AB355B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Boru, pompa ve fanlara yönelik uygun boyutlandırma</w:t>
            </w:r>
          </w:p>
        </w:tc>
      </w:tr>
      <w:tr w:rsidR="00C07865" w:rsidRPr="009C6CAC" w14:paraId="0160D728" w14:textId="77777777" w:rsidTr="000D79D6">
        <w:trPr>
          <w:jc w:val="center"/>
        </w:trPr>
        <w:tc>
          <w:tcPr>
            <w:tcW w:w="704" w:type="dxa"/>
            <w:vAlign w:val="center"/>
          </w:tcPr>
          <w:p w14:paraId="413662E7" w14:textId="45A83302" w:rsidR="00C07865" w:rsidRPr="009C6CAC" w:rsidRDefault="00E74037" w:rsidP="000D79D6">
            <w:pPr>
              <w:jc w:val="center"/>
              <w:rPr>
                <w:rFonts w:ascii="Times New Roman" w:hAnsi="Times New Roman" w:cs="Times New Roman"/>
                <w:sz w:val="24"/>
                <w:szCs w:val="24"/>
              </w:rPr>
            </w:pPr>
            <w:r>
              <w:rPr>
                <w:rFonts w:ascii="Times New Roman" w:hAnsi="Times New Roman" w:cs="Times New Roman"/>
                <w:sz w:val="24"/>
                <w:szCs w:val="24"/>
              </w:rPr>
              <w:t>r</w:t>
            </w:r>
          </w:p>
        </w:tc>
        <w:tc>
          <w:tcPr>
            <w:tcW w:w="8358" w:type="dxa"/>
            <w:vAlign w:val="center"/>
          </w:tcPr>
          <w:p w14:paraId="5E7D20D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Optimize edilmiş tank seviyeleri</w:t>
            </w:r>
          </w:p>
        </w:tc>
      </w:tr>
    </w:tbl>
    <w:p w14:paraId="7B2ADC37" w14:textId="77777777" w:rsidR="00C07865" w:rsidRPr="009C6CAC" w:rsidRDefault="00C07865" w:rsidP="00C07865">
      <w:pPr>
        <w:spacing w:after="120" w:line="276" w:lineRule="auto"/>
        <w:jc w:val="both"/>
        <w:rPr>
          <w:rFonts w:ascii="Times New Roman" w:hAnsi="Times New Roman" w:cs="Times New Roman"/>
          <w:sz w:val="24"/>
          <w:szCs w:val="24"/>
        </w:rPr>
      </w:pPr>
    </w:p>
    <w:p w14:paraId="364F1D2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lastRenderedPageBreak/>
        <w:t>MET 32:</w:t>
      </w:r>
      <w:r w:rsidRPr="009C6CAC">
        <w:rPr>
          <w:rFonts w:ascii="Times New Roman" w:hAnsi="Times New Roman" w:cs="Times New Roman"/>
          <w:sz w:val="24"/>
          <w:szCs w:val="24"/>
        </w:rPr>
        <w:t xml:space="preserve"> Güç üretimi verimliliğini artırmak için, aşağıdaki tekniklerin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9C6CAC" w14:paraId="3E2E604A" w14:textId="77777777" w:rsidTr="000D79D6">
        <w:trPr>
          <w:tblHeader/>
          <w:jc w:val="center"/>
        </w:trPr>
        <w:tc>
          <w:tcPr>
            <w:tcW w:w="704" w:type="dxa"/>
            <w:vAlign w:val="center"/>
          </w:tcPr>
          <w:p w14:paraId="141E00DE"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5E13F1C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580F3E75" w14:textId="77777777" w:rsidTr="000D79D6">
        <w:trPr>
          <w:jc w:val="center"/>
        </w:trPr>
        <w:tc>
          <w:tcPr>
            <w:tcW w:w="704" w:type="dxa"/>
            <w:vAlign w:val="center"/>
          </w:tcPr>
          <w:p w14:paraId="1430D54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307372FE"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 xml:space="preserve">Yüksek siyah </w:t>
            </w:r>
            <w:r w:rsidR="002060E1" w:rsidRPr="00DB27A7">
              <w:rPr>
                <w:rFonts w:ascii="Times New Roman" w:hAnsi="Times New Roman" w:cs="Times New Roman"/>
                <w:color w:val="000000" w:themeColor="text1"/>
                <w:sz w:val="24"/>
                <w:szCs w:val="24"/>
              </w:rPr>
              <w:t>banyo suları</w:t>
            </w:r>
            <w:r w:rsidRPr="00DB27A7">
              <w:rPr>
                <w:rFonts w:ascii="Times New Roman" w:hAnsi="Times New Roman" w:cs="Times New Roman"/>
                <w:color w:val="000000" w:themeColor="text1"/>
                <w:sz w:val="24"/>
                <w:szCs w:val="24"/>
              </w:rPr>
              <w:t xml:space="preserve"> kuru katı içeriği (kazan verimliliği ile buhar üretimini ve dolayısıyla elektrik üretimini artırır)</w:t>
            </w:r>
          </w:p>
        </w:tc>
      </w:tr>
      <w:tr w:rsidR="00C07865" w:rsidRPr="009C6CAC" w14:paraId="7EF0FD90" w14:textId="77777777" w:rsidTr="000D79D6">
        <w:trPr>
          <w:jc w:val="center"/>
        </w:trPr>
        <w:tc>
          <w:tcPr>
            <w:tcW w:w="704" w:type="dxa"/>
            <w:vAlign w:val="center"/>
          </w:tcPr>
          <w:p w14:paraId="5BDBF39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201C763E"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Yüksek geri kazanım kazanı basıncı ve sıcaklığı; yeni geri kazanım kazanlarında basınç, en azından 100 bar basınçta ve 510℃ sıcaklıkta olabilir</w:t>
            </w:r>
          </w:p>
        </w:tc>
      </w:tr>
      <w:tr w:rsidR="00C07865" w:rsidRPr="009C6CAC" w14:paraId="1653A242" w14:textId="77777777" w:rsidTr="000D79D6">
        <w:trPr>
          <w:jc w:val="center"/>
        </w:trPr>
        <w:tc>
          <w:tcPr>
            <w:tcW w:w="704" w:type="dxa"/>
            <w:vAlign w:val="center"/>
          </w:tcPr>
          <w:p w14:paraId="7E3C83B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7296980A" w14:textId="77777777" w:rsidR="00C07865" w:rsidRPr="00DB27A7" w:rsidRDefault="00C07865" w:rsidP="000D79D6">
            <w:pPr>
              <w:jc w:val="both"/>
              <w:rPr>
                <w:rFonts w:ascii="Times New Roman" w:hAnsi="Times New Roman" w:cs="Times New Roman"/>
                <w:color w:val="000000" w:themeColor="text1"/>
                <w:sz w:val="24"/>
                <w:szCs w:val="24"/>
              </w:rPr>
            </w:pPr>
            <w:r w:rsidRPr="00DB27A7">
              <w:rPr>
                <w:rFonts w:ascii="Times New Roman" w:hAnsi="Times New Roman" w:cs="Times New Roman"/>
                <w:color w:val="000000" w:themeColor="text1"/>
                <w:sz w:val="24"/>
                <w:szCs w:val="24"/>
              </w:rPr>
              <w:t>Karşı basınç türbinindeki çıkış buharı basıncının teknik olarak uygulanabilir olduğu ölçüde düşük olması</w:t>
            </w:r>
          </w:p>
        </w:tc>
      </w:tr>
      <w:tr w:rsidR="00C07865" w:rsidRPr="009C6CAC" w14:paraId="733D3245" w14:textId="77777777" w:rsidTr="00DB27A7">
        <w:trPr>
          <w:trHeight w:val="85"/>
          <w:jc w:val="center"/>
        </w:trPr>
        <w:tc>
          <w:tcPr>
            <w:tcW w:w="704" w:type="dxa"/>
            <w:vAlign w:val="center"/>
          </w:tcPr>
          <w:p w14:paraId="218483B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73BEA14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Fazla buhardan güç üretimi için yoğuşmalı türbin</w:t>
            </w:r>
          </w:p>
        </w:tc>
      </w:tr>
      <w:tr w:rsidR="00C07865" w:rsidRPr="009C6CAC" w14:paraId="28E33C54" w14:textId="77777777" w:rsidTr="000D79D6">
        <w:trPr>
          <w:jc w:val="center"/>
        </w:trPr>
        <w:tc>
          <w:tcPr>
            <w:tcW w:w="704" w:type="dxa"/>
            <w:vAlign w:val="center"/>
          </w:tcPr>
          <w:p w14:paraId="0DBE846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8358" w:type="dxa"/>
            <w:vAlign w:val="center"/>
          </w:tcPr>
          <w:p w14:paraId="60EAC06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türbin verimliliği</w:t>
            </w:r>
          </w:p>
        </w:tc>
      </w:tr>
      <w:tr w:rsidR="00C07865" w:rsidRPr="009C6CAC" w14:paraId="46F61F53" w14:textId="77777777" w:rsidTr="000D79D6">
        <w:trPr>
          <w:jc w:val="center"/>
        </w:trPr>
        <w:tc>
          <w:tcPr>
            <w:tcW w:w="704" w:type="dxa"/>
            <w:vAlign w:val="center"/>
          </w:tcPr>
          <w:p w14:paraId="308E3C5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8358" w:type="dxa"/>
            <w:vAlign w:val="center"/>
          </w:tcPr>
          <w:p w14:paraId="5BAE40B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Besleme suyunun, kaynama sıcaklığına yakın bir sıcaklığa kadar ön ısıtılması</w:t>
            </w:r>
          </w:p>
        </w:tc>
      </w:tr>
      <w:tr w:rsidR="00C07865" w:rsidRPr="009C6CAC" w14:paraId="6636A953" w14:textId="77777777" w:rsidTr="000D79D6">
        <w:trPr>
          <w:jc w:val="center"/>
        </w:trPr>
        <w:tc>
          <w:tcPr>
            <w:tcW w:w="704" w:type="dxa"/>
            <w:vAlign w:val="center"/>
          </w:tcPr>
          <w:p w14:paraId="6B1C816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8358" w:type="dxa"/>
            <w:vAlign w:val="center"/>
          </w:tcPr>
          <w:p w14:paraId="3F9C31F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Kazanlara yüklenen yakma havası ile yakıtın ön ısıtılması</w:t>
            </w:r>
          </w:p>
        </w:tc>
      </w:tr>
    </w:tbl>
    <w:p w14:paraId="5A0ABD00" w14:textId="77777777" w:rsidR="00C07865" w:rsidRPr="009C6CAC" w:rsidRDefault="00C07865" w:rsidP="00C07865">
      <w:pPr>
        <w:spacing w:after="120" w:line="276" w:lineRule="auto"/>
        <w:jc w:val="both"/>
        <w:rPr>
          <w:rFonts w:ascii="Times New Roman" w:hAnsi="Times New Roman" w:cs="Times New Roman"/>
          <w:sz w:val="24"/>
          <w:szCs w:val="24"/>
        </w:rPr>
      </w:pPr>
    </w:p>
    <w:p w14:paraId="69019FC2"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(3) Sülfit Kağıt Hamuru Üretim Prosesi İçin MET</w:t>
      </w:r>
    </w:p>
    <w:p w14:paraId="7E5AD1DB"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Entegre sülfit kağıt hamuru ve kağıdı fabrikaları için, bu bölümde sunulan MET sonuçlarına ek olarak (1.6) bölümünde sunulan kağıt üretimi için prosese özel MET sonuçları da geçerlidir.</w:t>
      </w:r>
    </w:p>
    <w:p w14:paraId="7D31AC7A"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(3.1) Atık Su ve Suya Emisyonlar</w:t>
      </w:r>
    </w:p>
    <w:p w14:paraId="75B2B02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33:</w:t>
      </w:r>
      <w:r w:rsidRPr="009C6CAC">
        <w:rPr>
          <w:rFonts w:ascii="Times New Roman" w:hAnsi="Times New Roman" w:cs="Times New Roman"/>
          <w:sz w:val="24"/>
          <w:szCs w:val="24"/>
        </w:rPr>
        <w:t xml:space="preserve"> Tüm fabrikalardan alıcı sulara olan kirletici emisyonlarını önlemek ve azaltmak için MET 13, MET 14, MET 15 ile MET 16’da belirtilen tekniklerin ve aşağıdaki tekniklerin uygun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3526A3" w14:paraId="6EC68FD2" w14:textId="77777777" w:rsidTr="000D79D6">
        <w:trPr>
          <w:tblHeader/>
          <w:jc w:val="center"/>
        </w:trPr>
        <w:tc>
          <w:tcPr>
            <w:tcW w:w="704" w:type="dxa"/>
            <w:vAlign w:val="center"/>
          </w:tcPr>
          <w:p w14:paraId="631C3D9A" w14:textId="77777777" w:rsidR="00C07865" w:rsidRPr="003526A3" w:rsidRDefault="00C07865" w:rsidP="000D79D6">
            <w:pPr>
              <w:jc w:val="center"/>
              <w:rPr>
                <w:rFonts w:ascii="Times New Roman" w:hAnsi="Times New Roman" w:cs="Times New Roman"/>
                <w:b/>
                <w:bCs/>
              </w:rPr>
            </w:pPr>
          </w:p>
        </w:tc>
        <w:tc>
          <w:tcPr>
            <w:tcW w:w="4179" w:type="dxa"/>
            <w:vAlign w:val="center"/>
          </w:tcPr>
          <w:p w14:paraId="4D7425C5"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4179" w:type="dxa"/>
            <w:vAlign w:val="center"/>
          </w:tcPr>
          <w:p w14:paraId="7BD9D4D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2AE26ADC" w14:textId="77777777" w:rsidTr="000D79D6">
        <w:trPr>
          <w:jc w:val="center"/>
        </w:trPr>
        <w:tc>
          <w:tcPr>
            <w:tcW w:w="704" w:type="dxa"/>
            <w:vAlign w:val="center"/>
          </w:tcPr>
          <w:p w14:paraId="52885E2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4179" w:type="dxa"/>
            <w:vAlign w:val="center"/>
          </w:tcPr>
          <w:p w14:paraId="5490E98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Ağartmadan önce daha uzun süreli modifiye edilmiş pişirme</w:t>
            </w:r>
          </w:p>
        </w:tc>
        <w:tc>
          <w:tcPr>
            <w:tcW w:w="4179" w:type="dxa"/>
            <w:vMerge w:val="restart"/>
            <w:vAlign w:val="center"/>
          </w:tcPr>
          <w:p w14:paraId="565C382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Uygulanabilirlik, kağıt hamuru kalite gereksinimleri ile kısıtlanabilir (yüksek mukavemet gerekli olduğu durumlarda).</w:t>
            </w:r>
          </w:p>
        </w:tc>
      </w:tr>
      <w:tr w:rsidR="00C07865" w:rsidRPr="003526A3" w14:paraId="6F7B6495" w14:textId="77777777" w:rsidTr="000D79D6">
        <w:trPr>
          <w:jc w:val="center"/>
        </w:trPr>
        <w:tc>
          <w:tcPr>
            <w:tcW w:w="704" w:type="dxa"/>
            <w:vAlign w:val="center"/>
          </w:tcPr>
          <w:p w14:paraId="4B2A531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4179" w:type="dxa"/>
            <w:vAlign w:val="center"/>
          </w:tcPr>
          <w:p w14:paraId="31C252A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Ağartmadan önce oksijenle delignifikasyon</w:t>
            </w:r>
          </w:p>
        </w:tc>
        <w:tc>
          <w:tcPr>
            <w:tcW w:w="4179" w:type="dxa"/>
            <w:vMerge/>
            <w:vAlign w:val="center"/>
          </w:tcPr>
          <w:p w14:paraId="06EA8EF8" w14:textId="77777777" w:rsidR="00C07865" w:rsidRPr="003526A3" w:rsidRDefault="00C07865" w:rsidP="000D79D6">
            <w:pPr>
              <w:jc w:val="both"/>
              <w:rPr>
                <w:rFonts w:ascii="Times New Roman" w:hAnsi="Times New Roman" w:cs="Times New Roman"/>
              </w:rPr>
            </w:pPr>
          </w:p>
        </w:tc>
      </w:tr>
      <w:tr w:rsidR="00C07865" w:rsidRPr="003526A3" w14:paraId="69C4D8D2" w14:textId="77777777" w:rsidTr="000D79D6">
        <w:trPr>
          <w:jc w:val="center"/>
        </w:trPr>
        <w:tc>
          <w:tcPr>
            <w:tcW w:w="704" w:type="dxa"/>
            <w:vAlign w:val="center"/>
          </w:tcPr>
          <w:p w14:paraId="6BCE939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4179" w:type="dxa"/>
            <w:vAlign w:val="center"/>
          </w:tcPr>
          <w:p w14:paraId="6F005A8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Kapalı esmer hamur taraması ve etkin esmer hamur yıkaması</w:t>
            </w:r>
          </w:p>
        </w:tc>
        <w:tc>
          <w:tcPr>
            <w:tcW w:w="4179" w:type="dxa"/>
            <w:vAlign w:val="center"/>
          </w:tcPr>
          <w:p w14:paraId="7B9DA4B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4FDD0677" w14:textId="77777777" w:rsidTr="000D79D6">
        <w:trPr>
          <w:jc w:val="center"/>
        </w:trPr>
        <w:tc>
          <w:tcPr>
            <w:tcW w:w="704" w:type="dxa"/>
            <w:vAlign w:val="center"/>
          </w:tcPr>
          <w:p w14:paraId="3FBED01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4179" w:type="dxa"/>
            <w:vAlign w:val="center"/>
          </w:tcPr>
          <w:p w14:paraId="16431B5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Sıcak alkali uzaklaştırma aşamasından kaynaklanan atık suların buharlaştırılması ve yoğuşuk maddelerin bir soda kazanında yakılması</w:t>
            </w:r>
          </w:p>
        </w:tc>
        <w:tc>
          <w:tcPr>
            <w:tcW w:w="4179" w:type="dxa"/>
            <w:vAlign w:val="center"/>
          </w:tcPr>
          <w:p w14:paraId="277BB50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Atık suların çok aşamalı biyolojik arıtımdan geçirilmesinin daha olumlu toplam çevresel sonuç verdiği durumlarda uygulanabilirlik, çözünen kağıt hamuru fabrikaları için kısıtlanabilir.</w:t>
            </w:r>
          </w:p>
        </w:tc>
      </w:tr>
      <w:tr w:rsidR="00C07865" w:rsidRPr="003526A3" w14:paraId="4362BAB4" w14:textId="77777777" w:rsidTr="000D79D6">
        <w:trPr>
          <w:jc w:val="center"/>
        </w:trPr>
        <w:tc>
          <w:tcPr>
            <w:tcW w:w="704" w:type="dxa"/>
            <w:vAlign w:val="center"/>
          </w:tcPr>
          <w:p w14:paraId="6D4DE82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4179" w:type="dxa"/>
            <w:vAlign w:val="center"/>
          </w:tcPr>
          <w:p w14:paraId="60D03A1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TCF ile ağartma</w:t>
            </w:r>
          </w:p>
        </w:tc>
        <w:tc>
          <w:tcPr>
            <w:tcW w:w="4179" w:type="dxa"/>
            <w:vAlign w:val="center"/>
          </w:tcPr>
          <w:p w14:paraId="2F50A1F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parlaklıkta kağıt hamuru üreten piyasaya sürülen kağıt hamuru fabrikaları ile kimyasal uygulamalara yönelik özel kağıt üreten fabrikalar için uygulanabilirlik, kısıtlıdır.</w:t>
            </w:r>
          </w:p>
        </w:tc>
      </w:tr>
      <w:tr w:rsidR="00C07865" w:rsidRPr="003526A3" w14:paraId="39685C64" w14:textId="77777777" w:rsidTr="000D79D6">
        <w:trPr>
          <w:jc w:val="center"/>
        </w:trPr>
        <w:tc>
          <w:tcPr>
            <w:tcW w:w="704" w:type="dxa"/>
            <w:vAlign w:val="center"/>
          </w:tcPr>
          <w:p w14:paraId="3DA15EC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4179" w:type="dxa"/>
            <w:vAlign w:val="center"/>
          </w:tcPr>
          <w:p w14:paraId="72BE253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Kapalı döngü ağartma</w:t>
            </w:r>
          </w:p>
        </w:tc>
        <w:tc>
          <w:tcPr>
            <w:tcW w:w="4179" w:type="dxa"/>
            <w:vAlign w:val="center"/>
          </w:tcPr>
          <w:p w14:paraId="03A7049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Sadece, pişirme ve ağartma işleminde pH düzenlemesinde aynı bazı kullanan tesisler için uygulanabilir.</w:t>
            </w:r>
          </w:p>
        </w:tc>
      </w:tr>
      <w:tr w:rsidR="00C07865" w:rsidRPr="003526A3" w14:paraId="164A501A" w14:textId="77777777" w:rsidTr="000D79D6">
        <w:trPr>
          <w:jc w:val="center"/>
        </w:trPr>
        <w:tc>
          <w:tcPr>
            <w:tcW w:w="704" w:type="dxa"/>
            <w:vAlign w:val="center"/>
          </w:tcPr>
          <w:p w14:paraId="73AD370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w:t>
            </w:r>
          </w:p>
        </w:tc>
        <w:tc>
          <w:tcPr>
            <w:tcW w:w="4179" w:type="dxa"/>
            <w:vAlign w:val="center"/>
          </w:tcPr>
          <w:p w14:paraId="5723F09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MgO temelli ön ağartma ve ön ağartmadan çıkan yıkama sıvılarının esmer hamur yıkama işlemine resirkülasyonu</w:t>
            </w:r>
          </w:p>
        </w:tc>
        <w:tc>
          <w:tcPr>
            <w:tcW w:w="4179" w:type="dxa"/>
            <w:vAlign w:val="center"/>
          </w:tcPr>
          <w:p w14:paraId="18D09E0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Uygulanabilirlik; ürün kalitesi (örn. saflık, temizlik ve parlaklık), pişirme sonrası kappa sayısı, sistemin hidrolik kapasitesi ile tankların, evaporatörlerin ve geri kazanım kazanlarının kapasitesi, yıkama ekipmanını temizleme imkanına ilişkin faktörler dolayısıyla kısıtlanabilir.</w:t>
            </w:r>
          </w:p>
        </w:tc>
      </w:tr>
      <w:tr w:rsidR="00C07865" w:rsidRPr="003526A3" w14:paraId="5F587D5F" w14:textId="77777777" w:rsidTr="000D79D6">
        <w:trPr>
          <w:jc w:val="center"/>
        </w:trPr>
        <w:tc>
          <w:tcPr>
            <w:tcW w:w="704" w:type="dxa"/>
            <w:vAlign w:val="center"/>
          </w:tcPr>
          <w:p w14:paraId="3BEFB0B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lastRenderedPageBreak/>
              <w:t>h</w:t>
            </w:r>
          </w:p>
        </w:tc>
        <w:tc>
          <w:tcPr>
            <w:tcW w:w="4179" w:type="dxa"/>
            <w:vAlign w:val="center"/>
          </w:tcPr>
          <w:p w14:paraId="755B29F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Buharlaştırma tesisi öncesinde/içerisinde zayıf likörün pH düzenlemesi</w:t>
            </w:r>
          </w:p>
        </w:tc>
        <w:tc>
          <w:tcPr>
            <w:tcW w:w="4179" w:type="dxa"/>
            <w:vAlign w:val="center"/>
          </w:tcPr>
          <w:p w14:paraId="45656EC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Magnezyum temelli tesisler için genellikle uygulanabilir. Geri kazanım kazanı ile kül dolaşım sisteminde yedek kapasite gerekebilir.</w:t>
            </w:r>
          </w:p>
        </w:tc>
      </w:tr>
      <w:tr w:rsidR="00C07865" w:rsidRPr="003526A3" w14:paraId="00B8F44A" w14:textId="77777777" w:rsidTr="000D79D6">
        <w:trPr>
          <w:jc w:val="center"/>
        </w:trPr>
        <w:tc>
          <w:tcPr>
            <w:tcW w:w="704" w:type="dxa"/>
            <w:vAlign w:val="center"/>
          </w:tcPr>
          <w:p w14:paraId="60CE899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i</w:t>
            </w:r>
          </w:p>
        </w:tc>
        <w:tc>
          <w:tcPr>
            <w:tcW w:w="4179" w:type="dxa"/>
            <w:vAlign w:val="center"/>
          </w:tcPr>
          <w:p w14:paraId="6E823FA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Evaporatörlerden çıkan yoğuşuk maddenin anaerobik arıtımı</w:t>
            </w:r>
          </w:p>
        </w:tc>
        <w:tc>
          <w:tcPr>
            <w:tcW w:w="4179" w:type="dxa"/>
            <w:vAlign w:val="center"/>
          </w:tcPr>
          <w:p w14:paraId="15D0A79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558A6B34" w14:textId="77777777" w:rsidTr="000D79D6">
        <w:trPr>
          <w:jc w:val="center"/>
        </w:trPr>
        <w:tc>
          <w:tcPr>
            <w:tcW w:w="704" w:type="dxa"/>
            <w:vAlign w:val="center"/>
          </w:tcPr>
          <w:p w14:paraId="52807E7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j</w:t>
            </w:r>
          </w:p>
        </w:tc>
        <w:tc>
          <w:tcPr>
            <w:tcW w:w="4179" w:type="dxa"/>
            <w:vAlign w:val="center"/>
          </w:tcPr>
          <w:p w14:paraId="2680954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Evaporatörlerden çıkan yoğuşuk maddeden kaynaklanan SO</w:t>
            </w:r>
            <w:r w:rsidRPr="003526A3">
              <w:rPr>
                <w:rFonts w:ascii="Times New Roman" w:hAnsi="Times New Roman" w:cs="Times New Roman"/>
                <w:vertAlign w:val="subscript"/>
              </w:rPr>
              <w:t>2</w:t>
            </w:r>
            <w:r w:rsidRPr="003526A3">
              <w:rPr>
                <w:rFonts w:ascii="Times New Roman" w:hAnsi="Times New Roman" w:cs="Times New Roman"/>
              </w:rPr>
              <w:t>’nin ayrıştırılması ve geri kazanımı</w:t>
            </w:r>
          </w:p>
        </w:tc>
        <w:tc>
          <w:tcPr>
            <w:tcW w:w="4179" w:type="dxa"/>
            <w:vAlign w:val="center"/>
          </w:tcPr>
          <w:p w14:paraId="2DEC191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Anaerobik atık su arıtımını korumak gerekli ise uygulanabilir.</w:t>
            </w:r>
          </w:p>
        </w:tc>
      </w:tr>
      <w:tr w:rsidR="00C07865" w:rsidRPr="003526A3" w14:paraId="79CFD61A" w14:textId="77777777" w:rsidTr="000D79D6">
        <w:trPr>
          <w:jc w:val="center"/>
        </w:trPr>
        <w:tc>
          <w:tcPr>
            <w:tcW w:w="704" w:type="dxa"/>
            <w:vAlign w:val="center"/>
          </w:tcPr>
          <w:p w14:paraId="3A3F956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k</w:t>
            </w:r>
          </w:p>
        </w:tc>
        <w:tc>
          <w:tcPr>
            <w:tcW w:w="4179" w:type="dxa"/>
            <w:vAlign w:val="center"/>
          </w:tcPr>
          <w:p w14:paraId="3453D01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ve enerji geri kazanım sistemleri ile birlikte, etkin sızıntı izlenmesi ve kontrolü</w:t>
            </w:r>
          </w:p>
        </w:tc>
        <w:tc>
          <w:tcPr>
            <w:tcW w:w="4179" w:type="dxa"/>
            <w:vAlign w:val="center"/>
          </w:tcPr>
          <w:p w14:paraId="0E62A7E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bl>
    <w:p w14:paraId="3145EB1F"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6259D9D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Tablo 12 ve Tablo 13’e bakınız. Bu MET-İES’ler, çözünen kağıt hamuru fabrikaları ile kimyasal uygulamalar için özel kağıt hamuru üretimi için uygulanamaz.</w:t>
      </w:r>
    </w:p>
    <w:p w14:paraId="2C06847E"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Sülfit fabrikaları için referans atık su akışı, MET 5’te belirtilmiştir.</w:t>
      </w:r>
    </w:p>
    <w:p w14:paraId="11158D86"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12</w:t>
      </w:r>
    </w:p>
    <w:p w14:paraId="02E3068E"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Ağartılmış sülfit ve magnefit kağıt sınıfları için kağıt hamuru üreten fabrikadan alıcı sulara olan doğrudan atık su deşarjlarına yönelik MET-İES’ler</w:t>
      </w:r>
    </w:p>
    <w:tbl>
      <w:tblPr>
        <w:tblStyle w:val="TabloKlavuzu"/>
        <w:tblW w:w="0" w:type="auto"/>
        <w:tblLook w:val="04A0" w:firstRow="1" w:lastRow="0" w:firstColumn="1" w:lastColumn="0" w:noHBand="0" w:noVBand="1"/>
      </w:tblPr>
      <w:tblGrid>
        <w:gridCol w:w="3539"/>
        <w:gridCol w:w="2977"/>
        <w:gridCol w:w="2546"/>
      </w:tblGrid>
      <w:tr w:rsidR="00C07865" w:rsidRPr="003526A3" w14:paraId="2ACE6338" w14:textId="77777777" w:rsidTr="0082590D">
        <w:tc>
          <w:tcPr>
            <w:tcW w:w="3539" w:type="dxa"/>
            <w:vMerge w:val="restart"/>
          </w:tcPr>
          <w:p w14:paraId="5A7F23E4"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2977" w:type="dxa"/>
          </w:tcPr>
          <w:p w14:paraId="5A90C569"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Ağartılmış Sülfit Kağıt Sınıfı İçin Kağıt Hamuru (</w:t>
            </w:r>
            <w:r w:rsidRPr="003526A3">
              <w:rPr>
                <w:rFonts w:ascii="Times New Roman" w:hAnsi="Times New Roman" w:cs="Times New Roman"/>
                <w:b/>
                <w:bCs/>
                <w:vertAlign w:val="superscript"/>
              </w:rPr>
              <w:t>1</w:t>
            </w:r>
            <w:r w:rsidRPr="003526A3">
              <w:rPr>
                <w:rFonts w:ascii="Times New Roman" w:hAnsi="Times New Roman" w:cs="Times New Roman"/>
                <w:b/>
                <w:bCs/>
              </w:rPr>
              <w:t>)</w:t>
            </w:r>
          </w:p>
        </w:tc>
        <w:tc>
          <w:tcPr>
            <w:tcW w:w="2546" w:type="dxa"/>
          </w:tcPr>
          <w:p w14:paraId="7EF226FB"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Magnefit Kağıt Sınıfı İçin Kağıt Hamuru (</w:t>
            </w:r>
            <w:r w:rsidRPr="003526A3">
              <w:rPr>
                <w:rFonts w:ascii="Times New Roman" w:hAnsi="Times New Roman" w:cs="Times New Roman"/>
                <w:b/>
                <w:bCs/>
                <w:vertAlign w:val="superscript"/>
              </w:rPr>
              <w:t>1</w:t>
            </w:r>
            <w:r w:rsidRPr="003526A3">
              <w:rPr>
                <w:rFonts w:ascii="Times New Roman" w:hAnsi="Times New Roman" w:cs="Times New Roman"/>
                <w:b/>
                <w:bCs/>
              </w:rPr>
              <w:t>)</w:t>
            </w:r>
          </w:p>
        </w:tc>
      </w:tr>
      <w:tr w:rsidR="00C07865" w:rsidRPr="003526A3" w14:paraId="56E813C8" w14:textId="77777777" w:rsidTr="0082590D">
        <w:tc>
          <w:tcPr>
            <w:tcW w:w="3539" w:type="dxa"/>
            <w:vMerge/>
          </w:tcPr>
          <w:p w14:paraId="4AC134E2" w14:textId="77777777" w:rsidR="00C07865" w:rsidRPr="003526A3" w:rsidRDefault="00C07865" w:rsidP="000D79D6">
            <w:pPr>
              <w:jc w:val="center"/>
              <w:rPr>
                <w:rFonts w:ascii="Times New Roman" w:hAnsi="Times New Roman" w:cs="Times New Roman"/>
                <w:b/>
                <w:bCs/>
              </w:rPr>
            </w:pPr>
          </w:p>
        </w:tc>
        <w:tc>
          <w:tcPr>
            <w:tcW w:w="2977" w:type="dxa"/>
          </w:tcPr>
          <w:p w14:paraId="71169E4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0BC25A3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kg/ADt (</w:t>
            </w:r>
            <w:r w:rsidRPr="003526A3">
              <w:rPr>
                <w:rFonts w:ascii="Times New Roman" w:hAnsi="Times New Roman" w:cs="Times New Roman"/>
                <w:b/>
                <w:bCs/>
                <w:vertAlign w:val="superscript"/>
              </w:rPr>
              <w:t>2</w:t>
            </w:r>
            <w:r w:rsidRPr="003526A3">
              <w:rPr>
                <w:rFonts w:ascii="Times New Roman" w:hAnsi="Times New Roman" w:cs="Times New Roman"/>
                <w:b/>
                <w:bCs/>
              </w:rPr>
              <w:t>)</w:t>
            </w:r>
          </w:p>
        </w:tc>
        <w:tc>
          <w:tcPr>
            <w:tcW w:w="2546" w:type="dxa"/>
          </w:tcPr>
          <w:p w14:paraId="3A0BBCC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6F562576"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kg/ADt</w:t>
            </w:r>
          </w:p>
        </w:tc>
      </w:tr>
      <w:tr w:rsidR="00C07865" w:rsidRPr="003526A3" w14:paraId="78401314" w14:textId="77777777" w:rsidTr="0082590D">
        <w:tc>
          <w:tcPr>
            <w:tcW w:w="3539" w:type="dxa"/>
          </w:tcPr>
          <w:p w14:paraId="204BB97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w:t>
            </w:r>
          </w:p>
        </w:tc>
        <w:tc>
          <w:tcPr>
            <w:tcW w:w="2977" w:type="dxa"/>
          </w:tcPr>
          <w:p w14:paraId="14180ED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10-30 (</w:t>
            </w:r>
            <w:r w:rsidRPr="003526A3">
              <w:rPr>
                <w:rFonts w:ascii="Times New Roman" w:hAnsi="Times New Roman" w:cs="Times New Roman"/>
                <w:vertAlign w:val="superscript"/>
              </w:rPr>
              <w:t>3</w:t>
            </w:r>
            <w:r w:rsidRPr="003526A3">
              <w:rPr>
                <w:rFonts w:ascii="Times New Roman" w:hAnsi="Times New Roman" w:cs="Times New Roman"/>
              </w:rPr>
              <w:t>)</w:t>
            </w:r>
          </w:p>
        </w:tc>
        <w:tc>
          <w:tcPr>
            <w:tcW w:w="2546" w:type="dxa"/>
          </w:tcPr>
          <w:p w14:paraId="79FCF49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20-35</w:t>
            </w:r>
          </w:p>
        </w:tc>
      </w:tr>
      <w:tr w:rsidR="00C07865" w:rsidRPr="003526A3" w14:paraId="632AFFB6" w14:textId="77777777" w:rsidTr="0082590D">
        <w:tc>
          <w:tcPr>
            <w:tcW w:w="3539" w:type="dxa"/>
          </w:tcPr>
          <w:p w14:paraId="4D28D86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Maddeler (TSS)</w:t>
            </w:r>
          </w:p>
        </w:tc>
        <w:tc>
          <w:tcPr>
            <w:tcW w:w="2977" w:type="dxa"/>
          </w:tcPr>
          <w:p w14:paraId="3301F3A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0,4-1,5</w:t>
            </w:r>
          </w:p>
        </w:tc>
        <w:tc>
          <w:tcPr>
            <w:tcW w:w="2546" w:type="dxa"/>
          </w:tcPr>
          <w:p w14:paraId="6CED358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0,5-2,0</w:t>
            </w:r>
          </w:p>
        </w:tc>
      </w:tr>
      <w:tr w:rsidR="00C07865" w:rsidRPr="003526A3" w14:paraId="20483011" w14:textId="77777777" w:rsidTr="0082590D">
        <w:tc>
          <w:tcPr>
            <w:tcW w:w="3539" w:type="dxa"/>
          </w:tcPr>
          <w:p w14:paraId="03A0E59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2977" w:type="dxa"/>
          </w:tcPr>
          <w:p w14:paraId="4E9406E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0,15-0,3</w:t>
            </w:r>
          </w:p>
        </w:tc>
        <w:tc>
          <w:tcPr>
            <w:tcW w:w="2546" w:type="dxa"/>
          </w:tcPr>
          <w:p w14:paraId="1FDA99B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0,1-0,25</w:t>
            </w:r>
          </w:p>
        </w:tc>
      </w:tr>
      <w:tr w:rsidR="00C07865" w:rsidRPr="003526A3" w14:paraId="7013D8FA" w14:textId="77777777" w:rsidTr="0082590D">
        <w:tc>
          <w:tcPr>
            <w:tcW w:w="3539" w:type="dxa"/>
          </w:tcPr>
          <w:p w14:paraId="0C68B83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2977" w:type="dxa"/>
          </w:tcPr>
          <w:p w14:paraId="286F1C9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0,01-0,05 (</w:t>
            </w:r>
            <w:r w:rsidRPr="003526A3">
              <w:rPr>
                <w:rFonts w:ascii="Times New Roman" w:hAnsi="Times New Roman" w:cs="Times New Roman"/>
                <w:vertAlign w:val="superscript"/>
              </w:rPr>
              <w:t>3</w:t>
            </w:r>
            <w:r w:rsidRPr="003526A3">
              <w:rPr>
                <w:rFonts w:ascii="Times New Roman" w:hAnsi="Times New Roman" w:cs="Times New Roman"/>
              </w:rPr>
              <w:t>)</w:t>
            </w:r>
          </w:p>
        </w:tc>
        <w:tc>
          <w:tcPr>
            <w:tcW w:w="2546" w:type="dxa"/>
          </w:tcPr>
          <w:p w14:paraId="49A8E98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0,01-0,07</w:t>
            </w:r>
          </w:p>
        </w:tc>
      </w:tr>
      <w:tr w:rsidR="00C07865" w:rsidRPr="003526A3" w14:paraId="36CFC99C" w14:textId="77777777" w:rsidTr="0082590D">
        <w:tc>
          <w:tcPr>
            <w:tcW w:w="3539" w:type="dxa"/>
          </w:tcPr>
          <w:p w14:paraId="4477CF1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Adsorplanabilir Organik Bağlı Halojenler (AOX)</w:t>
            </w:r>
          </w:p>
        </w:tc>
        <w:tc>
          <w:tcPr>
            <w:tcW w:w="2977" w:type="dxa"/>
          </w:tcPr>
          <w:p w14:paraId="4351020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0,5-1,5 (</w:t>
            </w:r>
            <w:r w:rsidRPr="003526A3">
              <w:rPr>
                <w:rFonts w:ascii="Times New Roman" w:hAnsi="Times New Roman" w:cs="Times New Roman"/>
                <w:vertAlign w:val="superscript"/>
              </w:rPr>
              <w:t>4</w:t>
            </w: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w:t>
            </w:r>
          </w:p>
          <w:p w14:paraId="15C7510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(yıllık ortalama, mg/L)</w:t>
            </w:r>
          </w:p>
        </w:tc>
        <w:tc>
          <w:tcPr>
            <w:tcW w:w="2546" w:type="dxa"/>
          </w:tcPr>
          <w:p w14:paraId="1A7C8A3B" w14:textId="77777777" w:rsidR="00C07865" w:rsidRPr="003526A3" w:rsidRDefault="00C07865" w:rsidP="000D79D6">
            <w:pPr>
              <w:jc w:val="center"/>
              <w:rPr>
                <w:rFonts w:ascii="Times New Roman" w:hAnsi="Times New Roman" w:cs="Times New Roman"/>
              </w:rPr>
            </w:pPr>
          </w:p>
        </w:tc>
      </w:tr>
      <w:tr w:rsidR="00C07865" w:rsidRPr="003526A3" w14:paraId="67B0B628" w14:textId="77777777" w:rsidTr="0082590D">
        <w:tc>
          <w:tcPr>
            <w:tcW w:w="9062" w:type="dxa"/>
            <w:gridSpan w:val="3"/>
          </w:tcPr>
          <w:p w14:paraId="5C7626C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MET-İES aralığı, piyasaya sürülen kağıt hamuru üretimi ile entegre fabrikaların kağıt hamuru üretimlerini ifade eder (kağıt üretiminden kaynaklanan emisyonlar dahil değildir).</w:t>
            </w:r>
          </w:p>
          <w:p w14:paraId="3BBAC0F1"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 MET-İES’ler, doğal yağ geçirmez kağıt hamuru fabrikaları için uygulanamaz.</w:t>
            </w:r>
          </w:p>
          <w:p w14:paraId="0688A1D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3</w:t>
            </w:r>
            <w:r w:rsidRPr="003526A3">
              <w:rPr>
                <w:rFonts w:ascii="Times New Roman" w:hAnsi="Times New Roman" w:cs="Times New Roman"/>
              </w:rPr>
              <w:t xml:space="preserve">) </w:t>
            </w:r>
            <w:r w:rsidR="009D570E" w:rsidRPr="003526A3">
              <w:rPr>
                <w:rFonts w:ascii="Times New Roman" w:hAnsi="Times New Roman" w:cs="Times New Roman"/>
              </w:rPr>
              <w:t>KOİ</w:t>
            </w:r>
            <w:r w:rsidRPr="003526A3">
              <w:rPr>
                <w:rFonts w:ascii="Times New Roman" w:hAnsi="Times New Roman" w:cs="Times New Roman"/>
              </w:rPr>
              <w:t xml:space="preserve"> ve toplam fosfor için MET-İES, okaliptüs temelli piyasaya sürülen kağıt hamuruna uygulanamaz.</w:t>
            </w:r>
          </w:p>
          <w:p w14:paraId="42B46E3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4</w:t>
            </w:r>
            <w:r w:rsidRPr="003526A3">
              <w:rPr>
                <w:rFonts w:ascii="Times New Roman" w:hAnsi="Times New Roman" w:cs="Times New Roman"/>
              </w:rPr>
              <w:t>) Piyasaya sürülen sülfit kağıt hamuru fabrikaları, ürün gereksinimlerini sağlamak için yavaş bir ClO</w:t>
            </w:r>
            <w:r w:rsidRPr="003526A3">
              <w:rPr>
                <w:rFonts w:ascii="Times New Roman" w:hAnsi="Times New Roman" w:cs="Times New Roman"/>
                <w:vertAlign w:val="subscript"/>
              </w:rPr>
              <w:t>2</w:t>
            </w:r>
            <w:r w:rsidRPr="003526A3">
              <w:rPr>
                <w:rFonts w:ascii="Times New Roman" w:hAnsi="Times New Roman" w:cs="Times New Roman"/>
              </w:rPr>
              <w:t xml:space="preserve"> ile ağartma aşaması uygulayabilir ve beraberinde AOX emisyonları açığa çıkabilir.</w:t>
            </w:r>
          </w:p>
          <w:p w14:paraId="1EF63DE1" w14:textId="77777777" w:rsidR="00C07865" w:rsidRPr="003526A3" w:rsidRDefault="00C07865" w:rsidP="000D79D6">
            <w:pPr>
              <w:jc w:val="both"/>
              <w:rPr>
                <w:rFonts w:ascii="Times New Roman" w:hAnsi="Times New Roman" w:cs="Times New Roman"/>
                <w:i/>
                <w:iCs/>
              </w:rPr>
            </w:pP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 TCF fabrikaları için uygulanamaz.</w:t>
            </w:r>
          </w:p>
        </w:tc>
      </w:tr>
    </w:tbl>
    <w:p w14:paraId="0148F912" w14:textId="77777777" w:rsidR="00C07865" w:rsidRPr="009C6CAC" w:rsidRDefault="00C07865" w:rsidP="00C07865">
      <w:pPr>
        <w:spacing w:after="120" w:line="276" w:lineRule="auto"/>
        <w:jc w:val="both"/>
        <w:rPr>
          <w:rFonts w:ascii="Times New Roman" w:hAnsi="Times New Roman" w:cs="Times New Roman"/>
          <w:sz w:val="24"/>
          <w:szCs w:val="24"/>
        </w:rPr>
      </w:pPr>
    </w:p>
    <w:p w14:paraId="6787E787"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13</w:t>
      </w:r>
    </w:p>
    <w:p w14:paraId="63CA0487"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NSSC kağıt hamuru üretimi yapan bir sülfit kağıt hamuru fabrikasından alıcı sulara olan doğrudan atık su deşarjlarına yönelik MET-İES’ler</w:t>
      </w:r>
    </w:p>
    <w:tbl>
      <w:tblPr>
        <w:tblStyle w:val="TabloKlavuzu"/>
        <w:tblW w:w="0" w:type="auto"/>
        <w:tblLook w:val="04A0" w:firstRow="1" w:lastRow="0" w:firstColumn="1" w:lastColumn="0" w:noHBand="0" w:noVBand="1"/>
      </w:tblPr>
      <w:tblGrid>
        <w:gridCol w:w="5240"/>
        <w:gridCol w:w="3822"/>
      </w:tblGrid>
      <w:tr w:rsidR="00C07865" w:rsidRPr="003526A3" w14:paraId="0F023C1C" w14:textId="77777777" w:rsidTr="0082590D">
        <w:tc>
          <w:tcPr>
            <w:tcW w:w="5240" w:type="dxa"/>
          </w:tcPr>
          <w:p w14:paraId="581C963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3822" w:type="dxa"/>
          </w:tcPr>
          <w:p w14:paraId="5BBBC0C1"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4CDE80DB"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kg/ADt (</w:t>
            </w:r>
            <w:r w:rsidRPr="003526A3">
              <w:rPr>
                <w:rFonts w:ascii="Times New Roman" w:hAnsi="Times New Roman" w:cs="Times New Roman"/>
                <w:b/>
                <w:bCs/>
                <w:vertAlign w:val="superscript"/>
              </w:rPr>
              <w:t>1</w:t>
            </w:r>
            <w:r w:rsidRPr="003526A3">
              <w:rPr>
                <w:rFonts w:ascii="Times New Roman" w:hAnsi="Times New Roman" w:cs="Times New Roman"/>
                <w:b/>
                <w:bCs/>
              </w:rPr>
              <w:t>)</w:t>
            </w:r>
          </w:p>
        </w:tc>
      </w:tr>
      <w:tr w:rsidR="00C07865" w:rsidRPr="003526A3" w14:paraId="3FABA1CF" w14:textId="77777777" w:rsidTr="0082590D">
        <w:tc>
          <w:tcPr>
            <w:tcW w:w="5240" w:type="dxa"/>
          </w:tcPr>
          <w:p w14:paraId="63C8BCE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w:t>
            </w:r>
          </w:p>
        </w:tc>
        <w:tc>
          <w:tcPr>
            <w:tcW w:w="3822" w:type="dxa"/>
          </w:tcPr>
          <w:p w14:paraId="27032B9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3,2-11</w:t>
            </w:r>
          </w:p>
        </w:tc>
      </w:tr>
      <w:tr w:rsidR="00C07865" w:rsidRPr="003526A3" w14:paraId="715D87A6" w14:textId="77777777" w:rsidTr="0082590D">
        <w:tc>
          <w:tcPr>
            <w:tcW w:w="5240" w:type="dxa"/>
          </w:tcPr>
          <w:p w14:paraId="366B624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Maddeler (TSS)</w:t>
            </w:r>
          </w:p>
        </w:tc>
        <w:tc>
          <w:tcPr>
            <w:tcW w:w="3822" w:type="dxa"/>
          </w:tcPr>
          <w:p w14:paraId="50A5529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0,5-1,3</w:t>
            </w:r>
          </w:p>
        </w:tc>
      </w:tr>
      <w:tr w:rsidR="00C07865" w:rsidRPr="003526A3" w14:paraId="284E135F" w14:textId="77777777" w:rsidTr="0082590D">
        <w:tc>
          <w:tcPr>
            <w:tcW w:w="5240" w:type="dxa"/>
          </w:tcPr>
          <w:p w14:paraId="2C29D8A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3822" w:type="dxa"/>
          </w:tcPr>
          <w:p w14:paraId="5C684C9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0,1-0,2 (</w:t>
            </w:r>
            <w:r w:rsidRPr="003526A3">
              <w:rPr>
                <w:rFonts w:ascii="Times New Roman" w:hAnsi="Times New Roman" w:cs="Times New Roman"/>
                <w:vertAlign w:val="superscript"/>
              </w:rPr>
              <w:t>2</w:t>
            </w:r>
            <w:r w:rsidRPr="003526A3">
              <w:rPr>
                <w:rFonts w:ascii="Times New Roman" w:hAnsi="Times New Roman" w:cs="Times New Roman"/>
              </w:rPr>
              <w:t>)</w:t>
            </w:r>
          </w:p>
        </w:tc>
      </w:tr>
      <w:tr w:rsidR="00C07865" w:rsidRPr="003526A3" w14:paraId="5F716F4D" w14:textId="77777777" w:rsidTr="0082590D">
        <w:tc>
          <w:tcPr>
            <w:tcW w:w="5240" w:type="dxa"/>
          </w:tcPr>
          <w:p w14:paraId="5649DBE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3822" w:type="dxa"/>
          </w:tcPr>
          <w:p w14:paraId="6A87310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0,01-0,02</w:t>
            </w:r>
          </w:p>
        </w:tc>
      </w:tr>
      <w:tr w:rsidR="00C07865" w:rsidRPr="003526A3" w14:paraId="00ED090E" w14:textId="77777777" w:rsidTr="0082590D">
        <w:tc>
          <w:tcPr>
            <w:tcW w:w="9062" w:type="dxa"/>
            <w:gridSpan w:val="2"/>
          </w:tcPr>
          <w:p w14:paraId="1DC7C3E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lastRenderedPageBreak/>
              <w:t>(</w:t>
            </w:r>
            <w:r w:rsidRPr="003526A3">
              <w:rPr>
                <w:rFonts w:ascii="Times New Roman" w:hAnsi="Times New Roman" w:cs="Times New Roman"/>
                <w:vertAlign w:val="superscript"/>
              </w:rPr>
              <w:t>1</w:t>
            </w:r>
            <w:r w:rsidRPr="003526A3">
              <w:rPr>
                <w:rFonts w:ascii="Times New Roman" w:hAnsi="Times New Roman" w:cs="Times New Roman"/>
              </w:rPr>
              <w:t>) MET-İES aralığı, piyasaya sürülen kağıt hamuru üretimi ile entegre fabrikaların kağıt hamuru üretimlerini ifade eder (kağıt üretiminden kaynaklanan emisyonlar dahil değildir).</w:t>
            </w:r>
          </w:p>
          <w:p w14:paraId="13B4249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 Prosese özel yüksek emisyonlardan dolayı, toplam azot için MET-İES, amonyum temelli NSSC kağıt hamuru üretimi için uygulanamaz.</w:t>
            </w:r>
          </w:p>
        </w:tc>
      </w:tr>
    </w:tbl>
    <w:p w14:paraId="20812126" w14:textId="77777777" w:rsidR="00C07865" w:rsidRPr="009C6CAC" w:rsidRDefault="00C07865" w:rsidP="00C07865">
      <w:pPr>
        <w:spacing w:after="120" w:line="276" w:lineRule="auto"/>
        <w:jc w:val="both"/>
        <w:rPr>
          <w:rFonts w:ascii="Times New Roman" w:hAnsi="Times New Roman" w:cs="Times New Roman"/>
          <w:sz w:val="24"/>
          <w:szCs w:val="24"/>
        </w:rPr>
      </w:pPr>
    </w:p>
    <w:p w14:paraId="14E17817"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Arıtılmış atık sulardaki BO</w:t>
      </w:r>
      <w:r w:rsidR="00C91F89">
        <w:rPr>
          <w:rFonts w:ascii="Times New Roman" w:hAnsi="Times New Roman" w:cs="Times New Roman"/>
          <w:sz w:val="24"/>
          <w:szCs w:val="24"/>
        </w:rPr>
        <w:t>İ</w:t>
      </w:r>
      <w:r w:rsidRPr="009C6CAC">
        <w:rPr>
          <w:rFonts w:ascii="Times New Roman" w:hAnsi="Times New Roman" w:cs="Times New Roman"/>
          <w:sz w:val="24"/>
          <w:szCs w:val="24"/>
        </w:rPr>
        <w:t xml:space="preserve"> konsantrasyonlarının düşük olması beklenir (24 saatlik kompozit numune olarak yaklaşık 25 mg/L).</w:t>
      </w:r>
    </w:p>
    <w:p w14:paraId="28C8BBB3"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(3.2) Havaya Emisyonlar</w:t>
      </w:r>
    </w:p>
    <w:p w14:paraId="37D579B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34:</w:t>
      </w:r>
      <w:r w:rsidRPr="009C6CAC">
        <w:rPr>
          <w:rFonts w:ascii="Times New Roman" w:hAnsi="Times New Roman" w:cs="Times New Roman"/>
          <w:sz w:val="24"/>
          <w:szCs w:val="24"/>
        </w:rPr>
        <w:t xml:space="preserve">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 önlemek ve azaltmak için asit banyosu üretiminden, çürütücülerden, difüzörlerden veya boşaltma tanklarından kaynaklanan yüksek konsantrasyonlu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içeren tüm gaz akışları toplanır ve kükürt bileşenleri geri kazanılır.</w:t>
      </w:r>
    </w:p>
    <w:p w14:paraId="13AC103B"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35:</w:t>
      </w:r>
      <w:r w:rsidRPr="009C6CAC">
        <w:rPr>
          <w:rFonts w:ascii="Times New Roman" w:hAnsi="Times New Roman" w:cs="Times New Roman"/>
          <w:sz w:val="24"/>
          <w:szCs w:val="24"/>
        </w:rPr>
        <w:t xml:space="preserve"> Yıkama, eleme/tarama ve evaporatörlerden kaynaklanan kükürt içerikli ve kokulu yayılı emisyonları önlemek ve azaltmak için, bu zayıf gazlar toplanır ve aşağıdaki tekniklerin biri uygulanır.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2B2A65BF" w14:textId="77777777" w:rsidTr="000D79D6">
        <w:trPr>
          <w:tblHeader/>
          <w:jc w:val="center"/>
        </w:trPr>
        <w:tc>
          <w:tcPr>
            <w:tcW w:w="704" w:type="dxa"/>
            <w:vAlign w:val="center"/>
          </w:tcPr>
          <w:p w14:paraId="4AF76B05"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10D17284"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4E22E14F"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24F2C3FD" w14:textId="77777777" w:rsidTr="000D79D6">
        <w:trPr>
          <w:jc w:val="center"/>
        </w:trPr>
        <w:tc>
          <w:tcPr>
            <w:tcW w:w="704" w:type="dxa"/>
            <w:vAlign w:val="center"/>
          </w:tcPr>
          <w:p w14:paraId="148E264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2C5E6B9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Geri kazanım kazanında yakma</w:t>
            </w:r>
          </w:p>
        </w:tc>
        <w:tc>
          <w:tcPr>
            <w:tcW w:w="4179" w:type="dxa"/>
            <w:vAlign w:val="center"/>
          </w:tcPr>
          <w:p w14:paraId="3D529A3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Kalsiyum temelli pişirme kullanan sülfit kağıt hamuru fabrikalarına uygulanamaz. Bu fabrikalar, geri kazanım kazanı çalıştırmaz.</w:t>
            </w:r>
          </w:p>
        </w:tc>
      </w:tr>
      <w:tr w:rsidR="00C07865" w:rsidRPr="009C6CAC" w14:paraId="4562BD3D" w14:textId="77777777" w:rsidTr="000D79D6">
        <w:trPr>
          <w:jc w:val="center"/>
        </w:trPr>
        <w:tc>
          <w:tcPr>
            <w:tcW w:w="704" w:type="dxa"/>
            <w:vAlign w:val="center"/>
          </w:tcPr>
          <w:p w14:paraId="1055877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3C3BCAA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Islak yıkayıcı</w:t>
            </w:r>
          </w:p>
        </w:tc>
        <w:tc>
          <w:tcPr>
            <w:tcW w:w="4179" w:type="dxa"/>
            <w:vAlign w:val="center"/>
          </w:tcPr>
          <w:p w14:paraId="5CDA7FB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bl>
    <w:p w14:paraId="7802AF9D" w14:textId="77777777" w:rsidR="00C07865" w:rsidRPr="009C6CAC" w:rsidRDefault="00C07865" w:rsidP="00C07865">
      <w:pPr>
        <w:spacing w:after="120" w:line="276" w:lineRule="auto"/>
        <w:jc w:val="both"/>
        <w:rPr>
          <w:rFonts w:ascii="Times New Roman" w:hAnsi="Times New Roman" w:cs="Times New Roman"/>
          <w:sz w:val="24"/>
          <w:szCs w:val="24"/>
        </w:rPr>
      </w:pPr>
    </w:p>
    <w:p w14:paraId="1A180DC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36:</w:t>
      </w:r>
      <w:r w:rsidRPr="009C6CAC">
        <w:rPr>
          <w:rFonts w:ascii="Times New Roman" w:hAnsi="Times New Roman" w:cs="Times New Roman"/>
          <w:sz w:val="24"/>
          <w:szCs w:val="24"/>
        </w:rPr>
        <w:t xml:space="preserve"> Geri kazanım kazanından kaynaklanan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 azaltmak için, aşağıdaki tekniklerin biri veya bir kombinasyonunu içeren optimize edilmiş bir pişirme sistemi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75B0EE72" w14:textId="77777777" w:rsidTr="000D79D6">
        <w:trPr>
          <w:tblHeader/>
          <w:jc w:val="center"/>
        </w:trPr>
        <w:tc>
          <w:tcPr>
            <w:tcW w:w="704" w:type="dxa"/>
            <w:vAlign w:val="center"/>
          </w:tcPr>
          <w:p w14:paraId="27D63D60"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60FD65CA"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7436CF0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233D7192" w14:textId="77777777" w:rsidTr="000D79D6">
        <w:trPr>
          <w:jc w:val="center"/>
        </w:trPr>
        <w:tc>
          <w:tcPr>
            <w:tcW w:w="704" w:type="dxa"/>
            <w:vAlign w:val="center"/>
          </w:tcPr>
          <w:p w14:paraId="1FB8808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0427914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Pişirme koşulları kontrol edilerek geri kazanım kazanının optimizasyonu</w:t>
            </w:r>
          </w:p>
        </w:tc>
        <w:tc>
          <w:tcPr>
            <w:tcW w:w="4179" w:type="dxa"/>
            <w:vAlign w:val="center"/>
          </w:tcPr>
          <w:p w14:paraId="7CFD79F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1D7A7B2F" w14:textId="77777777" w:rsidTr="000D79D6">
        <w:trPr>
          <w:jc w:val="center"/>
        </w:trPr>
        <w:tc>
          <w:tcPr>
            <w:tcW w:w="704" w:type="dxa"/>
            <w:vAlign w:val="center"/>
          </w:tcPr>
          <w:p w14:paraId="073AAA5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70A6475D" w14:textId="77777777" w:rsidR="00C07865" w:rsidRPr="009C6CAC" w:rsidRDefault="00C07865" w:rsidP="000D79D6">
            <w:pPr>
              <w:jc w:val="both"/>
              <w:rPr>
                <w:rFonts w:ascii="Times New Roman" w:hAnsi="Times New Roman" w:cs="Times New Roman"/>
                <w:sz w:val="24"/>
                <w:szCs w:val="24"/>
              </w:rPr>
            </w:pPr>
            <w:r w:rsidRPr="00DB27A7">
              <w:rPr>
                <w:rFonts w:ascii="Times New Roman" w:hAnsi="Times New Roman" w:cs="Times New Roman"/>
                <w:color w:val="000000" w:themeColor="text1"/>
                <w:sz w:val="24"/>
                <w:szCs w:val="24"/>
              </w:rPr>
              <w:t xml:space="preserve">Kullanılmış </w:t>
            </w:r>
            <w:r w:rsidR="008D5BDB" w:rsidRPr="00DB27A7">
              <w:rPr>
                <w:rFonts w:ascii="Times New Roman" w:hAnsi="Times New Roman" w:cs="Times New Roman"/>
                <w:color w:val="000000" w:themeColor="text1"/>
                <w:sz w:val="24"/>
                <w:szCs w:val="24"/>
              </w:rPr>
              <w:t>banyo sularının</w:t>
            </w:r>
            <w:r w:rsidRPr="00DB27A7">
              <w:rPr>
                <w:rFonts w:ascii="Times New Roman" w:hAnsi="Times New Roman" w:cs="Times New Roman"/>
                <w:color w:val="000000" w:themeColor="text1"/>
                <w:sz w:val="24"/>
                <w:szCs w:val="24"/>
              </w:rPr>
              <w:t xml:space="preserve"> aşamalı enjeksiyonu</w:t>
            </w:r>
          </w:p>
        </w:tc>
        <w:tc>
          <w:tcPr>
            <w:tcW w:w="4179" w:type="dxa"/>
            <w:vAlign w:val="center"/>
          </w:tcPr>
          <w:p w14:paraId="360CA09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Yeni ve büyük geri kazanım kazanları ile geri kazanım kazanlarının büyük tadilatlarına uygulanabilir.</w:t>
            </w:r>
          </w:p>
        </w:tc>
      </w:tr>
      <w:tr w:rsidR="00C07865" w:rsidRPr="009C6CAC" w14:paraId="0F749567" w14:textId="77777777" w:rsidTr="000D79D6">
        <w:trPr>
          <w:jc w:val="center"/>
        </w:trPr>
        <w:tc>
          <w:tcPr>
            <w:tcW w:w="704" w:type="dxa"/>
            <w:vAlign w:val="center"/>
          </w:tcPr>
          <w:p w14:paraId="7ED46CD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179" w:type="dxa"/>
            <w:vAlign w:val="center"/>
          </w:tcPr>
          <w:p w14:paraId="3661AD0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Seçici Katalitik Olmayan İndirgeme (SNCR)</w:t>
            </w:r>
          </w:p>
        </w:tc>
        <w:tc>
          <w:tcPr>
            <w:tcW w:w="4179" w:type="dxa"/>
            <w:vAlign w:val="center"/>
          </w:tcPr>
          <w:p w14:paraId="5C38F0A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Mevcut geri kazanım kazanlarının iyileştirilmesi, ölçeklendirme problemleri ile ilişkili artan temizlik ve bakım gereksinimlerine ilişkin olarak kısıtlanabilir. Amonyum temelli fabrikalar için, herhangi bir uygulama rapor edilmemiştir; ancak, atık gazdaki özel koşullar dolayısıyla, SNCR’nin etkisiz olması beklenir. Sodyum temelli fabrikalara, patlama riskinden dolayı uygulanamaz.</w:t>
            </w:r>
          </w:p>
        </w:tc>
      </w:tr>
    </w:tbl>
    <w:p w14:paraId="54FC7037" w14:textId="77777777" w:rsidR="003526A3" w:rsidRDefault="003526A3" w:rsidP="00C07865">
      <w:pPr>
        <w:spacing w:after="120" w:line="276" w:lineRule="auto"/>
        <w:jc w:val="both"/>
        <w:rPr>
          <w:rFonts w:ascii="Times New Roman" w:hAnsi="Times New Roman" w:cs="Times New Roman"/>
          <w:b/>
          <w:bCs/>
          <w:sz w:val="24"/>
          <w:szCs w:val="24"/>
        </w:rPr>
      </w:pPr>
    </w:p>
    <w:p w14:paraId="3CD5CCF1" w14:textId="77777777" w:rsidR="003526A3" w:rsidRDefault="003526A3" w:rsidP="00C07865">
      <w:pPr>
        <w:spacing w:after="120" w:line="276" w:lineRule="auto"/>
        <w:jc w:val="both"/>
        <w:rPr>
          <w:rFonts w:ascii="Times New Roman" w:hAnsi="Times New Roman" w:cs="Times New Roman"/>
          <w:b/>
          <w:bCs/>
          <w:sz w:val="24"/>
          <w:szCs w:val="24"/>
        </w:rPr>
      </w:pPr>
    </w:p>
    <w:p w14:paraId="11EB9F47" w14:textId="77777777" w:rsidR="003526A3" w:rsidRDefault="003526A3" w:rsidP="00C07865">
      <w:pPr>
        <w:spacing w:after="120" w:line="276" w:lineRule="auto"/>
        <w:jc w:val="both"/>
        <w:rPr>
          <w:rFonts w:ascii="Times New Roman" w:hAnsi="Times New Roman" w:cs="Times New Roman"/>
          <w:b/>
          <w:bCs/>
          <w:sz w:val="24"/>
          <w:szCs w:val="24"/>
        </w:rPr>
      </w:pPr>
    </w:p>
    <w:p w14:paraId="0302E297" w14:textId="71241FFA"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lastRenderedPageBreak/>
        <w:t>MET ile İlişkili Emisyon Seviyeleri</w:t>
      </w:r>
    </w:p>
    <w:p w14:paraId="4F84DB93" w14:textId="729E72D0"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14</w:t>
      </w:r>
    </w:p>
    <w:p w14:paraId="36E86514"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kazanım kazanından kaynaklanan NO</w:t>
      </w:r>
      <w:r w:rsidRPr="009C6CAC">
        <w:rPr>
          <w:rFonts w:ascii="Times New Roman" w:hAnsi="Times New Roman" w:cs="Times New Roman"/>
          <w:b/>
          <w:bCs/>
          <w:sz w:val="24"/>
          <w:szCs w:val="24"/>
          <w:vertAlign w:val="subscript"/>
        </w:rPr>
        <w:t>x</w:t>
      </w:r>
      <w:r w:rsidRPr="009C6CAC">
        <w:rPr>
          <w:rFonts w:ascii="Times New Roman" w:hAnsi="Times New Roman" w:cs="Times New Roman"/>
          <w:b/>
          <w:bCs/>
          <w:sz w:val="24"/>
          <w:szCs w:val="24"/>
        </w:rPr>
        <w:t xml:space="preserve"> ve NH</w:t>
      </w:r>
      <w:r w:rsidRPr="009C6CAC">
        <w:rPr>
          <w:rFonts w:ascii="Times New Roman" w:hAnsi="Times New Roman" w:cs="Times New Roman"/>
          <w:b/>
          <w:bCs/>
          <w:sz w:val="24"/>
          <w:szCs w:val="24"/>
          <w:vertAlign w:val="subscript"/>
        </w:rPr>
        <w:t>4</w:t>
      </w:r>
      <w:r w:rsidRPr="009C6CAC">
        <w:rPr>
          <w:rFonts w:ascii="Times New Roman" w:hAnsi="Times New Roman" w:cs="Times New Roman"/>
          <w:b/>
          <w:bCs/>
          <w:sz w:val="24"/>
          <w:szCs w:val="24"/>
        </w:rPr>
        <w:t xml:space="preserve"> emisyonlarına yönelik MET-İES’ler</w:t>
      </w:r>
    </w:p>
    <w:tbl>
      <w:tblPr>
        <w:tblStyle w:val="TabloKlavuzu"/>
        <w:tblW w:w="0" w:type="auto"/>
        <w:tblLook w:val="04A0" w:firstRow="1" w:lastRow="0" w:firstColumn="1" w:lastColumn="0" w:noHBand="0" w:noVBand="1"/>
      </w:tblPr>
      <w:tblGrid>
        <w:gridCol w:w="2689"/>
        <w:gridCol w:w="3260"/>
        <w:gridCol w:w="3113"/>
      </w:tblGrid>
      <w:tr w:rsidR="00C07865" w:rsidRPr="003526A3" w14:paraId="78DA94F0" w14:textId="77777777" w:rsidTr="0082590D">
        <w:tc>
          <w:tcPr>
            <w:tcW w:w="2689" w:type="dxa"/>
          </w:tcPr>
          <w:p w14:paraId="0C7A7F7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3260" w:type="dxa"/>
          </w:tcPr>
          <w:p w14:paraId="5278D1D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Günlük Ortalama</w:t>
            </w:r>
          </w:p>
          <w:p w14:paraId="00172E9A"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%5’lik O</w:t>
            </w:r>
            <w:r w:rsidRPr="003526A3">
              <w:rPr>
                <w:rFonts w:ascii="Times New Roman" w:hAnsi="Times New Roman" w:cs="Times New Roman"/>
                <w:b/>
                <w:bCs/>
                <w:vertAlign w:val="subscript"/>
              </w:rPr>
              <w:t>2</w:t>
            </w:r>
            <w:r w:rsidRPr="003526A3">
              <w:rPr>
                <w:rFonts w:ascii="Times New Roman" w:hAnsi="Times New Roman" w:cs="Times New Roman"/>
                <w:b/>
                <w:bCs/>
              </w:rPr>
              <w:t xml:space="preserve"> varlığında mg/Nm</w:t>
            </w:r>
            <w:r w:rsidRPr="003526A3">
              <w:rPr>
                <w:rFonts w:ascii="Times New Roman" w:hAnsi="Times New Roman" w:cs="Times New Roman"/>
                <w:b/>
                <w:bCs/>
                <w:vertAlign w:val="superscript"/>
              </w:rPr>
              <w:t>3</w:t>
            </w:r>
            <w:r w:rsidRPr="003526A3">
              <w:rPr>
                <w:rFonts w:ascii="Times New Roman" w:hAnsi="Times New Roman" w:cs="Times New Roman"/>
                <w:b/>
                <w:bCs/>
              </w:rPr>
              <w:t xml:space="preserve"> </w:t>
            </w:r>
          </w:p>
        </w:tc>
        <w:tc>
          <w:tcPr>
            <w:tcW w:w="3113" w:type="dxa"/>
          </w:tcPr>
          <w:p w14:paraId="14638956"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4998755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%5’lik O</w:t>
            </w:r>
            <w:r w:rsidRPr="003526A3">
              <w:rPr>
                <w:rFonts w:ascii="Times New Roman" w:hAnsi="Times New Roman" w:cs="Times New Roman"/>
                <w:b/>
                <w:bCs/>
                <w:vertAlign w:val="subscript"/>
              </w:rPr>
              <w:t>2</w:t>
            </w:r>
            <w:r w:rsidRPr="003526A3">
              <w:rPr>
                <w:rFonts w:ascii="Times New Roman" w:hAnsi="Times New Roman" w:cs="Times New Roman"/>
                <w:b/>
                <w:bCs/>
              </w:rPr>
              <w:t xml:space="preserve"> varlığında mg/Nm</w:t>
            </w:r>
            <w:r w:rsidRPr="003526A3">
              <w:rPr>
                <w:rFonts w:ascii="Times New Roman" w:hAnsi="Times New Roman" w:cs="Times New Roman"/>
                <w:b/>
                <w:bCs/>
                <w:vertAlign w:val="superscript"/>
              </w:rPr>
              <w:t>3</w:t>
            </w:r>
            <w:r w:rsidRPr="003526A3">
              <w:rPr>
                <w:rFonts w:ascii="Times New Roman" w:hAnsi="Times New Roman" w:cs="Times New Roman"/>
                <w:b/>
                <w:bCs/>
              </w:rPr>
              <w:t xml:space="preserve"> </w:t>
            </w:r>
          </w:p>
        </w:tc>
      </w:tr>
      <w:tr w:rsidR="00C07865" w:rsidRPr="003526A3" w14:paraId="01A27F40" w14:textId="77777777" w:rsidTr="0082590D">
        <w:tc>
          <w:tcPr>
            <w:tcW w:w="2689" w:type="dxa"/>
          </w:tcPr>
          <w:p w14:paraId="7490BF5C"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NO</w:t>
            </w:r>
            <w:r w:rsidRPr="003526A3">
              <w:rPr>
                <w:rFonts w:ascii="Times New Roman" w:hAnsi="Times New Roman" w:cs="Times New Roman"/>
                <w:vertAlign w:val="subscript"/>
              </w:rPr>
              <w:t>x</w:t>
            </w:r>
            <w:r w:rsidRPr="003526A3">
              <w:rPr>
                <w:rFonts w:ascii="Times New Roman" w:hAnsi="Times New Roman" w:cs="Times New Roman"/>
              </w:rPr>
              <w:t xml:space="preserve"> </w:t>
            </w:r>
          </w:p>
        </w:tc>
        <w:tc>
          <w:tcPr>
            <w:tcW w:w="3260" w:type="dxa"/>
          </w:tcPr>
          <w:p w14:paraId="700A162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100-350 (</w:t>
            </w:r>
            <w:r w:rsidRPr="003526A3">
              <w:rPr>
                <w:rFonts w:ascii="Times New Roman" w:hAnsi="Times New Roman" w:cs="Times New Roman"/>
                <w:vertAlign w:val="superscript"/>
              </w:rPr>
              <w:t>1</w:t>
            </w:r>
            <w:r w:rsidRPr="003526A3">
              <w:rPr>
                <w:rFonts w:ascii="Times New Roman" w:hAnsi="Times New Roman" w:cs="Times New Roman"/>
              </w:rPr>
              <w:t>)</w:t>
            </w:r>
          </w:p>
        </w:tc>
        <w:tc>
          <w:tcPr>
            <w:tcW w:w="3113" w:type="dxa"/>
          </w:tcPr>
          <w:p w14:paraId="4E006EA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100-270 (</w:t>
            </w:r>
            <w:r w:rsidRPr="003526A3">
              <w:rPr>
                <w:rFonts w:ascii="Times New Roman" w:hAnsi="Times New Roman" w:cs="Times New Roman"/>
                <w:vertAlign w:val="superscript"/>
              </w:rPr>
              <w:t>1</w:t>
            </w:r>
            <w:r w:rsidRPr="003526A3">
              <w:rPr>
                <w:rFonts w:ascii="Times New Roman" w:hAnsi="Times New Roman" w:cs="Times New Roman"/>
              </w:rPr>
              <w:t>)</w:t>
            </w:r>
          </w:p>
        </w:tc>
      </w:tr>
      <w:tr w:rsidR="00C07865" w:rsidRPr="003526A3" w14:paraId="3663903C" w14:textId="77777777" w:rsidTr="0082590D">
        <w:tc>
          <w:tcPr>
            <w:tcW w:w="5949" w:type="dxa"/>
            <w:gridSpan w:val="2"/>
          </w:tcPr>
          <w:p w14:paraId="51F867A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NH</w:t>
            </w:r>
            <w:r w:rsidRPr="003526A3">
              <w:rPr>
                <w:rFonts w:ascii="Times New Roman" w:hAnsi="Times New Roman" w:cs="Times New Roman"/>
                <w:vertAlign w:val="subscript"/>
              </w:rPr>
              <w:t>3</w:t>
            </w:r>
            <w:r w:rsidRPr="003526A3">
              <w:rPr>
                <w:rFonts w:ascii="Times New Roman" w:hAnsi="Times New Roman" w:cs="Times New Roman"/>
              </w:rPr>
              <w:t xml:space="preserve"> (SNCR için amonyak kayması)</w:t>
            </w:r>
          </w:p>
        </w:tc>
        <w:tc>
          <w:tcPr>
            <w:tcW w:w="3113" w:type="dxa"/>
          </w:tcPr>
          <w:p w14:paraId="41AD74B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&lt;5</w:t>
            </w:r>
          </w:p>
        </w:tc>
      </w:tr>
      <w:tr w:rsidR="00C07865" w:rsidRPr="003526A3" w14:paraId="53BCDDEE" w14:textId="77777777" w:rsidTr="0082590D">
        <w:tc>
          <w:tcPr>
            <w:tcW w:w="9062" w:type="dxa"/>
            <w:gridSpan w:val="3"/>
          </w:tcPr>
          <w:p w14:paraId="24A11C0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Amonyum temelli fabrikalar için, daha yüksek NO</w:t>
            </w:r>
            <w:r w:rsidRPr="003526A3">
              <w:rPr>
                <w:rFonts w:ascii="Times New Roman" w:hAnsi="Times New Roman" w:cs="Times New Roman"/>
                <w:vertAlign w:val="subscript"/>
              </w:rPr>
              <w:t>x</w:t>
            </w:r>
            <w:r w:rsidRPr="003526A3">
              <w:rPr>
                <w:rFonts w:ascii="Times New Roman" w:hAnsi="Times New Roman" w:cs="Times New Roman"/>
              </w:rPr>
              <w:t xml:space="preserve"> emisyon seviyeleri gerçekleşebilir: günlük ortalama olarak 580 mg/Nm</w:t>
            </w:r>
            <w:r w:rsidRPr="003526A3">
              <w:rPr>
                <w:rFonts w:ascii="Times New Roman" w:hAnsi="Times New Roman" w:cs="Times New Roman"/>
                <w:vertAlign w:val="superscript"/>
              </w:rPr>
              <w:t>3</w:t>
            </w:r>
            <w:r w:rsidRPr="003526A3">
              <w:rPr>
                <w:rFonts w:ascii="Times New Roman" w:hAnsi="Times New Roman" w:cs="Times New Roman"/>
              </w:rPr>
              <w:t>’e ve yıllık ortalama olarak 450 mg/Nm</w:t>
            </w:r>
            <w:r w:rsidRPr="003526A3">
              <w:rPr>
                <w:rFonts w:ascii="Times New Roman" w:hAnsi="Times New Roman" w:cs="Times New Roman"/>
                <w:vertAlign w:val="superscript"/>
              </w:rPr>
              <w:t>3</w:t>
            </w:r>
            <w:r w:rsidRPr="003526A3">
              <w:rPr>
                <w:rFonts w:ascii="Times New Roman" w:hAnsi="Times New Roman" w:cs="Times New Roman"/>
              </w:rPr>
              <w:t>’e kadar.</w:t>
            </w:r>
          </w:p>
        </w:tc>
      </w:tr>
    </w:tbl>
    <w:p w14:paraId="4CF7A181" w14:textId="77777777" w:rsidR="003526A3" w:rsidRDefault="003526A3" w:rsidP="00C07865">
      <w:pPr>
        <w:spacing w:after="120" w:line="276" w:lineRule="auto"/>
        <w:jc w:val="both"/>
        <w:rPr>
          <w:rFonts w:ascii="Times New Roman" w:hAnsi="Times New Roman" w:cs="Times New Roman"/>
          <w:b/>
          <w:bCs/>
          <w:sz w:val="24"/>
          <w:szCs w:val="24"/>
        </w:rPr>
      </w:pPr>
    </w:p>
    <w:p w14:paraId="446ECA5B" w14:textId="1DEDF5B3"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37:</w:t>
      </w:r>
      <w:r w:rsidRPr="009C6CAC">
        <w:rPr>
          <w:rFonts w:ascii="Times New Roman" w:hAnsi="Times New Roman" w:cs="Times New Roman"/>
          <w:sz w:val="24"/>
          <w:szCs w:val="24"/>
        </w:rPr>
        <w:t xml:space="preserve"> Geri kazanım kazanından kaynaklanan toz ve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 azaltmak için, aşağıdaki tekniklerin biri kullanılır ve doğru çalışmalarını sağlamak için yıkayıcıların ‘asit işlemi’, gereken minimum miktar ile sınırlanır.</w:t>
      </w:r>
    </w:p>
    <w:tbl>
      <w:tblPr>
        <w:tblStyle w:val="TabloKlavuzu"/>
        <w:tblW w:w="0" w:type="auto"/>
        <w:jc w:val="center"/>
        <w:tblLook w:val="04A0" w:firstRow="1" w:lastRow="0" w:firstColumn="1" w:lastColumn="0" w:noHBand="0" w:noVBand="1"/>
      </w:tblPr>
      <w:tblGrid>
        <w:gridCol w:w="704"/>
        <w:gridCol w:w="8358"/>
      </w:tblGrid>
      <w:tr w:rsidR="00C07865" w:rsidRPr="009C6CAC" w14:paraId="25E2FF39" w14:textId="77777777" w:rsidTr="000D79D6">
        <w:trPr>
          <w:tblHeader/>
          <w:jc w:val="center"/>
        </w:trPr>
        <w:tc>
          <w:tcPr>
            <w:tcW w:w="704" w:type="dxa"/>
            <w:vAlign w:val="center"/>
          </w:tcPr>
          <w:p w14:paraId="6955D993"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1D88D86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4383A994" w14:textId="77777777" w:rsidTr="000D79D6">
        <w:trPr>
          <w:jc w:val="center"/>
        </w:trPr>
        <w:tc>
          <w:tcPr>
            <w:tcW w:w="704" w:type="dxa"/>
            <w:vAlign w:val="center"/>
          </w:tcPr>
          <w:p w14:paraId="106607B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3542174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Çok aşamalı venturi yıkayıcıları ile birlikte ESP veya çoklu siklonlar</w:t>
            </w:r>
          </w:p>
        </w:tc>
      </w:tr>
      <w:tr w:rsidR="00C07865" w:rsidRPr="009C6CAC" w14:paraId="3750476E" w14:textId="77777777" w:rsidTr="000D79D6">
        <w:trPr>
          <w:jc w:val="center"/>
        </w:trPr>
        <w:tc>
          <w:tcPr>
            <w:tcW w:w="704" w:type="dxa"/>
            <w:vAlign w:val="center"/>
          </w:tcPr>
          <w:p w14:paraId="2D0D61B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756B7AB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Çok aşamalı ve çift girişli alt akım yıkayıcıları ile birlikte ESP veya çoklu siklonlar</w:t>
            </w:r>
          </w:p>
        </w:tc>
      </w:tr>
    </w:tbl>
    <w:p w14:paraId="1DD1053B" w14:textId="77777777" w:rsidR="00C07865" w:rsidRPr="009C6CAC" w:rsidRDefault="00C07865" w:rsidP="00C07865">
      <w:pPr>
        <w:spacing w:after="120" w:line="276" w:lineRule="auto"/>
        <w:jc w:val="both"/>
        <w:rPr>
          <w:rFonts w:ascii="Times New Roman" w:hAnsi="Times New Roman" w:cs="Times New Roman"/>
          <w:sz w:val="24"/>
          <w:szCs w:val="24"/>
        </w:rPr>
      </w:pPr>
    </w:p>
    <w:p w14:paraId="76C259BC"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3426BD10"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15</w:t>
      </w:r>
    </w:p>
    <w:p w14:paraId="4D2FD924"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kazanım kazanından kaynaklanan toz ve SO</w:t>
      </w:r>
      <w:r w:rsidRPr="009C6CAC">
        <w:rPr>
          <w:rFonts w:ascii="Times New Roman" w:hAnsi="Times New Roman" w:cs="Times New Roman"/>
          <w:b/>
          <w:bCs/>
          <w:sz w:val="24"/>
          <w:szCs w:val="24"/>
          <w:vertAlign w:val="subscript"/>
        </w:rPr>
        <w:t>2</w:t>
      </w:r>
      <w:r w:rsidRPr="009C6CAC">
        <w:rPr>
          <w:rFonts w:ascii="Times New Roman" w:hAnsi="Times New Roman" w:cs="Times New Roman"/>
          <w:b/>
          <w:bCs/>
          <w:sz w:val="24"/>
          <w:szCs w:val="24"/>
        </w:rPr>
        <w:t xml:space="preserve"> emisyonlarına yönelik MET-İES’ler</w:t>
      </w:r>
    </w:p>
    <w:tbl>
      <w:tblPr>
        <w:tblStyle w:val="TabloKlavuzu"/>
        <w:tblW w:w="0" w:type="auto"/>
        <w:tblLook w:val="04A0" w:firstRow="1" w:lastRow="0" w:firstColumn="1" w:lastColumn="0" w:noHBand="0" w:noVBand="1"/>
      </w:tblPr>
      <w:tblGrid>
        <w:gridCol w:w="2122"/>
        <w:gridCol w:w="3543"/>
        <w:gridCol w:w="3397"/>
      </w:tblGrid>
      <w:tr w:rsidR="00C07865" w:rsidRPr="003526A3" w14:paraId="1F5E4ABC" w14:textId="77777777" w:rsidTr="0082590D">
        <w:trPr>
          <w:trHeight w:val="769"/>
        </w:trPr>
        <w:tc>
          <w:tcPr>
            <w:tcW w:w="2122" w:type="dxa"/>
          </w:tcPr>
          <w:p w14:paraId="3FAA1B1C"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6940" w:type="dxa"/>
            <w:gridSpan w:val="2"/>
          </w:tcPr>
          <w:p w14:paraId="7BDEE3A0"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Örnekleme Süresi Üzerinden Ortalama</w:t>
            </w:r>
          </w:p>
          <w:p w14:paraId="30CF64E4"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%5’lik O</w:t>
            </w:r>
            <w:r w:rsidRPr="003526A3">
              <w:rPr>
                <w:rFonts w:ascii="Times New Roman" w:hAnsi="Times New Roman" w:cs="Times New Roman"/>
                <w:b/>
                <w:bCs/>
                <w:vertAlign w:val="subscript"/>
              </w:rPr>
              <w:t>2</w:t>
            </w:r>
            <w:r w:rsidRPr="003526A3">
              <w:rPr>
                <w:rFonts w:ascii="Times New Roman" w:hAnsi="Times New Roman" w:cs="Times New Roman"/>
                <w:b/>
                <w:bCs/>
              </w:rPr>
              <w:t xml:space="preserve"> varlığında mg/Nm</w:t>
            </w:r>
            <w:r w:rsidRPr="003526A3">
              <w:rPr>
                <w:rFonts w:ascii="Times New Roman" w:hAnsi="Times New Roman" w:cs="Times New Roman"/>
                <w:b/>
                <w:bCs/>
                <w:vertAlign w:val="superscript"/>
              </w:rPr>
              <w:t>3</w:t>
            </w:r>
            <w:r w:rsidRPr="003526A3">
              <w:rPr>
                <w:rFonts w:ascii="Times New Roman" w:hAnsi="Times New Roman" w:cs="Times New Roman"/>
                <w:b/>
                <w:bCs/>
              </w:rPr>
              <w:t xml:space="preserve"> </w:t>
            </w:r>
          </w:p>
        </w:tc>
      </w:tr>
      <w:tr w:rsidR="00C07865" w:rsidRPr="003526A3" w14:paraId="5BC9494D" w14:textId="77777777" w:rsidTr="0082590D">
        <w:tc>
          <w:tcPr>
            <w:tcW w:w="2122" w:type="dxa"/>
          </w:tcPr>
          <w:p w14:paraId="7F65C1D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Toz</w:t>
            </w:r>
          </w:p>
        </w:tc>
        <w:tc>
          <w:tcPr>
            <w:tcW w:w="6940" w:type="dxa"/>
            <w:gridSpan w:val="2"/>
          </w:tcPr>
          <w:p w14:paraId="7DCA7A7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5-20 (</w:t>
            </w:r>
            <w:r w:rsidRPr="003526A3">
              <w:rPr>
                <w:rFonts w:ascii="Times New Roman" w:hAnsi="Times New Roman" w:cs="Times New Roman"/>
                <w:vertAlign w:val="superscript"/>
              </w:rPr>
              <w:t>1</w:t>
            </w: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w:t>
            </w:r>
          </w:p>
        </w:tc>
      </w:tr>
      <w:tr w:rsidR="00C07865" w:rsidRPr="003526A3" w14:paraId="1C369ACF" w14:textId="77777777" w:rsidTr="0082590D">
        <w:tc>
          <w:tcPr>
            <w:tcW w:w="2122" w:type="dxa"/>
          </w:tcPr>
          <w:p w14:paraId="540DE49D" w14:textId="77777777" w:rsidR="00C07865" w:rsidRPr="003526A3" w:rsidRDefault="00C07865" w:rsidP="000D79D6">
            <w:pPr>
              <w:jc w:val="both"/>
              <w:rPr>
                <w:rFonts w:ascii="Times New Roman" w:hAnsi="Times New Roman" w:cs="Times New Roman"/>
              </w:rPr>
            </w:pPr>
          </w:p>
        </w:tc>
        <w:tc>
          <w:tcPr>
            <w:tcW w:w="3543" w:type="dxa"/>
          </w:tcPr>
          <w:p w14:paraId="34084C7A"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Günlük Ortalama</w:t>
            </w:r>
          </w:p>
          <w:p w14:paraId="3D6ABE4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%5’lik O</w:t>
            </w:r>
            <w:r w:rsidRPr="003526A3">
              <w:rPr>
                <w:rFonts w:ascii="Times New Roman" w:hAnsi="Times New Roman" w:cs="Times New Roman"/>
                <w:b/>
                <w:bCs/>
                <w:vertAlign w:val="subscript"/>
              </w:rPr>
              <w:t>2</w:t>
            </w:r>
            <w:r w:rsidRPr="003526A3">
              <w:rPr>
                <w:rFonts w:ascii="Times New Roman" w:hAnsi="Times New Roman" w:cs="Times New Roman"/>
                <w:b/>
                <w:bCs/>
              </w:rPr>
              <w:t xml:space="preserve"> varlığında mg/Nm</w:t>
            </w:r>
            <w:r w:rsidRPr="003526A3">
              <w:rPr>
                <w:rFonts w:ascii="Times New Roman" w:hAnsi="Times New Roman" w:cs="Times New Roman"/>
                <w:b/>
                <w:bCs/>
                <w:vertAlign w:val="superscript"/>
              </w:rPr>
              <w:t>3</w:t>
            </w:r>
          </w:p>
        </w:tc>
        <w:tc>
          <w:tcPr>
            <w:tcW w:w="3397" w:type="dxa"/>
          </w:tcPr>
          <w:p w14:paraId="4313BC4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672BF3D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%5’lik O</w:t>
            </w:r>
            <w:r w:rsidRPr="003526A3">
              <w:rPr>
                <w:rFonts w:ascii="Times New Roman" w:hAnsi="Times New Roman" w:cs="Times New Roman"/>
                <w:b/>
                <w:bCs/>
                <w:vertAlign w:val="subscript"/>
              </w:rPr>
              <w:t>2</w:t>
            </w:r>
            <w:r w:rsidRPr="003526A3">
              <w:rPr>
                <w:rFonts w:ascii="Times New Roman" w:hAnsi="Times New Roman" w:cs="Times New Roman"/>
                <w:b/>
                <w:bCs/>
              </w:rPr>
              <w:t xml:space="preserve"> varlığında mg/Nm</w:t>
            </w:r>
            <w:r w:rsidRPr="003526A3">
              <w:rPr>
                <w:rFonts w:ascii="Times New Roman" w:hAnsi="Times New Roman" w:cs="Times New Roman"/>
                <w:b/>
                <w:bCs/>
                <w:vertAlign w:val="superscript"/>
              </w:rPr>
              <w:t>3</w:t>
            </w:r>
          </w:p>
        </w:tc>
      </w:tr>
      <w:tr w:rsidR="00C07865" w:rsidRPr="003526A3" w14:paraId="0FFFC79E" w14:textId="77777777" w:rsidTr="0082590D">
        <w:tc>
          <w:tcPr>
            <w:tcW w:w="2122" w:type="dxa"/>
          </w:tcPr>
          <w:p w14:paraId="75DDBBE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SO</w:t>
            </w:r>
            <w:r w:rsidRPr="003526A3">
              <w:rPr>
                <w:rFonts w:ascii="Times New Roman" w:hAnsi="Times New Roman" w:cs="Times New Roman"/>
                <w:vertAlign w:val="subscript"/>
              </w:rPr>
              <w:t>2</w:t>
            </w:r>
            <w:r w:rsidRPr="003526A3">
              <w:rPr>
                <w:rFonts w:ascii="Times New Roman" w:hAnsi="Times New Roman" w:cs="Times New Roman"/>
              </w:rPr>
              <w:t xml:space="preserve"> </w:t>
            </w:r>
          </w:p>
        </w:tc>
        <w:tc>
          <w:tcPr>
            <w:tcW w:w="3543" w:type="dxa"/>
          </w:tcPr>
          <w:p w14:paraId="567EA2C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100-300 (</w:t>
            </w:r>
            <w:r w:rsidRPr="003526A3">
              <w:rPr>
                <w:rFonts w:ascii="Times New Roman" w:hAnsi="Times New Roman" w:cs="Times New Roman"/>
                <w:vertAlign w:val="superscript"/>
              </w:rPr>
              <w:t>3</w:t>
            </w:r>
            <w:r w:rsidRPr="003526A3">
              <w:rPr>
                <w:rFonts w:ascii="Times New Roman" w:hAnsi="Times New Roman" w:cs="Times New Roman"/>
              </w:rPr>
              <w:t>)(</w:t>
            </w:r>
            <w:r w:rsidRPr="003526A3">
              <w:rPr>
                <w:rFonts w:ascii="Times New Roman" w:hAnsi="Times New Roman" w:cs="Times New Roman"/>
                <w:vertAlign w:val="superscript"/>
              </w:rPr>
              <w:t>4</w:t>
            </w: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w:t>
            </w:r>
          </w:p>
        </w:tc>
        <w:tc>
          <w:tcPr>
            <w:tcW w:w="3397" w:type="dxa"/>
          </w:tcPr>
          <w:p w14:paraId="53376A8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50-250 (</w:t>
            </w:r>
            <w:r w:rsidRPr="003526A3">
              <w:rPr>
                <w:rFonts w:ascii="Times New Roman" w:hAnsi="Times New Roman" w:cs="Times New Roman"/>
                <w:vertAlign w:val="superscript"/>
              </w:rPr>
              <w:t>3</w:t>
            </w:r>
            <w:r w:rsidRPr="003526A3">
              <w:rPr>
                <w:rFonts w:ascii="Times New Roman" w:hAnsi="Times New Roman" w:cs="Times New Roman"/>
              </w:rPr>
              <w:t>)(</w:t>
            </w:r>
            <w:r w:rsidRPr="003526A3">
              <w:rPr>
                <w:rFonts w:ascii="Times New Roman" w:hAnsi="Times New Roman" w:cs="Times New Roman"/>
                <w:vertAlign w:val="superscript"/>
              </w:rPr>
              <w:t>4</w:t>
            </w:r>
            <w:r w:rsidRPr="003526A3">
              <w:rPr>
                <w:rFonts w:ascii="Times New Roman" w:hAnsi="Times New Roman" w:cs="Times New Roman"/>
              </w:rPr>
              <w:t>)</w:t>
            </w:r>
          </w:p>
        </w:tc>
      </w:tr>
      <w:tr w:rsidR="00C07865" w:rsidRPr="003526A3" w14:paraId="6C5A187E" w14:textId="77777777" w:rsidTr="0082590D">
        <w:tc>
          <w:tcPr>
            <w:tcW w:w="9062" w:type="dxa"/>
            <w:gridSpan w:val="3"/>
          </w:tcPr>
          <w:p w14:paraId="6299BFC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Hammaddelerde %25’ten fazla sert kereste (potasyum açısından zengin) kullanan fabrikalardaki geri kazanım kazanları için, 30 mg/Nm</w:t>
            </w:r>
            <w:r w:rsidRPr="003526A3">
              <w:rPr>
                <w:rFonts w:ascii="Times New Roman" w:hAnsi="Times New Roman" w:cs="Times New Roman"/>
                <w:vertAlign w:val="superscript"/>
              </w:rPr>
              <w:t>3</w:t>
            </w:r>
            <w:r w:rsidRPr="003526A3">
              <w:rPr>
                <w:rFonts w:ascii="Times New Roman" w:hAnsi="Times New Roman" w:cs="Times New Roman"/>
              </w:rPr>
              <w:t>’e kadar daha yüksek toz emisyonları gerçekleşebilir.</w:t>
            </w:r>
          </w:p>
          <w:p w14:paraId="3F601FA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 Toz için MET-İES, amonyum temelli fabrikalara uygulanamaz.</w:t>
            </w:r>
          </w:p>
          <w:p w14:paraId="65AAE6A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3</w:t>
            </w:r>
            <w:r w:rsidRPr="003526A3">
              <w:rPr>
                <w:rFonts w:ascii="Times New Roman" w:hAnsi="Times New Roman" w:cs="Times New Roman"/>
              </w:rPr>
              <w:t>) Prosese özel yüksek emisyonlardan dolayı, SO</w:t>
            </w:r>
            <w:r w:rsidRPr="003526A3">
              <w:rPr>
                <w:rFonts w:ascii="Times New Roman" w:hAnsi="Times New Roman" w:cs="Times New Roman"/>
                <w:vertAlign w:val="subscript"/>
              </w:rPr>
              <w:t>2</w:t>
            </w:r>
            <w:r w:rsidRPr="003526A3">
              <w:rPr>
                <w:rFonts w:ascii="Times New Roman" w:hAnsi="Times New Roman" w:cs="Times New Roman"/>
              </w:rPr>
              <w:t xml:space="preserve"> için MET-İES, ‘asidik’ koşullar altında -başka bir ifadeyle, sülfit geri kazanım prosesinin bir parçası olarak ıslak yıkayıcı yıkama ortamı olarak sülfit likörü kullanıldığında- sürekli olarak çalışan geri kazanım kazanlarına uygulanamaz.</w:t>
            </w:r>
          </w:p>
          <w:p w14:paraId="685FECE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4</w:t>
            </w:r>
            <w:r w:rsidRPr="003526A3">
              <w:rPr>
                <w:rFonts w:ascii="Times New Roman" w:hAnsi="Times New Roman" w:cs="Times New Roman"/>
              </w:rPr>
              <w:t>) Mevcut çok aşamalı venturi yıkayıcılar için daha yüksek SO</w:t>
            </w:r>
            <w:r w:rsidRPr="003526A3">
              <w:rPr>
                <w:rFonts w:ascii="Times New Roman" w:hAnsi="Times New Roman" w:cs="Times New Roman"/>
                <w:vertAlign w:val="subscript"/>
              </w:rPr>
              <w:t>2</w:t>
            </w:r>
            <w:r w:rsidRPr="003526A3">
              <w:rPr>
                <w:rFonts w:ascii="Times New Roman" w:hAnsi="Times New Roman" w:cs="Times New Roman"/>
              </w:rPr>
              <w:t xml:space="preserve"> emisyonları, günlük ortalama değer olarak 400 mg/Nm</w:t>
            </w:r>
            <w:r w:rsidRPr="003526A3">
              <w:rPr>
                <w:rFonts w:ascii="Times New Roman" w:hAnsi="Times New Roman" w:cs="Times New Roman"/>
                <w:vertAlign w:val="superscript"/>
              </w:rPr>
              <w:t>3</w:t>
            </w:r>
            <w:r w:rsidRPr="003526A3">
              <w:rPr>
                <w:rFonts w:ascii="Times New Roman" w:hAnsi="Times New Roman" w:cs="Times New Roman"/>
              </w:rPr>
              <w:t>’e ve yıllık ortalama olarak 350 mg/Nm</w:t>
            </w:r>
            <w:r w:rsidRPr="003526A3">
              <w:rPr>
                <w:rFonts w:ascii="Times New Roman" w:hAnsi="Times New Roman" w:cs="Times New Roman"/>
                <w:vertAlign w:val="superscript"/>
              </w:rPr>
              <w:t>3</w:t>
            </w:r>
            <w:r w:rsidRPr="003526A3">
              <w:rPr>
                <w:rFonts w:ascii="Times New Roman" w:hAnsi="Times New Roman" w:cs="Times New Roman"/>
              </w:rPr>
              <w:t>’e kadar gerçekleşebilir.</w:t>
            </w:r>
          </w:p>
          <w:p w14:paraId="431088BA" w14:textId="77777777" w:rsidR="00C07865" w:rsidRPr="003526A3" w:rsidRDefault="00C07865" w:rsidP="000D79D6">
            <w:pPr>
              <w:jc w:val="both"/>
              <w:rPr>
                <w:rFonts w:ascii="Times New Roman" w:hAnsi="Times New Roman" w:cs="Times New Roman"/>
                <w:i/>
                <w:iCs/>
              </w:rPr>
            </w:pPr>
            <w:r w:rsidRPr="003526A3">
              <w:rPr>
                <w:rFonts w:ascii="Times New Roman" w:hAnsi="Times New Roman" w:cs="Times New Roman"/>
              </w:rPr>
              <w:t>(</w:t>
            </w:r>
            <w:r w:rsidRPr="003526A3">
              <w:rPr>
                <w:rFonts w:ascii="Times New Roman" w:hAnsi="Times New Roman" w:cs="Times New Roman"/>
                <w:vertAlign w:val="superscript"/>
              </w:rPr>
              <w:t>5</w:t>
            </w:r>
            <w:r w:rsidRPr="003526A3">
              <w:rPr>
                <w:rFonts w:ascii="Times New Roman" w:hAnsi="Times New Roman" w:cs="Times New Roman"/>
              </w:rPr>
              <w:t>) ‘Asit işlemi’ sırasında -başka bir ifadeyle, yıkayıcılarda kabuklanmaya yönelik önleyici yıkama ve temizleme yapıldığında- uygulanamaz. Bu süreçte emisyonlar, yıkayıcılardan birinin temizliği için 300-500 mg SO</w:t>
            </w:r>
            <w:r w:rsidRPr="003526A3">
              <w:rPr>
                <w:rFonts w:ascii="Times New Roman" w:hAnsi="Times New Roman" w:cs="Times New Roman"/>
                <w:vertAlign w:val="subscript"/>
              </w:rPr>
              <w:t>2</w:t>
            </w:r>
            <w:r w:rsidRPr="003526A3">
              <w:rPr>
                <w:rFonts w:ascii="Times New Roman" w:hAnsi="Times New Roman" w:cs="Times New Roman"/>
              </w:rPr>
              <w:t>/Nm</w:t>
            </w:r>
            <w:r w:rsidRPr="003526A3">
              <w:rPr>
                <w:rFonts w:ascii="Times New Roman" w:hAnsi="Times New Roman" w:cs="Times New Roman"/>
                <w:vertAlign w:val="superscript"/>
              </w:rPr>
              <w:t>3</w:t>
            </w:r>
            <w:r w:rsidRPr="003526A3">
              <w:rPr>
                <w:rFonts w:ascii="Times New Roman" w:hAnsi="Times New Roman" w:cs="Times New Roman"/>
              </w:rPr>
              <w:t>’e (%5’lik O</w:t>
            </w:r>
            <w:r w:rsidRPr="003526A3">
              <w:rPr>
                <w:rFonts w:ascii="Times New Roman" w:hAnsi="Times New Roman" w:cs="Times New Roman"/>
                <w:vertAlign w:val="subscript"/>
              </w:rPr>
              <w:t>2</w:t>
            </w:r>
            <w:r w:rsidRPr="003526A3">
              <w:rPr>
                <w:rFonts w:ascii="Times New Roman" w:hAnsi="Times New Roman" w:cs="Times New Roman"/>
              </w:rPr>
              <w:t xml:space="preserve"> varlığında) ve son yıkayıcının temizliği için ise 1.200 mg SO</w:t>
            </w:r>
            <w:r w:rsidRPr="003526A3">
              <w:rPr>
                <w:rFonts w:ascii="Times New Roman" w:hAnsi="Times New Roman" w:cs="Times New Roman"/>
                <w:vertAlign w:val="subscript"/>
              </w:rPr>
              <w:t>2</w:t>
            </w:r>
            <w:r w:rsidRPr="003526A3">
              <w:rPr>
                <w:rFonts w:ascii="Times New Roman" w:hAnsi="Times New Roman" w:cs="Times New Roman"/>
              </w:rPr>
              <w:t>/Nm</w:t>
            </w:r>
            <w:r w:rsidRPr="003526A3">
              <w:rPr>
                <w:rFonts w:ascii="Times New Roman" w:hAnsi="Times New Roman" w:cs="Times New Roman"/>
                <w:vertAlign w:val="superscript"/>
              </w:rPr>
              <w:t>3</w:t>
            </w:r>
            <w:r w:rsidRPr="003526A3">
              <w:rPr>
                <w:rFonts w:ascii="Times New Roman" w:hAnsi="Times New Roman" w:cs="Times New Roman"/>
              </w:rPr>
              <w:t>’e (yarım saatlik ortalama değerler, %5’lik O</w:t>
            </w:r>
            <w:r w:rsidRPr="003526A3">
              <w:rPr>
                <w:rFonts w:ascii="Times New Roman" w:hAnsi="Times New Roman" w:cs="Times New Roman"/>
                <w:vertAlign w:val="subscript"/>
              </w:rPr>
              <w:t>2</w:t>
            </w:r>
            <w:r w:rsidRPr="003526A3">
              <w:rPr>
                <w:rFonts w:ascii="Times New Roman" w:hAnsi="Times New Roman" w:cs="Times New Roman"/>
              </w:rPr>
              <w:t xml:space="preserve"> varlığında) kadar çıkabilir.</w:t>
            </w:r>
          </w:p>
        </w:tc>
      </w:tr>
    </w:tbl>
    <w:p w14:paraId="576A7A34" w14:textId="77777777" w:rsidR="00C07865" w:rsidRPr="009C6CAC" w:rsidRDefault="00C07865" w:rsidP="00C07865">
      <w:pPr>
        <w:spacing w:after="120" w:line="276" w:lineRule="auto"/>
        <w:jc w:val="both"/>
        <w:rPr>
          <w:rFonts w:ascii="Times New Roman" w:hAnsi="Times New Roman" w:cs="Times New Roman"/>
          <w:sz w:val="24"/>
          <w:szCs w:val="24"/>
        </w:rPr>
      </w:pPr>
    </w:p>
    <w:p w14:paraId="5292C30E" w14:textId="77777777" w:rsidR="003526A3" w:rsidRDefault="003526A3" w:rsidP="00C07865">
      <w:pPr>
        <w:spacing w:after="120" w:line="276" w:lineRule="auto"/>
        <w:jc w:val="both"/>
        <w:rPr>
          <w:rFonts w:ascii="Times New Roman" w:hAnsi="Times New Roman" w:cs="Times New Roman"/>
          <w:b/>
          <w:bCs/>
          <w:sz w:val="24"/>
          <w:szCs w:val="24"/>
        </w:rPr>
      </w:pPr>
    </w:p>
    <w:p w14:paraId="5543492E" w14:textId="77777777" w:rsidR="003526A3" w:rsidRDefault="003526A3" w:rsidP="00C07865">
      <w:pPr>
        <w:spacing w:after="120" w:line="276" w:lineRule="auto"/>
        <w:jc w:val="both"/>
        <w:rPr>
          <w:rFonts w:ascii="Times New Roman" w:hAnsi="Times New Roman" w:cs="Times New Roman"/>
          <w:b/>
          <w:bCs/>
          <w:sz w:val="24"/>
          <w:szCs w:val="24"/>
        </w:rPr>
      </w:pPr>
    </w:p>
    <w:p w14:paraId="2ADF1467" w14:textId="6351D41D"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lastRenderedPageBreak/>
        <w:t>MET ile ilişkili çevresel performans seviyesi</w:t>
      </w:r>
      <w:r w:rsidRPr="009C6CAC">
        <w:rPr>
          <w:rFonts w:ascii="Times New Roman" w:hAnsi="Times New Roman" w:cs="Times New Roman"/>
          <w:sz w:val="24"/>
          <w:szCs w:val="24"/>
        </w:rPr>
        <w:t>, yıkayıcılar için yılda yaklaşık 240 saatlik asit işlemi süresi ve son monosülfit yıkayıcı için ayda 24 saatten az asit işlemi süresidir.</w:t>
      </w:r>
    </w:p>
    <w:p w14:paraId="4B1E8264"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(3.3) Enerji Tüketimi ve Verimliliği</w:t>
      </w:r>
    </w:p>
    <w:p w14:paraId="6C7D216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38:</w:t>
      </w:r>
      <w:r w:rsidRPr="009C6CAC">
        <w:rPr>
          <w:rFonts w:ascii="Times New Roman" w:hAnsi="Times New Roman" w:cs="Times New Roman"/>
          <w:sz w:val="24"/>
          <w:szCs w:val="24"/>
        </w:rPr>
        <w:t xml:space="preserve"> Termal enerji tüketimi (buhar) ile elektrik tüketimini azaltmak ve kullanılan enerji taşıyıcılarına yönelik kazancı en yüksek seviyeye çıkarmak için, aşağıdaki tekniklerin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3526A3" w14:paraId="77413313" w14:textId="77777777" w:rsidTr="000D79D6">
        <w:trPr>
          <w:tblHeader/>
          <w:jc w:val="center"/>
        </w:trPr>
        <w:tc>
          <w:tcPr>
            <w:tcW w:w="704" w:type="dxa"/>
            <w:vAlign w:val="center"/>
          </w:tcPr>
          <w:p w14:paraId="1777358D" w14:textId="77777777" w:rsidR="00C07865" w:rsidRPr="003526A3" w:rsidRDefault="00C07865" w:rsidP="000D79D6">
            <w:pPr>
              <w:jc w:val="center"/>
              <w:rPr>
                <w:rFonts w:ascii="Times New Roman" w:hAnsi="Times New Roman" w:cs="Times New Roman"/>
                <w:b/>
                <w:bCs/>
              </w:rPr>
            </w:pPr>
          </w:p>
        </w:tc>
        <w:tc>
          <w:tcPr>
            <w:tcW w:w="8358" w:type="dxa"/>
            <w:vAlign w:val="center"/>
          </w:tcPr>
          <w:p w14:paraId="534E207D"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r>
      <w:tr w:rsidR="00C07865" w:rsidRPr="003526A3" w14:paraId="202B0FD8" w14:textId="77777777" w:rsidTr="000D79D6">
        <w:trPr>
          <w:jc w:val="center"/>
        </w:trPr>
        <w:tc>
          <w:tcPr>
            <w:tcW w:w="704" w:type="dxa"/>
            <w:vAlign w:val="center"/>
          </w:tcPr>
          <w:p w14:paraId="1B514DA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8358" w:type="dxa"/>
            <w:vAlign w:val="center"/>
          </w:tcPr>
          <w:p w14:paraId="191D9D5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Etkin pres makinelerinin veya kurutmanın kullanımı ile, yüksek kuru katı içerikli ağaç kabuğu</w:t>
            </w:r>
          </w:p>
        </w:tc>
      </w:tr>
      <w:tr w:rsidR="00C07865" w:rsidRPr="003526A3" w14:paraId="0BFC4E64" w14:textId="77777777" w:rsidTr="000D79D6">
        <w:trPr>
          <w:jc w:val="center"/>
        </w:trPr>
        <w:tc>
          <w:tcPr>
            <w:tcW w:w="704" w:type="dxa"/>
            <w:vAlign w:val="center"/>
          </w:tcPr>
          <w:p w14:paraId="2F0B8C2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8358" w:type="dxa"/>
            <w:vAlign w:val="center"/>
          </w:tcPr>
          <w:p w14:paraId="690BFD2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verimli buhar kazanları, örn. düşük baca gazı sıcaklıkları</w:t>
            </w:r>
          </w:p>
        </w:tc>
      </w:tr>
      <w:tr w:rsidR="00C07865" w:rsidRPr="003526A3" w14:paraId="557CD810" w14:textId="77777777" w:rsidTr="000D79D6">
        <w:trPr>
          <w:jc w:val="center"/>
        </w:trPr>
        <w:tc>
          <w:tcPr>
            <w:tcW w:w="704" w:type="dxa"/>
            <w:vAlign w:val="center"/>
          </w:tcPr>
          <w:p w14:paraId="6957F7C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8358" w:type="dxa"/>
            <w:vAlign w:val="center"/>
          </w:tcPr>
          <w:p w14:paraId="6EC9F9B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Etkin ikincil ısıtma sistemleri</w:t>
            </w:r>
          </w:p>
        </w:tc>
      </w:tr>
      <w:tr w:rsidR="00C07865" w:rsidRPr="003526A3" w14:paraId="41FA90FE" w14:textId="77777777" w:rsidTr="000D79D6">
        <w:trPr>
          <w:jc w:val="center"/>
        </w:trPr>
        <w:tc>
          <w:tcPr>
            <w:tcW w:w="704" w:type="dxa"/>
            <w:vAlign w:val="center"/>
          </w:tcPr>
          <w:p w14:paraId="3179B2D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8358" w:type="dxa"/>
            <w:vAlign w:val="center"/>
          </w:tcPr>
          <w:p w14:paraId="24CF5B9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Ağartma tesisi dahil, kapalı su sistemleri</w:t>
            </w:r>
          </w:p>
        </w:tc>
      </w:tr>
      <w:tr w:rsidR="00C07865" w:rsidRPr="003526A3" w14:paraId="2EDAE499" w14:textId="77777777" w:rsidTr="000D79D6">
        <w:trPr>
          <w:jc w:val="center"/>
        </w:trPr>
        <w:tc>
          <w:tcPr>
            <w:tcW w:w="704" w:type="dxa"/>
            <w:vAlign w:val="center"/>
          </w:tcPr>
          <w:p w14:paraId="44993CE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8358" w:type="dxa"/>
            <w:vAlign w:val="center"/>
          </w:tcPr>
          <w:p w14:paraId="45C1976C"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kağıt hamuru konsantrasyonu (orta veya yüksek kıvam tekniği)</w:t>
            </w:r>
          </w:p>
        </w:tc>
      </w:tr>
      <w:tr w:rsidR="00C07865" w:rsidRPr="003526A3" w14:paraId="3961B964" w14:textId="77777777" w:rsidTr="000D79D6">
        <w:trPr>
          <w:jc w:val="center"/>
        </w:trPr>
        <w:tc>
          <w:tcPr>
            <w:tcW w:w="704" w:type="dxa"/>
            <w:vAlign w:val="center"/>
          </w:tcPr>
          <w:p w14:paraId="1E809DA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8358" w:type="dxa"/>
            <w:vAlign w:val="center"/>
          </w:tcPr>
          <w:p w14:paraId="472D8C0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Binaları, kazan besleme suyunu ve proses suyunu ısıtmak için, çıkış gazlarından ve diğer atık ısı kaynaklarından gelen düşük sıcaklıklı akışların geri kazanımı ve kullanımı</w:t>
            </w:r>
          </w:p>
        </w:tc>
      </w:tr>
      <w:tr w:rsidR="00C07865" w:rsidRPr="003526A3" w14:paraId="17F2FF43" w14:textId="77777777" w:rsidTr="000D79D6">
        <w:trPr>
          <w:jc w:val="center"/>
        </w:trPr>
        <w:tc>
          <w:tcPr>
            <w:tcW w:w="704" w:type="dxa"/>
            <w:vAlign w:val="center"/>
          </w:tcPr>
          <w:p w14:paraId="75120AC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g</w:t>
            </w:r>
          </w:p>
        </w:tc>
        <w:tc>
          <w:tcPr>
            <w:tcW w:w="8358" w:type="dxa"/>
            <w:vAlign w:val="center"/>
          </w:tcPr>
          <w:p w14:paraId="5034E2F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İkincil ısı ve ikincil yoğuşuk maddenin uygun kullanımı</w:t>
            </w:r>
          </w:p>
        </w:tc>
      </w:tr>
      <w:tr w:rsidR="00C07865" w:rsidRPr="003526A3" w14:paraId="1ACAE17D" w14:textId="77777777" w:rsidTr="000D79D6">
        <w:trPr>
          <w:jc w:val="center"/>
        </w:trPr>
        <w:tc>
          <w:tcPr>
            <w:tcW w:w="704" w:type="dxa"/>
            <w:vAlign w:val="center"/>
          </w:tcPr>
          <w:p w14:paraId="60375A4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h</w:t>
            </w:r>
          </w:p>
        </w:tc>
        <w:tc>
          <w:tcPr>
            <w:tcW w:w="8358" w:type="dxa"/>
            <w:vAlign w:val="center"/>
          </w:tcPr>
          <w:p w14:paraId="468FEED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İleri kontrol sistemleri ile proseslerin izlenmesi ve kontrolü</w:t>
            </w:r>
          </w:p>
        </w:tc>
      </w:tr>
      <w:tr w:rsidR="00C07865" w:rsidRPr="003526A3" w14:paraId="600755A2" w14:textId="77777777" w:rsidTr="000D79D6">
        <w:trPr>
          <w:jc w:val="center"/>
        </w:trPr>
        <w:tc>
          <w:tcPr>
            <w:tcW w:w="704" w:type="dxa"/>
            <w:vAlign w:val="center"/>
          </w:tcPr>
          <w:p w14:paraId="7439260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i</w:t>
            </w:r>
          </w:p>
        </w:tc>
        <w:tc>
          <w:tcPr>
            <w:tcW w:w="8358" w:type="dxa"/>
            <w:vAlign w:val="center"/>
          </w:tcPr>
          <w:p w14:paraId="4F753F3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Entegre ısı eşanjörü sisteminin optimizasyonu</w:t>
            </w:r>
          </w:p>
        </w:tc>
      </w:tr>
      <w:tr w:rsidR="00C07865" w:rsidRPr="003526A3" w14:paraId="5AA5E774" w14:textId="77777777" w:rsidTr="000D79D6">
        <w:trPr>
          <w:jc w:val="center"/>
        </w:trPr>
        <w:tc>
          <w:tcPr>
            <w:tcW w:w="704" w:type="dxa"/>
            <w:vAlign w:val="center"/>
          </w:tcPr>
          <w:p w14:paraId="146CFF3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j</w:t>
            </w:r>
          </w:p>
        </w:tc>
        <w:tc>
          <w:tcPr>
            <w:tcW w:w="8358" w:type="dxa"/>
            <w:vAlign w:val="center"/>
          </w:tcPr>
          <w:p w14:paraId="3487D93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Eleme ve temizlemede, kağıt hamuruna yönelik mümkün olan en yüksek kıvamın sağlanması</w:t>
            </w:r>
          </w:p>
        </w:tc>
      </w:tr>
      <w:tr w:rsidR="00C07865" w:rsidRPr="003526A3" w14:paraId="15A3E1F5" w14:textId="77777777" w:rsidTr="000D79D6">
        <w:trPr>
          <w:jc w:val="center"/>
        </w:trPr>
        <w:tc>
          <w:tcPr>
            <w:tcW w:w="704" w:type="dxa"/>
            <w:vAlign w:val="center"/>
          </w:tcPr>
          <w:p w14:paraId="29AD355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k</w:t>
            </w:r>
          </w:p>
        </w:tc>
        <w:tc>
          <w:tcPr>
            <w:tcW w:w="8358" w:type="dxa"/>
            <w:vAlign w:val="center"/>
          </w:tcPr>
          <w:p w14:paraId="74E5240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Optimize edilmiş tank seviyeleri</w:t>
            </w:r>
          </w:p>
        </w:tc>
      </w:tr>
    </w:tbl>
    <w:p w14:paraId="4B203D82" w14:textId="77777777" w:rsidR="00C07865" w:rsidRPr="009C6CAC" w:rsidRDefault="00C07865" w:rsidP="00C07865">
      <w:pPr>
        <w:spacing w:after="120" w:line="276" w:lineRule="auto"/>
        <w:jc w:val="both"/>
        <w:rPr>
          <w:rFonts w:ascii="Times New Roman" w:hAnsi="Times New Roman" w:cs="Times New Roman"/>
          <w:sz w:val="24"/>
          <w:szCs w:val="24"/>
        </w:rPr>
      </w:pPr>
    </w:p>
    <w:p w14:paraId="2EE4855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39:</w:t>
      </w:r>
      <w:r w:rsidRPr="009C6CAC">
        <w:rPr>
          <w:rFonts w:ascii="Times New Roman" w:hAnsi="Times New Roman" w:cs="Times New Roman"/>
          <w:sz w:val="24"/>
          <w:szCs w:val="24"/>
        </w:rPr>
        <w:t xml:space="preserve"> Güç üretimi verimliliğini artırmak için, aşağıdaki tekniklerin bir kombinasyonu uygulanır.</w:t>
      </w:r>
    </w:p>
    <w:tbl>
      <w:tblPr>
        <w:tblStyle w:val="TabloKlavuzu"/>
        <w:tblW w:w="0" w:type="auto"/>
        <w:jc w:val="center"/>
        <w:tblLook w:val="04A0" w:firstRow="1" w:lastRow="0" w:firstColumn="1" w:lastColumn="0" w:noHBand="0" w:noVBand="1"/>
      </w:tblPr>
      <w:tblGrid>
        <w:gridCol w:w="704"/>
        <w:gridCol w:w="8358"/>
      </w:tblGrid>
      <w:tr w:rsidR="00C07865" w:rsidRPr="003526A3" w14:paraId="370E5D9A" w14:textId="77777777" w:rsidTr="000D79D6">
        <w:trPr>
          <w:tblHeader/>
          <w:jc w:val="center"/>
        </w:trPr>
        <w:tc>
          <w:tcPr>
            <w:tcW w:w="704" w:type="dxa"/>
            <w:vAlign w:val="center"/>
          </w:tcPr>
          <w:p w14:paraId="0FDBF74E" w14:textId="77777777" w:rsidR="00C07865" w:rsidRPr="003526A3" w:rsidRDefault="00C07865" w:rsidP="000D79D6">
            <w:pPr>
              <w:jc w:val="center"/>
              <w:rPr>
                <w:rFonts w:ascii="Times New Roman" w:hAnsi="Times New Roman" w:cs="Times New Roman"/>
                <w:b/>
                <w:bCs/>
              </w:rPr>
            </w:pPr>
          </w:p>
        </w:tc>
        <w:tc>
          <w:tcPr>
            <w:tcW w:w="8358" w:type="dxa"/>
            <w:vAlign w:val="center"/>
          </w:tcPr>
          <w:p w14:paraId="04AB349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r>
      <w:tr w:rsidR="00C07865" w:rsidRPr="003526A3" w14:paraId="1442F6E4" w14:textId="77777777" w:rsidTr="000D79D6">
        <w:trPr>
          <w:jc w:val="center"/>
        </w:trPr>
        <w:tc>
          <w:tcPr>
            <w:tcW w:w="704" w:type="dxa"/>
            <w:vAlign w:val="center"/>
          </w:tcPr>
          <w:p w14:paraId="3D29AC5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8358" w:type="dxa"/>
            <w:vAlign w:val="center"/>
          </w:tcPr>
          <w:p w14:paraId="02C680AC"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basınç ve sıcaklıklı geri kazanım kazanı</w:t>
            </w:r>
          </w:p>
        </w:tc>
      </w:tr>
      <w:tr w:rsidR="00C07865" w:rsidRPr="003526A3" w14:paraId="18BFED64" w14:textId="77777777" w:rsidTr="000D79D6">
        <w:trPr>
          <w:jc w:val="center"/>
        </w:trPr>
        <w:tc>
          <w:tcPr>
            <w:tcW w:w="704" w:type="dxa"/>
            <w:vAlign w:val="center"/>
          </w:tcPr>
          <w:p w14:paraId="6806495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8358" w:type="dxa"/>
            <w:vAlign w:val="center"/>
          </w:tcPr>
          <w:p w14:paraId="54388E8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Karşı basınç türbinindeki çıkış buharı basıncının teknik olarak uygulanabilir olduğu ölçüde düşük olması</w:t>
            </w:r>
          </w:p>
        </w:tc>
      </w:tr>
      <w:tr w:rsidR="00C07865" w:rsidRPr="003526A3" w14:paraId="32D2D138" w14:textId="77777777" w:rsidTr="000D79D6">
        <w:trPr>
          <w:jc w:val="center"/>
        </w:trPr>
        <w:tc>
          <w:tcPr>
            <w:tcW w:w="704" w:type="dxa"/>
            <w:vAlign w:val="center"/>
          </w:tcPr>
          <w:p w14:paraId="1602D8D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8358" w:type="dxa"/>
            <w:vAlign w:val="center"/>
          </w:tcPr>
          <w:p w14:paraId="06457CD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Fazla buhardan güç üretimi için yoğuşmalı türbin</w:t>
            </w:r>
          </w:p>
        </w:tc>
      </w:tr>
      <w:tr w:rsidR="00C07865" w:rsidRPr="003526A3" w14:paraId="18E711B2" w14:textId="77777777" w:rsidTr="000D79D6">
        <w:trPr>
          <w:jc w:val="center"/>
        </w:trPr>
        <w:tc>
          <w:tcPr>
            <w:tcW w:w="704" w:type="dxa"/>
            <w:vAlign w:val="center"/>
          </w:tcPr>
          <w:p w14:paraId="5CB12304"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8358" w:type="dxa"/>
            <w:vAlign w:val="center"/>
          </w:tcPr>
          <w:p w14:paraId="129929D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türbin verimliliği</w:t>
            </w:r>
          </w:p>
        </w:tc>
      </w:tr>
      <w:tr w:rsidR="00C07865" w:rsidRPr="003526A3" w14:paraId="3E7EF6DD" w14:textId="77777777" w:rsidTr="000D79D6">
        <w:trPr>
          <w:jc w:val="center"/>
        </w:trPr>
        <w:tc>
          <w:tcPr>
            <w:tcW w:w="704" w:type="dxa"/>
            <w:vAlign w:val="center"/>
          </w:tcPr>
          <w:p w14:paraId="739EA56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8358" w:type="dxa"/>
            <w:vAlign w:val="center"/>
          </w:tcPr>
          <w:p w14:paraId="283CC5D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Besleme suyunun, kaynama sıcaklığına yakın bir sıcaklığa kadar ön ısıtılması</w:t>
            </w:r>
          </w:p>
        </w:tc>
      </w:tr>
      <w:tr w:rsidR="00C07865" w:rsidRPr="003526A3" w14:paraId="11485D6E" w14:textId="77777777" w:rsidTr="000D79D6">
        <w:trPr>
          <w:jc w:val="center"/>
        </w:trPr>
        <w:tc>
          <w:tcPr>
            <w:tcW w:w="704" w:type="dxa"/>
            <w:vAlign w:val="center"/>
          </w:tcPr>
          <w:p w14:paraId="27D15EB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8358" w:type="dxa"/>
            <w:vAlign w:val="center"/>
          </w:tcPr>
          <w:p w14:paraId="262C6C6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Kazanlara yüklenen yakma havası ile yakıtın ön ısıtılması</w:t>
            </w:r>
          </w:p>
        </w:tc>
      </w:tr>
    </w:tbl>
    <w:p w14:paraId="2034F18C" w14:textId="77777777" w:rsidR="00C07865" w:rsidRPr="009C6CAC" w:rsidRDefault="00C07865" w:rsidP="00C07865">
      <w:pPr>
        <w:spacing w:after="120" w:line="276" w:lineRule="auto"/>
        <w:jc w:val="both"/>
        <w:rPr>
          <w:rFonts w:ascii="Times New Roman" w:hAnsi="Times New Roman" w:cs="Times New Roman"/>
          <w:sz w:val="24"/>
          <w:szCs w:val="24"/>
        </w:rPr>
      </w:pPr>
    </w:p>
    <w:p w14:paraId="2A233E42"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(4) Mekanik Kağıt Hamuru ve Kimyasal Mekanik Kağıt Hamuru Üretim Prosesleri İçin MET</w:t>
      </w:r>
    </w:p>
    <w:p w14:paraId="25183EDF"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Bu bölümde sunulan MET sonuçları; tüm entegre mekanik kağıt hamuru, kağıt ve karton fabrikaları ile mekanik kağıt hamuru fabrikaları, CTMP ve CMP kağıt hamuru fabrikaları için uygulanabilir. Entegre mekanik kağıt hamuru, kağıt ve karton fabrikaları için, bu bölümde sunulan MET sonuçlarına ek olarak MET 49, MET 51, MET 52(c) ve MET 53 de geçerlidir.</w:t>
      </w:r>
    </w:p>
    <w:p w14:paraId="2E30C322"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(4.1) Atık Su ve Suya Emisyonlar</w:t>
      </w:r>
    </w:p>
    <w:p w14:paraId="1FBACC31" w14:textId="5EF1B68D" w:rsidR="00C07865"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40:</w:t>
      </w:r>
      <w:r w:rsidRPr="009C6CAC">
        <w:rPr>
          <w:rFonts w:ascii="Times New Roman" w:hAnsi="Times New Roman" w:cs="Times New Roman"/>
          <w:sz w:val="24"/>
          <w:szCs w:val="24"/>
        </w:rPr>
        <w:t xml:space="preserve"> Tatlı su kullanımını, atık su akışını ve kirlilik yükünü azaltmak için MET 13, MET 14, MET 15 ile MET 16’da belirtilen tekniklerin ve aşağıdaki tekniklerin uygun bir kombinasyonu kullanılır.</w:t>
      </w:r>
    </w:p>
    <w:p w14:paraId="79F52160" w14:textId="77777777" w:rsidR="003526A3" w:rsidRPr="009C6CAC" w:rsidRDefault="003526A3" w:rsidP="00C07865">
      <w:pPr>
        <w:spacing w:after="120" w:line="276" w:lineRule="auto"/>
        <w:jc w:val="both"/>
        <w:rPr>
          <w:rFonts w:ascii="Times New Roman" w:hAnsi="Times New Roman" w:cs="Times New Roman"/>
          <w:sz w:val="24"/>
          <w:szCs w:val="24"/>
        </w:rPr>
      </w:pPr>
    </w:p>
    <w:tbl>
      <w:tblPr>
        <w:tblStyle w:val="TabloKlavuzu"/>
        <w:tblW w:w="0" w:type="auto"/>
        <w:jc w:val="center"/>
        <w:tblLook w:val="04A0" w:firstRow="1" w:lastRow="0" w:firstColumn="1" w:lastColumn="0" w:noHBand="0" w:noVBand="1"/>
      </w:tblPr>
      <w:tblGrid>
        <w:gridCol w:w="704"/>
        <w:gridCol w:w="4179"/>
        <w:gridCol w:w="4179"/>
      </w:tblGrid>
      <w:tr w:rsidR="00C07865" w:rsidRPr="003526A3" w14:paraId="0E86ED77" w14:textId="77777777" w:rsidTr="000D79D6">
        <w:trPr>
          <w:tblHeader/>
          <w:jc w:val="center"/>
        </w:trPr>
        <w:tc>
          <w:tcPr>
            <w:tcW w:w="704" w:type="dxa"/>
            <w:vAlign w:val="center"/>
          </w:tcPr>
          <w:p w14:paraId="5C38294C" w14:textId="77777777" w:rsidR="00C07865" w:rsidRPr="003526A3" w:rsidRDefault="00C07865" w:rsidP="000D79D6">
            <w:pPr>
              <w:jc w:val="center"/>
              <w:rPr>
                <w:rFonts w:ascii="Times New Roman" w:hAnsi="Times New Roman" w:cs="Times New Roman"/>
                <w:b/>
                <w:bCs/>
              </w:rPr>
            </w:pPr>
          </w:p>
        </w:tc>
        <w:tc>
          <w:tcPr>
            <w:tcW w:w="4179" w:type="dxa"/>
            <w:vAlign w:val="center"/>
          </w:tcPr>
          <w:p w14:paraId="71953CF8"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4179" w:type="dxa"/>
            <w:vAlign w:val="center"/>
          </w:tcPr>
          <w:p w14:paraId="0550F9AC"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2BD18C28" w14:textId="77777777" w:rsidTr="000D79D6">
        <w:trPr>
          <w:jc w:val="center"/>
        </w:trPr>
        <w:tc>
          <w:tcPr>
            <w:tcW w:w="704" w:type="dxa"/>
            <w:vAlign w:val="center"/>
          </w:tcPr>
          <w:p w14:paraId="6950A7A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4179" w:type="dxa"/>
            <w:vAlign w:val="center"/>
          </w:tcPr>
          <w:p w14:paraId="563B843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Proses suyunun ters akışı ve su sistemlerinin ayrılması</w:t>
            </w:r>
          </w:p>
        </w:tc>
        <w:tc>
          <w:tcPr>
            <w:tcW w:w="4179" w:type="dxa"/>
            <w:vMerge w:val="restart"/>
            <w:vAlign w:val="center"/>
          </w:tcPr>
          <w:p w14:paraId="444BD25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60CAA92D" w14:textId="77777777" w:rsidTr="000D79D6">
        <w:trPr>
          <w:jc w:val="center"/>
        </w:trPr>
        <w:tc>
          <w:tcPr>
            <w:tcW w:w="704" w:type="dxa"/>
            <w:vAlign w:val="center"/>
          </w:tcPr>
          <w:p w14:paraId="20FA9C9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4179" w:type="dxa"/>
            <w:vAlign w:val="center"/>
          </w:tcPr>
          <w:p w14:paraId="49573B2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Yüksek kıvamlı ağartma</w:t>
            </w:r>
          </w:p>
        </w:tc>
        <w:tc>
          <w:tcPr>
            <w:tcW w:w="4179" w:type="dxa"/>
            <w:vMerge/>
            <w:vAlign w:val="center"/>
          </w:tcPr>
          <w:p w14:paraId="32862F20" w14:textId="77777777" w:rsidR="00C07865" w:rsidRPr="003526A3" w:rsidRDefault="00C07865" w:rsidP="000D79D6">
            <w:pPr>
              <w:jc w:val="both"/>
              <w:rPr>
                <w:rFonts w:ascii="Times New Roman" w:hAnsi="Times New Roman" w:cs="Times New Roman"/>
              </w:rPr>
            </w:pPr>
          </w:p>
        </w:tc>
      </w:tr>
      <w:tr w:rsidR="00C07865" w:rsidRPr="003526A3" w14:paraId="60412993" w14:textId="77777777" w:rsidTr="000D79D6">
        <w:trPr>
          <w:jc w:val="center"/>
        </w:trPr>
        <w:tc>
          <w:tcPr>
            <w:tcW w:w="704" w:type="dxa"/>
            <w:vAlign w:val="center"/>
          </w:tcPr>
          <w:p w14:paraId="59C91949"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4179" w:type="dxa"/>
            <w:vAlign w:val="center"/>
          </w:tcPr>
          <w:p w14:paraId="12DBDB9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Yumuşak odun mekanik hamurunun yonga ön işlemi kullanılarak arıtılmasından önceki yıkama aşaması</w:t>
            </w:r>
          </w:p>
        </w:tc>
        <w:tc>
          <w:tcPr>
            <w:tcW w:w="4179" w:type="dxa"/>
            <w:vMerge/>
            <w:vAlign w:val="center"/>
          </w:tcPr>
          <w:p w14:paraId="1784E490" w14:textId="77777777" w:rsidR="00C07865" w:rsidRPr="003526A3" w:rsidRDefault="00C07865" w:rsidP="000D79D6">
            <w:pPr>
              <w:jc w:val="both"/>
              <w:rPr>
                <w:rFonts w:ascii="Times New Roman" w:hAnsi="Times New Roman" w:cs="Times New Roman"/>
              </w:rPr>
            </w:pPr>
          </w:p>
        </w:tc>
      </w:tr>
      <w:tr w:rsidR="00C07865" w:rsidRPr="003526A3" w14:paraId="79851081" w14:textId="77777777" w:rsidTr="000D79D6">
        <w:trPr>
          <w:jc w:val="center"/>
        </w:trPr>
        <w:tc>
          <w:tcPr>
            <w:tcW w:w="704" w:type="dxa"/>
            <w:vAlign w:val="center"/>
          </w:tcPr>
          <w:p w14:paraId="3EE4CE4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4179" w:type="dxa"/>
            <w:vAlign w:val="center"/>
          </w:tcPr>
          <w:p w14:paraId="6AC99C5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Peroksitle ağartma işleminde alkali olarak NaOH’in Ca(OH)</w:t>
            </w:r>
            <w:r w:rsidRPr="003526A3">
              <w:rPr>
                <w:rFonts w:ascii="Times New Roman" w:hAnsi="Times New Roman" w:cs="Times New Roman"/>
                <w:vertAlign w:val="subscript"/>
              </w:rPr>
              <w:t>2</w:t>
            </w:r>
            <w:r w:rsidRPr="003526A3">
              <w:rPr>
                <w:rFonts w:ascii="Times New Roman" w:hAnsi="Times New Roman" w:cs="Times New Roman"/>
              </w:rPr>
              <w:t xml:space="preserve"> veya Mg(OH)</w:t>
            </w:r>
            <w:r w:rsidRPr="003526A3">
              <w:rPr>
                <w:rFonts w:ascii="Times New Roman" w:hAnsi="Times New Roman" w:cs="Times New Roman"/>
                <w:vertAlign w:val="subscript"/>
              </w:rPr>
              <w:t>2</w:t>
            </w:r>
            <w:r w:rsidRPr="003526A3">
              <w:rPr>
                <w:rFonts w:ascii="Times New Roman" w:hAnsi="Times New Roman" w:cs="Times New Roman"/>
              </w:rPr>
              <w:t xml:space="preserve"> ile ikamesi</w:t>
            </w:r>
          </w:p>
        </w:tc>
        <w:tc>
          <w:tcPr>
            <w:tcW w:w="4179" w:type="dxa"/>
            <w:vAlign w:val="center"/>
          </w:tcPr>
          <w:p w14:paraId="53803BD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Uygulanabilirlik, en yüksek parlaklık seviyeleri için kısıtlanabilir.</w:t>
            </w:r>
          </w:p>
        </w:tc>
      </w:tr>
      <w:tr w:rsidR="00C07865" w:rsidRPr="003526A3" w14:paraId="64FBB882" w14:textId="77777777" w:rsidTr="000D79D6">
        <w:trPr>
          <w:jc w:val="center"/>
        </w:trPr>
        <w:tc>
          <w:tcPr>
            <w:tcW w:w="704" w:type="dxa"/>
            <w:vAlign w:val="center"/>
          </w:tcPr>
          <w:p w14:paraId="00D71DC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4179" w:type="dxa"/>
            <w:vAlign w:val="center"/>
          </w:tcPr>
          <w:p w14:paraId="579EFB8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Lif ve dolgu maddesi geri kazanımı ve beyaz suyun arıtımı (kağıt üretimi)</w:t>
            </w:r>
          </w:p>
        </w:tc>
        <w:tc>
          <w:tcPr>
            <w:tcW w:w="4179" w:type="dxa"/>
            <w:vMerge w:val="restart"/>
            <w:vAlign w:val="center"/>
          </w:tcPr>
          <w:p w14:paraId="0924D49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0CE02907" w14:textId="77777777" w:rsidTr="000D79D6">
        <w:trPr>
          <w:jc w:val="center"/>
        </w:trPr>
        <w:tc>
          <w:tcPr>
            <w:tcW w:w="704" w:type="dxa"/>
            <w:vAlign w:val="center"/>
          </w:tcPr>
          <w:p w14:paraId="27E23A6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4179" w:type="dxa"/>
            <w:vAlign w:val="center"/>
          </w:tcPr>
          <w:p w14:paraId="2CE75FD4"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Tank ve haznelerin optimum tasarımı ve inşası (kağıt üretimi)</w:t>
            </w:r>
          </w:p>
        </w:tc>
        <w:tc>
          <w:tcPr>
            <w:tcW w:w="4179" w:type="dxa"/>
            <w:vMerge/>
            <w:vAlign w:val="center"/>
          </w:tcPr>
          <w:p w14:paraId="43541CC2" w14:textId="77777777" w:rsidR="00C07865" w:rsidRPr="003526A3" w:rsidRDefault="00C07865" w:rsidP="000D79D6">
            <w:pPr>
              <w:jc w:val="both"/>
              <w:rPr>
                <w:rFonts w:ascii="Times New Roman" w:hAnsi="Times New Roman" w:cs="Times New Roman"/>
              </w:rPr>
            </w:pPr>
          </w:p>
        </w:tc>
      </w:tr>
    </w:tbl>
    <w:p w14:paraId="0E92B043" w14:textId="77777777" w:rsidR="00C07865" w:rsidRPr="009C6CAC" w:rsidRDefault="00C07865" w:rsidP="00C07865">
      <w:pPr>
        <w:spacing w:after="120" w:line="276" w:lineRule="auto"/>
        <w:jc w:val="both"/>
        <w:rPr>
          <w:rFonts w:ascii="Times New Roman" w:hAnsi="Times New Roman" w:cs="Times New Roman"/>
          <w:sz w:val="24"/>
          <w:szCs w:val="24"/>
        </w:rPr>
      </w:pPr>
    </w:p>
    <w:p w14:paraId="2C80AF17" w14:textId="4687009C" w:rsidR="00C07865" w:rsidRPr="009C6CAC" w:rsidRDefault="003526A3" w:rsidP="00C07865">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00C07865" w:rsidRPr="009C6CAC">
        <w:rPr>
          <w:rFonts w:ascii="Times New Roman" w:hAnsi="Times New Roman" w:cs="Times New Roman"/>
          <w:b/>
          <w:bCs/>
          <w:sz w:val="24"/>
          <w:szCs w:val="24"/>
        </w:rPr>
        <w:t>ET ile İlişkili Emisyon Seviyeleri</w:t>
      </w:r>
    </w:p>
    <w:p w14:paraId="5FC9DA6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Tablo 16’ya bakınız. Bu MET-İES’ler, mekanik kağıt hamuru fabrikaları için de uygulanabilir. Entegre mekanik, CTM ve CTMP kağıt hamuru fabrikaları için referans atık su akışı, MET 5’te belirtilmiştir.</w:t>
      </w:r>
    </w:p>
    <w:p w14:paraId="5DCC5B1C"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16</w:t>
      </w:r>
    </w:p>
    <w:p w14:paraId="03D03C22"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Sahada üretilen mekanik kağıt hamurlarından elde edilen kağıt ve kartonun entegre üretiminden alıcı sulara olan doğrudan atık su deşarjlarına yönelik MET-İES’ler</w:t>
      </w:r>
    </w:p>
    <w:tbl>
      <w:tblPr>
        <w:tblStyle w:val="TabloKlavuzu"/>
        <w:tblW w:w="0" w:type="auto"/>
        <w:tblLook w:val="04A0" w:firstRow="1" w:lastRow="0" w:firstColumn="1" w:lastColumn="0" w:noHBand="0" w:noVBand="1"/>
      </w:tblPr>
      <w:tblGrid>
        <w:gridCol w:w="5240"/>
        <w:gridCol w:w="3822"/>
      </w:tblGrid>
      <w:tr w:rsidR="00C07865" w:rsidRPr="009C6CAC" w14:paraId="13AC6A3F" w14:textId="77777777" w:rsidTr="0082590D">
        <w:tc>
          <w:tcPr>
            <w:tcW w:w="5240" w:type="dxa"/>
          </w:tcPr>
          <w:p w14:paraId="669F9A9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3822" w:type="dxa"/>
          </w:tcPr>
          <w:p w14:paraId="13FACCE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1793944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kg/t</w:t>
            </w:r>
          </w:p>
        </w:tc>
      </w:tr>
      <w:tr w:rsidR="00C07865" w:rsidRPr="009C6CAC" w14:paraId="77E8E1A9" w14:textId="77777777" w:rsidTr="0082590D">
        <w:tc>
          <w:tcPr>
            <w:tcW w:w="5240" w:type="dxa"/>
          </w:tcPr>
          <w:p w14:paraId="5874AF6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Kimyasal Oksijen İhtiyacı (</w:t>
            </w:r>
            <w:r w:rsidR="009D570E">
              <w:rPr>
                <w:rFonts w:ascii="Times New Roman" w:hAnsi="Times New Roman" w:cs="Times New Roman"/>
                <w:sz w:val="24"/>
                <w:szCs w:val="24"/>
              </w:rPr>
              <w:t>KOİ</w:t>
            </w:r>
            <w:r w:rsidRPr="009C6CAC">
              <w:rPr>
                <w:rFonts w:ascii="Times New Roman" w:hAnsi="Times New Roman" w:cs="Times New Roman"/>
                <w:sz w:val="24"/>
                <w:szCs w:val="24"/>
              </w:rPr>
              <w:t>)</w:t>
            </w:r>
          </w:p>
        </w:tc>
        <w:tc>
          <w:tcPr>
            <w:tcW w:w="3822" w:type="dxa"/>
          </w:tcPr>
          <w:p w14:paraId="0F7ADFD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0,9-4,5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9C6CAC" w14:paraId="5414C4A7" w14:textId="77777777" w:rsidTr="0082590D">
        <w:tc>
          <w:tcPr>
            <w:tcW w:w="5240" w:type="dxa"/>
          </w:tcPr>
          <w:p w14:paraId="3C260BF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Askıda Katı Maddeler (TSS)</w:t>
            </w:r>
          </w:p>
        </w:tc>
        <w:tc>
          <w:tcPr>
            <w:tcW w:w="3822" w:type="dxa"/>
          </w:tcPr>
          <w:p w14:paraId="1AA5575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0,06-0,45</w:t>
            </w:r>
          </w:p>
        </w:tc>
      </w:tr>
      <w:tr w:rsidR="00C07865" w:rsidRPr="009C6CAC" w14:paraId="1FA451D2" w14:textId="77777777" w:rsidTr="0082590D">
        <w:tc>
          <w:tcPr>
            <w:tcW w:w="5240" w:type="dxa"/>
          </w:tcPr>
          <w:p w14:paraId="3BC913E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Azot</w:t>
            </w:r>
          </w:p>
        </w:tc>
        <w:tc>
          <w:tcPr>
            <w:tcW w:w="3822" w:type="dxa"/>
          </w:tcPr>
          <w:p w14:paraId="2C0D91E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0,03-0,1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tc>
      </w:tr>
      <w:tr w:rsidR="00C07865" w:rsidRPr="009C6CAC" w14:paraId="10BD522F" w14:textId="77777777" w:rsidTr="0082590D">
        <w:tc>
          <w:tcPr>
            <w:tcW w:w="5240" w:type="dxa"/>
          </w:tcPr>
          <w:p w14:paraId="7DE3B08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Fosfor</w:t>
            </w:r>
          </w:p>
        </w:tc>
        <w:tc>
          <w:tcPr>
            <w:tcW w:w="3822" w:type="dxa"/>
          </w:tcPr>
          <w:p w14:paraId="22F79FE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0,001-0,01</w:t>
            </w:r>
          </w:p>
        </w:tc>
      </w:tr>
      <w:tr w:rsidR="00C07865" w:rsidRPr="009C6CAC" w14:paraId="50657C00" w14:textId="77777777" w:rsidTr="0082590D">
        <w:tc>
          <w:tcPr>
            <w:tcW w:w="9062" w:type="dxa"/>
            <w:gridSpan w:val="2"/>
          </w:tcPr>
          <w:p w14:paraId="4A068793"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Yüksek oranda ağartılmış mekanik kağıt hamuru (son kağıttaki liflerin %70-100’ü) için emisyon seviyeleri, 8 kg/t’a kadar çıkabilir.</w:t>
            </w:r>
          </w:p>
          <w:p w14:paraId="778BFC93" w14:textId="77777777" w:rsidR="00C07865" w:rsidRPr="009C6CAC" w:rsidRDefault="00C07865" w:rsidP="000D79D6">
            <w:pPr>
              <w:jc w:val="both"/>
              <w:rPr>
                <w:rFonts w:ascii="Times New Roman" w:hAnsi="Times New Roman" w:cs="Times New Roman"/>
                <w:i/>
                <w:iCs/>
                <w:sz w:val="24"/>
                <w:szCs w:val="24"/>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Kağıt hamuru kalite gereksinimlerinden (örn. yüksek parlaklık) dolayı biyobozunur veya elenebilir şelatlaştırıcı maddeler kullanılamadığında toplam azot emisyonları, bu MET-İES’ten daha yüksek olabilir ve duruma göre değerlendirilmelidir.</w:t>
            </w:r>
          </w:p>
        </w:tc>
      </w:tr>
    </w:tbl>
    <w:p w14:paraId="630FA352" w14:textId="77777777" w:rsidR="003526A3" w:rsidRDefault="003526A3" w:rsidP="00C07865">
      <w:pPr>
        <w:spacing w:after="120" w:line="276" w:lineRule="auto"/>
        <w:jc w:val="center"/>
        <w:rPr>
          <w:rFonts w:ascii="Times New Roman" w:hAnsi="Times New Roman" w:cs="Times New Roman"/>
          <w:i/>
          <w:iCs/>
          <w:sz w:val="24"/>
          <w:szCs w:val="24"/>
        </w:rPr>
      </w:pPr>
    </w:p>
    <w:p w14:paraId="6A8F9503" w14:textId="442F3BA3"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17</w:t>
      </w:r>
    </w:p>
    <w:p w14:paraId="215485C2"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CTMP veya CMP kağıt hamuru fabrikasından alıcı sulara olan doğrudan atık su deşarjlarına yönelik MET-İES’ler</w:t>
      </w:r>
    </w:p>
    <w:tbl>
      <w:tblPr>
        <w:tblStyle w:val="TabloKlavuzu"/>
        <w:tblW w:w="0" w:type="auto"/>
        <w:tblLook w:val="04A0" w:firstRow="1" w:lastRow="0" w:firstColumn="1" w:lastColumn="0" w:noHBand="0" w:noVBand="1"/>
      </w:tblPr>
      <w:tblGrid>
        <w:gridCol w:w="5240"/>
        <w:gridCol w:w="3822"/>
      </w:tblGrid>
      <w:tr w:rsidR="00C07865" w:rsidRPr="009C6CAC" w14:paraId="0F08577F" w14:textId="77777777" w:rsidTr="0082590D">
        <w:tc>
          <w:tcPr>
            <w:tcW w:w="5240" w:type="dxa"/>
          </w:tcPr>
          <w:p w14:paraId="429C2C0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3822" w:type="dxa"/>
          </w:tcPr>
          <w:p w14:paraId="7C511BF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4EAAF1BA"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kg/ADt</w:t>
            </w:r>
          </w:p>
        </w:tc>
      </w:tr>
      <w:tr w:rsidR="00C07865" w:rsidRPr="009C6CAC" w14:paraId="7CDB11E1" w14:textId="77777777" w:rsidTr="0082590D">
        <w:tc>
          <w:tcPr>
            <w:tcW w:w="5240" w:type="dxa"/>
          </w:tcPr>
          <w:p w14:paraId="4E115E5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Kimyasal Oksijen İhtiyacı (</w:t>
            </w:r>
            <w:r w:rsidR="009D570E">
              <w:rPr>
                <w:rFonts w:ascii="Times New Roman" w:hAnsi="Times New Roman" w:cs="Times New Roman"/>
                <w:sz w:val="24"/>
                <w:szCs w:val="24"/>
              </w:rPr>
              <w:t>KOİ</w:t>
            </w:r>
            <w:r w:rsidRPr="009C6CAC">
              <w:rPr>
                <w:rFonts w:ascii="Times New Roman" w:hAnsi="Times New Roman" w:cs="Times New Roman"/>
                <w:sz w:val="24"/>
                <w:szCs w:val="24"/>
              </w:rPr>
              <w:t>)</w:t>
            </w:r>
          </w:p>
        </w:tc>
        <w:tc>
          <w:tcPr>
            <w:tcW w:w="3822" w:type="dxa"/>
          </w:tcPr>
          <w:p w14:paraId="0B5CA96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12-20</w:t>
            </w:r>
          </w:p>
        </w:tc>
      </w:tr>
      <w:tr w:rsidR="00C07865" w:rsidRPr="009C6CAC" w14:paraId="3BE23BA9" w14:textId="77777777" w:rsidTr="0082590D">
        <w:tc>
          <w:tcPr>
            <w:tcW w:w="5240" w:type="dxa"/>
          </w:tcPr>
          <w:p w14:paraId="7B49D98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Askıda Katı Maddeler (TSS)</w:t>
            </w:r>
          </w:p>
        </w:tc>
        <w:tc>
          <w:tcPr>
            <w:tcW w:w="3822" w:type="dxa"/>
          </w:tcPr>
          <w:p w14:paraId="5B2BD6F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0,5-0,9</w:t>
            </w:r>
          </w:p>
        </w:tc>
      </w:tr>
      <w:tr w:rsidR="00C07865" w:rsidRPr="009C6CAC" w14:paraId="1EE951FD" w14:textId="77777777" w:rsidTr="0082590D">
        <w:tc>
          <w:tcPr>
            <w:tcW w:w="5240" w:type="dxa"/>
          </w:tcPr>
          <w:p w14:paraId="7117A73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Azot</w:t>
            </w:r>
          </w:p>
        </w:tc>
        <w:tc>
          <w:tcPr>
            <w:tcW w:w="3822" w:type="dxa"/>
          </w:tcPr>
          <w:p w14:paraId="3378087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0,15-0,18 (</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w:t>
            </w:r>
          </w:p>
        </w:tc>
      </w:tr>
      <w:tr w:rsidR="00C07865" w:rsidRPr="009C6CAC" w14:paraId="69C06413" w14:textId="77777777" w:rsidTr="0082590D">
        <w:tc>
          <w:tcPr>
            <w:tcW w:w="5240" w:type="dxa"/>
          </w:tcPr>
          <w:p w14:paraId="77FB167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Fosfor</w:t>
            </w:r>
          </w:p>
        </w:tc>
        <w:tc>
          <w:tcPr>
            <w:tcW w:w="3822" w:type="dxa"/>
          </w:tcPr>
          <w:p w14:paraId="769914D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0,001-0,01</w:t>
            </w:r>
          </w:p>
        </w:tc>
      </w:tr>
      <w:tr w:rsidR="00C07865" w:rsidRPr="009C6CAC" w14:paraId="74C65AB0" w14:textId="77777777" w:rsidTr="0082590D">
        <w:tc>
          <w:tcPr>
            <w:tcW w:w="9062" w:type="dxa"/>
            <w:gridSpan w:val="2"/>
          </w:tcPr>
          <w:p w14:paraId="14CC1821"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Kağıt hamuru kalite gereksinimlerinden (örn. yüksek parlaklık) dolayı biyobozunur veya elenebilir şelatlaştırıcı maddeler kullanılamadığında toplam azot emisyonları, bu MET-İES’ten daha yüksek olabilir ve duruma göre değerlendirilmelidir.</w:t>
            </w:r>
          </w:p>
        </w:tc>
      </w:tr>
    </w:tbl>
    <w:p w14:paraId="789214AF" w14:textId="77777777" w:rsidR="00C07865" w:rsidRPr="009C6CAC" w:rsidRDefault="00C07865" w:rsidP="00C07865">
      <w:pPr>
        <w:spacing w:after="120" w:line="276" w:lineRule="auto"/>
        <w:jc w:val="both"/>
        <w:rPr>
          <w:rFonts w:ascii="Times New Roman" w:hAnsi="Times New Roman" w:cs="Times New Roman"/>
          <w:sz w:val="24"/>
          <w:szCs w:val="24"/>
        </w:rPr>
      </w:pPr>
    </w:p>
    <w:p w14:paraId="17307C6E" w14:textId="77777777" w:rsidR="00C07865" w:rsidRPr="009C6CAC" w:rsidRDefault="00C91F89" w:rsidP="00C078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Arıtılmış atık sulardaki BOİ</w:t>
      </w:r>
      <w:r w:rsidR="00C07865" w:rsidRPr="009C6CAC">
        <w:rPr>
          <w:rFonts w:ascii="Times New Roman" w:hAnsi="Times New Roman" w:cs="Times New Roman"/>
          <w:sz w:val="24"/>
          <w:szCs w:val="24"/>
        </w:rPr>
        <w:t xml:space="preserve"> konsantrasyonlarının düşük olması beklenir (24 saatlik kompozit numune olarak yaklaşık 25 mg/L).</w:t>
      </w:r>
    </w:p>
    <w:p w14:paraId="3A224F5E"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(4.2) Enerji Tüketimi ve Verimliliği</w:t>
      </w:r>
    </w:p>
    <w:p w14:paraId="514BA6F5"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41:</w:t>
      </w:r>
      <w:r w:rsidRPr="009C6CAC">
        <w:rPr>
          <w:rFonts w:ascii="Times New Roman" w:hAnsi="Times New Roman" w:cs="Times New Roman"/>
          <w:sz w:val="24"/>
          <w:szCs w:val="24"/>
        </w:rPr>
        <w:t xml:space="preserve"> Termal ve elektrik enerjisi tüketimini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6314C0CE" w14:textId="77777777" w:rsidTr="000D79D6">
        <w:trPr>
          <w:tblHeader/>
          <w:jc w:val="center"/>
        </w:trPr>
        <w:tc>
          <w:tcPr>
            <w:tcW w:w="704" w:type="dxa"/>
            <w:vAlign w:val="center"/>
          </w:tcPr>
          <w:p w14:paraId="5E50EEBA"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61E33AB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6550AD4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385250D3" w14:textId="77777777" w:rsidTr="000D79D6">
        <w:trPr>
          <w:jc w:val="center"/>
        </w:trPr>
        <w:tc>
          <w:tcPr>
            <w:tcW w:w="704" w:type="dxa"/>
            <w:vAlign w:val="center"/>
          </w:tcPr>
          <w:p w14:paraId="2E357F4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55604B2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Enerji verimli rifayner kullanımı</w:t>
            </w:r>
          </w:p>
        </w:tc>
        <w:tc>
          <w:tcPr>
            <w:tcW w:w="4179" w:type="dxa"/>
            <w:vAlign w:val="center"/>
          </w:tcPr>
          <w:p w14:paraId="6A2F6C1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ekipmanı değiştirildiğinde, yeniden kurulduğunda veya güncellendiğinde uygulanabilir.</w:t>
            </w:r>
          </w:p>
        </w:tc>
      </w:tr>
      <w:tr w:rsidR="00C07865" w:rsidRPr="009C6CAC" w14:paraId="7D73E7D4" w14:textId="77777777" w:rsidTr="000D79D6">
        <w:trPr>
          <w:jc w:val="center"/>
        </w:trPr>
        <w:tc>
          <w:tcPr>
            <w:tcW w:w="704" w:type="dxa"/>
            <w:vAlign w:val="center"/>
          </w:tcPr>
          <w:p w14:paraId="48F3776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3F38B8E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TMP ve CTMP arıtıcılarından gelen ikincil ısının kapsamlı geri kazanımı ve geri kazanılan buharın kağıt veya kağıt hamuru kurutulmasında yeniden kullanımı</w:t>
            </w:r>
          </w:p>
        </w:tc>
        <w:tc>
          <w:tcPr>
            <w:tcW w:w="4179" w:type="dxa"/>
            <w:vMerge w:val="restart"/>
            <w:vAlign w:val="center"/>
          </w:tcPr>
          <w:p w14:paraId="7E1B6EB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7E59A929" w14:textId="77777777" w:rsidTr="000D79D6">
        <w:trPr>
          <w:jc w:val="center"/>
        </w:trPr>
        <w:tc>
          <w:tcPr>
            <w:tcW w:w="704" w:type="dxa"/>
            <w:vAlign w:val="center"/>
          </w:tcPr>
          <w:p w14:paraId="62919F6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179" w:type="dxa"/>
            <w:vAlign w:val="center"/>
          </w:tcPr>
          <w:p w14:paraId="079E431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Etkin ıskarta arıtım sistemlerinin (ikincil arıtıcılar) kullanılması ile lif kayıplarının en aza indirilmesi</w:t>
            </w:r>
          </w:p>
        </w:tc>
        <w:tc>
          <w:tcPr>
            <w:tcW w:w="4179" w:type="dxa"/>
            <w:vMerge/>
            <w:vAlign w:val="center"/>
          </w:tcPr>
          <w:p w14:paraId="5D7F7934" w14:textId="77777777" w:rsidR="00C07865" w:rsidRPr="009C6CAC" w:rsidRDefault="00C07865" w:rsidP="000D79D6">
            <w:pPr>
              <w:jc w:val="both"/>
              <w:rPr>
                <w:rFonts w:ascii="Times New Roman" w:hAnsi="Times New Roman" w:cs="Times New Roman"/>
                <w:sz w:val="24"/>
                <w:szCs w:val="24"/>
              </w:rPr>
            </w:pPr>
          </w:p>
        </w:tc>
      </w:tr>
      <w:tr w:rsidR="00C07865" w:rsidRPr="009C6CAC" w14:paraId="46A25B61" w14:textId="77777777" w:rsidTr="000D79D6">
        <w:trPr>
          <w:jc w:val="center"/>
        </w:trPr>
        <w:tc>
          <w:tcPr>
            <w:tcW w:w="704" w:type="dxa"/>
            <w:vAlign w:val="center"/>
          </w:tcPr>
          <w:p w14:paraId="50BB91F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4179" w:type="dxa"/>
            <w:vAlign w:val="center"/>
          </w:tcPr>
          <w:p w14:paraId="46DB852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Manuel sistemler yerine otomatik proses kontrolü dahil olmak üzere, enerji tasarrufu ekipmanlarının kurulumu</w:t>
            </w:r>
          </w:p>
        </w:tc>
        <w:tc>
          <w:tcPr>
            <w:tcW w:w="4179" w:type="dxa"/>
            <w:vMerge/>
            <w:vAlign w:val="center"/>
          </w:tcPr>
          <w:p w14:paraId="6E90DE05" w14:textId="77777777" w:rsidR="00C07865" w:rsidRPr="009C6CAC" w:rsidRDefault="00C07865" w:rsidP="000D79D6">
            <w:pPr>
              <w:jc w:val="both"/>
              <w:rPr>
                <w:rFonts w:ascii="Times New Roman" w:hAnsi="Times New Roman" w:cs="Times New Roman"/>
                <w:sz w:val="24"/>
                <w:szCs w:val="24"/>
              </w:rPr>
            </w:pPr>
          </w:p>
        </w:tc>
      </w:tr>
      <w:tr w:rsidR="00C07865" w:rsidRPr="009C6CAC" w14:paraId="332A7596" w14:textId="77777777" w:rsidTr="000D79D6">
        <w:trPr>
          <w:jc w:val="center"/>
        </w:trPr>
        <w:tc>
          <w:tcPr>
            <w:tcW w:w="704" w:type="dxa"/>
            <w:vAlign w:val="center"/>
          </w:tcPr>
          <w:p w14:paraId="5D9871E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4179" w:type="dxa"/>
            <w:vAlign w:val="center"/>
          </w:tcPr>
          <w:p w14:paraId="3C577B3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Dahili proses suyu arıtması ve resirkülasyon sistemleri ile tatlı su kullanımının azaltılması</w:t>
            </w:r>
          </w:p>
        </w:tc>
        <w:tc>
          <w:tcPr>
            <w:tcW w:w="4179" w:type="dxa"/>
            <w:vMerge/>
            <w:vAlign w:val="center"/>
          </w:tcPr>
          <w:p w14:paraId="031E0ECD" w14:textId="77777777" w:rsidR="00C07865" w:rsidRPr="009C6CAC" w:rsidRDefault="00C07865" w:rsidP="000D79D6">
            <w:pPr>
              <w:jc w:val="both"/>
              <w:rPr>
                <w:rFonts w:ascii="Times New Roman" w:hAnsi="Times New Roman" w:cs="Times New Roman"/>
                <w:sz w:val="24"/>
                <w:szCs w:val="24"/>
              </w:rPr>
            </w:pPr>
          </w:p>
        </w:tc>
      </w:tr>
      <w:tr w:rsidR="00C07865" w:rsidRPr="009C6CAC" w14:paraId="78FA3780" w14:textId="77777777" w:rsidTr="000D79D6">
        <w:trPr>
          <w:jc w:val="center"/>
        </w:trPr>
        <w:tc>
          <w:tcPr>
            <w:tcW w:w="704" w:type="dxa"/>
            <w:vAlign w:val="center"/>
          </w:tcPr>
          <w:p w14:paraId="7EEDCE49"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4179" w:type="dxa"/>
            <w:vAlign w:val="center"/>
          </w:tcPr>
          <w:p w14:paraId="040FD2B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Örneğin Pinch analizi kullanılarak dikkatli bir şekilde proses entegrasyonu ile doğrudan buhar kullanımının azaltımı</w:t>
            </w:r>
          </w:p>
        </w:tc>
        <w:tc>
          <w:tcPr>
            <w:tcW w:w="4179" w:type="dxa"/>
            <w:vMerge/>
            <w:vAlign w:val="center"/>
          </w:tcPr>
          <w:p w14:paraId="6E136442" w14:textId="77777777" w:rsidR="00C07865" w:rsidRPr="009C6CAC" w:rsidRDefault="00C07865" w:rsidP="000D79D6">
            <w:pPr>
              <w:jc w:val="both"/>
              <w:rPr>
                <w:rFonts w:ascii="Times New Roman" w:hAnsi="Times New Roman" w:cs="Times New Roman"/>
                <w:sz w:val="24"/>
                <w:szCs w:val="24"/>
              </w:rPr>
            </w:pPr>
          </w:p>
        </w:tc>
      </w:tr>
    </w:tbl>
    <w:p w14:paraId="32302FB3" w14:textId="77777777" w:rsidR="00C07865" w:rsidRPr="009C6CAC" w:rsidRDefault="00C07865" w:rsidP="00C07865">
      <w:pPr>
        <w:spacing w:after="120" w:line="276" w:lineRule="auto"/>
        <w:jc w:val="both"/>
        <w:rPr>
          <w:rFonts w:ascii="Times New Roman" w:hAnsi="Times New Roman" w:cs="Times New Roman"/>
          <w:sz w:val="24"/>
          <w:szCs w:val="24"/>
        </w:rPr>
      </w:pPr>
    </w:p>
    <w:p w14:paraId="7DA2A5CA"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(5) Geri Dönüşüm İçin Kağıt İşleme Proseslerine İlişkin MET</w:t>
      </w:r>
    </w:p>
    <w:p w14:paraId="63BF2653"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Bu bölümde sunulan MET sonuçları; tüm entegre RCF fabrikaları ile RCF kağıt hamuru fabrikaları için uygulanabilir. Entegre RCF kağıt hamuru, kağıt ve karton fabrikaları için, bu bölümde sunulan MET sonuçlarına ek olarak MET 49, MET 51, MET 52(c) ve MET 53 de geçerlidir.</w:t>
      </w:r>
    </w:p>
    <w:p w14:paraId="372E2661"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(5.1) Materyal Yönetimi</w:t>
      </w:r>
    </w:p>
    <w:p w14:paraId="0083241E"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42:</w:t>
      </w:r>
      <w:r w:rsidRPr="009C6CAC">
        <w:rPr>
          <w:rFonts w:ascii="Times New Roman" w:hAnsi="Times New Roman" w:cs="Times New Roman"/>
          <w:sz w:val="24"/>
          <w:szCs w:val="24"/>
        </w:rPr>
        <w:t xml:space="preserve"> Toprak ve yer altı su kontaminasyonunu önlemek veya riskini azaltmak ve geri dönüşüm için olan kağıtların rüzgarla sürüklenmesi ile bunlardan kaynaklanan yayılı toz emisyonlarını azaltmak için, aşağıdaki tekniklerin biri veya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9C6CAC" w14:paraId="67B4AD67" w14:textId="77777777" w:rsidTr="000D79D6">
        <w:trPr>
          <w:tblHeader/>
          <w:jc w:val="center"/>
        </w:trPr>
        <w:tc>
          <w:tcPr>
            <w:tcW w:w="704" w:type="dxa"/>
            <w:vAlign w:val="center"/>
          </w:tcPr>
          <w:p w14:paraId="420D5450" w14:textId="77777777" w:rsidR="00C07865" w:rsidRPr="009C6CAC" w:rsidRDefault="00C07865" w:rsidP="000D79D6">
            <w:pPr>
              <w:jc w:val="center"/>
              <w:rPr>
                <w:rFonts w:ascii="Times New Roman" w:hAnsi="Times New Roman" w:cs="Times New Roman"/>
                <w:b/>
                <w:bCs/>
                <w:sz w:val="24"/>
                <w:szCs w:val="24"/>
              </w:rPr>
            </w:pPr>
          </w:p>
        </w:tc>
        <w:tc>
          <w:tcPr>
            <w:tcW w:w="4179" w:type="dxa"/>
            <w:vAlign w:val="center"/>
          </w:tcPr>
          <w:p w14:paraId="14684A7F"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79" w:type="dxa"/>
            <w:vAlign w:val="center"/>
          </w:tcPr>
          <w:p w14:paraId="7FFEA95F"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3F8C83DE" w14:textId="77777777" w:rsidTr="000D79D6">
        <w:trPr>
          <w:jc w:val="center"/>
        </w:trPr>
        <w:tc>
          <w:tcPr>
            <w:tcW w:w="704" w:type="dxa"/>
            <w:vAlign w:val="center"/>
          </w:tcPr>
          <w:p w14:paraId="196D270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179" w:type="dxa"/>
            <w:vAlign w:val="center"/>
          </w:tcPr>
          <w:p w14:paraId="0B80076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Geri dönüşüm için olan kağıtlara yönelik depolama alanının sert yüzeyle kaplanması</w:t>
            </w:r>
          </w:p>
        </w:tc>
        <w:tc>
          <w:tcPr>
            <w:tcW w:w="4179" w:type="dxa"/>
            <w:vAlign w:val="center"/>
          </w:tcPr>
          <w:p w14:paraId="49A7A5B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146195E7" w14:textId="77777777" w:rsidTr="000D79D6">
        <w:trPr>
          <w:jc w:val="center"/>
        </w:trPr>
        <w:tc>
          <w:tcPr>
            <w:tcW w:w="704" w:type="dxa"/>
            <w:vAlign w:val="center"/>
          </w:tcPr>
          <w:p w14:paraId="0CABAC3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179" w:type="dxa"/>
            <w:vAlign w:val="center"/>
          </w:tcPr>
          <w:p w14:paraId="30F9DE1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Geri dönüşüm için olan kağıtlara yönelik depolama alanından kaynaklanan kontamine akıntı suyunun toplanması ve bir atık su arıtma tesisinde arıtılması (örn. </w:t>
            </w:r>
            <w:r w:rsidRPr="009C6CAC">
              <w:rPr>
                <w:rFonts w:ascii="Times New Roman" w:hAnsi="Times New Roman" w:cs="Times New Roman"/>
                <w:sz w:val="24"/>
                <w:szCs w:val="24"/>
              </w:rPr>
              <w:lastRenderedPageBreak/>
              <w:t>çatılardan gelen kontamine olmayan yağmur suyu, ayrı bir şekilde deşarj edilebilir)</w:t>
            </w:r>
          </w:p>
        </w:tc>
        <w:tc>
          <w:tcPr>
            <w:tcW w:w="4179" w:type="dxa"/>
            <w:vAlign w:val="center"/>
          </w:tcPr>
          <w:p w14:paraId="7CCB0A9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 xml:space="preserve">Uygulanabilirlik, akıntı suyunun kontaminasyon derecesine (düşük konsantrasyon) ve/veya atık su arıtma </w:t>
            </w:r>
            <w:r w:rsidRPr="009C6CAC">
              <w:rPr>
                <w:rFonts w:ascii="Times New Roman" w:hAnsi="Times New Roman" w:cs="Times New Roman"/>
                <w:sz w:val="24"/>
                <w:szCs w:val="24"/>
              </w:rPr>
              <w:lastRenderedPageBreak/>
              <w:t>tesislerinin boyutuna (büyük hacimler) ilişkin olarak kısıtlanabilir.</w:t>
            </w:r>
          </w:p>
        </w:tc>
      </w:tr>
      <w:tr w:rsidR="00C07865" w:rsidRPr="009C6CAC" w14:paraId="48F5A0F0" w14:textId="77777777" w:rsidTr="000D79D6">
        <w:trPr>
          <w:jc w:val="center"/>
        </w:trPr>
        <w:tc>
          <w:tcPr>
            <w:tcW w:w="704" w:type="dxa"/>
            <w:vAlign w:val="center"/>
          </w:tcPr>
          <w:p w14:paraId="7EC072F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lastRenderedPageBreak/>
              <w:t>c</w:t>
            </w:r>
          </w:p>
        </w:tc>
        <w:tc>
          <w:tcPr>
            <w:tcW w:w="4179" w:type="dxa"/>
            <w:vAlign w:val="center"/>
          </w:tcPr>
          <w:p w14:paraId="38085D5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Geri dönüşüm için olan kağıtlara yönelik depolama alanının, rüzgarla sürüklenmeye karşı çitlerle çevrelenmesi</w:t>
            </w:r>
          </w:p>
        </w:tc>
        <w:tc>
          <w:tcPr>
            <w:tcW w:w="4179" w:type="dxa"/>
            <w:vAlign w:val="center"/>
          </w:tcPr>
          <w:p w14:paraId="33F13E7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6BD0A7E3" w14:textId="77777777" w:rsidTr="000D79D6">
        <w:trPr>
          <w:jc w:val="center"/>
        </w:trPr>
        <w:tc>
          <w:tcPr>
            <w:tcW w:w="704" w:type="dxa"/>
            <w:vAlign w:val="center"/>
          </w:tcPr>
          <w:p w14:paraId="122BE4E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4179" w:type="dxa"/>
            <w:vAlign w:val="center"/>
          </w:tcPr>
          <w:p w14:paraId="38F8C02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Yayılı toz emisyonlarını azaltmak için, depolama alanının düzenli olarak temizlenmesi ve bağlantılı yolların süpürülmesi ile yol oluklarının boşaltılması. Bu, özellikle kurak mevsimde ilave toz emisyonuna sebep olabilen rüzgarla sürüklenmiş kağıt </w:t>
            </w:r>
            <w:r w:rsidR="00520C45">
              <w:rPr>
                <w:rFonts w:ascii="Times New Roman" w:hAnsi="Times New Roman" w:cs="Times New Roman"/>
                <w:sz w:val="24"/>
                <w:szCs w:val="24"/>
              </w:rPr>
              <w:t>atıklarını</w:t>
            </w:r>
            <w:r w:rsidRPr="009C6CAC">
              <w:rPr>
                <w:rFonts w:ascii="Times New Roman" w:hAnsi="Times New Roman" w:cs="Times New Roman"/>
                <w:sz w:val="24"/>
                <w:szCs w:val="24"/>
              </w:rPr>
              <w:t>, lifleri ve kağıtların saha içindeki trafik tarafından ezilmesini azaltır.</w:t>
            </w:r>
          </w:p>
        </w:tc>
        <w:tc>
          <w:tcPr>
            <w:tcW w:w="4179" w:type="dxa"/>
            <w:vAlign w:val="center"/>
          </w:tcPr>
          <w:p w14:paraId="39F0F41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77C71853" w14:textId="77777777" w:rsidTr="000D79D6">
        <w:trPr>
          <w:jc w:val="center"/>
        </w:trPr>
        <w:tc>
          <w:tcPr>
            <w:tcW w:w="704" w:type="dxa"/>
            <w:vAlign w:val="center"/>
          </w:tcPr>
          <w:p w14:paraId="3EC59CA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4179" w:type="dxa"/>
            <w:vAlign w:val="center"/>
          </w:tcPr>
          <w:p w14:paraId="3E16E5B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Balyaların veya bağlı olmayan kağıtların, hava koşullarından (nem, mikrobiyolojik bozunma prosesleri vb.) korunması için bir çatı altında depolanması</w:t>
            </w:r>
          </w:p>
        </w:tc>
        <w:tc>
          <w:tcPr>
            <w:tcW w:w="4179" w:type="dxa"/>
            <w:vAlign w:val="center"/>
          </w:tcPr>
          <w:p w14:paraId="0F7788C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Uygulanabilirlik, alan boyutuna ilişkin olarak kısıtlanabilir.</w:t>
            </w:r>
          </w:p>
        </w:tc>
      </w:tr>
    </w:tbl>
    <w:p w14:paraId="2BFD26C8" w14:textId="77777777" w:rsidR="00C07865" w:rsidRPr="009C6CAC" w:rsidRDefault="00C07865" w:rsidP="00C07865">
      <w:pPr>
        <w:spacing w:after="120" w:line="276" w:lineRule="auto"/>
        <w:jc w:val="both"/>
        <w:rPr>
          <w:rFonts w:ascii="Times New Roman" w:hAnsi="Times New Roman" w:cs="Times New Roman"/>
          <w:sz w:val="24"/>
          <w:szCs w:val="24"/>
        </w:rPr>
      </w:pPr>
    </w:p>
    <w:p w14:paraId="29C59F99"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(5.2) Atık Su ve Suya Emisyonlar</w:t>
      </w:r>
    </w:p>
    <w:p w14:paraId="1D887B5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43:</w:t>
      </w:r>
      <w:r w:rsidRPr="009C6CAC">
        <w:rPr>
          <w:rFonts w:ascii="Times New Roman" w:hAnsi="Times New Roman" w:cs="Times New Roman"/>
          <w:sz w:val="24"/>
          <w:szCs w:val="24"/>
        </w:rPr>
        <w:t xml:space="preserve"> Tatlı su kullanımını, atık su akışını ve kirlilik yükünü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8358"/>
      </w:tblGrid>
      <w:tr w:rsidR="00C07865" w:rsidRPr="009C6CAC" w14:paraId="261556F5" w14:textId="77777777" w:rsidTr="000D79D6">
        <w:trPr>
          <w:tblHeader/>
          <w:jc w:val="center"/>
        </w:trPr>
        <w:tc>
          <w:tcPr>
            <w:tcW w:w="704" w:type="dxa"/>
            <w:vAlign w:val="center"/>
          </w:tcPr>
          <w:p w14:paraId="17F15CE7"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2185D3A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55716DBF" w14:textId="77777777" w:rsidTr="000D79D6">
        <w:trPr>
          <w:jc w:val="center"/>
        </w:trPr>
        <w:tc>
          <w:tcPr>
            <w:tcW w:w="704" w:type="dxa"/>
            <w:vAlign w:val="center"/>
          </w:tcPr>
          <w:p w14:paraId="1BB5ABB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2388E2C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sistemlerinin ayrılması</w:t>
            </w:r>
          </w:p>
        </w:tc>
      </w:tr>
      <w:tr w:rsidR="00C07865" w:rsidRPr="009C6CAC" w14:paraId="540A8000" w14:textId="77777777" w:rsidTr="000D79D6">
        <w:trPr>
          <w:jc w:val="center"/>
        </w:trPr>
        <w:tc>
          <w:tcPr>
            <w:tcW w:w="704" w:type="dxa"/>
            <w:vAlign w:val="center"/>
          </w:tcPr>
          <w:p w14:paraId="7B8C16B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485084F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suyunun ters akışı ve su resirkülasyonu</w:t>
            </w:r>
          </w:p>
        </w:tc>
      </w:tr>
      <w:tr w:rsidR="00C07865" w:rsidRPr="009C6CAC" w14:paraId="3767BB7E" w14:textId="77777777" w:rsidTr="000D79D6">
        <w:trPr>
          <w:jc w:val="center"/>
        </w:trPr>
        <w:tc>
          <w:tcPr>
            <w:tcW w:w="704" w:type="dxa"/>
            <w:vAlign w:val="center"/>
          </w:tcPr>
          <w:p w14:paraId="31DD72A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1783D3F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Biyolojik arıtmadan sonra arıtılmış atık suyun kısmi geri dönüşümü</w:t>
            </w:r>
          </w:p>
        </w:tc>
      </w:tr>
      <w:tr w:rsidR="00C07865" w:rsidRPr="009C6CAC" w14:paraId="589C8714" w14:textId="77777777" w:rsidTr="000D79D6">
        <w:trPr>
          <w:jc w:val="center"/>
        </w:trPr>
        <w:tc>
          <w:tcPr>
            <w:tcW w:w="704" w:type="dxa"/>
            <w:vAlign w:val="center"/>
          </w:tcPr>
          <w:p w14:paraId="2190A7E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8358" w:type="dxa"/>
            <w:vAlign w:val="center"/>
          </w:tcPr>
          <w:p w14:paraId="45869F5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Beyaz suyun temizlenmesi/berraklaştırılması</w:t>
            </w:r>
          </w:p>
        </w:tc>
      </w:tr>
    </w:tbl>
    <w:p w14:paraId="07F6F15F" w14:textId="77777777" w:rsidR="00C07865" w:rsidRPr="009C6CAC" w:rsidRDefault="00C07865" w:rsidP="00C07865">
      <w:pPr>
        <w:spacing w:after="120" w:line="276" w:lineRule="auto"/>
        <w:jc w:val="both"/>
        <w:rPr>
          <w:rFonts w:ascii="Times New Roman" w:hAnsi="Times New Roman" w:cs="Times New Roman"/>
          <w:sz w:val="24"/>
          <w:szCs w:val="24"/>
        </w:rPr>
      </w:pPr>
    </w:p>
    <w:p w14:paraId="27967A97"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44:</w:t>
      </w:r>
      <w:r w:rsidRPr="009C6CAC">
        <w:rPr>
          <w:rFonts w:ascii="Times New Roman" w:hAnsi="Times New Roman" w:cs="Times New Roman"/>
          <w:sz w:val="24"/>
          <w:szCs w:val="24"/>
        </w:rPr>
        <w:t xml:space="preserve"> Geri dönüşüm için kağıt işleyen fabrikalarda ileri seviye su devresi kapatmalarını sürdürmek ve proses suyunun artan geri dönüşümünden kaynaklanan olası negatif etkileri önlemek için, aşağıdaki tekniklerin biri veya bir kombinasyonu kullanılır.</w:t>
      </w:r>
    </w:p>
    <w:tbl>
      <w:tblPr>
        <w:tblStyle w:val="TabloKlavuzu"/>
        <w:tblW w:w="0" w:type="auto"/>
        <w:jc w:val="center"/>
        <w:tblLook w:val="04A0" w:firstRow="1" w:lastRow="0" w:firstColumn="1" w:lastColumn="0" w:noHBand="0" w:noVBand="1"/>
      </w:tblPr>
      <w:tblGrid>
        <w:gridCol w:w="704"/>
        <w:gridCol w:w="8358"/>
      </w:tblGrid>
      <w:tr w:rsidR="00C07865" w:rsidRPr="009C6CAC" w14:paraId="24C04E0E" w14:textId="77777777" w:rsidTr="000D79D6">
        <w:trPr>
          <w:tblHeader/>
          <w:jc w:val="center"/>
        </w:trPr>
        <w:tc>
          <w:tcPr>
            <w:tcW w:w="704" w:type="dxa"/>
            <w:vAlign w:val="center"/>
          </w:tcPr>
          <w:p w14:paraId="52E9CBB8" w14:textId="77777777" w:rsidR="00C07865" w:rsidRPr="009C6CAC" w:rsidRDefault="00C07865" w:rsidP="000D79D6">
            <w:pPr>
              <w:jc w:val="center"/>
              <w:rPr>
                <w:rFonts w:ascii="Times New Roman" w:hAnsi="Times New Roman" w:cs="Times New Roman"/>
                <w:b/>
                <w:bCs/>
                <w:sz w:val="24"/>
                <w:szCs w:val="24"/>
              </w:rPr>
            </w:pPr>
          </w:p>
        </w:tc>
        <w:tc>
          <w:tcPr>
            <w:tcW w:w="8358" w:type="dxa"/>
            <w:vAlign w:val="center"/>
          </w:tcPr>
          <w:p w14:paraId="6E393C04"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r>
      <w:tr w:rsidR="00C07865" w:rsidRPr="009C6CAC" w14:paraId="77EBC802" w14:textId="77777777" w:rsidTr="000D79D6">
        <w:trPr>
          <w:jc w:val="center"/>
        </w:trPr>
        <w:tc>
          <w:tcPr>
            <w:tcW w:w="704" w:type="dxa"/>
            <w:vAlign w:val="center"/>
          </w:tcPr>
          <w:p w14:paraId="007F387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8358" w:type="dxa"/>
            <w:vAlign w:val="center"/>
          </w:tcPr>
          <w:p w14:paraId="2BA51A3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suyu kalitesinin izlenmesi ve sürekli kontrolü</w:t>
            </w:r>
          </w:p>
        </w:tc>
      </w:tr>
      <w:tr w:rsidR="00C07865" w:rsidRPr="009C6CAC" w14:paraId="722EF326" w14:textId="77777777" w:rsidTr="000D79D6">
        <w:trPr>
          <w:jc w:val="center"/>
        </w:trPr>
        <w:tc>
          <w:tcPr>
            <w:tcW w:w="704" w:type="dxa"/>
            <w:vAlign w:val="center"/>
          </w:tcPr>
          <w:p w14:paraId="2B64EF2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8358" w:type="dxa"/>
            <w:vAlign w:val="center"/>
          </w:tcPr>
          <w:p w14:paraId="5A365A3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Biyosit emisyonlarını en aza indiren yöntemler kullanılarak biyofilm oluşumunun engellenmesi ve biyofilmlerin yok edilmesi</w:t>
            </w:r>
          </w:p>
        </w:tc>
      </w:tr>
      <w:tr w:rsidR="00C07865" w:rsidRPr="009C6CAC" w14:paraId="2DD387A6" w14:textId="77777777" w:rsidTr="000D79D6">
        <w:trPr>
          <w:jc w:val="center"/>
        </w:trPr>
        <w:tc>
          <w:tcPr>
            <w:tcW w:w="704" w:type="dxa"/>
            <w:vAlign w:val="center"/>
          </w:tcPr>
          <w:p w14:paraId="0E32E17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8358" w:type="dxa"/>
            <w:vAlign w:val="center"/>
          </w:tcPr>
          <w:p w14:paraId="5100FC1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Kalsiyum karbonatın kontrollü bir şekilde çöktürülmesi ile proses suyundan kalsiyumun uzaklaştırılması</w:t>
            </w:r>
          </w:p>
        </w:tc>
      </w:tr>
    </w:tbl>
    <w:p w14:paraId="2707B2DD" w14:textId="77777777" w:rsidR="00C07865" w:rsidRPr="009C6CAC" w:rsidRDefault="00C07865" w:rsidP="00C07865">
      <w:pPr>
        <w:spacing w:after="120" w:line="276" w:lineRule="auto"/>
        <w:jc w:val="both"/>
        <w:rPr>
          <w:rFonts w:ascii="Times New Roman" w:hAnsi="Times New Roman" w:cs="Times New Roman"/>
          <w:sz w:val="24"/>
          <w:szCs w:val="24"/>
        </w:rPr>
      </w:pPr>
    </w:p>
    <w:p w14:paraId="6D658DAB"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(a)-(c) teknikleri, ileri seviye su devresi kapatması ile birlikte RCF kağıt fabrikalarına uygulanabilir.</w:t>
      </w:r>
    </w:p>
    <w:p w14:paraId="6BF8BA9A"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lastRenderedPageBreak/>
        <w:t>MET 45:</w:t>
      </w:r>
      <w:r w:rsidRPr="009C6CAC">
        <w:rPr>
          <w:rFonts w:ascii="Times New Roman" w:hAnsi="Times New Roman" w:cs="Times New Roman"/>
          <w:sz w:val="24"/>
          <w:szCs w:val="24"/>
        </w:rPr>
        <w:t xml:space="preserve"> Tüm fabrikadan alıcı sulara olan atık suyu önlemek ve kirlilik yükünü azaltmak için MET 13, MET 14, MET 15, MET 16, MET 43 ve MET 44’te belirtilen tekniklerin uygun bir kombinasyonu kullanılır.</w:t>
      </w:r>
    </w:p>
    <w:p w14:paraId="401B8BEC"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Entegre RCF kağıt fabrikaları için MET-İES’ler, kağıt üretiminden kaynaklanan emisyonları kapsar çünkü, kağıt makinelerinin beyaz su devreleri, hamur hazırlamanınkilerle yakından bağlantılıdır.</w:t>
      </w:r>
    </w:p>
    <w:p w14:paraId="7BD3BED0" w14:textId="3DF74745"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55C7ED4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Tablo 18’de verilen MET-İES’ler, mürekkep gidermesiz kağıt hamuru fabrikaları için; Tablo 19’da verilen MET-İES’ler, mürekkep gidermeli kağıt hamuru fabrikaları için de geçerlidir.</w:t>
      </w:r>
    </w:p>
    <w:p w14:paraId="71E61AC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RCF fabrikaları için referans atık su akışı, MET 5’te belirtilmiştir.</w:t>
      </w:r>
    </w:p>
    <w:p w14:paraId="239E0C4D"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18</w:t>
      </w:r>
    </w:p>
    <w:p w14:paraId="014AAEE2"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dönüştürülmüş lif hamurundan, tesis içinde mürekkep giderme olmadan kağıt ve karton entegre üretiminden alıcı sulara olan doğrudan atık su deşarjlarına yönelik MET-İES’ler</w:t>
      </w:r>
    </w:p>
    <w:tbl>
      <w:tblPr>
        <w:tblStyle w:val="TabloKlavuzu"/>
        <w:tblW w:w="0" w:type="auto"/>
        <w:tblLook w:val="04A0" w:firstRow="1" w:lastRow="0" w:firstColumn="1" w:lastColumn="0" w:noHBand="0" w:noVBand="1"/>
      </w:tblPr>
      <w:tblGrid>
        <w:gridCol w:w="5240"/>
        <w:gridCol w:w="3822"/>
      </w:tblGrid>
      <w:tr w:rsidR="00C07865" w:rsidRPr="009C6CAC" w14:paraId="4B42B23A" w14:textId="77777777" w:rsidTr="0082590D">
        <w:tc>
          <w:tcPr>
            <w:tcW w:w="5240" w:type="dxa"/>
          </w:tcPr>
          <w:p w14:paraId="2923BD77"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3822" w:type="dxa"/>
          </w:tcPr>
          <w:p w14:paraId="5B283BE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318EB857"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kg/t</w:t>
            </w:r>
          </w:p>
        </w:tc>
      </w:tr>
      <w:tr w:rsidR="00C07865" w:rsidRPr="009C6CAC" w14:paraId="32376BE3" w14:textId="77777777" w:rsidTr="0082590D">
        <w:tc>
          <w:tcPr>
            <w:tcW w:w="5240" w:type="dxa"/>
          </w:tcPr>
          <w:p w14:paraId="58BC45F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Kimyasal Oksijen İhtiyacı (</w:t>
            </w:r>
            <w:r w:rsidR="009D570E">
              <w:rPr>
                <w:rFonts w:ascii="Times New Roman" w:hAnsi="Times New Roman" w:cs="Times New Roman"/>
                <w:sz w:val="24"/>
                <w:szCs w:val="24"/>
              </w:rPr>
              <w:t>KOİ</w:t>
            </w:r>
            <w:r w:rsidRPr="009C6CAC">
              <w:rPr>
                <w:rFonts w:ascii="Times New Roman" w:hAnsi="Times New Roman" w:cs="Times New Roman"/>
                <w:sz w:val="24"/>
                <w:szCs w:val="24"/>
              </w:rPr>
              <w:t>)</w:t>
            </w:r>
          </w:p>
        </w:tc>
        <w:tc>
          <w:tcPr>
            <w:tcW w:w="3822" w:type="dxa"/>
          </w:tcPr>
          <w:p w14:paraId="49D602D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0,4(</w:t>
            </w:r>
            <w:r w:rsidRPr="009C6CAC">
              <w:rPr>
                <w:rFonts w:ascii="Times New Roman" w:hAnsi="Times New Roman" w:cs="Times New Roman"/>
                <w:sz w:val="24"/>
                <w:szCs w:val="24"/>
                <w:vertAlign w:val="superscript"/>
              </w:rPr>
              <w:t>1</w:t>
            </w:r>
            <w:r w:rsidRPr="009C6CAC">
              <w:rPr>
                <w:rFonts w:ascii="Times New Roman" w:hAnsi="Times New Roman" w:cs="Times New Roman"/>
                <w:sz w:val="24"/>
                <w:szCs w:val="24"/>
              </w:rPr>
              <w:t>)-1,4</w:t>
            </w:r>
          </w:p>
        </w:tc>
      </w:tr>
      <w:tr w:rsidR="00C07865" w:rsidRPr="009C6CAC" w14:paraId="54E5A361" w14:textId="77777777" w:rsidTr="0082590D">
        <w:tc>
          <w:tcPr>
            <w:tcW w:w="5240" w:type="dxa"/>
          </w:tcPr>
          <w:p w14:paraId="1332BA6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Askıda Katı Maddeler (TSS)</w:t>
            </w:r>
          </w:p>
        </w:tc>
        <w:tc>
          <w:tcPr>
            <w:tcW w:w="3822" w:type="dxa"/>
          </w:tcPr>
          <w:p w14:paraId="1C25100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0,02-0,2 (</w:t>
            </w:r>
            <w:r w:rsidRPr="009C6CAC">
              <w:rPr>
                <w:rFonts w:ascii="Times New Roman" w:hAnsi="Times New Roman" w:cs="Times New Roman"/>
                <w:sz w:val="24"/>
                <w:szCs w:val="24"/>
                <w:vertAlign w:val="superscript"/>
              </w:rPr>
              <w:t>2</w:t>
            </w:r>
            <w:r w:rsidRPr="009C6CAC">
              <w:rPr>
                <w:rFonts w:ascii="Times New Roman" w:hAnsi="Times New Roman" w:cs="Times New Roman"/>
                <w:sz w:val="24"/>
                <w:szCs w:val="24"/>
              </w:rPr>
              <w:t>)</w:t>
            </w:r>
          </w:p>
        </w:tc>
      </w:tr>
      <w:tr w:rsidR="00C07865" w:rsidRPr="009C6CAC" w14:paraId="57CA4CDD" w14:textId="77777777" w:rsidTr="0082590D">
        <w:tc>
          <w:tcPr>
            <w:tcW w:w="5240" w:type="dxa"/>
          </w:tcPr>
          <w:p w14:paraId="08B9A63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Azot</w:t>
            </w:r>
          </w:p>
        </w:tc>
        <w:tc>
          <w:tcPr>
            <w:tcW w:w="3822" w:type="dxa"/>
          </w:tcPr>
          <w:p w14:paraId="552A6DF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0,008-0,09</w:t>
            </w:r>
          </w:p>
        </w:tc>
      </w:tr>
      <w:tr w:rsidR="00C07865" w:rsidRPr="009C6CAC" w14:paraId="5CA4A05D" w14:textId="77777777" w:rsidTr="0082590D">
        <w:tc>
          <w:tcPr>
            <w:tcW w:w="5240" w:type="dxa"/>
          </w:tcPr>
          <w:p w14:paraId="06F39ED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Fosfor</w:t>
            </w:r>
          </w:p>
        </w:tc>
        <w:tc>
          <w:tcPr>
            <w:tcW w:w="3822" w:type="dxa"/>
          </w:tcPr>
          <w:p w14:paraId="4B216EC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0,001-0,005 (</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w:t>
            </w:r>
          </w:p>
        </w:tc>
      </w:tr>
      <w:tr w:rsidR="00C07865" w:rsidRPr="009C6CAC" w14:paraId="6C82F640" w14:textId="77777777" w:rsidTr="0082590D">
        <w:tc>
          <w:tcPr>
            <w:tcW w:w="5240" w:type="dxa"/>
          </w:tcPr>
          <w:p w14:paraId="32A8ED3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Adsorplanabilir Organik Bağlı Halojenler (AOX)</w:t>
            </w:r>
          </w:p>
        </w:tc>
        <w:tc>
          <w:tcPr>
            <w:tcW w:w="3822" w:type="dxa"/>
          </w:tcPr>
          <w:p w14:paraId="15A16A9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0,05 (ıslak mukavemetli kağıt için)</w:t>
            </w:r>
          </w:p>
        </w:tc>
      </w:tr>
      <w:tr w:rsidR="00C07865" w:rsidRPr="009C6CAC" w14:paraId="502AC028" w14:textId="77777777" w:rsidTr="0082590D">
        <w:tc>
          <w:tcPr>
            <w:tcW w:w="9062" w:type="dxa"/>
            <w:gridSpan w:val="2"/>
          </w:tcPr>
          <w:p w14:paraId="772DD574"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xml:space="preserve">) Tamamen kapalı su devreli fabrikalar için, </w:t>
            </w:r>
            <w:r w:rsidR="009D570E" w:rsidRPr="0082590D">
              <w:rPr>
                <w:rFonts w:ascii="Times New Roman" w:hAnsi="Times New Roman" w:cs="Times New Roman"/>
                <w:sz w:val="20"/>
                <w:szCs w:val="20"/>
              </w:rPr>
              <w:t>KOİ</w:t>
            </w:r>
            <w:r w:rsidRPr="0082590D">
              <w:rPr>
                <w:rFonts w:ascii="Times New Roman" w:hAnsi="Times New Roman" w:cs="Times New Roman"/>
                <w:sz w:val="20"/>
                <w:szCs w:val="20"/>
              </w:rPr>
              <w:t xml:space="preserve"> emisyonu yoktur.</w:t>
            </w:r>
          </w:p>
          <w:p w14:paraId="3462CC09" w14:textId="77777777" w:rsidR="00C07865" w:rsidRPr="0082590D" w:rsidRDefault="00C078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Mevcut tesisler için seviyeler, geri dönüşüm için olan kağıdın kalitesindeki sürekli düşüşten ve atık su tesisinin sürekli iyileştirilmesine ilişkin zorluktan dolayı, 0,45 kg/t’a kadar gerçekleşebilir.</w:t>
            </w:r>
          </w:p>
          <w:p w14:paraId="4D3A49B7" w14:textId="77777777" w:rsidR="00C07865" w:rsidRPr="009C6CAC" w:rsidRDefault="00C07865" w:rsidP="000D79D6">
            <w:pPr>
              <w:jc w:val="both"/>
              <w:rPr>
                <w:rFonts w:ascii="Times New Roman" w:hAnsi="Times New Roman" w:cs="Times New Roman"/>
                <w:i/>
                <w:iCs/>
                <w:sz w:val="24"/>
                <w:szCs w:val="24"/>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5-10 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/t arasında bir atık su akışına sahip olan fabrikalar için aralığın üst sınırı, 0,008 kg/t’dur.</w:t>
            </w:r>
          </w:p>
        </w:tc>
      </w:tr>
    </w:tbl>
    <w:p w14:paraId="131A8DBC" w14:textId="77777777" w:rsidR="00C07865" w:rsidRPr="009C6CAC" w:rsidRDefault="00C07865" w:rsidP="00C07865">
      <w:pPr>
        <w:spacing w:after="120" w:line="276" w:lineRule="auto"/>
        <w:jc w:val="both"/>
        <w:rPr>
          <w:rFonts w:ascii="Times New Roman" w:hAnsi="Times New Roman" w:cs="Times New Roman"/>
          <w:sz w:val="24"/>
          <w:szCs w:val="24"/>
        </w:rPr>
      </w:pPr>
    </w:p>
    <w:p w14:paraId="7CBC188B"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19</w:t>
      </w:r>
    </w:p>
    <w:p w14:paraId="570695FD"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Geri dönüştürülmüş lif hamurundan, tesis içinde mürekkep giderme yapılarak kağıt ve karton entegre üretiminden alıcı sulara olan doğrudan atık su deşarjlarına yönelik MET-İES’ler</w:t>
      </w:r>
    </w:p>
    <w:tbl>
      <w:tblPr>
        <w:tblStyle w:val="TabloKlavuzu"/>
        <w:tblW w:w="0" w:type="auto"/>
        <w:jc w:val="center"/>
        <w:tblLook w:val="04A0" w:firstRow="1" w:lastRow="0" w:firstColumn="1" w:lastColumn="0" w:noHBand="0" w:noVBand="1"/>
      </w:tblPr>
      <w:tblGrid>
        <w:gridCol w:w="5240"/>
        <w:gridCol w:w="3822"/>
      </w:tblGrid>
      <w:tr w:rsidR="00C07865" w:rsidRPr="009C6CAC" w14:paraId="405DD3CB" w14:textId="77777777" w:rsidTr="000D79D6">
        <w:trPr>
          <w:tblHeader/>
          <w:jc w:val="center"/>
        </w:trPr>
        <w:tc>
          <w:tcPr>
            <w:tcW w:w="5240" w:type="dxa"/>
            <w:vAlign w:val="center"/>
          </w:tcPr>
          <w:p w14:paraId="32B4F0BD"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Parametre</w:t>
            </w:r>
          </w:p>
        </w:tc>
        <w:tc>
          <w:tcPr>
            <w:tcW w:w="3822" w:type="dxa"/>
            <w:vAlign w:val="center"/>
          </w:tcPr>
          <w:p w14:paraId="628456BA"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Yıllık Ortalama</w:t>
            </w:r>
          </w:p>
          <w:p w14:paraId="0A001622"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kg/t</w:t>
            </w:r>
          </w:p>
        </w:tc>
      </w:tr>
      <w:tr w:rsidR="00C07865" w:rsidRPr="009C6CAC" w14:paraId="5F2A44DA" w14:textId="77777777" w:rsidTr="000D79D6">
        <w:trPr>
          <w:jc w:val="center"/>
        </w:trPr>
        <w:tc>
          <w:tcPr>
            <w:tcW w:w="5240" w:type="dxa"/>
            <w:vAlign w:val="center"/>
          </w:tcPr>
          <w:p w14:paraId="6A92EA7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Kimyasal Oksijen İhtiyacı (</w:t>
            </w:r>
            <w:r w:rsidR="009D570E">
              <w:rPr>
                <w:rFonts w:ascii="Times New Roman" w:hAnsi="Times New Roman" w:cs="Times New Roman"/>
                <w:sz w:val="24"/>
                <w:szCs w:val="24"/>
              </w:rPr>
              <w:t>KOİ</w:t>
            </w:r>
            <w:r w:rsidRPr="009C6CAC">
              <w:rPr>
                <w:rFonts w:ascii="Times New Roman" w:hAnsi="Times New Roman" w:cs="Times New Roman"/>
                <w:sz w:val="24"/>
                <w:szCs w:val="24"/>
              </w:rPr>
              <w:t>)</w:t>
            </w:r>
          </w:p>
        </w:tc>
        <w:tc>
          <w:tcPr>
            <w:tcW w:w="3822" w:type="dxa"/>
            <w:vAlign w:val="center"/>
          </w:tcPr>
          <w:p w14:paraId="213A8BCA"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0,9-3,0</w:t>
            </w:r>
          </w:p>
          <w:p w14:paraId="5E1177B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0,9-4,0 (kağıt mendil için)</w:t>
            </w:r>
          </w:p>
        </w:tc>
      </w:tr>
      <w:tr w:rsidR="00C07865" w:rsidRPr="009C6CAC" w14:paraId="0A4EB59C" w14:textId="77777777" w:rsidTr="000D79D6">
        <w:trPr>
          <w:jc w:val="center"/>
        </w:trPr>
        <w:tc>
          <w:tcPr>
            <w:tcW w:w="5240" w:type="dxa"/>
            <w:vAlign w:val="center"/>
          </w:tcPr>
          <w:p w14:paraId="73A040D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Askıda Katı Maddeler (TSS)</w:t>
            </w:r>
          </w:p>
        </w:tc>
        <w:tc>
          <w:tcPr>
            <w:tcW w:w="3822" w:type="dxa"/>
            <w:vAlign w:val="center"/>
          </w:tcPr>
          <w:p w14:paraId="65E3D27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0,08-0,3</w:t>
            </w:r>
          </w:p>
          <w:p w14:paraId="700EFEB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0,1-0,4 (kağıt mendil için)</w:t>
            </w:r>
          </w:p>
        </w:tc>
      </w:tr>
      <w:tr w:rsidR="00C07865" w:rsidRPr="009C6CAC" w14:paraId="52F2085D" w14:textId="77777777" w:rsidTr="000D79D6">
        <w:trPr>
          <w:jc w:val="center"/>
        </w:trPr>
        <w:tc>
          <w:tcPr>
            <w:tcW w:w="5240" w:type="dxa"/>
            <w:vAlign w:val="center"/>
          </w:tcPr>
          <w:p w14:paraId="0899D05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Azot</w:t>
            </w:r>
          </w:p>
        </w:tc>
        <w:tc>
          <w:tcPr>
            <w:tcW w:w="3822" w:type="dxa"/>
            <w:vAlign w:val="center"/>
          </w:tcPr>
          <w:p w14:paraId="0FDAECC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0,01-0,1</w:t>
            </w:r>
          </w:p>
          <w:p w14:paraId="5CB97CB5"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0,01-0,15 (kağıt mendil için)</w:t>
            </w:r>
          </w:p>
        </w:tc>
      </w:tr>
      <w:tr w:rsidR="00C07865" w:rsidRPr="009C6CAC" w14:paraId="6C6A2871" w14:textId="77777777" w:rsidTr="000D79D6">
        <w:trPr>
          <w:jc w:val="center"/>
        </w:trPr>
        <w:tc>
          <w:tcPr>
            <w:tcW w:w="5240" w:type="dxa"/>
            <w:vAlign w:val="center"/>
          </w:tcPr>
          <w:p w14:paraId="2A37C51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Toplam Fosfor</w:t>
            </w:r>
          </w:p>
        </w:tc>
        <w:tc>
          <w:tcPr>
            <w:tcW w:w="3822" w:type="dxa"/>
            <w:vAlign w:val="center"/>
          </w:tcPr>
          <w:p w14:paraId="3891772C"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0,002-0,01</w:t>
            </w:r>
          </w:p>
          <w:p w14:paraId="3F95AF1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0,002-0,015 (kağıt mendil için)</w:t>
            </w:r>
          </w:p>
        </w:tc>
      </w:tr>
      <w:tr w:rsidR="00C07865" w:rsidRPr="009C6CAC" w14:paraId="54CB68E6" w14:textId="77777777" w:rsidTr="000D79D6">
        <w:trPr>
          <w:jc w:val="center"/>
        </w:trPr>
        <w:tc>
          <w:tcPr>
            <w:tcW w:w="5240" w:type="dxa"/>
            <w:vAlign w:val="center"/>
          </w:tcPr>
          <w:p w14:paraId="3F9E6E4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Adsorplanabilir Organik Bağlı Halojenler (AOX)</w:t>
            </w:r>
          </w:p>
        </w:tc>
        <w:tc>
          <w:tcPr>
            <w:tcW w:w="3822" w:type="dxa"/>
            <w:vAlign w:val="center"/>
          </w:tcPr>
          <w:p w14:paraId="3BF8D9E1"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0,05 (ıslak mukavemetli kağıt için)</w:t>
            </w:r>
          </w:p>
        </w:tc>
      </w:tr>
    </w:tbl>
    <w:p w14:paraId="1A84296E" w14:textId="77777777" w:rsidR="00C07865" w:rsidRPr="009C6CAC" w:rsidRDefault="00C07865" w:rsidP="00C07865">
      <w:pPr>
        <w:spacing w:after="120" w:line="276" w:lineRule="auto"/>
        <w:jc w:val="both"/>
        <w:rPr>
          <w:rFonts w:ascii="Times New Roman" w:hAnsi="Times New Roman" w:cs="Times New Roman"/>
          <w:sz w:val="24"/>
          <w:szCs w:val="24"/>
        </w:rPr>
      </w:pPr>
    </w:p>
    <w:p w14:paraId="5B362DB0"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lastRenderedPageBreak/>
        <w:t>Arıtılmış atık sulardaki BO</w:t>
      </w:r>
      <w:r w:rsidR="00C91F89">
        <w:rPr>
          <w:rFonts w:ascii="Times New Roman" w:hAnsi="Times New Roman" w:cs="Times New Roman"/>
          <w:sz w:val="24"/>
          <w:szCs w:val="24"/>
        </w:rPr>
        <w:t>İ</w:t>
      </w:r>
      <w:r w:rsidRPr="009C6CAC">
        <w:rPr>
          <w:rFonts w:ascii="Times New Roman" w:hAnsi="Times New Roman" w:cs="Times New Roman"/>
          <w:sz w:val="24"/>
          <w:szCs w:val="24"/>
        </w:rPr>
        <w:t xml:space="preserve"> konsantrasyonlarının düşük olması beklenir (24 saatlik kompozit numune olarak yaklaşık 25 mg/L).</w:t>
      </w:r>
    </w:p>
    <w:p w14:paraId="488392C7"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(5.3) Enerji Tüketimi ve Verimliliği</w:t>
      </w:r>
    </w:p>
    <w:p w14:paraId="7AA2ADF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46:</w:t>
      </w:r>
      <w:r w:rsidRPr="009C6CAC">
        <w:rPr>
          <w:rFonts w:ascii="Times New Roman" w:hAnsi="Times New Roman" w:cs="Times New Roman"/>
          <w:sz w:val="24"/>
          <w:szCs w:val="24"/>
        </w:rPr>
        <w:t xml:space="preserve"> Aşağıdaki tekniklerin bir kombinasyonu kullanılarak RCF işleme kağıt fabrikalarındaki elektrik enerjisi tüketimi azaltılır.</w:t>
      </w:r>
    </w:p>
    <w:tbl>
      <w:tblPr>
        <w:tblStyle w:val="TabloKlavuzu"/>
        <w:tblW w:w="0" w:type="auto"/>
        <w:jc w:val="center"/>
        <w:tblLook w:val="04A0" w:firstRow="1" w:lastRow="0" w:firstColumn="1" w:lastColumn="0" w:noHBand="0" w:noVBand="1"/>
      </w:tblPr>
      <w:tblGrid>
        <w:gridCol w:w="704"/>
        <w:gridCol w:w="4179"/>
        <w:gridCol w:w="4179"/>
      </w:tblGrid>
      <w:tr w:rsidR="00C07865" w:rsidRPr="003526A3" w14:paraId="577D6520" w14:textId="77777777" w:rsidTr="000D79D6">
        <w:trPr>
          <w:tblHeader/>
          <w:jc w:val="center"/>
        </w:trPr>
        <w:tc>
          <w:tcPr>
            <w:tcW w:w="704" w:type="dxa"/>
            <w:vAlign w:val="center"/>
          </w:tcPr>
          <w:p w14:paraId="4DF8B61F" w14:textId="77777777" w:rsidR="00C07865" w:rsidRPr="003526A3" w:rsidRDefault="00C07865" w:rsidP="000D79D6">
            <w:pPr>
              <w:jc w:val="center"/>
              <w:rPr>
                <w:rFonts w:ascii="Times New Roman" w:hAnsi="Times New Roman" w:cs="Times New Roman"/>
                <w:b/>
                <w:bCs/>
              </w:rPr>
            </w:pPr>
          </w:p>
        </w:tc>
        <w:tc>
          <w:tcPr>
            <w:tcW w:w="4179" w:type="dxa"/>
            <w:vAlign w:val="center"/>
          </w:tcPr>
          <w:p w14:paraId="596F9190"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4179" w:type="dxa"/>
            <w:vAlign w:val="center"/>
          </w:tcPr>
          <w:p w14:paraId="28301409"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6364F37F" w14:textId="77777777" w:rsidTr="000D79D6">
        <w:trPr>
          <w:jc w:val="center"/>
        </w:trPr>
        <w:tc>
          <w:tcPr>
            <w:tcW w:w="704" w:type="dxa"/>
            <w:vAlign w:val="center"/>
          </w:tcPr>
          <w:p w14:paraId="009D5DE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4179" w:type="dxa"/>
            <w:vAlign w:val="center"/>
          </w:tcPr>
          <w:p w14:paraId="3027781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Ayrı liflere geri dönüştürülmek üzere kağıdın parçalanması için yüksek kıvamlı kağıt hamuru üretimi</w:t>
            </w:r>
          </w:p>
        </w:tc>
        <w:tc>
          <w:tcPr>
            <w:tcW w:w="4179" w:type="dxa"/>
            <w:vMerge w:val="restart"/>
            <w:vAlign w:val="center"/>
          </w:tcPr>
          <w:p w14:paraId="75373E7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Yeni tesisler ve büyük bir yenileme durumunda mevcut tesisler için genellikle uygulanabilir.</w:t>
            </w:r>
          </w:p>
        </w:tc>
      </w:tr>
      <w:tr w:rsidR="00C07865" w:rsidRPr="003526A3" w14:paraId="047A7901" w14:textId="77777777" w:rsidTr="000D79D6">
        <w:trPr>
          <w:jc w:val="center"/>
        </w:trPr>
        <w:tc>
          <w:tcPr>
            <w:tcW w:w="704" w:type="dxa"/>
            <w:vAlign w:val="center"/>
          </w:tcPr>
          <w:p w14:paraId="32DE4CA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4179" w:type="dxa"/>
            <w:vAlign w:val="center"/>
          </w:tcPr>
          <w:p w14:paraId="152F12F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Düşük özgül enerji tüketimli daha küçük ekipmanların kullanımına olanak tanıyan rotor tasarımı, elekler ve elek çalışmasının optimize edilmesi ile etkin büyük ve ince tane taraması</w:t>
            </w:r>
          </w:p>
        </w:tc>
        <w:tc>
          <w:tcPr>
            <w:tcW w:w="4179" w:type="dxa"/>
            <w:vMerge/>
            <w:vAlign w:val="center"/>
          </w:tcPr>
          <w:p w14:paraId="49F62F1E" w14:textId="77777777" w:rsidR="00C07865" w:rsidRPr="003526A3" w:rsidRDefault="00C07865" w:rsidP="000D79D6">
            <w:pPr>
              <w:jc w:val="both"/>
              <w:rPr>
                <w:rFonts w:ascii="Times New Roman" w:hAnsi="Times New Roman" w:cs="Times New Roman"/>
              </w:rPr>
            </w:pPr>
          </w:p>
        </w:tc>
      </w:tr>
      <w:tr w:rsidR="00C07865" w:rsidRPr="003526A3" w14:paraId="2CF43750" w14:textId="77777777" w:rsidTr="000D79D6">
        <w:trPr>
          <w:jc w:val="center"/>
        </w:trPr>
        <w:tc>
          <w:tcPr>
            <w:tcW w:w="704" w:type="dxa"/>
            <w:vAlign w:val="center"/>
          </w:tcPr>
          <w:p w14:paraId="6980CC7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4179" w:type="dxa"/>
            <w:vAlign w:val="center"/>
          </w:tcPr>
          <w:p w14:paraId="0D2FE3E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Daha az sayıda ve optimize edilmiş makine parçaları kullanarak ve böylece liflerin enerji yoğun işleme sürecini kısıtlayarak, yeniden hamur üretim prosesinde safsızlıkların mümkün olduğu kadar erken uzaklaştırılması ile enerji tasarruflu hamur hazırlama yaklaşımları</w:t>
            </w:r>
          </w:p>
        </w:tc>
        <w:tc>
          <w:tcPr>
            <w:tcW w:w="4179" w:type="dxa"/>
            <w:vMerge/>
            <w:vAlign w:val="center"/>
          </w:tcPr>
          <w:p w14:paraId="0147722F" w14:textId="77777777" w:rsidR="00C07865" w:rsidRPr="003526A3" w:rsidRDefault="00C07865" w:rsidP="000D79D6">
            <w:pPr>
              <w:jc w:val="both"/>
              <w:rPr>
                <w:rFonts w:ascii="Times New Roman" w:hAnsi="Times New Roman" w:cs="Times New Roman"/>
              </w:rPr>
            </w:pPr>
          </w:p>
        </w:tc>
      </w:tr>
    </w:tbl>
    <w:p w14:paraId="2FFAC16B" w14:textId="77777777" w:rsidR="00C07865" w:rsidRPr="009C6CAC" w:rsidRDefault="00C07865" w:rsidP="00C07865">
      <w:pPr>
        <w:spacing w:after="120" w:line="276" w:lineRule="auto"/>
        <w:jc w:val="both"/>
        <w:rPr>
          <w:rFonts w:ascii="Times New Roman" w:hAnsi="Times New Roman" w:cs="Times New Roman"/>
          <w:sz w:val="24"/>
          <w:szCs w:val="24"/>
        </w:rPr>
      </w:pPr>
    </w:p>
    <w:p w14:paraId="41DB048B"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(6) Kağıt Üretimi ve İlişkili Prosesler İçin MET</w:t>
      </w:r>
    </w:p>
    <w:p w14:paraId="0A4A2273"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Bu bölümde sunulan MET sonuçları; tüm entegre olmayan kağıt fabrikaları, karton fabrikaları ve entegre kraft, sülfit, CTMP ve CMP fabrikalarının kağıt ve karton üretimi yapan bölümleri için uygulanabilir.</w:t>
      </w:r>
    </w:p>
    <w:p w14:paraId="59185EC2" w14:textId="77777777" w:rsidR="00C07865" w:rsidRPr="009C6CAC" w:rsidRDefault="00C07865" w:rsidP="00C07865">
      <w:pPr>
        <w:spacing w:after="120" w:line="276" w:lineRule="auto"/>
        <w:jc w:val="both"/>
        <w:rPr>
          <w:rFonts w:ascii="Times New Roman" w:hAnsi="Times New Roman" w:cs="Times New Roman"/>
          <w:sz w:val="24"/>
          <w:szCs w:val="24"/>
        </w:rPr>
      </w:pPr>
      <w:r w:rsidRPr="0082590D">
        <w:rPr>
          <w:rFonts w:ascii="Times New Roman" w:hAnsi="Times New Roman" w:cs="Times New Roman"/>
          <w:sz w:val="24"/>
          <w:szCs w:val="24"/>
        </w:rPr>
        <w:t>MET 49</w:t>
      </w:r>
      <w:r w:rsidRPr="00216B91">
        <w:rPr>
          <w:rFonts w:ascii="Times New Roman" w:hAnsi="Times New Roman" w:cs="Times New Roman"/>
          <w:sz w:val="24"/>
          <w:szCs w:val="24"/>
        </w:rPr>
        <w:t xml:space="preserve">, </w:t>
      </w:r>
      <w:r w:rsidRPr="0082590D">
        <w:rPr>
          <w:rFonts w:ascii="Times New Roman" w:hAnsi="Times New Roman" w:cs="Times New Roman"/>
          <w:sz w:val="24"/>
          <w:szCs w:val="24"/>
        </w:rPr>
        <w:t>MET 51</w:t>
      </w:r>
      <w:r w:rsidRPr="00216B91">
        <w:rPr>
          <w:rFonts w:ascii="Times New Roman" w:hAnsi="Times New Roman" w:cs="Times New Roman"/>
          <w:sz w:val="24"/>
          <w:szCs w:val="24"/>
        </w:rPr>
        <w:t xml:space="preserve">, </w:t>
      </w:r>
      <w:r w:rsidRPr="0082590D">
        <w:rPr>
          <w:rFonts w:ascii="Times New Roman" w:hAnsi="Times New Roman" w:cs="Times New Roman"/>
          <w:sz w:val="24"/>
          <w:szCs w:val="24"/>
        </w:rPr>
        <w:t>MET 52(c)</w:t>
      </w:r>
      <w:r w:rsidRPr="00216B91">
        <w:rPr>
          <w:rFonts w:ascii="Times New Roman" w:hAnsi="Times New Roman" w:cs="Times New Roman"/>
          <w:sz w:val="24"/>
          <w:szCs w:val="24"/>
        </w:rPr>
        <w:t xml:space="preserve"> ve </w:t>
      </w:r>
      <w:r w:rsidRPr="0082590D">
        <w:rPr>
          <w:rFonts w:ascii="Times New Roman" w:hAnsi="Times New Roman" w:cs="Times New Roman"/>
          <w:sz w:val="24"/>
          <w:szCs w:val="24"/>
        </w:rPr>
        <w:t>MET 53</w:t>
      </w:r>
      <w:r w:rsidRPr="00216B91">
        <w:rPr>
          <w:rFonts w:ascii="Times New Roman" w:hAnsi="Times New Roman" w:cs="Times New Roman"/>
          <w:sz w:val="24"/>
          <w:szCs w:val="24"/>
        </w:rPr>
        <w:t>, tüm</w:t>
      </w:r>
      <w:r w:rsidRPr="009C6CAC">
        <w:rPr>
          <w:rFonts w:ascii="Times New Roman" w:hAnsi="Times New Roman" w:cs="Times New Roman"/>
          <w:sz w:val="24"/>
          <w:szCs w:val="24"/>
        </w:rPr>
        <w:t xml:space="preserve"> entegre kağıt ve karton fabrikaları için uygulanabilir.</w:t>
      </w:r>
    </w:p>
    <w:p w14:paraId="16F80F2C"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Entegre kraft, sülfit, CTMP ve CMP kağıt hamuru ve kağıt fabrikaları için, bu bölümde sunulan MET sonuçlarına ek olarak kağıt hamuru üretimi için prosese özel MET de geçerlidir.</w:t>
      </w:r>
    </w:p>
    <w:p w14:paraId="456AC488"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(6.1) Atık Su ve Suya Emisyonlar</w:t>
      </w:r>
    </w:p>
    <w:p w14:paraId="2C025C11"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47:</w:t>
      </w:r>
      <w:r w:rsidRPr="009C6CAC">
        <w:rPr>
          <w:rFonts w:ascii="Times New Roman" w:hAnsi="Times New Roman" w:cs="Times New Roman"/>
          <w:sz w:val="24"/>
          <w:szCs w:val="24"/>
        </w:rPr>
        <w:t xml:space="preserve"> Atık su oluşumunu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4179"/>
        <w:gridCol w:w="4179"/>
      </w:tblGrid>
      <w:tr w:rsidR="00C07865" w:rsidRPr="003526A3" w14:paraId="0924B82D" w14:textId="77777777" w:rsidTr="000D79D6">
        <w:trPr>
          <w:tblHeader/>
          <w:jc w:val="center"/>
        </w:trPr>
        <w:tc>
          <w:tcPr>
            <w:tcW w:w="704" w:type="dxa"/>
            <w:vAlign w:val="center"/>
          </w:tcPr>
          <w:p w14:paraId="7192B6AA" w14:textId="77777777" w:rsidR="00C07865" w:rsidRPr="003526A3" w:rsidRDefault="00C07865" w:rsidP="000D79D6">
            <w:pPr>
              <w:jc w:val="center"/>
              <w:rPr>
                <w:rFonts w:ascii="Times New Roman" w:hAnsi="Times New Roman" w:cs="Times New Roman"/>
                <w:b/>
                <w:bCs/>
              </w:rPr>
            </w:pPr>
          </w:p>
        </w:tc>
        <w:tc>
          <w:tcPr>
            <w:tcW w:w="4179" w:type="dxa"/>
            <w:vAlign w:val="center"/>
          </w:tcPr>
          <w:p w14:paraId="24768455"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4179" w:type="dxa"/>
            <w:vAlign w:val="center"/>
          </w:tcPr>
          <w:p w14:paraId="71BF6BF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7A9954E2" w14:textId="77777777" w:rsidTr="000D79D6">
        <w:trPr>
          <w:jc w:val="center"/>
        </w:trPr>
        <w:tc>
          <w:tcPr>
            <w:tcW w:w="704" w:type="dxa"/>
            <w:vAlign w:val="center"/>
          </w:tcPr>
          <w:p w14:paraId="60BA3E0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4179" w:type="dxa"/>
            <w:vAlign w:val="center"/>
          </w:tcPr>
          <w:p w14:paraId="63EBA9A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Tank ve haznelerin optimum tasarımı ve inşası</w:t>
            </w:r>
          </w:p>
        </w:tc>
        <w:tc>
          <w:tcPr>
            <w:tcW w:w="4179" w:type="dxa"/>
            <w:vAlign w:val="center"/>
          </w:tcPr>
          <w:p w14:paraId="62D759B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Yeni tesislere ve büyük bir yenileme durumunda mevcut tesislere uygulanabilir.</w:t>
            </w:r>
          </w:p>
        </w:tc>
      </w:tr>
      <w:tr w:rsidR="00C07865" w:rsidRPr="003526A3" w14:paraId="4E701F91" w14:textId="77777777" w:rsidTr="000D79D6">
        <w:trPr>
          <w:jc w:val="center"/>
        </w:trPr>
        <w:tc>
          <w:tcPr>
            <w:tcW w:w="704" w:type="dxa"/>
            <w:vAlign w:val="center"/>
          </w:tcPr>
          <w:p w14:paraId="675A640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4179" w:type="dxa"/>
            <w:vAlign w:val="center"/>
          </w:tcPr>
          <w:p w14:paraId="11BC393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Lif ve dolgu maddesi geri kazanımı ile beyaz su arıtımı</w:t>
            </w:r>
          </w:p>
        </w:tc>
        <w:tc>
          <w:tcPr>
            <w:tcW w:w="4179" w:type="dxa"/>
            <w:vAlign w:val="center"/>
          </w:tcPr>
          <w:p w14:paraId="7CEA955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158EA98D" w14:textId="77777777" w:rsidTr="000D79D6">
        <w:trPr>
          <w:jc w:val="center"/>
        </w:trPr>
        <w:tc>
          <w:tcPr>
            <w:tcW w:w="704" w:type="dxa"/>
            <w:vAlign w:val="center"/>
          </w:tcPr>
          <w:p w14:paraId="3E77EC5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4179" w:type="dxa"/>
            <w:vAlign w:val="center"/>
          </w:tcPr>
          <w:p w14:paraId="19B2D0A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Su resirkülasyonu</w:t>
            </w:r>
          </w:p>
        </w:tc>
        <w:tc>
          <w:tcPr>
            <w:tcW w:w="4179" w:type="dxa"/>
            <w:vAlign w:val="center"/>
          </w:tcPr>
          <w:p w14:paraId="7BFC351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 Çözünmüş organik, inorganik ve koloit maddeler, elek bölümünde suyun yeniden kullanımını kısıtlayabilir.</w:t>
            </w:r>
          </w:p>
        </w:tc>
      </w:tr>
      <w:tr w:rsidR="00C07865" w:rsidRPr="003526A3" w14:paraId="64E50043" w14:textId="77777777" w:rsidTr="000D79D6">
        <w:trPr>
          <w:jc w:val="center"/>
        </w:trPr>
        <w:tc>
          <w:tcPr>
            <w:tcW w:w="704" w:type="dxa"/>
            <w:vAlign w:val="center"/>
          </w:tcPr>
          <w:p w14:paraId="1D0B3E3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4179" w:type="dxa"/>
            <w:vAlign w:val="center"/>
          </w:tcPr>
          <w:p w14:paraId="535DD1F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Kağıt makinesindeki su çıkışlarının optimizasyonu</w:t>
            </w:r>
          </w:p>
        </w:tc>
        <w:tc>
          <w:tcPr>
            <w:tcW w:w="4179" w:type="dxa"/>
            <w:vAlign w:val="center"/>
          </w:tcPr>
          <w:p w14:paraId="514BD2D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bl>
    <w:p w14:paraId="4047E8F9" w14:textId="77777777" w:rsidR="00C07865" w:rsidRPr="009C6CAC" w:rsidRDefault="00C07865" w:rsidP="00C07865">
      <w:pPr>
        <w:spacing w:after="120" w:line="276" w:lineRule="auto"/>
        <w:jc w:val="both"/>
        <w:rPr>
          <w:rFonts w:ascii="Times New Roman" w:hAnsi="Times New Roman" w:cs="Times New Roman"/>
          <w:sz w:val="24"/>
          <w:szCs w:val="24"/>
        </w:rPr>
      </w:pPr>
    </w:p>
    <w:p w14:paraId="21C1821C"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lastRenderedPageBreak/>
        <w:t>MET 48:</w:t>
      </w:r>
      <w:r w:rsidRPr="009C6CAC">
        <w:rPr>
          <w:rFonts w:ascii="Times New Roman" w:hAnsi="Times New Roman" w:cs="Times New Roman"/>
          <w:sz w:val="24"/>
          <w:szCs w:val="24"/>
        </w:rPr>
        <w:t xml:space="preserve"> Tatlı su kullanımını ve özel kağıt fabrikalarından kaynaklanan suya emisyonları azaltmak için, aşağıdaki tekniklerin bir kombinasyonu kullanılır.</w:t>
      </w:r>
    </w:p>
    <w:tbl>
      <w:tblPr>
        <w:tblStyle w:val="TabloKlavuzu"/>
        <w:tblW w:w="0" w:type="auto"/>
        <w:jc w:val="center"/>
        <w:tblLook w:val="04A0" w:firstRow="1" w:lastRow="0" w:firstColumn="1" w:lastColumn="0" w:noHBand="0" w:noVBand="1"/>
      </w:tblPr>
      <w:tblGrid>
        <w:gridCol w:w="536"/>
        <w:gridCol w:w="2294"/>
        <w:gridCol w:w="3544"/>
        <w:gridCol w:w="2688"/>
      </w:tblGrid>
      <w:tr w:rsidR="00C07865" w:rsidRPr="003526A3" w14:paraId="5553BA9F" w14:textId="77777777" w:rsidTr="000D79D6">
        <w:trPr>
          <w:tblHeader/>
          <w:jc w:val="center"/>
        </w:trPr>
        <w:tc>
          <w:tcPr>
            <w:tcW w:w="536" w:type="dxa"/>
            <w:vAlign w:val="center"/>
          </w:tcPr>
          <w:p w14:paraId="17A923FF" w14:textId="77777777" w:rsidR="00C07865" w:rsidRPr="003526A3" w:rsidRDefault="00C07865" w:rsidP="000D79D6">
            <w:pPr>
              <w:jc w:val="center"/>
              <w:rPr>
                <w:rFonts w:ascii="Times New Roman" w:hAnsi="Times New Roman" w:cs="Times New Roman"/>
                <w:b/>
                <w:bCs/>
              </w:rPr>
            </w:pPr>
          </w:p>
        </w:tc>
        <w:tc>
          <w:tcPr>
            <w:tcW w:w="2294" w:type="dxa"/>
            <w:vAlign w:val="center"/>
          </w:tcPr>
          <w:p w14:paraId="4ED6AD7A"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3544" w:type="dxa"/>
          </w:tcPr>
          <w:p w14:paraId="1CC9F1D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Açıklama</w:t>
            </w:r>
          </w:p>
        </w:tc>
        <w:tc>
          <w:tcPr>
            <w:tcW w:w="2688" w:type="dxa"/>
            <w:vAlign w:val="center"/>
          </w:tcPr>
          <w:p w14:paraId="0A50B59B"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54EBB7C4" w14:textId="77777777" w:rsidTr="000D79D6">
        <w:trPr>
          <w:jc w:val="center"/>
        </w:trPr>
        <w:tc>
          <w:tcPr>
            <w:tcW w:w="536" w:type="dxa"/>
            <w:vAlign w:val="center"/>
          </w:tcPr>
          <w:p w14:paraId="082B5243"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2294" w:type="dxa"/>
            <w:vAlign w:val="center"/>
          </w:tcPr>
          <w:p w14:paraId="00FF886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Kağıt üretim planlamasının iyileştirilmesi</w:t>
            </w:r>
          </w:p>
        </w:tc>
        <w:tc>
          <w:tcPr>
            <w:tcW w:w="3544" w:type="dxa"/>
            <w:vAlign w:val="center"/>
          </w:tcPr>
          <w:p w14:paraId="66212D9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Üretim partisi kombinasyon ve uzunluğunu optimize etmek için iyileştirilmiş planlama</w:t>
            </w:r>
          </w:p>
        </w:tc>
        <w:tc>
          <w:tcPr>
            <w:tcW w:w="2688" w:type="dxa"/>
            <w:vMerge w:val="restart"/>
            <w:vAlign w:val="center"/>
          </w:tcPr>
          <w:p w14:paraId="21DDCC1A"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264EFBB2" w14:textId="77777777" w:rsidTr="000D79D6">
        <w:trPr>
          <w:jc w:val="center"/>
        </w:trPr>
        <w:tc>
          <w:tcPr>
            <w:tcW w:w="536" w:type="dxa"/>
            <w:vAlign w:val="center"/>
          </w:tcPr>
          <w:p w14:paraId="71F5CE7D"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2294" w:type="dxa"/>
            <w:vAlign w:val="center"/>
          </w:tcPr>
          <w:p w14:paraId="7DFF8E0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Değişikliklere uyum için su devrelerinin yönetimi</w:t>
            </w:r>
          </w:p>
        </w:tc>
        <w:tc>
          <w:tcPr>
            <w:tcW w:w="3544" w:type="dxa"/>
            <w:vAlign w:val="center"/>
          </w:tcPr>
          <w:p w14:paraId="4FF80BF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Kağıt sınıflarındaki, renklerdeki ve kullanılan kimyasal katkı maddelerindeki değişikliklere uyum sağlanabilmesi için su devrelerinin düzenlenmesi</w:t>
            </w:r>
          </w:p>
        </w:tc>
        <w:tc>
          <w:tcPr>
            <w:tcW w:w="2688" w:type="dxa"/>
            <w:vMerge/>
            <w:vAlign w:val="center"/>
          </w:tcPr>
          <w:p w14:paraId="79F0CF55" w14:textId="77777777" w:rsidR="00C07865" w:rsidRPr="003526A3" w:rsidRDefault="00C07865" w:rsidP="000D79D6">
            <w:pPr>
              <w:jc w:val="both"/>
              <w:rPr>
                <w:rFonts w:ascii="Times New Roman" w:hAnsi="Times New Roman" w:cs="Times New Roman"/>
              </w:rPr>
            </w:pPr>
          </w:p>
        </w:tc>
      </w:tr>
      <w:tr w:rsidR="00C07865" w:rsidRPr="003526A3" w14:paraId="3334B5A1" w14:textId="77777777" w:rsidTr="000D79D6">
        <w:trPr>
          <w:jc w:val="center"/>
        </w:trPr>
        <w:tc>
          <w:tcPr>
            <w:tcW w:w="536" w:type="dxa"/>
            <w:vAlign w:val="center"/>
          </w:tcPr>
          <w:p w14:paraId="3F1AB36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2294" w:type="dxa"/>
            <w:vAlign w:val="center"/>
          </w:tcPr>
          <w:p w14:paraId="7E616B2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Değişikliklere uyum sağlayacak atık su arıtma tesisi</w:t>
            </w:r>
          </w:p>
        </w:tc>
        <w:tc>
          <w:tcPr>
            <w:tcW w:w="3544" w:type="dxa"/>
            <w:vAlign w:val="center"/>
          </w:tcPr>
          <w:p w14:paraId="7A58B73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Akışlardaki değişikliklere, düşük konsantrasyonlara ve kimyasal katkı maddelerinin değişen tür ve miktarlarına uyum sağlanabilmesi için atık su arıtımının düzenlenmesi</w:t>
            </w:r>
          </w:p>
        </w:tc>
        <w:tc>
          <w:tcPr>
            <w:tcW w:w="2688" w:type="dxa"/>
            <w:vMerge/>
            <w:vAlign w:val="center"/>
          </w:tcPr>
          <w:p w14:paraId="3879C985" w14:textId="77777777" w:rsidR="00C07865" w:rsidRPr="003526A3" w:rsidRDefault="00C07865" w:rsidP="000D79D6">
            <w:pPr>
              <w:jc w:val="both"/>
              <w:rPr>
                <w:rFonts w:ascii="Times New Roman" w:hAnsi="Times New Roman" w:cs="Times New Roman"/>
              </w:rPr>
            </w:pPr>
          </w:p>
        </w:tc>
      </w:tr>
      <w:tr w:rsidR="00C07865" w:rsidRPr="003526A3" w14:paraId="04B2BA7E" w14:textId="77777777" w:rsidTr="000D79D6">
        <w:trPr>
          <w:jc w:val="center"/>
        </w:trPr>
        <w:tc>
          <w:tcPr>
            <w:tcW w:w="536" w:type="dxa"/>
            <w:vAlign w:val="center"/>
          </w:tcPr>
          <w:p w14:paraId="0828B1D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5838" w:type="dxa"/>
            <w:gridSpan w:val="2"/>
            <w:vAlign w:val="center"/>
          </w:tcPr>
          <w:p w14:paraId="1C3A479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Döküntü sistemi ile hazne kapasitelerinin düzenlenmesi</w:t>
            </w:r>
          </w:p>
        </w:tc>
        <w:tc>
          <w:tcPr>
            <w:tcW w:w="2688" w:type="dxa"/>
            <w:vMerge/>
            <w:vAlign w:val="center"/>
          </w:tcPr>
          <w:p w14:paraId="02DA1DB7" w14:textId="77777777" w:rsidR="00C07865" w:rsidRPr="003526A3" w:rsidRDefault="00C07865" w:rsidP="000D79D6">
            <w:pPr>
              <w:jc w:val="both"/>
              <w:rPr>
                <w:rFonts w:ascii="Times New Roman" w:hAnsi="Times New Roman" w:cs="Times New Roman"/>
              </w:rPr>
            </w:pPr>
          </w:p>
        </w:tc>
      </w:tr>
      <w:tr w:rsidR="00C07865" w:rsidRPr="003526A3" w14:paraId="28F6C94F" w14:textId="77777777" w:rsidTr="000D79D6">
        <w:trPr>
          <w:jc w:val="center"/>
        </w:trPr>
        <w:tc>
          <w:tcPr>
            <w:tcW w:w="536" w:type="dxa"/>
            <w:vAlign w:val="center"/>
          </w:tcPr>
          <w:p w14:paraId="57A9326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e</w:t>
            </w:r>
          </w:p>
        </w:tc>
        <w:tc>
          <w:tcPr>
            <w:tcW w:w="5838" w:type="dxa"/>
            <w:gridSpan w:val="2"/>
            <w:vAlign w:val="center"/>
          </w:tcPr>
          <w:p w14:paraId="10FFF7A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Per- ve polifloro bileşen içeren veya bunların oluşumuna katkı sağlayan kimyasal katkı maddelerinin (örn. yağ/su geçirmez maddeler) açığa çıkmasının en aza indirilmesi</w:t>
            </w:r>
          </w:p>
        </w:tc>
        <w:tc>
          <w:tcPr>
            <w:tcW w:w="2688" w:type="dxa"/>
            <w:vAlign w:val="center"/>
          </w:tcPr>
          <w:p w14:paraId="46CC5C1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Sadece yağ veya su savar/itici özellikli kağıt üreten tesisler için uygulanabilir.</w:t>
            </w:r>
          </w:p>
        </w:tc>
      </w:tr>
      <w:tr w:rsidR="00C07865" w:rsidRPr="003526A3" w14:paraId="1D664996" w14:textId="77777777" w:rsidTr="000D79D6">
        <w:trPr>
          <w:jc w:val="center"/>
        </w:trPr>
        <w:tc>
          <w:tcPr>
            <w:tcW w:w="536" w:type="dxa"/>
            <w:vAlign w:val="center"/>
          </w:tcPr>
          <w:p w14:paraId="1E95B07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f</w:t>
            </w:r>
          </w:p>
        </w:tc>
        <w:tc>
          <w:tcPr>
            <w:tcW w:w="5838" w:type="dxa"/>
            <w:gridSpan w:val="2"/>
            <w:vAlign w:val="center"/>
          </w:tcPr>
          <w:p w14:paraId="6F9EC99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Düşük AOX içerikli ürün yardımcı maddelerinin kullanılması (örn. epiklor hidrin reçinesi bazlı ıslak mukavemet maddelerinin ikamesi)</w:t>
            </w:r>
          </w:p>
        </w:tc>
        <w:tc>
          <w:tcPr>
            <w:tcW w:w="2688" w:type="dxa"/>
            <w:vAlign w:val="center"/>
          </w:tcPr>
          <w:p w14:paraId="39A8D7A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Sadece yüksek ıslak mukavemetli kağıt sınıfları üreten tesisler için uygulanabilir.</w:t>
            </w:r>
          </w:p>
        </w:tc>
      </w:tr>
    </w:tbl>
    <w:p w14:paraId="7821B523" w14:textId="77777777" w:rsidR="00C07865" w:rsidRPr="009C6CAC" w:rsidRDefault="00C07865" w:rsidP="00C07865">
      <w:pPr>
        <w:spacing w:after="120" w:line="276" w:lineRule="auto"/>
        <w:jc w:val="both"/>
        <w:rPr>
          <w:rFonts w:ascii="Times New Roman" w:hAnsi="Times New Roman" w:cs="Times New Roman"/>
          <w:sz w:val="24"/>
          <w:szCs w:val="24"/>
        </w:rPr>
      </w:pPr>
    </w:p>
    <w:p w14:paraId="402F020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49:</w:t>
      </w:r>
      <w:r w:rsidRPr="009C6CAC">
        <w:rPr>
          <w:rFonts w:ascii="Times New Roman" w:hAnsi="Times New Roman" w:cs="Times New Roman"/>
          <w:sz w:val="24"/>
          <w:szCs w:val="24"/>
        </w:rPr>
        <w:t xml:space="preserve"> Biyolojik atık su arıtımını sekteye uğratabilen kaplama boyası ve bağlayıcılara yönelik emisyon yüklerini azaltmak için, aşağıda verilen (a) tekniği veya, teknik olarak uygulanabilir değil ise, (b) tekniği kullanılır.</w:t>
      </w:r>
    </w:p>
    <w:tbl>
      <w:tblPr>
        <w:tblStyle w:val="TabloKlavuzu"/>
        <w:tblW w:w="0" w:type="auto"/>
        <w:jc w:val="center"/>
        <w:tblLook w:val="04A0" w:firstRow="1" w:lastRow="0" w:firstColumn="1" w:lastColumn="0" w:noHBand="0" w:noVBand="1"/>
      </w:tblPr>
      <w:tblGrid>
        <w:gridCol w:w="536"/>
        <w:gridCol w:w="2294"/>
        <w:gridCol w:w="3544"/>
        <w:gridCol w:w="2688"/>
      </w:tblGrid>
      <w:tr w:rsidR="00C07865" w:rsidRPr="003526A3" w14:paraId="5B599E50" w14:textId="77777777" w:rsidTr="000D79D6">
        <w:trPr>
          <w:tblHeader/>
          <w:jc w:val="center"/>
        </w:trPr>
        <w:tc>
          <w:tcPr>
            <w:tcW w:w="536" w:type="dxa"/>
            <w:vAlign w:val="center"/>
          </w:tcPr>
          <w:p w14:paraId="666D287F" w14:textId="77777777" w:rsidR="00C07865" w:rsidRPr="003526A3" w:rsidRDefault="00C07865" w:rsidP="000D79D6">
            <w:pPr>
              <w:jc w:val="center"/>
              <w:rPr>
                <w:rFonts w:ascii="Times New Roman" w:hAnsi="Times New Roman" w:cs="Times New Roman"/>
                <w:b/>
                <w:bCs/>
              </w:rPr>
            </w:pPr>
          </w:p>
        </w:tc>
        <w:tc>
          <w:tcPr>
            <w:tcW w:w="2294" w:type="dxa"/>
            <w:vAlign w:val="center"/>
          </w:tcPr>
          <w:p w14:paraId="04B7703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3544" w:type="dxa"/>
          </w:tcPr>
          <w:p w14:paraId="0C5802C3"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Açıklama</w:t>
            </w:r>
          </w:p>
        </w:tc>
        <w:tc>
          <w:tcPr>
            <w:tcW w:w="2688" w:type="dxa"/>
            <w:vAlign w:val="center"/>
          </w:tcPr>
          <w:p w14:paraId="276EA917"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3AB7F322" w14:textId="77777777" w:rsidTr="000D79D6">
        <w:trPr>
          <w:jc w:val="center"/>
        </w:trPr>
        <w:tc>
          <w:tcPr>
            <w:tcW w:w="536" w:type="dxa"/>
            <w:vAlign w:val="center"/>
          </w:tcPr>
          <w:p w14:paraId="181B3D6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2294" w:type="dxa"/>
            <w:vAlign w:val="center"/>
          </w:tcPr>
          <w:p w14:paraId="68105AA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Kaplama boyalarının geri kazanımı, renk maddelerinin geri dönüşümü</w:t>
            </w:r>
          </w:p>
        </w:tc>
        <w:tc>
          <w:tcPr>
            <w:tcW w:w="3544" w:type="dxa"/>
            <w:vAlign w:val="center"/>
          </w:tcPr>
          <w:p w14:paraId="5673CE7B"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Kaplama boyası içeren atık sular ayrı toplanır. Kaplama kimyasalları, örneğin aşağıdaki yöntemler ile geri kazanılır:</w:t>
            </w:r>
          </w:p>
          <w:p w14:paraId="33C51588" w14:textId="77777777" w:rsidR="00C07865" w:rsidRPr="003526A3" w:rsidRDefault="00C07865" w:rsidP="000D79D6">
            <w:pPr>
              <w:jc w:val="both"/>
              <w:rPr>
                <w:rFonts w:ascii="Times New Roman" w:hAnsi="Times New Roman" w:cs="Times New Roman"/>
              </w:rPr>
            </w:pPr>
          </w:p>
          <w:p w14:paraId="2AD7DBD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 ultrafiltrasyon;</w:t>
            </w:r>
          </w:p>
          <w:p w14:paraId="361ACF3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(ii) Renk maddelerinin kaplama prosesine geri dönmesi ile eleme-flokülasyon-susuzlaştırma. Berrak su, proseste yeniden kullanılabilir.</w:t>
            </w:r>
          </w:p>
        </w:tc>
        <w:tc>
          <w:tcPr>
            <w:tcW w:w="2688" w:type="dxa"/>
            <w:vAlign w:val="center"/>
          </w:tcPr>
          <w:p w14:paraId="3D8BEBE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Ultrafiltrasyon için uygulanabilirlik, aşağıdaki durumlarda kısıtlanabilir:</w:t>
            </w:r>
          </w:p>
          <w:p w14:paraId="3BE52FD1" w14:textId="77777777" w:rsidR="00C07865" w:rsidRPr="003526A3" w:rsidRDefault="00C07865" w:rsidP="000D79D6">
            <w:pPr>
              <w:jc w:val="both"/>
              <w:rPr>
                <w:rFonts w:ascii="Times New Roman" w:hAnsi="Times New Roman" w:cs="Times New Roman"/>
              </w:rPr>
            </w:pPr>
          </w:p>
          <w:p w14:paraId="6268424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atık su hacimleri çok düşük olduğunda</w:t>
            </w:r>
          </w:p>
          <w:p w14:paraId="54C3D0CC"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kaplamadan kaynaklanan atık sular, tesisin çeşitli noktalarında üretildiğinde</w:t>
            </w:r>
          </w:p>
          <w:p w14:paraId="772DF99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kaplamada fazla sayıda değişiklik meydana geldiğinde veya</w:t>
            </w:r>
          </w:p>
          <w:p w14:paraId="39CE4EF6"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farklı kaplama boyası reçeteleri birbiri ile uyumsuz olduğunda</w:t>
            </w:r>
          </w:p>
        </w:tc>
      </w:tr>
      <w:tr w:rsidR="00C07865" w:rsidRPr="003526A3" w14:paraId="677627A1" w14:textId="77777777" w:rsidTr="000D79D6">
        <w:trPr>
          <w:jc w:val="center"/>
        </w:trPr>
        <w:tc>
          <w:tcPr>
            <w:tcW w:w="536" w:type="dxa"/>
            <w:vAlign w:val="center"/>
          </w:tcPr>
          <w:p w14:paraId="3DF728E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2294" w:type="dxa"/>
            <w:vAlign w:val="center"/>
          </w:tcPr>
          <w:p w14:paraId="4DEA1A8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Kaplama boyası içeren atık suların ön arıtımı</w:t>
            </w:r>
          </w:p>
        </w:tc>
        <w:tc>
          <w:tcPr>
            <w:tcW w:w="3544" w:type="dxa"/>
            <w:vAlign w:val="center"/>
          </w:tcPr>
          <w:p w14:paraId="2908DF1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Kaplama boyası içeren atık sular, örneğin flokülasyon ile arıtılarak sonraki biyolojik atık su arıtma aşaması korunur.</w:t>
            </w:r>
          </w:p>
        </w:tc>
        <w:tc>
          <w:tcPr>
            <w:tcW w:w="2688" w:type="dxa"/>
            <w:vAlign w:val="center"/>
          </w:tcPr>
          <w:p w14:paraId="5462A58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bl>
    <w:p w14:paraId="3ADB2CAC" w14:textId="77777777" w:rsidR="00C07865" w:rsidRPr="009C6CAC" w:rsidRDefault="00C07865" w:rsidP="00C07865">
      <w:pPr>
        <w:spacing w:after="120" w:line="276" w:lineRule="auto"/>
        <w:jc w:val="both"/>
        <w:rPr>
          <w:rFonts w:ascii="Times New Roman" w:hAnsi="Times New Roman" w:cs="Times New Roman"/>
          <w:sz w:val="24"/>
          <w:szCs w:val="24"/>
        </w:rPr>
      </w:pPr>
    </w:p>
    <w:p w14:paraId="054D8C84"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lastRenderedPageBreak/>
        <w:t>MET 50:</w:t>
      </w:r>
      <w:r w:rsidRPr="009C6CAC">
        <w:rPr>
          <w:rFonts w:ascii="Times New Roman" w:hAnsi="Times New Roman" w:cs="Times New Roman"/>
          <w:sz w:val="24"/>
          <w:szCs w:val="24"/>
        </w:rPr>
        <w:t xml:space="preserve"> Tüm fabrikadan alıcı sulara olan atık suyu önlemek ve kirlilik yükünü azaltmak için MET 13, MET 14, MET 15, MET 47, MET 48 ve MET 49’da belirtilen tekniklerin uygun bir kombinasyonu kullanılır.</w:t>
      </w:r>
    </w:p>
    <w:p w14:paraId="0B14691E" w14:textId="77777777" w:rsidR="00C07865" w:rsidRPr="009C6CAC" w:rsidRDefault="00C07865" w:rsidP="00C07865">
      <w:pPr>
        <w:spacing w:after="120" w:line="276" w:lineRule="auto"/>
        <w:jc w:val="both"/>
        <w:rPr>
          <w:rFonts w:ascii="Times New Roman" w:hAnsi="Times New Roman" w:cs="Times New Roman"/>
          <w:b/>
          <w:bCs/>
          <w:sz w:val="24"/>
          <w:szCs w:val="24"/>
        </w:rPr>
      </w:pPr>
      <w:r w:rsidRPr="009C6CAC">
        <w:rPr>
          <w:rFonts w:ascii="Times New Roman" w:hAnsi="Times New Roman" w:cs="Times New Roman"/>
          <w:b/>
          <w:bCs/>
          <w:sz w:val="24"/>
          <w:szCs w:val="24"/>
        </w:rPr>
        <w:t>MET ile İlişkili Emisyon Seviyeleri</w:t>
      </w:r>
    </w:p>
    <w:p w14:paraId="29114A1D"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Tablo 20 ve Tablo 21’e bakınız.</w:t>
      </w:r>
    </w:p>
    <w:p w14:paraId="17550671"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Tablo 20 ve Tablo 21’de verilen MET-İES’ler; entegre kraft, sülfit, CTMP ve CMP kağıt hamuru ve kağıt fabrikalarının kağıt ve karton üretim prosesleri için de geçerlidir.</w:t>
      </w:r>
    </w:p>
    <w:p w14:paraId="33E4D09A"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Entegre olmayan kağıt ve karton fabrikaları için referans atık su akışı, MET 5’te belirtilmiştir.</w:t>
      </w:r>
    </w:p>
    <w:p w14:paraId="6C237C95"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20</w:t>
      </w:r>
    </w:p>
    <w:p w14:paraId="286F5BC3"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Entegre olmayan kağıt ve karton (özel kağıt haricindeki) fabrikasından alıcı sulara olan doğrudan atık su deşarjlarına yönelik MET-İES’ler</w:t>
      </w:r>
    </w:p>
    <w:tbl>
      <w:tblPr>
        <w:tblStyle w:val="TabloKlavuzu"/>
        <w:tblW w:w="0" w:type="auto"/>
        <w:tblLook w:val="04A0" w:firstRow="1" w:lastRow="0" w:firstColumn="1" w:lastColumn="0" w:noHBand="0" w:noVBand="1"/>
      </w:tblPr>
      <w:tblGrid>
        <w:gridCol w:w="4531"/>
        <w:gridCol w:w="4531"/>
      </w:tblGrid>
      <w:tr w:rsidR="00C07865" w:rsidRPr="003526A3" w14:paraId="126975FE" w14:textId="77777777" w:rsidTr="0082590D">
        <w:tc>
          <w:tcPr>
            <w:tcW w:w="4531" w:type="dxa"/>
          </w:tcPr>
          <w:p w14:paraId="53201697"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4531" w:type="dxa"/>
          </w:tcPr>
          <w:p w14:paraId="110F7507"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19093CAD"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kg/t</w:t>
            </w:r>
          </w:p>
        </w:tc>
      </w:tr>
      <w:tr w:rsidR="00C07865" w:rsidRPr="003526A3" w14:paraId="64BA9B87" w14:textId="77777777" w:rsidTr="0082590D">
        <w:tc>
          <w:tcPr>
            <w:tcW w:w="4531" w:type="dxa"/>
          </w:tcPr>
          <w:p w14:paraId="72E04D2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w:t>
            </w:r>
          </w:p>
        </w:tc>
        <w:tc>
          <w:tcPr>
            <w:tcW w:w="4531" w:type="dxa"/>
          </w:tcPr>
          <w:p w14:paraId="21FC3CF1"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0,15-1,5 (</w:t>
            </w:r>
            <w:r w:rsidRPr="003526A3">
              <w:rPr>
                <w:rFonts w:ascii="Times New Roman" w:hAnsi="Times New Roman" w:cs="Times New Roman"/>
                <w:vertAlign w:val="superscript"/>
              </w:rPr>
              <w:t>1</w:t>
            </w:r>
            <w:r w:rsidRPr="003526A3">
              <w:rPr>
                <w:rFonts w:ascii="Times New Roman" w:hAnsi="Times New Roman" w:cs="Times New Roman"/>
              </w:rPr>
              <w:t>)</w:t>
            </w:r>
          </w:p>
        </w:tc>
      </w:tr>
      <w:tr w:rsidR="00C07865" w:rsidRPr="003526A3" w14:paraId="174E80AF" w14:textId="77777777" w:rsidTr="0082590D">
        <w:tc>
          <w:tcPr>
            <w:tcW w:w="4531" w:type="dxa"/>
          </w:tcPr>
          <w:p w14:paraId="65ED69CD"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Maddeler (TSS)</w:t>
            </w:r>
          </w:p>
        </w:tc>
        <w:tc>
          <w:tcPr>
            <w:tcW w:w="4531" w:type="dxa"/>
          </w:tcPr>
          <w:p w14:paraId="6000BC8E"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0,02-0,35</w:t>
            </w:r>
          </w:p>
        </w:tc>
      </w:tr>
      <w:tr w:rsidR="00C07865" w:rsidRPr="003526A3" w14:paraId="78FAB584" w14:textId="77777777" w:rsidTr="0082590D">
        <w:tc>
          <w:tcPr>
            <w:tcW w:w="4531" w:type="dxa"/>
          </w:tcPr>
          <w:p w14:paraId="39AB7F0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4531" w:type="dxa"/>
          </w:tcPr>
          <w:p w14:paraId="03353E5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0,01-0,1</w:t>
            </w:r>
          </w:p>
          <w:p w14:paraId="2CA60AD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0,01-0,15 (kağıt mendil için)</w:t>
            </w:r>
          </w:p>
        </w:tc>
      </w:tr>
      <w:tr w:rsidR="00C07865" w:rsidRPr="003526A3" w14:paraId="3BD71FC3" w14:textId="77777777" w:rsidTr="0082590D">
        <w:tc>
          <w:tcPr>
            <w:tcW w:w="4531" w:type="dxa"/>
          </w:tcPr>
          <w:p w14:paraId="451290E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4531" w:type="dxa"/>
          </w:tcPr>
          <w:p w14:paraId="744CA80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0,003-0,012</w:t>
            </w:r>
          </w:p>
        </w:tc>
      </w:tr>
      <w:tr w:rsidR="00C07865" w:rsidRPr="003526A3" w14:paraId="38996348" w14:textId="77777777" w:rsidTr="0082590D">
        <w:tc>
          <w:tcPr>
            <w:tcW w:w="4531" w:type="dxa"/>
          </w:tcPr>
          <w:p w14:paraId="46EA423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Adsorplanabilir Organik Bağlı Halojenler (AOX)</w:t>
            </w:r>
          </w:p>
        </w:tc>
        <w:tc>
          <w:tcPr>
            <w:tcW w:w="4531" w:type="dxa"/>
          </w:tcPr>
          <w:p w14:paraId="23FA678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0,05</w:t>
            </w:r>
          </w:p>
          <w:p w14:paraId="5861BCEB"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(dekor kağıdı ve ıslak mukavemetli kağıt için)</w:t>
            </w:r>
          </w:p>
        </w:tc>
      </w:tr>
      <w:tr w:rsidR="00C07865" w:rsidRPr="003526A3" w14:paraId="7DA11B6A" w14:textId="77777777" w:rsidTr="0082590D">
        <w:tc>
          <w:tcPr>
            <w:tcW w:w="9062" w:type="dxa"/>
            <w:gridSpan w:val="2"/>
          </w:tcPr>
          <w:p w14:paraId="6F8287D0"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Grafik kağıdı fabrikaları için aralığın üst sınırı, kaplama prosesi için nişasta kullanan kağıt üretim fabrikalarını ifade eder.</w:t>
            </w:r>
          </w:p>
        </w:tc>
      </w:tr>
    </w:tbl>
    <w:p w14:paraId="28A59E3B" w14:textId="77777777" w:rsidR="00C07865" w:rsidRPr="009C6CAC" w:rsidRDefault="00C07865" w:rsidP="00C07865">
      <w:pPr>
        <w:spacing w:after="120" w:line="276" w:lineRule="auto"/>
        <w:jc w:val="both"/>
        <w:rPr>
          <w:rFonts w:ascii="Times New Roman" w:hAnsi="Times New Roman" w:cs="Times New Roman"/>
          <w:sz w:val="24"/>
          <w:szCs w:val="24"/>
        </w:rPr>
      </w:pPr>
    </w:p>
    <w:p w14:paraId="74B4067C"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sz w:val="24"/>
          <w:szCs w:val="24"/>
        </w:rPr>
        <w:t>Arıtılmış atık sulardaki BO</w:t>
      </w:r>
      <w:r w:rsidR="00C91F89">
        <w:rPr>
          <w:rFonts w:ascii="Times New Roman" w:hAnsi="Times New Roman" w:cs="Times New Roman"/>
          <w:sz w:val="24"/>
          <w:szCs w:val="24"/>
        </w:rPr>
        <w:t>İ</w:t>
      </w:r>
      <w:r w:rsidRPr="009C6CAC">
        <w:rPr>
          <w:rFonts w:ascii="Times New Roman" w:hAnsi="Times New Roman" w:cs="Times New Roman"/>
          <w:sz w:val="24"/>
          <w:szCs w:val="24"/>
        </w:rPr>
        <w:t xml:space="preserve"> konsantrasyonlarının düşük olması beklenir (24 saatlik kompozit numune olarak yaklaşık 25 mg/L).</w:t>
      </w:r>
    </w:p>
    <w:p w14:paraId="3969C712" w14:textId="77777777" w:rsidR="00C07865" w:rsidRPr="009C6CAC" w:rsidRDefault="00C07865" w:rsidP="00C07865">
      <w:pPr>
        <w:spacing w:after="120" w:line="276" w:lineRule="auto"/>
        <w:jc w:val="both"/>
        <w:rPr>
          <w:rFonts w:ascii="Times New Roman" w:hAnsi="Times New Roman" w:cs="Times New Roman"/>
          <w:sz w:val="24"/>
          <w:szCs w:val="24"/>
        </w:rPr>
      </w:pPr>
    </w:p>
    <w:p w14:paraId="2A06D97A" w14:textId="77777777" w:rsidR="00C07865" w:rsidRPr="009C6CAC" w:rsidRDefault="00C07865" w:rsidP="00C07865">
      <w:pPr>
        <w:spacing w:after="120" w:line="276" w:lineRule="auto"/>
        <w:jc w:val="center"/>
        <w:rPr>
          <w:rFonts w:ascii="Times New Roman" w:hAnsi="Times New Roman" w:cs="Times New Roman"/>
          <w:i/>
          <w:iCs/>
          <w:sz w:val="24"/>
          <w:szCs w:val="24"/>
        </w:rPr>
      </w:pPr>
      <w:r w:rsidRPr="009C6CAC">
        <w:rPr>
          <w:rFonts w:ascii="Times New Roman" w:hAnsi="Times New Roman" w:cs="Times New Roman"/>
          <w:i/>
          <w:iCs/>
          <w:sz w:val="24"/>
          <w:szCs w:val="24"/>
        </w:rPr>
        <w:t>Tablo 21</w:t>
      </w:r>
    </w:p>
    <w:p w14:paraId="63D1F24A" w14:textId="77777777" w:rsidR="00C07865" w:rsidRPr="009C6CAC" w:rsidRDefault="00C07865" w:rsidP="00C07865">
      <w:pPr>
        <w:spacing w:after="120" w:line="276" w:lineRule="auto"/>
        <w:jc w:val="center"/>
        <w:rPr>
          <w:rFonts w:ascii="Times New Roman" w:hAnsi="Times New Roman" w:cs="Times New Roman"/>
          <w:b/>
          <w:bCs/>
          <w:sz w:val="24"/>
          <w:szCs w:val="24"/>
        </w:rPr>
      </w:pPr>
      <w:r w:rsidRPr="009C6CAC">
        <w:rPr>
          <w:rFonts w:ascii="Times New Roman" w:hAnsi="Times New Roman" w:cs="Times New Roman"/>
          <w:b/>
          <w:bCs/>
          <w:sz w:val="24"/>
          <w:szCs w:val="24"/>
        </w:rPr>
        <w:t>Entegre olmayan özel kağıt fabrikasından alıcı sulara olan doğrudan atık su deşarjlarına yönelik MET-İES’ler</w:t>
      </w:r>
    </w:p>
    <w:tbl>
      <w:tblPr>
        <w:tblStyle w:val="TabloKlavuzu"/>
        <w:tblW w:w="0" w:type="auto"/>
        <w:tblLook w:val="04A0" w:firstRow="1" w:lastRow="0" w:firstColumn="1" w:lastColumn="0" w:noHBand="0" w:noVBand="1"/>
      </w:tblPr>
      <w:tblGrid>
        <w:gridCol w:w="4531"/>
        <w:gridCol w:w="4531"/>
      </w:tblGrid>
      <w:tr w:rsidR="00C07865" w:rsidRPr="003526A3" w14:paraId="3BF9E743" w14:textId="77777777" w:rsidTr="0082590D">
        <w:tc>
          <w:tcPr>
            <w:tcW w:w="4531" w:type="dxa"/>
          </w:tcPr>
          <w:p w14:paraId="0848D9FA"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Parametre</w:t>
            </w:r>
          </w:p>
        </w:tc>
        <w:tc>
          <w:tcPr>
            <w:tcW w:w="4531" w:type="dxa"/>
          </w:tcPr>
          <w:p w14:paraId="6DDEFE2B"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Yıllık Ortalama</w:t>
            </w:r>
          </w:p>
          <w:p w14:paraId="1EC9BA39"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kg/t (</w:t>
            </w:r>
            <w:r w:rsidRPr="003526A3">
              <w:rPr>
                <w:rFonts w:ascii="Times New Roman" w:hAnsi="Times New Roman" w:cs="Times New Roman"/>
                <w:b/>
                <w:bCs/>
                <w:vertAlign w:val="superscript"/>
              </w:rPr>
              <w:t>1</w:t>
            </w:r>
            <w:r w:rsidRPr="003526A3">
              <w:rPr>
                <w:rFonts w:ascii="Times New Roman" w:hAnsi="Times New Roman" w:cs="Times New Roman"/>
                <w:b/>
                <w:bCs/>
              </w:rPr>
              <w:t>)</w:t>
            </w:r>
          </w:p>
        </w:tc>
      </w:tr>
      <w:tr w:rsidR="00C07865" w:rsidRPr="003526A3" w14:paraId="6F40830B" w14:textId="77777777" w:rsidTr="0082590D">
        <w:tc>
          <w:tcPr>
            <w:tcW w:w="4531" w:type="dxa"/>
          </w:tcPr>
          <w:p w14:paraId="7D29C4E9"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Kimyasal Oksijen İhtiyacı (</w:t>
            </w:r>
            <w:r w:rsidR="009D570E" w:rsidRPr="003526A3">
              <w:rPr>
                <w:rFonts w:ascii="Times New Roman" w:hAnsi="Times New Roman" w:cs="Times New Roman"/>
              </w:rPr>
              <w:t>KOİ</w:t>
            </w:r>
            <w:r w:rsidRPr="003526A3">
              <w:rPr>
                <w:rFonts w:ascii="Times New Roman" w:hAnsi="Times New Roman" w:cs="Times New Roman"/>
              </w:rPr>
              <w:t>)</w:t>
            </w:r>
          </w:p>
        </w:tc>
        <w:tc>
          <w:tcPr>
            <w:tcW w:w="4531" w:type="dxa"/>
          </w:tcPr>
          <w:p w14:paraId="46741B1A"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0,3-5 (</w:t>
            </w:r>
            <w:r w:rsidRPr="003526A3">
              <w:rPr>
                <w:rFonts w:ascii="Times New Roman" w:hAnsi="Times New Roman" w:cs="Times New Roman"/>
                <w:vertAlign w:val="superscript"/>
              </w:rPr>
              <w:t>2</w:t>
            </w:r>
            <w:r w:rsidRPr="003526A3">
              <w:rPr>
                <w:rFonts w:ascii="Times New Roman" w:hAnsi="Times New Roman" w:cs="Times New Roman"/>
              </w:rPr>
              <w:t>)</w:t>
            </w:r>
          </w:p>
        </w:tc>
      </w:tr>
      <w:tr w:rsidR="00C07865" w:rsidRPr="003526A3" w14:paraId="350D0C9D" w14:textId="77777777" w:rsidTr="0082590D">
        <w:tc>
          <w:tcPr>
            <w:tcW w:w="4531" w:type="dxa"/>
          </w:tcPr>
          <w:p w14:paraId="18F02B98"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Askıda Katı Maddeler (TSS)</w:t>
            </w:r>
          </w:p>
        </w:tc>
        <w:tc>
          <w:tcPr>
            <w:tcW w:w="4531" w:type="dxa"/>
          </w:tcPr>
          <w:p w14:paraId="50C51D9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0,10-1</w:t>
            </w:r>
          </w:p>
        </w:tc>
      </w:tr>
      <w:tr w:rsidR="00C07865" w:rsidRPr="003526A3" w14:paraId="7680A634" w14:textId="77777777" w:rsidTr="0082590D">
        <w:tc>
          <w:tcPr>
            <w:tcW w:w="4531" w:type="dxa"/>
          </w:tcPr>
          <w:p w14:paraId="50A9A5F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Azot</w:t>
            </w:r>
          </w:p>
        </w:tc>
        <w:tc>
          <w:tcPr>
            <w:tcW w:w="4531" w:type="dxa"/>
          </w:tcPr>
          <w:p w14:paraId="175016A0"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0,015-0,4</w:t>
            </w:r>
          </w:p>
        </w:tc>
      </w:tr>
      <w:tr w:rsidR="00C07865" w:rsidRPr="003526A3" w14:paraId="673E16C0" w14:textId="77777777" w:rsidTr="0082590D">
        <w:tc>
          <w:tcPr>
            <w:tcW w:w="4531" w:type="dxa"/>
          </w:tcPr>
          <w:p w14:paraId="40750DE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Toplam Fosfor</w:t>
            </w:r>
          </w:p>
        </w:tc>
        <w:tc>
          <w:tcPr>
            <w:tcW w:w="4531" w:type="dxa"/>
          </w:tcPr>
          <w:p w14:paraId="65A432CF"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0,002-0,04</w:t>
            </w:r>
          </w:p>
        </w:tc>
      </w:tr>
      <w:tr w:rsidR="00C07865" w:rsidRPr="003526A3" w14:paraId="32D6AA77" w14:textId="77777777" w:rsidTr="0082590D">
        <w:tc>
          <w:tcPr>
            <w:tcW w:w="4531" w:type="dxa"/>
          </w:tcPr>
          <w:p w14:paraId="53FB9EA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Adsorplanabilir Organik Bağlı Halojenler (AOX)</w:t>
            </w:r>
          </w:p>
        </w:tc>
        <w:tc>
          <w:tcPr>
            <w:tcW w:w="4531" w:type="dxa"/>
          </w:tcPr>
          <w:p w14:paraId="7701B9B7"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0,05</w:t>
            </w:r>
          </w:p>
          <w:p w14:paraId="183E8DE8"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(dekor kağıdı ve ıslak mukavemetli kağıt için)</w:t>
            </w:r>
          </w:p>
        </w:tc>
      </w:tr>
      <w:tr w:rsidR="00C07865" w:rsidRPr="003526A3" w14:paraId="4151EE6F" w14:textId="77777777" w:rsidTr="0082590D">
        <w:tc>
          <w:tcPr>
            <w:tcW w:w="9062" w:type="dxa"/>
            <w:gridSpan w:val="2"/>
          </w:tcPr>
          <w:p w14:paraId="70565F0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w:t>
            </w:r>
            <w:r w:rsidRPr="003526A3">
              <w:rPr>
                <w:rFonts w:ascii="Times New Roman" w:hAnsi="Times New Roman" w:cs="Times New Roman"/>
                <w:vertAlign w:val="superscript"/>
              </w:rPr>
              <w:t>1</w:t>
            </w:r>
            <w:r w:rsidRPr="003526A3">
              <w:rPr>
                <w:rFonts w:ascii="Times New Roman" w:hAnsi="Times New Roman" w:cs="Times New Roman"/>
              </w:rPr>
              <w:t>) Çok sayıda sınıf değişikliği (örn. yıllık ortalama olarak günde ≥5) veya çok hafif özel kağıt üreten (yıllık ortalama olarak ≤30 g/m</w:t>
            </w:r>
            <w:r w:rsidRPr="003526A3">
              <w:rPr>
                <w:rFonts w:ascii="Times New Roman" w:hAnsi="Times New Roman" w:cs="Times New Roman"/>
                <w:vertAlign w:val="superscript"/>
              </w:rPr>
              <w:t>2</w:t>
            </w:r>
            <w:r w:rsidRPr="003526A3">
              <w:rPr>
                <w:rFonts w:ascii="Times New Roman" w:hAnsi="Times New Roman" w:cs="Times New Roman"/>
              </w:rPr>
              <w:t>) belirleyici özellikli fabrikalar, aralığından üst sınırından daha yüksek emisyonlara sahip olabilir.</w:t>
            </w:r>
          </w:p>
          <w:p w14:paraId="3C87D061" w14:textId="77777777" w:rsidR="00C07865" w:rsidRPr="003526A3" w:rsidRDefault="00C07865" w:rsidP="000D79D6">
            <w:pPr>
              <w:jc w:val="both"/>
              <w:rPr>
                <w:rFonts w:ascii="Times New Roman" w:hAnsi="Times New Roman" w:cs="Times New Roman"/>
                <w:i/>
                <w:iCs/>
              </w:rPr>
            </w:pPr>
            <w:r w:rsidRPr="003526A3">
              <w:rPr>
                <w:rFonts w:ascii="Times New Roman" w:hAnsi="Times New Roman" w:cs="Times New Roman"/>
              </w:rPr>
              <w:t>(</w:t>
            </w:r>
            <w:r w:rsidRPr="003526A3">
              <w:rPr>
                <w:rFonts w:ascii="Times New Roman" w:hAnsi="Times New Roman" w:cs="Times New Roman"/>
                <w:vertAlign w:val="superscript"/>
              </w:rPr>
              <w:t>2</w:t>
            </w:r>
            <w:r w:rsidRPr="003526A3">
              <w:rPr>
                <w:rFonts w:ascii="Times New Roman" w:hAnsi="Times New Roman" w:cs="Times New Roman"/>
              </w:rPr>
              <w:t>) MET-İES aralığının üst sınırı, yoğun arıtım gerektiren fazla parçalanmış kağıt üretimi yapan fabrikaları ve sık sayıda sınıf değişikliği olan (örn. yıllık ortalama olarak günde ≥1-2 değişiklik) fabrikaları ifade eder.</w:t>
            </w:r>
          </w:p>
        </w:tc>
      </w:tr>
    </w:tbl>
    <w:p w14:paraId="7F34DFF4" w14:textId="77777777" w:rsidR="00C07865" w:rsidRPr="009C6CAC" w:rsidRDefault="00C07865" w:rsidP="00C07865">
      <w:pPr>
        <w:spacing w:after="120" w:line="276" w:lineRule="auto"/>
        <w:jc w:val="both"/>
        <w:rPr>
          <w:rFonts w:ascii="Times New Roman" w:hAnsi="Times New Roman" w:cs="Times New Roman"/>
          <w:sz w:val="24"/>
          <w:szCs w:val="24"/>
        </w:rPr>
      </w:pPr>
    </w:p>
    <w:p w14:paraId="2A80865C"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lastRenderedPageBreak/>
        <w:t>(6.2) Havaya Emisyonlar</w:t>
      </w:r>
    </w:p>
    <w:p w14:paraId="1FAF2E7F"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51:</w:t>
      </w:r>
      <w:r w:rsidRPr="009C6CAC">
        <w:rPr>
          <w:rFonts w:ascii="Times New Roman" w:hAnsi="Times New Roman" w:cs="Times New Roman"/>
          <w:sz w:val="24"/>
          <w:szCs w:val="24"/>
        </w:rPr>
        <w:t xml:space="preserve"> Hat dışı veya hat içi kaplayıcılardan kaynaklanan </w:t>
      </w:r>
      <w:r w:rsidR="009D570E">
        <w:rPr>
          <w:rFonts w:ascii="Times New Roman" w:hAnsi="Times New Roman" w:cs="Times New Roman"/>
          <w:sz w:val="24"/>
          <w:szCs w:val="24"/>
        </w:rPr>
        <w:t>UOB</w:t>
      </w:r>
      <w:r w:rsidRPr="009C6CAC">
        <w:rPr>
          <w:rFonts w:ascii="Times New Roman" w:hAnsi="Times New Roman" w:cs="Times New Roman"/>
          <w:sz w:val="24"/>
          <w:szCs w:val="24"/>
        </w:rPr>
        <w:t xml:space="preserve"> emisyonlarını azaltmak için, </w:t>
      </w:r>
      <w:r w:rsidR="009D570E">
        <w:rPr>
          <w:rFonts w:ascii="Times New Roman" w:hAnsi="Times New Roman" w:cs="Times New Roman"/>
          <w:sz w:val="24"/>
          <w:szCs w:val="24"/>
        </w:rPr>
        <w:t>UOB</w:t>
      </w:r>
      <w:r w:rsidRPr="009C6CAC">
        <w:rPr>
          <w:rFonts w:ascii="Times New Roman" w:hAnsi="Times New Roman" w:cs="Times New Roman"/>
          <w:sz w:val="24"/>
          <w:szCs w:val="24"/>
        </w:rPr>
        <w:t xml:space="preserve"> emisyonlarını azaltan kaplama boyası reçeteleri (bileşimleri) seçilir.</w:t>
      </w:r>
    </w:p>
    <w:p w14:paraId="1E978505"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(6.3) Atık Oluşumu</w:t>
      </w:r>
    </w:p>
    <w:p w14:paraId="35D6E436"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52:</w:t>
      </w:r>
      <w:r w:rsidRPr="009C6CAC">
        <w:rPr>
          <w:rFonts w:ascii="Times New Roman" w:hAnsi="Times New Roman" w:cs="Times New Roman"/>
          <w:sz w:val="24"/>
          <w:szCs w:val="24"/>
        </w:rPr>
        <w:t xml:space="preserve"> Bertaraf edilecek atık miktarını en aza indirmek için, aşağıdaki tekniklerin bir kombinasyonu kullanılarak atık oluşumu önlenir ve geri </w:t>
      </w:r>
      <w:r w:rsidR="00520C45">
        <w:rPr>
          <w:rFonts w:ascii="Times New Roman" w:hAnsi="Times New Roman" w:cs="Times New Roman"/>
          <w:sz w:val="24"/>
          <w:szCs w:val="24"/>
        </w:rPr>
        <w:t>kazanım/dönüşüm</w:t>
      </w:r>
      <w:r w:rsidRPr="009C6CAC">
        <w:rPr>
          <w:rFonts w:ascii="Times New Roman" w:hAnsi="Times New Roman" w:cs="Times New Roman"/>
          <w:sz w:val="24"/>
          <w:szCs w:val="24"/>
        </w:rPr>
        <w:t xml:space="preserve"> işlemleri yürütülür (MET 20’ye bakınız).</w:t>
      </w:r>
    </w:p>
    <w:tbl>
      <w:tblPr>
        <w:tblStyle w:val="TabloKlavuzu"/>
        <w:tblW w:w="0" w:type="auto"/>
        <w:jc w:val="center"/>
        <w:tblLook w:val="04A0" w:firstRow="1" w:lastRow="0" w:firstColumn="1" w:lastColumn="0" w:noHBand="0" w:noVBand="1"/>
      </w:tblPr>
      <w:tblGrid>
        <w:gridCol w:w="536"/>
        <w:gridCol w:w="2294"/>
        <w:gridCol w:w="3544"/>
        <w:gridCol w:w="2688"/>
      </w:tblGrid>
      <w:tr w:rsidR="00C07865" w:rsidRPr="003526A3" w14:paraId="5D7C18A8" w14:textId="77777777" w:rsidTr="000D79D6">
        <w:trPr>
          <w:tblHeader/>
          <w:jc w:val="center"/>
        </w:trPr>
        <w:tc>
          <w:tcPr>
            <w:tcW w:w="536" w:type="dxa"/>
            <w:vAlign w:val="center"/>
          </w:tcPr>
          <w:p w14:paraId="0FFDCBD4" w14:textId="77777777" w:rsidR="00C07865" w:rsidRPr="003526A3" w:rsidRDefault="00C07865" w:rsidP="000D79D6">
            <w:pPr>
              <w:jc w:val="center"/>
              <w:rPr>
                <w:rFonts w:ascii="Times New Roman" w:hAnsi="Times New Roman" w:cs="Times New Roman"/>
                <w:b/>
                <w:bCs/>
              </w:rPr>
            </w:pPr>
          </w:p>
        </w:tc>
        <w:tc>
          <w:tcPr>
            <w:tcW w:w="2294" w:type="dxa"/>
            <w:vAlign w:val="center"/>
          </w:tcPr>
          <w:p w14:paraId="16814030"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Teknik</w:t>
            </w:r>
          </w:p>
        </w:tc>
        <w:tc>
          <w:tcPr>
            <w:tcW w:w="3544" w:type="dxa"/>
          </w:tcPr>
          <w:p w14:paraId="77881F71"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Açıklama</w:t>
            </w:r>
          </w:p>
        </w:tc>
        <w:tc>
          <w:tcPr>
            <w:tcW w:w="2688" w:type="dxa"/>
            <w:vAlign w:val="center"/>
          </w:tcPr>
          <w:p w14:paraId="3C2B201F" w14:textId="77777777" w:rsidR="00C07865" w:rsidRPr="003526A3" w:rsidRDefault="00C07865"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C07865" w:rsidRPr="003526A3" w14:paraId="0967AF11" w14:textId="77777777" w:rsidTr="000D79D6">
        <w:trPr>
          <w:jc w:val="center"/>
        </w:trPr>
        <w:tc>
          <w:tcPr>
            <w:tcW w:w="536" w:type="dxa"/>
            <w:vAlign w:val="center"/>
          </w:tcPr>
          <w:p w14:paraId="7CCAC53C"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a</w:t>
            </w:r>
          </w:p>
        </w:tc>
        <w:tc>
          <w:tcPr>
            <w:tcW w:w="5838" w:type="dxa"/>
            <w:gridSpan w:val="2"/>
            <w:vAlign w:val="center"/>
          </w:tcPr>
          <w:p w14:paraId="09FD97B2"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 xml:space="preserve">Lif ve dolgu maddesi </w:t>
            </w:r>
            <w:r w:rsidR="00520C45" w:rsidRPr="003526A3">
              <w:rPr>
                <w:rFonts w:ascii="Times New Roman" w:hAnsi="Times New Roman" w:cs="Times New Roman"/>
              </w:rPr>
              <w:t xml:space="preserve">atıklarının </w:t>
            </w:r>
            <w:r w:rsidRPr="003526A3">
              <w:rPr>
                <w:rFonts w:ascii="Times New Roman" w:hAnsi="Times New Roman" w:cs="Times New Roman"/>
              </w:rPr>
              <w:t>geri kazanımı ve beyaz su arıtımı</w:t>
            </w:r>
          </w:p>
        </w:tc>
        <w:tc>
          <w:tcPr>
            <w:tcW w:w="2688" w:type="dxa"/>
            <w:vAlign w:val="center"/>
          </w:tcPr>
          <w:p w14:paraId="60B135BE"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690D03A3" w14:textId="77777777" w:rsidTr="000D79D6">
        <w:trPr>
          <w:jc w:val="center"/>
        </w:trPr>
        <w:tc>
          <w:tcPr>
            <w:tcW w:w="536" w:type="dxa"/>
            <w:vAlign w:val="center"/>
          </w:tcPr>
          <w:p w14:paraId="69B3C802"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b</w:t>
            </w:r>
          </w:p>
        </w:tc>
        <w:tc>
          <w:tcPr>
            <w:tcW w:w="2294" w:type="dxa"/>
            <w:vAlign w:val="center"/>
          </w:tcPr>
          <w:p w14:paraId="310CF4B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Döküntü resirkülasyon sistemi</w:t>
            </w:r>
          </w:p>
        </w:tc>
        <w:tc>
          <w:tcPr>
            <w:tcW w:w="3544" w:type="dxa"/>
            <w:vAlign w:val="center"/>
          </w:tcPr>
          <w:p w14:paraId="59148085"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Kağıt üretim prosesinin farklı noktalarından, aşamalarından döküntüler toplanır, kağıt hamuru yeniden üretilir ve lif beslemesine geri gönderilir.</w:t>
            </w:r>
          </w:p>
        </w:tc>
        <w:tc>
          <w:tcPr>
            <w:tcW w:w="2688" w:type="dxa"/>
            <w:vAlign w:val="center"/>
          </w:tcPr>
          <w:p w14:paraId="02935413"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Genellikle uygulanabilir.</w:t>
            </w:r>
          </w:p>
        </w:tc>
      </w:tr>
      <w:tr w:rsidR="00C07865" w:rsidRPr="003526A3" w14:paraId="51D7AC98" w14:textId="77777777" w:rsidTr="000D79D6">
        <w:trPr>
          <w:jc w:val="center"/>
        </w:trPr>
        <w:tc>
          <w:tcPr>
            <w:tcW w:w="536" w:type="dxa"/>
            <w:vAlign w:val="center"/>
          </w:tcPr>
          <w:p w14:paraId="335180E6"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c</w:t>
            </w:r>
          </w:p>
        </w:tc>
        <w:tc>
          <w:tcPr>
            <w:tcW w:w="5838" w:type="dxa"/>
            <w:gridSpan w:val="2"/>
            <w:vAlign w:val="center"/>
          </w:tcPr>
          <w:p w14:paraId="58CACB9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Kaplama boyalarının geri kazanımı/renk maddelerinin geri dönüşümü</w:t>
            </w:r>
          </w:p>
        </w:tc>
        <w:tc>
          <w:tcPr>
            <w:tcW w:w="2688" w:type="dxa"/>
            <w:vAlign w:val="center"/>
          </w:tcPr>
          <w:p w14:paraId="76F28B51" w14:textId="77777777" w:rsidR="00C07865" w:rsidRPr="003526A3" w:rsidRDefault="00C07865" w:rsidP="000D79D6">
            <w:pPr>
              <w:jc w:val="both"/>
              <w:rPr>
                <w:rFonts w:ascii="Times New Roman" w:hAnsi="Times New Roman" w:cs="Times New Roman"/>
              </w:rPr>
            </w:pPr>
          </w:p>
        </w:tc>
      </w:tr>
      <w:tr w:rsidR="00C07865" w:rsidRPr="003526A3" w14:paraId="04FA829E" w14:textId="77777777" w:rsidTr="000D79D6">
        <w:trPr>
          <w:jc w:val="center"/>
        </w:trPr>
        <w:tc>
          <w:tcPr>
            <w:tcW w:w="536" w:type="dxa"/>
            <w:vAlign w:val="center"/>
          </w:tcPr>
          <w:p w14:paraId="5A051AF5" w14:textId="77777777" w:rsidR="00C07865" w:rsidRPr="003526A3" w:rsidRDefault="00C07865" w:rsidP="000D79D6">
            <w:pPr>
              <w:jc w:val="center"/>
              <w:rPr>
                <w:rFonts w:ascii="Times New Roman" w:hAnsi="Times New Roman" w:cs="Times New Roman"/>
              </w:rPr>
            </w:pPr>
            <w:r w:rsidRPr="003526A3">
              <w:rPr>
                <w:rFonts w:ascii="Times New Roman" w:hAnsi="Times New Roman" w:cs="Times New Roman"/>
              </w:rPr>
              <w:t>d</w:t>
            </w:r>
          </w:p>
        </w:tc>
        <w:tc>
          <w:tcPr>
            <w:tcW w:w="2294" w:type="dxa"/>
            <w:vAlign w:val="center"/>
          </w:tcPr>
          <w:p w14:paraId="10E81DBF"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Birincil atık su arıtımından gelen lif çamurunun yeniden kullanımı</w:t>
            </w:r>
          </w:p>
        </w:tc>
        <w:tc>
          <w:tcPr>
            <w:tcW w:w="3544" w:type="dxa"/>
            <w:vAlign w:val="center"/>
          </w:tcPr>
          <w:p w14:paraId="33C9DBB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Atık suyun birincil arıtmasından gelen yüksek lif içerikli çamur, üretim prosesinde yeniden kullanılabilir.</w:t>
            </w:r>
          </w:p>
        </w:tc>
        <w:tc>
          <w:tcPr>
            <w:tcW w:w="2688" w:type="dxa"/>
            <w:vAlign w:val="center"/>
          </w:tcPr>
          <w:p w14:paraId="61FEBF37" w14:textId="77777777" w:rsidR="00C07865" w:rsidRPr="003526A3" w:rsidRDefault="00C07865" w:rsidP="000D79D6">
            <w:pPr>
              <w:jc w:val="both"/>
              <w:rPr>
                <w:rFonts w:ascii="Times New Roman" w:hAnsi="Times New Roman" w:cs="Times New Roman"/>
              </w:rPr>
            </w:pPr>
            <w:r w:rsidRPr="003526A3">
              <w:rPr>
                <w:rFonts w:ascii="Times New Roman" w:hAnsi="Times New Roman" w:cs="Times New Roman"/>
              </w:rPr>
              <w:t>Uygulanabilirlik, ürün kalite gereksinimlerine ilişkin olarak kısıtlanabilir.</w:t>
            </w:r>
          </w:p>
        </w:tc>
      </w:tr>
    </w:tbl>
    <w:p w14:paraId="19718E84" w14:textId="77777777" w:rsidR="00C07865" w:rsidRPr="009C6CAC" w:rsidRDefault="00C07865" w:rsidP="00C07865">
      <w:pPr>
        <w:spacing w:after="120" w:line="276" w:lineRule="auto"/>
        <w:jc w:val="both"/>
        <w:rPr>
          <w:rFonts w:ascii="Times New Roman" w:hAnsi="Times New Roman" w:cs="Times New Roman"/>
          <w:sz w:val="24"/>
          <w:szCs w:val="24"/>
        </w:rPr>
      </w:pPr>
    </w:p>
    <w:p w14:paraId="34750A63"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(6.4) Enerji Tüketimi ve Verimliliği</w:t>
      </w:r>
    </w:p>
    <w:p w14:paraId="091C46CB" w14:textId="77777777" w:rsidR="00C07865" w:rsidRPr="009C6CAC" w:rsidRDefault="00C07865" w:rsidP="00C07865">
      <w:pPr>
        <w:spacing w:after="120" w:line="276" w:lineRule="auto"/>
        <w:jc w:val="both"/>
        <w:rPr>
          <w:rFonts w:ascii="Times New Roman" w:hAnsi="Times New Roman" w:cs="Times New Roman"/>
          <w:sz w:val="24"/>
          <w:szCs w:val="24"/>
        </w:rPr>
      </w:pPr>
      <w:r w:rsidRPr="009C6CAC">
        <w:rPr>
          <w:rFonts w:ascii="Times New Roman" w:hAnsi="Times New Roman" w:cs="Times New Roman"/>
          <w:b/>
          <w:bCs/>
          <w:sz w:val="24"/>
          <w:szCs w:val="24"/>
        </w:rPr>
        <w:t>MET 53:</w:t>
      </w:r>
      <w:r w:rsidRPr="009C6CAC">
        <w:rPr>
          <w:rFonts w:ascii="Times New Roman" w:hAnsi="Times New Roman" w:cs="Times New Roman"/>
          <w:sz w:val="24"/>
          <w:szCs w:val="24"/>
        </w:rPr>
        <w:t xml:space="preserve"> Termal ve elektrik enerjisi tüketimini azaltmak için, aşağıdaki tekniklerin bir kombinasyonu kullanılır.</w:t>
      </w:r>
    </w:p>
    <w:tbl>
      <w:tblPr>
        <w:tblStyle w:val="TabloKlavuzu"/>
        <w:tblW w:w="0" w:type="auto"/>
        <w:jc w:val="center"/>
        <w:tblLook w:val="04A0" w:firstRow="1" w:lastRow="0" w:firstColumn="1" w:lastColumn="0" w:noHBand="0" w:noVBand="1"/>
      </w:tblPr>
      <w:tblGrid>
        <w:gridCol w:w="704"/>
        <w:gridCol w:w="4253"/>
        <w:gridCol w:w="4105"/>
      </w:tblGrid>
      <w:tr w:rsidR="00C07865" w:rsidRPr="009C6CAC" w14:paraId="17C14EA3" w14:textId="77777777" w:rsidTr="000D79D6">
        <w:trPr>
          <w:tblHeader/>
          <w:jc w:val="center"/>
        </w:trPr>
        <w:tc>
          <w:tcPr>
            <w:tcW w:w="704" w:type="dxa"/>
            <w:vAlign w:val="center"/>
          </w:tcPr>
          <w:p w14:paraId="1CD49085" w14:textId="77777777" w:rsidR="00C07865" w:rsidRPr="009C6CAC" w:rsidRDefault="00C07865" w:rsidP="000D79D6">
            <w:pPr>
              <w:jc w:val="center"/>
              <w:rPr>
                <w:rFonts w:ascii="Times New Roman" w:hAnsi="Times New Roman" w:cs="Times New Roman"/>
                <w:b/>
                <w:bCs/>
                <w:sz w:val="24"/>
                <w:szCs w:val="24"/>
              </w:rPr>
            </w:pPr>
          </w:p>
        </w:tc>
        <w:tc>
          <w:tcPr>
            <w:tcW w:w="4253" w:type="dxa"/>
            <w:vAlign w:val="center"/>
          </w:tcPr>
          <w:p w14:paraId="21B90FB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4105" w:type="dxa"/>
            <w:vAlign w:val="center"/>
          </w:tcPr>
          <w:p w14:paraId="539BB6D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Uygulanabilirlik</w:t>
            </w:r>
          </w:p>
        </w:tc>
      </w:tr>
      <w:tr w:rsidR="00C07865" w:rsidRPr="009C6CAC" w14:paraId="732BD270" w14:textId="77777777" w:rsidTr="000D79D6">
        <w:trPr>
          <w:jc w:val="center"/>
        </w:trPr>
        <w:tc>
          <w:tcPr>
            <w:tcW w:w="704" w:type="dxa"/>
            <w:vAlign w:val="center"/>
          </w:tcPr>
          <w:p w14:paraId="6DF28D7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a</w:t>
            </w:r>
          </w:p>
        </w:tc>
        <w:tc>
          <w:tcPr>
            <w:tcW w:w="4253" w:type="dxa"/>
            <w:vAlign w:val="center"/>
          </w:tcPr>
          <w:p w14:paraId="0D2A0EA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Enerji tasarruflu eleme yöntemleri (optimize edilmiş rotor tasarımı, elekler ve eleme işlemi)</w:t>
            </w:r>
          </w:p>
        </w:tc>
        <w:tc>
          <w:tcPr>
            <w:tcW w:w="4105" w:type="dxa"/>
            <w:vMerge w:val="restart"/>
            <w:vAlign w:val="center"/>
          </w:tcPr>
          <w:p w14:paraId="218129C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Yeni fabrikalara veya büyük yenilemelere uygulanabilir.</w:t>
            </w:r>
          </w:p>
        </w:tc>
      </w:tr>
      <w:tr w:rsidR="00C07865" w:rsidRPr="009C6CAC" w14:paraId="04A7B120" w14:textId="77777777" w:rsidTr="000D79D6">
        <w:trPr>
          <w:jc w:val="center"/>
        </w:trPr>
        <w:tc>
          <w:tcPr>
            <w:tcW w:w="704" w:type="dxa"/>
            <w:vAlign w:val="center"/>
          </w:tcPr>
          <w:p w14:paraId="7335002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b</w:t>
            </w:r>
          </w:p>
        </w:tc>
        <w:tc>
          <w:tcPr>
            <w:tcW w:w="4253" w:type="dxa"/>
            <w:vAlign w:val="center"/>
          </w:tcPr>
          <w:p w14:paraId="5353E6E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Arıtıcılardan ısı geri kazanımı ile en iyi arıtma/rafinasyon yöntemi</w:t>
            </w:r>
          </w:p>
        </w:tc>
        <w:tc>
          <w:tcPr>
            <w:tcW w:w="4105" w:type="dxa"/>
            <w:vMerge/>
            <w:vAlign w:val="center"/>
          </w:tcPr>
          <w:p w14:paraId="54CE2D2B" w14:textId="77777777" w:rsidR="00C07865" w:rsidRPr="009C6CAC" w:rsidRDefault="00C07865" w:rsidP="000D79D6">
            <w:pPr>
              <w:jc w:val="both"/>
              <w:rPr>
                <w:rFonts w:ascii="Times New Roman" w:hAnsi="Times New Roman" w:cs="Times New Roman"/>
                <w:sz w:val="24"/>
                <w:szCs w:val="24"/>
              </w:rPr>
            </w:pPr>
          </w:p>
        </w:tc>
      </w:tr>
      <w:tr w:rsidR="00C07865" w:rsidRPr="009C6CAC" w14:paraId="1A4B3A66" w14:textId="77777777" w:rsidTr="000D79D6">
        <w:trPr>
          <w:jc w:val="center"/>
        </w:trPr>
        <w:tc>
          <w:tcPr>
            <w:tcW w:w="704" w:type="dxa"/>
            <w:vAlign w:val="center"/>
          </w:tcPr>
          <w:p w14:paraId="3042DEA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c</w:t>
            </w:r>
          </w:p>
        </w:tc>
        <w:tc>
          <w:tcPr>
            <w:tcW w:w="4253" w:type="dxa"/>
            <w:vAlign w:val="center"/>
          </w:tcPr>
          <w:p w14:paraId="1065B30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Kağıt makinesinin/geniş kıskaçlı pres makinesinin pres bölümü için optimize edilmiş susuzlaştırma işlemi</w:t>
            </w:r>
          </w:p>
        </w:tc>
        <w:tc>
          <w:tcPr>
            <w:tcW w:w="4105" w:type="dxa"/>
            <w:vAlign w:val="center"/>
          </w:tcPr>
          <w:p w14:paraId="2892942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Kağıt mendil ve birçok özel kağıt sınıfı için uygulanamaz.</w:t>
            </w:r>
          </w:p>
        </w:tc>
      </w:tr>
      <w:tr w:rsidR="00C07865" w:rsidRPr="009C6CAC" w14:paraId="5A967678" w14:textId="77777777" w:rsidTr="000D79D6">
        <w:trPr>
          <w:jc w:val="center"/>
        </w:trPr>
        <w:tc>
          <w:tcPr>
            <w:tcW w:w="704" w:type="dxa"/>
            <w:vAlign w:val="center"/>
          </w:tcPr>
          <w:p w14:paraId="530C096F"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d</w:t>
            </w:r>
          </w:p>
        </w:tc>
        <w:tc>
          <w:tcPr>
            <w:tcW w:w="4253" w:type="dxa"/>
            <w:vAlign w:val="center"/>
          </w:tcPr>
          <w:p w14:paraId="0FD2D1E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Yoğuşma buharının geri kazanımı ve etkin çıkış havası ısı geri kazanım sistemlerinin kullanımı</w:t>
            </w:r>
          </w:p>
        </w:tc>
        <w:tc>
          <w:tcPr>
            <w:tcW w:w="4105" w:type="dxa"/>
            <w:vMerge w:val="restart"/>
            <w:vAlign w:val="center"/>
          </w:tcPr>
          <w:p w14:paraId="25CA3D1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7E3F67CA" w14:textId="77777777" w:rsidTr="000D79D6">
        <w:trPr>
          <w:jc w:val="center"/>
        </w:trPr>
        <w:tc>
          <w:tcPr>
            <w:tcW w:w="704" w:type="dxa"/>
            <w:vAlign w:val="center"/>
          </w:tcPr>
          <w:p w14:paraId="594BAEA3"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e</w:t>
            </w:r>
          </w:p>
        </w:tc>
        <w:tc>
          <w:tcPr>
            <w:tcW w:w="4253" w:type="dxa"/>
            <w:vAlign w:val="center"/>
          </w:tcPr>
          <w:p w14:paraId="4777834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Örneğin Pinch analizi uygulanarak dikkatli bir proses entegrasyonu ile doğrudan buhar kullanımının azaltımı</w:t>
            </w:r>
          </w:p>
        </w:tc>
        <w:tc>
          <w:tcPr>
            <w:tcW w:w="4105" w:type="dxa"/>
            <w:vMerge/>
            <w:vAlign w:val="center"/>
          </w:tcPr>
          <w:p w14:paraId="4EF3E906" w14:textId="77777777" w:rsidR="00C07865" w:rsidRPr="009C6CAC" w:rsidRDefault="00C07865" w:rsidP="000D79D6">
            <w:pPr>
              <w:jc w:val="both"/>
              <w:rPr>
                <w:rFonts w:ascii="Times New Roman" w:hAnsi="Times New Roman" w:cs="Times New Roman"/>
                <w:sz w:val="24"/>
                <w:szCs w:val="24"/>
              </w:rPr>
            </w:pPr>
          </w:p>
        </w:tc>
      </w:tr>
      <w:tr w:rsidR="00C07865" w:rsidRPr="009C6CAC" w14:paraId="32605553" w14:textId="77777777" w:rsidTr="000D79D6">
        <w:trPr>
          <w:jc w:val="center"/>
        </w:trPr>
        <w:tc>
          <w:tcPr>
            <w:tcW w:w="704" w:type="dxa"/>
            <w:vAlign w:val="center"/>
          </w:tcPr>
          <w:p w14:paraId="617D9DB4"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f</w:t>
            </w:r>
          </w:p>
        </w:tc>
        <w:tc>
          <w:tcPr>
            <w:tcW w:w="4253" w:type="dxa"/>
            <w:vAlign w:val="center"/>
          </w:tcPr>
          <w:p w14:paraId="2B17DCD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verimli arıtıcılar</w:t>
            </w:r>
          </w:p>
        </w:tc>
        <w:tc>
          <w:tcPr>
            <w:tcW w:w="4105" w:type="dxa"/>
            <w:vAlign w:val="center"/>
          </w:tcPr>
          <w:p w14:paraId="4D7F941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Yeni tesislere uygulanabilir.</w:t>
            </w:r>
          </w:p>
        </w:tc>
      </w:tr>
      <w:tr w:rsidR="00C07865" w:rsidRPr="009C6CAC" w14:paraId="0B647B3F" w14:textId="77777777" w:rsidTr="000D79D6">
        <w:trPr>
          <w:jc w:val="center"/>
        </w:trPr>
        <w:tc>
          <w:tcPr>
            <w:tcW w:w="704" w:type="dxa"/>
            <w:vAlign w:val="center"/>
          </w:tcPr>
          <w:p w14:paraId="34B6226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g</w:t>
            </w:r>
          </w:p>
        </w:tc>
        <w:tc>
          <w:tcPr>
            <w:tcW w:w="4253" w:type="dxa"/>
            <w:vAlign w:val="center"/>
          </w:tcPr>
          <w:p w14:paraId="4A5192D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Mevcut arıtıcılarda çalışma modunun optimizasyonu (örn. yüksüz güç gereksinimlerinin azaltımı)</w:t>
            </w:r>
          </w:p>
        </w:tc>
        <w:tc>
          <w:tcPr>
            <w:tcW w:w="4105" w:type="dxa"/>
            <w:vMerge w:val="restart"/>
            <w:vAlign w:val="center"/>
          </w:tcPr>
          <w:p w14:paraId="367A42E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591B6815" w14:textId="77777777" w:rsidTr="000D79D6">
        <w:trPr>
          <w:jc w:val="center"/>
        </w:trPr>
        <w:tc>
          <w:tcPr>
            <w:tcW w:w="704" w:type="dxa"/>
            <w:vAlign w:val="center"/>
          </w:tcPr>
          <w:p w14:paraId="28D8DAA2"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lastRenderedPageBreak/>
              <w:t>h</w:t>
            </w:r>
          </w:p>
        </w:tc>
        <w:tc>
          <w:tcPr>
            <w:tcW w:w="4253" w:type="dxa"/>
            <w:vAlign w:val="center"/>
          </w:tcPr>
          <w:p w14:paraId="22483BE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Optimize edilmiş pompalama tasarımı, pompalar için değişken hızlı çalışma kontrolü, donanımsız çalışma</w:t>
            </w:r>
          </w:p>
        </w:tc>
        <w:tc>
          <w:tcPr>
            <w:tcW w:w="4105" w:type="dxa"/>
            <w:vMerge/>
            <w:vAlign w:val="center"/>
          </w:tcPr>
          <w:p w14:paraId="482F494A" w14:textId="77777777" w:rsidR="00C07865" w:rsidRPr="009C6CAC" w:rsidRDefault="00C07865" w:rsidP="000D79D6">
            <w:pPr>
              <w:jc w:val="both"/>
              <w:rPr>
                <w:rFonts w:ascii="Times New Roman" w:hAnsi="Times New Roman" w:cs="Times New Roman"/>
                <w:sz w:val="24"/>
                <w:szCs w:val="24"/>
              </w:rPr>
            </w:pPr>
          </w:p>
        </w:tc>
      </w:tr>
      <w:tr w:rsidR="00C07865" w:rsidRPr="009C6CAC" w14:paraId="2163BC94" w14:textId="77777777" w:rsidTr="000D79D6">
        <w:trPr>
          <w:jc w:val="center"/>
        </w:trPr>
        <w:tc>
          <w:tcPr>
            <w:tcW w:w="704" w:type="dxa"/>
            <w:vAlign w:val="center"/>
          </w:tcPr>
          <w:p w14:paraId="0B74E36B"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i</w:t>
            </w:r>
          </w:p>
        </w:tc>
        <w:tc>
          <w:tcPr>
            <w:tcW w:w="4253" w:type="dxa"/>
            <w:vAlign w:val="center"/>
          </w:tcPr>
          <w:p w14:paraId="1E45480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İleri teknoloji arıtım/rafinasyon</w:t>
            </w:r>
          </w:p>
        </w:tc>
        <w:tc>
          <w:tcPr>
            <w:tcW w:w="4105" w:type="dxa"/>
            <w:vMerge/>
            <w:vAlign w:val="center"/>
          </w:tcPr>
          <w:p w14:paraId="62E90B4F" w14:textId="77777777" w:rsidR="00C07865" w:rsidRPr="009C6CAC" w:rsidRDefault="00C07865" w:rsidP="000D79D6">
            <w:pPr>
              <w:jc w:val="both"/>
              <w:rPr>
                <w:rFonts w:ascii="Times New Roman" w:hAnsi="Times New Roman" w:cs="Times New Roman"/>
                <w:sz w:val="24"/>
                <w:szCs w:val="24"/>
              </w:rPr>
            </w:pPr>
          </w:p>
        </w:tc>
      </w:tr>
      <w:tr w:rsidR="00C07865" w:rsidRPr="009C6CAC" w14:paraId="25E98692" w14:textId="77777777" w:rsidTr="000D79D6">
        <w:trPr>
          <w:jc w:val="center"/>
        </w:trPr>
        <w:tc>
          <w:tcPr>
            <w:tcW w:w="704" w:type="dxa"/>
            <w:vAlign w:val="center"/>
          </w:tcPr>
          <w:p w14:paraId="0A463C4E"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j</w:t>
            </w:r>
          </w:p>
        </w:tc>
        <w:tc>
          <w:tcPr>
            <w:tcW w:w="4253" w:type="dxa"/>
            <w:vAlign w:val="center"/>
          </w:tcPr>
          <w:p w14:paraId="43843B3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Drenaj özelliklerini, susuzlaştırma kapasitesini iyileştirmek için kağıt ağının buhar kasası ile ısıtılması</w:t>
            </w:r>
          </w:p>
        </w:tc>
        <w:tc>
          <w:tcPr>
            <w:tcW w:w="4105" w:type="dxa"/>
            <w:vAlign w:val="center"/>
          </w:tcPr>
          <w:p w14:paraId="42DFFC9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Kağıt mendil ve birçok özel kağıt sınıfı için uygulanamaz.</w:t>
            </w:r>
          </w:p>
        </w:tc>
      </w:tr>
      <w:tr w:rsidR="00C07865" w:rsidRPr="009C6CAC" w14:paraId="55F6CB09" w14:textId="77777777" w:rsidTr="000D79D6">
        <w:trPr>
          <w:jc w:val="center"/>
        </w:trPr>
        <w:tc>
          <w:tcPr>
            <w:tcW w:w="704" w:type="dxa"/>
            <w:vAlign w:val="center"/>
          </w:tcPr>
          <w:p w14:paraId="0ADC497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k</w:t>
            </w:r>
          </w:p>
        </w:tc>
        <w:tc>
          <w:tcPr>
            <w:tcW w:w="4253" w:type="dxa"/>
            <w:vAlign w:val="center"/>
          </w:tcPr>
          <w:p w14:paraId="3FFBE79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Optimize edilmiş vakum sistemi (örn. su çemberli pompalar yerine turbo fanlar)</w:t>
            </w:r>
          </w:p>
        </w:tc>
        <w:tc>
          <w:tcPr>
            <w:tcW w:w="4105" w:type="dxa"/>
            <w:vMerge w:val="restart"/>
            <w:vAlign w:val="center"/>
          </w:tcPr>
          <w:p w14:paraId="3DF0B25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Genellikle uygulanabilir.</w:t>
            </w:r>
          </w:p>
        </w:tc>
      </w:tr>
      <w:tr w:rsidR="00C07865" w:rsidRPr="009C6CAC" w14:paraId="613D0FF4" w14:textId="77777777" w:rsidTr="000D79D6">
        <w:trPr>
          <w:jc w:val="center"/>
        </w:trPr>
        <w:tc>
          <w:tcPr>
            <w:tcW w:w="704" w:type="dxa"/>
            <w:vAlign w:val="center"/>
          </w:tcPr>
          <w:p w14:paraId="77D7F5C7"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l</w:t>
            </w:r>
          </w:p>
        </w:tc>
        <w:tc>
          <w:tcPr>
            <w:tcW w:w="4253" w:type="dxa"/>
            <w:vAlign w:val="center"/>
          </w:tcPr>
          <w:p w14:paraId="32FCC78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Üretim optimizasyonu ile dağıtım ağı bakımı</w:t>
            </w:r>
          </w:p>
        </w:tc>
        <w:tc>
          <w:tcPr>
            <w:tcW w:w="4105" w:type="dxa"/>
            <w:vMerge/>
            <w:vAlign w:val="center"/>
          </w:tcPr>
          <w:p w14:paraId="267E9594" w14:textId="77777777" w:rsidR="00C07865" w:rsidRPr="009C6CAC" w:rsidRDefault="00C07865" w:rsidP="000D79D6">
            <w:pPr>
              <w:jc w:val="both"/>
              <w:rPr>
                <w:rFonts w:ascii="Times New Roman" w:hAnsi="Times New Roman" w:cs="Times New Roman"/>
                <w:sz w:val="24"/>
                <w:szCs w:val="24"/>
              </w:rPr>
            </w:pPr>
          </w:p>
        </w:tc>
      </w:tr>
      <w:tr w:rsidR="00C07865" w:rsidRPr="009C6CAC" w14:paraId="02C409EC" w14:textId="77777777" w:rsidTr="000D79D6">
        <w:trPr>
          <w:jc w:val="center"/>
        </w:trPr>
        <w:tc>
          <w:tcPr>
            <w:tcW w:w="704" w:type="dxa"/>
            <w:vAlign w:val="center"/>
          </w:tcPr>
          <w:p w14:paraId="7E99DE86"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m</w:t>
            </w:r>
          </w:p>
        </w:tc>
        <w:tc>
          <w:tcPr>
            <w:tcW w:w="4253" w:type="dxa"/>
            <w:vAlign w:val="center"/>
          </w:tcPr>
          <w:p w14:paraId="6FFAC78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Isı geri kazanımı, hava ve yalıtım sistemlerinin optimizasyonu</w:t>
            </w:r>
          </w:p>
        </w:tc>
        <w:tc>
          <w:tcPr>
            <w:tcW w:w="4105" w:type="dxa"/>
            <w:vMerge/>
            <w:vAlign w:val="center"/>
          </w:tcPr>
          <w:p w14:paraId="02C60BEC" w14:textId="77777777" w:rsidR="00C07865" w:rsidRPr="009C6CAC" w:rsidRDefault="00C07865" w:rsidP="000D79D6">
            <w:pPr>
              <w:jc w:val="both"/>
              <w:rPr>
                <w:rFonts w:ascii="Times New Roman" w:hAnsi="Times New Roman" w:cs="Times New Roman"/>
                <w:sz w:val="24"/>
                <w:szCs w:val="24"/>
              </w:rPr>
            </w:pPr>
          </w:p>
        </w:tc>
      </w:tr>
      <w:tr w:rsidR="00C07865" w:rsidRPr="009C6CAC" w14:paraId="0170A5A2" w14:textId="77777777" w:rsidTr="000D79D6">
        <w:trPr>
          <w:jc w:val="center"/>
        </w:trPr>
        <w:tc>
          <w:tcPr>
            <w:tcW w:w="704" w:type="dxa"/>
            <w:vAlign w:val="center"/>
          </w:tcPr>
          <w:p w14:paraId="35BD4428"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n</w:t>
            </w:r>
          </w:p>
        </w:tc>
        <w:tc>
          <w:tcPr>
            <w:tcW w:w="4253" w:type="dxa"/>
            <w:vAlign w:val="center"/>
          </w:tcPr>
          <w:p w14:paraId="38EC7D7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verimli motorların (EFF1) kullanımı</w:t>
            </w:r>
          </w:p>
        </w:tc>
        <w:tc>
          <w:tcPr>
            <w:tcW w:w="4105" w:type="dxa"/>
            <w:vMerge/>
            <w:vAlign w:val="center"/>
          </w:tcPr>
          <w:p w14:paraId="6395B5E9" w14:textId="77777777" w:rsidR="00C07865" w:rsidRPr="009C6CAC" w:rsidRDefault="00C07865" w:rsidP="000D79D6">
            <w:pPr>
              <w:jc w:val="both"/>
              <w:rPr>
                <w:rFonts w:ascii="Times New Roman" w:hAnsi="Times New Roman" w:cs="Times New Roman"/>
                <w:sz w:val="24"/>
                <w:szCs w:val="24"/>
              </w:rPr>
            </w:pPr>
          </w:p>
        </w:tc>
      </w:tr>
      <w:tr w:rsidR="00C07865" w:rsidRPr="009C6CAC" w14:paraId="3DA6E272" w14:textId="77777777" w:rsidTr="000D79D6">
        <w:trPr>
          <w:jc w:val="center"/>
        </w:trPr>
        <w:tc>
          <w:tcPr>
            <w:tcW w:w="704" w:type="dxa"/>
            <w:vAlign w:val="center"/>
          </w:tcPr>
          <w:p w14:paraId="598EE03D"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o</w:t>
            </w:r>
          </w:p>
        </w:tc>
        <w:tc>
          <w:tcPr>
            <w:tcW w:w="4253" w:type="dxa"/>
            <w:vAlign w:val="center"/>
          </w:tcPr>
          <w:p w14:paraId="593D5A5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çıkışlarının ısı eşanjörü ile ön ısıtılması</w:t>
            </w:r>
          </w:p>
        </w:tc>
        <w:tc>
          <w:tcPr>
            <w:tcW w:w="4105" w:type="dxa"/>
            <w:vMerge/>
            <w:vAlign w:val="center"/>
          </w:tcPr>
          <w:p w14:paraId="21BF297A" w14:textId="77777777" w:rsidR="00C07865" w:rsidRPr="009C6CAC" w:rsidRDefault="00C07865" w:rsidP="000D79D6">
            <w:pPr>
              <w:jc w:val="both"/>
              <w:rPr>
                <w:rFonts w:ascii="Times New Roman" w:hAnsi="Times New Roman" w:cs="Times New Roman"/>
                <w:sz w:val="24"/>
                <w:szCs w:val="24"/>
              </w:rPr>
            </w:pPr>
          </w:p>
        </w:tc>
      </w:tr>
      <w:tr w:rsidR="00C07865" w:rsidRPr="009C6CAC" w14:paraId="4B566B5D" w14:textId="77777777" w:rsidTr="000D79D6">
        <w:trPr>
          <w:jc w:val="center"/>
        </w:trPr>
        <w:tc>
          <w:tcPr>
            <w:tcW w:w="704" w:type="dxa"/>
            <w:vAlign w:val="center"/>
          </w:tcPr>
          <w:p w14:paraId="464A00F0" w14:textId="77777777" w:rsidR="00C07865" w:rsidRPr="009C6CAC" w:rsidRDefault="00C07865" w:rsidP="000D79D6">
            <w:pPr>
              <w:jc w:val="center"/>
              <w:rPr>
                <w:rFonts w:ascii="Times New Roman" w:hAnsi="Times New Roman" w:cs="Times New Roman"/>
                <w:sz w:val="24"/>
                <w:szCs w:val="24"/>
              </w:rPr>
            </w:pPr>
            <w:r w:rsidRPr="009C6CAC">
              <w:rPr>
                <w:rFonts w:ascii="Times New Roman" w:hAnsi="Times New Roman" w:cs="Times New Roman"/>
                <w:sz w:val="24"/>
                <w:szCs w:val="24"/>
              </w:rPr>
              <w:t>p</w:t>
            </w:r>
          </w:p>
        </w:tc>
        <w:tc>
          <w:tcPr>
            <w:tcW w:w="4253" w:type="dxa"/>
            <w:vAlign w:val="center"/>
          </w:tcPr>
          <w:p w14:paraId="2012C2A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Atık ısının çamur kurutma veya susuzlaştırılmış biyokütlenin iyileştirilmesi için kullanımı</w:t>
            </w:r>
          </w:p>
        </w:tc>
        <w:tc>
          <w:tcPr>
            <w:tcW w:w="4105" w:type="dxa"/>
            <w:vMerge/>
            <w:vAlign w:val="center"/>
          </w:tcPr>
          <w:p w14:paraId="0AC1E40D" w14:textId="77777777" w:rsidR="00C07865" w:rsidRPr="009C6CAC" w:rsidRDefault="00C07865" w:rsidP="000D79D6">
            <w:pPr>
              <w:jc w:val="both"/>
              <w:rPr>
                <w:rFonts w:ascii="Times New Roman" w:hAnsi="Times New Roman" w:cs="Times New Roman"/>
                <w:sz w:val="24"/>
                <w:szCs w:val="24"/>
              </w:rPr>
            </w:pPr>
          </w:p>
        </w:tc>
      </w:tr>
      <w:tr w:rsidR="00C07865" w:rsidRPr="009C6CAC" w14:paraId="74920445" w14:textId="77777777" w:rsidTr="000D79D6">
        <w:trPr>
          <w:jc w:val="center"/>
        </w:trPr>
        <w:tc>
          <w:tcPr>
            <w:tcW w:w="704" w:type="dxa"/>
            <w:vAlign w:val="center"/>
          </w:tcPr>
          <w:p w14:paraId="4D61A1CE" w14:textId="20416B34" w:rsidR="00C07865" w:rsidRPr="009C6CAC" w:rsidRDefault="003526A3" w:rsidP="000D79D6">
            <w:pPr>
              <w:jc w:val="center"/>
              <w:rPr>
                <w:rFonts w:ascii="Times New Roman" w:hAnsi="Times New Roman" w:cs="Times New Roman"/>
                <w:sz w:val="24"/>
                <w:szCs w:val="24"/>
              </w:rPr>
            </w:pPr>
            <w:r>
              <w:rPr>
                <w:rFonts w:ascii="Times New Roman" w:hAnsi="Times New Roman" w:cs="Times New Roman"/>
                <w:sz w:val="24"/>
                <w:szCs w:val="24"/>
              </w:rPr>
              <w:t>r</w:t>
            </w:r>
          </w:p>
        </w:tc>
        <w:tc>
          <w:tcPr>
            <w:tcW w:w="4253" w:type="dxa"/>
            <w:vAlign w:val="center"/>
          </w:tcPr>
          <w:p w14:paraId="35893F9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Kurutucu başlığının besleme havası için eksenel üfleyicilerden (kullanıldıysa) ısı geri kazanımı</w:t>
            </w:r>
          </w:p>
        </w:tc>
        <w:tc>
          <w:tcPr>
            <w:tcW w:w="4105" w:type="dxa"/>
            <w:vMerge/>
            <w:vAlign w:val="center"/>
          </w:tcPr>
          <w:p w14:paraId="6D586E72" w14:textId="77777777" w:rsidR="00C07865" w:rsidRPr="009C6CAC" w:rsidRDefault="00C07865" w:rsidP="000D79D6">
            <w:pPr>
              <w:jc w:val="both"/>
              <w:rPr>
                <w:rFonts w:ascii="Times New Roman" w:hAnsi="Times New Roman" w:cs="Times New Roman"/>
                <w:sz w:val="24"/>
                <w:szCs w:val="24"/>
              </w:rPr>
            </w:pPr>
          </w:p>
        </w:tc>
      </w:tr>
      <w:tr w:rsidR="00C07865" w:rsidRPr="009C6CAC" w14:paraId="08FCA4A0" w14:textId="77777777" w:rsidTr="000D79D6">
        <w:trPr>
          <w:jc w:val="center"/>
        </w:trPr>
        <w:tc>
          <w:tcPr>
            <w:tcW w:w="704" w:type="dxa"/>
            <w:vAlign w:val="center"/>
          </w:tcPr>
          <w:p w14:paraId="20BACAD2" w14:textId="72153FE0" w:rsidR="00C07865" w:rsidRPr="009C6CAC" w:rsidRDefault="003526A3" w:rsidP="000D79D6">
            <w:pPr>
              <w:jc w:val="center"/>
              <w:rPr>
                <w:rFonts w:ascii="Times New Roman" w:hAnsi="Times New Roman" w:cs="Times New Roman"/>
                <w:sz w:val="24"/>
                <w:szCs w:val="24"/>
              </w:rPr>
            </w:pPr>
            <w:r>
              <w:rPr>
                <w:rFonts w:ascii="Times New Roman" w:hAnsi="Times New Roman" w:cs="Times New Roman"/>
                <w:sz w:val="24"/>
                <w:szCs w:val="24"/>
              </w:rPr>
              <w:t>s</w:t>
            </w:r>
          </w:p>
        </w:tc>
        <w:tc>
          <w:tcPr>
            <w:tcW w:w="4253" w:type="dxa"/>
            <w:vAlign w:val="center"/>
          </w:tcPr>
          <w:p w14:paraId="3903A89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Damlatma kuleli Yankee başlığından çıkan atık havadan ısı geri kazanımı</w:t>
            </w:r>
          </w:p>
        </w:tc>
        <w:tc>
          <w:tcPr>
            <w:tcW w:w="4105" w:type="dxa"/>
            <w:vMerge/>
            <w:vAlign w:val="center"/>
          </w:tcPr>
          <w:p w14:paraId="5C677B93" w14:textId="77777777" w:rsidR="00C07865" w:rsidRPr="009C6CAC" w:rsidRDefault="00C07865" w:rsidP="000D79D6">
            <w:pPr>
              <w:jc w:val="both"/>
              <w:rPr>
                <w:rFonts w:ascii="Times New Roman" w:hAnsi="Times New Roman" w:cs="Times New Roman"/>
                <w:sz w:val="24"/>
                <w:szCs w:val="24"/>
              </w:rPr>
            </w:pPr>
          </w:p>
        </w:tc>
      </w:tr>
      <w:tr w:rsidR="00C07865" w:rsidRPr="009C6CAC" w14:paraId="1633D7AF" w14:textId="77777777" w:rsidTr="000D79D6">
        <w:trPr>
          <w:jc w:val="center"/>
        </w:trPr>
        <w:tc>
          <w:tcPr>
            <w:tcW w:w="704" w:type="dxa"/>
            <w:vAlign w:val="center"/>
          </w:tcPr>
          <w:p w14:paraId="5F444904" w14:textId="27498900" w:rsidR="00C07865" w:rsidRPr="009C6CAC" w:rsidRDefault="003526A3" w:rsidP="000D79D6">
            <w:pPr>
              <w:jc w:val="center"/>
              <w:rPr>
                <w:rFonts w:ascii="Times New Roman" w:hAnsi="Times New Roman" w:cs="Times New Roman"/>
                <w:sz w:val="24"/>
                <w:szCs w:val="24"/>
              </w:rPr>
            </w:pPr>
            <w:r>
              <w:rPr>
                <w:rFonts w:ascii="Times New Roman" w:hAnsi="Times New Roman" w:cs="Times New Roman"/>
                <w:sz w:val="24"/>
                <w:szCs w:val="24"/>
              </w:rPr>
              <w:t>ş</w:t>
            </w:r>
          </w:p>
        </w:tc>
        <w:tc>
          <w:tcPr>
            <w:tcW w:w="4253" w:type="dxa"/>
            <w:vAlign w:val="center"/>
          </w:tcPr>
          <w:p w14:paraId="59B215D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Kızılötesi atık sıcak havadan ısı geri kazanımı</w:t>
            </w:r>
          </w:p>
        </w:tc>
        <w:tc>
          <w:tcPr>
            <w:tcW w:w="4105" w:type="dxa"/>
            <w:vMerge/>
            <w:vAlign w:val="center"/>
          </w:tcPr>
          <w:p w14:paraId="1FFBB3F7" w14:textId="77777777" w:rsidR="00C07865" w:rsidRPr="009C6CAC" w:rsidRDefault="00C07865" w:rsidP="000D79D6">
            <w:pPr>
              <w:jc w:val="both"/>
              <w:rPr>
                <w:rFonts w:ascii="Times New Roman" w:hAnsi="Times New Roman" w:cs="Times New Roman"/>
                <w:sz w:val="24"/>
                <w:szCs w:val="24"/>
              </w:rPr>
            </w:pPr>
          </w:p>
        </w:tc>
      </w:tr>
    </w:tbl>
    <w:p w14:paraId="5DE61CF4" w14:textId="77777777" w:rsidR="00C07865" w:rsidRPr="009C6CAC" w:rsidRDefault="00C07865" w:rsidP="00C07865">
      <w:pPr>
        <w:spacing w:after="120" w:line="276" w:lineRule="auto"/>
        <w:jc w:val="both"/>
        <w:rPr>
          <w:rFonts w:ascii="Times New Roman" w:hAnsi="Times New Roman" w:cs="Times New Roman"/>
          <w:sz w:val="24"/>
          <w:szCs w:val="24"/>
        </w:rPr>
      </w:pPr>
    </w:p>
    <w:p w14:paraId="5FF1A850" w14:textId="77777777" w:rsidR="00C07865" w:rsidRPr="009C6CAC" w:rsidRDefault="00C07865" w:rsidP="00C07865">
      <w:pPr>
        <w:spacing w:after="120" w:line="276" w:lineRule="auto"/>
        <w:jc w:val="both"/>
        <w:rPr>
          <w:rFonts w:ascii="Times New Roman" w:hAnsi="Times New Roman" w:cs="Times New Roman"/>
          <w:sz w:val="24"/>
          <w:szCs w:val="24"/>
        </w:rPr>
      </w:pPr>
    </w:p>
    <w:p w14:paraId="54D2DF93" w14:textId="77777777" w:rsidR="00C07865" w:rsidRPr="009C6CAC" w:rsidRDefault="00C07865" w:rsidP="00C07865">
      <w:pPr>
        <w:pStyle w:val="Balk2"/>
        <w:spacing w:before="0" w:after="120" w:line="276" w:lineRule="auto"/>
        <w:jc w:val="both"/>
        <w:rPr>
          <w:rFonts w:cs="Times New Roman"/>
          <w:b/>
          <w:bCs/>
          <w:szCs w:val="24"/>
        </w:rPr>
        <w:sectPr w:rsidR="00C07865" w:rsidRPr="009C6CAC">
          <w:pgSz w:w="11906" w:h="16838"/>
          <w:pgMar w:top="1417" w:right="1417" w:bottom="1417" w:left="1417" w:header="708" w:footer="708" w:gutter="0"/>
          <w:cols w:space="708"/>
          <w:docGrid w:linePitch="360"/>
        </w:sectPr>
      </w:pPr>
    </w:p>
    <w:p w14:paraId="38D7F46D" w14:textId="77777777" w:rsidR="00C07865" w:rsidRPr="009C6CAC" w:rsidRDefault="00C07865" w:rsidP="00C07865">
      <w:pPr>
        <w:pStyle w:val="Balk1"/>
        <w:spacing w:before="0" w:after="120" w:line="276" w:lineRule="auto"/>
        <w:jc w:val="both"/>
        <w:rPr>
          <w:rFonts w:cs="Times New Roman"/>
          <w:b w:val="0"/>
          <w:bCs/>
          <w:szCs w:val="24"/>
        </w:rPr>
      </w:pPr>
      <w:r w:rsidRPr="009C6CAC">
        <w:rPr>
          <w:rFonts w:cs="Times New Roman"/>
          <w:bCs/>
          <w:szCs w:val="24"/>
        </w:rPr>
        <w:lastRenderedPageBreak/>
        <w:t>TEKNİKLERİN AÇIKLAMALARI</w:t>
      </w:r>
    </w:p>
    <w:p w14:paraId="4FC8D443"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(1) Havaya Emisyonların Önlenmesi ve Kontrolüne Yönelik Tekniklerin Açıklamaları</w:t>
      </w:r>
    </w:p>
    <w:p w14:paraId="6683DFEF"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(1.1) Toz</w:t>
      </w:r>
    </w:p>
    <w:tbl>
      <w:tblPr>
        <w:tblStyle w:val="TabloKlavuzu"/>
        <w:tblW w:w="0" w:type="auto"/>
        <w:jc w:val="center"/>
        <w:tblLook w:val="04A0" w:firstRow="1" w:lastRow="0" w:firstColumn="1" w:lastColumn="0" w:noHBand="0" w:noVBand="1"/>
      </w:tblPr>
      <w:tblGrid>
        <w:gridCol w:w="2972"/>
        <w:gridCol w:w="6090"/>
      </w:tblGrid>
      <w:tr w:rsidR="00C07865" w:rsidRPr="009C6CAC" w14:paraId="7F443E44" w14:textId="77777777" w:rsidTr="000D79D6">
        <w:trPr>
          <w:tblHeader/>
          <w:jc w:val="center"/>
        </w:trPr>
        <w:tc>
          <w:tcPr>
            <w:tcW w:w="2972" w:type="dxa"/>
            <w:vAlign w:val="center"/>
          </w:tcPr>
          <w:p w14:paraId="6C32CC9B"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6090" w:type="dxa"/>
            <w:vAlign w:val="center"/>
          </w:tcPr>
          <w:p w14:paraId="73E04F04"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31EB1DCA" w14:textId="77777777" w:rsidTr="000D79D6">
        <w:trPr>
          <w:jc w:val="center"/>
        </w:trPr>
        <w:tc>
          <w:tcPr>
            <w:tcW w:w="2972" w:type="dxa"/>
            <w:vAlign w:val="center"/>
          </w:tcPr>
          <w:p w14:paraId="7815B39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Elektrostatik Filtre (ESP)</w:t>
            </w:r>
          </w:p>
        </w:tc>
        <w:tc>
          <w:tcPr>
            <w:tcW w:w="6090" w:type="dxa"/>
            <w:vAlign w:val="center"/>
          </w:tcPr>
          <w:p w14:paraId="739839B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Elektrostatik filtreler, partiküllerin bir elektrik alanının etkisi altında yüklenmesi ve ayrılması şeklinde çalışır. Çok çeşitli koşullarda çalışabilme özelliğine sahiptirler.</w:t>
            </w:r>
          </w:p>
        </w:tc>
      </w:tr>
      <w:tr w:rsidR="00C07865" w:rsidRPr="009C6CAC" w14:paraId="3C18BB5E" w14:textId="77777777" w:rsidTr="000D79D6">
        <w:trPr>
          <w:jc w:val="center"/>
        </w:trPr>
        <w:tc>
          <w:tcPr>
            <w:tcW w:w="2972" w:type="dxa"/>
            <w:vAlign w:val="center"/>
          </w:tcPr>
          <w:p w14:paraId="23E28F0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Alkali Yıkayıcı</w:t>
            </w:r>
          </w:p>
        </w:tc>
        <w:tc>
          <w:tcPr>
            <w:tcW w:w="6090" w:type="dxa"/>
            <w:vAlign w:val="center"/>
          </w:tcPr>
          <w:p w14:paraId="45968FD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(1.3) başlığı altındaki “Islak Yıkayıcı”ya bakınız.</w:t>
            </w:r>
          </w:p>
        </w:tc>
      </w:tr>
    </w:tbl>
    <w:p w14:paraId="1BD8C896" w14:textId="77777777" w:rsidR="00C07865" w:rsidRPr="009C6CAC" w:rsidRDefault="00C07865" w:rsidP="00C07865">
      <w:pPr>
        <w:spacing w:after="120" w:line="276" w:lineRule="auto"/>
        <w:jc w:val="both"/>
        <w:rPr>
          <w:rFonts w:ascii="Times New Roman" w:hAnsi="Times New Roman" w:cs="Times New Roman"/>
          <w:sz w:val="24"/>
          <w:szCs w:val="24"/>
        </w:rPr>
      </w:pPr>
    </w:p>
    <w:p w14:paraId="6693E840"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(1.2) NO</w:t>
      </w:r>
      <w:r w:rsidRPr="009C6CAC">
        <w:rPr>
          <w:rFonts w:cs="Times New Roman"/>
          <w:bCs/>
          <w:szCs w:val="24"/>
          <w:vertAlign w:val="subscript"/>
        </w:rPr>
        <w:t>x</w:t>
      </w:r>
      <w:r w:rsidRPr="009C6CAC">
        <w:rPr>
          <w:rFonts w:cs="Times New Roman"/>
          <w:bCs/>
          <w:szCs w:val="24"/>
        </w:rPr>
        <w:t xml:space="preserve"> </w:t>
      </w:r>
    </w:p>
    <w:tbl>
      <w:tblPr>
        <w:tblStyle w:val="TabloKlavuzu"/>
        <w:tblW w:w="0" w:type="auto"/>
        <w:jc w:val="center"/>
        <w:tblLook w:val="04A0" w:firstRow="1" w:lastRow="0" w:firstColumn="1" w:lastColumn="0" w:noHBand="0" w:noVBand="1"/>
      </w:tblPr>
      <w:tblGrid>
        <w:gridCol w:w="2972"/>
        <w:gridCol w:w="6090"/>
      </w:tblGrid>
      <w:tr w:rsidR="00C07865" w:rsidRPr="009C6CAC" w14:paraId="765E9AEA" w14:textId="77777777" w:rsidTr="000D79D6">
        <w:trPr>
          <w:tblHeader/>
          <w:jc w:val="center"/>
        </w:trPr>
        <w:tc>
          <w:tcPr>
            <w:tcW w:w="2972" w:type="dxa"/>
            <w:vAlign w:val="center"/>
          </w:tcPr>
          <w:p w14:paraId="5341BD36"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6090" w:type="dxa"/>
            <w:vAlign w:val="center"/>
          </w:tcPr>
          <w:p w14:paraId="1C0491EB"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2320CA24" w14:textId="77777777" w:rsidTr="000D79D6">
        <w:trPr>
          <w:jc w:val="center"/>
        </w:trPr>
        <w:tc>
          <w:tcPr>
            <w:tcW w:w="2972" w:type="dxa"/>
            <w:vAlign w:val="center"/>
          </w:tcPr>
          <w:p w14:paraId="266A0C3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Hava/Yakıt Oranının Azaltımı</w:t>
            </w:r>
          </w:p>
        </w:tc>
        <w:tc>
          <w:tcPr>
            <w:tcW w:w="6090" w:type="dxa"/>
            <w:vAlign w:val="center"/>
          </w:tcPr>
          <w:p w14:paraId="4D62F0D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Teknik, temel olarak aşağıdaki özelliklere dayanır:</w:t>
            </w:r>
          </w:p>
          <w:p w14:paraId="67BE730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yakma için kullanılan havanın dikkatli bir şekilde kontrolü (düşük miktarda fazla oksijen),</w:t>
            </w:r>
          </w:p>
          <w:p w14:paraId="104F7DE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fırına olan hava kaçaklarının en aza indirilmesi,</w:t>
            </w:r>
          </w:p>
          <w:p w14:paraId="549CEC4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fırın yakma bölmesinin modifiye edilmiş tasarımı.</w:t>
            </w:r>
          </w:p>
        </w:tc>
      </w:tr>
      <w:tr w:rsidR="00C07865" w:rsidRPr="009C6CAC" w14:paraId="45286333" w14:textId="77777777" w:rsidTr="000D79D6">
        <w:trPr>
          <w:jc w:val="center"/>
        </w:trPr>
        <w:tc>
          <w:tcPr>
            <w:tcW w:w="2972" w:type="dxa"/>
            <w:vAlign w:val="center"/>
          </w:tcPr>
          <w:p w14:paraId="3BF78DF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Optimize Edilmiş Yakma ve Yakma Kontrolü</w:t>
            </w:r>
          </w:p>
        </w:tc>
        <w:tc>
          <w:tcPr>
            <w:tcW w:w="6090" w:type="dxa"/>
            <w:vAlign w:val="center"/>
          </w:tcPr>
          <w:p w14:paraId="230DE9C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Uygun yakma parametrelerinin (örn. 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CO içeriği, yakıt/hava oranı, yanmamış bileşenler) sürekli izlenmesine dayanan bu teknik, en iyi yakma koşullarını elde etmek için kontrol teknolojisini kullanır.</w:t>
            </w:r>
          </w:p>
          <w:p w14:paraId="67CDBE0C" w14:textId="77777777" w:rsidR="00C07865" w:rsidRPr="009C6CAC" w:rsidRDefault="00C07865" w:rsidP="000D79D6">
            <w:pPr>
              <w:jc w:val="both"/>
              <w:rPr>
                <w:rFonts w:ascii="Times New Roman" w:hAnsi="Times New Roman" w:cs="Times New Roman"/>
                <w:sz w:val="24"/>
                <w:szCs w:val="24"/>
              </w:rPr>
            </w:pPr>
          </w:p>
          <w:p w14:paraId="5B00B4E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oluşumu ve emisyonlar; çalışma parametreleri, hava dağılımı, fazla oksijen, alev şekillendirme ve sıcaklık profili ayarlanarak azaltılabilir.</w:t>
            </w:r>
          </w:p>
        </w:tc>
      </w:tr>
      <w:tr w:rsidR="00C07865" w:rsidRPr="009C6CAC" w14:paraId="19EB0024" w14:textId="77777777" w:rsidTr="000D79D6">
        <w:trPr>
          <w:jc w:val="center"/>
        </w:trPr>
        <w:tc>
          <w:tcPr>
            <w:tcW w:w="2972" w:type="dxa"/>
            <w:vAlign w:val="center"/>
          </w:tcPr>
          <w:p w14:paraId="3972633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Aşamalı Yakma</w:t>
            </w:r>
          </w:p>
        </w:tc>
        <w:tc>
          <w:tcPr>
            <w:tcW w:w="6090" w:type="dxa"/>
            <w:vAlign w:val="center"/>
          </w:tcPr>
          <w:p w14:paraId="7455C81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Aşamalı yakma, birinci bölmede kontrollü hava oranları ve sıcaklıklarla iki yakma bölgesinin kullanımına dayanır. İlk yakma bölgesi, amonyak bileşiklerini yüksek sıcaklıktaki elementer azota dönüştürmek için alt stokiyometrik koşullarda çalışır. İkinci bölgede ilave hava beslemesi, yanmayı daha düşük bir sıcaklıkta tamamlar. İki aşamalı yakma işleminden sonra baca gazı, gazlardaki ısıyı geri kazanmak için ikinci bir bölmeye akar ve prosese buhar üretir.</w:t>
            </w:r>
          </w:p>
        </w:tc>
      </w:tr>
      <w:tr w:rsidR="00C07865" w:rsidRPr="009C6CAC" w14:paraId="315E0FF7" w14:textId="77777777" w:rsidTr="000D79D6">
        <w:trPr>
          <w:jc w:val="center"/>
        </w:trPr>
        <w:tc>
          <w:tcPr>
            <w:tcW w:w="2972" w:type="dxa"/>
            <w:vAlign w:val="center"/>
          </w:tcPr>
          <w:p w14:paraId="6771257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Yakıt Seçimi/Düşük N İçerikli Yakıtlar</w:t>
            </w:r>
          </w:p>
        </w:tc>
        <w:tc>
          <w:tcPr>
            <w:tcW w:w="6090" w:type="dxa"/>
            <w:vAlign w:val="center"/>
          </w:tcPr>
          <w:p w14:paraId="7AB63B0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Düşük azot içeriğine sahip yakıtların kullanılması, yakıtta bulunan azotun yanma sırasında oksidasyonundan kaynaklanan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emisyonlarının miktarını azaltır. CNCG veya biyokütle bazlı yakıtların yakılması, petrol ve doğal gaza kıyasla,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 artırır çünkü, CNCG ve tüm odun türevli yakıtlar, petrol ve doğal gazdan daha fazla miktarda azot içerir.</w:t>
            </w:r>
          </w:p>
          <w:p w14:paraId="3C02CF90" w14:textId="77777777" w:rsidR="00C07865" w:rsidRPr="009C6CAC" w:rsidRDefault="00C07865" w:rsidP="000D79D6">
            <w:pPr>
              <w:jc w:val="both"/>
              <w:rPr>
                <w:rFonts w:ascii="Times New Roman" w:hAnsi="Times New Roman" w:cs="Times New Roman"/>
                <w:sz w:val="24"/>
                <w:szCs w:val="24"/>
              </w:rPr>
            </w:pPr>
          </w:p>
          <w:p w14:paraId="52E1895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Daha yüksek yakma sıcaklıkları dolayısıyla gaz yakma, daha yüksek NO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seviyelerine neden olur.</w:t>
            </w:r>
          </w:p>
        </w:tc>
      </w:tr>
      <w:tr w:rsidR="00C07865" w:rsidRPr="009C6CAC" w14:paraId="36F40933" w14:textId="77777777" w:rsidTr="000D79D6">
        <w:trPr>
          <w:jc w:val="center"/>
        </w:trPr>
        <w:tc>
          <w:tcPr>
            <w:tcW w:w="2972" w:type="dxa"/>
            <w:vAlign w:val="center"/>
          </w:tcPr>
          <w:p w14:paraId="0097564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Düşük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Brülörü</w:t>
            </w:r>
          </w:p>
        </w:tc>
        <w:tc>
          <w:tcPr>
            <w:tcW w:w="6090" w:type="dxa"/>
            <w:vAlign w:val="center"/>
          </w:tcPr>
          <w:p w14:paraId="48D538E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Düşük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brülörleri; tepe alev sıcaklıklarının düşürülmesi, yakmanın geciktirilmesi ancak tamamlanması ve ısı transferinin artırılması (alevin yayılım kapasitesinin artırılması) ilkelerine dayanır. Fırın yakma bölmesinin modifiye edilmiş bir tasarımı ile ilişkilendirilebilir.</w:t>
            </w:r>
          </w:p>
        </w:tc>
      </w:tr>
      <w:tr w:rsidR="00C07865" w:rsidRPr="009C6CAC" w14:paraId="4449EA54" w14:textId="77777777" w:rsidTr="000D79D6">
        <w:trPr>
          <w:jc w:val="center"/>
        </w:trPr>
        <w:tc>
          <w:tcPr>
            <w:tcW w:w="2972" w:type="dxa"/>
            <w:vAlign w:val="center"/>
          </w:tcPr>
          <w:p w14:paraId="4B11B95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Kullanılmış Likörün Aşamalı Enjeksiyonu</w:t>
            </w:r>
          </w:p>
        </w:tc>
        <w:tc>
          <w:tcPr>
            <w:tcW w:w="6090" w:type="dxa"/>
            <w:vAlign w:val="center"/>
          </w:tcPr>
          <w:p w14:paraId="01FF902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Kullanılmış sülfit likörünün kazana dikey olarak çeşitli kademelerde enjekte edilmesi,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oluşumunu önler ve tam yanma sağlar.</w:t>
            </w:r>
          </w:p>
        </w:tc>
      </w:tr>
      <w:tr w:rsidR="00C07865" w:rsidRPr="009C6CAC" w14:paraId="2E164DDD" w14:textId="77777777" w:rsidTr="000D79D6">
        <w:trPr>
          <w:jc w:val="center"/>
        </w:trPr>
        <w:tc>
          <w:tcPr>
            <w:tcW w:w="2972" w:type="dxa"/>
            <w:vAlign w:val="center"/>
          </w:tcPr>
          <w:p w14:paraId="62AF814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Seçici Katalitik Olmayan İndirgeme (SNCR)</w:t>
            </w:r>
          </w:p>
        </w:tc>
        <w:tc>
          <w:tcPr>
            <w:tcW w:w="6090" w:type="dxa"/>
            <w:vAlign w:val="center"/>
          </w:tcPr>
          <w:p w14:paraId="01FEFC0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Teknik, yüksek sıcaklıkta amonyak veya üre ile reaksiyona girerek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’in azota indirgenmesine dayanır. Amonyaklı su (%25’e kadar NH</w:t>
            </w:r>
            <w:r w:rsidRPr="009C6CAC">
              <w:rPr>
                <w:rFonts w:ascii="Times New Roman" w:hAnsi="Times New Roman" w:cs="Times New Roman"/>
                <w:sz w:val="24"/>
                <w:szCs w:val="24"/>
                <w:vertAlign w:val="subscript"/>
              </w:rPr>
              <w:t>3</w:t>
            </w:r>
            <w:r w:rsidRPr="009C6CAC">
              <w:rPr>
                <w:rFonts w:ascii="Times New Roman" w:hAnsi="Times New Roman" w:cs="Times New Roman"/>
                <w:sz w:val="24"/>
                <w:szCs w:val="24"/>
              </w:rPr>
              <w:t>), amonyak öncü bileşikleri veya üre çözeltisi, NO’yu N</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’ye indirgemek için yakma gazına enjekte edilir. Reaksiyon, yaklaşık 830℃ ila 1.050℃ sıcaklık aralığında optimum etkiye sahiptir ve enjekte edilen maddelerin NO ile reaksiyona girmesi için yeterli bekleme süresi sağlanmalıdır. NH</w:t>
            </w:r>
            <w:r w:rsidRPr="009C6CAC">
              <w:rPr>
                <w:rFonts w:ascii="Times New Roman" w:hAnsi="Times New Roman" w:cs="Times New Roman"/>
                <w:sz w:val="24"/>
                <w:szCs w:val="24"/>
                <w:vertAlign w:val="subscript"/>
              </w:rPr>
              <w:t>3</w:t>
            </w:r>
            <w:r w:rsidRPr="009C6CAC">
              <w:rPr>
                <w:rFonts w:ascii="Times New Roman" w:hAnsi="Times New Roman" w:cs="Times New Roman"/>
                <w:sz w:val="24"/>
                <w:szCs w:val="24"/>
              </w:rPr>
              <w:t xml:space="preserve"> kaymasını düşük seviyelerde tutmak için amonyak veya üre dozaj oranları kontrol edilmelidir.</w:t>
            </w:r>
          </w:p>
        </w:tc>
      </w:tr>
    </w:tbl>
    <w:p w14:paraId="28B5E42A" w14:textId="77777777" w:rsidR="00C07865" w:rsidRPr="009C6CAC" w:rsidRDefault="00C07865" w:rsidP="00C07865">
      <w:pPr>
        <w:spacing w:after="120" w:line="276" w:lineRule="auto"/>
        <w:jc w:val="both"/>
        <w:rPr>
          <w:rFonts w:ascii="Times New Roman" w:hAnsi="Times New Roman" w:cs="Times New Roman"/>
          <w:sz w:val="24"/>
          <w:szCs w:val="24"/>
        </w:rPr>
      </w:pPr>
    </w:p>
    <w:p w14:paraId="64FEF7AC"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(1.3) SO</w:t>
      </w:r>
      <w:r w:rsidRPr="009C6CAC">
        <w:rPr>
          <w:rFonts w:cs="Times New Roman"/>
          <w:bCs/>
          <w:szCs w:val="24"/>
          <w:vertAlign w:val="subscript"/>
        </w:rPr>
        <w:t>2</w:t>
      </w:r>
      <w:r w:rsidRPr="009C6CAC">
        <w:rPr>
          <w:rFonts w:cs="Times New Roman"/>
          <w:bCs/>
          <w:szCs w:val="24"/>
        </w:rPr>
        <w:t>/TRS Emisyonlarının Önlenmesi ve Kontrolü</w:t>
      </w:r>
    </w:p>
    <w:tbl>
      <w:tblPr>
        <w:tblStyle w:val="TabloKlavuzu"/>
        <w:tblW w:w="0" w:type="auto"/>
        <w:jc w:val="center"/>
        <w:tblLook w:val="04A0" w:firstRow="1" w:lastRow="0" w:firstColumn="1" w:lastColumn="0" w:noHBand="0" w:noVBand="1"/>
      </w:tblPr>
      <w:tblGrid>
        <w:gridCol w:w="2972"/>
        <w:gridCol w:w="6090"/>
      </w:tblGrid>
      <w:tr w:rsidR="00C07865" w:rsidRPr="009C6CAC" w14:paraId="3EB4AD3C" w14:textId="77777777" w:rsidTr="000D79D6">
        <w:trPr>
          <w:tblHeader/>
          <w:jc w:val="center"/>
        </w:trPr>
        <w:tc>
          <w:tcPr>
            <w:tcW w:w="2972" w:type="dxa"/>
            <w:vAlign w:val="center"/>
          </w:tcPr>
          <w:p w14:paraId="24706837"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6090" w:type="dxa"/>
            <w:vAlign w:val="center"/>
          </w:tcPr>
          <w:p w14:paraId="075ABA95"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669068C0" w14:textId="77777777" w:rsidTr="000D79D6">
        <w:trPr>
          <w:jc w:val="center"/>
        </w:trPr>
        <w:tc>
          <w:tcPr>
            <w:tcW w:w="2972" w:type="dxa"/>
            <w:vAlign w:val="center"/>
          </w:tcPr>
          <w:p w14:paraId="3466BF1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Kuru Katı İçerikli Siyah Likör</w:t>
            </w:r>
          </w:p>
        </w:tc>
        <w:tc>
          <w:tcPr>
            <w:tcW w:w="6090" w:type="dxa"/>
            <w:vAlign w:val="center"/>
          </w:tcPr>
          <w:p w14:paraId="64BDF5E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Siyah likörün daha yüksek kuru katı içeriği ile birlikte yanma sıcaklığı artar. Böylece, daha fazla sodyum (Na) buharlaşarak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’yi bağlayabilir ve Na</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SO</w:t>
            </w:r>
            <w:r w:rsidRPr="009C6CAC">
              <w:rPr>
                <w:rFonts w:ascii="Times New Roman" w:hAnsi="Times New Roman" w:cs="Times New Roman"/>
                <w:sz w:val="24"/>
                <w:szCs w:val="24"/>
                <w:vertAlign w:val="subscript"/>
              </w:rPr>
              <w:t>4</w:t>
            </w:r>
            <w:r w:rsidRPr="009C6CAC">
              <w:rPr>
                <w:rFonts w:ascii="Times New Roman" w:hAnsi="Times New Roman" w:cs="Times New Roman"/>
                <w:sz w:val="24"/>
                <w:szCs w:val="24"/>
              </w:rPr>
              <w:t xml:space="preserve"> oluşturarak geri kazanım kazanından kaynaklanan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 azaltabilir. Daha yüksek sıcaklığın bir dezavantajı, NO</w:t>
            </w:r>
            <w:r w:rsidRPr="009C6CAC">
              <w:rPr>
                <w:rFonts w:ascii="Times New Roman" w:hAnsi="Times New Roman" w:cs="Times New Roman"/>
                <w:sz w:val="24"/>
                <w:szCs w:val="24"/>
                <w:vertAlign w:val="subscript"/>
              </w:rPr>
              <w:t>x</w:t>
            </w:r>
            <w:r w:rsidRPr="009C6CAC">
              <w:rPr>
                <w:rFonts w:ascii="Times New Roman" w:hAnsi="Times New Roman" w:cs="Times New Roman"/>
                <w:sz w:val="24"/>
                <w:szCs w:val="24"/>
              </w:rPr>
              <w:t xml:space="preserve"> emisyonlarının artabilmesidir.</w:t>
            </w:r>
          </w:p>
        </w:tc>
      </w:tr>
      <w:tr w:rsidR="00C07865" w:rsidRPr="009C6CAC" w14:paraId="5107A0D9" w14:textId="77777777" w:rsidTr="000D79D6">
        <w:trPr>
          <w:jc w:val="center"/>
        </w:trPr>
        <w:tc>
          <w:tcPr>
            <w:tcW w:w="2972" w:type="dxa"/>
            <w:vAlign w:val="center"/>
          </w:tcPr>
          <w:p w14:paraId="4D0F7DE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Yakıt Seçimi/Düşük S İçerikli Yakıtlar</w:t>
            </w:r>
          </w:p>
        </w:tc>
        <w:tc>
          <w:tcPr>
            <w:tcW w:w="6090" w:type="dxa"/>
            <w:vAlign w:val="center"/>
          </w:tcPr>
          <w:p w14:paraId="665E76F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Ağırlıkça yaklaşık %0,02-0,05 kükürt içeriğine sahip düşük kükürt içerikli yakıtların (örn. orman biyokütlesi, ağaç kabuğu, düşük kükürt içerikli yağ, gaz) kullanılması, yanma sırasında yakıttaki kükürdün oksidasyonu sonucunda oluşan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 azaltır.</w:t>
            </w:r>
          </w:p>
        </w:tc>
      </w:tr>
      <w:tr w:rsidR="00C07865" w:rsidRPr="009C6CAC" w14:paraId="0B5DA1EC" w14:textId="77777777" w:rsidTr="000D79D6">
        <w:trPr>
          <w:jc w:val="center"/>
        </w:trPr>
        <w:tc>
          <w:tcPr>
            <w:tcW w:w="2972" w:type="dxa"/>
            <w:vAlign w:val="center"/>
          </w:tcPr>
          <w:p w14:paraId="2CB295F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Optimize Edilmiş Pişirme</w:t>
            </w:r>
          </w:p>
        </w:tc>
        <w:tc>
          <w:tcPr>
            <w:tcW w:w="6090" w:type="dxa"/>
            <w:vAlign w:val="center"/>
          </w:tcPr>
          <w:p w14:paraId="5A3055E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Etkin pişirme hızı kontrol sistemi (hava-yakıt, sıcaklık, bekleme süresi), fazla oksijenin kontrolü veya hava ve yakıtın iyi karıştırılması gibi teknikler.</w:t>
            </w:r>
          </w:p>
        </w:tc>
      </w:tr>
      <w:tr w:rsidR="00C07865" w:rsidRPr="009C6CAC" w14:paraId="0CC4D225" w14:textId="77777777" w:rsidTr="000D79D6">
        <w:trPr>
          <w:jc w:val="center"/>
        </w:trPr>
        <w:tc>
          <w:tcPr>
            <w:tcW w:w="2972" w:type="dxa"/>
            <w:vAlign w:val="center"/>
          </w:tcPr>
          <w:p w14:paraId="2219840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Kireç Çamuru Beslemesindeki Na</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 İçeriğinin Kontrolü</w:t>
            </w:r>
          </w:p>
        </w:tc>
        <w:tc>
          <w:tcPr>
            <w:tcW w:w="6090" w:type="dxa"/>
            <w:vAlign w:val="center"/>
          </w:tcPr>
          <w:p w14:paraId="47EA90E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Kireç çamurunun etkili bir şekilde yıkanması ve filtrasyonu, Na</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S konsantrasyonunu azaltır; böylece, yeniden yakma prosesi sırasında fırında hidrojen sülfür oluşumu da azalır.</w:t>
            </w:r>
          </w:p>
        </w:tc>
      </w:tr>
      <w:tr w:rsidR="00C07865" w:rsidRPr="009C6CAC" w14:paraId="1BD4B9CC" w14:textId="77777777" w:rsidTr="000D79D6">
        <w:trPr>
          <w:jc w:val="center"/>
        </w:trPr>
        <w:tc>
          <w:tcPr>
            <w:tcW w:w="2972" w:type="dxa"/>
            <w:vAlign w:val="center"/>
          </w:tcPr>
          <w:p w14:paraId="75BE971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Emisyonlarının Toplanması ve Geri Kazanımı</w:t>
            </w:r>
          </w:p>
        </w:tc>
        <w:tc>
          <w:tcPr>
            <w:tcW w:w="6090" w:type="dxa"/>
            <w:vAlign w:val="center"/>
          </w:tcPr>
          <w:p w14:paraId="2BB6B89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Asit banyosu, çürütücüler, difüzörler veya boşaltma tanklarından kaynaklanan yüksek konsantrasyonlu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gazları toplanır.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hem ekonomik hem de çevresel sebeplerden dolayı farklı basınç seviyeleri ile birlikte absorpsiyon tanklarında geri kazanılır.</w:t>
            </w:r>
          </w:p>
        </w:tc>
      </w:tr>
      <w:tr w:rsidR="00C07865" w:rsidRPr="009C6CAC" w14:paraId="7CD30014" w14:textId="77777777" w:rsidTr="000D79D6">
        <w:trPr>
          <w:jc w:val="center"/>
        </w:trPr>
        <w:tc>
          <w:tcPr>
            <w:tcW w:w="2972" w:type="dxa"/>
            <w:vAlign w:val="center"/>
          </w:tcPr>
          <w:p w14:paraId="4AE8966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Kokulu Gazların ve TRS’nin Yakılması</w:t>
            </w:r>
          </w:p>
        </w:tc>
        <w:tc>
          <w:tcPr>
            <w:tcW w:w="6090" w:type="dxa"/>
            <w:vAlign w:val="center"/>
          </w:tcPr>
          <w:p w14:paraId="57DE0E2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Toplanan güçlü gazlar; geri kazanım kazanında, özel TRS brülörlerinde veya kireç fırınında yakılarak yok edilebilir. Toplanan zayıf gazlar ise; geri kazanım kazanında, kireç fırınında, güç kazanında veya özel TRS brülöründe yakılmak için uygundur. Eritme tankı havalandırma gazları, modern geri kazanım kazanlarında yakılabilir.</w:t>
            </w:r>
          </w:p>
        </w:tc>
      </w:tr>
      <w:tr w:rsidR="00C07865" w:rsidRPr="009C6CAC" w14:paraId="58DA7062" w14:textId="77777777" w:rsidTr="000D79D6">
        <w:trPr>
          <w:jc w:val="center"/>
        </w:trPr>
        <w:tc>
          <w:tcPr>
            <w:tcW w:w="2972" w:type="dxa"/>
            <w:vAlign w:val="center"/>
          </w:tcPr>
          <w:p w14:paraId="45B70BC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Zayıf Gazların Geri Kazanım Kazanında Toplanması ve Yakılması</w:t>
            </w:r>
          </w:p>
        </w:tc>
        <w:tc>
          <w:tcPr>
            <w:tcW w:w="6090" w:type="dxa"/>
            <w:vAlign w:val="center"/>
          </w:tcPr>
          <w:p w14:paraId="1A4ADB2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Yedek bir sistem ile birlikte, zayıf gazların (büyük hacim, düşük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konsantrasyonları) yakılması.</w:t>
            </w:r>
          </w:p>
          <w:p w14:paraId="44C57008" w14:textId="77777777" w:rsidR="00C07865" w:rsidRPr="009C6CAC" w:rsidRDefault="00C07865" w:rsidP="000D79D6">
            <w:pPr>
              <w:jc w:val="both"/>
              <w:rPr>
                <w:rFonts w:ascii="Times New Roman" w:hAnsi="Times New Roman" w:cs="Times New Roman"/>
                <w:sz w:val="24"/>
                <w:szCs w:val="24"/>
              </w:rPr>
            </w:pPr>
          </w:p>
          <w:p w14:paraId="6567C41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Zayıf gazlar ve diğer kokulu bileşenler, geri kazanım kazanında yakılmak üzere eş zamanlı bir şekilde toplanır. Kükürt dioksit, geri kazanım kazanının çıkış gazından ters akımlı çok aşamalı yıkayıcılar ile geri kazanılır ve pişirme kimyasalı olarak yeniden kullanılır. Yedek sistem olarak yıkayıcılar kullanılır.</w:t>
            </w:r>
          </w:p>
        </w:tc>
      </w:tr>
      <w:tr w:rsidR="00C07865" w:rsidRPr="009C6CAC" w14:paraId="0FE8B1CC" w14:textId="77777777" w:rsidTr="000D79D6">
        <w:trPr>
          <w:jc w:val="center"/>
        </w:trPr>
        <w:tc>
          <w:tcPr>
            <w:tcW w:w="2972" w:type="dxa"/>
            <w:vAlign w:val="center"/>
          </w:tcPr>
          <w:p w14:paraId="4F164B2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Islak Yıkayıcı</w:t>
            </w:r>
          </w:p>
        </w:tc>
        <w:tc>
          <w:tcPr>
            <w:tcW w:w="6090" w:type="dxa"/>
            <w:vAlign w:val="center"/>
          </w:tcPr>
          <w:p w14:paraId="254CD73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Gaz halindeki bileşikler, uygun bir sıvıda (su veya alkali çözelti) çözünür. Katı ve gaz halindeki bileşiklerin eş zamanlı bir şekilde uzaklaştırılması mümkün olabilir. Islak yıkayıcının alt akım yönünde baca gazları, su ile doygunluğa ulaştırılır ve baca gazlarının deşarjından önce damlacıkların ayrıştırılması gerekir. Sonuçta oluşan sıvı, bir atık su prosesi ile arıtılmalıdır ve çözünmez madde ise sedimantasyon veya filtrasyon ile toplanır.</w:t>
            </w:r>
          </w:p>
        </w:tc>
      </w:tr>
      <w:tr w:rsidR="00C07865" w:rsidRPr="009C6CAC" w14:paraId="6131CC9C" w14:textId="77777777" w:rsidTr="000D79D6">
        <w:trPr>
          <w:jc w:val="center"/>
        </w:trPr>
        <w:tc>
          <w:tcPr>
            <w:tcW w:w="2972" w:type="dxa"/>
            <w:vAlign w:val="center"/>
          </w:tcPr>
          <w:p w14:paraId="6CF992A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Çok Aşamalı Venturi Yıkayıcıları veya Çok Aşamalı Çift Girişli Alt Akım Yıkayıcıları ile ESP veya Çoklu Siklonlar</w:t>
            </w:r>
          </w:p>
        </w:tc>
        <w:tc>
          <w:tcPr>
            <w:tcW w:w="6090" w:type="dxa"/>
            <w:vAlign w:val="center"/>
          </w:tcPr>
          <w:p w14:paraId="3D7C360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Tozun ayrılması, bir elektrostatik filtre veya çok aşamalı siklonda gerçekleştirilir. Magnezyum sülfit prosesi için, ESP’de tutulan toz esas olarak MgO’dan, az miktarda da K, Na veya Ca bileşiklerinden oluşur. Geri kazanılan MgO külü, su ile süspansiyon halinde tutulur ve Mg(OH)</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oluşturmak için yıkama ve söndürme yoluyla temizlenir ve daha sonra pişirme kimyasallarının kükürt bileşenini geri kazanmak için çok aşamalı yıkayıcılarda alkali yıkama çözeltisi olarak kullanılır. Amonyum sülfit prosesi için, yanma prosesinde azota ayrıştığı için amonyak bazı (NH</w:t>
            </w:r>
            <w:r w:rsidRPr="009C6CAC">
              <w:rPr>
                <w:rFonts w:ascii="Times New Roman" w:hAnsi="Times New Roman" w:cs="Times New Roman"/>
                <w:sz w:val="24"/>
                <w:szCs w:val="24"/>
                <w:vertAlign w:val="subscript"/>
              </w:rPr>
              <w:t>3</w:t>
            </w:r>
            <w:r w:rsidRPr="009C6CAC">
              <w:rPr>
                <w:rFonts w:ascii="Times New Roman" w:hAnsi="Times New Roman" w:cs="Times New Roman"/>
                <w:sz w:val="24"/>
                <w:szCs w:val="24"/>
              </w:rPr>
              <w:t>) geri kazanılmaz. Tozun uzaklaştırılmasından sonra baca gazı, su ile çalışan bir soğutma yıkayıcısından geçirilerek soğutulur ve daha sonra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emisyonlarının, magnezyum sülfit prosesi durumunda Mg(OH)</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alkali çözeltisi ve amonyum sülfit prosesi durumunda 100% taze NH</w:t>
            </w:r>
            <w:r w:rsidRPr="009C6CAC">
              <w:rPr>
                <w:rFonts w:ascii="Times New Roman" w:hAnsi="Times New Roman" w:cs="Times New Roman"/>
                <w:sz w:val="24"/>
                <w:szCs w:val="24"/>
                <w:vertAlign w:val="subscript"/>
              </w:rPr>
              <w:t>3</w:t>
            </w:r>
            <w:r w:rsidRPr="009C6CAC">
              <w:rPr>
                <w:rFonts w:ascii="Times New Roman" w:hAnsi="Times New Roman" w:cs="Times New Roman"/>
                <w:sz w:val="24"/>
                <w:szCs w:val="24"/>
              </w:rPr>
              <w:t xml:space="preserve"> çözeltisi ile yıkandığı üç veya daha fazla aşamalı bir baca gazı yıkayıcısına aktarılır.</w:t>
            </w:r>
          </w:p>
        </w:tc>
      </w:tr>
    </w:tbl>
    <w:p w14:paraId="4E83789A" w14:textId="77777777" w:rsidR="00C07865" w:rsidRPr="009C6CAC" w:rsidRDefault="00C07865" w:rsidP="00C07865">
      <w:pPr>
        <w:spacing w:after="120" w:line="276" w:lineRule="auto"/>
        <w:jc w:val="both"/>
        <w:rPr>
          <w:rFonts w:ascii="Times New Roman" w:hAnsi="Times New Roman" w:cs="Times New Roman"/>
          <w:sz w:val="24"/>
          <w:szCs w:val="24"/>
        </w:rPr>
      </w:pPr>
    </w:p>
    <w:p w14:paraId="24B6966C"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(2) Tatlı Su Kullanımını/Atık Su Akışını ve Atık Sudaki Kirlilik Yükünü Azaltmaya Yönelik Tekniklerin Açıklamaları</w:t>
      </w:r>
    </w:p>
    <w:p w14:paraId="0BB564FC"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(2.1) Prosese Entegre Teknikler</w:t>
      </w:r>
    </w:p>
    <w:tbl>
      <w:tblPr>
        <w:tblStyle w:val="TabloKlavuzu"/>
        <w:tblW w:w="0" w:type="auto"/>
        <w:jc w:val="center"/>
        <w:tblLook w:val="04A0" w:firstRow="1" w:lastRow="0" w:firstColumn="1" w:lastColumn="0" w:noHBand="0" w:noVBand="1"/>
      </w:tblPr>
      <w:tblGrid>
        <w:gridCol w:w="2972"/>
        <w:gridCol w:w="6090"/>
      </w:tblGrid>
      <w:tr w:rsidR="00C07865" w:rsidRPr="009C6CAC" w14:paraId="3E462AB7" w14:textId="77777777" w:rsidTr="000D79D6">
        <w:trPr>
          <w:tblHeader/>
          <w:jc w:val="center"/>
        </w:trPr>
        <w:tc>
          <w:tcPr>
            <w:tcW w:w="2972" w:type="dxa"/>
            <w:vAlign w:val="center"/>
          </w:tcPr>
          <w:p w14:paraId="48EFD06B"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6090" w:type="dxa"/>
            <w:vAlign w:val="center"/>
          </w:tcPr>
          <w:p w14:paraId="331B6D8B"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5D4A22D2" w14:textId="77777777" w:rsidTr="000D79D6">
        <w:trPr>
          <w:jc w:val="center"/>
        </w:trPr>
        <w:tc>
          <w:tcPr>
            <w:tcW w:w="2972" w:type="dxa"/>
            <w:vAlign w:val="center"/>
          </w:tcPr>
          <w:p w14:paraId="24E1715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Kuru Kabuk Soyma</w:t>
            </w:r>
          </w:p>
        </w:tc>
        <w:tc>
          <w:tcPr>
            <w:tcW w:w="6090" w:type="dxa"/>
            <w:vAlign w:val="center"/>
          </w:tcPr>
          <w:p w14:paraId="77C50B2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Kuru tamburlarda odun kütüklerinin kabuklarının kuru soyulması (su, sadece kütüklerin yıkanmasında kullanılır ve sonra atık su arıtma tesisine minimum aktarma ile geri dönüştürülür).</w:t>
            </w:r>
          </w:p>
        </w:tc>
      </w:tr>
      <w:tr w:rsidR="00C07865" w:rsidRPr="009C6CAC" w14:paraId="25E9F86D" w14:textId="77777777" w:rsidTr="000D79D6">
        <w:trPr>
          <w:jc w:val="center"/>
        </w:trPr>
        <w:tc>
          <w:tcPr>
            <w:tcW w:w="2972" w:type="dxa"/>
            <w:vAlign w:val="center"/>
          </w:tcPr>
          <w:p w14:paraId="0026C71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Tamamen Klorsuz Ağartma (TCF)</w:t>
            </w:r>
          </w:p>
        </w:tc>
        <w:tc>
          <w:tcPr>
            <w:tcW w:w="6090" w:type="dxa"/>
            <w:vAlign w:val="center"/>
          </w:tcPr>
          <w:p w14:paraId="6AB1111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TCF ile ağartmada, klor içerikli ağartma kimyasallarının kullanımından tamamen kaçınılır ve böylece, ağartmadan kaynaklanan organik ve organoklorlu madde emisyonları da önlenir.</w:t>
            </w:r>
          </w:p>
        </w:tc>
      </w:tr>
      <w:tr w:rsidR="00C07865" w:rsidRPr="009C6CAC" w14:paraId="4B9D0CE2" w14:textId="77777777" w:rsidTr="000D79D6">
        <w:trPr>
          <w:jc w:val="center"/>
        </w:trPr>
        <w:tc>
          <w:tcPr>
            <w:tcW w:w="2972" w:type="dxa"/>
            <w:vAlign w:val="center"/>
          </w:tcPr>
          <w:p w14:paraId="1BEC37A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Modern Elementer Klorsuz Ağartma (ECF)</w:t>
            </w:r>
          </w:p>
        </w:tc>
        <w:tc>
          <w:tcPr>
            <w:tcW w:w="6090" w:type="dxa"/>
            <w:vAlign w:val="center"/>
          </w:tcPr>
          <w:p w14:paraId="501EE0A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Modern ECF ile ağartma, şu ağartma aşamalarının birini veya bir kombinasyonunu kullanarak klor dioksit tüketimini en aza indirir: oksijen, sıcak asit hidroliz aşaması, orta ve yüksek kıvamda ozon aşaması, atmosferik hidrojen peroksit ve </w:t>
            </w:r>
            <w:r w:rsidRPr="009C6CAC">
              <w:rPr>
                <w:rFonts w:ascii="Times New Roman" w:hAnsi="Times New Roman" w:cs="Times New Roman"/>
                <w:sz w:val="24"/>
                <w:szCs w:val="24"/>
              </w:rPr>
              <w:lastRenderedPageBreak/>
              <w:t>basınçlı hidrojen peroksit ile olan aşamalar veya sıcak klor dioksit aşamasının kullanımı.</w:t>
            </w:r>
          </w:p>
        </w:tc>
      </w:tr>
      <w:tr w:rsidR="00C07865" w:rsidRPr="009C6CAC" w14:paraId="0D673270" w14:textId="77777777" w:rsidTr="000D79D6">
        <w:trPr>
          <w:jc w:val="center"/>
        </w:trPr>
        <w:tc>
          <w:tcPr>
            <w:tcW w:w="2972" w:type="dxa"/>
            <w:vAlign w:val="center"/>
          </w:tcPr>
          <w:p w14:paraId="6304060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Uzatılmış Delignifikasyon</w:t>
            </w:r>
          </w:p>
        </w:tc>
        <w:tc>
          <w:tcPr>
            <w:tcW w:w="6090" w:type="dxa"/>
            <w:vAlign w:val="center"/>
          </w:tcPr>
          <w:p w14:paraId="2C672E4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Modifiye edilmiş pişirme (a) veya oksijenle delignifikasyon (b) ile uzatılmış delignifikasyon, ağartmadan önce kağıt hamurunun delignifikasyon derecesini iyileştirir (kappa sayısını düşürerek) ve böylece, ağartma kimyasallarının kullanımı ile atık suyun </w:t>
            </w:r>
            <w:r w:rsidR="009D570E">
              <w:rPr>
                <w:rFonts w:ascii="Times New Roman" w:hAnsi="Times New Roman" w:cs="Times New Roman"/>
                <w:sz w:val="24"/>
                <w:szCs w:val="24"/>
              </w:rPr>
              <w:t>KOİ</w:t>
            </w:r>
            <w:r w:rsidRPr="009C6CAC">
              <w:rPr>
                <w:rFonts w:ascii="Times New Roman" w:hAnsi="Times New Roman" w:cs="Times New Roman"/>
                <w:sz w:val="24"/>
                <w:szCs w:val="24"/>
              </w:rPr>
              <w:t xml:space="preserve"> yükü azaltılır. Ağartmadan önce kappa sayısının bir birim düşürülmesi, ağartma tesisinden çıkan </w:t>
            </w:r>
            <w:r w:rsidR="009D570E">
              <w:rPr>
                <w:rFonts w:ascii="Times New Roman" w:hAnsi="Times New Roman" w:cs="Times New Roman"/>
                <w:sz w:val="24"/>
                <w:szCs w:val="24"/>
              </w:rPr>
              <w:t>KOİ</w:t>
            </w:r>
            <w:r w:rsidRPr="009C6CAC">
              <w:rPr>
                <w:rFonts w:ascii="Times New Roman" w:hAnsi="Times New Roman" w:cs="Times New Roman"/>
                <w:sz w:val="24"/>
                <w:szCs w:val="24"/>
              </w:rPr>
              <w:t xml:space="preserve">’yi yaklaşık 2 kg </w:t>
            </w:r>
            <w:r w:rsidR="009D570E">
              <w:rPr>
                <w:rFonts w:ascii="Times New Roman" w:hAnsi="Times New Roman" w:cs="Times New Roman"/>
                <w:sz w:val="24"/>
                <w:szCs w:val="24"/>
              </w:rPr>
              <w:t>KOİ</w:t>
            </w:r>
            <w:r w:rsidRPr="009C6CAC">
              <w:rPr>
                <w:rFonts w:ascii="Times New Roman" w:hAnsi="Times New Roman" w:cs="Times New Roman"/>
                <w:sz w:val="24"/>
                <w:szCs w:val="24"/>
              </w:rPr>
              <w:t>/ADt kadar azaltabilir. Uzaklaştırılan lignin geri kazanılabilir ve kimyasal ve enerji geri kazanım sistemine gönderilebilir.</w:t>
            </w:r>
          </w:p>
        </w:tc>
      </w:tr>
      <w:tr w:rsidR="00C07865" w:rsidRPr="009C6CAC" w14:paraId="2B48CA86" w14:textId="77777777" w:rsidTr="000D79D6">
        <w:trPr>
          <w:jc w:val="center"/>
        </w:trPr>
        <w:tc>
          <w:tcPr>
            <w:tcW w:w="2972" w:type="dxa"/>
            <w:vAlign w:val="center"/>
          </w:tcPr>
          <w:p w14:paraId="4B06A19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 Uzatılmış ve Modifiye Edilmiş Pişirme</w:t>
            </w:r>
          </w:p>
        </w:tc>
        <w:tc>
          <w:tcPr>
            <w:tcW w:w="6090" w:type="dxa"/>
            <w:vAlign w:val="center"/>
          </w:tcPr>
          <w:p w14:paraId="587212D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Uzatılmış pişirme (kesikli beslemeli veya sürekli sistemler), ağartmadan önce -gereksiz karbonhidrat bozunumu veya kağıt hamuru mukavemetinde fazla kayıp olmadan- maksimum miktarda lignin elde etmek için optimize edilmiş koşullar altında (örn. pişirme liköründeki alkali konsantrasyonunun pişirme prosesinin başında daha düşük ve pişirme prosesinin sonunda daha yüksek olacak şekilde ayarlanması) daha uzun pişirme sürelerinden oluşur. Böylece, daha sonraki ağartma aşamasındaki kimyasal kullanımı ile ağartma tesisinden kaynaklanan atık suyun organik yükü azaltılabilir.</w:t>
            </w:r>
          </w:p>
        </w:tc>
      </w:tr>
      <w:tr w:rsidR="00C07865" w:rsidRPr="009C6CAC" w14:paraId="0EB8B099" w14:textId="77777777" w:rsidTr="000D79D6">
        <w:trPr>
          <w:jc w:val="center"/>
        </w:trPr>
        <w:tc>
          <w:tcPr>
            <w:tcW w:w="2972" w:type="dxa"/>
            <w:vAlign w:val="center"/>
          </w:tcPr>
          <w:p w14:paraId="228E2E0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 Oksijenle Delignifikasyon</w:t>
            </w:r>
          </w:p>
        </w:tc>
        <w:tc>
          <w:tcPr>
            <w:tcW w:w="6090" w:type="dxa"/>
            <w:vAlign w:val="center"/>
          </w:tcPr>
          <w:p w14:paraId="43898B7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Oksijenle delignifikasyon, pişirme biriminin daha yüksek kappa sayıları ile çalışması gerektiği durumlarda, pişirmeden sonra kalan ligninin önemli bir kısmını uzaklaştırmak için bir seçenektir. Kalan ligninin bir kısmını uzaklaştırmak için kağıt hamuru, alkali koşullar altında oksijen ile tepkimeye girer.</w:t>
            </w:r>
          </w:p>
        </w:tc>
      </w:tr>
      <w:tr w:rsidR="00C07865" w:rsidRPr="009C6CAC" w14:paraId="49D0DA6E" w14:textId="77777777" w:rsidTr="000D79D6">
        <w:trPr>
          <w:jc w:val="center"/>
        </w:trPr>
        <w:tc>
          <w:tcPr>
            <w:tcW w:w="2972" w:type="dxa"/>
            <w:vAlign w:val="center"/>
          </w:tcPr>
          <w:p w14:paraId="5E5B98E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Kapalı ve Etkin Esmer Hamur Taraması ve Yıkaması</w:t>
            </w:r>
          </w:p>
        </w:tc>
        <w:tc>
          <w:tcPr>
            <w:tcW w:w="6090" w:type="dxa"/>
            <w:vAlign w:val="center"/>
          </w:tcPr>
          <w:p w14:paraId="7B06908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Esmer hamur taraması/elemesi, çok aşamalı kapalı bir döngüde oluklu basınçlı elekler ile yürütülür. Böylece safsızlıklar ve kıymıklar, prosesin erken bir aşamasında uzaklaştırılır.</w:t>
            </w:r>
          </w:p>
          <w:p w14:paraId="45E3F32C" w14:textId="77777777" w:rsidR="00C07865" w:rsidRPr="009C6CAC" w:rsidRDefault="00C07865" w:rsidP="000D79D6">
            <w:pPr>
              <w:jc w:val="both"/>
              <w:rPr>
                <w:rFonts w:ascii="Times New Roman" w:hAnsi="Times New Roman" w:cs="Times New Roman"/>
                <w:sz w:val="24"/>
                <w:szCs w:val="24"/>
              </w:rPr>
            </w:pPr>
          </w:p>
          <w:p w14:paraId="54F4AE5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Esmer hamur yıkaması, çözünmüş organik ve inorganik kimyasalları kağıt hamuru liflerinden ayırır. Esmer hamur, ilk önce çürütücüde, sonrasında ise oksijenle delignifikasyon öncesinde ve sonrasında -başka bir ifadeyle, ağartma öncesinde- yüksek verimli yıkayıcılarda yıkanabilir. Kalıntılar, ağartmadaki kimyasal tüketimi ve atık suyun emisyon yükü azaltılır. Buna ek olarak, yıkama suyundan pişirme kimyasallarının geri kazanımı mümkün olur. Etkin yıkama, filtre ve presler kullanılarak ters akımlı çok aşamalı yıkama ile yapılır. Esmer hamur tarama/eleme birimindeki su sistemi, tamamen kapalıdır.</w:t>
            </w:r>
          </w:p>
        </w:tc>
      </w:tr>
      <w:tr w:rsidR="00C07865" w:rsidRPr="009C6CAC" w14:paraId="282A6F3B" w14:textId="77777777" w:rsidTr="000D79D6">
        <w:trPr>
          <w:jc w:val="center"/>
        </w:trPr>
        <w:tc>
          <w:tcPr>
            <w:tcW w:w="2972" w:type="dxa"/>
            <w:vAlign w:val="center"/>
          </w:tcPr>
          <w:p w14:paraId="6C5888D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Ağartma Tesisinde Proses Suyu Kısmi Geri Dönüşümü</w:t>
            </w:r>
          </w:p>
        </w:tc>
        <w:tc>
          <w:tcPr>
            <w:tcW w:w="6090" w:type="dxa"/>
            <w:vAlign w:val="center"/>
          </w:tcPr>
          <w:p w14:paraId="1B86D35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Asit ve alkali filtratlar, ağartma tesisinde kağıt hamuru akışına ters bir akış ile geri dönüştürülür. Su, ya atık su arıtma tesisine aktarılır ya da, bazı durumlarda, oksijen sonrası yıkamaya gönderilir.</w:t>
            </w:r>
          </w:p>
          <w:p w14:paraId="1E66504D" w14:textId="77777777" w:rsidR="00C07865" w:rsidRPr="009C6CAC" w:rsidRDefault="00C07865" w:rsidP="000D79D6">
            <w:pPr>
              <w:jc w:val="both"/>
              <w:rPr>
                <w:rFonts w:ascii="Times New Roman" w:hAnsi="Times New Roman" w:cs="Times New Roman"/>
                <w:sz w:val="24"/>
                <w:szCs w:val="24"/>
              </w:rPr>
            </w:pPr>
          </w:p>
          <w:p w14:paraId="56236D7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Ara yıkama aşamalarındaki etkin yıkayıcılar, düşük emisyonlar için bir ön koşuldur. Etkin fabrikalarda (kraft), 12-25 m</w:t>
            </w:r>
            <w:r w:rsidRPr="009C6CAC">
              <w:rPr>
                <w:rFonts w:ascii="Times New Roman" w:hAnsi="Times New Roman" w:cs="Times New Roman"/>
                <w:sz w:val="24"/>
                <w:szCs w:val="24"/>
                <w:vertAlign w:val="superscript"/>
              </w:rPr>
              <w:t>3</w:t>
            </w:r>
            <w:r w:rsidRPr="009C6CAC">
              <w:rPr>
                <w:rFonts w:ascii="Times New Roman" w:hAnsi="Times New Roman" w:cs="Times New Roman"/>
                <w:sz w:val="24"/>
                <w:szCs w:val="24"/>
              </w:rPr>
              <w:t>/ADt aralığında bir ağartma tesisi atık su akışı elde edilir.</w:t>
            </w:r>
          </w:p>
        </w:tc>
      </w:tr>
      <w:tr w:rsidR="00C07865" w:rsidRPr="009C6CAC" w14:paraId="508CBFBC" w14:textId="77777777" w:rsidTr="000D79D6">
        <w:trPr>
          <w:jc w:val="center"/>
        </w:trPr>
        <w:tc>
          <w:tcPr>
            <w:tcW w:w="2972" w:type="dxa"/>
            <w:vAlign w:val="center"/>
          </w:tcPr>
          <w:p w14:paraId="7EF9E27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Etkin Döküntü İzleme ve Kontrolü, Kimyasal ve Enerji Geri Kazanımı ile</w:t>
            </w:r>
          </w:p>
        </w:tc>
        <w:tc>
          <w:tcPr>
            <w:tcW w:w="6090" w:type="dxa"/>
            <w:vAlign w:val="center"/>
          </w:tcPr>
          <w:p w14:paraId="53725D6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organik ve bazen de toksik yüklerin kazara salımını veya tepe pH değerlerini (ikincil atık su arıtma tesisine) önleyen etkin bir döküntü kontrol, yakalama ve geri kazanım sistemi, şunlardan oluşur:</w:t>
            </w:r>
          </w:p>
          <w:p w14:paraId="6577093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kayıpları ve döküntüleri tespit etmek için stratejik noktalarda geçirgenlik veya pH izleme;</w:t>
            </w:r>
          </w:p>
          <w:p w14:paraId="22A9956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dökülen likörü, olası en yüksek likör katı konsantrasyonunda toplama;</w:t>
            </w:r>
          </w:p>
          <w:p w14:paraId="5ED4F45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toplanan likör ve lifi, uygun noktalarda prosese geri gönderme;</w:t>
            </w:r>
          </w:p>
          <w:p w14:paraId="2AADC33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kritik proses alanlarından kaynaklanan konsantre veya zararlı akış döküntülerini (tall yağı ve terebentin dahil), biyolojik atık su arıtımına gitmekten önleme;</w:t>
            </w:r>
          </w:p>
          <w:p w14:paraId="6726A4C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toksik veya sıcak konsantre likörleri toplamak ve depolamak için uygun bir şekilde boyutlandırılmış tampon tankları.</w:t>
            </w:r>
          </w:p>
        </w:tc>
      </w:tr>
      <w:tr w:rsidR="00C07865" w:rsidRPr="009C6CAC" w14:paraId="47AF6226" w14:textId="77777777" w:rsidTr="000D79D6">
        <w:trPr>
          <w:jc w:val="center"/>
        </w:trPr>
        <w:tc>
          <w:tcPr>
            <w:tcW w:w="2972" w:type="dxa"/>
            <w:vAlign w:val="center"/>
          </w:tcPr>
          <w:p w14:paraId="42A46DC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Tepe Yüklerin Üstesinden Gelmek İçin Yeterli Bir Siyah Likör Buharlaşması ile Geri Kazanım Kazanı Kapasitesinin Sağlanması</w:t>
            </w:r>
          </w:p>
        </w:tc>
        <w:tc>
          <w:tcPr>
            <w:tcW w:w="6090" w:type="dxa"/>
            <w:vAlign w:val="center"/>
          </w:tcPr>
          <w:p w14:paraId="39146D5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Siyah likör buharlaşma tesisi ile geri kazanım kazanındaki yeterli kapasite, döküntülerin veya ağartma tesisi atık sularının toplanmasından dolayı oluşan ilave likör ve kuru katı yükleri ile başa çıkabilmeyi sağlar. Bu; zayıf siyah likör kayıplarını, diğer konsantre proses atık sularını ve olası ağartma tesisi filtratlarını azaltır.</w:t>
            </w:r>
          </w:p>
          <w:p w14:paraId="5FB49593" w14:textId="77777777" w:rsidR="00C07865" w:rsidRPr="009C6CAC" w:rsidRDefault="00C07865" w:rsidP="000D79D6">
            <w:pPr>
              <w:jc w:val="both"/>
              <w:rPr>
                <w:rFonts w:ascii="Times New Roman" w:hAnsi="Times New Roman" w:cs="Times New Roman"/>
                <w:sz w:val="24"/>
                <w:szCs w:val="24"/>
              </w:rPr>
            </w:pPr>
          </w:p>
          <w:p w14:paraId="2DDB0DD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Çoklu etkiye sahip evaporatör, esmer hamur yıkamadan gelen zayıf siyah likörü ve bazı durumlarda atık su arıtma tesisinden gelen biyoçamuru ve/veya ClO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tesisinden gelen tuz kekini yoğunlaştırır. Normal çalışma durumu üzerindeki ilave buharlaşma kapasitesi, döküntülerin geri kazanılması ve olası ağartma filtratı geri dönüşüm kollarının arıtılması için yeterli ihtimali sağlar.</w:t>
            </w:r>
          </w:p>
        </w:tc>
      </w:tr>
      <w:tr w:rsidR="00C07865" w:rsidRPr="009C6CAC" w14:paraId="1878A015" w14:textId="77777777" w:rsidTr="000D79D6">
        <w:trPr>
          <w:jc w:val="center"/>
        </w:trPr>
        <w:tc>
          <w:tcPr>
            <w:tcW w:w="2972" w:type="dxa"/>
            <w:vAlign w:val="center"/>
          </w:tcPr>
          <w:p w14:paraId="2E55329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Kontamine Yoğuşuk Maddelerin Giderilmesi ve Bunların Proseste Yeniden Kullanılması</w:t>
            </w:r>
          </w:p>
        </w:tc>
        <w:tc>
          <w:tcPr>
            <w:tcW w:w="6090" w:type="dxa"/>
            <w:vAlign w:val="center"/>
          </w:tcPr>
          <w:p w14:paraId="1583463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Kontamine yoğuşuk maddelerin giderilmesi ve bunların proseste yeniden kullanılması, fabrikanın tatlı su girdisini ve atık su arıtma tesisine olan organik yükü azaltır.</w:t>
            </w:r>
          </w:p>
          <w:p w14:paraId="682A7B82" w14:textId="77777777" w:rsidR="00C07865" w:rsidRPr="009C6CAC" w:rsidRDefault="00C07865" w:rsidP="000D79D6">
            <w:pPr>
              <w:jc w:val="both"/>
              <w:rPr>
                <w:rFonts w:ascii="Times New Roman" w:hAnsi="Times New Roman" w:cs="Times New Roman"/>
                <w:sz w:val="24"/>
                <w:szCs w:val="24"/>
              </w:rPr>
            </w:pPr>
          </w:p>
          <w:p w14:paraId="40D112E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Giderme sütununda buhar; indirgenmiş kükürt bileşikleri, terpen, metanol ve diğer organik bileşikleri içeren önceden filtrelenmiş proses yoğuşuk maddelerinin içinden ters akıntı şeklinde geçirilir. Yoğuşuk maddedeki uçucular, yoğuşmayan gaz ve metanol olarak yukarıdaki buharda birikir ve sistemden çekilir. Arıtılmış yoğuşuk maddeler, proseste yeniden kullanılabilir; örneğin, ağartma tesisinde yıkama için, esmer hamur yıkaması için, kireç fırınları için TRS yıkama likörü veya beyaz likör ilave suyu olarak kostifikasyon alanında (çamur yıkama ve seyreltme, çamur filtreli yıkamalar).</w:t>
            </w:r>
          </w:p>
          <w:p w14:paraId="2FCEF83E" w14:textId="77777777" w:rsidR="00C07865" w:rsidRPr="009C6CAC" w:rsidRDefault="00C07865" w:rsidP="000D79D6">
            <w:pPr>
              <w:jc w:val="both"/>
              <w:rPr>
                <w:rFonts w:ascii="Times New Roman" w:hAnsi="Times New Roman" w:cs="Times New Roman"/>
                <w:sz w:val="24"/>
                <w:szCs w:val="24"/>
              </w:rPr>
            </w:pPr>
          </w:p>
          <w:p w14:paraId="3216319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En konsantre yoğuşuk maddelerden giderilen yoğuşmayan gazlar, gülü kötü kokulu gazlar için toplama sistemine beslenir ve yakılır. Kısmen kontamine yoğuşuk maddelerden giderilen gazlar, düşük hacimli yüksek konsantrasyonlu gaz sistemine (LVHC) toplanır ve yakılır.</w:t>
            </w:r>
          </w:p>
        </w:tc>
      </w:tr>
      <w:tr w:rsidR="00C07865" w:rsidRPr="009C6CAC" w14:paraId="2E6BDC7D" w14:textId="77777777" w:rsidTr="000D79D6">
        <w:trPr>
          <w:jc w:val="center"/>
        </w:trPr>
        <w:tc>
          <w:tcPr>
            <w:tcW w:w="2972" w:type="dxa"/>
            <w:vAlign w:val="center"/>
          </w:tcPr>
          <w:p w14:paraId="66A20AA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Sıcak Alkali Ekstraksiyon Aşamasından Kaynaklanan Atık Suların Buharlaştırılması ve Yakılması</w:t>
            </w:r>
          </w:p>
        </w:tc>
        <w:tc>
          <w:tcPr>
            <w:tcW w:w="6090" w:type="dxa"/>
            <w:vAlign w:val="center"/>
          </w:tcPr>
          <w:p w14:paraId="717EF43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Atık sular, ilk önce buharlaştırma yolu ile konsantre hale getirilir ve daha sonra geri kazanım kazanında biyoyakıt olarak yakılır. Fırın tabanındaki tozu ve eriyik maddeyi içeren sodyum karbonat, soda çözeltisi geri kazanımı için çözünür.</w:t>
            </w:r>
          </w:p>
        </w:tc>
      </w:tr>
      <w:tr w:rsidR="00C07865" w:rsidRPr="009C6CAC" w14:paraId="211AACC8" w14:textId="77777777" w:rsidTr="000D79D6">
        <w:trPr>
          <w:jc w:val="center"/>
        </w:trPr>
        <w:tc>
          <w:tcPr>
            <w:tcW w:w="2972" w:type="dxa"/>
            <w:vAlign w:val="center"/>
          </w:tcPr>
          <w:p w14:paraId="7AF680A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Ön Ağartmadan Esmer Hamur Yıkamaya Kadar Olan Aşamalardan Kaynaklanan Yıkama Sıvılarının Resirkülasyonu ve MgO Temelli Ön Ağartmadan Kaynaklanan Emisyonları Azaltmak İçin Buharlaştırma</w:t>
            </w:r>
          </w:p>
        </w:tc>
        <w:tc>
          <w:tcPr>
            <w:tcW w:w="6090" w:type="dxa"/>
            <w:vAlign w:val="center"/>
          </w:tcPr>
          <w:p w14:paraId="5DB246F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Bu teknik, bazı durumlarda küçük bir parlaklık kaybına yol açabileceği için kullanımının ön koşulları; pişirmeden sonra nispeten düşük kappa sayısı (örn. 14-16), ilave akışlarla başa çıkmak üzere tank, evaporatör ve geri kazanım kazanlarına yönelik yeterli kapasite, yıkama ekipmanını birikintilerden temizleme olasılığı ve kağıt hamuru için makul bir parlaklık seviyesi (≤%87 ISO) şeklindedir.</w:t>
            </w:r>
          </w:p>
          <w:p w14:paraId="1B58F927" w14:textId="77777777" w:rsidR="00C07865" w:rsidRPr="009C6CAC" w:rsidRDefault="00C07865" w:rsidP="000D79D6">
            <w:pPr>
              <w:jc w:val="both"/>
              <w:rPr>
                <w:rFonts w:ascii="Times New Roman" w:hAnsi="Times New Roman" w:cs="Times New Roman"/>
                <w:sz w:val="24"/>
                <w:szCs w:val="24"/>
              </w:rPr>
            </w:pPr>
          </w:p>
          <w:p w14:paraId="3F5AFFF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Piyasaya sürülen kağıt hamuru üreticileri veya çok yüksek parlaklık seviyelerine (&gt;%87 ISO) ulaşması gereken diğerleri için, MgO ile ön ağartma uygulamak zor olabilir.</w:t>
            </w:r>
          </w:p>
        </w:tc>
      </w:tr>
      <w:tr w:rsidR="00C07865" w:rsidRPr="009C6CAC" w14:paraId="1A5AA616" w14:textId="77777777" w:rsidTr="000D79D6">
        <w:trPr>
          <w:jc w:val="center"/>
        </w:trPr>
        <w:tc>
          <w:tcPr>
            <w:tcW w:w="2972" w:type="dxa"/>
            <w:vAlign w:val="center"/>
          </w:tcPr>
          <w:p w14:paraId="1763266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Suyunun Ters Akışı</w:t>
            </w:r>
          </w:p>
        </w:tc>
        <w:tc>
          <w:tcPr>
            <w:tcW w:w="6090" w:type="dxa"/>
            <w:vAlign w:val="center"/>
          </w:tcPr>
          <w:p w14:paraId="51C554F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Entegre fabrikalarda tatlı su, esas olarak kağıt makinesi su giriş noktalarından girer ve buradan üst akım yönünde kağıt hamuru bölümüne beslenir.</w:t>
            </w:r>
          </w:p>
        </w:tc>
      </w:tr>
      <w:tr w:rsidR="00C07865" w:rsidRPr="009C6CAC" w14:paraId="3D8D11A2" w14:textId="77777777" w:rsidTr="000D79D6">
        <w:trPr>
          <w:jc w:val="center"/>
        </w:trPr>
        <w:tc>
          <w:tcPr>
            <w:tcW w:w="2972" w:type="dxa"/>
            <w:vAlign w:val="center"/>
          </w:tcPr>
          <w:p w14:paraId="22A25F9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Sistemlerinin Ayrılması</w:t>
            </w:r>
          </w:p>
        </w:tc>
        <w:tc>
          <w:tcPr>
            <w:tcW w:w="6090" w:type="dxa"/>
            <w:vAlign w:val="center"/>
          </w:tcPr>
          <w:p w14:paraId="4A3A66F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Farklı proses birimlerinin (örn. kağıt hamuru üretimi, ağartma ve kağıt makinesi) su sistemleri, kağıt hamurunun yıkanması ve susuzlaştırılmasıyla (örn. yıkama presleri ile) ayrılır. Bu ayrılma, kirleticilerin sonraki proses adımlarına taşınmasını önler ve bozucu maddelerin daha küçük hacimlerden uzaklaştırılmasını sağlar.</w:t>
            </w:r>
          </w:p>
        </w:tc>
      </w:tr>
      <w:tr w:rsidR="00C07865" w:rsidRPr="009C6CAC" w14:paraId="2EBD0C75" w14:textId="77777777" w:rsidTr="000D79D6">
        <w:trPr>
          <w:jc w:val="center"/>
        </w:trPr>
        <w:tc>
          <w:tcPr>
            <w:tcW w:w="2972" w:type="dxa"/>
            <w:vAlign w:val="center"/>
          </w:tcPr>
          <w:p w14:paraId="67EA500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Kıvamlı (Peroksit) Ağartma</w:t>
            </w:r>
          </w:p>
        </w:tc>
        <w:tc>
          <w:tcPr>
            <w:tcW w:w="6090" w:type="dxa"/>
            <w:vAlign w:val="center"/>
          </w:tcPr>
          <w:p w14:paraId="230C6CF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Yüksek kıvamlı ağartma için, ağartma kimyasalları eklenmeden önce kağıt hamuru, örneğin çift elek veya başka bir pres ile susuzlaştırılır. Bu, ağartma kimyasallarının daha verimli kullanılmasını sağlar ve daha saf bir hamur elde edilmesine, zararlı maddelerin kağıt makinesine daha az taşınmasına ve daha az </w:t>
            </w:r>
            <w:r w:rsidR="009D570E">
              <w:rPr>
                <w:rFonts w:ascii="Times New Roman" w:hAnsi="Times New Roman" w:cs="Times New Roman"/>
                <w:sz w:val="24"/>
                <w:szCs w:val="24"/>
              </w:rPr>
              <w:t>KOİ</w:t>
            </w:r>
            <w:r w:rsidRPr="009C6CAC">
              <w:rPr>
                <w:rFonts w:ascii="Times New Roman" w:hAnsi="Times New Roman" w:cs="Times New Roman"/>
                <w:sz w:val="24"/>
                <w:szCs w:val="24"/>
              </w:rPr>
              <w:t xml:space="preserve"> oluşmasına neden olur. Kalıntı peroksit, resirküle edilebilir ve yeniden kullanılabilir.</w:t>
            </w:r>
          </w:p>
        </w:tc>
      </w:tr>
      <w:tr w:rsidR="00C07865" w:rsidRPr="009C6CAC" w14:paraId="76881C8A" w14:textId="77777777" w:rsidTr="000D79D6">
        <w:trPr>
          <w:jc w:val="center"/>
        </w:trPr>
        <w:tc>
          <w:tcPr>
            <w:tcW w:w="2972" w:type="dxa"/>
            <w:vAlign w:val="center"/>
          </w:tcPr>
          <w:p w14:paraId="2593BE5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Lif ve Dolgu Maddesi Geri Kazanımı ve Beyaz Su Arıtımı</w:t>
            </w:r>
          </w:p>
        </w:tc>
        <w:tc>
          <w:tcPr>
            <w:tcW w:w="6090" w:type="dxa"/>
            <w:vAlign w:val="center"/>
          </w:tcPr>
          <w:p w14:paraId="2FFA07A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Kağıt makinesinden çıkan beyaz su, aşağıdaki teknikler ile arıtılabilir:</w:t>
            </w:r>
          </w:p>
          <w:p w14:paraId="2603F7F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 Katıları (lifler ve dolgu maddesi) proses suyundan ayıran ‘lif geri kazanma’ cihazları (genellikle tambur veya tarak filtre veya çözünmüş havalı yüzdürme birimleri vb.). Beyaz su döngüsündeki çözünmüş havalı yüzdürme; askıdaki katı maddeleri, ince taneleri, küçük boyutlu koloidal materyali ve anyonik maddeleri, sonradan uzaklaştırılacak bir kümeye dönüştürür. Geri kazanılan lifler ve dolgu maddeleri, prosese resirküle edilir. Temiz beyaz su, su kalitesi için daha az katı gereksinimli yıkamalarda yeniden kullanılabilir.</w:t>
            </w:r>
          </w:p>
          <w:p w14:paraId="014CB35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b) Önden filtrelenmiş beyaz suyun ilave ultrafiltrasyonu; yüksek basınçlı yıkama suyu ve sızdırmazlık suyu olarak kullanım ile kimyasal katkı maddelerinin seyreltilmesi için yeterli kalitedeki çok temiz filtrat ile sonuçlanır.</w:t>
            </w:r>
          </w:p>
        </w:tc>
      </w:tr>
      <w:tr w:rsidR="00C07865" w:rsidRPr="009C6CAC" w14:paraId="4C869EB5" w14:textId="77777777" w:rsidTr="000D79D6">
        <w:trPr>
          <w:jc w:val="center"/>
        </w:trPr>
        <w:tc>
          <w:tcPr>
            <w:tcW w:w="2972" w:type="dxa"/>
            <w:vAlign w:val="center"/>
          </w:tcPr>
          <w:p w14:paraId="5EBBCC7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Beyaz Su Berraklaştırılması</w:t>
            </w:r>
          </w:p>
        </w:tc>
        <w:tc>
          <w:tcPr>
            <w:tcW w:w="6090" w:type="dxa"/>
            <w:vAlign w:val="center"/>
          </w:tcPr>
          <w:p w14:paraId="65A02A6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Neredeyse özellikle kağıt endüstrisinde kullanılan su berraklaştırma sistemleri; sedimantasyon, filtrasyon (tarak filtre) ve yüzdürmeye dayanır. En çok kullanılan teknik, çözünmüş havalı yüzdürmedir. Anyonik artıklar ve ince taneler, katkı maddesi kullanılarak fiziksel olarak arıtılabilen yığınlar şeklinde toplanır. Yüksek moleküler, suda çözünür polimerler veya inorganik elektrolitler, topaklaştırıcı madde olarak kullanılır. Oluşan yığınlar (topaklar) daha sonra, berraklaştırma havuzunda yüzdürülür. Çözünmüş havalı yüzdürmede (DAF) askıdaki katı materyal, hava kabarcıklarına bağlıdır.</w:t>
            </w:r>
          </w:p>
        </w:tc>
      </w:tr>
      <w:tr w:rsidR="00C07865" w:rsidRPr="009C6CAC" w14:paraId="6CEB73C1" w14:textId="77777777" w:rsidTr="000D79D6">
        <w:trPr>
          <w:jc w:val="center"/>
        </w:trPr>
        <w:tc>
          <w:tcPr>
            <w:tcW w:w="2972" w:type="dxa"/>
            <w:vAlign w:val="center"/>
          </w:tcPr>
          <w:p w14:paraId="63836CE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Resirkülasyonu</w:t>
            </w:r>
          </w:p>
        </w:tc>
        <w:tc>
          <w:tcPr>
            <w:tcW w:w="6090" w:type="dxa"/>
            <w:vAlign w:val="center"/>
          </w:tcPr>
          <w:p w14:paraId="43F6C4D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Berraklaştırılmış su, bir birim içerisinde veya kağıt makinesinden kağıt hamuru fabrikasına ve kağıt hamuru üretiminden kabuk soyma tesisine kadar entegre fabrikalarda proses suyu olarak resirküle edilir. Atık sular esas olarak, en yüksek kirlilik yüküne sahip noktalardan (örn. kağıt hamuru üretiminde, kabuk soymada tarak filtrelerin temiz filtratları) deşarj edilir.</w:t>
            </w:r>
          </w:p>
        </w:tc>
      </w:tr>
      <w:tr w:rsidR="00C07865" w:rsidRPr="009C6CAC" w14:paraId="609F59CF" w14:textId="77777777" w:rsidTr="000D79D6">
        <w:trPr>
          <w:jc w:val="center"/>
        </w:trPr>
        <w:tc>
          <w:tcPr>
            <w:tcW w:w="2972" w:type="dxa"/>
            <w:vAlign w:val="center"/>
          </w:tcPr>
          <w:p w14:paraId="1FC49DA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Tank ve Haznelerin Optimum Tasarımı ve İnşası (Kağıt Üretimi)</w:t>
            </w:r>
          </w:p>
        </w:tc>
        <w:tc>
          <w:tcPr>
            <w:tcW w:w="6090" w:type="dxa"/>
            <w:vAlign w:val="center"/>
          </w:tcPr>
          <w:p w14:paraId="54E1419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Hamur için bekleme tankları ve beyaz su deposu, başlatma/devreye alma ve kapatma süresince de, proses değişimleri ve değişken akışlarla başa çıkabilecek şekilde tasarlanır.</w:t>
            </w:r>
          </w:p>
        </w:tc>
      </w:tr>
      <w:tr w:rsidR="00C07865" w:rsidRPr="009C6CAC" w14:paraId="7E0399C4" w14:textId="77777777" w:rsidTr="000D79D6">
        <w:trPr>
          <w:jc w:val="center"/>
        </w:trPr>
        <w:tc>
          <w:tcPr>
            <w:tcW w:w="2972" w:type="dxa"/>
            <w:vAlign w:val="center"/>
          </w:tcPr>
          <w:p w14:paraId="5C454D5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Yumuşak Keresteden Mekanik Kağıt Hamuru Rafinasyonundan Önce Yıkama Aşaması</w:t>
            </w:r>
          </w:p>
        </w:tc>
        <w:tc>
          <w:tcPr>
            <w:tcW w:w="6090" w:type="dxa"/>
            <w:vAlign w:val="center"/>
          </w:tcPr>
          <w:p w14:paraId="69B5C99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Bazı fabrikalar, kağıt hamuru özelliklerini iyileştirmek için yumuşak keresteden yongaları; basınçlı ön ısıtma, yüksek sıkıştırma ve emdirmeyi (doyurmayı) birleştirerek ön işlemden geçirir. Rafinasyon ve ağartma öncesindeki bir yıkama aşaması, ayrı olarak arıtılabilen küçük ama yüksek konsantrasyonlu atık su kolunu uzaklaştırarak </w:t>
            </w:r>
            <w:r w:rsidR="009D570E">
              <w:rPr>
                <w:rFonts w:ascii="Times New Roman" w:hAnsi="Times New Roman" w:cs="Times New Roman"/>
                <w:sz w:val="24"/>
                <w:szCs w:val="24"/>
              </w:rPr>
              <w:t>KOİ</w:t>
            </w:r>
            <w:r w:rsidRPr="009C6CAC">
              <w:rPr>
                <w:rFonts w:ascii="Times New Roman" w:hAnsi="Times New Roman" w:cs="Times New Roman"/>
                <w:sz w:val="24"/>
                <w:szCs w:val="24"/>
              </w:rPr>
              <w:t>’yi önemli ölçüde azaltır.</w:t>
            </w:r>
          </w:p>
        </w:tc>
      </w:tr>
      <w:tr w:rsidR="00C07865" w:rsidRPr="009C6CAC" w14:paraId="1B7A9075" w14:textId="77777777" w:rsidTr="000D79D6">
        <w:trPr>
          <w:jc w:val="center"/>
        </w:trPr>
        <w:tc>
          <w:tcPr>
            <w:tcW w:w="2972" w:type="dxa"/>
            <w:vAlign w:val="center"/>
          </w:tcPr>
          <w:p w14:paraId="6B2EF45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Peroksitle Ağartmada, Alkali Olarak NaOH’in Ca(OH)</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veya Mg(OH)</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ile İkamesi</w:t>
            </w:r>
          </w:p>
        </w:tc>
        <w:tc>
          <w:tcPr>
            <w:tcW w:w="6090" w:type="dxa"/>
            <w:vAlign w:val="center"/>
          </w:tcPr>
          <w:p w14:paraId="03602BB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Alkali olarak Ca(OH)</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kullanımı, parlaklık seviyeleri yüksek tutulurken yaklaşık %30 daha düşük </w:t>
            </w:r>
            <w:r w:rsidR="009D570E">
              <w:rPr>
                <w:rFonts w:ascii="Times New Roman" w:hAnsi="Times New Roman" w:cs="Times New Roman"/>
                <w:sz w:val="24"/>
                <w:szCs w:val="24"/>
              </w:rPr>
              <w:t>KOİ</w:t>
            </w:r>
            <w:r w:rsidRPr="009C6CAC">
              <w:rPr>
                <w:rFonts w:ascii="Times New Roman" w:hAnsi="Times New Roman" w:cs="Times New Roman"/>
                <w:sz w:val="24"/>
                <w:szCs w:val="24"/>
              </w:rPr>
              <w:t xml:space="preserve"> emisyon yükü ile sonuçlanır. NaOH yerine Mg(OH)</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xml:space="preserve"> de kullanılır.</w:t>
            </w:r>
          </w:p>
        </w:tc>
      </w:tr>
      <w:tr w:rsidR="00C07865" w:rsidRPr="009C6CAC" w14:paraId="62285552" w14:textId="77777777" w:rsidTr="000D79D6">
        <w:trPr>
          <w:jc w:val="center"/>
        </w:trPr>
        <w:tc>
          <w:tcPr>
            <w:tcW w:w="2972" w:type="dxa"/>
            <w:vAlign w:val="center"/>
          </w:tcPr>
          <w:p w14:paraId="4804A51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Kapalı Döngü Ağartma</w:t>
            </w:r>
          </w:p>
        </w:tc>
        <w:tc>
          <w:tcPr>
            <w:tcW w:w="6090" w:type="dxa"/>
            <w:vAlign w:val="center"/>
          </w:tcPr>
          <w:p w14:paraId="753DE28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Pişirme bazı olarak sodyum kullanan sülfit kağıt hamuru fabrikalarında ağartma tesisi atık suyu örneğin ultrafiltrasyon, yüzdürme ile kapalı döngü ağartmayı sağlayan reçine ve yağ asitlerinin ayrıştırılması ile arıtılabilir. Ağartma ve yıkama aşamalarından çıkan filtratlar, pişirmeden sonraki ilk yıkama aşamasında yeniden kullanılır ve son olarak, kimyasal geri kazanım birimlerine geri gönderilir.</w:t>
            </w:r>
          </w:p>
        </w:tc>
      </w:tr>
      <w:tr w:rsidR="00C07865" w:rsidRPr="009C6CAC" w14:paraId="7DC96E08" w14:textId="77777777" w:rsidTr="000D79D6">
        <w:trPr>
          <w:jc w:val="center"/>
        </w:trPr>
        <w:tc>
          <w:tcPr>
            <w:tcW w:w="2972" w:type="dxa"/>
            <w:vAlign w:val="center"/>
          </w:tcPr>
          <w:p w14:paraId="405E036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Evaporasyon Tesisi Öncesinde/İçinde Zayıf Likör pH Düzenlemesi</w:t>
            </w:r>
          </w:p>
        </w:tc>
        <w:tc>
          <w:tcPr>
            <w:tcW w:w="6090" w:type="dxa"/>
            <w:vAlign w:val="center"/>
          </w:tcPr>
          <w:p w14:paraId="71B6683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Geri kazanım kazanına kullanılmış likör ile birlikte gönderilmeleri amacıyla yoğuşuk maddede organik asitlerin çözünmüş olarak tutulması için, evaporasyondan önce veya ilk evaporasyon aşamasından sonra nötralizasyon gerçekleştirilir.</w:t>
            </w:r>
          </w:p>
        </w:tc>
      </w:tr>
      <w:tr w:rsidR="00C07865" w:rsidRPr="009C6CAC" w14:paraId="6E1F9550" w14:textId="77777777" w:rsidTr="000D79D6">
        <w:trPr>
          <w:jc w:val="center"/>
        </w:trPr>
        <w:tc>
          <w:tcPr>
            <w:tcW w:w="2972" w:type="dxa"/>
            <w:vAlign w:val="center"/>
          </w:tcPr>
          <w:p w14:paraId="338F179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Evaporatörlerden Çıkan Yoğuşuk Maddelerin Anaerobik Arıtımı</w:t>
            </w:r>
          </w:p>
        </w:tc>
        <w:tc>
          <w:tcPr>
            <w:tcW w:w="6090" w:type="dxa"/>
            <w:vAlign w:val="center"/>
          </w:tcPr>
          <w:p w14:paraId="1388472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(2.2) başlığına bakınız (birleşik anaerobik/aerobik arıtma).</w:t>
            </w:r>
          </w:p>
        </w:tc>
      </w:tr>
      <w:tr w:rsidR="00C07865" w:rsidRPr="009C6CAC" w14:paraId="21482310" w14:textId="77777777" w:rsidTr="000D79D6">
        <w:trPr>
          <w:jc w:val="center"/>
        </w:trPr>
        <w:tc>
          <w:tcPr>
            <w:tcW w:w="2972" w:type="dxa"/>
            <w:vAlign w:val="center"/>
          </w:tcPr>
          <w:p w14:paraId="4CB0039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Evaporatörlerden Çıkan Yoğuşuk Maddelerden Kaynaklanan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’nin Sıyrılması/Giderilmesi ve Geri Kazanımı</w:t>
            </w:r>
          </w:p>
        </w:tc>
        <w:tc>
          <w:tcPr>
            <w:tcW w:w="6090" w:type="dxa"/>
            <w:vAlign w:val="center"/>
          </w:tcPr>
          <w:p w14:paraId="1786967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yoğuşuk maddelerden giderilir. Giderilen SO</w:t>
            </w:r>
            <w:r w:rsidRPr="009C6CAC">
              <w:rPr>
                <w:rFonts w:ascii="Times New Roman" w:hAnsi="Times New Roman" w:cs="Times New Roman"/>
                <w:sz w:val="24"/>
                <w:szCs w:val="24"/>
                <w:vertAlign w:val="subscript"/>
              </w:rPr>
              <w:t>2</w:t>
            </w:r>
            <w:r w:rsidRPr="009C6CAC">
              <w:rPr>
                <w:rFonts w:ascii="Times New Roman" w:hAnsi="Times New Roman" w:cs="Times New Roman"/>
                <w:sz w:val="24"/>
                <w:szCs w:val="24"/>
              </w:rPr>
              <w:t>, pişirme kimyasalı olarak geri kazanılırken yoğuşuk maddeler, biyolojik olarak arıtılır.</w:t>
            </w:r>
          </w:p>
        </w:tc>
      </w:tr>
      <w:tr w:rsidR="00C07865" w:rsidRPr="009C6CAC" w14:paraId="6145B6A2" w14:textId="77777777" w:rsidTr="000D79D6">
        <w:trPr>
          <w:jc w:val="center"/>
        </w:trPr>
        <w:tc>
          <w:tcPr>
            <w:tcW w:w="2972" w:type="dxa"/>
            <w:vAlign w:val="center"/>
          </w:tcPr>
          <w:p w14:paraId="6775D4A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Suyu Kalitesinin İzlenmesi ve Sürekli Kontrolü</w:t>
            </w:r>
          </w:p>
        </w:tc>
        <w:tc>
          <w:tcPr>
            <w:tcW w:w="6090" w:type="dxa"/>
            <w:vAlign w:val="center"/>
          </w:tcPr>
          <w:p w14:paraId="2E6B310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Tüm ‘lif-su-kimyasal katkı maddesi-enerji sistemi’nin optimizasyonu, ileri seviye kapalı su sistemleri için gereklidir. Bu; su kalitesinin, personel motivasyonu ile bilgisinin ve istenen su kalitesini sağlamak için ihtiyaç duyulan önlemlerle ilişkili eylemlerin sürekli izlenmesini gerektirir.</w:t>
            </w:r>
          </w:p>
        </w:tc>
      </w:tr>
      <w:tr w:rsidR="00C07865" w:rsidRPr="009C6CAC" w14:paraId="6DDB4A15" w14:textId="77777777" w:rsidTr="000D79D6">
        <w:trPr>
          <w:jc w:val="center"/>
        </w:trPr>
        <w:tc>
          <w:tcPr>
            <w:tcW w:w="2972" w:type="dxa"/>
            <w:vAlign w:val="center"/>
          </w:tcPr>
          <w:p w14:paraId="4A7C48C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Biyosit Emisyonlarını En Aza İndiren Yöntemler Kullanılarak Biyofilmlerin Önlenmesi ve Ortadan Kaldırılması</w:t>
            </w:r>
          </w:p>
        </w:tc>
        <w:tc>
          <w:tcPr>
            <w:tcW w:w="6090" w:type="dxa"/>
            <w:vAlign w:val="center"/>
          </w:tcPr>
          <w:p w14:paraId="1D01EC8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Mikroorganizmaların su ve lifler ile sürekli bir şekilde olan girdisi, her bir kağıt tesisinde özel bir mikrobiyolojik dengeye yol açar. Su devrelerinde ve ekipmanda mikroorganizmaların, yığılmış biyokütle veya biyofilm birikintilerinin çok fazla çoğalmasının önlenmesi için, biyo-dağıtıcı maddeler veya biyositler sıklıkla kullanılır. Hidrojen peroksit ile katalitik dezenfeksiyon uygulandığında, proses suyu ve kağıt bulamacındaki biyofilm ve serbest mikroorganizmalar, herhangi bir biyosit kullanılmadan ortadan kaldırılır.</w:t>
            </w:r>
          </w:p>
        </w:tc>
      </w:tr>
      <w:tr w:rsidR="00C07865" w:rsidRPr="009C6CAC" w14:paraId="4BAA231C" w14:textId="77777777" w:rsidTr="000D79D6">
        <w:trPr>
          <w:jc w:val="center"/>
        </w:trPr>
        <w:tc>
          <w:tcPr>
            <w:tcW w:w="2972" w:type="dxa"/>
            <w:vAlign w:val="center"/>
          </w:tcPr>
          <w:p w14:paraId="10B6086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Kalsiyum Karbonatın Kontrollü Çöktürülmesi ile Proses Suyundan Kalsiyum Uzaklaştırılması</w:t>
            </w:r>
          </w:p>
        </w:tc>
        <w:tc>
          <w:tcPr>
            <w:tcW w:w="6090" w:type="dxa"/>
            <w:vAlign w:val="center"/>
          </w:tcPr>
          <w:p w14:paraId="326E471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Kalsiyum karbonatın kontrollü bir şekilde uzaklaştırılması (örn. çözünmüş havalı yüzdürme hücresinde) ile kalsiyum konsantrasyonunun düşürülmesi, istenmeyen kalsiyum karbonat çökelmesi veya su sistemleri ve ekipmanında -örn. bölme silindirleri, teller, işlenmemiş lifli sert kumaşlar ve su başlıkları, borular veya biyolojik atık su arıtma tesislerinde- kireçlenme riskini azaltır.</w:t>
            </w:r>
          </w:p>
        </w:tc>
      </w:tr>
      <w:tr w:rsidR="00C07865" w:rsidRPr="009C6CAC" w14:paraId="353A8FD1" w14:textId="77777777" w:rsidTr="000D79D6">
        <w:trPr>
          <w:jc w:val="center"/>
        </w:trPr>
        <w:tc>
          <w:tcPr>
            <w:tcW w:w="2972" w:type="dxa"/>
            <w:vAlign w:val="center"/>
          </w:tcPr>
          <w:p w14:paraId="5911B646"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Kağıt Makinesindeki Su Çıkışlarının Optimizasyonu</w:t>
            </w:r>
          </w:p>
        </w:tc>
        <w:tc>
          <w:tcPr>
            <w:tcW w:w="6090" w:type="dxa"/>
            <w:vAlign w:val="center"/>
          </w:tcPr>
          <w:p w14:paraId="178A71C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Su çıkışlarının optimizasyonu, şunları içerir: a) tatlı su kullanımını azaltmak için proses suyunun yeniden kullanımı (örn. berraklaştırılmış beyaz su) ve b) su çıkışları için özel tasarım başlıkların uygulanması.</w:t>
            </w:r>
          </w:p>
        </w:tc>
      </w:tr>
    </w:tbl>
    <w:p w14:paraId="22AC2031" w14:textId="77777777" w:rsidR="00C07865" w:rsidRPr="009C6CAC" w:rsidRDefault="00C07865" w:rsidP="00C07865">
      <w:pPr>
        <w:spacing w:after="120" w:line="276" w:lineRule="auto"/>
        <w:jc w:val="both"/>
        <w:rPr>
          <w:rFonts w:ascii="Times New Roman" w:hAnsi="Times New Roman" w:cs="Times New Roman"/>
          <w:sz w:val="24"/>
          <w:szCs w:val="24"/>
        </w:rPr>
      </w:pPr>
    </w:p>
    <w:p w14:paraId="405BB46B" w14:textId="77777777" w:rsidR="00C07865" w:rsidRPr="009C6CAC" w:rsidRDefault="00C07865" w:rsidP="00C07865">
      <w:pPr>
        <w:pStyle w:val="Balk3"/>
        <w:spacing w:before="0" w:after="120" w:line="276" w:lineRule="auto"/>
        <w:jc w:val="both"/>
        <w:rPr>
          <w:rFonts w:cs="Times New Roman"/>
          <w:b w:val="0"/>
          <w:bCs/>
          <w:szCs w:val="24"/>
        </w:rPr>
      </w:pPr>
      <w:r w:rsidRPr="009C6CAC">
        <w:rPr>
          <w:rFonts w:cs="Times New Roman"/>
          <w:bCs/>
          <w:szCs w:val="24"/>
        </w:rPr>
        <w:t>(2.2) Atık Su Arıtımı</w:t>
      </w:r>
    </w:p>
    <w:tbl>
      <w:tblPr>
        <w:tblStyle w:val="TabloKlavuzu"/>
        <w:tblW w:w="0" w:type="auto"/>
        <w:jc w:val="center"/>
        <w:tblLook w:val="04A0" w:firstRow="1" w:lastRow="0" w:firstColumn="1" w:lastColumn="0" w:noHBand="0" w:noVBand="1"/>
      </w:tblPr>
      <w:tblGrid>
        <w:gridCol w:w="2972"/>
        <w:gridCol w:w="6090"/>
      </w:tblGrid>
      <w:tr w:rsidR="00C07865" w:rsidRPr="009C6CAC" w14:paraId="47AA44B9" w14:textId="77777777" w:rsidTr="000D79D6">
        <w:trPr>
          <w:tblHeader/>
          <w:jc w:val="center"/>
        </w:trPr>
        <w:tc>
          <w:tcPr>
            <w:tcW w:w="2972" w:type="dxa"/>
            <w:vAlign w:val="center"/>
          </w:tcPr>
          <w:p w14:paraId="192544B1"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6090" w:type="dxa"/>
            <w:vAlign w:val="center"/>
          </w:tcPr>
          <w:p w14:paraId="45C8E948"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0129E76A" w14:textId="77777777" w:rsidTr="000D79D6">
        <w:trPr>
          <w:jc w:val="center"/>
        </w:trPr>
        <w:tc>
          <w:tcPr>
            <w:tcW w:w="2972" w:type="dxa"/>
            <w:vAlign w:val="center"/>
          </w:tcPr>
          <w:p w14:paraId="6A1B57A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Birincil Arıtma</w:t>
            </w:r>
          </w:p>
        </w:tc>
        <w:tc>
          <w:tcPr>
            <w:tcW w:w="6090" w:type="dxa"/>
            <w:vAlign w:val="center"/>
          </w:tcPr>
          <w:p w14:paraId="35FF8C52"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Dengeleme, nötralizasyon veya sedimantasyon gibi fiziko-kimyasal arıtma.</w:t>
            </w:r>
          </w:p>
          <w:p w14:paraId="27B70506" w14:textId="77777777" w:rsidR="00C07865" w:rsidRPr="009C6CAC" w:rsidRDefault="00C07865" w:rsidP="000D79D6">
            <w:pPr>
              <w:jc w:val="both"/>
              <w:rPr>
                <w:rFonts w:ascii="Times New Roman" w:hAnsi="Times New Roman" w:cs="Times New Roman"/>
                <w:sz w:val="24"/>
                <w:szCs w:val="24"/>
              </w:rPr>
            </w:pPr>
          </w:p>
          <w:p w14:paraId="33488BD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Dengeleme (örn. dengeleme havuzlarında); akış hızında, sıcaklıkta ve kirletici madde konsantrasyonlarındaki büyük değişimleri önlemek ve böylece atık su arıtma sistemi üzerindeki aşırı yükü engellemek için kullanılır.</w:t>
            </w:r>
          </w:p>
        </w:tc>
      </w:tr>
      <w:tr w:rsidR="00C07865" w:rsidRPr="009C6CAC" w14:paraId="02B1B5CA" w14:textId="77777777" w:rsidTr="000D79D6">
        <w:trPr>
          <w:jc w:val="center"/>
        </w:trPr>
        <w:tc>
          <w:tcPr>
            <w:tcW w:w="2972" w:type="dxa"/>
            <w:vAlign w:val="center"/>
          </w:tcPr>
          <w:p w14:paraId="3F9F905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İkincil (Biyolojik) Arıtma</w:t>
            </w:r>
          </w:p>
        </w:tc>
        <w:tc>
          <w:tcPr>
            <w:tcW w:w="6090" w:type="dxa"/>
            <w:vAlign w:val="center"/>
          </w:tcPr>
          <w:p w14:paraId="67715AB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Atık suyun mikroorganizmalar aracılığıyla arıtılması için mevcut prosesler, aerobik ve anaerobik arıtmadır. İkinci berraklaştırma adımında katılar ve biyokütle, bazen flokülasyon beraberinde sedimantasyon ile atık sulardan ayrılır.</w:t>
            </w:r>
          </w:p>
        </w:tc>
      </w:tr>
      <w:tr w:rsidR="00C07865" w:rsidRPr="009C6CAC" w14:paraId="44798912" w14:textId="77777777" w:rsidTr="000D79D6">
        <w:trPr>
          <w:jc w:val="center"/>
        </w:trPr>
        <w:tc>
          <w:tcPr>
            <w:tcW w:w="2972" w:type="dxa"/>
            <w:vAlign w:val="center"/>
          </w:tcPr>
          <w:p w14:paraId="7697A64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a) Aerobik Arıtma</w:t>
            </w:r>
          </w:p>
        </w:tc>
        <w:tc>
          <w:tcPr>
            <w:tcW w:w="6090" w:type="dxa"/>
            <w:vAlign w:val="center"/>
          </w:tcPr>
          <w:p w14:paraId="32D3C05A"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Aerobik biyolojik atık su arıtımında, sudaki biyobozunur çözünmüş ve koloidal materyal, hava varlığında mikroorganizmalar tarafından kısmen katı maddelere (biyokütle) ve karbon dioksit ile suya dönüştürülür. Kullanılan prosesler şunlardır:</w:t>
            </w:r>
          </w:p>
          <w:p w14:paraId="0087082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tek veya iki aşamalı aktif çamur;</w:t>
            </w:r>
          </w:p>
          <w:p w14:paraId="5750704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biyofilm reaktör prosesleri;</w:t>
            </w:r>
          </w:p>
          <w:p w14:paraId="43EFF86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biyofilm/aktif çamur (tek parça biyolojik arıtma tesisi). Bu teknik, hareketli yatak taşıyıcılarının aktif çamur ile kombinasyonundan (BAS) oluşur.</w:t>
            </w:r>
          </w:p>
          <w:p w14:paraId="681A98CF" w14:textId="77777777" w:rsidR="00C07865" w:rsidRPr="009C6CAC" w:rsidRDefault="00C07865" w:rsidP="000D79D6">
            <w:pPr>
              <w:jc w:val="both"/>
              <w:rPr>
                <w:rFonts w:ascii="Times New Roman" w:hAnsi="Times New Roman" w:cs="Times New Roman"/>
                <w:sz w:val="24"/>
                <w:szCs w:val="24"/>
              </w:rPr>
            </w:pPr>
          </w:p>
          <w:p w14:paraId="5F6518E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Oluşan biyokütle (fazla çamur), su deşarjından önce atık sudan ayrılır.</w:t>
            </w:r>
          </w:p>
        </w:tc>
      </w:tr>
      <w:tr w:rsidR="00C07865" w:rsidRPr="009C6CAC" w14:paraId="14A32C16" w14:textId="77777777" w:rsidTr="000D79D6">
        <w:trPr>
          <w:jc w:val="center"/>
        </w:trPr>
        <w:tc>
          <w:tcPr>
            <w:tcW w:w="2972" w:type="dxa"/>
            <w:vAlign w:val="center"/>
          </w:tcPr>
          <w:p w14:paraId="058C5CFF" w14:textId="4E11703F"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b)Birleşik Anaerobik/Aerobik Arıtma</w:t>
            </w:r>
          </w:p>
        </w:tc>
        <w:tc>
          <w:tcPr>
            <w:tcW w:w="6090" w:type="dxa"/>
            <w:vAlign w:val="center"/>
          </w:tcPr>
          <w:p w14:paraId="74D853D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Anaerobik atık su arıtımı, atık sudaki organik içeriği, havasız ortamda mikroorganizmalar aracılığıyla metan, karbon dioksit, sülfit ve benzeri maddelere dönüştürür. Proses, hava geçirmez bir tank reaktörde gerçekleştirilir. Mikroorganizmalar tankta biyokütle (çamur) olarak tutulur. Bu biyolojik proses sonucunda ortaya çıkan biyogaz; metan, karbon dioksit ve hidrojen ile hidrojen sülfit gibi diğer gazlardan oluşur ve enerji üretimi için uygundur.</w:t>
            </w:r>
          </w:p>
          <w:p w14:paraId="2A162C17" w14:textId="77777777" w:rsidR="00C07865" w:rsidRPr="009C6CAC" w:rsidRDefault="00C07865" w:rsidP="000D79D6">
            <w:pPr>
              <w:jc w:val="both"/>
              <w:rPr>
                <w:rFonts w:ascii="Times New Roman" w:hAnsi="Times New Roman" w:cs="Times New Roman"/>
                <w:sz w:val="24"/>
                <w:szCs w:val="24"/>
              </w:rPr>
            </w:pPr>
          </w:p>
          <w:p w14:paraId="2FA629E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Anaerobik arıtma, kalan </w:t>
            </w:r>
            <w:r w:rsidR="009D570E">
              <w:rPr>
                <w:rFonts w:ascii="Times New Roman" w:hAnsi="Times New Roman" w:cs="Times New Roman"/>
                <w:sz w:val="24"/>
                <w:szCs w:val="24"/>
              </w:rPr>
              <w:t>KOİ</w:t>
            </w:r>
            <w:r w:rsidRPr="009C6CAC">
              <w:rPr>
                <w:rFonts w:ascii="Times New Roman" w:hAnsi="Times New Roman" w:cs="Times New Roman"/>
                <w:sz w:val="24"/>
                <w:szCs w:val="24"/>
              </w:rPr>
              <w:t xml:space="preserve"> yüklerinden dolayı aerobik arıtmadan önceki ön arıtma olarak değerlendirilir. Anaerobik ön arıtma, biyolojik arıtma sonucunda oluşan çamur miktarını azaltır.</w:t>
            </w:r>
          </w:p>
        </w:tc>
      </w:tr>
      <w:tr w:rsidR="00C07865" w:rsidRPr="009C6CAC" w14:paraId="478D7C72" w14:textId="77777777" w:rsidTr="000D79D6">
        <w:trPr>
          <w:jc w:val="center"/>
        </w:trPr>
        <w:tc>
          <w:tcPr>
            <w:tcW w:w="2972" w:type="dxa"/>
            <w:vAlign w:val="center"/>
          </w:tcPr>
          <w:p w14:paraId="52DF0A4E"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Üçüncül Arıtma</w:t>
            </w:r>
          </w:p>
        </w:tc>
        <w:tc>
          <w:tcPr>
            <w:tcW w:w="6090" w:type="dxa"/>
            <w:vAlign w:val="center"/>
          </w:tcPr>
          <w:p w14:paraId="519B22A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İleri arıtma; ilave katılar için filtrasyon, azotun uzaklaştırılması için nitrifikasyon ve denitrifikasyon veya fosforun uzaklaştırılması için flokülasyon/çöktürme beraberindeki filtrasyon gibi tekniklerden oluşur. Üçüncül arıtma normalde, örneğin yerel koşullardan dolayı gerekli olabilen düşük TSS, azot veya fosfor seviyelerini elde etmek için birincil ve biyolojik arıtmanın yeterli olmadığı durumlarda kullanılır.</w:t>
            </w:r>
          </w:p>
        </w:tc>
      </w:tr>
      <w:tr w:rsidR="00C07865" w:rsidRPr="009C6CAC" w14:paraId="391EA293" w14:textId="77777777" w:rsidTr="000D79D6">
        <w:trPr>
          <w:jc w:val="center"/>
        </w:trPr>
        <w:tc>
          <w:tcPr>
            <w:tcW w:w="2972" w:type="dxa"/>
            <w:vAlign w:val="center"/>
          </w:tcPr>
          <w:p w14:paraId="19EBED1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Uygun Bir Şekilde Tasarlanan ve Çalışan Biyolojik Arıtma Tesisi</w:t>
            </w:r>
          </w:p>
        </w:tc>
        <w:tc>
          <w:tcPr>
            <w:tcW w:w="6090" w:type="dxa"/>
            <w:vAlign w:val="center"/>
          </w:tcPr>
          <w:p w14:paraId="0AF376B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Uygun bir şekilde tasarlanan ve çalışan bir biyolojik arıtma tesisi, arıtma tanklarının/havuzlarının (örn. sedimantasyon tankları) hidrolik ve kirletici yüklerine göre uygun bir şekilde tasarlanmasını ve boyutlandırılmasını kapsar. Düşük TSS emisyonları, aktif biyokütlenin iyi bir şekilde çöktürülmesi ile elde edilir. Atık su arıtma tesisinin tasarımı, boyutlandırılması ve çalışmasına yönelik periyodik incelemeler, bu amaçların başarılmasını kolaylaştırır.</w:t>
            </w:r>
          </w:p>
        </w:tc>
      </w:tr>
    </w:tbl>
    <w:p w14:paraId="674FB58B" w14:textId="77777777" w:rsidR="00C07865" w:rsidRPr="009C6CAC" w:rsidRDefault="00C07865" w:rsidP="00C07865">
      <w:pPr>
        <w:spacing w:after="120" w:line="276" w:lineRule="auto"/>
        <w:jc w:val="both"/>
        <w:rPr>
          <w:rFonts w:ascii="Times New Roman" w:hAnsi="Times New Roman" w:cs="Times New Roman"/>
          <w:sz w:val="24"/>
          <w:szCs w:val="24"/>
        </w:rPr>
      </w:pPr>
    </w:p>
    <w:p w14:paraId="77F49505" w14:textId="77777777" w:rsidR="00C07865" w:rsidRPr="009C6CAC" w:rsidRDefault="00C07865" w:rsidP="00C07865">
      <w:pPr>
        <w:pStyle w:val="Balk2"/>
        <w:spacing w:before="0" w:after="120" w:line="276" w:lineRule="auto"/>
        <w:jc w:val="both"/>
        <w:rPr>
          <w:rFonts w:cs="Times New Roman"/>
          <w:b/>
          <w:bCs/>
          <w:szCs w:val="24"/>
        </w:rPr>
      </w:pPr>
      <w:r w:rsidRPr="009C6CAC">
        <w:rPr>
          <w:rFonts w:cs="Times New Roman"/>
          <w:b/>
          <w:bCs/>
          <w:szCs w:val="24"/>
        </w:rPr>
        <w:t>(3) Atık Önleme ve Atık Yönetimine Yönelik Tekniklerin Açıklamaları</w:t>
      </w:r>
    </w:p>
    <w:tbl>
      <w:tblPr>
        <w:tblStyle w:val="TabloKlavuzu"/>
        <w:tblW w:w="0" w:type="auto"/>
        <w:jc w:val="center"/>
        <w:tblLook w:val="04A0" w:firstRow="1" w:lastRow="0" w:firstColumn="1" w:lastColumn="0" w:noHBand="0" w:noVBand="1"/>
      </w:tblPr>
      <w:tblGrid>
        <w:gridCol w:w="2972"/>
        <w:gridCol w:w="6090"/>
      </w:tblGrid>
      <w:tr w:rsidR="00C07865" w:rsidRPr="009C6CAC" w14:paraId="6BC50E37" w14:textId="77777777" w:rsidTr="000D79D6">
        <w:trPr>
          <w:tblHeader/>
          <w:jc w:val="center"/>
        </w:trPr>
        <w:tc>
          <w:tcPr>
            <w:tcW w:w="2972" w:type="dxa"/>
            <w:vAlign w:val="center"/>
          </w:tcPr>
          <w:p w14:paraId="7D05E6DC"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Teknik</w:t>
            </w:r>
          </w:p>
        </w:tc>
        <w:tc>
          <w:tcPr>
            <w:tcW w:w="6090" w:type="dxa"/>
            <w:vAlign w:val="center"/>
          </w:tcPr>
          <w:p w14:paraId="66768479" w14:textId="77777777" w:rsidR="00C07865" w:rsidRPr="009C6CAC" w:rsidRDefault="00C07865" w:rsidP="000D79D6">
            <w:pPr>
              <w:jc w:val="center"/>
              <w:rPr>
                <w:rFonts w:ascii="Times New Roman" w:hAnsi="Times New Roman" w:cs="Times New Roman"/>
                <w:b/>
                <w:bCs/>
                <w:sz w:val="24"/>
                <w:szCs w:val="24"/>
              </w:rPr>
            </w:pPr>
            <w:r w:rsidRPr="009C6CAC">
              <w:rPr>
                <w:rFonts w:ascii="Times New Roman" w:hAnsi="Times New Roman" w:cs="Times New Roman"/>
                <w:b/>
                <w:bCs/>
                <w:sz w:val="24"/>
                <w:szCs w:val="24"/>
              </w:rPr>
              <w:t>Açıklama</w:t>
            </w:r>
          </w:p>
        </w:tc>
      </w:tr>
      <w:tr w:rsidR="00C07865" w:rsidRPr="009C6CAC" w14:paraId="3C887CE9" w14:textId="77777777" w:rsidTr="000D79D6">
        <w:trPr>
          <w:jc w:val="center"/>
        </w:trPr>
        <w:tc>
          <w:tcPr>
            <w:tcW w:w="2972" w:type="dxa"/>
            <w:vAlign w:val="center"/>
          </w:tcPr>
          <w:p w14:paraId="01BF424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Atık Değerlendirme ve Atık Yönetim Sistemi</w:t>
            </w:r>
          </w:p>
        </w:tc>
        <w:tc>
          <w:tcPr>
            <w:tcW w:w="6090" w:type="dxa"/>
            <w:vAlign w:val="center"/>
          </w:tcPr>
          <w:p w14:paraId="215E5FA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Atık değerlendirme ve atık yönetim sistemleri; atık önleme, yeniden kullanım, geri kazanım, geri dönüşüm ve bertarafa yönelik uygulanabilir seçeneklerin belirlenmesi için </w:t>
            </w:r>
            <w:r w:rsidRPr="009C6CAC">
              <w:rPr>
                <w:rFonts w:ascii="Times New Roman" w:hAnsi="Times New Roman" w:cs="Times New Roman"/>
                <w:sz w:val="24"/>
                <w:szCs w:val="24"/>
              </w:rPr>
              <w:lastRenderedPageBreak/>
              <w:t>kullanılır. Atık envanterleri, her bir atık kolunun türünün,</w:t>
            </w:r>
            <w:r w:rsidR="000C7C60">
              <w:rPr>
                <w:rFonts w:ascii="Times New Roman" w:hAnsi="Times New Roman" w:cs="Times New Roman"/>
                <w:sz w:val="24"/>
                <w:szCs w:val="24"/>
              </w:rPr>
              <w:t xml:space="preserve"> sınıflandırılmasının</w:t>
            </w:r>
            <w:r w:rsidRPr="009C6CAC">
              <w:rPr>
                <w:rFonts w:ascii="Times New Roman" w:hAnsi="Times New Roman" w:cs="Times New Roman"/>
                <w:sz w:val="24"/>
                <w:szCs w:val="24"/>
              </w:rPr>
              <w:t xml:space="preserve"> karakteristik özelliklerinin, miktarının ve kaynağının belirlenmesine olanak tanır.</w:t>
            </w:r>
          </w:p>
        </w:tc>
      </w:tr>
      <w:tr w:rsidR="00C07865" w:rsidRPr="009C6CAC" w14:paraId="4B39EE4F" w14:textId="77777777" w:rsidTr="000D79D6">
        <w:trPr>
          <w:jc w:val="center"/>
        </w:trPr>
        <w:tc>
          <w:tcPr>
            <w:tcW w:w="2972" w:type="dxa"/>
            <w:vAlign w:val="center"/>
          </w:tcPr>
          <w:p w14:paraId="5B2CCF0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 xml:space="preserve">Farklı Atık </w:t>
            </w:r>
            <w:r w:rsidR="000C7C60">
              <w:rPr>
                <w:rFonts w:ascii="Times New Roman" w:hAnsi="Times New Roman" w:cs="Times New Roman"/>
                <w:sz w:val="24"/>
                <w:szCs w:val="24"/>
              </w:rPr>
              <w:t>Türlerinin</w:t>
            </w:r>
            <w:r w:rsidRPr="009C6CAC">
              <w:rPr>
                <w:rFonts w:ascii="Times New Roman" w:hAnsi="Times New Roman" w:cs="Times New Roman"/>
                <w:sz w:val="24"/>
                <w:szCs w:val="24"/>
              </w:rPr>
              <w:t xml:space="preserve"> Ayrı Toplanması</w:t>
            </w:r>
          </w:p>
        </w:tc>
        <w:tc>
          <w:tcPr>
            <w:tcW w:w="6090" w:type="dxa"/>
            <w:vAlign w:val="center"/>
          </w:tcPr>
          <w:p w14:paraId="6110592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Farklı atık </w:t>
            </w:r>
            <w:r w:rsidR="000C7C60">
              <w:rPr>
                <w:rFonts w:ascii="Times New Roman" w:hAnsi="Times New Roman" w:cs="Times New Roman"/>
                <w:sz w:val="24"/>
                <w:szCs w:val="24"/>
              </w:rPr>
              <w:t>türlerinin</w:t>
            </w:r>
            <w:r w:rsidRPr="009C6CAC">
              <w:rPr>
                <w:rFonts w:ascii="Times New Roman" w:hAnsi="Times New Roman" w:cs="Times New Roman"/>
                <w:sz w:val="24"/>
                <w:szCs w:val="24"/>
              </w:rPr>
              <w:t xml:space="preserve"> kaynağında ayrı toplanması, ve mümkünse, </w:t>
            </w:r>
            <w:r w:rsidR="000C7C60">
              <w:rPr>
                <w:rFonts w:ascii="Times New Roman" w:hAnsi="Times New Roman" w:cs="Times New Roman"/>
                <w:sz w:val="24"/>
                <w:szCs w:val="24"/>
              </w:rPr>
              <w:t>tesis içi geçici</w:t>
            </w:r>
            <w:r w:rsidRPr="009C6CAC">
              <w:rPr>
                <w:rFonts w:ascii="Times New Roman" w:hAnsi="Times New Roman" w:cs="Times New Roman"/>
                <w:sz w:val="24"/>
                <w:szCs w:val="24"/>
              </w:rPr>
              <w:t xml:space="preserve"> depolama, yeniden kullanım veya resirkülasyona yönelik seçenekleri iyileştirir. Ayrı toplama ayrıca, tehlikeli atık</w:t>
            </w:r>
            <w:r w:rsidR="000C7C60">
              <w:rPr>
                <w:rFonts w:ascii="Times New Roman" w:hAnsi="Times New Roman" w:cs="Times New Roman"/>
                <w:sz w:val="24"/>
                <w:szCs w:val="24"/>
              </w:rPr>
              <w:t>ların</w:t>
            </w:r>
            <w:r w:rsidRPr="009C6CAC">
              <w:rPr>
                <w:rFonts w:ascii="Times New Roman" w:hAnsi="Times New Roman" w:cs="Times New Roman"/>
                <w:sz w:val="24"/>
                <w:szCs w:val="24"/>
              </w:rPr>
              <w:t xml:space="preserve"> (örn. yağ ve gres yağı kalıntıları, hidrolik ve transformatör yağları, atık piller,  </w:t>
            </w:r>
            <w:r w:rsidR="000C7C60">
              <w:rPr>
                <w:rFonts w:ascii="Times New Roman" w:hAnsi="Times New Roman" w:cs="Times New Roman"/>
                <w:sz w:val="24"/>
                <w:szCs w:val="24"/>
              </w:rPr>
              <w:t>elektronik atıklar</w:t>
            </w:r>
            <w:r w:rsidRPr="009C6CAC">
              <w:rPr>
                <w:rFonts w:ascii="Times New Roman" w:hAnsi="Times New Roman" w:cs="Times New Roman"/>
                <w:sz w:val="24"/>
                <w:szCs w:val="24"/>
              </w:rPr>
              <w:t xml:space="preserve">, boyalar, biyosit veya kimyasal </w:t>
            </w:r>
            <w:r w:rsidR="000C7C60">
              <w:rPr>
                <w:rFonts w:ascii="Times New Roman" w:hAnsi="Times New Roman" w:cs="Times New Roman"/>
                <w:sz w:val="24"/>
                <w:szCs w:val="24"/>
              </w:rPr>
              <w:t>atıkları)</w:t>
            </w:r>
            <w:r w:rsidRPr="009C6CAC">
              <w:rPr>
                <w:rFonts w:ascii="Times New Roman" w:hAnsi="Times New Roman" w:cs="Times New Roman"/>
                <w:sz w:val="24"/>
                <w:szCs w:val="24"/>
              </w:rPr>
              <w:t xml:space="preserve"> ayrılmasını ve sınıflandırılmasını da kapsar.</w:t>
            </w:r>
          </w:p>
        </w:tc>
      </w:tr>
      <w:tr w:rsidR="00C07865" w:rsidRPr="009C6CAC" w14:paraId="7FA51093" w14:textId="77777777" w:rsidTr="000D79D6">
        <w:trPr>
          <w:jc w:val="center"/>
        </w:trPr>
        <w:tc>
          <w:tcPr>
            <w:tcW w:w="2972" w:type="dxa"/>
            <w:vAlign w:val="center"/>
          </w:tcPr>
          <w:p w14:paraId="08783A2C"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Uygun Kalıntı Kısımlarının Birleştirilmesi</w:t>
            </w:r>
          </w:p>
        </w:tc>
        <w:tc>
          <w:tcPr>
            <w:tcW w:w="6090" w:type="dxa"/>
            <w:vAlign w:val="center"/>
          </w:tcPr>
          <w:p w14:paraId="075C6BED"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Uygun kalıntı kısımlarının yeniden kullanım/geri dönüşüm, ek arıtma ve bertaraf için tercih edilen seçeneklere bağlı olarak birleştirilmesi.</w:t>
            </w:r>
          </w:p>
        </w:tc>
      </w:tr>
      <w:tr w:rsidR="00C07865" w:rsidRPr="009C6CAC" w14:paraId="3B7C97AB" w14:textId="77777777" w:rsidTr="000D79D6">
        <w:trPr>
          <w:jc w:val="center"/>
        </w:trPr>
        <w:tc>
          <w:tcPr>
            <w:tcW w:w="2972" w:type="dxa"/>
            <w:vAlign w:val="center"/>
          </w:tcPr>
          <w:p w14:paraId="7A79E16B"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Kalıntılarının Yeniden Kullanım veya Geri Dönüşümden Önce Ön İşlemesi</w:t>
            </w:r>
          </w:p>
        </w:tc>
        <w:tc>
          <w:tcPr>
            <w:tcW w:w="6090" w:type="dxa"/>
            <w:vAlign w:val="center"/>
          </w:tcPr>
          <w:p w14:paraId="30C9B63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Ön işleme, aşağıdaki gibi tekniklerden oluşur:</w:t>
            </w:r>
          </w:p>
          <w:p w14:paraId="455F341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örneğin çamur, kabuk veya ıskartaların susuzlaştırılması ve bazı durumlarda, yeniden kullanılabilirliği artırmak için kurutma (örn. yakmadan önce kalorifik değerin artırılması);</w:t>
            </w:r>
          </w:p>
          <w:p w14:paraId="705D47D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taşıma aşamasında ağırlık ve hacmin azaltılması için susuzlaştırma. Susuzlaştırma için kayışlı presler, vidalı presler, dekanter santrifüj veya hazneli filtre presleri kullanılır;</w:t>
            </w:r>
          </w:p>
          <w:p w14:paraId="4599F0E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örneğin RCF proseslerinden kaynaklanan ıskartaların parçalanması ve yakmadan önce yanma özelliklerini iyileştirmek için metalik bölümlerin uzaklaştırılması;</w:t>
            </w:r>
          </w:p>
          <w:p w14:paraId="3DBA9F43" w14:textId="7C36633C" w:rsidR="00C07865" w:rsidRPr="009C6CAC" w:rsidRDefault="00C07865" w:rsidP="00A077C5">
            <w:pPr>
              <w:jc w:val="both"/>
              <w:rPr>
                <w:rFonts w:ascii="Times New Roman" w:hAnsi="Times New Roman" w:cs="Times New Roman"/>
                <w:sz w:val="24"/>
                <w:szCs w:val="24"/>
              </w:rPr>
            </w:pPr>
          </w:p>
        </w:tc>
      </w:tr>
      <w:tr w:rsidR="00C07865" w:rsidRPr="009C6CAC" w14:paraId="3FF35BC4" w14:textId="77777777" w:rsidTr="000D79D6">
        <w:trPr>
          <w:jc w:val="center"/>
        </w:trPr>
        <w:tc>
          <w:tcPr>
            <w:tcW w:w="2972" w:type="dxa"/>
            <w:vAlign w:val="center"/>
          </w:tcPr>
          <w:p w14:paraId="35D35C2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Proses Kalıntılarının Tesis İçinde Geri Kazanımı ve Geri Dönüşümü</w:t>
            </w:r>
          </w:p>
        </w:tc>
        <w:tc>
          <w:tcPr>
            <w:tcW w:w="6090" w:type="dxa"/>
            <w:vAlign w:val="center"/>
          </w:tcPr>
          <w:p w14:paraId="088326A1"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Materyal geri kazanımı için prosesler, aşağıdaki gibi tekniklerden oluşur:</w:t>
            </w:r>
          </w:p>
          <w:p w14:paraId="2A6D958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liflerin su akıntılarından ayrılması ve beslemeye resirkülasyonu;</w:t>
            </w:r>
          </w:p>
          <w:p w14:paraId="490E27DF"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kimyasal katkı maddesi, kaplama boyar maddesi vb. geri kazanımı;</w:t>
            </w:r>
          </w:p>
          <w:p w14:paraId="3F1C68F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geri kazanım kazanları, kostifikasyon vb. aracılığıyla pişirme kimyasallarının geri kazanımı.</w:t>
            </w:r>
          </w:p>
        </w:tc>
      </w:tr>
      <w:tr w:rsidR="00C07865" w:rsidRPr="009C6CAC" w14:paraId="0DFEEFBB" w14:textId="77777777" w:rsidTr="000D79D6">
        <w:trPr>
          <w:jc w:val="center"/>
        </w:trPr>
        <w:tc>
          <w:tcPr>
            <w:tcW w:w="2972" w:type="dxa"/>
            <w:vAlign w:val="center"/>
          </w:tcPr>
          <w:p w14:paraId="76144318"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Yüksek Organik İçerikli Atıklardan, Tesis İçinde veya Dışında, Enerji Geri Kazanımı</w:t>
            </w:r>
          </w:p>
        </w:tc>
        <w:tc>
          <w:tcPr>
            <w:tcW w:w="6090" w:type="dxa"/>
            <w:vAlign w:val="center"/>
          </w:tcPr>
          <w:p w14:paraId="025EE83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Kabuk soyma, yongalama, eleme vb. işlemlerden çıkan kabuk, lif çamuru gibi veya diğer çoğunlukla organik olan kalıntılar, yakmadaki veya enerji geri kazanımı için biyokütle elektrik santrallerindeki kalorifik değerlerinden dolayı yakılır.</w:t>
            </w:r>
          </w:p>
        </w:tc>
      </w:tr>
      <w:tr w:rsidR="00C07865" w:rsidRPr="009C6CAC" w14:paraId="2D84C55D" w14:textId="77777777" w:rsidTr="000D79D6">
        <w:trPr>
          <w:jc w:val="center"/>
        </w:trPr>
        <w:tc>
          <w:tcPr>
            <w:tcW w:w="2972" w:type="dxa"/>
            <w:vAlign w:val="center"/>
          </w:tcPr>
          <w:p w14:paraId="083F8E70"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Harici Materyal Kullanımı</w:t>
            </w:r>
          </w:p>
        </w:tc>
        <w:tc>
          <w:tcPr>
            <w:tcW w:w="6090" w:type="dxa"/>
            <w:vAlign w:val="center"/>
          </w:tcPr>
          <w:p w14:paraId="09481D55"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Kağıt hamuru ve kağıt üretiminden kaynaklanan uygun atığın diğer endüstriyel sektörlerde kullanılması, örneğin aşağıdaki şekillerde gerçekleşebilir:</w:t>
            </w:r>
          </w:p>
          <w:p w14:paraId="2E99F3A9"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fırınlarda pişirme veya çimento, seramik veya tuğla üretiminde besleme stoğu ile karıştırma (enerji geri kazanımını da içerir);</w:t>
            </w:r>
          </w:p>
          <w:p w14:paraId="146E4CF0" w14:textId="77777777" w:rsidR="00A364DF"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kağıt</w:t>
            </w:r>
            <w:r w:rsidR="00A364DF">
              <w:rPr>
                <w:rFonts w:ascii="Times New Roman" w:hAnsi="Times New Roman" w:cs="Times New Roman"/>
                <w:sz w:val="24"/>
                <w:szCs w:val="24"/>
              </w:rPr>
              <w:t xml:space="preserve"> çamurunun kompostlaştırılması</w:t>
            </w:r>
          </w:p>
          <w:p w14:paraId="2ECF14A2" w14:textId="5121B01E"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kaldırım, yol, kaplama tabakaları vb. inşası için inorganik atık kısımlarının (kum, taş, çakıl, kül, kireç) kullanılması.</w:t>
            </w:r>
          </w:p>
          <w:p w14:paraId="595762F7" w14:textId="77777777" w:rsidR="00C07865" w:rsidRPr="009C6CAC" w:rsidRDefault="00C07865" w:rsidP="000D79D6">
            <w:pPr>
              <w:jc w:val="both"/>
              <w:rPr>
                <w:rFonts w:ascii="Times New Roman" w:hAnsi="Times New Roman" w:cs="Times New Roman"/>
                <w:sz w:val="24"/>
                <w:szCs w:val="24"/>
              </w:rPr>
            </w:pPr>
          </w:p>
          <w:p w14:paraId="087C8EF3"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 xml:space="preserve">Atık kısımlarının saha dışında kullanım için uygunluğu, atık kompozisyonu (örn. inorganik/mineral içerik) ile öngörülen </w:t>
            </w:r>
            <w:r w:rsidRPr="009C6CAC">
              <w:rPr>
                <w:rFonts w:ascii="Times New Roman" w:hAnsi="Times New Roman" w:cs="Times New Roman"/>
                <w:sz w:val="24"/>
                <w:szCs w:val="24"/>
              </w:rPr>
              <w:lastRenderedPageBreak/>
              <w:t>geri dönüşüm işleminin çevre veya insan sağlığına zarar vermediğine ilişkin kanıta bağlıdır.</w:t>
            </w:r>
          </w:p>
        </w:tc>
      </w:tr>
      <w:tr w:rsidR="00C07865" w:rsidRPr="009C6CAC" w14:paraId="21542606" w14:textId="77777777" w:rsidTr="000D79D6">
        <w:trPr>
          <w:jc w:val="center"/>
        </w:trPr>
        <w:tc>
          <w:tcPr>
            <w:tcW w:w="2972" w:type="dxa"/>
            <w:vAlign w:val="center"/>
          </w:tcPr>
          <w:p w14:paraId="59944664"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lastRenderedPageBreak/>
              <w:t xml:space="preserve">Atık </w:t>
            </w:r>
            <w:r w:rsidR="000C7C60">
              <w:rPr>
                <w:rFonts w:ascii="Times New Roman" w:hAnsi="Times New Roman" w:cs="Times New Roman"/>
                <w:sz w:val="24"/>
                <w:szCs w:val="24"/>
              </w:rPr>
              <w:t>Türlerinin</w:t>
            </w:r>
            <w:r w:rsidRPr="009C6CAC">
              <w:rPr>
                <w:rFonts w:ascii="Times New Roman" w:hAnsi="Times New Roman" w:cs="Times New Roman"/>
                <w:sz w:val="24"/>
                <w:szCs w:val="24"/>
              </w:rPr>
              <w:t xml:space="preserve"> Bertaraftan Önce Ön İşlemi</w:t>
            </w:r>
          </w:p>
        </w:tc>
        <w:tc>
          <w:tcPr>
            <w:tcW w:w="6090" w:type="dxa"/>
            <w:vAlign w:val="center"/>
          </w:tcPr>
          <w:p w14:paraId="285D60B7" w14:textId="77777777" w:rsidR="00C07865" w:rsidRPr="009C6CAC" w:rsidRDefault="00C07865" w:rsidP="000D79D6">
            <w:pPr>
              <w:jc w:val="both"/>
              <w:rPr>
                <w:rFonts w:ascii="Times New Roman" w:hAnsi="Times New Roman" w:cs="Times New Roman"/>
                <w:sz w:val="24"/>
                <w:szCs w:val="24"/>
              </w:rPr>
            </w:pPr>
            <w:r w:rsidRPr="009C6CAC">
              <w:rPr>
                <w:rFonts w:ascii="Times New Roman" w:hAnsi="Times New Roman" w:cs="Times New Roman"/>
                <w:sz w:val="24"/>
                <w:szCs w:val="24"/>
              </w:rPr>
              <w:t>Atığın bertaraftan önce ön işlemesi, taşıma veya bertaraf için ağırlık ve hacim azaltıcı önlemlerden (susuzlaştırma, kurutma vb.) oluşur.</w:t>
            </w:r>
          </w:p>
        </w:tc>
      </w:tr>
    </w:tbl>
    <w:p w14:paraId="344369FB" w14:textId="77777777" w:rsidR="00C07865" w:rsidRPr="009C6CAC" w:rsidRDefault="00C07865" w:rsidP="00C07865">
      <w:pPr>
        <w:spacing w:after="120" w:line="276" w:lineRule="auto"/>
        <w:jc w:val="both"/>
        <w:rPr>
          <w:rFonts w:ascii="Times New Roman" w:hAnsi="Times New Roman" w:cs="Times New Roman"/>
          <w:sz w:val="24"/>
          <w:szCs w:val="24"/>
        </w:rPr>
      </w:pPr>
    </w:p>
    <w:p w14:paraId="194585B2" w14:textId="77777777" w:rsidR="003A4E59" w:rsidRDefault="003A4E59" w:rsidP="003610DF">
      <w:pPr>
        <w:spacing w:after="120" w:line="276" w:lineRule="auto"/>
        <w:jc w:val="both"/>
        <w:rPr>
          <w:rFonts w:ascii="Times New Roman" w:hAnsi="Times New Roman" w:cs="Times New Roman"/>
          <w:sz w:val="24"/>
          <w:szCs w:val="24"/>
        </w:rPr>
        <w:sectPr w:rsidR="003A4E59">
          <w:pgSz w:w="11906" w:h="16838"/>
          <w:pgMar w:top="1417" w:right="1417" w:bottom="1417" w:left="1417" w:header="708" w:footer="708" w:gutter="0"/>
          <w:cols w:space="708"/>
          <w:docGrid w:linePitch="360"/>
        </w:sectPr>
      </w:pPr>
    </w:p>
    <w:p w14:paraId="1B26CA65" w14:textId="77777777" w:rsidR="003B155E" w:rsidRPr="007F1D69" w:rsidRDefault="003B155E" w:rsidP="003B155E">
      <w:pPr>
        <w:pStyle w:val="Balk1"/>
        <w:jc w:val="right"/>
      </w:pPr>
      <w:r>
        <w:lastRenderedPageBreak/>
        <w:t>EK-3</w:t>
      </w:r>
    </w:p>
    <w:p w14:paraId="3A2F382B" w14:textId="77777777" w:rsidR="003B155E" w:rsidRPr="00C90D80" w:rsidRDefault="003B155E" w:rsidP="003B155E">
      <w:pPr>
        <w:pStyle w:val="Balk1"/>
        <w:jc w:val="center"/>
      </w:pPr>
      <w:r w:rsidRPr="00C90D80">
        <w:t>AHŞAP PANEL SEKTÖRÜ İÇİN MEVCUT EN İYİ TEKNİKLER</w:t>
      </w:r>
    </w:p>
    <w:p w14:paraId="408A9B4B" w14:textId="19AA03A2"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w:t>
      </w:r>
      <w:r w:rsidR="001208DC">
        <w:rPr>
          <w:rFonts w:ascii="Times New Roman" w:hAnsi="Times New Roman" w:cs="Times New Roman"/>
          <w:sz w:val="24"/>
          <w:szCs w:val="24"/>
        </w:rPr>
        <w:t>K</w:t>
      </w:r>
      <w:r>
        <w:rPr>
          <w:rFonts w:ascii="Times New Roman" w:hAnsi="Times New Roman" w:cs="Times New Roman"/>
          <w:sz w:val="24"/>
          <w:szCs w:val="24"/>
        </w:rPr>
        <w:t>-1’inde yer alan aşağıdaki endüstriyel faaliyetleri kapsar:</w:t>
      </w:r>
    </w:p>
    <w:p w14:paraId="207465A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 Aşağıdaki sınaî faaliyetleri yürüten tesislerde üretim:</w:t>
      </w:r>
    </w:p>
    <w:p w14:paraId="2C6BEC71" w14:textId="77777777" w:rsidR="003B155E" w:rsidRDefault="003B155E" w:rsidP="003B155E">
      <w:pPr>
        <w:pStyle w:val="ListeParagraf"/>
        <w:numPr>
          <w:ilvl w:val="0"/>
          <w:numId w:val="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Günlük 600 m</w:t>
      </w:r>
      <w:r>
        <w:rPr>
          <w:rFonts w:ascii="Times New Roman" w:hAnsi="Times New Roman" w:cs="Times New Roman"/>
          <w:sz w:val="24"/>
          <w:szCs w:val="24"/>
          <w:vertAlign w:val="superscript"/>
        </w:rPr>
        <w:t>3</w:t>
      </w:r>
      <w:r>
        <w:rPr>
          <w:rFonts w:ascii="Times New Roman" w:hAnsi="Times New Roman" w:cs="Times New Roman"/>
          <w:sz w:val="24"/>
          <w:szCs w:val="24"/>
        </w:rPr>
        <w:t xml:space="preserve"> üzerinde üretim kapasitesiyle yönlendirilmiş levha, yonga levha veya fiber levha ahşap levhalarından birinin veya birkaçının üretimini kapsar.</w:t>
      </w:r>
    </w:p>
    <w:p w14:paraId="435A76CE" w14:textId="77777777" w:rsidR="003B155E" w:rsidRDefault="003B155E" w:rsidP="003B155E">
      <w:pPr>
        <w:spacing w:after="120" w:line="276" w:lineRule="auto"/>
        <w:jc w:val="both"/>
        <w:rPr>
          <w:rFonts w:ascii="Times New Roman" w:hAnsi="Times New Roman" w:cs="Times New Roman"/>
          <w:sz w:val="24"/>
          <w:szCs w:val="24"/>
        </w:rPr>
      </w:pPr>
      <w:r w:rsidRPr="006F5657">
        <w:rPr>
          <w:rFonts w:ascii="Times New Roman" w:hAnsi="Times New Roman" w:cs="Times New Roman"/>
          <w:sz w:val="24"/>
          <w:szCs w:val="24"/>
        </w:rPr>
        <w:t>Bu MET sonuçları, özellikle aşağıdaki proses ve faaliyetleri de kapsar:</w:t>
      </w:r>
    </w:p>
    <w:p w14:paraId="008C88D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ahşap panel üretimi;</w:t>
      </w:r>
    </w:p>
    <w:p w14:paraId="2A69747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doğrudan ısıtılan kurutucular için sıcak gaz üreten saha içi yakma tesisleri (motorlar dahil);</w:t>
      </w:r>
    </w:p>
    <w:p w14:paraId="2AA50DF0" w14:textId="77777777" w:rsidR="003B155E" w:rsidRPr="008C65CF"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reçine ile doygun hale getirilmiş </w:t>
      </w:r>
      <w:r w:rsidRPr="008C65CF">
        <w:rPr>
          <w:rFonts w:ascii="Times New Roman" w:hAnsi="Times New Roman" w:cs="Times New Roman"/>
          <w:sz w:val="24"/>
          <w:szCs w:val="24"/>
        </w:rPr>
        <w:t>kağıt üretimi.</w:t>
      </w:r>
    </w:p>
    <w:p w14:paraId="19146AF9" w14:textId="77777777" w:rsidR="003B155E" w:rsidRDefault="003B155E" w:rsidP="003B155E">
      <w:pPr>
        <w:spacing w:after="120" w:line="276" w:lineRule="auto"/>
        <w:jc w:val="both"/>
        <w:rPr>
          <w:rFonts w:ascii="Times New Roman" w:hAnsi="Times New Roman" w:cs="Times New Roman"/>
          <w:sz w:val="24"/>
          <w:szCs w:val="24"/>
        </w:rPr>
      </w:pPr>
      <w:r w:rsidRPr="008C65CF">
        <w:rPr>
          <w:rFonts w:ascii="Times New Roman" w:hAnsi="Times New Roman" w:cs="Times New Roman"/>
          <w:sz w:val="24"/>
          <w:szCs w:val="24"/>
        </w:rPr>
        <w:t>Bu MET sonuçları, aşağıdaki faaliyetleri kapsamaz:</w:t>
      </w:r>
    </w:p>
    <w:p w14:paraId="3F5885D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doğrudan ısıtılan kurutucular için sıcak gaz üretmeyen saha içi yakma tesisleri (motorlar dahil);</w:t>
      </w:r>
    </w:p>
    <w:p w14:paraId="4212A3B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ham panelin laminasyonu, cilalanması veya boyanması.</w:t>
      </w:r>
    </w:p>
    <w:p w14:paraId="601E89BA" w14:textId="77777777" w:rsidR="003B155E" w:rsidRPr="00C043C7" w:rsidRDefault="003B155E" w:rsidP="003B155E">
      <w:pPr>
        <w:pStyle w:val="Balk2"/>
        <w:spacing w:before="0" w:after="120" w:line="276" w:lineRule="auto"/>
        <w:jc w:val="both"/>
        <w:rPr>
          <w:rFonts w:cs="Times New Roman"/>
          <w:b/>
          <w:szCs w:val="24"/>
        </w:rPr>
      </w:pPr>
      <w:r w:rsidRPr="00C043C7">
        <w:rPr>
          <w:rFonts w:cs="Times New Roman"/>
          <w:b/>
          <w:szCs w:val="24"/>
        </w:rPr>
        <w:t>(1) Genel MET</w:t>
      </w:r>
    </w:p>
    <w:p w14:paraId="0E9688E7"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(1.1) Çevre Yönetim Sistemi</w:t>
      </w:r>
    </w:p>
    <w:p w14:paraId="400EC1B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w:t>
      </w:r>
      <w:r>
        <w:rPr>
          <w:rFonts w:ascii="Times New Roman" w:hAnsi="Times New Roman" w:cs="Times New Roman"/>
          <w:sz w:val="24"/>
          <w:szCs w:val="24"/>
        </w:rPr>
        <w:t xml:space="preserve"> Genel çevresel performansı iyileştirmek için, aşağıdaki özelliklerin tümünü içeren bir Çevre Yönetim Sistemi (ÇYS) uygulanır ve bu sisteme bağlı kalınır:</w:t>
      </w:r>
    </w:p>
    <w:p w14:paraId="112A3B03"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sidRPr="008E57F8">
        <w:rPr>
          <w:rFonts w:ascii="Times New Roman" w:hAnsi="Times New Roman" w:cs="Times New Roman"/>
          <w:sz w:val="24"/>
          <w:szCs w:val="24"/>
        </w:rPr>
        <w:t>Üst yönetim de dahil olmak üzere, yönetimin taahhüdü;</w:t>
      </w:r>
    </w:p>
    <w:p w14:paraId="1C26980A"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sidRPr="00D738DF">
        <w:rPr>
          <w:rFonts w:ascii="Times New Roman" w:hAnsi="Times New Roman" w:cs="Times New Roman"/>
          <w:sz w:val="24"/>
          <w:szCs w:val="24"/>
        </w:rPr>
        <w:t>Yönetim tarafından, tesisin sürekli iyileştiril</w:t>
      </w:r>
      <w:r w:rsidR="003B155E" w:rsidRPr="00D738DF">
        <w:rPr>
          <w:rFonts w:ascii="Times New Roman" w:hAnsi="Times New Roman" w:cs="Times New Roman"/>
          <w:sz w:val="24"/>
          <w:szCs w:val="24"/>
        </w:rPr>
        <w:t>mesini içeren bir çevre politikasının tanımlanması;</w:t>
      </w:r>
    </w:p>
    <w:p w14:paraId="0FA38915"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sidRPr="00D738DF">
        <w:rPr>
          <w:rFonts w:ascii="Times New Roman" w:hAnsi="Times New Roman" w:cs="Times New Roman"/>
          <w:sz w:val="24"/>
          <w:szCs w:val="24"/>
        </w:rPr>
        <w:t>Finansal planlama ve yatırım ile bağlantılı olarak gerekli prosedürlerin, amaçların ve hedeflerin planlanması ve oluşturulması;</w:t>
      </w:r>
    </w:p>
    <w:p w14:paraId="0FCEAF1E"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sidRPr="00FB64A8">
        <w:rPr>
          <w:rFonts w:ascii="Times New Roman" w:hAnsi="Times New Roman" w:cs="Times New Roman"/>
          <w:sz w:val="24"/>
          <w:szCs w:val="24"/>
        </w:rPr>
        <w:t xml:space="preserve">Aşağıdakilere özellikle dikkat </w:t>
      </w:r>
      <w:r w:rsidR="003B155E" w:rsidRPr="00FB64A8">
        <w:rPr>
          <w:rFonts w:ascii="Times New Roman" w:hAnsi="Times New Roman" w:cs="Times New Roman"/>
          <w:sz w:val="24"/>
          <w:szCs w:val="24"/>
        </w:rPr>
        <w:t>edilerek prosedürlerin uygulanması:</w:t>
      </w:r>
    </w:p>
    <w:p w14:paraId="0720C621"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A002BA">
        <w:rPr>
          <w:rFonts w:ascii="Times New Roman" w:hAnsi="Times New Roman" w:cs="Times New Roman"/>
          <w:sz w:val="24"/>
          <w:szCs w:val="24"/>
        </w:rPr>
        <w:t xml:space="preserve">Yapı ve </w:t>
      </w:r>
      <w:r w:rsidR="003B155E" w:rsidRPr="00A002BA">
        <w:rPr>
          <w:rFonts w:ascii="Times New Roman" w:hAnsi="Times New Roman" w:cs="Times New Roman"/>
          <w:sz w:val="24"/>
          <w:szCs w:val="24"/>
        </w:rPr>
        <w:t>sorumluluk</w:t>
      </w:r>
    </w:p>
    <w:p w14:paraId="0F5D8442"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İşe alım, eğitim, farkındalık ve yetkinlik</w:t>
      </w:r>
    </w:p>
    <w:p w14:paraId="11A78829"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İletişim</w:t>
      </w:r>
    </w:p>
    <w:p w14:paraId="631F3880"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Çalışan katılımı</w:t>
      </w:r>
    </w:p>
    <w:p w14:paraId="3FC77BC3"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Dokümantasyon</w:t>
      </w:r>
    </w:p>
    <w:p w14:paraId="62E3CBF1"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Etkin proses kontrolü</w:t>
      </w:r>
    </w:p>
    <w:p w14:paraId="5813D02A"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Bakım programları</w:t>
      </w:r>
    </w:p>
    <w:p w14:paraId="0B25BF84" w14:textId="77777777" w:rsidR="003B155E"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Acil durum hazırlığı ve müdahalesi</w:t>
      </w:r>
    </w:p>
    <w:p w14:paraId="4230DFC7" w14:textId="77777777" w:rsidR="003B155E" w:rsidRPr="006D7836" w:rsidRDefault="000E2BBC" w:rsidP="003B155E">
      <w:pPr>
        <w:pStyle w:val="ListeParagraf"/>
        <w:numPr>
          <w:ilvl w:val="0"/>
          <w:numId w:val="17"/>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Çevre mevzuatına uyum sağlanması;</w:t>
      </w:r>
    </w:p>
    <w:p w14:paraId="6805B14E" w14:textId="77777777" w:rsidR="003B155E" w:rsidRPr="006D7836" w:rsidRDefault="000E2BBC" w:rsidP="003B155E">
      <w:pPr>
        <w:pStyle w:val="ListeParagraf"/>
        <w:numPr>
          <w:ilvl w:val="0"/>
          <w:numId w:val="16"/>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lastRenderedPageBreak/>
        <w:t>Aşağıdakilere özellikle dikkat edilerek performans ko</w:t>
      </w:r>
      <w:r w:rsidR="003B155E" w:rsidRPr="006D7836">
        <w:rPr>
          <w:rFonts w:ascii="Times New Roman" w:hAnsi="Times New Roman" w:cs="Times New Roman"/>
          <w:sz w:val="24"/>
          <w:szCs w:val="24"/>
        </w:rPr>
        <w:t>ntrolü yapılması ve düzeltici eylemlerin alınması:</w:t>
      </w:r>
    </w:p>
    <w:p w14:paraId="3D6FD946" w14:textId="77777777" w:rsidR="003B155E" w:rsidRDefault="000E2BBC" w:rsidP="003B155E">
      <w:pPr>
        <w:pStyle w:val="ListeParagraf"/>
        <w:numPr>
          <w:ilvl w:val="0"/>
          <w:numId w:val="1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İzleme ve ölçüm</w:t>
      </w:r>
    </w:p>
    <w:p w14:paraId="06EF2767" w14:textId="77777777" w:rsidR="003B155E" w:rsidRDefault="000E2BBC" w:rsidP="003B155E">
      <w:pPr>
        <w:pStyle w:val="ListeParagraf"/>
        <w:numPr>
          <w:ilvl w:val="0"/>
          <w:numId w:val="1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Düzeltici ve önleyici eylem</w:t>
      </w:r>
    </w:p>
    <w:p w14:paraId="1FC74D26" w14:textId="77777777" w:rsidR="003B155E" w:rsidRDefault="000E2BBC" w:rsidP="003B155E">
      <w:pPr>
        <w:pStyle w:val="ListeParagraf"/>
        <w:numPr>
          <w:ilvl w:val="0"/>
          <w:numId w:val="1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Kayıtların tutulması</w:t>
      </w:r>
    </w:p>
    <w:p w14:paraId="3BE75D28" w14:textId="77777777" w:rsidR="003B155E" w:rsidRDefault="000E2BBC" w:rsidP="003B155E">
      <w:pPr>
        <w:pStyle w:val="ListeParagraf"/>
        <w:numPr>
          <w:ilvl w:val="0"/>
          <w:numId w:val="1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Çys’nin planlanan düzenlemelere uygun olup olmadığını ve doğru bir şekilde uygulanıp uygulanmadığını</w:t>
      </w:r>
      <w:r w:rsidR="003B155E">
        <w:rPr>
          <w:rFonts w:ascii="Times New Roman" w:hAnsi="Times New Roman" w:cs="Times New Roman"/>
          <w:sz w:val="24"/>
          <w:szCs w:val="24"/>
        </w:rPr>
        <w:t>, sürdürülüp sürdürülmediğini belirlemek için, bağımsız (uygulanabilir olduğu durumlarda) iç ve dış denetimlerin yapılması;</w:t>
      </w:r>
    </w:p>
    <w:p w14:paraId="35EDA3C5" w14:textId="77777777" w:rsidR="003B155E" w:rsidRDefault="003B155E"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ÇYS’nin ve devam eden uygunluğunun, yeterliliğinin ve etkinliğinin üst yönetim tarafından değerlendirilmesi;</w:t>
      </w:r>
    </w:p>
    <w:p w14:paraId="78B0870B"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Daha temiz teknolojilere yönelik gelişmelerin takip edilmesi;</w:t>
      </w:r>
    </w:p>
    <w:p w14:paraId="27399FF7"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w:t>
      </w:r>
      <w:r w:rsidR="003B155E">
        <w:rPr>
          <w:rFonts w:ascii="Times New Roman" w:hAnsi="Times New Roman" w:cs="Times New Roman"/>
          <w:sz w:val="24"/>
          <w:szCs w:val="24"/>
        </w:rPr>
        <w:t>eni bir tesisin tasarım aşamasında ve tüm kullanım ömrü boyunca, tesisin nihai olarak kapatılmasından kaynaklanacak çevresel etkilerin dikkate alınması;</w:t>
      </w:r>
    </w:p>
    <w:p w14:paraId="68BAA104"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Düzenli aralıklarla sektörel kıyaslamanın uygulanması.</w:t>
      </w:r>
    </w:p>
    <w:p w14:paraId="5AC011EF" w14:textId="77777777" w:rsidR="003B155E" w:rsidRDefault="000E2BBC"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Bazı durumlarda, aşağıdaki özellikler çys’nin </w:t>
      </w:r>
      <w:r w:rsidR="003B155E">
        <w:rPr>
          <w:rFonts w:ascii="Times New Roman" w:hAnsi="Times New Roman" w:cs="Times New Roman"/>
          <w:sz w:val="24"/>
          <w:szCs w:val="24"/>
        </w:rPr>
        <w:t>bir parçası olur:</w:t>
      </w:r>
    </w:p>
    <w:p w14:paraId="157CE4DB"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yönetim planı (bkz. Met 11);</w:t>
      </w:r>
    </w:p>
    <w:p w14:paraId="73644FAA"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Paneller için hammadde olarak ve yakıt olarak kullanılan geri kazanılmış ahşap için kalite kontrol planı (bkz. Met 2(b));</w:t>
      </w:r>
    </w:p>
    <w:p w14:paraId="6A51301B"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Gürültü yönetim planı (bkz. Met 4);</w:t>
      </w:r>
    </w:p>
    <w:p w14:paraId="47AF65AF"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Koku yönetim planı (bkz. Met 9);</w:t>
      </w:r>
    </w:p>
    <w:p w14:paraId="2EDCB74D" w14:textId="77777777" w:rsidR="003B155E" w:rsidRDefault="000E2BBC" w:rsidP="003B155E">
      <w:pPr>
        <w:pStyle w:val="ListeParagraf"/>
        <w:numPr>
          <w:ilvl w:val="0"/>
          <w:numId w:val="1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Toz yönetim p</w:t>
      </w:r>
      <w:r w:rsidR="003B155E">
        <w:rPr>
          <w:rFonts w:ascii="Times New Roman" w:hAnsi="Times New Roman" w:cs="Times New Roman"/>
          <w:sz w:val="24"/>
          <w:szCs w:val="24"/>
        </w:rPr>
        <w:t>lanı (bkz. MET 23).</w:t>
      </w:r>
    </w:p>
    <w:p w14:paraId="6470DECF" w14:textId="77777777" w:rsidR="003B155E" w:rsidRDefault="003B155E" w:rsidP="003B155E">
      <w:pPr>
        <w:spacing w:after="120" w:line="276" w:lineRule="auto"/>
        <w:jc w:val="both"/>
        <w:rPr>
          <w:rFonts w:ascii="Times New Roman" w:hAnsi="Times New Roman" w:cs="Times New Roman"/>
          <w:sz w:val="24"/>
          <w:szCs w:val="24"/>
        </w:rPr>
      </w:pPr>
      <w:r w:rsidRPr="00FA7CDB">
        <w:rPr>
          <w:rFonts w:ascii="Times New Roman" w:hAnsi="Times New Roman" w:cs="Times New Roman"/>
          <w:sz w:val="24"/>
          <w:szCs w:val="24"/>
        </w:rPr>
        <w:t>ÇYS’nin kapsamı (örn. ayrıntı düzeyleri) ve yapısı (örn. standart veya standart olmayan); genellikle tesisin yapısı, ölçeği ve karmaşıklık düzeyi ve neden olabileceği çevresel etkilerin çeşitliliği ile ilişkili olacaktır.</w:t>
      </w:r>
    </w:p>
    <w:p w14:paraId="5920A33C"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(1.2) İyi Bakım ve Temizlik</w:t>
      </w:r>
    </w:p>
    <w:p w14:paraId="54230E2F"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w:t>
      </w:r>
      <w:r>
        <w:rPr>
          <w:rFonts w:ascii="Times New Roman" w:hAnsi="Times New Roman" w:cs="Times New Roman"/>
          <w:sz w:val="24"/>
          <w:szCs w:val="24"/>
        </w:rPr>
        <w:t xml:space="preserve"> Üretim prosesinden kaynaklanan çevresel etkiyi en aza indirmek için, aşağıdaki tekniklerin tümü kullanılarak iyi bakım ve temizlik ilkeleri uygulanır.</w:t>
      </w:r>
    </w:p>
    <w:tbl>
      <w:tblPr>
        <w:tblStyle w:val="TabloKlavuzu"/>
        <w:tblW w:w="0" w:type="auto"/>
        <w:tblLook w:val="04A0" w:firstRow="1" w:lastRow="0" w:firstColumn="1" w:lastColumn="0" w:noHBand="0" w:noVBand="1"/>
      </w:tblPr>
      <w:tblGrid>
        <w:gridCol w:w="704"/>
        <w:gridCol w:w="8358"/>
      </w:tblGrid>
      <w:tr w:rsidR="003B155E" w:rsidRPr="00276CE9" w14:paraId="7EDAFB90" w14:textId="77777777" w:rsidTr="0082590D">
        <w:tc>
          <w:tcPr>
            <w:tcW w:w="704" w:type="dxa"/>
          </w:tcPr>
          <w:p w14:paraId="5FE415A9" w14:textId="77777777" w:rsidR="003B155E" w:rsidRPr="00276CE9" w:rsidRDefault="003B155E" w:rsidP="000D79D6">
            <w:pPr>
              <w:jc w:val="center"/>
              <w:rPr>
                <w:rFonts w:ascii="Times New Roman" w:hAnsi="Times New Roman" w:cs="Times New Roman"/>
                <w:b/>
                <w:bCs/>
              </w:rPr>
            </w:pPr>
          </w:p>
        </w:tc>
        <w:tc>
          <w:tcPr>
            <w:tcW w:w="8358" w:type="dxa"/>
          </w:tcPr>
          <w:p w14:paraId="4C1FE683"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Açıklama</w:t>
            </w:r>
          </w:p>
        </w:tc>
      </w:tr>
      <w:tr w:rsidR="003B155E" w:rsidRPr="00276CE9" w14:paraId="7B59451B" w14:textId="77777777" w:rsidTr="0082590D">
        <w:tc>
          <w:tcPr>
            <w:tcW w:w="704" w:type="dxa"/>
          </w:tcPr>
          <w:p w14:paraId="31F1CA8F" w14:textId="77777777" w:rsidR="003B155E" w:rsidRPr="00276CE9" w:rsidRDefault="003B155E" w:rsidP="000D79D6">
            <w:pPr>
              <w:jc w:val="center"/>
              <w:rPr>
                <w:rFonts w:ascii="Times New Roman" w:hAnsi="Times New Roman" w:cs="Times New Roman"/>
              </w:rPr>
            </w:pPr>
            <w:r>
              <w:rPr>
                <w:rFonts w:ascii="Times New Roman" w:hAnsi="Times New Roman" w:cs="Times New Roman"/>
              </w:rPr>
              <w:t>a</w:t>
            </w:r>
          </w:p>
        </w:tc>
        <w:tc>
          <w:tcPr>
            <w:tcW w:w="8358" w:type="dxa"/>
          </w:tcPr>
          <w:p w14:paraId="23F4A48C" w14:textId="77777777" w:rsidR="003B155E" w:rsidRPr="00276CE9" w:rsidRDefault="003B155E" w:rsidP="000D79D6">
            <w:pPr>
              <w:jc w:val="both"/>
              <w:rPr>
                <w:rFonts w:ascii="Times New Roman" w:hAnsi="Times New Roman" w:cs="Times New Roman"/>
              </w:rPr>
            </w:pPr>
            <w:r>
              <w:rPr>
                <w:rFonts w:ascii="Times New Roman" w:hAnsi="Times New Roman" w:cs="Times New Roman"/>
              </w:rPr>
              <w:t>Kimyasal ve katkı maddelerinin dikkatli bir şekilde seçimi ve kontrolü.</w:t>
            </w:r>
          </w:p>
        </w:tc>
      </w:tr>
      <w:tr w:rsidR="003B155E" w:rsidRPr="00276CE9" w14:paraId="29AB2EA8" w14:textId="77777777" w:rsidTr="0082590D">
        <w:tc>
          <w:tcPr>
            <w:tcW w:w="704" w:type="dxa"/>
          </w:tcPr>
          <w:p w14:paraId="2ABD0A21"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8358" w:type="dxa"/>
          </w:tcPr>
          <w:p w14:paraId="313A6E6E" w14:textId="77777777" w:rsidR="003B155E" w:rsidRDefault="003B155E" w:rsidP="000D79D6">
            <w:pPr>
              <w:jc w:val="both"/>
              <w:rPr>
                <w:rFonts w:ascii="Times New Roman" w:hAnsi="Times New Roman" w:cs="Times New Roman"/>
              </w:rPr>
            </w:pPr>
            <w:r>
              <w:rPr>
                <w:rFonts w:ascii="Times New Roman" w:hAnsi="Times New Roman" w:cs="Times New Roman"/>
              </w:rPr>
              <w:t>Hammadde ve/veya yakıt(</w:t>
            </w:r>
            <w:r w:rsidRPr="00F975D6">
              <w:rPr>
                <w:rFonts w:ascii="Times New Roman" w:hAnsi="Times New Roman" w:cs="Times New Roman"/>
                <w:vertAlign w:val="superscript"/>
              </w:rPr>
              <w:t>1</w:t>
            </w:r>
            <w:r>
              <w:rPr>
                <w:rFonts w:ascii="Times New Roman" w:hAnsi="Times New Roman" w:cs="Times New Roman"/>
              </w:rPr>
              <w:t>) olarak kullanılan geri kazanılmış ahşabın kalite kontrolü için -özellikle As, Pb, Cd, Cr, Cu, Hg, Zn, klor, flor ve PAH gibi kirleticilerin kontrolü için- bir programın uygulanması.</w:t>
            </w:r>
          </w:p>
        </w:tc>
      </w:tr>
      <w:tr w:rsidR="003B155E" w:rsidRPr="00276CE9" w14:paraId="0CBEFFBB" w14:textId="77777777" w:rsidTr="0082590D">
        <w:tc>
          <w:tcPr>
            <w:tcW w:w="704" w:type="dxa"/>
          </w:tcPr>
          <w:p w14:paraId="27299B74"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8358" w:type="dxa"/>
          </w:tcPr>
          <w:p w14:paraId="023D825E" w14:textId="77777777" w:rsidR="003B155E" w:rsidRDefault="003B155E" w:rsidP="000D79D6">
            <w:pPr>
              <w:jc w:val="both"/>
              <w:rPr>
                <w:rFonts w:ascii="Times New Roman" w:hAnsi="Times New Roman" w:cs="Times New Roman"/>
              </w:rPr>
            </w:pPr>
            <w:r>
              <w:rPr>
                <w:rFonts w:ascii="Times New Roman" w:hAnsi="Times New Roman" w:cs="Times New Roman"/>
              </w:rPr>
              <w:t>Hammadde ve atıkların dikkatli bir şekilde taşınması ve depolanması.</w:t>
            </w:r>
          </w:p>
        </w:tc>
      </w:tr>
      <w:tr w:rsidR="003B155E" w:rsidRPr="00276CE9" w14:paraId="258F1F81" w14:textId="77777777" w:rsidTr="0082590D">
        <w:tc>
          <w:tcPr>
            <w:tcW w:w="704" w:type="dxa"/>
          </w:tcPr>
          <w:p w14:paraId="16656987" w14:textId="77777777" w:rsidR="003B155E" w:rsidRDefault="003B155E" w:rsidP="000D79D6">
            <w:pPr>
              <w:jc w:val="center"/>
              <w:rPr>
                <w:rFonts w:ascii="Times New Roman" w:hAnsi="Times New Roman" w:cs="Times New Roman"/>
              </w:rPr>
            </w:pPr>
            <w:r>
              <w:rPr>
                <w:rFonts w:ascii="Times New Roman" w:hAnsi="Times New Roman" w:cs="Times New Roman"/>
              </w:rPr>
              <w:t>d</w:t>
            </w:r>
          </w:p>
        </w:tc>
        <w:tc>
          <w:tcPr>
            <w:tcW w:w="8358" w:type="dxa"/>
          </w:tcPr>
          <w:p w14:paraId="4B8E1A2D" w14:textId="77777777" w:rsidR="003B155E" w:rsidRDefault="003B155E" w:rsidP="000D79D6">
            <w:pPr>
              <w:jc w:val="both"/>
              <w:rPr>
                <w:rFonts w:ascii="Times New Roman" w:hAnsi="Times New Roman" w:cs="Times New Roman"/>
              </w:rPr>
            </w:pPr>
            <w:r>
              <w:rPr>
                <w:rFonts w:ascii="Times New Roman" w:hAnsi="Times New Roman" w:cs="Times New Roman"/>
              </w:rPr>
              <w:t>Ekipmanların, taşıma rotalarının ve hammadde depolama alanlarının düzenli bakımı ve temizliği.</w:t>
            </w:r>
          </w:p>
        </w:tc>
      </w:tr>
      <w:tr w:rsidR="003B155E" w:rsidRPr="00276CE9" w14:paraId="2AA9DB5B" w14:textId="77777777" w:rsidTr="0082590D">
        <w:tc>
          <w:tcPr>
            <w:tcW w:w="704" w:type="dxa"/>
          </w:tcPr>
          <w:p w14:paraId="7EB87046" w14:textId="77777777" w:rsidR="003B155E" w:rsidRDefault="003B155E" w:rsidP="000D79D6">
            <w:pPr>
              <w:jc w:val="center"/>
              <w:rPr>
                <w:rFonts w:ascii="Times New Roman" w:hAnsi="Times New Roman" w:cs="Times New Roman"/>
              </w:rPr>
            </w:pPr>
            <w:r>
              <w:rPr>
                <w:rFonts w:ascii="Times New Roman" w:hAnsi="Times New Roman" w:cs="Times New Roman"/>
              </w:rPr>
              <w:t>e</w:t>
            </w:r>
          </w:p>
        </w:tc>
        <w:tc>
          <w:tcPr>
            <w:tcW w:w="8358" w:type="dxa"/>
          </w:tcPr>
          <w:p w14:paraId="04B83A86" w14:textId="77777777" w:rsidR="003B155E" w:rsidRDefault="003B155E" w:rsidP="000D79D6">
            <w:pPr>
              <w:jc w:val="both"/>
              <w:rPr>
                <w:rFonts w:ascii="Times New Roman" w:hAnsi="Times New Roman" w:cs="Times New Roman"/>
              </w:rPr>
            </w:pPr>
            <w:r>
              <w:rPr>
                <w:rFonts w:ascii="Times New Roman" w:hAnsi="Times New Roman" w:cs="Times New Roman"/>
              </w:rPr>
              <w:t>Proses suyunun yeniden kullanılmasına ve ikincil su kaynaklarının kullanılmasına yönelik değerlendirme seçenekleri.</w:t>
            </w:r>
          </w:p>
        </w:tc>
      </w:tr>
      <w:tr w:rsidR="003B155E" w:rsidRPr="00276CE9" w14:paraId="2B7EFC88" w14:textId="77777777" w:rsidTr="0082590D">
        <w:tc>
          <w:tcPr>
            <w:tcW w:w="9062" w:type="dxa"/>
            <w:gridSpan w:val="2"/>
          </w:tcPr>
          <w:p w14:paraId="51510022"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Katı biyoyakıtların sınıflandırması için TS EN ISO 17225-1: 2021O kullanılabilir.</w:t>
            </w:r>
          </w:p>
        </w:tc>
      </w:tr>
    </w:tbl>
    <w:p w14:paraId="41AAC1A0" w14:textId="77777777" w:rsidR="003B155E" w:rsidRPr="00D61710" w:rsidRDefault="003B155E" w:rsidP="003B155E">
      <w:pPr>
        <w:spacing w:after="120" w:line="276" w:lineRule="auto"/>
        <w:jc w:val="both"/>
        <w:rPr>
          <w:rFonts w:ascii="Times New Roman" w:hAnsi="Times New Roman" w:cs="Times New Roman"/>
          <w:sz w:val="24"/>
          <w:szCs w:val="24"/>
        </w:rPr>
      </w:pPr>
    </w:p>
    <w:p w14:paraId="2EADA9C6" w14:textId="77777777" w:rsidR="003526A3" w:rsidRDefault="003526A3" w:rsidP="003B155E">
      <w:pPr>
        <w:spacing w:after="120" w:line="276" w:lineRule="auto"/>
        <w:jc w:val="both"/>
        <w:rPr>
          <w:rFonts w:ascii="Times New Roman" w:hAnsi="Times New Roman" w:cs="Times New Roman"/>
          <w:b/>
          <w:bCs/>
          <w:sz w:val="24"/>
          <w:szCs w:val="24"/>
        </w:rPr>
      </w:pPr>
    </w:p>
    <w:p w14:paraId="3A0F550B" w14:textId="77777777" w:rsidR="003526A3" w:rsidRDefault="003526A3" w:rsidP="003B155E">
      <w:pPr>
        <w:spacing w:after="120" w:line="276" w:lineRule="auto"/>
        <w:jc w:val="both"/>
        <w:rPr>
          <w:rFonts w:ascii="Times New Roman" w:hAnsi="Times New Roman" w:cs="Times New Roman"/>
          <w:b/>
          <w:bCs/>
          <w:sz w:val="24"/>
          <w:szCs w:val="24"/>
        </w:rPr>
      </w:pPr>
    </w:p>
    <w:p w14:paraId="4ED2F742" w14:textId="5756DAA8"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MET 3:</w:t>
      </w:r>
      <w:r>
        <w:rPr>
          <w:rFonts w:ascii="Times New Roman" w:hAnsi="Times New Roman" w:cs="Times New Roman"/>
          <w:sz w:val="24"/>
          <w:szCs w:val="24"/>
        </w:rPr>
        <w:t xml:space="preserve"> Havaya emisyonları azaltmak için, yüksek elverişliliğe ve normal çalışma koşulları altında optimum kapasiteye sahip atık gaz arıtma sistemleri kullanılır.</w:t>
      </w:r>
    </w:p>
    <w:p w14:paraId="0E647A8B"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Özellikle aşağıdakiler gibi normal çalışma koşulları haricindeki durumlar için özel prosedürler tanımlanabilir:</w:t>
      </w:r>
    </w:p>
    <w:p w14:paraId="3FBDD8A0" w14:textId="77777777" w:rsidR="003B155E" w:rsidRDefault="003B155E" w:rsidP="003B155E">
      <w:pPr>
        <w:pStyle w:val="ListeParagraf"/>
        <w:numPr>
          <w:ilvl w:val="0"/>
          <w:numId w:val="19"/>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başlatma/devreye alma ve kapatma işlemleri sırasında;</w:t>
      </w:r>
    </w:p>
    <w:p w14:paraId="712C3974" w14:textId="77777777" w:rsidR="003B155E" w:rsidRDefault="003B155E" w:rsidP="003B155E">
      <w:pPr>
        <w:pStyle w:val="ListeParagraf"/>
        <w:numPr>
          <w:ilvl w:val="0"/>
          <w:numId w:val="19"/>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sistemlerinin düzgün bir şekilde çalışmasını etkileyebilen diğer özel koşullar sırasında (örn. yakma tesisinin ve/veya atık gaz arıtma sisteminin düzenli ve plansız bakımı ile temizliği).</w:t>
      </w:r>
    </w:p>
    <w:p w14:paraId="48A51458" w14:textId="77777777" w:rsidR="003B155E" w:rsidRPr="00687ECE" w:rsidRDefault="003B155E" w:rsidP="00C043C7">
      <w:pPr>
        <w:pStyle w:val="Balk3"/>
        <w:keepNext w:val="0"/>
        <w:keepLines w:val="0"/>
        <w:spacing w:before="0" w:beforeAutospacing="1" w:after="120" w:afterAutospacing="1" w:line="276" w:lineRule="auto"/>
        <w:ind w:left="360"/>
        <w:jc w:val="both"/>
        <w:rPr>
          <w:b w:val="0"/>
          <w:bCs/>
          <w:szCs w:val="24"/>
        </w:rPr>
      </w:pPr>
      <w:r>
        <w:rPr>
          <w:szCs w:val="24"/>
        </w:rPr>
        <w:t>(1.3) Gürültü</w:t>
      </w:r>
    </w:p>
    <w:p w14:paraId="000A61E5"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4:</w:t>
      </w:r>
      <w:r>
        <w:rPr>
          <w:rFonts w:ascii="Times New Roman" w:hAnsi="Times New Roman" w:cs="Times New Roman"/>
          <w:sz w:val="24"/>
          <w:szCs w:val="24"/>
        </w:rPr>
        <w:t xml:space="preserve"> Gürültü ve titreşimleri önlemek veya önlemenin mümkün olmadığı durumlarda azaltmak için, aşağıdaki tekniklerin biri veya bir kombinasyonu kullanılır.</w:t>
      </w:r>
    </w:p>
    <w:tbl>
      <w:tblPr>
        <w:tblStyle w:val="TabloKlavuzu"/>
        <w:tblW w:w="0" w:type="auto"/>
        <w:jc w:val="center"/>
        <w:tblLook w:val="04A0" w:firstRow="1" w:lastRow="0" w:firstColumn="1" w:lastColumn="0" w:noHBand="0" w:noVBand="1"/>
      </w:tblPr>
      <w:tblGrid>
        <w:gridCol w:w="503"/>
        <w:gridCol w:w="5588"/>
        <w:gridCol w:w="2971"/>
      </w:tblGrid>
      <w:tr w:rsidR="003B155E" w:rsidRPr="003526A3" w14:paraId="49D8BD0C" w14:textId="77777777" w:rsidTr="000E2BBF">
        <w:trPr>
          <w:tblHeader/>
          <w:jc w:val="center"/>
        </w:trPr>
        <w:tc>
          <w:tcPr>
            <w:tcW w:w="503" w:type="dxa"/>
            <w:vAlign w:val="center"/>
          </w:tcPr>
          <w:p w14:paraId="295A2D37" w14:textId="77777777" w:rsidR="003B155E" w:rsidRPr="003526A3" w:rsidRDefault="003B155E" w:rsidP="000D79D6">
            <w:pPr>
              <w:jc w:val="center"/>
              <w:rPr>
                <w:rFonts w:ascii="Times New Roman" w:hAnsi="Times New Roman" w:cs="Times New Roman"/>
                <w:b/>
                <w:bCs/>
              </w:rPr>
            </w:pPr>
          </w:p>
        </w:tc>
        <w:tc>
          <w:tcPr>
            <w:tcW w:w="5588" w:type="dxa"/>
            <w:vAlign w:val="center"/>
          </w:tcPr>
          <w:p w14:paraId="0385521B" w14:textId="77777777" w:rsidR="003B155E" w:rsidRPr="003526A3" w:rsidRDefault="003B155E" w:rsidP="000D79D6">
            <w:pPr>
              <w:jc w:val="center"/>
              <w:rPr>
                <w:rFonts w:ascii="Times New Roman" w:hAnsi="Times New Roman" w:cs="Times New Roman"/>
                <w:b/>
                <w:bCs/>
              </w:rPr>
            </w:pPr>
            <w:r w:rsidRPr="003526A3">
              <w:rPr>
                <w:rFonts w:ascii="Times New Roman" w:hAnsi="Times New Roman" w:cs="Times New Roman"/>
                <w:b/>
                <w:bCs/>
              </w:rPr>
              <w:t>Açıklama</w:t>
            </w:r>
          </w:p>
        </w:tc>
        <w:tc>
          <w:tcPr>
            <w:tcW w:w="2971" w:type="dxa"/>
          </w:tcPr>
          <w:p w14:paraId="2CAB7C9F" w14:textId="77777777" w:rsidR="003B155E" w:rsidRPr="003526A3" w:rsidRDefault="003B155E" w:rsidP="000D79D6">
            <w:pPr>
              <w:jc w:val="center"/>
              <w:rPr>
                <w:rFonts w:ascii="Times New Roman" w:hAnsi="Times New Roman" w:cs="Times New Roman"/>
                <w:b/>
                <w:bCs/>
              </w:rPr>
            </w:pPr>
            <w:r w:rsidRPr="003526A3">
              <w:rPr>
                <w:rFonts w:ascii="Times New Roman" w:hAnsi="Times New Roman" w:cs="Times New Roman"/>
                <w:b/>
                <w:bCs/>
              </w:rPr>
              <w:t>Uygulanabilirlik</w:t>
            </w:r>
          </w:p>
        </w:tc>
      </w:tr>
      <w:tr w:rsidR="003B155E" w:rsidRPr="003526A3" w14:paraId="1E91FFC3" w14:textId="77777777" w:rsidTr="000D79D6">
        <w:trPr>
          <w:jc w:val="center"/>
        </w:trPr>
        <w:tc>
          <w:tcPr>
            <w:tcW w:w="9062" w:type="dxa"/>
            <w:gridSpan w:val="3"/>
            <w:vAlign w:val="center"/>
          </w:tcPr>
          <w:p w14:paraId="1AD954AC" w14:textId="77777777" w:rsidR="003B155E" w:rsidRPr="003526A3" w:rsidRDefault="003B155E" w:rsidP="000D79D6">
            <w:pPr>
              <w:jc w:val="both"/>
              <w:rPr>
                <w:rFonts w:ascii="Times New Roman" w:hAnsi="Times New Roman" w:cs="Times New Roman"/>
                <w:b/>
                <w:bCs/>
              </w:rPr>
            </w:pPr>
            <w:r w:rsidRPr="003526A3">
              <w:rPr>
                <w:rFonts w:ascii="Times New Roman" w:hAnsi="Times New Roman" w:cs="Times New Roman"/>
                <w:b/>
                <w:bCs/>
              </w:rPr>
              <w:t>Gürültü ve Titreşimlerin Önlenmesi İçin Teknikler</w:t>
            </w:r>
          </w:p>
        </w:tc>
      </w:tr>
      <w:tr w:rsidR="003B155E" w:rsidRPr="003526A3" w14:paraId="3B86CF64" w14:textId="77777777" w:rsidTr="000E2BBF">
        <w:trPr>
          <w:jc w:val="center"/>
        </w:trPr>
        <w:tc>
          <w:tcPr>
            <w:tcW w:w="503" w:type="dxa"/>
            <w:vAlign w:val="center"/>
          </w:tcPr>
          <w:p w14:paraId="620D94EF"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a</w:t>
            </w:r>
          </w:p>
        </w:tc>
        <w:tc>
          <w:tcPr>
            <w:tcW w:w="5588" w:type="dxa"/>
            <w:vAlign w:val="center"/>
          </w:tcPr>
          <w:p w14:paraId="3E177E66"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Örneğin, saha içi tesislerin yalıtım olarak kullanılması adına en gürültülü işlemlere yönelik yerleştirme yapmak için tesis düzeninin stratejik planlaması.</w:t>
            </w:r>
          </w:p>
        </w:tc>
        <w:tc>
          <w:tcPr>
            <w:tcW w:w="2971" w:type="dxa"/>
            <w:vAlign w:val="center"/>
          </w:tcPr>
          <w:p w14:paraId="2658E646"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Yeni tesislerde genellikle uygulanabilir. Mevcut tesisler bir birimin düzeni, uygulanabilirliği kısıtlayabilir.</w:t>
            </w:r>
          </w:p>
        </w:tc>
      </w:tr>
      <w:tr w:rsidR="003B155E" w:rsidRPr="003526A3" w14:paraId="335E9749" w14:textId="77777777" w:rsidTr="000E2BBF">
        <w:trPr>
          <w:jc w:val="center"/>
        </w:trPr>
        <w:tc>
          <w:tcPr>
            <w:tcW w:w="503" w:type="dxa"/>
            <w:vAlign w:val="center"/>
          </w:tcPr>
          <w:p w14:paraId="3DCEFF80"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b</w:t>
            </w:r>
          </w:p>
        </w:tc>
        <w:tc>
          <w:tcPr>
            <w:tcW w:w="5588" w:type="dxa"/>
            <w:vAlign w:val="center"/>
          </w:tcPr>
          <w:p w14:paraId="492CB8FA"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Gürültü kaynakları haritalandırmasını, tesis dışı alıcıların belirlenmesini, ses yayılmasının modellenmesini ve en uygun maliyetli önlemler ile bunların kullanılmasının değerlendirilmesini içeren bir gürültü azaltım programının uygulanması.</w:t>
            </w:r>
          </w:p>
        </w:tc>
        <w:tc>
          <w:tcPr>
            <w:tcW w:w="2971" w:type="dxa"/>
            <w:vMerge w:val="restart"/>
            <w:vAlign w:val="center"/>
          </w:tcPr>
          <w:p w14:paraId="53C122BD"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Genellikle uygulanabilir.</w:t>
            </w:r>
          </w:p>
        </w:tc>
      </w:tr>
      <w:tr w:rsidR="003B155E" w:rsidRPr="003526A3" w14:paraId="755A0FDA" w14:textId="77777777" w:rsidTr="000E2BBF">
        <w:trPr>
          <w:jc w:val="center"/>
        </w:trPr>
        <w:tc>
          <w:tcPr>
            <w:tcW w:w="503" w:type="dxa"/>
            <w:vAlign w:val="center"/>
          </w:tcPr>
          <w:p w14:paraId="4EDE9134"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c</w:t>
            </w:r>
          </w:p>
        </w:tc>
        <w:tc>
          <w:tcPr>
            <w:tcW w:w="5588" w:type="dxa"/>
            <w:vAlign w:val="center"/>
          </w:tcPr>
          <w:p w14:paraId="4B754EE2"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Tesis sınırları dışındaki ses seviyelerinin takibi ile düzenli gürültü araştırmalarının yapılması.</w:t>
            </w:r>
          </w:p>
        </w:tc>
        <w:tc>
          <w:tcPr>
            <w:tcW w:w="2971" w:type="dxa"/>
            <w:vMerge/>
            <w:vAlign w:val="center"/>
          </w:tcPr>
          <w:p w14:paraId="6E600984" w14:textId="77777777" w:rsidR="003B155E" w:rsidRPr="003526A3" w:rsidRDefault="003B155E" w:rsidP="000D79D6">
            <w:pPr>
              <w:jc w:val="both"/>
              <w:rPr>
                <w:rFonts w:ascii="Times New Roman" w:hAnsi="Times New Roman" w:cs="Times New Roman"/>
              </w:rPr>
            </w:pPr>
          </w:p>
        </w:tc>
      </w:tr>
      <w:tr w:rsidR="003B155E" w:rsidRPr="003526A3" w14:paraId="10012D4B" w14:textId="77777777" w:rsidTr="000D79D6">
        <w:trPr>
          <w:jc w:val="center"/>
        </w:trPr>
        <w:tc>
          <w:tcPr>
            <w:tcW w:w="9062" w:type="dxa"/>
            <w:gridSpan w:val="3"/>
            <w:vAlign w:val="center"/>
          </w:tcPr>
          <w:p w14:paraId="1B1F04A0" w14:textId="77777777" w:rsidR="003B155E" w:rsidRPr="003526A3" w:rsidRDefault="003B155E" w:rsidP="000D79D6">
            <w:pPr>
              <w:jc w:val="both"/>
              <w:rPr>
                <w:rFonts w:ascii="Times New Roman" w:hAnsi="Times New Roman" w:cs="Times New Roman"/>
                <w:b/>
                <w:bCs/>
              </w:rPr>
            </w:pPr>
            <w:r w:rsidRPr="003526A3">
              <w:rPr>
                <w:rFonts w:ascii="Times New Roman" w:hAnsi="Times New Roman" w:cs="Times New Roman"/>
                <w:b/>
                <w:bCs/>
              </w:rPr>
              <w:t>Noktasal Kaynaklardan Çıkan Gürültü ve Titreşimlerin Azaltımı İçin Teknikler</w:t>
            </w:r>
          </w:p>
        </w:tc>
      </w:tr>
      <w:tr w:rsidR="003B155E" w:rsidRPr="003526A3" w14:paraId="2008F0FE" w14:textId="77777777" w:rsidTr="000E2BBF">
        <w:trPr>
          <w:jc w:val="center"/>
        </w:trPr>
        <w:tc>
          <w:tcPr>
            <w:tcW w:w="503" w:type="dxa"/>
            <w:tcBorders>
              <w:bottom w:val="single" w:sz="4" w:space="0" w:color="auto"/>
            </w:tcBorders>
            <w:vAlign w:val="center"/>
          </w:tcPr>
          <w:p w14:paraId="18334E72"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d</w:t>
            </w:r>
          </w:p>
        </w:tc>
        <w:tc>
          <w:tcPr>
            <w:tcW w:w="5588" w:type="dxa"/>
            <w:tcBorders>
              <w:bottom w:val="single" w:sz="4" w:space="0" w:color="auto"/>
            </w:tcBorders>
            <w:vAlign w:val="center"/>
          </w:tcPr>
          <w:p w14:paraId="035527BC"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Gürültülü ekipmanların bir muhafaza (kutu vb.) ile veya kaplanarak ve ses geçirmez binalarda kullanılması.</w:t>
            </w:r>
          </w:p>
        </w:tc>
        <w:tc>
          <w:tcPr>
            <w:tcW w:w="2971" w:type="dxa"/>
            <w:vMerge w:val="restart"/>
            <w:vAlign w:val="center"/>
          </w:tcPr>
          <w:p w14:paraId="74E2133D"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Genellikle uygulanabilir.</w:t>
            </w:r>
          </w:p>
        </w:tc>
      </w:tr>
      <w:tr w:rsidR="003B155E" w:rsidRPr="003526A3" w14:paraId="14C50CFD" w14:textId="77777777" w:rsidTr="000E2BBF">
        <w:trPr>
          <w:jc w:val="center"/>
        </w:trPr>
        <w:tc>
          <w:tcPr>
            <w:tcW w:w="503" w:type="dxa"/>
            <w:tcBorders>
              <w:bottom w:val="single" w:sz="4" w:space="0" w:color="auto"/>
            </w:tcBorders>
            <w:vAlign w:val="center"/>
          </w:tcPr>
          <w:p w14:paraId="121204FC"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e</w:t>
            </w:r>
          </w:p>
        </w:tc>
        <w:tc>
          <w:tcPr>
            <w:tcW w:w="5588" w:type="dxa"/>
            <w:tcBorders>
              <w:bottom w:val="single" w:sz="4" w:space="0" w:color="auto"/>
            </w:tcBorders>
            <w:vAlign w:val="center"/>
          </w:tcPr>
          <w:p w14:paraId="585600AD"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Titreşim ve yankı gürültüsünü önlemek ve yayılmasını sınırlamak için tek ekipmanların ayrılması.</w:t>
            </w:r>
          </w:p>
        </w:tc>
        <w:tc>
          <w:tcPr>
            <w:tcW w:w="2971" w:type="dxa"/>
            <w:vMerge/>
            <w:vAlign w:val="center"/>
          </w:tcPr>
          <w:p w14:paraId="7664D179" w14:textId="77777777" w:rsidR="003B155E" w:rsidRPr="003526A3" w:rsidRDefault="003B155E" w:rsidP="000D79D6">
            <w:pPr>
              <w:jc w:val="both"/>
              <w:rPr>
                <w:rFonts w:ascii="Times New Roman" w:hAnsi="Times New Roman" w:cs="Times New Roman"/>
              </w:rPr>
            </w:pPr>
          </w:p>
        </w:tc>
      </w:tr>
      <w:tr w:rsidR="003B155E" w:rsidRPr="003526A3" w14:paraId="764F68DF" w14:textId="77777777" w:rsidTr="000E2BBF">
        <w:trPr>
          <w:jc w:val="center"/>
        </w:trPr>
        <w:tc>
          <w:tcPr>
            <w:tcW w:w="503" w:type="dxa"/>
            <w:tcBorders>
              <w:bottom w:val="single" w:sz="4" w:space="0" w:color="auto"/>
            </w:tcBorders>
            <w:vAlign w:val="center"/>
          </w:tcPr>
          <w:p w14:paraId="66900D77"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f</w:t>
            </w:r>
          </w:p>
        </w:tc>
        <w:tc>
          <w:tcPr>
            <w:tcW w:w="5588" w:type="dxa"/>
            <w:tcBorders>
              <w:bottom w:val="single" w:sz="4" w:space="0" w:color="auto"/>
            </w:tcBorders>
            <w:vAlign w:val="center"/>
          </w:tcPr>
          <w:p w14:paraId="3F6179FA"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Örneğin fan, akustik havalandırma, ses emici ve filtrelerin akustik kaplaması gibi gürültü kaynaklarında susturucu, sönümleme, zayıflatıcı kullanılarak noktasal kaynak yalıtımının yapılması.</w:t>
            </w:r>
          </w:p>
        </w:tc>
        <w:tc>
          <w:tcPr>
            <w:tcW w:w="2971" w:type="dxa"/>
            <w:vMerge/>
            <w:vAlign w:val="center"/>
          </w:tcPr>
          <w:p w14:paraId="19914D4E" w14:textId="77777777" w:rsidR="003B155E" w:rsidRPr="003526A3" w:rsidRDefault="003B155E" w:rsidP="000D79D6">
            <w:pPr>
              <w:jc w:val="both"/>
              <w:rPr>
                <w:rFonts w:ascii="Times New Roman" w:hAnsi="Times New Roman" w:cs="Times New Roman"/>
              </w:rPr>
            </w:pPr>
          </w:p>
        </w:tc>
      </w:tr>
      <w:tr w:rsidR="003B155E" w:rsidRPr="003526A3" w14:paraId="40E4A0F6" w14:textId="77777777" w:rsidTr="000E2BBF">
        <w:trPr>
          <w:jc w:val="center"/>
        </w:trPr>
        <w:tc>
          <w:tcPr>
            <w:tcW w:w="503" w:type="dxa"/>
            <w:tcBorders>
              <w:bottom w:val="single" w:sz="4" w:space="0" w:color="auto"/>
            </w:tcBorders>
            <w:vAlign w:val="center"/>
          </w:tcPr>
          <w:p w14:paraId="5F773469"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g</w:t>
            </w:r>
          </w:p>
        </w:tc>
        <w:tc>
          <w:tcPr>
            <w:tcW w:w="5588" w:type="dxa"/>
            <w:tcBorders>
              <w:bottom w:val="single" w:sz="4" w:space="0" w:color="auto"/>
            </w:tcBorders>
            <w:vAlign w:val="center"/>
          </w:tcPr>
          <w:p w14:paraId="7B2294A8"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Kullanılmadığı zamanlarda kapıların her zaman kapalı tutulması. Yuvarlak kerestelerin boşaltımı sırasında düşüş yüksekliğinin en aza indirilmesi.</w:t>
            </w:r>
          </w:p>
        </w:tc>
        <w:tc>
          <w:tcPr>
            <w:tcW w:w="2971" w:type="dxa"/>
            <w:vMerge/>
            <w:tcBorders>
              <w:bottom w:val="single" w:sz="4" w:space="0" w:color="auto"/>
            </w:tcBorders>
            <w:vAlign w:val="center"/>
          </w:tcPr>
          <w:p w14:paraId="78ADDC2D" w14:textId="77777777" w:rsidR="003B155E" w:rsidRPr="003526A3" w:rsidRDefault="003B155E" w:rsidP="000D79D6">
            <w:pPr>
              <w:jc w:val="both"/>
              <w:rPr>
                <w:rFonts w:ascii="Times New Roman" w:hAnsi="Times New Roman" w:cs="Times New Roman"/>
              </w:rPr>
            </w:pPr>
          </w:p>
        </w:tc>
      </w:tr>
      <w:tr w:rsidR="003B155E" w:rsidRPr="003526A3" w14:paraId="78497C72" w14:textId="77777777" w:rsidTr="000D79D6">
        <w:trPr>
          <w:jc w:val="center"/>
        </w:trPr>
        <w:tc>
          <w:tcPr>
            <w:tcW w:w="9062" w:type="dxa"/>
            <w:gridSpan w:val="3"/>
            <w:vAlign w:val="center"/>
          </w:tcPr>
          <w:p w14:paraId="1DFFC587" w14:textId="77777777" w:rsidR="003B155E" w:rsidRPr="003526A3" w:rsidRDefault="003B155E" w:rsidP="000D79D6">
            <w:pPr>
              <w:jc w:val="both"/>
              <w:rPr>
                <w:rFonts w:ascii="Times New Roman" w:hAnsi="Times New Roman" w:cs="Times New Roman"/>
                <w:b/>
                <w:bCs/>
              </w:rPr>
            </w:pPr>
            <w:r w:rsidRPr="003526A3">
              <w:rPr>
                <w:rFonts w:ascii="Times New Roman" w:hAnsi="Times New Roman" w:cs="Times New Roman"/>
                <w:b/>
                <w:bCs/>
              </w:rPr>
              <w:t>Gürültü ve Titreşimlerin Saha Seviyesinde Azaltımı İçin Teknikler</w:t>
            </w:r>
          </w:p>
        </w:tc>
      </w:tr>
      <w:tr w:rsidR="003B155E" w:rsidRPr="003526A3" w14:paraId="7047D90A" w14:textId="77777777" w:rsidTr="000E2BBF">
        <w:trPr>
          <w:jc w:val="center"/>
        </w:trPr>
        <w:tc>
          <w:tcPr>
            <w:tcW w:w="503" w:type="dxa"/>
            <w:tcBorders>
              <w:bottom w:val="single" w:sz="4" w:space="0" w:color="auto"/>
            </w:tcBorders>
            <w:vAlign w:val="center"/>
          </w:tcPr>
          <w:p w14:paraId="3638084B"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h</w:t>
            </w:r>
          </w:p>
        </w:tc>
        <w:tc>
          <w:tcPr>
            <w:tcW w:w="5588" w:type="dxa"/>
            <w:tcBorders>
              <w:bottom w:val="single" w:sz="4" w:space="0" w:color="auto"/>
            </w:tcBorders>
            <w:vAlign w:val="center"/>
          </w:tcPr>
          <w:p w14:paraId="1EA2E7DC"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Saha içi trafik hızı ile saha giren kamyonların hızını sınırlayarak trafikten kaynaklanan gürültünün azaltımı.</w:t>
            </w:r>
          </w:p>
        </w:tc>
        <w:tc>
          <w:tcPr>
            <w:tcW w:w="2971" w:type="dxa"/>
            <w:vMerge w:val="restart"/>
            <w:vAlign w:val="center"/>
          </w:tcPr>
          <w:p w14:paraId="6AA5A8C1"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Genellikle uygulanabilir.</w:t>
            </w:r>
          </w:p>
        </w:tc>
      </w:tr>
      <w:tr w:rsidR="003B155E" w:rsidRPr="003526A3" w14:paraId="78D9F54A" w14:textId="77777777" w:rsidTr="000E2BBF">
        <w:trPr>
          <w:jc w:val="center"/>
        </w:trPr>
        <w:tc>
          <w:tcPr>
            <w:tcW w:w="503" w:type="dxa"/>
            <w:tcBorders>
              <w:bottom w:val="single" w:sz="4" w:space="0" w:color="auto"/>
            </w:tcBorders>
            <w:vAlign w:val="center"/>
          </w:tcPr>
          <w:p w14:paraId="0F5E482D"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i</w:t>
            </w:r>
          </w:p>
        </w:tc>
        <w:tc>
          <w:tcPr>
            <w:tcW w:w="5588" w:type="dxa"/>
            <w:tcBorders>
              <w:bottom w:val="single" w:sz="4" w:space="0" w:color="auto"/>
            </w:tcBorders>
            <w:vAlign w:val="center"/>
          </w:tcPr>
          <w:p w14:paraId="2F039D6C"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Açık hava faaliyetlerinin gece boyunca sınırlanması.</w:t>
            </w:r>
          </w:p>
        </w:tc>
        <w:tc>
          <w:tcPr>
            <w:tcW w:w="2971" w:type="dxa"/>
            <w:vMerge/>
            <w:vAlign w:val="center"/>
          </w:tcPr>
          <w:p w14:paraId="38BAFF1E" w14:textId="77777777" w:rsidR="003B155E" w:rsidRPr="003526A3" w:rsidRDefault="003B155E" w:rsidP="000D79D6">
            <w:pPr>
              <w:jc w:val="both"/>
              <w:rPr>
                <w:rFonts w:ascii="Times New Roman" w:hAnsi="Times New Roman" w:cs="Times New Roman"/>
              </w:rPr>
            </w:pPr>
          </w:p>
        </w:tc>
      </w:tr>
      <w:tr w:rsidR="003B155E" w:rsidRPr="003526A3" w14:paraId="52AB8544" w14:textId="77777777" w:rsidTr="000E2BBF">
        <w:trPr>
          <w:jc w:val="center"/>
        </w:trPr>
        <w:tc>
          <w:tcPr>
            <w:tcW w:w="503" w:type="dxa"/>
            <w:tcBorders>
              <w:bottom w:val="single" w:sz="4" w:space="0" w:color="auto"/>
            </w:tcBorders>
            <w:vAlign w:val="center"/>
          </w:tcPr>
          <w:p w14:paraId="5CA41E74"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j</w:t>
            </w:r>
          </w:p>
        </w:tc>
        <w:tc>
          <w:tcPr>
            <w:tcW w:w="5588" w:type="dxa"/>
            <w:tcBorders>
              <w:bottom w:val="single" w:sz="4" w:space="0" w:color="auto"/>
            </w:tcBorders>
            <w:vAlign w:val="center"/>
          </w:tcPr>
          <w:p w14:paraId="1F312AAC"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Tüm ekipmanların düzenli bakımı.</w:t>
            </w:r>
          </w:p>
        </w:tc>
        <w:tc>
          <w:tcPr>
            <w:tcW w:w="2971" w:type="dxa"/>
            <w:vMerge/>
            <w:vAlign w:val="center"/>
          </w:tcPr>
          <w:p w14:paraId="3C3EDCDB" w14:textId="77777777" w:rsidR="003B155E" w:rsidRPr="003526A3" w:rsidRDefault="003B155E" w:rsidP="000D79D6">
            <w:pPr>
              <w:jc w:val="both"/>
              <w:rPr>
                <w:rFonts w:ascii="Times New Roman" w:hAnsi="Times New Roman" w:cs="Times New Roman"/>
              </w:rPr>
            </w:pPr>
          </w:p>
        </w:tc>
      </w:tr>
      <w:tr w:rsidR="003B155E" w:rsidRPr="003526A3" w14:paraId="14095BAD" w14:textId="77777777" w:rsidTr="000E2BBF">
        <w:trPr>
          <w:jc w:val="center"/>
        </w:trPr>
        <w:tc>
          <w:tcPr>
            <w:tcW w:w="503" w:type="dxa"/>
            <w:tcBorders>
              <w:bottom w:val="single" w:sz="4" w:space="0" w:color="auto"/>
            </w:tcBorders>
            <w:vAlign w:val="center"/>
          </w:tcPr>
          <w:p w14:paraId="19245507" w14:textId="77777777" w:rsidR="003B155E" w:rsidRPr="003526A3" w:rsidRDefault="003B155E" w:rsidP="000D79D6">
            <w:pPr>
              <w:jc w:val="center"/>
              <w:rPr>
                <w:rFonts w:ascii="Times New Roman" w:hAnsi="Times New Roman" w:cs="Times New Roman"/>
              </w:rPr>
            </w:pPr>
            <w:r w:rsidRPr="003526A3">
              <w:rPr>
                <w:rFonts w:ascii="Times New Roman" w:hAnsi="Times New Roman" w:cs="Times New Roman"/>
              </w:rPr>
              <w:t>k</w:t>
            </w:r>
          </w:p>
        </w:tc>
        <w:tc>
          <w:tcPr>
            <w:tcW w:w="5588" w:type="dxa"/>
            <w:tcBorders>
              <w:bottom w:val="single" w:sz="4" w:space="0" w:color="auto"/>
            </w:tcBorders>
            <w:vAlign w:val="center"/>
          </w:tcPr>
          <w:p w14:paraId="21DEA06C" w14:textId="77777777" w:rsidR="003B155E" w:rsidRPr="003526A3" w:rsidRDefault="003B155E" w:rsidP="000D79D6">
            <w:pPr>
              <w:jc w:val="both"/>
              <w:rPr>
                <w:rFonts w:ascii="Times New Roman" w:hAnsi="Times New Roman" w:cs="Times New Roman"/>
              </w:rPr>
            </w:pPr>
            <w:r w:rsidRPr="003526A3">
              <w:rPr>
                <w:rFonts w:ascii="Times New Roman" w:hAnsi="Times New Roman" w:cs="Times New Roman"/>
              </w:rPr>
              <w:t>Gürültü kaynaklarının önünü kapatmak için gürültü koruma duvarlarının, doğal bariyerlerin veya setlerin kullanılması.</w:t>
            </w:r>
          </w:p>
        </w:tc>
        <w:tc>
          <w:tcPr>
            <w:tcW w:w="2971" w:type="dxa"/>
            <w:vMerge/>
            <w:tcBorders>
              <w:bottom w:val="single" w:sz="4" w:space="0" w:color="auto"/>
            </w:tcBorders>
            <w:vAlign w:val="center"/>
          </w:tcPr>
          <w:p w14:paraId="74BD0F85" w14:textId="77777777" w:rsidR="003B155E" w:rsidRPr="003526A3" w:rsidRDefault="003B155E" w:rsidP="000D79D6">
            <w:pPr>
              <w:jc w:val="both"/>
              <w:rPr>
                <w:rFonts w:ascii="Times New Roman" w:hAnsi="Times New Roman" w:cs="Times New Roman"/>
              </w:rPr>
            </w:pPr>
          </w:p>
        </w:tc>
      </w:tr>
    </w:tbl>
    <w:p w14:paraId="460EC727" w14:textId="5301FE1F" w:rsidR="003B155E" w:rsidRDefault="003B155E" w:rsidP="003B155E">
      <w:pPr>
        <w:spacing w:after="120" w:line="276" w:lineRule="auto"/>
        <w:jc w:val="both"/>
        <w:rPr>
          <w:rFonts w:ascii="Times New Roman" w:hAnsi="Times New Roman" w:cs="Times New Roman"/>
          <w:sz w:val="24"/>
          <w:szCs w:val="24"/>
        </w:rPr>
      </w:pPr>
    </w:p>
    <w:p w14:paraId="0E7EC328" w14:textId="30118B7B" w:rsidR="000E2BBF" w:rsidRDefault="000E2BBF" w:rsidP="003B155E">
      <w:pPr>
        <w:spacing w:after="120" w:line="276" w:lineRule="auto"/>
        <w:jc w:val="both"/>
        <w:rPr>
          <w:rFonts w:ascii="Times New Roman" w:hAnsi="Times New Roman" w:cs="Times New Roman"/>
          <w:sz w:val="24"/>
          <w:szCs w:val="24"/>
        </w:rPr>
      </w:pPr>
    </w:p>
    <w:p w14:paraId="2C20BF22" w14:textId="77777777" w:rsidR="000E2BBF" w:rsidRPr="00992AA7" w:rsidRDefault="000E2BBF" w:rsidP="003B155E">
      <w:pPr>
        <w:spacing w:after="120" w:line="276" w:lineRule="auto"/>
        <w:jc w:val="both"/>
        <w:rPr>
          <w:rFonts w:ascii="Times New Roman" w:hAnsi="Times New Roman" w:cs="Times New Roman"/>
          <w:sz w:val="24"/>
          <w:szCs w:val="24"/>
        </w:rPr>
      </w:pPr>
    </w:p>
    <w:p w14:paraId="3FFAEBB3"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lastRenderedPageBreak/>
        <w:t>(1.4) Toprağa ve Yer Altı Suyuna Emisyonlar</w:t>
      </w:r>
    </w:p>
    <w:p w14:paraId="1831054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5:</w:t>
      </w:r>
      <w:r>
        <w:rPr>
          <w:rFonts w:ascii="Times New Roman" w:hAnsi="Times New Roman" w:cs="Times New Roman"/>
          <w:sz w:val="24"/>
          <w:szCs w:val="24"/>
        </w:rPr>
        <w:t xml:space="preserve"> Toprağa ve yer altı suyuna emisyonları önlemek için, aşağıdaki teknikler kullanılır.</w:t>
      </w:r>
    </w:p>
    <w:p w14:paraId="2BA420B4"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reçine ve diğer yardımcı materyallerin sadece, sızıntı akıntısına karşı korunan, belirlenmiş alanlarda yüklenmesi ve boşaltılması;</w:t>
      </w:r>
    </w:p>
    <w:p w14:paraId="52875DCD"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bertarafa kadar tüm materyallerin toplanması ve sızıntı akıntısına karşı korunan belirlenmiş alanlarda depolanması;</w:t>
      </w:r>
    </w:p>
    <w:p w14:paraId="2E265518"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döküntülerin gerçekleşebileceği tüm drenaj çukurlarının veya diğer ara depolama tesislerinin yüksek sıvı seviyeleri ile uyarılan alarmlarla donatılması;</w:t>
      </w:r>
    </w:p>
    <w:p w14:paraId="0F9B4879"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reçine, katkı maddesi ve reçine karışımları taşıyan tank ve boru hatlarının test edilmesi ve denetlenmesi için bir programın oluşturulması ve uygulanması;</w:t>
      </w:r>
    </w:p>
    <w:p w14:paraId="5337F9C3"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su ve ahşap dışındaki materyallerin taşınması için kullanılan borulardaki bağlantılar ve valfler üzerinde sızıntılara yönelik denetimlerin yapılması; bu denetimlerin kaydının tutulması;</w:t>
      </w:r>
    </w:p>
    <w:p w14:paraId="25758356"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su ve ahşap dışındaki materyallerin taşınması için kullanılan borulardaki bağlantılar ve valflerden kaynaklanan sızıntıların toplanması için -bağlantı veya valf inşalarının teknik olarak zor olduğu durumlar haricinde- bir sistem sağlanması;</w:t>
      </w:r>
    </w:p>
    <w:p w14:paraId="283C3763"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yeterli miktarda muhafaza bariyeri ve uygun absorban materyalin sağlanması;</w:t>
      </w:r>
    </w:p>
    <w:p w14:paraId="29258CD6"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su ve ahşap dışındaki materyallerin taşınması için yer altı boru hattından kaçınılması;</w:t>
      </w:r>
    </w:p>
    <w:p w14:paraId="2098A63E"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yangın söndürmeden çıkan tüm suyun toplanması ve güvenli bir şekilde ortadan kaldırılması;</w:t>
      </w:r>
    </w:p>
    <w:p w14:paraId="1B2E4A5A" w14:textId="77777777" w:rsidR="003B155E" w:rsidRDefault="003B155E" w:rsidP="003B155E">
      <w:pPr>
        <w:pStyle w:val="ListeParagraf"/>
        <w:numPr>
          <w:ilvl w:val="0"/>
          <w:numId w:val="2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açık havadaki ahşap depolama alanlarından kaynaklanan yüzey akıntı suyu için bekleme havuzlarında geçirimsiz tabanların inşa edilmesi.</w:t>
      </w:r>
    </w:p>
    <w:p w14:paraId="59E73084" w14:textId="77777777" w:rsidR="003B155E" w:rsidRPr="00687ECE" w:rsidRDefault="003B155E" w:rsidP="00C043C7">
      <w:pPr>
        <w:pStyle w:val="Balk3"/>
        <w:keepNext w:val="0"/>
        <w:keepLines w:val="0"/>
        <w:spacing w:before="0" w:beforeAutospacing="1" w:after="120" w:afterAutospacing="1" w:line="276" w:lineRule="auto"/>
        <w:ind w:left="360"/>
        <w:jc w:val="both"/>
        <w:rPr>
          <w:b w:val="0"/>
          <w:bCs/>
          <w:szCs w:val="24"/>
        </w:rPr>
      </w:pPr>
      <w:r>
        <w:rPr>
          <w:szCs w:val="24"/>
        </w:rPr>
        <w:t>(1.5) Enerji Yönetimi ve Enerji Verimliliği</w:t>
      </w:r>
    </w:p>
    <w:p w14:paraId="153D1F48"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6:</w:t>
      </w:r>
      <w:r>
        <w:rPr>
          <w:rFonts w:ascii="Times New Roman" w:hAnsi="Times New Roman" w:cs="Times New Roman"/>
          <w:sz w:val="24"/>
          <w:szCs w:val="24"/>
        </w:rPr>
        <w:t xml:space="preserve"> Enerji tüketimini azaltmak için, aşağıdaki tekniklerin tümünü içeren bir enerji yönetim planı benimsenir.</w:t>
      </w:r>
    </w:p>
    <w:p w14:paraId="64E5D323" w14:textId="77777777" w:rsidR="003B155E" w:rsidRDefault="003B155E" w:rsidP="003B155E">
      <w:pPr>
        <w:pStyle w:val="ListeParagraf"/>
        <w:numPr>
          <w:ilvl w:val="0"/>
          <w:numId w:val="2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enerji kullanımı ve maliyetlerini takip etmek için bir sistemin kullanılması;</w:t>
      </w:r>
    </w:p>
    <w:p w14:paraId="5FE1D894" w14:textId="77777777" w:rsidR="003B155E" w:rsidRDefault="003B155E" w:rsidP="003B155E">
      <w:pPr>
        <w:pStyle w:val="ListeParagraf"/>
        <w:numPr>
          <w:ilvl w:val="0"/>
          <w:numId w:val="2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büyük işlemlere yönelik enerji verimliliği denetimlerinin yürütülmesi;</w:t>
      </w:r>
    </w:p>
    <w:p w14:paraId="763E910F" w14:textId="77777777" w:rsidR="003B155E" w:rsidRDefault="003B155E" w:rsidP="003B155E">
      <w:pPr>
        <w:pStyle w:val="ListeParagraf"/>
        <w:numPr>
          <w:ilvl w:val="0"/>
          <w:numId w:val="2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enerji verimliliğini artırmak için ekipmanı sürekli olarak güncelleyecek sistematik bir yaklaşımın kullanılması;</w:t>
      </w:r>
    </w:p>
    <w:p w14:paraId="594FF0D9" w14:textId="77777777" w:rsidR="003B155E" w:rsidRDefault="003B155E" w:rsidP="003B155E">
      <w:pPr>
        <w:pStyle w:val="ListeParagraf"/>
        <w:numPr>
          <w:ilvl w:val="0"/>
          <w:numId w:val="2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enerji kullanımına yönelik kontrollerin iyileştirilmesi;</w:t>
      </w:r>
    </w:p>
    <w:p w14:paraId="6AD78D2C" w14:textId="77777777" w:rsidR="003B155E" w:rsidRDefault="003B155E" w:rsidP="003B155E">
      <w:pPr>
        <w:pStyle w:val="ListeParagraf"/>
        <w:numPr>
          <w:ilvl w:val="0"/>
          <w:numId w:val="2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teknisyenler için kurum içi enerji yönetim eğitimlerinin düzenlenmesi.</w:t>
      </w:r>
    </w:p>
    <w:p w14:paraId="6A4FB0BE"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7:</w:t>
      </w:r>
      <w:r>
        <w:rPr>
          <w:rFonts w:ascii="Times New Roman" w:hAnsi="Times New Roman" w:cs="Times New Roman"/>
          <w:sz w:val="24"/>
          <w:szCs w:val="24"/>
        </w:rPr>
        <w:t xml:space="preserve"> Enerji verimliliğini artırmak için, temel yakma parametreleri (örn. O</w:t>
      </w:r>
      <w:r>
        <w:rPr>
          <w:rFonts w:ascii="Times New Roman" w:hAnsi="Times New Roman" w:cs="Times New Roman"/>
          <w:sz w:val="24"/>
          <w:szCs w:val="24"/>
          <w:vertAlign w:val="subscript"/>
        </w:rPr>
        <w:t>2</w:t>
      </w:r>
      <w:r>
        <w:rPr>
          <w:rFonts w:ascii="Times New Roman" w:hAnsi="Times New Roman" w:cs="Times New Roman"/>
          <w:sz w:val="24"/>
          <w:szCs w:val="24"/>
        </w:rPr>
        <w:t>, CO, NO</w:t>
      </w:r>
      <w:r>
        <w:rPr>
          <w:rFonts w:ascii="Times New Roman" w:hAnsi="Times New Roman" w:cs="Times New Roman"/>
          <w:sz w:val="24"/>
          <w:szCs w:val="24"/>
          <w:vertAlign w:val="subscript"/>
        </w:rPr>
        <w:t>x</w:t>
      </w:r>
      <w:r>
        <w:rPr>
          <w:rFonts w:ascii="Times New Roman" w:hAnsi="Times New Roman" w:cs="Times New Roman"/>
          <w:sz w:val="24"/>
          <w:szCs w:val="24"/>
        </w:rPr>
        <w:t>) izlenerek ve kontrol edilerek ve aşağıdaki tekniklerin biri veya bir kombinasyonu uygulanarak yakma tesisi operasyonu optimize edilir.</w:t>
      </w:r>
    </w:p>
    <w:tbl>
      <w:tblPr>
        <w:tblStyle w:val="TabloKlavuzu"/>
        <w:tblW w:w="0" w:type="auto"/>
        <w:jc w:val="center"/>
        <w:tblLook w:val="04A0" w:firstRow="1" w:lastRow="0" w:firstColumn="1" w:lastColumn="0" w:noHBand="0" w:noVBand="1"/>
      </w:tblPr>
      <w:tblGrid>
        <w:gridCol w:w="503"/>
        <w:gridCol w:w="4518"/>
        <w:gridCol w:w="4041"/>
      </w:tblGrid>
      <w:tr w:rsidR="003B155E" w14:paraId="1734C085" w14:textId="77777777" w:rsidTr="000D79D6">
        <w:trPr>
          <w:tblHeader/>
          <w:jc w:val="center"/>
        </w:trPr>
        <w:tc>
          <w:tcPr>
            <w:tcW w:w="503" w:type="dxa"/>
            <w:vAlign w:val="center"/>
          </w:tcPr>
          <w:p w14:paraId="0E3C4843" w14:textId="77777777" w:rsidR="003B155E" w:rsidRPr="00276CE9" w:rsidRDefault="003B155E" w:rsidP="000D79D6">
            <w:pPr>
              <w:jc w:val="center"/>
              <w:rPr>
                <w:rFonts w:ascii="Times New Roman" w:hAnsi="Times New Roman" w:cs="Times New Roman"/>
                <w:b/>
                <w:bCs/>
              </w:rPr>
            </w:pPr>
          </w:p>
        </w:tc>
        <w:tc>
          <w:tcPr>
            <w:tcW w:w="4518" w:type="dxa"/>
            <w:vAlign w:val="center"/>
          </w:tcPr>
          <w:p w14:paraId="39ACE0A5"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3832FD86"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0D6C7F00" w14:textId="77777777" w:rsidTr="000D79D6">
        <w:trPr>
          <w:jc w:val="center"/>
        </w:trPr>
        <w:tc>
          <w:tcPr>
            <w:tcW w:w="503" w:type="dxa"/>
            <w:vAlign w:val="center"/>
          </w:tcPr>
          <w:p w14:paraId="5DCA62B1"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3838F8DE" w14:textId="77777777" w:rsidR="003B155E" w:rsidRDefault="003B155E" w:rsidP="000D79D6">
            <w:pPr>
              <w:jc w:val="both"/>
              <w:rPr>
                <w:rFonts w:ascii="Times New Roman" w:hAnsi="Times New Roman" w:cs="Times New Roman"/>
              </w:rPr>
            </w:pPr>
            <w:r>
              <w:rPr>
                <w:rFonts w:ascii="Times New Roman" w:hAnsi="Times New Roman" w:cs="Times New Roman"/>
              </w:rPr>
              <w:t>Ahşap çamurunun yakıt olarak kullanılmadan önce susuzlaştırılması.</w:t>
            </w:r>
          </w:p>
        </w:tc>
        <w:tc>
          <w:tcPr>
            <w:tcW w:w="4041" w:type="dxa"/>
            <w:vAlign w:val="center"/>
          </w:tcPr>
          <w:p w14:paraId="7CB02AF2"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6CF3F322" w14:textId="77777777" w:rsidTr="000D79D6">
        <w:trPr>
          <w:jc w:val="center"/>
        </w:trPr>
        <w:tc>
          <w:tcPr>
            <w:tcW w:w="503" w:type="dxa"/>
            <w:vAlign w:val="center"/>
          </w:tcPr>
          <w:p w14:paraId="1650EADC"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394EB4D1" w14:textId="77777777" w:rsidR="003B155E" w:rsidRDefault="003B155E" w:rsidP="000D79D6">
            <w:pPr>
              <w:jc w:val="both"/>
              <w:rPr>
                <w:rFonts w:ascii="Times New Roman" w:hAnsi="Times New Roman" w:cs="Times New Roman"/>
              </w:rPr>
            </w:pPr>
            <w:r>
              <w:rPr>
                <w:rFonts w:ascii="Times New Roman" w:hAnsi="Times New Roman" w:cs="Times New Roman"/>
              </w:rPr>
              <w:t>Islak azaltım sistemlerindeki sıcak atık gazlardan ısı eşanjörü kullanılarak ısı geri kazanımı.</w:t>
            </w:r>
          </w:p>
        </w:tc>
        <w:tc>
          <w:tcPr>
            <w:tcW w:w="4041" w:type="dxa"/>
            <w:vAlign w:val="center"/>
          </w:tcPr>
          <w:p w14:paraId="1B7B86ED" w14:textId="77777777" w:rsidR="003B155E" w:rsidRDefault="003B155E" w:rsidP="000D79D6">
            <w:pPr>
              <w:jc w:val="both"/>
              <w:rPr>
                <w:rFonts w:ascii="Times New Roman" w:hAnsi="Times New Roman" w:cs="Times New Roman"/>
              </w:rPr>
            </w:pPr>
            <w:r>
              <w:rPr>
                <w:rFonts w:ascii="Times New Roman" w:hAnsi="Times New Roman" w:cs="Times New Roman"/>
              </w:rPr>
              <w:t>Geri kazanılan enerjinin kullanılabildiği durumlarda, ıslak azaltım sistemli tesislere uygulanabilir.</w:t>
            </w:r>
          </w:p>
        </w:tc>
      </w:tr>
      <w:tr w:rsidR="003B155E" w14:paraId="16AF9064" w14:textId="77777777" w:rsidTr="000D79D6">
        <w:trPr>
          <w:jc w:val="center"/>
        </w:trPr>
        <w:tc>
          <w:tcPr>
            <w:tcW w:w="503" w:type="dxa"/>
            <w:vAlign w:val="center"/>
          </w:tcPr>
          <w:p w14:paraId="65C352AA" w14:textId="77777777" w:rsidR="003B155E" w:rsidRDefault="003B155E" w:rsidP="000D79D6">
            <w:pPr>
              <w:jc w:val="center"/>
              <w:rPr>
                <w:rFonts w:ascii="Times New Roman" w:hAnsi="Times New Roman" w:cs="Times New Roman"/>
              </w:rPr>
            </w:pPr>
            <w:r>
              <w:rPr>
                <w:rFonts w:ascii="Times New Roman" w:hAnsi="Times New Roman" w:cs="Times New Roman"/>
              </w:rPr>
              <w:lastRenderedPageBreak/>
              <w:t>c</w:t>
            </w:r>
          </w:p>
        </w:tc>
        <w:tc>
          <w:tcPr>
            <w:tcW w:w="4518" w:type="dxa"/>
            <w:vAlign w:val="center"/>
          </w:tcPr>
          <w:p w14:paraId="11473294" w14:textId="77777777" w:rsidR="003B155E" w:rsidRDefault="003B155E" w:rsidP="000D79D6">
            <w:pPr>
              <w:jc w:val="both"/>
              <w:rPr>
                <w:rFonts w:ascii="Times New Roman" w:hAnsi="Times New Roman" w:cs="Times New Roman"/>
              </w:rPr>
            </w:pPr>
            <w:r>
              <w:rPr>
                <w:rFonts w:ascii="Times New Roman" w:hAnsi="Times New Roman" w:cs="Times New Roman"/>
              </w:rPr>
              <w:t>Farklı proseslerden kaynaklanan sıcak atık gazların yakma tesisine veya kurutucu için sıcak gazları ön ısıtmak için resirküle edilmesi.</w:t>
            </w:r>
          </w:p>
        </w:tc>
        <w:tc>
          <w:tcPr>
            <w:tcW w:w="4041" w:type="dxa"/>
            <w:vAlign w:val="center"/>
          </w:tcPr>
          <w:p w14:paraId="736C240A" w14:textId="77777777" w:rsidR="003B155E" w:rsidRDefault="003B155E" w:rsidP="000D79D6">
            <w:pPr>
              <w:jc w:val="both"/>
              <w:rPr>
                <w:rFonts w:ascii="Times New Roman" w:hAnsi="Times New Roman" w:cs="Times New Roman"/>
              </w:rPr>
            </w:pPr>
            <w:r>
              <w:rPr>
                <w:rFonts w:ascii="Times New Roman" w:hAnsi="Times New Roman" w:cs="Times New Roman"/>
              </w:rPr>
              <w:t>Uygulanabilirlik; dolaylı ısıtılan kurutucular, fiber kurutucular veya yakma tesisi yapısının kontrollü hava ilavesine izin vermediği durumlar için kısıtlanabilir.</w:t>
            </w:r>
          </w:p>
        </w:tc>
      </w:tr>
    </w:tbl>
    <w:p w14:paraId="68431070" w14:textId="77777777" w:rsidR="003B155E" w:rsidRDefault="003B155E" w:rsidP="003B155E">
      <w:pPr>
        <w:spacing w:after="120" w:line="276" w:lineRule="auto"/>
        <w:jc w:val="both"/>
        <w:rPr>
          <w:rFonts w:ascii="Times New Roman" w:hAnsi="Times New Roman" w:cs="Times New Roman"/>
          <w:sz w:val="24"/>
          <w:szCs w:val="24"/>
        </w:rPr>
      </w:pPr>
    </w:p>
    <w:p w14:paraId="6FDA76CB"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8:</w:t>
      </w:r>
      <w:r>
        <w:rPr>
          <w:rFonts w:ascii="Times New Roman" w:hAnsi="Times New Roman" w:cs="Times New Roman"/>
          <w:sz w:val="24"/>
          <w:szCs w:val="24"/>
        </w:rPr>
        <w:t xml:space="preserve"> Fiber levha üretimi için ıslak liflerin hazırlanmasında enerjiyi verimli kullanmak için, aşağıdaki tekniklerin biri veya bir kombinasyonu kullanılır.</w:t>
      </w:r>
    </w:p>
    <w:tbl>
      <w:tblPr>
        <w:tblStyle w:val="TabloKlavuzu"/>
        <w:tblW w:w="0" w:type="auto"/>
        <w:jc w:val="center"/>
        <w:tblLook w:val="04A0" w:firstRow="1" w:lastRow="0" w:firstColumn="1" w:lastColumn="0" w:noHBand="0" w:noVBand="1"/>
      </w:tblPr>
      <w:tblGrid>
        <w:gridCol w:w="431"/>
        <w:gridCol w:w="3031"/>
        <w:gridCol w:w="2485"/>
        <w:gridCol w:w="3115"/>
      </w:tblGrid>
      <w:tr w:rsidR="003B155E" w14:paraId="178655DC" w14:textId="77777777" w:rsidTr="000D79D6">
        <w:trPr>
          <w:tblHeader/>
          <w:jc w:val="center"/>
        </w:trPr>
        <w:tc>
          <w:tcPr>
            <w:tcW w:w="431" w:type="dxa"/>
            <w:vAlign w:val="center"/>
          </w:tcPr>
          <w:p w14:paraId="2B0C4F58" w14:textId="77777777" w:rsidR="003B155E" w:rsidRPr="00276CE9" w:rsidRDefault="003B155E" w:rsidP="000D79D6">
            <w:pPr>
              <w:jc w:val="center"/>
              <w:rPr>
                <w:rFonts w:ascii="Times New Roman" w:hAnsi="Times New Roman" w:cs="Times New Roman"/>
                <w:b/>
                <w:bCs/>
              </w:rPr>
            </w:pPr>
          </w:p>
        </w:tc>
        <w:tc>
          <w:tcPr>
            <w:tcW w:w="3031" w:type="dxa"/>
            <w:vAlign w:val="center"/>
          </w:tcPr>
          <w:p w14:paraId="124CB7B7"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2485" w:type="dxa"/>
          </w:tcPr>
          <w:p w14:paraId="2430ABAB" w14:textId="77777777" w:rsidR="003B155E" w:rsidRDefault="003B155E" w:rsidP="000D79D6">
            <w:pPr>
              <w:jc w:val="center"/>
              <w:rPr>
                <w:rFonts w:ascii="Times New Roman" w:hAnsi="Times New Roman" w:cs="Times New Roman"/>
                <w:b/>
                <w:bCs/>
              </w:rPr>
            </w:pPr>
            <w:r>
              <w:rPr>
                <w:rFonts w:ascii="Times New Roman" w:hAnsi="Times New Roman" w:cs="Times New Roman"/>
                <w:b/>
                <w:bCs/>
              </w:rPr>
              <w:t>Açıklama</w:t>
            </w:r>
          </w:p>
        </w:tc>
        <w:tc>
          <w:tcPr>
            <w:tcW w:w="3115" w:type="dxa"/>
          </w:tcPr>
          <w:p w14:paraId="7A367DD5"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6BE6205A" w14:textId="77777777" w:rsidTr="000D79D6">
        <w:trPr>
          <w:jc w:val="center"/>
        </w:trPr>
        <w:tc>
          <w:tcPr>
            <w:tcW w:w="431" w:type="dxa"/>
            <w:vAlign w:val="center"/>
          </w:tcPr>
          <w:p w14:paraId="1798879B"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3031" w:type="dxa"/>
            <w:vAlign w:val="center"/>
          </w:tcPr>
          <w:p w14:paraId="5196FF01" w14:textId="77777777" w:rsidR="003B155E" w:rsidRDefault="003B155E" w:rsidP="000D79D6">
            <w:pPr>
              <w:jc w:val="both"/>
              <w:rPr>
                <w:rFonts w:ascii="Times New Roman" w:hAnsi="Times New Roman" w:cs="Times New Roman"/>
              </w:rPr>
            </w:pPr>
            <w:r>
              <w:rPr>
                <w:rFonts w:ascii="Times New Roman" w:hAnsi="Times New Roman" w:cs="Times New Roman"/>
              </w:rPr>
              <w:t>Yongaların temizlenmesi ve yumuşatılması</w:t>
            </w:r>
          </w:p>
        </w:tc>
        <w:tc>
          <w:tcPr>
            <w:tcW w:w="2485" w:type="dxa"/>
            <w:vAlign w:val="center"/>
          </w:tcPr>
          <w:p w14:paraId="28C19DF6" w14:textId="77777777" w:rsidR="003B155E" w:rsidRDefault="003B155E" w:rsidP="000D79D6">
            <w:pPr>
              <w:jc w:val="both"/>
              <w:rPr>
                <w:rFonts w:ascii="Times New Roman" w:hAnsi="Times New Roman" w:cs="Times New Roman"/>
              </w:rPr>
            </w:pPr>
            <w:r>
              <w:rPr>
                <w:rFonts w:ascii="Times New Roman" w:hAnsi="Times New Roman" w:cs="Times New Roman"/>
              </w:rPr>
              <w:t>Ham yongaların mekanik temizlenmesi ve yıkanması.</w:t>
            </w:r>
          </w:p>
        </w:tc>
        <w:tc>
          <w:tcPr>
            <w:tcW w:w="3115" w:type="dxa"/>
            <w:vAlign w:val="center"/>
          </w:tcPr>
          <w:p w14:paraId="26D59C9E" w14:textId="77777777" w:rsidR="003B155E" w:rsidRDefault="003B155E" w:rsidP="000D79D6">
            <w:pPr>
              <w:jc w:val="both"/>
              <w:rPr>
                <w:rFonts w:ascii="Times New Roman" w:hAnsi="Times New Roman" w:cs="Times New Roman"/>
              </w:rPr>
            </w:pPr>
            <w:r>
              <w:rPr>
                <w:rFonts w:ascii="Times New Roman" w:hAnsi="Times New Roman" w:cs="Times New Roman"/>
              </w:rPr>
              <w:t>Yeni arıtım tesisleri ve büyük iyileştirmeler için uygulanabilir.</w:t>
            </w:r>
          </w:p>
        </w:tc>
      </w:tr>
      <w:tr w:rsidR="003B155E" w14:paraId="4FC55E5A" w14:textId="77777777" w:rsidTr="000D79D6">
        <w:trPr>
          <w:jc w:val="center"/>
        </w:trPr>
        <w:tc>
          <w:tcPr>
            <w:tcW w:w="431" w:type="dxa"/>
            <w:vAlign w:val="center"/>
          </w:tcPr>
          <w:p w14:paraId="76741D6B"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3031" w:type="dxa"/>
            <w:vAlign w:val="center"/>
          </w:tcPr>
          <w:p w14:paraId="5F999478" w14:textId="77777777" w:rsidR="003B155E" w:rsidRDefault="003B155E" w:rsidP="000D79D6">
            <w:pPr>
              <w:jc w:val="both"/>
              <w:rPr>
                <w:rFonts w:ascii="Times New Roman" w:hAnsi="Times New Roman" w:cs="Times New Roman"/>
              </w:rPr>
            </w:pPr>
            <w:r>
              <w:rPr>
                <w:rFonts w:ascii="Times New Roman" w:hAnsi="Times New Roman" w:cs="Times New Roman"/>
              </w:rPr>
              <w:t>Vakumlu buharlaştırma</w:t>
            </w:r>
          </w:p>
        </w:tc>
        <w:tc>
          <w:tcPr>
            <w:tcW w:w="2485" w:type="dxa"/>
            <w:vAlign w:val="center"/>
          </w:tcPr>
          <w:p w14:paraId="21E1B083" w14:textId="77777777" w:rsidR="003B155E" w:rsidRDefault="003B155E" w:rsidP="000D79D6">
            <w:pPr>
              <w:jc w:val="both"/>
              <w:rPr>
                <w:rFonts w:ascii="Times New Roman" w:hAnsi="Times New Roman" w:cs="Times New Roman"/>
              </w:rPr>
            </w:pPr>
            <w:r>
              <w:rPr>
                <w:rFonts w:ascii="Times New Roman" w:hAnsi="Times New Roman" w:cs="Times New Roman"/>
              </w:rPr>
              <w:t>Sıcak suyun buhar üretimi için geri kazanılması.</w:t>
            </w:r>
          </w:p>
        </w:tc>
        <w:tc>
          <w:tcPr>
            <w:tcW w:w="3115" w:type="dxa"/>
            <w:vAlign w:val="center"/>
          </w:tcPr>
          <w:p w14:paraId="6A3D6129" w14:textId="77777777" w:rsidR="003B155E" w:rsidRDefault="003B155E" w:rsidP="000D79D6">
            <w:pPr>
              <w:jc w:val="both"/>
              <w:rPr>
                <w:rFonts w:ascii="Times New Roman" w:hAnsi="Times New Roman" w:cs="Times New Roman"/>
              </w:rPr>
            </w:pPr>
            <w:r>
              <w:rPr>
                <w:rFonts w:ascii="Times New Roman" w:hAnsi="Times New Roman" w:cs="Times New Roman"/>
              </w:rPr>
              <w:t>Yeni arıtım tesisleri ve büyük iyileştirmeler için uygulanabilir.</w:t>
            </w:r>
          </w:p>
        </w:tc>
      </w:tr>
      <w:tr w:rsidR="003B155E" w14:paraId="0D2710E8" w14:textId="77777777" w:rsidTr="000D79D6">
        <w:trPr>
          <w:jc w:val="center"/>
        </w:trPr>
        <w:tc>
          <w:tcPr>
            <w:tcW w:w="431" w:type="dxa"/>
            <w:vAlign w:val="center"/>
          </w:tcPr>
          <w:p w14:paraId="61C17138"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3031" w:type="dxa"/>
            <w:vAlign w:val="center"/>
          </w:tcPr>
          <w:p w14:paraId="552158F8" w14:textId="77777777" w:rsidR="003B155E" w:rsidRDefault="003B155E" w:rsidP="000D79D6">
            <w:pPr>
              <w:jc w:val="both"/>
              <w:rPr>
                <w:rFonts w:ascii="Times New Roman" w:hAnsi="Times New Roman" w:cs="Times New Roman"/>
              </w:rPr>
            </w:pPr>
            <w:r>
              <w:rPr>
                <w:rFonts w:ascii="Times New Roman" w:hAnsi="Times New Roman" w:cs="Times New Roman"/>
              </w:rPr>
              <w:t>Arıtma/rafinasyon boyunca buhardan ısı geri kazanımı</w:t>
            </w:r>
          </w:p>
        </w:tc>
        <w:tc>
          <w:tcPr>
            <w:tcW w:w="2485" w:type="dxa"/>
            <w:vAlign w:val="center"/>
          </w:tcPr>
          <w:p w14:paraId="7B5F03F2" w14:textId="77777777" w:rsidR="003B155E" w:rsidRDefault="003B155E" w:rsidP="000D79D6">
            <w:pPr>
              <w:jc w:val="both"/>
              <w:rPr>
                <w:rFonts w:ascii="Times New Roman" w:hAnsi="Times New Roman" w:cs="Times New Roman"/>
              </w:rPr>
            </w:pPr>
            <w:r>
              <w:rPr>
                <w:rFonts w:ascii="Times New Roman" w:hAnsi="Times New Roman" w:cs="Times New Roman"/>
              </w:rPr>
              <w:t>Buhar üretimi ve yonga yıkamasına yönelik sıcak su elde etmek için ısı eşanjörleri.</w:t>
            </w:r>
          </w:p>
        </w:tc>
        <w:tc>
          <w:tcPr>
            <w:tcW w:w="3115" w:type="dxa"/>
            <w:vAlign w:val="center"/>
          </w:tcPr>
          <w:p w14:paraId="072763A9" w14:textId="77777777" w:rsidR="003B155E" w:rsidRDefault="003B155E" w:rsidP="000D79D6">
            <w:pPr>
              <w:jc w:val="both"/>
              <w:rPr>
                <w:rFonts w:ascii="Times New Roman" w:hAnsi="Times New Roman" w:cs="Times New Roman"/>
              </w:rPr>
            </w:pPr>
            <w:r>
              <w:rPr>
                <w:rFonts w:ascii="Times New Roman" w:hAnsi="Times New Roman" w:cs="Times New Roman"/>
              </w:rPr>
              <w:t>Yeni arıtım tesisleri ve büyük iyileştirmeler için uygulanabilir.</w:t>
            </w:r>
          </w:p>
        </w:tc>
      </w:tr>
    </w:tbl>
    <w:p w14:paraId="2EC044D6" w14:textId="77777777" w:rsidR="003B155E" w:rsidRDefault="003B155E" w:rsidP="003B155E">
      <w:pPr>
        <w:spacing w:after="120" w:line="276" w:lineRule="auto"/>
        <w:jc w:val="both"/>
        <w:rPr>
          <w:rFonts w:ascii="Times New Roman" w:hAnsi="Times New Roman" w:cs="Times New Roman"/>
          <w:sz w:val="24"/>
          <w:szCs w:val="24"/>
        </w:rPr>
      </w:pPr>
    </w:p>
    <w:p w14:paraId="211D9432"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(1.6) Koku</w:t>
      </w:r>
    </w:p>
    <w:p w14:paraId="06CAFC7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9:</w:t>
      </w:r>
      <w:r>
        <w:rPr>
          <w:rFonts w:ascii="Times New Roman" w:hAnsi="Times New Roman" w:cs="Times New Roman"/>
          <w:sz w:val="24"/>
          <w:szCs w:val="24"/>
        </w:rPr>
        <w:t xml:space="preserve"> Tesisten kaynaklanan kokuyu önlemek ve önlemenin mümkün olmadığı durumlarda azaltmak için, ÇYS’nin bir parçası olarak (bkz. MET 1), aşağıdakilerin tümünü içeren bir koku yönetim planı oluşturulur, uygulanır ve düzenli olarak değerlendirilir:</w:t>
      </w:r>
    </w:p>
    <w:p w14:paraId="3443FA7B" w14:textId="77777777" w:rsidR="003B155E" w:rsidRDefault="003B155E" w:rsidP="003B155E">
      <w:pPr>
        <w:pStyle w:val="ListeParagraf"/>
        <w:numPr>
          <w:ilvl w:val="0"/>
          <w:numId w:val="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eylem ve zaman planları içeren bir protokol;</w:t>
      </w:r>
    </w:p>
    <w:p w14:paraId="2EED22B1" w14:textId="77777777" w:rsidR="003B155E" w:rsidRDefault="003B155E" w:rsidP="003B155E">
      <w:pPr>
        <w:pStyle w:val="ListeParagraf"/>
        <w:numPr>
          <w:ilvl w:val="0"/>
          <w:numId w:val="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koku takibini sağlamak için bir protokol;</w:t>
      </w:r>
    </w:p>
    <w:p w14:paraId="5A58AA41" w14:textId="77777777" w:rsidR="003B155E" w:rsidRDefault="003B155E" w:rsidP="003B155E">
      <w:pPr>
        <w:pStyle w:val="ListeParagraf"/>
        <w:numPr>
          <w:ilvl w:val="0"/>
          <w:numId w:val="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tanımlanan koku olaylarına karşılık için bir protokol;</w:t>
      </w:r>
    </w:p>
    <w:p w14:paraId="1688642B" w14:textId="77777777" w:rsidR="003B155E" w:rsidRDefault="003B155E" w:rsidP="003B155E">
      <w:pPr>
        <w:pStyle w:val="ListeParagraf"/>
        <w:numPr>
          <w:ilvl w:val="0"/>
          <w:numId w:val="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kaynağı/kaynakları belirlemek, kokuya maruziyet seviyesini ölçmek/tahmin etmek, kaynakların katkı paylarını karakterize etmek ve önleme ve/veya azaltım faaliyetleri uygulamak için tasarlanan bir koku önleme ve azaltım programı.</w:t>
      </w:r>
    </w:p>
    <w:p w14:paraId="0977965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 yerleşim veya diğer hassas alanlarda (örn. dinlenme alanları) rahatsız edici bir koku beklenebildiği ve/veya rapor edildiği durumlar ile sınırlıdır.</w:t>
      </w:r>
    </w:p>
    <w:p w14:paraId="4BCE935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10:</w:t>
      </w:r>
      <w:r>
        <w:rPr>
          <w:rFonts w:ascii="Times New Roman" w:hAnsi="Times New Roman" w:cs="Times New Roman"/>
          <w:sz w:val="24"/>
          <w:szCs w:val="24"/>
        </w:rPr>
        <w:t xml:space="preserve"> Kokuyu önlemek ve azaltmak için kurutucu ve presten kaynaklanan atık gaz, MET 17 ve 19’a göre arıtılır.</w:t>
      </w:r>
    </w:p>
    <w:p w14:paraId="4EF667DC"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(1.7) Atık Yönetimi</w:t>
      </w:r>
    </w:p>
    <w:p w14:paraId="5DFB502A"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11:</w:t>
      </w:r>
      <w:r>
        <w:rPr>
          <w:rFonts w:ascii="Times New Roman" w:hAnsi="Times New Roman" w:cs="Times New Roman"/>
          <w:sz w:val="24"/>
          <w:szCs w:val="24"/>
        </w:rPr>
        <w:t xml:space="preserve"> </w:t>
      </w:r>
      <w:r w:rsidR="00520C45">
        <w:rPr>
          <w:rFonts w:ascii="Times New Roman" w:hAnsi="Times New Roman" w:cs="Times New Roman"/>
          <w:sz w:val="24"/>
          <w:szCs w:val="24"/>
        </w:rPr>
        <w:t>Atık oluşumunun önlenemediği durumlarda b</w:t>
      </w:r>
      <w:r>
        <w:rPr>
          <w:rFonts w:ascii="Times New Roman" w:hAnsi="Times New Roman" w:cs="Times New Roman"/>
          <w:sz w:val="24"/>
          <w:szCs w:val="24"/>
        </w:rPr>
        <w:t xml:space="preserve">ertarafa gönderilen atık miktarını azaltmak için, ÇYS’nin bir parçası olarak (bkz. MET 1), atığın </w:t>
      </w:r>
      <w:r w:rsidR="00520C45">
        <w:rPr>
          <w:rFonts w:ascii="Times New Roman" w:hAnsi="Times New Roman" w:cs="Times New Roman"/>
          <w:sz w:val="24"/>
          <w:szCs w:val="24"/>
        </w:rPr>
        <w:t>öncelik</w:t>
      </w:r>
      <w:r>
        <w:rPr>
          <w:rFonts w:ascii="Times New Roman" w:hAnsi="Times New Roman" w:cs="Times New Roman"/>
          <w:sz w:val="24"/>
          <w:szCs w:val="24"/>
        </w:rPr>
        <w:t xml:space="preserve"> sırasına göre- önlenmesini, yeniden kullanılmasını, geri dönüştürülmesini veya geri kazanılmasını sağlayan bir atık yönetim planı benimsenir ve uygulanır.</w:t>
      </w:r>
    </w:p>
    <w:p w14:paraId="0D3F5505"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12:</w:t>
      </w:r>
      <w:r>
        <w:rPr>
          <w:rFonts w:ascii="Times New Roman" w:hAnsi="Times New Roman" w:cs="Times New Roman"/>
          <w:sz w:val="24"/>
          <w:szCs w:val="24"/>
        </w:rPr>
        <w:t xml:space="preserve"> Bertarafa gönderilen atık miktarını azaltmak için, aşağıdaki tekniklerin biri veya bir kombinasyonu uygulanır.</w:t>
      </w:r>
    </w:p>
    <w:tbl>
      <w:tblPr>
        <w:tblStyle w:val="TabloKlavuzu"/>
        <w:tblW w:w="0" w:type="auto"/>
        <w:jc w:val="center"/>
        <w:tblLook w:val="04A0" w:firstRow="1" w:lastRow="0" w:firstColumn="1" w:lastColumn="0" w:noHBand="0" w:noVBand="1"/>
      </w:tblPr>
      <w:tblGrid>
        <w:gridCol w:w="503"/>
        <w:gridCol w:w="4518"/>
        <w:gridCol w:w="4041"/>
      </w:tblGrid>
      <w:tr w:rsidR="003B155E" w14:paraId="6E921A4D" w14:textId="77777777" w:rsidTr="000D79D6">
        <w:trPr>
          <w:tblHeader/>
          <w:jc w:val="center"/>
        </w:trPr>
        <w:tc>
          <w:tcPr>
            <w:tcW w:w="503" w:type="dxa"/>
            <w:vAlign w:val="center"/>
          </w:tcPr>
          <w:p w14:paraId="51AD5AA9" w14:textId="77777777" w:rsidR="003B155E" w:rsidRPr="00276CE9" w:rsidRDefault="003B155E" w:rsidP="000D79D6">
            <w:pPr>
              <w:jc w:val="center"/>
              <w:rPr>
                <w:rFonts w:ascii="Times New Roman" w:hAnsi="Times New Roman" w:cs="Times New Roman"/>
                <w:b/>
                <w:bCs/>
              </w:rPr>
            </w:pPr>
          </w:p>
        </w:tc>
        <w:tc>
          <w:tcPr>
            <w:tcW w:w="4518" w:type="dxa"/>
            <w:vAlign w:val="center"/>
          </w:tcPr>
          <w:p w14:paraId="027BE7EE"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667D4377"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01AD1F09" w14:textId="77777777" w:rsidTr="000D79D6">
        <w:trPr>
          <w:jc w:val="center"/>
        </w:trPr>
        <w:tc>
          <w:tcPr>
            <w:tcW w:w="503" w:type="dxa"/>
            <w:vAlign w:val="center"/>
          </w:tcPr>
          <w:p w14:paraId="7607E64B"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281AC1DC" w14:textId="77777777" w:rsidR="003B155E" w:rsidRDefault="003B155E" w:rsidP="000D79D6">
            <w:pPr>
              <w:jc w:val="both"/>
              <w:rPr>
                <w:rFonts w:ascii="Times New Roman" w:hAnsi="Times New Roman" w:cs="Times New Roman"/>
              </w:rPr>
            </w:pPr>
            <w:r>
              <w:rPr>
                <w:rFonts w:ascii="Times New Roman" w:hAnsi="Times New Roman" w:cs="Times New Roman"/>
              </w:rPr>
              <w:t xml:space="preserve">Saha içinde toplanan kırpıntı ve ıskarta panel gibi ahşap </w:t>
            </w:r>
            <w:r w:rsidR="00520C45">
              <w:rPr>
                <w:rFonts w:ascii="Times New Roman" w:hAnsi="Times New Roman" w:cs="Times New Roman"/>
              </w:rPr>
              <w:t>atıklarının</w:t>
            </w:r>
            <w:r>
              <w:rPr>
                <w:rFonts w:ascii="Times New Roman" w:hAnsi="Times New Roman" w:cs="Times New Roman"/>
              </w:rPr>
              <w:t xml:space="preserve"> hammadde olarak yeniden kullanımı.</w:t>
            </w:r>
          </w:p>
        </w:tc>
        <w:tc>
          <w:tcPr>
            <w:tcW w:w="4041" w:type="dxa"/>
            <w:vAlign w:val="center"/>
          </w:tcPr>
          <w:p w14:paraId="258BDD14" w14:textId="77777777" w:rsidR="003B155E" w:rsidRDefault="003B155E" w:rsidP="000D79D6">
            <w:pPr>
              <w:jc w:val="both"/>
              <w:rPr>
                <w:rFonts w:ascii="Times New Roman" w:hAnsi="Times New Roman" w:cs="Times New Roman"/>
              </w:rPr>
            </w:pPr>
            <w:r>
              <w:rPr>
                <w:rFonts w:ascii="Times New Roman" w:hAnsi="Times New Roman" w:cs="Times New Roman"/>
              </w:rPr>
              <w:t>Iskarta fiber panel ürünleri için uygulanabilirlik, kısıtlı olabilir.</w:t>
            </w:r>
          </w:p>
        </w:tc>
      </w:tr>
      <w:tr w:rsidR="003B155E" w14:paraId="73F5FDE8" w14:textId="77777777" w:rsidTr="000D79D6">
        <w:trPr>
          <w:jc w:val="center"/>
        </w:trPr>
        <w:tc>
          <w:tcPr>
            <w:tcW w:w="503" w:type="dxa"/>
            <w:vAlign w:val="center"/>
          </w:tcPr>
          <w:p w14:paraId="698C5CC8"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48D04D8F" w14:textId="77777777" w:rsidR="003B155E" w:rsidRDefault="003B155E" w:rsidP="000D79D6">
            <w:pPr>
              <w:jc w:val="both"/>
              <w:rPr>
                <w:rFonts w:ascii="Times New Roman" w:hAnsi="Times New Roman" w:cs="Times New Roman"/>
              </w:rPr>
            </w:pPr>
            <w:r>
              <w:rPr>
                <w:rFonts w:ascii="Times New Roman" w:hAnsi="Times New Roman" w:cs="Times New Roman"/>
              </w:rPr>
              <w:t>Saha içinde toplanan ince ahşap parçaları ile toz azaltım sisteminde toplanan tozun ve atık su filtrasyonundan çıkan ahşap çamurunun yakıt veya hammadde olarak kullanımı.</w:t>
            </w:r>
          </w:p>
        </w:tc>
        <w:tc>
          <w:tcPr>
            <w:tcW w:w="4041" w:type="dxa"/>
            <w:vAlign w:val="center"/>
          </w:tcPr>
          <w:p w14:paraId="7A3C3CD0" w14:textId="77777777" w:rsidR="003B155E" w:rsidRDefault="00D27F8E" w:rsidP="000D79D6">
            <w:pPr>
              <w:jc w:val="both"/>
              <w:rPr>
                <w:rFonts w:ascii="Times New Roman" w:hAnsi="Times New Roman" w:cs="Times New Roman"/>
              </w:rPr>
            </w:pPr>
            <w:r>
              <w:rPr>
                <w:rFonts w:ascii="Times New Roman" w:hAnsi="Times New Roman" w:cs="Times New Roman"/>
              </w:rPr>
              <w:t>Tesis bünyesinde atık yakma tesisi bulunması durumunda a</w:t>
            </w:r>
            <w:r w:rsidR="003B155E">
              <w:rPr>
                <w:rFonts w:ascii="Times New Roman" w:hAnsi="Times New Roman" w:cs="Times New Roman"/>
              </w:rPr>
              <w:t xml:space="preserve">hşap çamurunun </w:t>
            </w:r>
            <w:r>
              <w:rPr>
                <w:rFonts w:ascii="Times New Roman" w:hAnsi="Times New Roman" w:cs="Times New Roman"/>
              </w:rPr>
              <w:t>yakılması ve atık ısının</w:t>
            </w:r>
            <w:r w:rsidR="003B155E">
              <w:rPr>
                <w:rFonts w:ascii="Times New Roman" w:hAnsi="Times New Roman" w:cs="Times New Roman"/>
              </w:rPr>
              <w:t xml:space="preserve"> kurutma için</w:t>
            </w:r>
            <w:r>
              <w:rPr>
                <w:rFonts w:ascii="Times New Roman" w:hAnsi="Times New Roman" w:cs="Times New Roman"/>
              </w:rPr>
              <w:t xml:space="preserve"> kullanımı</w:t>
            </w:r>
            <w:r w:rsidR="003B155E">
              <w:rPr>
                <w:rFonts w:ascii="Times New Roman" w:hAnsi="Times New Roman" w:cs="Times New Roman"/>
              </w:rPr>
              <w:t xml:space="preserve"> gerekli olan enerji tüketiminin çevresel faydalardan daha fazla olduğu durumlarda kısıtlı olabilir.</w:t>
            </w:r>
          </w:p>
        </w:tc>
      </w:tr>
      <w:tr w:rsidR="003B155E" w14:paraId="0E6B2811" w14:textId="77777777" w:rsidTr="000D79D6">
        <w:trPr>
          <w:jc w:val="center"/>
        </w:trPr>
        <w:tc>
          <w:tcPr>
            <w:tcW w:w="503" w:type="dxa"/>
            <w:vAlign w:val="center"/>
          </w:tcPr>
          <w:p w14:paraId="3F1AA158"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4518" w:type="dxa"/>
            <w:vAlign w:val="center"/>
          </w:tcPr>
          <w:p w14:paraId="7BAC94BE" w14:textId="77777777" w:rsidR="003B155E" w:rsidRDefault="003B155E" w:rsidP="000D79D6">
            <w:pPr>
              <w:jc w:val="both"/>
              <w:rPr>
                <w:rFonts w:ascii="Times New Roman" w:hAnsi="Times New Roman" w:cs="Times New Roman"/>
              </w:rPr>
            </w:pPr>
            <w:r>
              <w:rPr>
                <w:rFonts w:ascii="Times New Roman" w:hAnsi="Times New Roman" w:cs="Times New Roman"/>
              </w:rPr>
              <w:t xml:space="preserve">Örneğin torba filtre, siklon filtre veya yüksek verimli siklonlardan çıkan </w:t>
            </w:r>
            <w:r w:rsidR="00D27F8E">
              <w:rPr>
                <w:rFonts w:ascii="Times New Roman" w:hAnsi="Times New Roman" w:cs="Times New Roman"/>
              </w:rPr>
              <w:t>atıkların</w:t>
            </w:r>
            <w:r>
              <w:rPr>
                <w:rFonts w:ascii="Times New Roman" w:hAnsi="Times New Roman" w:cs="Times New Roman"/>
              </w:rPr>
              <w:t xml:space="preserve"> toplanmasını optimize etmek için tek merkezi filtrasyonlu halka toplama sistemlerinin kullanımı.</w:t>
            </w:r>
          </w:p>
        </w:tc>
        <w:tc>
          <w:tcPr>
            <w:tcW w:w="4041" w:type="dxa"/>
            <w:vAlign w:val="center"/>
          </w:tcPr>
          <w:p w14:paraId="26D32CD1" w14:textId="77777777" w:rsidR="003B155E" w:rsidRDefault="003B155E" w:rsidP="000D79D6">
            <w:pPr>
              <w:jc w:val="both"/>
              <w:rPr>
                <w:rFonts w:ascii="Times New Roman" w:hAnsi="Times New Roman" w:cs="Times New Roman"/>
              </w:rPr>
            </w:pPr>
            <w:r>
              <w:rPr>
                <w:rFonts w:ascii="Times New Roman" w:hAnsi="Times New Roman" w:cs="Times New Roman"/>
              </w:rPr>
              <w:t>Yeni tesisler için genellikle uygulanabilir. Mevcut tesisin yapısı, uygulanabilirliği kısıtlayabilir.</w:t>
            </w:r>
          </w:p>
        </w:tc>
      </w:tr>
    </w:tbl>
    <w:p w14:paraId="3FECDB5C" w14:textId="77777777" w:rsidR="003B155E" w:rsidRDefault="003B155E" w:rsidP="003B155E">
      <w:pPr>
        <w:spacing w:after="120" w:line="276" w:lineRule="auto"/>
        <w:jc w:val="both"/>
        <w:rPr>
          <w:rFonts w:ascii="Times New Roman" w:hAnsi="Times New Roman" w:cs="Times New Roman"/>
          <w:sz w:val="24"/>
          <w:szCs w:val="24"/>
        </w:rPr>
      </w:pPr>
    </w:p>
    <w:p w14:paraId="7CA8215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13:</w:t>
      </w:r>
      <w:r>
        <w:rPr>
          <w:rFonts w:ascii="Times New Roman" w:hAnsi="Times New Roman" w:cs="Times New Roman"/>
          <w:sz w:val="24"/>
          <w:szCs w:val="24"/>
        </w:rPr>
        <w:t xml:space="preserve"> Biyokütle </w:t>
      </w:r>
      <w:r w:rsidR="00D27F8E">
        <w:rPr>
          <w:rFonts w:ascii="Times New Roman" w:hAnsi="Times New Roman" w:cs="Times New Roman"/>
          <w:sz w:val="24"/>
          <w:szCs w:val="24"/>
        </w:rPr>
        <w:t>yakma</w:t>
      </w:r>
      <w:r>
        <w:rPr>
          <w:rFonts w:ascii="Times New Roman" w:hAnsi="Times New Roman" w:cs="Times New Roman"/>
          <w:sz w:val="24"/>
          <w:szCs w:val="24"/>
        </w:rPr>
        <w:t xml:space="preserve"> işleminden kaynaklanan taban külü ve cürufun güvenli yönetimini ve yeniden kullanımını sağlamak için, aşağıdaki tekniklerin tümü kullanılır.</w:t>
      </w:r>
    </w:p>
    <w:tbl>
      <w:tblPr>
        <w:tblStyle w:val="TabloKlavuzu"/>
        <w:tblW w:w="0" w:type="auto"/>
        <w:jc w:val="center"/>
        <w:tblLook w:val="04A0" w:firstRow="1" w:lastRow="0" w:firstColumn="1" w:lastColumn="0" w:noHBand="0" w:noVBand="1"/>
      </w:tblPr>
      <w:tblGrid>
        <w:gridCol w:w="503"/>
        <w:gridCol w:w="4518"/>
        <w:gridCol w:w="4041"/>
      </w:tblGrid>
      <w:tr w:rsidR="003B155E" w14:paraId="69C02B00" w14:textId="77777777" w:rsidTr="000D79D6">
        <w:trPr>
          <w:tblHeader/>
          <w:jc w:val="center"/>
        </w:trPr>
        <w:tc>
          <w:tcPr>
            <w:tcW w:w="503" w:type="dxa"/>
            <w:vAlign w:val="center"/>
          </w:tcPr>
          <w:p w14:paraId="5913633D" w14:textId="77777777" w:rsidR="003B155E" w:rsidRPr="00276CE9" w:rsidRDefault="003B155E" w:rsidP="000D79D6">
            <w:pPr>
              <w:jc w:val="center"/>
              <w:rPr>
                <w:rFonts w:ascii="Times New Roman" w:hAnsi="Times New Roman" w:cs="Times New Roman"/>
                <w:b/>
                <w:bCs/>
              </w:rPr>
            </w:pPr>
          </w:p>
        </w:tc>
        <w:tc>
          <w:tcPr>
            <w:tcW w:w="4518" w:type="dxa"/>
            <w:vAlign w:val="center"/>
          </w:tcPr>
          <w:p w14:paraId="57D2FF30"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5494C115"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52830A40" w14:textId="77777777" w:rsidTr="000D79D6">
        <w:trPr>
          <w:jc w:val="center"/>
        </w:trPr>
        <w:tc>
          <w:tcPr>
            <w:tcW w:w="503" w:type="dxa"/>
            <w:vAlign w:val="center"/>
          </w:tcPr>
          <w:p w14:paraId="0C3EA02E"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5993BDE1" w14:textId="77777777" w:rsidR="003B155E" w:rsidRDefault="003B155E" w:rsidP="000D79D6">
            <w:pPr>
              <w:jc w:val="both"/>
              <w:rPr>
                <w:rFonts w:ascii="Times New Roman" w:hAnsi="Times New Roman" w:cs="Times New Roman"/>
              </w:rPr>
            </w:pPr>
            <w:r>
              <w:rPr>
                <w:rFonts w:ascii="Times New Roman" w:hAnsi="Times New Roman" w:cs="Times New Roman"/>
              </w:rPr>
              <w:t>Taban külü ve cürufun tesis dışında ve içinde yeniden kullanımına yönelik seçeneklerin sürekli olarak değerlendirilmesi.</w:t>
            </w:r>
          </w:p>
        </w:tc>
        <w:tc>
          <w:tcPr>
            <w:tcW w:w="4041" w:type="dxa"/>
            <w:vAlign w:val="center"/>
          </w:tcPr>
          <w:p w14:paraId="13E85149"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6C0010AB" w14:textId="77777777" w:rsidTr="000D79D6">
        <w:trPr>
          <w:jc w:val="center"/>
        </w:trPr>
        <w:tc>
          <w:tcPr>
            <w:tcW w:w="503" w:type="dxa"/>
            <w:vAlign w:val="center"/>
          </w:tcPr>
          <w:p w14:paraId="082D23F4"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46C8EDEE" w14:textId="77777777" w:rsidR="003B155E" w:rsidRDefault="003B155E" w:rsidP="000D79D6">
            <w:pPr>
              <w:jc w:val="both"/>
              <w:rPr>
                <w:rFonts w:ascii="Times New Roman" w:hAnsi="Times New Roman" w:cs="Times New Roman"/>
              </w:rPr>
            </w:pPr>
            <w:r>
              <w:rPr>
                <w:rFonts w:ascii="Times New Roman" w:hAnsi="Times New Roman" w:cs="Times New Roman"/>
              </w:rPr>
              <w:t>Kalıntı karbon içeriğini azaltan etkin bir yakma prosesi.</w:t>
            </w:r>
          </w:p>
        </w:tc>
        <w:tc>
          <w:tcPr>
            <w:tcW w:w="4041" w:type="dxa"/>
            <w:vAlign w:val="center"/>
          </w:tcPr>
          <w:p w14:paraId="255C9655"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1CDD325" w14:textId="77777777" w:rsidTr="000D79D6">
        <w:trPr>
          <w:jc w:val="center"/>
        </w:trPr>
        <w:tc>
          <w:tcPr>
            <w:tcW w:w="503" w:type="dxa"/>
            <w:vAlign w:val="center"/>
          </w:tcPr>
          <w:p w14:paraId="598C6F7F"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4518" w:type="dxa"/>
            <w:vAlign w:val="center"/>
          </w:tcPr>
          <w:p w14:paraId="7B9E533E" w14:textId="77777777" w:rsidR="003B155E" w:rsidRDefault="003B155E" w:rsidP="000D79D6">
            <w:pPr>
              <w:jc w:val="both"/>
              <w:rPr>
                <w:rFonts w:ascii="Times New Roman" w:hAnsi="Times New Roman" w:cs="Times New Roman"/>
              </w:rPr>
            </w:pPr>
            <w:r>
              <w:rPr>
                <w:rFonts w:ascii="Times New Roman" w:hAnsi="Times New Roman" w:cs="Times New Roman"/>
              </w:rPr>
              <w:t>Taban külü ve cürufun kapalı konveyörlerde ve konteynerlerde veya nemlendirme yoluyla güvenli bir şekilde taşınması ve nakliyesi.</w:t>
            </w:r>
          </w:p>
        </w:tc>
        <w:tc>
          <w:tcPr>
            <w:tcW w:w="4041" w:type="dxa"/>
            <w:vAlign w:val="center"/>
          </w:tcPr>
          <w:p w14:paraId="03EC7840" w14:textId="77777777" w:rsidR="003B155E" w:rsidRDefault="003B155E" w:rsidP="000D79D6">
            <w:pPr>
              <w:jc w:val="both"/>
              <w:rPr>
                <w:rFonts w:ascii="Times New Roman" w:hAnsi="Times New Roman" w:cs="Times New Roman"/>
              </w:rPr>
            </w:pPr>
            <w:r>
              <w:rPr>
                <w:rFonts w:ascii="Times New Roman" w:hAnsi="Times New Roman" w:cs="Times New Roman"/>
              </w:rPr>
              <w:t>Nemlendirme, sadece taban külü ve cürufun güvenlik nedenleri dolayısıyla ıslatıldığında gereklidir.</w:t>
            </w:r>
          </w:p>
        </w:tc>
      </w:tr>
      <w:tr w:rsidR="003B155E" w14:paraId="513721AB" w14:textId="77777777" w:rsidTr="000D79D6">
        <w:trPr>
          <w:jc w:val="center"/>
        </w:trPr>
        <w:tc>
          <w:tcPr>
            <w:tcW w:w="503" w:type="dxa"/>
            <w:vAlign w:val="center"/>
          </w:tcPr>
          <w:p w14:paraId="7029E624" w14:textId="77777777" w:rsidR="003B155E" w:rsidRDefault="003B155E" w:rsidP="000D79D6">
            <w:pPr>
              <w:jc w:val="center"/>
              <w:rPr>
                <w:rFonts w:ascii="Times New Roman" w:hAnsi="Times New Roman" w:cs="Times New Roman"/>
              </w:rPr>
            </w:pPr>
            <w:r>
              <w:rPr>
                <w:rFonts w:ascii="Times New Roman" w:hAnsi="Times New Roman" w:cs="Times New Roman"/>
              </w:rPr>
              <w:t>d</w:t>
            </w:r>
          </w:p>
        </w:tc>
        <w:tc>
          <w:tcPr>
            <w:tcW w:w="4518" w:type="dxa"/>
            <w:vAlign w:val="center"/>
          </w:tcPr>
          <w:p w14:paraId="126ED9A8" w14:textId="77777777" w:rsidR="003B155E" w:rsidRDefault="003B155E" w:rsidP="000D79D6">
            <w:pPr>
              <w:jc w:val="both"/>
              <w:rPr>
                <w:rFonts w:ascii="Times New Roman" w:hAnsi="Times New Roman" w:cs="Times New Roman"/>
              </w:rPr>
            </w:pPr>
            <w:r>
              <w:rPr>
                <w:rFonts w:ascii="Times New Roman" w:hAnsi="Times New Roman" w:cs="Times New Roman"/>
              </w:rPr>
              <w:t>Taban külü ve cürufun sızıntı suyu toplama sistemli belirlenmiş geçirimsiz bir alanda güvenli bir şekilde depolanması.</w:t>
            </w:r>
          </w:p>
        </w:tc>
        <w:tc>
          <w:tcPr>
            <w:tcW w:w="4041" w:type="dxa"/>
            <w:vAlign w:val="center"/>
          </w:tcPr>
          <w:p w14:paraId="41A0CF22"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bl>
    <w:p w14:paraId="4B13808D" w14:textId="77777777" w:rsidR="003B155E" w:rsidRDefault="003B155E" w:rsidP="003B155E">
      <w:pPr>
        <w:spacing w:after="120" w:line="276" w:lineRule="auto"/>
        <w:jc w:val="both"/>
        <w:rPr>
          <w:rFonts w:ascii="Times New Roman" w:hAnsi="Times New Roman" w:cs="Times New Roman"/>
          <w:sz w:val="24"/>
          <w:szCs w:val="24"/>
        </w:rPr>
      </w:pPr>
    </w:p>
    <w:p w14:paraId="46377C7C"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(1.8) İzleme</w:t>
      </w:r>
    </w:p>
    <w:p w14:paraId="59AF840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14:</w:t>
      </w:r>
      <w:r>
        <w:rPr>
          <w:rFonts w:ascii="Times New Roman" w:hAnsi="Times New Roman" w:cs="Times New Roman"/>
          <w:sz w:val="24"/>
          <w:szCs w:val="24"/>
        </w:rPr>
        <w:t xml:space="preserve"> Havaya ve suya emisyonlara ve proses baca gazlarına yönelik izleme, en azından aşağıda belirtilen sıklıklarla ve TS EN standartlarına göre yapılır. Herhangi bir TS EN standardı mevcut değilse, eş değer bilimsel nitelikte veri elde edilmesini sağlayan ISO, ulusal veya uluslararası standartlar kullanılır.</w:t>
      </w:r>
    </w:p>
    <w:p w14:paraId="3D68D85C" w14:textId="77777777" w:rsidR="003B155E" w:rsidRPr="00D47011"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Kurutucudan kaynaklanan havaya emisyonlar ile kurutucu ve presten kaynaklanan beraber arıtılan emisyonlara yönelik izleme</w:t>
      </w:r>
    </w:p>
    <w:tbl>
      <w:tblPr>
        <w:tblStyle w:val="TabloKlavuzu"/>
        <w:tblW w:w="0" w:type="auto"/>
        <w:tblLook w:val="04A0" w:firstRow="1" w:lastRow="0" w:firstColumn="1" w:lastColumn="0" w:noHBand="0" w:noVBand="1"/>
      </w:tblPr>
      <w:tblGrid>
        <w:gridCol w:w="1696"/>
        <w:gridCol w:w="3261"/>
        <w:gridCol w:w="2268"/>
        <w:gridCol w:w="1837"/>
      </w:tblGrid>
      <w:tr w:rsidR="003B155E" w14:paraId="422DDF0A" w14:textId="77777777" w:rsidTr="0082590D">
        <w:tc>
          <w:tcPr>
            <w:tcW w:w="1696" w:type="dxa"/>
          </w:tcPr>
          <w:p w14:paraId="7A4116C3"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261" w:type="dxa"/>
          </w:tcPr>
          <w:p w14:paraId="2E1332C6"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Standart(lar)</w:t>
            </w:r>
          </w:p>
        </w:tc>
        <w:tc>
          <w:tcPr>
            <w:tcW w:w="2268" w:type="dxa"/>
          </w:tcPr>
          <w:p w14:paraId="318F9A31"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Minimum İzleme Sıklığı</w:t>
            </w:r>
          </w:p>
        </w:tc>
        <w:tc>
          <w:tcPr>
            <w:tcW w:w="1837" w:type="dxa"/>
          </w:tcPr>
          <w:p w14:paraId="6D1B0F7B" w14:textId="77777777" w:rsidR="003B155E" w:rsidRDefault="003B155E" w:rsidP="000D79D6">
            <w:pPr>
              <w:jc w:val="center"/>
              <w:rPr>
                <w:rFonts w:ascii="Times New Roman" w:hAnsi="Times New Roman" w:cs="Times New Roman"/>
                <w:b/>
                <w:bCs/>
              </w:rPr>
            </w:pPr>
            <w:r>
              <w:rPr>
                <w:rFonts w:ascii="Times New Roman" w:hAnsi="Times New Roman" w:cs="Times New Roman"/>
                <w:b/>
                <w:bCs/>
              </w:rPr>
              <w:t>İlişkili MET</w:t>
            </w:r>
          </w:p>
        </w:tc>
      </w:tr>
      <w:tr w:rsidR="003B155E" w14:paraId="4675B115" w14:textId="77777777" w:rsidTr="0082590D">
        <w:tc>
          <w:tcPr>
            <w:tcW w:w="1696" w:type="dxa"/>
          </w:tcPr>
          <w:p w14:paraId="74D25820" w14:textId="77777777" w:rsidR="003B155E" w:rsidRDefault="003B155E" w:rsidP="000D79D6">
            <w:pPr>
              <w:jc w:val="both"/>
              <w:rPr>
                <w:rFonts w:ascii="Times New Roman" w:hAnsi="Times New Roman" w:cs="Times New Roman"/>
              </w:rPr>
            </w:pPr>
            <w:r>
              <w:rPr>
                <w:rFonts w:ascii="Times New Roman" w:hAnsi="Times New Roman" w:cs="Times New Roman"/>
              </w:rPr>
              <w:t>Toz</w:t>
            </w:r>
          </w:p>
        </w:tc>
        <w:tc>
          <w:tcPr>
            <w:tcW w:w="3261" w:type="dxa"/>
          </w:tcPr>
          <w:p w14:paraId="448BA721" w14:textId="77777777" w:rsidR="003B155E" w:rsidRDefault="003B155E" w:rsidP="000D79D6">
            <w:pPr>
              <w:jc w:val="center"/>
              <w:rPr>
                <w:rFonts w:ascii="Times New Roman" w:hAnsi="Times New Roman" w:cs="Times New Roman"/>
              </w:rPr>
            </w:pPr>
            <w:r>
              <w:rPr>
                <w:rFonts w:ascii="Times New Roman" w:hAnsi="Times New Roman" w:cs="Times New Roman"/>
              </w:rPr>
              <w:t>TS EN 13284-1:2018</w:t>
            </w:r>
          </w:p>
        </w:tc>
        <w:tc>
          <w:tcPr>
            <w:tcW w:w="2268" w:type="dxa"/>
            <w:vMerge w:val="restart"/>
          </w:tcPr>
          <w:p w14:paraId="3C977F38" w14:textId="77777777" w:rsidR="003B155E" w:rsidRDefault="003B155E" w:rsidP="000D79D6">
            <w:pPr>
              <w:jc w:val="center"/>
              <w:rPr>
                <w:rFonts w:ascii="Times New Roman" w:hAnsi="Times New Roman" w:cs="Times New Roman"/>
              </w:rPr>
            </w:pPr>
            <w:r>
              <w:rPr>
                <w:rFonts w:ascii="Times New Roman" w:hAnsi="Times New Roman" w:cs="Times New Roman"/>
              </w:rPr>
              <w:t>her altı ayda en az bir kere periyodik ölçüm</w:t>
            </w:r>
          </w:p>
        </w:tc>
        <w:tc>
          <w:tcPr>
            <w:tcW w:w="1837" w:type="dxa"/>
          </w:tcPr>
          <w:p w14:paraId="1AF86635" w14:textId="77777777" w:rsidR="003B155E" w:rsidRDefault="003B155E" w:rsidP="000D79D6">
            <w:pPr>
              <w:jc w:val="center"/>
              <w:rPr>
                <w:rFonts w:ascii="Times New Roman" w:hAnsi="Times New Roman" w:cs="Times New Roman"/>
              </w:rPr>
            </w:pPr>
            <w:r>
              <w:rPr>
                <w:rFonts w:ascii="Times New Roman" w:hAnsi="Times New Roman" w:cs="Times New Roman"/>
              </w:rPr>
              <w:t>MET 17</w:t>
            </w:r>
          </w:p>
        </w:tc>
      </w:tr>
      <w:tr w:rsidR="003B155E" w14:paraId="44E40042" w14:textId="77777777" w:rsidTr="0082590D">
        <w:tc>
          <w:tcPr>
            <w:tcW w:w="1696" w:type="dxa"/>
          </w:tcPr>
          <w:p w14:paraId="2C174474" w14:textId="77777777" w:rsidR="003B155E" w:rsidRDefault="003B155E" w:rsidP="000D79D6">
            <w:pPr>
              <w:jc w:val="both"/>
              <w:rPr>
                <w:rFonts w:ascii="Times New Roman" w:hAnsi="Times New Roman" w:cs="Times New Roman"/>
              </w:rPr>
            </w:pPr>
            <w:r>
              <w:rPr>
                <w:rFonts w:ascii="Times New Roman" w:hAnsi="Times New Roman" w:cs="Times New Roman"/>
              </w:rPr>
              <w:t>T</w:t>
            </w:r>
            <w:r w:rsidR="009D570E">
              <w:rPr>
                <w:rFonts w:ascii="Times New Roman" w:hAnsi="Times New Roman" w:cs="Times New Roman"/>
              </w:rPr>
              <w:t>UOB</w:t>
            </w:r>
            <w:r>
              <w:rPr>
                <w:rFonts w:ascii="Times New Roman" w:hAnsi="Times New Roman" w:cs="Times New Roman"/>
              </w:rPr>
              <w:t xml:space="preserve"> (</w:t>
            </w:r>
            <w:r w:rsidRPr="00D94AAD">
              <w:rPr>
                <w:rFonts w:ascii="Times New Roman" w:hAnsi="Times New Roman" w:cs="Times New Roman"/>
                <w:vertAlign w:val="superscript"/>
              </w:rPr>
              <w:t>1</w:t>
            </w:r>
            <w:r>
              <w:rPr>
                <w:rFonts w:ascii="Times New Roman" w:hAnsi="Times New Roman" w:cs="Times New Roman"/>
              </w:rPr>
              <w:t>)</w:t>
            </w:r>
          </w:p>
        </w:tc>
        <w:tc>
          <w:tcPr>
            <w:tcW w:w="3261" w:type="dxa"/>
          </w:tcPr>
          <w:p w14:paraId="13A9D71B" w14:textId="77777777" w:rsidR="003B155E" w:rsidRDefault="003B155E" w:rsidP="000D79D6">
            <w:pPr>
              <w:jc w:val="center"/>
              <w:rPr>
                <w:rFonts w:ascii="Times New Roman" w:hAnsi="Times New Roman" w:cs="Times New Roman"/>
              </w:rPr>
            </w:pPr>
            <w:r>
              <w:rPr>
                <w:rFonts w:ascii="Times New Roman" w:hAnsi="Times New Roman" w:cs="Times New Roman"/>
              </w:rPr>
              <w:t>TS EN 12619:2013</w:t>
            </w:r>
          </w:p>
        </w:tc>
        <w:tc>
          <w:tcPr>
            <w:tcW w:w="2268" w:type="dxa"/>
            <w:vMerge/>
          </w:tcPr>
          <w:p w14:paraId="75ADECCA" w14:textId="77777777" w:rsidR="003B155E" w:rsidRDefault="003B155E" w:rsidP="000D79D6">
            <w:pPr>
              <w:jc w:val="center"/>
              <w:rPr>
                <w:rFonts w:ascii="Times New Roman" w:hAnsi="Times New Roman" w:cs="Times New Roman"/>
              </w:rPr>
            </w:pPr>
          </w:p>
        </w:tc>
        <w:tc>
          <w:tcPr>
            <w:tcW w:w="1837" w:type="dxa"/>
          </w:tcPr>
          <w:p w14:paraId="2C61F440" w14:textId="77777777" w:rsidR="003B155E" w:rsidRDefault="003B155E" w:rsidP="000D79D6">
            <w:pPr>
              <w:jc w:val="center"/>
              <w:rPr>
                <w:rFonts w:ascii="Times New Roman" w:hAnsi="Times New Roman" w:cs="Times New Roman"/>
              </w:rPr>
            </w:pPr>
            <w:r>
              <w:rPr>
                <w:rFonts w:ascii="Times New Roman" w:hAnsi="Times New Roman" w:cs="Times New Roman"/>
              </w:rPr>
              <w:t>MET 17</w:t>
            </w:r>
          </w:p>
        </w:tc>
      </w:tr>
      <w:tr w:rsidR="003B155E" w14:paraId="1FDC2133" w14:textId="77777777" w:rsidTr="0082590D">
        <w:tc>
          <w:tcPr>
            <w:tcW w:w="1696" w:type="dxa"/>
          </w:tcPr>
          <w:p w14:paraId="79EAC8FA" w14:textId="77777777" w:rsidR="003B155E" w:rsidRDefault="003B155E" w:rsidP="000D79D6">
            <w:pPr>
              <w:jc w:val="both"/>
              <w:rPr>
                <w:rFonts w:ascii="Times New Roman" w:hAnsi="Times New Roman" w:cs="Times New Roman"/>
              </w:rPr>
            </w:pPr>
            <w:r>
              <w:rPr>
                <w:rFonts w:ascii="Times New Roman" w:hAnsi="Times New Roman" w:cs="Times New Roman"/>
              </w:rPr>
              <w:t>Formaldehit</w:t>
            </w:r>
          </w:p>
        </w:tc>
        <w:tc>
          <w:tcPr>
            <w:tcW w:w="3261" w:type="dxa"/>
          </w:tcPr>
          <w:p w14:paraId="3F2D1954" w14:textId="77777777" w:rsidR="003B155E" w:rsidRDefault="003B155E" w:rsidP="000D79D6">
            <w:pPr>
              <w:jc w:val="center"/>
              <w:rPr>
                <w:rFonts w:ascii="Times New Roman" w:hAnsi="Times New Roman" w:cs="Times New Roman"/>
              </w:rPr>
            </w:pPr>
            <w:r>
              <w:rPr>
                <w:rFonts w:ascii="Times New Roman" w:hAnsi="Times New Roman" w:cs="Times New Roman"/>
              </w:rPr>
              <w:t>standart mevcut değil (</w:t>
            </w:r>
            <w:r w:rsidRPr="00A97F25">
              <w:rPr>
                <w:rFonts w:ascii="Times New Roman" w:hAnsi="Times New Roman" w:cs="Times New Roman"/>
                <w:vertAlign w:val="superscript"/>
              </w:rPr>
              <w:t>6</w:t>
            </w:r>
            <w:r>
              <w:rPr>
                <w:rFonts w:ascii="Times New Roman" w:hAnsi="Times New Roman" w:cs="Times New Roman"/>
              </w:rPr>
              <w:t>)</w:t>
            </w:r>
          </w:p>
        </w:tc>
        <w:tc>
          <w:tcPr>
            <w:tcW w:w="2268" w:type="dxa"/>
            <w:vMerge/>
          </w:tcPr>
          <w:p w14:paraId="403184C1" w14:textId="77777777" w:rsidR="003B155E" w:rsidRDefault="003B155E" w:rsidP="000D79D6">
            <w:pPr>
              <w:jc w:val="center"/>
              <w:rPr>
                <w:rFonts w:ascii="Times New Roman" w:hAnsi="Times New Roman" w:cs="Times New Roman"/>
              </w:rPr>
            </w:pPr>
          </w:p>
        </w:tc>
        <w:tc>
          <w:tcPr>
            <w:tcW w:w="1837" w:type="dxa"/>
          </w:tcPr>
          <w:p w14:paraId="46BEC6C4" w14:textId="77777777" w:rsidR="003B155E" w:rsidRDefault="003B155E" w:rsidP="000D79D6">
            <w:pPr>
              <w:jc w:val="center"/>
              <w:rPr>
                <w:rFonts w:ascii="Times New Roman" w:hAnsi="Times New Roman" w:cs="Times New Roman"/>
              </w:rPr>
            </w:pPr>
            <w:r>
              <w:rPr>
                <w:rFonts w:ascii="Times New Roman" w:hAnsi="Times New Roman" w:cs="Times New Roman"/>
              </w:rPr>
              <w:t>MET 17</w:t>
            </w:r>
          </w:p>
        </w:tc>
      </w:tr>
      <w:tr w:rsidR="003B155E" w14:paraId="4E29CB7C" w14:textId="77777777" w:rsidTr="0082590D">
        <w:tc>
          <w:tcPr>
            <w:tcW w:w="1696" w:type="dxa"/>
          </w:tcPr>
          <w:p w14:paraId="5AF26CC1" w14:textId="77777777" w:rsidR="003B155E" w:rsidRPr="00C878FB" w:rsidRDefault="003B155E" w:rsidP="000D79D6">
            <w:pPr>
              <w:jc w:val="both"/>
              <w:rPr>
                <w:rFonts w:ascii="Times New Roman" w:hAnsi="Times New Roman" w:cs="Times New Roman"/>
              </w:rPr>
            </w:pPr>
            <w:r>
              <w:rPr>
                <w:rFonts w:ascii="Times New Roman" w:hAnsi="Times New Roman" w:cs="Times New Roman"/>
              </w:rPr>
              <w:t>NO</w:t>
            </w:r>
            <w:r>
              <w:rPr>
                <w:rFonts w:ascii="Times New Roman" w:hAnsi="Times New Roman" w:cs="Times New Roman"/>
                <w:vertAlign w:val="subscript"/>
              </w:rPr>
              <w:t>x</w:t>
            </w:r>
            <w:r>
              <w:rPr>
                <w:rFonts w:ascii="Times New Roman" w:hAnsi="Times New Roman" w:cs="Times New Roman"/>
              </w:rPr>
              <w:t xml:space="preserve"> </w:t>
            </w:r>
          </w:p>
        </w:tc>
        <w:tc>
          <w:tcPr>
            <w:tcW w:w="3261" w:type="dxa"/>
          </w:tcPr>
          <w:p w14:paraId="2143100B" w14:textId="77777777" w:rsidR="003B155E" w:rsidRDefault="003B155E" w:rsidP="000D79D6">
            <w:pPr>
              <w:jc w:val="center"/>
              <w:rPr>
                <w:rFonts w:ascii="Times New Roman" w:hAnsi="Times New Roman" w:cs="Times New Roman"/>
              </w:rPr>
            </w:pPr>
            <w:r>
              <w:rPr>
                <w:rFonts w:ascii="Times New Roman" w:hAnsi="Times New Roman" w:cs="Times New Roman"/>
              </w:rPr>
              <w:t>TS EN 14792:2017</w:t>
            </w:r>
          </w:p>
        </w:tc>
        <w:tc>
          <w:tcPr>
            <w:tcW w:w="2268" w:type="dxa"/>
            <w:vMerge/>
          </w:tcPr>
          <w:p w14:paraId="24CB2700" w14:textId="77777777" w:rsidR="003B155E" w:rsidRDefault="003B155E" w:rsidP="000D79D6">
            <w:pPr>
              <w:jc w:val="center"/>
              <w:rPr>
                <w:rFonts w:ascii="Times New Roman" w:hAnsi="Times New Roman" w:cs="Times New Roman"/>
              </w:rPr>
            </w:pPr>
          </w:p>
        </w:tc>
        <w:tc>
          <w:tcPr>
            <w:tcW w:w="1837" w:type="dxa"/>
          </w:tcPr>
          <w:p w14:paraId="20A3FCE6" w14:textId="77777777" w:rsidR="003B155E" w:rsidRDefault="003B155E" w:rsidP="000D79D6">
            <w:pPr>
              <w:jc w:val="center"/>
              <w:rPr>
                <w:rFonts w:ascii="Times New Roman" w:hAnsi="Times New Roman" w:cs="Times New Roman"/>
              </w:rPr>
            </w:pPr>
            <w:r>
              <w:rPr>
                <w:rFonts w:ascii="Times New Roman" w:hAnsi="Times New Roman" w:cs="Times New Roman"/>
              </w:rPr>
              <w:t>MET 18</w:t>
            </w:r>
          </w:p>
        </w:tc>
      </w:tr>
      <w:tr w:rsidR="003B155E" w14:paraId="00E1A0E0" w14:textId="77777777" w:rsidTr="0082590D">
        <w:tc>
          <w:tcPr>
            <w:tcW w:w="1696" w:type="dxa"/>
          </w:tcPr>
          <w:p w14:paraId="34703C46" w14:textId="77777777" w:rsidR="003B155E" w:rsidRDefault="003B155E" w:rsidP="000D79D6">
            <w:pPr>
              <w:jc w:val="both"/>
              <w:rPr>
                <w:rFonts w:ascii="Times New Roman" w:hAnsi="Times New Roman" w:cs="Times New Roman"/>
              </w:rPr>
            </w:pPr>
            <w:r>
              <w:rPr>
                <w:rFonts w:ascii="Times New Roman" w:hAnsi="Times New Roman" w:cs="Times New Roman"/>
              </w:rPr>
              <w:t>HCl (</w:t>
            </w:r>
            <w:r w:rsidRPr="00C878FB">
              <w:rPr>
                <w:rFonts w:ascii="Times New Roman" w:hAnsi="Times New Roman" w:cs="Times New Roman"/>
                <w:vertAlign w:val="superscript"/>
              </w:rPr>
              <w:t>4</w:t>
            </w:r>
            <w:r>
              <w:rPr>
                <w:rFonts w:ascii="Times New Roman" w:hAnsi="Times New Roman" w:cs="Times New Roman"/>
              </w:rPr>
              <w:t>)</w:t>
            </w:r>
          </w:p>
        </w:tc>
        <w:tc>
          <w:tcPr>
            <w:tcW w:w="3261" w:type="dxa"/>
          </w:tcPr>
          <w:p w14:paraId="50C5164E" w14:textId="77777777" w:rsidR="003B155E" w:rsidRDefault="003B155E" w:rsidP="000D79D6">
            <w:pPr>
              <w:jc w:val="center"/>
              <w:rPr>
                <w:rFonts w:ascii="Times New Roman" w:hAnsi="Times New Roman" w:cs="Times New Roman"/>
              </w:rPr>
            </w:pPr>
            <w:r>
              <w:rPr>
                <w:rFonts w:ascii="Times New Roman" w:hAnsi="Times New Roman" w:cs="Times New Roman"/>
              </w:rPr>
              <w:t>EN 1911</w:t>
            </w:r>
          </w:p>
        </w:tc>
        <w:tc>
          <w:tcPr>
            <w:tcW w:w="2268" w:type="dxa"/>
            <w:vMerge/>
          </w:tcPr>
          <w:p w14:paraId="33F5961D" w14:textId="77777777" w:rsidR="003B155E" w:rsidRDefault="003B155E" w:rsidP="000D79D6">
            <w:pPr>
              <w:jc w:val="center"/>
              <w:rPr>
                <w:rFonts w:ascii="Times New Roman" w:hAnsi="Times New Roman" w:cs="Times New Roman"/>
              </w:rPr>
            </w:pPr>
          </w:p>
        </w:tc>
        <w:tc>
          <w:tcPr>
            <w:tcW w:w="1837" w:type="dxa"/>
          </w:tcPr>
          <w:p w14:paraId="6F8C9FF6"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13FD4A33" w14:textId="77777777" w:rsidTr="0082590D">
        <w:tc>
          <w:tcPr>
            <w:tcW w:w="1696" w:type="dxa"/>
          </w:tcPr>
          <w:p w14:paraId="6AE55244" w14:textId="77777777" w:rsidR="003B155E" w:rsidRDefault="003B155E" w:rsidP="000D79D6">
            <w:pPr>
              <w:jc w:val="both"/>
              <w:rPr>
                <w:rFonts w:ascii="Times New Roman" w:hAnsi="Times New Roman" w:cs="Times New Roman"/>
              </w:rPr>
            </w:pPr>
            <w:r>
              <w:rPr>
                <w:rFonts w:ascii="Times New Roman" w:hAnsi="Times New Roman" w:cs="Times New Roman"/>
              </w:rPr>
              <w:t>HF (</w:t>
            </w:r>
            <w:r w:rsidRPr="00C878FB">
              <w:rPr>
                <w:rFonts w:ascii="Times New Roman" w:hAnsi="Times New Roman" w:cs="Times New Roman"/>
                <w:vertAlign w:val="superscript"/>
              </w:rPr>
              <w:t>4</w:t>
            </w:r>
            <w:r>
              <w:rPr>
                <w:rFonts w:ascii="Times New Roman" w:hAnsi="Times New Roman" w:cs="Times New Roman"/>
              </w:rPr>
              <w:t>)</w:t>
            </w:r>
          </w:p>
        </w:tc>
        <w:tc>
          <w:tcPr>
            <w:tcW w:w="3261" w:type="dxa"/>
          </w:tcPr>
          <w:p w14:paraId="7A91F0F0" w14:textId="77777777" w:rsidR="003B155E" w:rsidRDefault="003B155E" w:rsidP="000D79D6">
            <w:pPr>
              <w:jc w:val="center"/>
              <w:rPr>
                <w:rFonts w:ascii="Times New Roman" w:hAnsi="Times New Roman" w:cs="Times New Roman"/>
              </w:rPr>
            </w:pPr>
            <w:r>
              <w:rPr>
                <w:rFonts w:ascii="Times New Roman" w:hAnsi="Times New Roman" w:cs="Times New Roman"/>
              </w:rPr>
              <w:t>TS EN 15713:2023</w:t>
            </w:r>
          </w:p>
        </w:tc>
        <w:tc>
          <w:tcPr>
            <w:tcW w:w="2268" w:type="dxa"/>
            <w:vMerge/>
          </w:tcPr>
          <w:p w14:paraId="4BD524B1" w14:textId="77777777" w:rsidR="003B155E" w:rsidRDefault="003B155E" w:rsidP="000D79D6">
            <w:pPr>
              <w:jc w:val="center"/>
              <w:rPr>
                <w:rFonts w:ascii="Times New Roman" w:hAnsi="Times New Roman" w:cs="Times New Roman"/>
              </w:rPr>
            </w:pPr>
          </w:p>
        </w:tc>
        <w:tc>
          <w:tcPr>
            <w:tcW w:w="1837" w:type="dxa"/>
          </w:tcPr>
          <w:p w14:paraId="4AED7DBB"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7C74B387" w14:textId="77777777" w:rsidTr="0082590D">
        <w:tc>
          <w:tcPr>
            <w:tcW w:w="1696" w:type="dxa"/>
          </w:tcPr>
          <w:p w14:paraId="77144324" w14:textId="77777777" w:rsidR="003B155E" w:rsidRPr="00257B25" w:rsidRDefault="003B155E" w:rsidP="000D79D6">
            <w:pPr>
              <w:jc w:val="both"/>
              <w:rPr>
                <w:rFonts w:ascii="Times New Roman" w:hAnsi="Times New Roman" w:cs="Times New Roman"/>
              </w:rPr>
            </w:pPr>
            <w:r>
              <w:rPr>
                <w:rFonts w:ascii="Times New Roman" w:hAnsi="Times New Roman" w:cs="Times New Roman"/>
              </w:rPr>
              <w:t>SO</w:t>
            </w:r>
            <w:r>
              <w:rPr>
                <w:rFonts w:ascii="Times New Roman" w:hAnsi="Times New Roman" w:cs="Times New Roman"/>
                <w:vertAlign w:val="subscript"/>
              </w:rPr>
              <w:t>2</w:t>
            </w:r>
            <w:r>
              <w:rPr>
                <w:rFonts w:ascii="Times New Roman" w:hAnsi="Times New Roman" w:cs="Times New Roman"/>
              </w:rPr>
              <w:t xml:space="preserve"> (</w:t>
            </w:r>
            <w:r w:rsidRPr="00257B25">
              <w:rPr>
                <w:rFonts w:ascii="Times New Roman" w:hAnsi="Times New Roman" w:cs="Times New Roman"/>
                <w:vertAlign w:val="superscript"/>
              </w:rPr>
              <w:t>2</w:t>
            </w:r>
            <w:r>
              <w:rPr>
                <w:rFonts w:ascii="Times New Roman" w:hAnsi="Times New Roman" w:cs="Times New Roman"/>
              </w:rPr>
              <w:t>)</w:t>
            </w:r>
          </w:p>
        </w:tc>
        <w:tc>
          <w:tcPr>
            <w:tcW w:w="3261" w:type="dxa"/>
          </w:tcPr>
          <w:p w14:paraId="5F60BA41" w14:textId="77777777" w:rsidR="003B155E" w:rsidRDefault="003B155E" w:rsidP="000D79D6">
            <w:pPr>
              <w:jc w:val="center"/>
              <w:rPr>
                <w:rFonts w:ascii="Times New Roman" w:hAnsi="Times New Roman" w:cs="Times New Roman"/>
              </w:rPr>
            </w:pPr>
            <w:r>
              <w:rPr>
                <w:rFonts w:ascii="Times New Roman" w:hAnsi="Times New Roman" w:cs="Times New Roman"/>
              </w:rPr>
              <w:t>TS EN 14791:2017</w:t>
            </w:r>
          </w:p>
        </w:tc>
        <w:tc>
          <w:tcPr>
            <w:tcW w:w="2268" w:type="dxa"/>
            <w:vMerge w:val="restart"/>
          </w:tcPr>
          <w:p w14:paraId="1CD64B53" w14:textId="77777777" w:rsidR="003B155E" w:rsidRDefault="003B155E" w:rsidP="000D79D6">
            <w:pPr>
              <w:jc w:val="center"/>
              <w:rPr>
                <w:rFonts w:ascii="Times New Roman" w:hAnsi="Times New Roman" w:cs="Times New Roman"/>
              </w:rPr>
            </w:pPr>
            <w:r>
              <w:rPr>
                <w:rFonts w:ascii="Times New Roman" w:hAnsi="Times New Roman" w:cs="Times New Roman"/>
              </w:rPr>
              <w:t>yılda en az bir kere periyodik ölçüm</w:t>
            </w:r>
          </w:p>
        </w:tc>
        <w:tc>
          <w:tcPr>
            <w:tcW w:w="1837" w:type="dxa"/>
          </w:tcPr>
          <w:p w14:paraId="64145E5B"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3D0E72FF" w14:textId="77777777" w:rsidTr="0082590D">
        <w:tc>
          <w:tcPr>
            <w:tcW w:w="1696" w:type="dxa"/>
          </w:tcPr>
          <w:p w14:paraId="24184685" w14:textId="77777777" w:rsidR="003B155E" w:rsidRDefault="003B155E" w:rsidP="000D79D6">
            <w:pPr>
              <w:jc w:val="both"/>
              <w:rPr>
                <w:rFonts w:ascii="Times New Roman" w:hAnsi="Times New Roman" w:cs="Times New Roman"/>
              </w:rPr>
            </w:pPr>
            <w:r>
              <w:rPr>
                <w:rFonts w:ascii="Times New Roman" w:hAnsi="Times New Roman" w:cs="Times New Roman"/>
              </w:rPr>
              <w:t>Metaller (</w:t>
            </w:r>
            <w:r w:rsidRPr="00A331A0">
              <w:rPr>
                <w:rFonts w:ascii="Times New Roman" w:hAnsi="Times New Roman" w:cs="Times New Roman"/>
                <w:vertAlign w:val="superscript"/>
              </w:rPr>
              <w:t>3</w:t>
            </w:r>
            <w:r>
              <w:rPr>
                <w:rFonts w:ascii="Times New Roman" w:hAnsi="Times New Roman" w:cs="Times New Roman"/>
              </w:rPr>
              <w:t>)(</w:t>
            </w:r>
            <w:r w:rsidRPr="00A331A0">
              <w:rPr>
                <w:rFonts w:ascii="Times New Roman" w:hAnsi="Times New Roman" w:cs="Times New Roman"/>
                <w:vertAlign w:val="superscript"/>
              </w:rPr>
              <w:t>4</w:t>
            </w:r>
            <w:r>
              <w:rPr>
                <w:rFonts w:ascii="Times New Roman" w:hAnsi="Times New Roman" w:cs="Times New Roman"/>
              </w:rPr>
              <w:t>)</w:t>
            </w:r>
          </w:p>
        </w:tc>
        <w:tc>
          <w:tcPr>
            <w:tcW w:w="3261" w:type="dxa"/>
          </w:tcPr>
          <w:p w14:paraId="52561530" w14:textId="77777777" w:rsidR="003B155E" w:rsidRDefault="003B155E" w:rsidP="000D79D6">
            <w:pPr>
              <w:jc w:val="center"/>
              <w:rPr>
                <w:rFonts w:ascii="Times New Roman" w:hAnsi="Times New Roman" w:cs="Times New Roman"/>
              </w:rPr>
            </w:pPr>
            <w:r>
              <w:rPr>
                <w:rFonts w:ascii="Times New Roman" w:hAnsi="Times New Roman" w:cs="Times New Roman"/>
              </w:rPr>
              <w:t>TS EN 13211 (Hg için)</w:t>
            </w:r>
          </w:p>
          <w:p w14:paraId="4B77A71B" w14:textId="77777777" w:rsidR="003B155E" w:rsidRDefault="003B155E" w:rsidP="000D79D6">
            <w:pPr>
              <w:jc w:val="center"/>
              <w:rPr>
                <w:rFonts w:ascii="Times New Roman" w:hAnsi="Times New Roman" w:cs="Times New Roman"/>
              </w:rPr>
            </w:pPr>
            <w:r>
              <w:rPr>
                <w:rFonts w:ascii="Times New Roman" w:hAnsi="Times New Roman" w:cs="Times New Roman"/>
              </w:rPr>
              <w:lastRenderedPageBreak/>
              <w:t>TS EN 14385 (diğer metaller için)</w:t>
            </w:r>
          </w:p>
        </w:tc>
        <w:tc>
          <w:tcPr>
            <w:tcW w:w="2268" w:type="dxa"/>
            <w:vMerge/>
          </w:tcPr>
          <w:p w14:paraId="48529A63" w14:textId="77777777" w:rsidR="003B155E" w:rsidRDefault="003B155E" w:rsidP="000D79D6">
            <w:pPr>
              <w:jc w:val="center"/>
              <w:rPr>
                <w:rFonts w:ascii="Times New Roman" w:hAnsi="Times New Roman" w:cs="Times New Roman"/>
              </w:rPr>
            </w:pPr>
          </w:p>
        </w:tc>
        <w:tc>
          <w:tcPr>
            <w:tcW w:w="1837" w:type="dxa"/>
          </w:tcPr>
          <w:p w14:paraId="23F9B12B"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38957EEB" w14:textId="77777777" w:rsidTr="0082590D">
        <w:tc>
          <w:tcPr>
            <w:tcW w:w="1696" w:type="dxa"/>
          </w:tcPr>
          <w:p w14:paraId="6E5E7933" w14:textId="77777777" w:rsidR="003B155E" w:rsidRDefault="003B155E" w:rsidP="000D79D6">
            <w:pPr>
              <w:jc w:val="both"/>
              <w:rPr>
                <w:rFonts w:ascii="Times New Roman" w:hAnsi="Times New Roman" w:cs="Times New Roman"/>
              </w:rPr>
            </w:pPr>
            <w:r>
              <w:rPr>
                <w:rFonts w:ascii="Times New Roman" w:hAnsi="Times New Roman" w:cs="Times New Roman"/>
              </w:rPr>
              <w:t>PCDD/F (</w:t>
            </w:r>
            <w:r w:rsidRPr="00433EA9">
              <w:rPr>
                <w:rFonts w:ascii="Times New Roman" w:hAnsi="Times New Roman" w:cs="Times New Roman"/>
                <w:vertAlign w:val="superscript"/>
              </w:rPr>
              <w:t>4</w:t>
            </w:r>
            <w:r>
              <w:rPr>
                <w:rFonts w:ascii="Times New Roman" w:hAnsi="Times New Roman" w:cs="Times New Roman"/>
              </w:rPr>
              <w:t>)</w:t>
            </w:r>
          </w:p>
        </w:tc>
        <w:tc>
          <w:tcPr>
            <w:tcW w:w="3261" w:type="dxa"/>
          </w:tcPr>
          <w:p w14:paraId="395C8E31" w14:textId="77777777" w:rsidR="003B155E" w:rsidRDefault="003B155E" w:rsidP="000D79D6">
            <w:pPr>
              <w:jc w:val="center"/>
              <w:rPr>
                <w:rFonts w:ascii="Times New Roman" w:hAnsi="Times New Roman" w:cs="Times New Roman"/>
              </w:rPr>
            </w:pPr>
            <w:r>
              <w:rPr>
                <w:rFonts w:ascii="Times New Roman" w:hAnsi="Times New Roman" w:cs="Times New Roman"/>
              </w:rPr>
              <w:t>TS EN 1948-1, -2 ve -3</w:t>
            </w:r>
          </w:p>
        </w:tc>
        <w:tc>
          <w:tcPr>
            <w:tcW w:w="2268" w:type="dxa"/>
            <w:vMerge/>
          </w:tcPr>
          <w:p w14:paraId="2EC7C099" w14:textId="77777777" w:rsidR="003B155E" w:rsidRDefault="003B155E" w:rsidP="000D79D6">
            <w:pPr>
              <w:jc w:val="center"/>
              <w:rPr>
                <w:rFonts w:ascii="Times New Roman" w:hAnsi="Times New Roman" w:cs="Times New Roman"/>
              </w:rPr>
            </w:pPr>
          </w:p>
        </w:tc>
        <w:tc>
          <w:tcPr>
            <w:tcW w:w="1837" w:type="dxa"/>
          </w:tcPr>
          <w:p w14:paraId="40347C68"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5D2DAB16" w14:textId="77777777" w:rsidTr="0082590D">
        <w:tc>
          <w:tcPr>
            <w:tcW w:w="1696" w:type="dxa"/>
          </w:tcPr>
          <w:p w14:paraId="5A32CEBE" w14:textId="77777777" w:rsidR="003B155E" w:rsidRPr="006A589E" w:rsidRDefault="003B155E" w:rsidP="000D79D6">
            <w:pPr>
              <w:jc w:val="both"/>
              <w:rPr>
                <w:rFonts w:ascii="Times New Roman" w:hAnsi="Times New Roman" w:cs="Times New Roman"/>
              </w:rPr>
            </w:pPr>
            <w:r>
              <w:rPr>
                <w:rFonts w:ascii="Times New Roman" w:hAnsi="Times New Roman" w:cs="Times New Roman"/>
              </w:rPr>
              <w:t>NH</w:t>
            </w:r>
            <w:r>
              <w:rPr>
                <w:rFonts w:ascii="Times New Roman" w:hAnsi="Times New Roman" w:cs="Times New Roman"/>
                <w:vertAlign w:val="subscript"/>
              </w:rPr>
              <w:t>3</w:t>
            </w:r>
            <w:r>
              <w:rPr>
                <w:rFonts w:ascii="Times New Roman" w:hAnsi="Times New Roman" w:cs="Times New Roman"/>
              </w:rPr>
              <w:t xml:space="preserve"> (</w:t>
            </w:r>
            <w:r w:rsidRPr="006A589E">
              <w:rPr>
                <w:rFonts w:ascii="Times New Roman" w:hAnsi="Times New Roman" w:cs="Times New Roman"/>
                <w:vertAlign w:val="superscript"/>
              </w:rPr>
              <w:t>5</w:t>
            </w:r>
            <w:r>
              <w:rPr>
                <w:rFonts w:ascii="Times New Roman" w:hAnsi="Times New Roman" w:cs="Times New Roman"/>
              </w:rPr>
              <w:t>)</w:t>
            </w:r>
          </w:p>
        </w:tc>
        <w:tc>
          <w:tcPr>
            <w:tcW w:w="3261" w:type="dxa"/>
          </w:tcPr>
          <w:p w14:paraId="6A3232E7" w14:textId="77777777" w:rsidR="003B155E" w:rsidRDefault="003B155E" w:rsidP="000D79D6">
            <w:pPr>
              <w:jc w:val="center"/>
              <w:rPr>
                <w:rFonts w:ascii="Times New Roman" w:hAnsi="Times New Roman" w:cs="Times New Roman"/>
              </w:rPr>
            </w:pPr>
            <w:r>
              <w:rPr>
                <w:rFonts w:ascii="Times New Roman" w:hAnsi="Times New Roman" w:cs="Times New Roman"/>
              </w:rPr>
              <w:t>standart mevcut değil</w:t>
            </w:r>
          </w:p>
        </w:tc>
        <w:tc>
          <w:tcPr>
            <w:tcW w:w="2268" w:type="dxa"/>
            <w:vMerge/>
          </w:tcPr>
          <w:p w14:paraId="22D7A6A1" w14:textId="77777777" w:rsidR="003B155E" w:rsidRDefault="003B155E" w:rsidP="000D79D6">
            <w:pPr>
              <w:jc w:val="center"/>
              <w:rPr>
                <w:rFonts w:ascii="Times New Roman" w:hAnsi="Times New Roman" w:cs="Times New Roman"/>
              </w:rPr>
            </w:pPr>
          </w:p>
        </w:tc>
        <w:tc>
          <w:tcPr>
            <w:tcW w:w="1837" w:type="dxa"/>
          </w:tcPr>
          <w:p w14:paraId="462038BE"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rsidRPr="009037E3" w14:paraId="4B186B4E" w14:textId="77777777" w:rsidTr="0082590D">
        <w:tc>
          <w:tcPr>
            <w:tcW w:w="9062" w:type="dxa"/>
            <w:gridSpan w:val="4"/>
          </w:tcPr>
          <w:p w14:paraId="3C095192"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TS EN ISO 25140 veya TS EN ISO 25139 standardına göre izlenen metan, yakıt olarak doğal gaz, LPG vb. kullanıldığı durumlarda sonuçtan çıkarılır.</w:t>
            </w:r>
          </w:p>
          <w:p w14:paraId="4C8B1B11"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Yakıt olarak çoğunlukla ahşaptan türetilen yakıtlar, doğal gaz, LPG vb. kullanıldığında uygulanamaz.</w:t>
            </w:r>
          </w:p>
          <w:p w14:paraId="0F9A2A87"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As, Cd, Co, Cr, Cu, Hg, Mn, Ni, Pb, Sb, Tl ve V’yi içerir.</w:t>
            </w:r>
          </w:p>
          <w:p w14:paraId="285E3E3B"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4</w:t>
            </w:r>
            <w:r w:rsidRPr="0082590D">
              <w:rPr>
                <w:rFonts w:ascii="Times New Roman" w:hAnsi="Times New Roman" w:cs="Times New Roman"/>
                <w:sz w:val="20"/>
                <w:szCs w:val="20"/>
              </w:rPr>
              <w:t>) Yakıt olarak kontamine geri kazanılmış ahşap kullanılıyorsa uygulanabilir.</w:t>
            </w:r>
          </w:p>
          <w:p w14:paraId="42863852"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5</w:t>
            </w:r>
            <w:r w:rsidRPr="0082590D">
              <w:rPr>
                <w:rFonts w:ascii="Times New Roman" w:hAnsi="Times New Roman" w:cs="Times New Roman"/>
                <w:sz w:val="20"/>
                <w:szCs w:val="20"/>
              </w:rPr>
              <w:t>) SNCR kullanılıyorsa uygulanabilir.</w:t>
            </w:r>
          </w:p>
          <w:p w14:paraId="322B884B"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6</w:t>
            </w:r>
            <w:r w:rsidRPr="0082590D">
              <w:rPr>
                <w:rFonts w:ascii="Times New Roman" w:hAnsi="Times New Roman" w:cs="Times New Roman"/>
                <w:sz w:val="20"/>
                <w:szCs w:val="20"/>
              </w:rPr>
              <w:t>) TS EN standartlarının mevcut olmadığı durumlarda tercih edilen yaklaşımda; örneğin US EPA M316 yöntemi temel alınarak karışık bir çözeltideki izokinetik örneklemenin ısıtılmış bir test çubuğu ve filtre kutusu ile test çubuğu yıkanmadan yapılır.</w:t>
            </w:r>
          </w:p>
        </w:tc>
      </w:tr>
      <w:tr w:rsidR="003B155E" w:rsidRPr="009037E3" w14:paraId="68B06003" w14:textId="77777777" w:rsidTr="0082590D">
        <w:tc>
          <w:tcPr>
            <w:tcW w:w="9062" w:type="dxa"/>
            <w:gridSpan w:val="4"/>
          </w:tcPr>
          <w:p w14:paraId="02D962CF" w14:textId="77777777" w:rsidR="003B155E" w:rsidRPr="00371349" w:rsidRDefault="003B155E" w:rsidP="000D79D6">
            <w:pPr>
              <w:jc w:val="center"/>
              <w:rPr>
                <w:rFonts w:ascii="Times New Roman" w:hAnsi="Times New Roman" w:cs="Times New Roman"/>
                <w:b/>
                <w:bCs/>
              </w:rPr>
            </w:pPr>
            <w:r>
              <w:rPr>
                <w:rFonts w:ascii="Times New Roman" w:hAnsi="Times New Roman" w:cs="Times New Roman"/>
                <w:b/>
                <w:bCs/>
              </w:rPr>
              <w:t>Presten kaynaklanan havaya emisyonlara yönelik izleme</w:t>
            </w:r>
          </w:p>
        </w:tc>
      </w:tr>
      <w:tr w:rsidR="003B155E" w:rsidRPr="009037E3" w14:paraId="2F871EA2" w14:textId="77777777" w:rsidTr="0082590D">
        <w:tc>
          <w:tcPr>
            <w:tcW w:w="1696" w:type="dxa"/>
          </w:tcPr>
          <w:p w14:paraId="51603180" w14:textId="77777777" w:rsidR="003B155E" w:rsidRPr="00371349" w:rsidRDefault="003B155E" w:rsidP="000D79D6">
            <w:pPr>
              <w:jc w:val="both"/>
              <w:rPr>
                <w:rFonts w:ascii="Times New Roman" w:hAnsi="Times New Roman" w:cs="Times New Roman"/>
              </w:rPr>
            </w:pPr>
            <w:r>
              <w:rPr>
                <w:rFonts w:ascii="Times New Roman" w:hAnsi="Times New Roman" w:cs="Times New Roman"/>
              </w:rPr>
              <w:t>Toz</w:t>
            </w:r>
          </w:p>
        </w:tc>
        <w:tc>
          <w:tcPr>
            <w:tcW w:w="3261" w:type="dxa"/>
          </w:tcPr>
          <w:p w14:paraId="7257E73E"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TS EN 13284-1:2018</w:t>
            </w:r>
          </w:p>
        </w:tc>
        <w:tc>
          <w:tcPr>
            <w:tcW w:w="2268" w:type="dxa"/>
            <w:vMerge w:val="restart"/>
          </w:tcPr>
          <w:p w14:paraId="314F3D5F"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her altı ayda en az bir kere periyodik ölçüm</w:t>
            </w:r>
          </w:p>
        </w:tc>
        <w:tc>
          <w:tcPr>
            <w:tcW w:w="1837" w:type="dxa"/>
          </w:tcPr>
          <w:p w14:paraId="47F22520"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MET 19</w:t>
            </w:r>
          </w:p>
        </w:tc>
      </w:tr>
      <w:tr w:rsidR="003B155E" w:rsidRPr="009037E3" w14:paraId="3DE755A1" w14:textId="77777777" w:rsidTr="0082590D">
        <w:tc>
          <w:tcPr>
            <w:tcW w:w="1696" w:type="dxa"/>
          </w:tcPr>
          <w:p w14:paraId="6DAEF6CE" w14:textId="77777777" w:rsidR="003B155E" w:rsidRPr="00371349" w:rsidRDefault="003B155E" w:rsidP="000D79D6">
            <w:pPr>
              <w:jc w:val="both"/>
              <w:rPr>
                <w:rFonts w:ascii="Times New Roman" w:hAnsi="Times New Roman" w:cs="Times New Roman"/>
              </w:rPr>
            </w:pPr>
            <w:r>
              <w:rPr>
                <w:rFonts w:ascii="Times New Roman" w:hAnsi="Times New Roman" w:cs="Times New Roman"/>
              </w:rPr>
              <w:t>T</w:t>
            </w:r>
            <w:r w:rsidR="009D570E">
              <w:rPr>
                <w:rFonts w:ascii="Times New Roman" w:hAnsi="Times New Roman" w:cs="Times New Roman"/>
              </w:rPr>
              <w:t>UOB</w:t>
            </w:r>
          </w:p>
        </w:tc>
        <w:tc>
          <w:tcPr>
            <w:tcW w:w="3261" w:type="dxa"/>
          </w:tcPr>
          <w:p w14:paraId="6C3F2163"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TS EN 12619:2013</w:t>
            </w:r>
          </w:p>
        </w:tc>
        <w:tc>
          <w:tcPr>
            <w:tcW w:w="2268" w:type="dxa"/>
            <w:vMerge/>
          </w:tcPr>
          <w:p w14:paraId="4CF0CA2D" w14:textId="77777777" w:rsidR="003B155E" w:rsidRPr="00371349" w:rsidRDefault="003B155E" w:rsidP="000D79D6">
            <w:pPr>
              <w:jc w:val="center"/>
              <w:rPr>
                <w:rFonts w:ascii="Times New Roman" w:hAnsi="Times New Roman" w:cs="Times New Roman"/>
              </w:rPr>
            </w:pPr>
          </w:p>
        </w:tc>
        <w:tc>
          <w:tcPr>
            <w:tcW w:w="1837" w:type="dxa"/>
          </w:tcPr>
          <w:p w14:paraId="4C88F9E3"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MET 19</w:t>
            </w:r>
          </w:p>
        </w:tc>
      </w:tr>
      <w:tr w:rsidR="003B155E" w:rsidRPr="009037E3" w14:paraId="3F177677" w14:textId="77777777" w:rsidTr="0082590D">
        <w:tc>
          <w:tcPr>
            <w:tcW w:w="1696" w:type="dxa"/>
          </w:tcPr>
          <w:p w14:paraId="6ECCC4FF" w14:textId="77777777" w:rsidR="003B155E" w:rsidRPr="00371349" w:rsidRDefault="003B155E" w:rsidP="000D79D6">
            <w:pPr>
              <w:jc w:val="both"/>
              <w:rPr>
                <w:rFonts w:ascii="Times New Roman" w:hAnsi="Times New Roman" w:cs="Times New Roman"/>
              </w:rPr>
            </w:pPr>
            <w:r>
              <w:rPr>
                <w:rFonts w:ascii="Times New Roman" w:hAnsi="Times New Roman" w:cs="Times New Roman"/>
              </w:rPr>
              <w:t>Formaldehit</w:t>
            </w:r>
          </w:p>
        </w:tc>
        <w:tc>
          <w:tcPr>
            <w:tcW w:w="3261" w:type="dxa"/>
          </w:tcPr>
          <w:p w14:paraId="40AE5DBA"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standart mevcut değil (</w:t>
            </w:r>
            <w:r>
              <w:rPr>
                <w:rFonts w:ascii="Times New Roman" w:hAnsi="Times New Roman" w:cs="Times New Roman"/>
                <w:vertAlign w:val="superscript"/>
              </w:rPr>
              <w:t>2</w:t>
            </w:r>
            <w:r>
              <w:rPr>
                <w:rFonts w:ascii="Times New Roman" w:hAnsi="Times New Roman" w:cs="Times New Roman"/>
              </w:rPr>
              <w:t>)</w:t>
            </w:r>
          </w:p>
        </w:tc>
        <w:tc>
          <w:tcPr>
            <w:tcW w:w="2268" w:type="dxa"/>
            <w:vMerge/>
          </w:tcPr>
          <w:p w14:paraId="7C4E8268" w14:textId="77777777" w:rsidR="003B155E" w:rsidRPr="00371349" w:rsidRDefault="003B155E" w:rsidP="000D79D6">
            <w:pPr>
              <w:jc w:val="center"/>
              <w:rPr>
                <w:rFonts w:ascii="Times New Roman" w:hAnsi="Times New Roman" w:cs="Times New Roman"/>
              </w:rPr>
            </w:pPr>
          </w:p>
        </w:tc>
        <w:tc>
          <w:tcPr>
            <w:tcW w:w="1837" w:type="dxa"/>
          </w:tcPr>
          <w:p w14:paraId="6AEDC7D0"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MET 19</w:t>
            </w:r>
          </w:p>
        </w:tc>
      </w:tr>
      <w:tr w:rsidR="003B155E" w:rsidRPr="009037E3" w14:paraId="6914B912" w14:textId="77777777" w:rsidTr="0082590D">
        <w:tc>
          <w:tcPr>
            <w:tcW w:w="9062" w:type="dxa"/>
            <w:gridSpan w:val="4"/>
          </w:tcPr>
          <w:p w14:paraId="02288F79" w14:textId="77777777" w:rsidR="003B155E" w:rsidRPr="00371349" w:rsidRDefault="003B155E" w:rsidP="000D79D6">
            <w:pPr>
              <w:jc w:val="center"/>
              <w:rPr>
                <w:rFonts w:ascii="Times New Roman" w:hAnsi="Times New Roman" w:cs="Times New Roman"/>
                <w:b/>
                <w:bCs/>
              </w:rPr>
            </w:pPr>
            <w:r>
              <w:rPr>
                <w:rFonts w:ascii="Times New Roman" w:hAnsi="Times New Roman" w:cs="Times New Roman"/>
                <w:b/>
                <w:bCs/>
              </w:rPr>
              <w:t>Kağıt emdirme kurutma fırınlarından kaynaklanan havaya emisyonlara yönelik izleme</w:t>
            </w:r>
          </w:p>
        </w:tc>
      </w:tr>
      <w:tr w:rsidR="003B155E" w:rsidRPr="009037E3" w14:paraId="4DDDA232" w14:textId="77777777" w:rsidTr="0082590D">
        <w:tc>
          <w:tcPr>
            <w:tcW w:w="1696" w:type="dxa"/>
          </w:tcPr>
          <w:p w14:paraId="5B0CD682" w14:textId="77777777" w:rsidR="003B155E" w:rsidRPr="00371349" w:rsidRDefault="003B155E" w:rsidP="000D79D6">
            <w:pPr>
              <w:jc w:val="both"/>
              <w:rPr>
                <w:rFonts w:ascii="Times New Roman" w:hAnsi="Times New Roman" w:cs="Times New Roman"/>
              </w:rPr>
            </w:pPr>
            <w:r>
              <w:rPr>
                <w:rFonts w:ascii="Times New Roman" w:hAnsi="Times New Roman" w:cs="Times New Roman"/>
              </w:rPr>
              <w:t>T</w:t>
            </w:r>
            <w:r w:rsidR="009D570E">
              <w:rPr>
                <w:rFonts w:ascii="Times New Roman" w:hAnsi="Times New Roman" w:cs="Times New Roman"/>
              </w:rPr>
              <w:t>UOB</w:t>
            </w:r>
            <w:r>
              <w:rPr>
                <w:rFonts w:ascii="Times New Roman" w:hAnsi="Times New Roman" w:cs="Times New Roman"/>
              </w:rPr>
              <w:t xml:space="preserve"> (</w:t>
            </w:r>
            <w:r w:rsidRPr="00371349">
              <w:rPr>
                <w:rFonts w:ascii="Times New Roman" w:hAnsi="Times New Roman" w:cs="Times New Roman"/>
                <w:vertAlign w:val="superscript"/>
              </w:rPr>
              <w:t>1</w:t>
            </w:r>
            <w:r>
              <w:rPr>
                <w:rFonts w:ascii="Times New Roman" w:hAnsi="Times New Roman" w:cs="Times New Roman"/>
              </w:rPr>
              <w:t>)</w:t>
            </w:r>
          </w:p>
        </w:tc>
        <w:tc>
          <w:tcPr>
            <w:tcW w:w="3261" w:type="dxa"/>
          </w:tcPr>
          <w:p w14:paraId="168E2A72"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TS EN 12619: 2013</w:t>
            </w:r>
          </w:p>
        </w:tc>
        <w:tc>
          <w:tcPr>
            <w:tcW w:w="2268" w:type="dxa"/>
            <w:vMerge w:val="restart"/>
          </w:tcPr>
          <w:p w14:paraId="66FF1C7F"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yılda en az bir kere periyodik ölçüm</w:t>
            </w:r>
          </w:p>
        </w:tc>
        <w:tc>
          <w:tcPr>
            <w:tcW w:w="1837" w:type="dxa"/>
          </w:tcPr>
          <w:p w14:paraId="63F5201B"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MET 21</w:t>
            </w:r>
          </w:p>
        </w:tc>
      </w:tr>
      <w:tr w:rsidR="003B155E" w:rsidRPr="009037E3" w14:paraId="5E9C2B09" w14:textId="77777777" w:rsidTr="0082590D">
        <w:tc>
          <w:tcPr>
            <w:tcW w:w="1696" w:type="dxa"/>
          </w:tcPr>
          <w:p w14:paraId="4AA431B4" w14:textId="77777777" w:rsidR="003B155E" w:rsidRPr="00371349" w:rsidRDefault="003B155E" w:rsidP="000D79D6">
            <w:pPr>
              <w:jc w:val="both"/>
              <w:rPr>
                <w:rFonts w:ascii="Times New Roman" w:hAnsi="Times New Roman" w:cs="Times New Roman"/>
              </w:rPr>
            </w:pPr>
            <w:r>
              <w:rPr>
                <w:rFonts w:ascii="Times New Roman" w:hAnsi="Times New Roman" w:cs="Times New Roman"/>
              </w:rPr>
              <w:t>Formaldehit</w:t>
            </w:r>
          </w:p>
        </w:tc>
        <w:tc>
          <w:tcPr>
            <w:tcW w:w="3261" w:type="dxa"/>
          </w:tcPr>
          <w:p w14:paraId="1813A28E"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standart mevcut değil (</w:t>
            </w:r>
            <w:r>
              <w:rPr>
                <w:rFonts w:ascii="Times New Roman" w:hAnsi="Times New Roman" w:cs="Times New Roman"/>
                <w:vertAlign w:val="superscript"/>
              </w:rPr>
              <w:t>2</w:t>
            </w:r>
            <w:r>
              <w:rPr>
                <w:rFonts w:ascii="Times New Roman" w:hAnsi="Times New Roman" w:cs="Times New Roman"/>
              </w:rPr>
              <w:t>)</w:t>
            </w:r>
          </w:p>
        </w:tc>
        <w:tc>
          <w:tcPr>
            <w:tcW w:w="2268" w:type="dxa"/>
            <w:vMerge/>
          </w:tcPr>
          <w:p w14:paraId="444FE519" w14:textId="77777777" w:rsidR="003B155E" w:rsidRPr="00371349" w:rsidRDefault="003B155E" w:rsidP="000D79D6">
            <w:pPr>
              <w:jc w:val="center"/>
              <w:rPr>
                <w:rFonts w:ascii="Times New Roman" w:hAnsi="Times New Roman" w:cs="Times New Roman"/>
              </w:rPr>
            </w:pPr>
          </w:p>
        </w:tc>
        <w:tc>
          <w:tcPr>
            <w:tcW w:w="1837" w:type="dxa"/>
          </w:tcPr>
          <w:p w14:paraId="4814BCCF" w14:textId="77777777" w:rsidR="003B155E" w:rsidRPr="00371349" w:rsidRDefault="003B155E" w:rsidP="000D79D6">
            <w:pPr>
              <w:jc w:val="center"/>
              <w:rPr>
                <w:rFonts w:ascii="Times New Roman" w:hAnsi="Times New Roman" w:cs="Times New Roman"/>
              </w:rPr>
            </w:pPr>
            <w:r>
              <w:rPr>
                <w:rFonts w:ascii="Times New Roman" w:hAnsi="Times New Roman" w:cs="Times New Roman"/>
              </w:rPr>
              <w:t>MET 21</w:t>
            </w:r>
          </w:p>
        </w:tc>
      </w:tr>
      <w:tr w:rsidR="003B155E" w:rsidRPr="00816843" w14:paraId="2217E2CC" w14:textId="77777777" w:rsidTr="0082590D">
        <w:tc>
          <w:tcPr>
            <w:tcW w:w="9062" w:type="dxa"/>
            <w:gridSpan w:val="4"/>
          </w:tcPr>
          <w:p w14:paraId="282BF04E"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TS EN ISO 25140 veya TS EN ISO 25139 standardına göre izlenen metan, yakıt olarak doğal gaz, LPG vb. kullanıldığı durumlarda sonuçtan çıkarılır.</w:t>
            </w:r>
          </w:p>
          <w:p w14:paraId="38AEB9BA" w14:textId="77777777" w:rsidR="003B155E" w:rsidRPr="00816843" w:rsidRDefault="003B155E" w:rsidP="000D79D6">
            <w:pPr>
              <w:jc w:val="both"/>
              <w:rPr>
                <w:rFonts w:ascii="Times New Roman" w:hAnsi="Times New Roman" w:cs="Times New Roman"/>
                <w:i/>
                <w:iCs/>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TS EN standartlarının mevcut olmadığı durumlarda tercih edilen yaklaşımda; örneğin US EPA M316 yöntemi temel alınarak karışık bir çözeltideki izokinetik örneklemenin ısıtılmış bir test çubuğu ve filtre kutusu ile test çubuğu yıkanmadan yapılır.</w:t>
            </w:r>
          </w:p>
        </w:tc>
      </w:tr>
    </w:tbl>
    <w:p w14:paraId="096477DE" w14:textId="77777777" w:rsidR="003B155E" w:rsidRDefault="003B155E" w:rsidP="003B155E">
      <w:pPr>
        <w:spacing w:after="120" w:line="276" w:lineRule="auto"/>
        <w:jc w:val="both"/>
        <w:rPr>
          <w:rFonts w:ascii="Times New Roman" w:hAnsi="Times New Roman" w:cs="Times New Roman"/>
          <w:sz w:val="24"/>
          <w:szCs w:val="24"/>
        </w:rPr>
      </w:pPr>
    </w:p>
    <w:p w14:paraId="6E572543" w14:textId="77777777" w:rsidR="003B155E" w:rsidRPr="00DD7A45"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Üst akım ve alt akım işlemeden kaynaklanan havaya baca gazı emisyonlarına yönelik izleme</w:t>
      </w:r>
    </w:p>
    <w:tbl>
      <w:tblPr>
        <w:tblStyle w:val="TabloKlavuzu"/>
        <w:tblW w:w="0" w:type="auto"/>
        <w:tblLook w:val="04A0" w:firstRow="1" w:lastRow="0" w:firstColumn="1" w:lastColumn="0" w:noHBand="0" w:noVBand="1"/>
      </w:tblPr>
      <w:tblGrid>
        <w:gridCol w:w="1696"/>
        <w:gridCol w:w="3261"/>
        <w:gridCol w:w="2268"/>
        <w:gridCol w:w="1837"/>
      </w:tblGrid>
      <w:tr w:rsidR="003B155E" w14:paraId="1EC7C025" w14:textId="77777777" w:rsidTr="0082590D">
        <w:tc>
          <w:tcPr>
            <w:tcW w:w="1696" w:type="dxa"/>
          </w:tcPr>
          <w:p w14:paraId="203D5C39"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261" w:type="dxa"/>
          </w:tcPr>
          <w:p w14:paraId="6D07CB4C"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Standart(lar)</w:t>
            </w:r>
          </w:p>
        </w:tc>
        <w:tc>
          <w:tcPr>
            <w:tcW w:w="2268" w:type="dxa"/>
          </w:tcPr>
          <w:p w14:paraId="5F0F2595"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Minimum İzleme Sıklığı</w:t>
            </w:r>
          </w:p>
        </w:tc>
        <w:tc>
          <w:tcPr>
            <w:tcW w:w="1837" w:type="dxa"/>
          </w:tcPr>
          <w:p w14:paraId="6321B273" w14:textId="77777777" w:rsidR="003B155E" w:rsidRDefault="003B155E" w:rsidP="000D79D6">
            <w:pPr>
              <w:jc w:val="center"/>
              <w:rPr>
                <w:rFonts w:ascii="Times New Roman" w:hAnsi="Times New Roman" w:cs="Times New Roman"/>
                <w:b/>
                <w:bCs/>
              </w:rPr>
            </w:pPr>
            <w:r>
              <w:rPr>
                <w:rFonts w:ascii="Times New Roman" w:hAnsi="Times New Roman" w:cs="Times New Roman"/>
                <w:b/>
                <w:bCs/>
              </w:rPr>
              <w:t>İlişkili MET</w:t>
            </w:r>
          </w:p>
        </w:tc>
      </w:tr>
      <w:tr w:rsidR="003B155E" w14:paraId="633036C5" w14:textId="77777777" w:rsidTr="0082590D">
        <w:tc>
          <w:tcPr>
            <w:tcW w:w="1696" w:type="dxa"/>
          </w:tcPr>
          <w:p w14:paraId="7023012A" w14:textId="77777777" w:rsidR="003B155E" w:rsidRDefault="003B155E" w:rsidP="000D79D6">
            <w:pPr>
              <w:jc w:val="both"/>
              <w:rPr>
                <w:rFonts w:ascii="Times New Roman" w:hAnsi="Times New Roman" w:cs="Times New Roman"/>
              </w:rPr>
            </w:pPr>
            <w:r>
              <w:rPr>
                <w:rFonts w:ascii="Times New Roman" w:hAnsi="Times New Roman" w:cs="Times New Roman"/>
              </w:rPr>
              <w:t>Toz</w:t>
            </w:r>
          </w:p>
        </w:tc>
        <w:tc>
          <w:tcPr>
            <w:tcW w:w="3261" w:type="dxa"/>
          </w:tcPr>
          <w:p w14:paraId="09F08B2B" w14:textId="77777777" w:rsidR="003B155E" w:rsidRDefault="003B155E" w:rsidP="000D79D6">
            <w:pPr>
              <w:jc w:val="center"/>
              <w:rPr>
                <w:rFonts w:ascii="Times New Roman" w:hAnsi="Times New Roman" w:cs="Times New Roman"/>
              </w:rPr>
            </w:pPr>
            <w:r>
              <w:rPr>
                <w:rFonts w:ascii="Times New Roman" w:hAnsi="Times New Roman" w:cs="Times New Roman"/>
              </w:rPr>
              <w:t>TS EN 13284-1:2018 (</w:t>
            </w:r>
            <w:r w:rsidRPr="004A087C">
              <w:rPr>
                <w:rFonts w:ascii="Times New Roman" w:hAnsi="Times New Roman" w:cs="Times New Roman"/>
                <w:vertAlign w:val="superscript"/>
              </w:rPr>
              <w:t>1</w:t>
            </w:r>
            <w:r>
              <w:rPr>
                <w:rFonts w:ascii="Times New Roman" w:hAnsi="Times New Roman" w:cs="Times New Roman"/>
              </w:rPr>
              <w:t>)</w:t>
            </w:r>
          </w:p>
        </w:tc>
        <w:tc>
          <w:tcPr>
            <w:tcW w:w="2268" w:type="dxa"/>
          </w:tcPr>
          <w:p w14:paraId="6C179B1A" w14:textId="77777777" w:rsidR="003B155E" w:rsidRDefault="003B155E" w:rsidP="000D79D6">
            <w:pPr>
              <w:jc w:val="center"/>
              <w:rPr>
                <w:rFonts w:ascii="Times New Roman" w:hAnsi="Times New Roman" w:cs="Times New Roman"/>
              </w:rPr>
            </w:pPr>
            <w:r>
              <w:rPr>
                <w:rFonts w:ascii="Times New Roman" w:hAnsi="Times New Roman" w:cs="Times New Roman"/>
              </w:rPr>
              <w:t>yılda en az bir kere periyodik ölçüm (</w:t>
            </w:r>
            <w:r w:rsidRPr="004A087C">
              <w:rPr>
                <w:rFonts w:ascii="Times New Roman" w:hAnsi="Times New Roman" w:cs="Times New Roman"/>
                <w:vertAlign w:val="superscript"/>
              </w:rPr>
              <w:t>1</w:t>
            </w:r>
            <w:r>
              <w:rPr>
                <w:rFonts w:ascii="Times New Roman" w:hAnsi="Times New Roman" w:cs="Times New Roman"/>
              </w:rPr>
              <w:t>)</w:t>
            </w:r>
          </w:p>
        </w:tc>
        <w:tc>
          <w:tcPr>
            <w:tcW w:w="1837" w:type="dxa"/>
          </w:tcPr>
          <w:p w14:paraId="60A63445" w14:textId="77777777" w:rsidR="003B155E" w:rsidRDefault="003B155E" w:rsidP="000D79D6">
            <w:pPr>
              <w:jc w:val="center"/>
              <w:rPr>
                <w:rFonts w:ascii="Times New Roman" w:hAnsi="Times New Roman" w:cs="Times New Roman"/>
              </w:rPr>
            </w:pPr>
            <w:r>
              <w:rPr>
                <w:rFonts w:ascii="Times New Roman" w:hAnsi="Times New Roman" w:cs="Times New Roman"/>
              </w:rPr>
              <w:t>MET 20</w:t>
            </w:r>
          </w:p>
        </w:tc>
      </w:tr>
      <w:tr w:rsidR="003B155E" w14:paraId="0B6F359D" w14:textId="77777777" w:rsidTr="0082590D">
        <w:tc>
          <w:tcPr>
            <w:tcW w:w="9062" w:type="dxa"/>
            <w:gridSpan w:val="4"/>
          </w:tcPr>
          <w:p w14:paraId="4BB21F7F"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Torba filtrelerden ve siklofiltrelerden örnekleme, gösterge niteliğindeki bir ikame parametre olarak filtre üzerindeki basınç düşüşünün sürekli izlenmesi ile yer değiştirebilir.</w:t>
            </w:r>
          </w:p>
        </w:tc>
      </w:tr>
    </w:tbl>
    <w:p w14:paraId="44687FC8" w14:textId="77777777" w:rsidR="003B155E" w:rsidRDefault="003B155E" w:rsidP="003B155E">
      <w:pPr>
        <w:spacing w:after="120" w:line="276" w:lineRule="auto"/>
        <w:jc w:val="both"/>
        <w:rPr>
          <w:rFonts w:ascii="Times New Roman" w:hAnsi="Times New Roman" w:cs="Times New Roman"/>
          <w:sz w:val="24"/>
          <w:szCs w:val="24"/>
        </w:rPr>
      </w:pPr>
    </w:p>
    <w:p w14:paraId="77FAFAE3" w14:textId="77777777" w:rsidR="003B155E" w:rsidRPr="0006480D"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Doğrudan ısıtılan kurutucular (</w:t>
      </w:r>
      <w:r w:rsidRPr="0006480D">
        <w:rPr>
          <w:rFonts w:ascii="Times New Roman" w:hAnsi="Times New Roman" w:cs="Times New Roman"/>
          <w:b/>
          <w:bCs/>
          <w:sz w:val="24"/>
          <w:szCs w:val="24"/>
          <w:vertAlign w:val="superscript"/>
        </w:rPr>
        <w:t>1</w:t>
      </w:r>
      <w:r>
        <w:rPr>
          <w:rFonts w:ascii="Times New Roman" w:hAnsi="Times New Roman" w:cs="Times New Roman"/>
          <w:b/>
          <w:bCs/>
          <w:sz w:val="24"/>
          <w:szCs w:val="24"/>
        </w:rPr>
        <w:t>) için sonradan kullanılan proses baca gazının yakılmasına yönelik izleme</w:t>
      </w:r>
    </w:p>
    <w:tbl>
      <w:tblPr>
        <w:tblStyle w:val="TabloKlavuzu"/>
        <w:tblW w:w="0" w:type="auto"/>
        <w:tblLook w:val="04A0" w:firstRow="1" w:lastRow="0" w:firstColumn="1" w:lastColumn="0" w:noHBand="0" w:noVBand="1"/>
      </w:tblPr>
      <w:tblGrid>
        <w:gridCol w:w="1696"/>
        <w:gridCol w:w="3261"/>
        <w:gridCol w:w="2268"/>
        <w:gridCol w:w="1837"/>
      </w:tblGrid>
      <w:tr w:rsidR="003B155E" w14:paraId="29F13B16" w14:textId="77777777" w:rsidTr="0082590D">
        <w:tc>
          <w:tcPr>
            <w:tcW w:w="1696" w:type="dxa"/>
          </w:tcPr>
          <w:p w14:paraId="7277D17F"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261" w:type="dxa"/>
          </w:tcPr>
          <w:p w14:paraId="79ACD8DD"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Standart(lar)</w:t>
            </w:r>
          </w:p>
        </w:tc>
        <w:tc>
          <w:tcPr>
            <w:tcW w:w="2268" w:type="dxa"/>
          </w:tcPr>
          <w:p w14:paraId="77088D7E"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Minimum İzleme Sıklığı</w:t>
            </w:r>
          </w:p>
        </w:tc>
        <w:tc>
          <w:tcPr>
            <w:tcW w:w="1837" w:type="dxa"/>
          </w:tcPr>
          <w:p w14:paraId="1E291AAE" w14:textId="77777777" w:rsidR="003B155E" w:rsidRDefault="003B155E" w:rsidP="000D79D6">
            <w:pPr>
              <w:jc w:val="center"/>
              <w:rPr>
                <w:rFonts w:ascii="Times New Roman" w:hAnsi="Times New Roman" w:cs="Times New Roman"/>
                <w:b/>
                <w:bCs/>
              </w:rPr>
            </w:pPr>
            <w:r>
              <w:rPr>
                <w:rFonts w:ascii="Times New Roman" w:hAnsi="Times New Roman" w:cs="Times New Roman"/>
                <w:b/>
                <w:bCs/>
              </w:rPr>
              <w:t>İlişkili MET</w:t>
            </w:r>
          </w:p>
        </w:tc>
      </w:tr>
      <w:tr w:rsidR="003B155E" w14:paraId="587B763F" w14:textId="77777777" w:rsidTr="0082590D">
        <w:tc>
          <w:tcPr>
            <w:tcW w:w="1696" w:type="dxa"/>
          </w:tcPr>
          <w:p w14:paraId="26748579" w14:textId="77777777" w:rsidR="003B155E" w:rsidRPr="0006480D" w:rsidRDefault="003B155E" w:rsidP="000D79D6">
            <w:pPr>
              <w:jc w:val="both"/>
              <w:rPr>
                <w:rFonts w:ascii="Times New Roman" w:hAnsi="Times New Roman" w:cs="Times New Roman"/>
              </w:rPr>
            </w:pPr>
            <w:r>
              <w:rPr>
                <w:rFonts w:ascii="Times New Roman" w:hAnsi="Times New Roman" w:cs="Times New Roman"/>
              </w:rPr>
              <w:t>NO</w:t>
            </w:r>
            <w:r>
              <w:rPr>
                <w:rFonts w:ascii="Times New Roman" w:hAnsi="Times New Roman" w:cs="Times New Roman"/>
                <w:vertAlign w:val="subscript"/>
              </w:rPr>
              <w:t>x</w:t>
            </w:r>
            <w:r>
              <w:rPr>
                <w:rFonts w:ascii="Times New Roman" w:hAnsi="Times New Roman" w:cs="Times New Roman"/>
              </w:rPr>
              <w:t xml:space="preserve"> </w:t>
            </w:r>
          </w:p>
        </w:tc>
        <w:tc>
          <w:tcPr>
            <w:tcW w:w="3261" w:type="dxa"/>
          </w:tcPr>
          <w:p w14:paraId="5F313B90" w14:textId="77777777" w:rsidR="003B155E" w:rsidRDefault="003B155E" w:rsidP="000D79D6">
            <w:pPr>
              <w:jc w:val="center"/>
              <w:rPr>
                <w:rFonts w:ascii="Times New Roman" w:hAnsi="Times New Roman" w:cs="Times New Roman"/>
              </w:rPr>
            </w:pPr>
            <w:r>
              <w:rPr>
                <w:rFonts w:ascii="Times New Roman" w:hAnsi="Times New Roman" w:cs="Times New Roman"/>
              </w:rPr>
              <w:t>Periyodik: TS EN 14792:2017</w:t>
            </w:r>
          </w:p>
          <w:p w14:paraId="7EC6DD86" w14:textId="77777777" w:rsidR="003B155E" w:rsidRDefault="003B155E" w:rsidP="000D79D6">
            <w:pPr>
              <w:jc w:val="center"/>
              <w:rPr>
                <w:rFonts w:ascii="Times New Roman" w:hAnsi="Times New Roman" w:cs="Times New Roman"/>
              </w:rPr>
            </w:pPr>
            <w:r>
              <w:rPr>
                <w:rFonts w:ascii="Times New Roman" w:hAnsi="Times New Roman" w:cs="Times New Roman"/>
              </w:rPr>
              <w:t>Sürekli: TS EN 15267-1, -2, -3 ve TS EN ISO 14181</w:t>
            </w:r>
          </w:p>
        </w:tc>
        <w:tc>
          <w:tcPr>
            <w:tcW w:w="2268" w:type="dxa"/>
            <w:vMerge w:val="restart"/>
          </w:tcPr>
          <w:p w14:paraId="2E2D5232" w14:textId="77777777" w:rsidR="003B155E" w:rsidRDefault="003B155E" w:rsidP="000D79D6">
            <w:pPr>
              <w:jc w:val="center"/>
              <w:rPr>
                <w:rFonts w:ascii="Times New Roman" w:hAnsi="Times New Roman" w:cs="Times New Roman"/>
              </w:rPr>
            </w:pPr>
            <w:r>
              <w:rPr>
                <w:rFonts w:ascii="Times New Roman" w:hAnsi="Times New Roman" w:cs="Times New Roman"/>
              </w:rPr>
              <w:t>yılda en az bir kere periyodik ölçüm veya sürekli ölçüm</w:t>
            </w:r>
          </w:p>
        </w:tc>
        <w:tc>
          <w:tcPr>
            <w:tcW w:w="1837" w:type="dxa"/>
          </w:tcPr>
          <w:p w14:paraId="1BB70D07" w14:textId="77777777" w:rsidR="003B155E" w:rsidRDefault="003B155E" w:rsidP="000D79D6">
            <w:pPr>
              <w:jc w:val="center"/>
              <w:rPr>
                <w:rFonts w:ascii="Times New Roman" w:hAnsi="Times New Roman" w:cs="Times New Roman"/>
              </w:rPr>
            </w:pPr>
            <w:r>
              <w:rPr>
                <w:rFonts w:ascii="Times New Roman" w:hAnsi="Times New Roman" w:cs="Times New Roman"/>
              </w:rPr>
              <w:t>MET 7</w:t>
            </w:r>
          </w:p>
        </w:tc>
      </w:tr>
      <w:tr w:rsidR="003B155E" w14:paraId="33CF2405" w14:textId="77777777" w:rsidTr="0082590D">
        <w:tc>
          <w:tcPr>
            <w:tcW w:w="1696" w:type="dxa"/>
          </w:tcPr>
          <w:p w14:paraId="13742B47" w14:textId="77777777" w:rsidR="003B155E" w:rsidRDefault="003B155E" w:rsidP="000D79D6">
            <w:pPr>
              <w:jc w:val="both"/>
              <w:rPr>
                <w:rFonts w:ascii="Times New Roman" w:hAnsi="Times New Roman" w:cs="Times New Roman"/>
              </w:rPr>
            </w:pPr>
            <w:r>
              <w:rPr>
                <w:rFonts w:ascii="Times New Roman" w:hAnsi="Times New Roman" w:cs="Times New Roman"/>
              </w:rPr>
              <w:t>CO</w:t>
            </w:r>
          </w:p>
        </w:tc>
        <w:tc>
          <w:tcPr>
            <w:tcW w:w="3261" w:type="dxa"/>
          </w:tcPr>
          <w:p w14:paraId="6AACF4D8" w14:textId="77777777" w:rsidR="003B155E" w:rsidRDefault="003B155E" w:rsidP="000D79D6">
            <w:pPr>
              <w:jc w:val="center"/>
              <w:rPr>
                <w:rFonts w:ascii="Times New Roman" w:hAnsi="Times New Roman" w:cs="Times New Roman"/>
              </w:rPr>
            </w:pPr>
            <w:r>
              <w:rPr>
                <w:rFonts w:ascii="Times New Roman" w:hAnsi="Times New Roman" w:cs="Times New Roman"/>
              </w:rPr>
              <w:t>Periyodik: TS EN 15058:2017</w:t>
            </w:r>
          </w:p>
          <w:p w14:paraId="0839E933" w14:textId="77777777" w:rsidR="003B155E" w:rsidRDefault="003B155E" w:rsidP="000D79D6">
            <w:pPr>
              <w:jc w:val="center"/>
              <w:rPr>
                <w:rFonts w:ascii="Times New Roman" w:hAnsi="Times New Roman" w:cs="Times New Roman"/>
              </w:rPr>
            </w:pPr>
            <w:r>
              <w:rPr>
                <w:rFonts w:ascii="Times New Roman" w:hAnsi="Times New Roman" w:cs="Times New Roman"/>
              </w:rPr>
              <w:t>Sürekli: TS EN 15267-1, -2, -3 ve TS EN ISO 14181</w:t>
            </w:r>
          </w:p>
        </w:tc>
        <w:tc>
          <w:tcPr>
            <w:tcW w:w="2268" w:type="dxa"/>
            <w:vMerge/>
          </w:tcPr>
          <w:p w14:paraId="30B3FE21" w14:textId="77777777" w:rsidR="003B155E" w:rsidRDefault="003B155E" w:rsidP="000D79D6">
            <w:pPr>
              <w:jc w:val="center"/>
              <w:rPr>
                <w:rFonts w:ascii="Times New Roman" w:hAnsi="Times New Roman" w:cs="Times New Roman"/>
              </w:rPr>
            </w:pPr>
          </w:p>
        </w:tc>
        <w:tc>
          <w:tcPr>
            <w:tcW w:w="1837" w:type="dxa"/>
          </w:tcPr>
          <w:p w14:paraId="0428FF19" w14:textId="77777777" w:rsidR="003B155E" w:rsidRDefault="003B155E" w:rsidP="000D79D6">
            <w:pPr>
              <w:jc w:val="center"/>
              <w:rPr>
                <w:rFonts w:ascii="Times New Roman" w:hAnsi="Times New Roman" w:cs="Times New Roman"/>
              </w:rPr>
            </w:pPr>
            <w:r>
              <w:rPr>
                <w:rFonts w:ascii="Times New Roman" w:hAnsi="Times New Roman" w:cs="Times New Roman"/>
              </w:rPr>
              <w:t>MET 7</w:t>
            </w:r>
          </w:p>
        </w:tc>
      </w:tr>
      <w:tr w:rsidR="003B155E" w14:paraId="6A1DE20C" w14:textId="77777777" w:rsidTr="0082590D">
        <w:tc>
          <w:tcPr>
            <w:tcW w:w="9062" w:type="dxa"/>
            <w:gridSpan w:val="4"/>
          </w:tcPr>
          <w:p w14:paraId="2CA5A7AA"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Ölçüm noktası, baca gazının diğer hava akımlarıyla karışmasından önce ve sadece teknik olarak uygulanabilir durumlardır.</w:t>
            </w:r>
          </w:p>
        </w:tc>
      </w:tr>
    </w:tbl>
    <w:p w14:paraId="1775D688" w14:textId="2A5A0A83" w:rsidR="003B155E" w:rsidRDefault="003B155E" w:rsidP="003B155E">
      <w:pPr>
        <w:spacing w:after="120" w:line="276" w:lineRule="auto"/>
        <w:jc w:val="both"/>
        <w:rPr>
          <w:rFonts w:ascii="Times New Roman" w:hAnsi="Times New Roman" w:cs="Times New Roman"/>
          <w:sz w:val="24"/>
          <w:szCs w:val="24"/>
        </w:rPr>
      </w:pPr>
    </w:p>
    <w:p w14:paraId="5B5200F4" w14:textId="73FB87C6" w:rsidR="001208DC" w:rsidRDefault="001208DC" w:rsidP="003B155E">
      <w:pPr>
        <w:spacing w:after="120" w:line="276" w:lineRule="auto"/>
        <w:jc w:val="both"/>
        <w:rPr>
          <w:rFonts w:ascii="Times New Roman" w:hAnsi="Times New Roman" w:cs="Times New Roman"/>
          <w:sz w:val="24"/>
          <w:szCs w:val="24"/>
        </w:rPr>
      </w:pPr>
    </w:p>
    <w:p w14:paraId="1394AFCB" w14:textId="4A28B1C6" w:rsidR="001208DC" w:rsidRDefault="001208DC" w:rsidP="003B155E">
      <w:pPr>
        <w:spacing w:after="120" w:line="276" w:lineRule="auto"/>
        <w:jc w:val="both"/>
        <w:rPr>
          <w:rFonts w:ascii="Times New Roman" w:hAnsi="Times New Roman" w:cs="Times New Roman"/>
          <w:sz w:val="24"/>
          <w:szCs w:val="24"/>
        </w:rPr>
      </w:pPr>
    </w:p>
    <w:p w14:paraId="1638C728" w14:textId="77777777" w:rsidR="001208DC" w:rsidRDefault="001208DC" w:rsidP="003B155E">
      <w:pPr>
        <w:spacing w:after="120" w:line="276" w:lineRule="auto"/>
        <w:jc w:val="both"/>
        <w:rPr>
          <w:rFonts w:ascii="Times New Roman" w:hAnsi="Times New Roman" w:cs="Times New Roman"/>
          <w:sz w:val="24"/>
          <w:szCs w:val="24"/>
        </w:rPr>
      </w:pPr>
    </w:p>
    <w:p w14:paraId="1EB3CFAA" w14:textId="77777777" w:rsidR="003B155E" w:rsidRPr="004D1B36"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Ahşap lifi üretiminden kaynaklanan suya emisyonlara yönelik izleme</w:t>
      </w:r>
    </w:p>
    <w:tbl>
      <w:tblPr>
        <w:tblStyle w:val="TabloKlavuzu"/>
        <w:tblW w:w="0" w:type="auto"/>
        <w:tblLook w:val="04A0" w:firstRow="1" w:lastRow="0" w:firstColumn="1" w:lastColumn="0" w:noHBand="0" w:noVBand="1"/>
      </w:tblPr>
      <w:tblGrid>
        <w:gridCol w:w="1696"/>
        <w:gridCol w:w="3261"/>
        <w:gridCol w:w="2268"/>
        <w:gridCol w:w="1837"/>
      </w:tblGrid>
      <w:tr w:rsidR="003B155E" w14:paraId="43B29EE8" w14:textId="77777777" w:rsidTr="0082590D">
        <w:tc>
          <w:tcPr>
            <w:tcW w:w="1696" w:type="dxa"/>
          </w:tcPr>
          <w:p w14:paraId="73325F55"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261" w:type="dxa"/>
          </w:tcPr>
          <w:p w14:paraId="6E803105"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Standart(lar)</w:t>
            </w:r>
          </w:p>
        </w:tc>
        <w:tc>
          <w:tcPr>
            <w:tcW w:w="2268" w:type="dxa"/>
          </w:tcPr>
          <w:p w14:paraId="46E57172"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Minimum İzleme Sıklığı</w:t>
            </w:r>
          </w:p>
        </w:tc>
        <w:tc>
          <w:tcPr>
            <w:tcW w:w="1837" w:type="dxa"/>
          </w:tcPr>
          <w:p w14:paraId="6B3DFA27" w14:textId="77777777" w:rsidR="003B155E" w:rsidRDefault="003B155E" w:rsidP="000D79D6">
            <w:pPr>
              <w:jc w:val="center"/>
              <w:rPr>
                <w:rFonts w:ascii="Times New Roman" w:hAnsi="Times New Roman" w:cs="Times New Roman"/>
                <w:b/>
                <w:bCs/>
              </w:rPr>
            </w:pPr>
            <w:r>
              <w:rPr>
                <w:rFonts w:ascii="Times New Roman" w:hAnsi="Times New Roman" w:cs="Times New Roman"/>
                <w:b/>
                <w:bCs/>
              </w:rPr>
              <w:t>İlişkili MET</w:t>
            </w:r>
          </w:p>
        </w:tc>
      </w:tr>
      <w:tr w:rsidR="003B155E" w14:paraId="729A04E0" w14:textId="77777777" w:rsidTr="0082590D">
        <w:tc>
          <w:tcPr>
            <w:tcW w:w="1696" w:type="dxa"/>
          </w:tcPr>
          <w:p w14:paraId="3687041F" w14:textId="77777777" w:rsidR="003B155E" w:rsidRPr="0006480D" w:rsidRDefault="003B155E" w:rsidP="000D79D6">
            <w:pPr>
              <w:jc w:val="both"/>
              <w:rPr>
                <w:rFonts w:ascii="Times New Roman" w:hAnsi="Times New Roman" w:cs="Times New Roman"/>
              </w:rPr>
            </w:pPr>
            <w:r>
              <w:rPr>
                <w:rFonts w:ascii="Times New Roman" w:hAnsi="Times New Roman" w:cs="Times New Roman"/>
              </w:rPr>
              <w:t>TSS</w:t>
            </w:r>
          </w:p>
        </w:tc>
        <w:tc>
          <w:tcPr>
            <w:tcW w:w="3261" w:type="dxa"/>
          </w:tcPr>
          <w:p w14:paraId="74B5EAEE" w14:textId="77777777" w:rsidR="003B155E" w:rsidRDefault="003B155E" w:rsidP="000D79D6">
            <w:pPr>
              <w:jc w:val="center"/>
              <w:rPr>
                <w:rFonts w:ascii="Times New Roman" w:hAnsi="Times New Roman" w:cs="Times New Roman"/>
              </w:rPr>
            </w:pPr>
            <w:r>
              <w:rPr>
                <w:rFonts w:ascii="Times New Roman" w:hAnsi="Times New Roman" w:cs="Times New Roman"/>
              </w:rPr>
              <w:t>TS EN 872:2007</w:t>
            </w:r>
          </w:p>
        </w:tc>
        <w:tc>
          <w:tcPr>
            <w:tcW w:w="2268" w:type="dxa"/>
            <w:vMerge w:val="restart"/>
          </w:tcPr>
          <w:p w14:paraId="0202AC38" w14:textId="77777777" w:rsidR="003B155E" w:rsidRDefault="003B155E" w:rsidP="000D79D6">
            <w:pPr>
              <w:jc w:val="center"/>
              <w:rPr>
                <w:rFonts w:ascii="Times New Roman" w:hAnsi="Times New Roman" w:cs="Times New Roman"/>
              </w:rPr>
            </w:pPr>
            <w:r>
              <w:rPr>
                <w:rFonts w:ascii="Times New Roman" w:hAnsi="Times New Roman" w:cs="Times New Roman"/>
              </w:rPr>
              <w:t>haftada en az bir kere periyodik ölçüm</w:t>
            </w:r>
          </w:p>
        </w:tc>
        <w:tc>
          <w:tcPr>
            <w:tcW w:w="1837" w:type="dxa"/>
          </w:tcPr>
          <w:p w14:paraId="3B958848" w14:textId="77777777" w:rsidR="003B155E" w:rsidRDefault="003B155E" w:rsidP="000D79D6">
            <w:pPr>
              <w:jc w:val="center"/>
              <w:rPr>
                <w:rFonts w:ascii="Times New Roman" w:hAnsi="Times New Roman" w:cs="Times New Roman"/>
              </w:rPr>
            </w:pPr>
            <w:r>
              <w:rPr>
                <w:rFonts w:ascii="Times New Roman" w:hAnsi="Times New Roman" w:cs="Times New Roman"/>
              </w:rPr>
              <w:t>MET 27</w:t>
            </w:r>
          </w:p>
        </w:tc>
      </w:tr>
      <w:tr w:rsidR="003B155E" w14:paraId="18A266A8" w14:textId="77777777" w:rsidTr="0082590D">
        <w:tc>
          <w:tcPr>
            <w:tcW w:w="1696" w:type="dxa"/>
          </w:tcPr>
          <w:p w14:paraId="19BA0A9A" w14:textId="77777777" w:rsidR="003B155E" w:rsidRDefault="009D570E" w:rsidP="000D79D6">
            <w:pPr>
              <w:jc w:val="both"/>
              <w:rPr>
                <w:rFonts w:ascii="Times New Roman" w:hAnsi="Times New Roman" w:cs="Times New Roman"/>
              </w:rPr>
            </w:pPr>
            <w:r>
              <w:rPr>
                <w:rFonts w:ascii="Times New Roman" w:hAnsi="Times New Roman" w:cs="Times New Roman"/>
              </w:rPr>
              <w:t>KOİ</w:t>
            </w:r>
            <w:r w:rsidR="003B155E">
              <w:rPr>
                <w:rFonts w:ascii="Times New Roman" w:hAnsi="Times New Roman" w:cs="Times New Roman"/>
              </w:rPr>
              <w:t xml:space="preserve"> (</w:t>
            </w:r>
            <w:r w:rsidR="003B155E" w:rsidRPr="00035799">
              <w:rPr>
                <w:rFonts w:ascii="Times New Roman" w:hAnsi="Times New Roman" w:cs="Times New Roman"/>
                <w:vertAlign w:val="superscript"/>
              </w:rPr>
              <w:t>1</w:t>
            </w:r>
            <w:r w:rsidR="003B155E">
              <w:rPr>
                <w:rFonts w:ascii="Times New Roman" w:hAnsi="Times New Roman" w:cs="Times New Roman"/>
              </w:rPr>
              <w:t>)</w:t>
            </w:r>
          </w:p>
        </w:tc>
        <w:tc>
          <w:tcPr>
            <w:tcW w:w="3261" w:type="dxa"/>
          </w:tcPr>
          <w:p w14:paraId="113567ED" w14:textId="77777777" w:rsidR="003B155E" w:rsidRDefault="003B155E" w:rsidP="000D79D6">
            <w:pPr>
              <w:jc w:val="center"/>
              <w:rPr>
                <w:rFonts w:ascii="Times New Roman" w:hAnsi="Times New Roman" w:cs="Times New Roman"/>
              </w:rPr>
            </w:pPr>
            <w:r>
              <w:rPr>
                <w:rFonts w:ascii="Times New Roman" w:hAnsi="Times New Roman" w:cs="Times New Roman"/>
              </w:rPr>
              <w:t>standart mevcut değil</w:t>
            </w:r>
          </w:p>
        </w:tc>
        <w:tc>
          <w:tcPr>
            <w:tcW w:w="2268" w:type="dxa"/>
            <w:vMerge/>
          </w:tcPr>
          <w:p w14:paraId="48E0A87E" w14:textId="77777777" w:rsidR="003B155E" w:rsidRDefault="003B155E" w:rsidP="000D79D6">
            <w:pPr>
              <w:jc w:val="center"/>
              <w:rPr>
                <w:rFonts w:ascii="Times New Roman" w:hAnsi="Times New Roman" w:cs="Times New Roman"/>
              </w:rPr>
            </w:pPr>
          </w:p>
        </w:tc>
        <w:tc>
          <w:tcPr>
            <w:tcW w:w="1837" w:type="dxa"/>
          </w:tcPr>
          <w:p w14:paraId="6DACC8DB" w14:textId="77777777" w:rsidR="003B155E" w:rsidRDefault="003B155E" w:rsidP="000D79D6">
            <w:pPr>
              <w:jc w:val="center"/>
              <w:rPr>
                <w:rFonts w:ascii="Times New Roman" w:hAnsi="Times New Roman" w:cs="Times New Roman"/>
              </w:rPr>
            </w:pPr>
            <w:r>
              <w:rPr>
                <w:rFonts w:ascii="Times New Roman" w:hAnsi="Times New Roman" w:cs="Times New Roman"/>
              </w:rPr>
              <w:t>MET 27</w:t>
            </w:r>
          </w:p>
        </w:tc>
      </w:tr>
      <w:tr w:rsidR="003B155E" w14:paraId="24E21D56" w14:textId="77777777" w:rsidTr="0082590D">
        <w:tc>
          <w:tcPr>
            <w:tcW w:w="1696" w:type="dxa"/>
          </w:tcPr>
          <w:p w14:paraId="2949007E" w14:textId="77777777" w:rsidR="003B155E" w:rsidRDefault="009D570E" w:rsidP="000D79D6">
            <w:pPr>
              <w:jc w:val="both"/>
              <w:rPr>
                <w:rFonts w:ascii="Times New Roman" w:hAnsi="Times New Roman" w:cs="Times New Roman"/>
              </w:rPr>
            </w:pPr>
            <w:r>
              <w:rPr>
                <w:rFonts w:ascii="Times New Roman" w:hAnsi="Times New Roman" w:cs="Times New Roman"/>
              </w:rPr>
              <w:t>TOK</w:t>
            </w:r>
            <w:r w:rsidR="003B155E">
              <w:rPr>
                <w:rFonts w:ascii="Times New Roman" w:hAnsi="Times New Roman" w:cs="Times New Roman"/>
              </w:rPr>
              <w:t xml:space="preserve"> (C olarak ifade edilen toplam organik karbon)</w:t>
            </w:r>
          </w:p>
        </w:tc>
        <w:tc>
          <w:tcPr>
            <w:tcW w:w="3261" w:type="dxa"/>
          </w:tcPr>
          <w:p w14:paraId="70A4A3DC" w14:textId="77777777" w:rsidR="003B155E" w:rsidRDefault="003B155E" w:rsidP="000D79D6">
            <w:pPr>
              <w:jc w:val="center"/>
              <w:rPr>
                <w:rFonts w:ascii="Times New Roman" w:hAnsi="Times New Roman" w:cs="Times New Roman"/>
              </w:rPr>
            </w:pPr>
            <w:r>
              <w:rPr>
                <w:rFonts w:ascii="Times New Roman" w:hAnsi="Times New Roman" w:cs="Times New Roman"/>
              </w:rPr>
              <w:t>TS 8195 EN 1484</w:t>
            </w:r>
          </w:p>
        </w:tc>
        <w:tc>
          <w:tcPr>
            <w:tcW w:w="2268" w:type="dxa"/>
            <w:vMerge/>
          </w:tcPr>
          <w:p w14:paraId="772F10B3" w14:textId="77777777" w:rsidR="003B155E" w:rsidRDefault="003B155E" w:rsidP="000D79D6">
            <w:pPr>
              <w:jc w:val="center"/>
              <w:rPr>
                <w:rFonts w:ascii="Times New Roman" w:hAnsi="Times New Roman" w:cs="Times New Roman"/>
              </w:rPr>
            </w:pPr>
          </w:p>
        </w:tc>
        <w:tc>
          <w:tcPr>
            <w:tcW w:w="1837" w:type="dxa"/>
          </w:tcPr>
          <w:p w14:paraId="63A0A4E0"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18F8AF51" w14:textId="77777777" w:rsidTr="0082590D">
        <w:tc>
          <w:tcPr>
            <w:tcW w:w="1696" w:type="dxa"/>
          </w:tcPr>
          <w:p w14:paraId="118C3EAB" w14:textId="77777777" w:rsidR="003B155E" w:rsidRDefault="003B155E" w:rsidP="000D79D6">
            <w:pPr>
              <w:jc w:val="both"/>
              <w:rPr>
                <w:rFonts w:ascii="Times New Roman" w:hAnsi="Times New Roman" w:cs="Times New Roman"/>
              </w:rPr>
            </w:pPr>
            <w:r>
              <w:rPr>
                <w:rFonts w:ascii="Times New Roman" w:hAnsi="Times New Roman" w:cs="Times New Roman"/>
              </w:rPr>
              <w:t>Metaller (</w:t>
            </w:r>
            <w:r w:rsidRPr="002E7AE9">
              <w:rPr>
                <w:rFonts w:ascii="Times New Roman" w:hAnsi="Times New Roman" w:cs="Times New Roman"/>
                <w:vertAlign w:val="superscript"/>
              </w:rPr>
              <w:t>2</w:t>
            </w:r>
            <w:r>
              <w:rPr>
                <w:rFonts w:ascii="Times New Roman" w:hAnsi="Times New Roman" w:cs="Times New Roman"/>
              </w:rPr>
              <w:t>), ilişkili ise (örn. geri kazanılan ahşap kullanıldığında)</w:t>
            </w:r>
          </w:p>
        </w:tc>
        <w:tc>
          <w:tcPr>
            <w:tcW w:w="3261" w:type="dxa"/>
          </w:tcPr>
          <w:p w14:paraId="4C4CD21B" w14:textId="77777777" w:rsidR="003B155E" w:rsidRDefault="003B155E" w:rsidP="000D79D6">
            <w:pPr>
              <w:jc w:val="center"/>
              <w:rPr>
                <w:rFonts w:ascii="Times New Roman" w:hAnsi="Times New Roman" w:cs="Times New Roman"/>
              </w:rPr>
            </w:pPr>
            <w:r>
              <w:rPr>
                <w:rFonts w:ascii="Times New Roman" w:hAnsi="Times New Roman" w:cs="Times New Roman"/>
              </w:rPr>
              <w:t>çeşitli standartlar mevcut</w:t>
            </w:r>
          </w:p>
        </w:tc>
        <w:tc>
          <w:tcPr>
            <w:tcW w:w="2268" w:type="dxa"/>
          </w:tcPr>
          <w:p w14:paraId="3A252130" w14:textId="77777777" w:rsidR="003B155E" w:rsidRDefault="003B155E" w:rsidP="000D79D6">
            <w:pPr>
              <w:jc w:val="center"/>
              <w:rPr>
                <w:rFonts w:ascii="Times New Roman" w:hAnsi="Times New Roman" w:cs="Times New Roman"/>
              </w:rPr>
            </w:pPr>
            <w:r>
              <w:rPr>
                <w:rFonts w:ascii="Times New Roman" w:hAnsi="Times New Roman" w:cs="Times New Roman"/>
              </w:rPr>
              <w:t>her altı ayda en az bir kere periyodik ölçüm</w:t>
            </w:r>
          </w:p>
        </w:tc>
        <w:tc>
          <w:tcPr>
            <w:tcW w:w="1837" w:type="dxa"/>
          </w:tcPr>
          <w:p w14:paraId="3D76FDF0" w14:textId="77777777" w:rsidR="003B155E" w:rsidRDefault="003B155E" w:rsidP="000D79D6">
            <w:pPr>
              <w:jc w:val="center"/>
              <w:rPr>
                <w:rFonts w:ascii="Times New Roman" w:hAnsi="Times New Roman" w:cs="Times New Roman"/>
              </w:rPr>
            </w:pPr>
            <w:r>
              <w:rPr>
                <w:rFonts w:ascii="Times New Roman" w:hAnsi="Times New Roman" w:cs="Times New Roman"/>
              </w:rPr>
              <w:t>-</w:t>
            </w:r>
          </w:p>
        </w:tc>
      </w:tr>
      <w:tr w:rsidR="003B155E" w14:paraId="748288BD" w14:textId="77777777" w:rsidTr="0082590D">
        <w:tc>
          <w:tcPr>
            <w:tcW w:w="9062" w:type="dxa"/>
            <w:gridSpan w:val="4"/>
          </w:tcPr>
          <w:p w14:paraId="176A62B6"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xml:space="preserve">) </w:t>
            </w:r>
            <w:r w:rsidR="009D570E" w:rsidRPr="0082590D">
              <w:rPr>
                <w:rFonts w:ascii="Times New Roman" w:hAnsi="Times New Roman" w:cs="Times New Roman"/>
                <w:sz w:val="20"/>
                <w:szCs w:val="20"/>
              </w:rPr>
              <w:t>KOİ</w:t>
            </w:r>
            <w:r w:rsidRPr="0082590D">
              <w:rPr>
                <w:rFonts w:ascii="Times New Roman" w:hAnsi="Times New Roman" w:cs="Times New Roman"/>
                <w:sz w:val="20"/>
                <w:szCs w:val="20"/>
              </w:rPr>
              <w:t xml:space="preserve">’yi </w:t>
            </w:r>
            <w:r w:rsidR="009D570E" w:rsidRPr="0082590D">
              <w:rPr>
                <w:rFonts w:ascii="Times New Roman" w:hAnsi="Times New Roman" w:cs="Times New Roman"/>
                <w:sz w:val="20"/>
                <w:szCs w:val="20"/>
              </w:rPr>
              <w:t>TOK</w:t>
            </w:r>
            <w:r w:rsidRPr="0082590D">
              <w:rPr>
                <w:rFonts w:ascii="Times New Roman" w:hAnsi="Times New Roman" w:cs="Times New Roman"/>
                <w:sz w:val="20"/>
                <w:szCs w:val="20"/>
              </w:rPr>
              <w:t xml:space="preserve"> ile, ekonomik ve çevresel nedenlerden dolayı, ikame etmeye eğilim bulunuyor. İki parametre arasındaki ilişki, tesise özel durum temelinde oluşturulmalıdır.</w:t>
            </w:r>
          </w:p>
          <w:p w14:paraId="6759A101" w14:textId="77777777" w:rsidR="003B155E" w:rsidRPr="00A10E51" w:rsidRDefault="003B155E" w:rsidP="000D79D6">
            <w:pPr>
              <w:jc w:val="both"/>
              <w:rPr>
                <w:rFonts w:ascii="Times New Roman" w:hAnsi="Times New Roman" w:cs="Times New Roman"/>
                <w:i/>
                <w:iCs/>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xml:space="preserve">) As, Cr, Cu, Ni, Pb ve Zn’yu içerir. </w:t>
            </w:r>
          </w:p>
        </w:tc>
      </w:tr>
    </w:tbl>
    <w:p w14:paraId="4EC4B1A5" w14:textId="77777777" w:rsidR="003B155E" w:rsidRDefault="003B155E" w:rsidP="003B155E">
      <w:pPr>
        <w:spacing w:after="120" w:line="276" w:lineRule="auto"/>
        <w:jc w:val="both"/>
        <w:rPr>
          <w:rFonts w:ascii="Times New Roman" w:hAnsi="Times New Roman" w:cs="Times New Roman"/>
          <w:sz w:val="24"/>
          <w:szCs w:val="24"/>
        </w:rPr>
      </w:pPr>
    </w:p>
    <w:p w14:paraId="6ADFF1DD" w14:textId="77777777" w:rsidR="003B155E" w:rsidRPr="00197A5A"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Yüzey akıntı sularından suya emisyonlara yönelik izleme</w:t>
      </w:r>
    </w:p>
    <w:tbl>
      <w:tblPr>
        <w:tblStyle w:val="TabloKlavuzu"/>
        <w:tblW w:w="0" w:type="auto"/>
        <w:tblLook w:val="04A0" w:firstRow="1" w:lastRow="0" w:firstColumn="1" w:lastColumn="0" w:noHBand="0" w:noVBand="1"/>
      </w:tblPr>
      <w:tblGrid>
        <w:gridCol w:w="1696"/>
        <w:gridCol w:w="3119"/>
        <w:gridCol w:w="2410"/>
        <w:gridCol w:w="1837"/>
      </w:tblGrid>
      <w:tr w:rsidR="003B155E" w14:paraId="494E253C" w14:textId="77777777" w:rsidTr="0082590D">
        <w:tc>
          <w:tcPr>
            <w:tcW w:w="1696" w:type="dxa"/>
          </w:tcPr>
          <w:p w14:paraId="2C4E8CD8"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119" w:type="dxa"/>
          </w:tcPr>
          <w:p w14:paraId="5C7E0120"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Standart(lar)</w:t>
            </w:r>
          </w:p>
        </w:tc>
        <w:tc>
          <w:tcPr>
            <w:tcW w:w="2410" w:type="dxa"/>
          </w:tcPr>
          <w:p w14:paraId="68FE0D7A"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Minimum İzleme Sıklığı</w:t>
            </w:r>
          </w:p>
        </w:tc>
        <w:tc>
          <w:tcPr>
            <w:tcW w:w="1837" w:type="dxa"/>
          </w:tcPr>
          <w:p w14:paraId="7557EDE3" w14:textId="77777777" w:rsidR="003B155E" w:rsidRDefault="003B155E" w:rsidP="000D79D6">
            <w:pPr>
              <w:jc w:val="center"/>
              <w:rPr>
                <w:rFonts w:ascii="Times New Roman" w:hAnsi="Times New Roman" w:cs="Times New Roman"/>
                <w:b/>
                <w:bCs/>
              </w:rPr>
            </w:pPr>
            <w:r>
              <w:rPr>
                <w:rFonts w:ascii="Times New Roman" w:hAnsi="Times New Roman" w:cs="Times New Roman"/>
                <w:b/>
                <w:bCs/>
              </w:rPr>
              <w:t>İlişkili MET</w:t>
            </w:r>
          </w:p>
        </w:tc>
      </w:tr>
      <w:tr w:rsidR="003B155E" w14:paraId="3E0965DD" w14:textId="77777777" w:rsidTr="0082590D">
        <w:tc>
          <w:tcPr>
            <w:tcW w:w="1696" w:type="dxa"/>
          </w:tcPr>
          <w:p w14:paraId="55F74DBB" w14:textId="77777777" w:rsidR="003B155E" w:rsidRPr="0006480D" w:rsidRDefault="003B155E" w:rsidP="000D79D6">
            <w:pPr>
              <w:jc w:val="both"/>
              <w:rPr>
                <w:rFonts w:ascii="Times New Roman" w:hAnsi="Times New Roman" w:cs="Times New Roman"/>
              </w:rPr>
            </w:pPr>
            <w:r>
              <w:rPr>
                <w:rFonts w:ascii="Times New Roman" w:hAnsi="Times New Roman" w:cs="Times New Roman"/>
              </w:rPr>
              <w:t>TSS</w:t>
            </w:r>
          </w:p>
        </w:tc>
        <w:tc>
          <w:tcPr>
            <w:tcW w:w="3119" w:type="dxa"/>
          </w:tcPr>
          <w:p w14:paraId="0B6DDE19" w14:textId="77777777" w:rsidR="003B155E" w:rsidRDefault="003B155E" w:rsidP="000D79D6">
            <w:pPr>
              <w:jc w:val="center"/>
              <w:rPr>
                <w:rFonts w:ascii="Times New Roman" w:hAnsi="Times New Roman" w:cs="Times New Roman"/>
              </w:rPr>
            </w:pPr>
            <w:r>
              <w:rPr>
                <w:rFonts w:ascii="Times New Roman" w:hAnsi="Times New Roman" w:cs="Times New Roman"/>
              </w:rPr>
              <w:t>TS EN 872:2007</w:t>
            </w:r>
          </w:p>
        </w:tc>
        <w:tc>
          <w:tcPr>
            <w:tcW w:w="2410" w:type="dxa"/>
          </w:tcPr>
          <w:p w14:paraId="10EE0C6C" w14:textId="77777777" w:rsidR="003B155E" w:rsidRDefault="003B155E" w:rsidP="000D79D6">
            <w:pPr>
              <w:jc w:val="center"/>
              <w:rPr>
                <w:rFonts w:ascii="Times New Roman" w:hAnsi="Times New Roman" w:cs="Times New Roman"/>
              </w:rPr>
            </w:pPr>
            <w:r>
              <w:rPr>
                <w:rFonts w:ascii="Times New Roman" w:hAnsi="Times New Roman" w:cs="Times New Roman"/>
              </w:rPr>
              <w:t>her üç ayda en az bir kere periyodik ölçüm (</w:t>
            </w:r>
            <w:r w:rsidRPr="00667A4D">
              <w:rPr>
                <w:rFonts w:ascii="Times New Roman" w:hAnsi="Times New Roman" w:cs="Times New Roman"/>
                <w:vertAlign w:val="superscript"/>
              </w:rPr>
              <w:t>1</w:t>
            </w:r>
            <w:r>
              <w:rPr>
                <w:rFonts w:ascii="Times New Roman" w:hAnsi="Times New Roman" w:cs="Times New Roman"/>
              </w:rPr>
              <w:t>)</w:t>
            </w:r>
          </w:p>
        </w:tc>
        <w:tc>
          <w:tcPr>
            <w:tcW w:w="1837" w:type="dxa"/>
          </w:tcPr>
          <w:p w14:paraId="175F4C93" w14:textId="77777777" w:rsidR="003B155E" w:rsidRDefault="003B155E" w:rsidP="000D79D6">
            <w:pPr>
              <w:jc w:val="center"/>
              <w:rPr>
                <w:rFonts w:ascii="Times New Roman" w:hAnsi="Times New Roman" w:cs="Times New Roman"/>
              </w:rPr>
            </w:pPr>
            <w:r>
              <w:rPr>
                <w:rFonts w:ascii="Times New Roman" w:hAnsi="Times New Roman" w:cs="Times New Roman"/>
              </w:rPr>
              <w:t>MET 25</w:t>
            </w:r>
          </w:p>
        </w:tc>
      </w:tr>
      <w:tr w:rsidR="003B155E" w14:paraId="4E2F9AAB" w14:textId="77777777" w:rsidTr="0082590D">
        <w:tc>
          <w:tcPr>
            <w:tcW w:w="9062" w:type="dxa"/>
            <w:gridSpan w:val="4"/>
          </w:tcPr>
          <w:p w14:paraId="0995AD8C"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Akış orantılı örnekleme, temsili örnekleme için akış yetersiz ise, başka bir standart örnekleme prosedürü ile ikame edilebilir.</w:t>
            </w:r>
          </w:p>
        </w:tc>
      </w:tr>
    </w:tbl>
    <w:p w14:paraId="134D5E8D" w14:textId="77777777" w:rsidR="003B155E" w:rsidRDefault="003B155E" w:rsidP="003B155E">
      <w:pPr>
        <w:spacing w:after="120" w:line="276" w:lineRule="auto"/>
        <w:jc w:val="both"/>
        <w:rPr>
          <w:rFonts w:ascii="Times New Roman" w:hAnsi="Times New Roman" w:cs="Times New Roman"/>
          <w:sz w:val="24"/>
          <w:szCs w:val="24"/>
        </w:rPr>
      </w:pPr>
    </w:p>
    <w:p w14:paraId="1A31053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15:</w:t>
      </w:r>
      <w:r>
        <w:rPr>
          <w:rFonts w:ascii="Times New Roman" w:hAnsi="Times New Roman" w:cs="Times New Roman"/>
          <w:sz w:val="24"/>
          <w:szCs w:val="24"/>
        </w:rPr>
        <w:t xml:space="preserve"> Emisyonların önlenmesi ve azaltılması için kullanılan tekniklerin stabilitesini ve etkinliğini sağlamak adına, uygun ikame parametreler izlenir.</w:t>
      </w:r>
    </w:p>
    <w:p w14:paraId="65A0E49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İzlenen ikame parametreler şunları içerebilir: atık gaz hava akımı; atık gaz sıcaklığı; emisyonların görsel görünümü; yıkayıcılar için su akışı ve su sıcaklığı; elektrostatik filtreler için voltaj düşüşü; torba filtredeki fan hızı ve basınç düşüşü. İkame parametrelerin seçimi, emisyonların önlenmesi ve azaltılması için uygulanan tekniklere bağlıdır.</w:t>
      </w:r>
    </w:p>
    <w:p w14:paraId="686E731C" w14:textId="77777777" w:rsidR="003B155E" w:rsidRPr="006D6BD6"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16:</w:t>
      </w:r>
      <w:r>
        <w:rPr>
          <w:rFonts w:ascii="Times New Roman" w:hAnsi="Times New Roman" w:cs="Times New Roman"/>
          <w:sz w:val="24"/>
          <w:szCs w:val="24"/>
        </w:rPr>
        <w:t xml:space="preserve"> Üretim prosesinden kaynaklanan suya emisyonlar ile ilişkili atık su akışı, pH ve sıcaklık dahil olmak üzere temel proses parametreleri izlenir.</w:t>
      </w:r>
    </w:p>
    <w:p w14:paraId="7042D57B" w14:textId="77777777" w:rsidR="003B155E" w:rsidRPr="00C043C7" w:rsidRDefault="003B155E" w:rsidP="003B155E">
      <w:pPr>
        <w:pStyle w:val="Balk2"/>
        <w:spacing w:before="0" w:after="120" w:line="276" w:lineRule="auto"/>
        <w:jc w:val="both"/>
        <w:rPr>
          <w:rFonts w:cs="Times New Roman"/>
          <w:b/>
          <w:szCs w:val="24"/>
          <w:u w:val="single"/>
        </w:rPr>
      </w:pPr>
      <w:r w:rsidRPr="00C043C7">
        <w:rPr>
          <w:rFonts w:cs="Times New Roman"/>
          <w:b/>
          <w:szCs w:val="24"/>
          <w:u w:val="single"/>
        </w:rPr>
        <w:t>(2) Havaya Emisyonlar</w:t>
      </w:r>
    </w:p>
    <w:p w14:paraId="4F04C77E"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(2.1) Baca Gazı Emisyonları</w:t>
      </w:r>
    </w:p>
    <w:p w14:paraId="056617B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17:</w:t>
      </w:r>
      <w:r>
        <w:rPr>
          <w:rFonts w:ascii="Times New Roman" w:hAnsi="Times New Roman" w:cs="Times New Roman"/>
          <w:sz w:val="24"/>
          <w:szCs w:val="24"/>
        </w:rPr>
        <w:t xml:space="preserve"> Kurutucudan kaynaklanan havaya emisyonları önlemek veya azaltmak için, dengeli bir kurutma prosesi elde edilir ve yürütülür ve aşağıdaki tekniklerin biri veya bir kombinasyonu kullanılır.</w:t>
      </w:r>
    </w:p>
    <w:tbl>
      <w:tblPr>
        <w:tblStyle w:val="TabloKlavuzu"/>
        <w:tblW w:w="0" w:type="auto"/>
        <w:jc w:val="center"/>
        <w:tblLook w:val="04A0" w:firstRow="1" w:lastRow="0" w:firstColumn="1" w:lastColumn="0" w:noHBand="0" w:noVBand="1"/>
      </w:tblPr>
      <w:tblGrid>
        <w:gridCol w:w="431"/>
        <w:gridCol w:w="3031"/>
        <w:gridCol w:w="2485"/>
        <w:gridCol w:w="3115"/>
      </w:tblGrid>
      <w:tr w:rsidR="003B155E" w14:paraId="2074F706" w14:textId="77777777" w:rsidTr="000D79D6">
        <w:trPr>
          <w:tblHeader/>
          <w:jc w:val="center"/>
        </w:trPr>
        <w:tc>
          <w:tcPr>
            <w:tcW w:w="431" w:type="dxa"/>
            <w:vAlign w:val="center"/>
          </w:tcPr>
          <w:p w14:paraId="38A7E939" w14:textId="77777777" w:rsidR="003B155E" w:rsidRPr="00276CE9" w:rsidRDefault="003B155E" w:rsidP="000D79D6">
            <w:pPr>
              <w:jc w:val="center"/>
              <w:rPr>
                <w:rFonts w:ascii="Times New Roman" w:hAnsi="Times New Roman" w:cs="Times New Roman"/>
                <w:b/>
                <w:bCs/>
              </w:rPr>
            </w:pPr>
          </w:p>
        </w:tc>
        <w:tc>
          <w:tcPr>
            <w:tcW w:w="3031" w:type="dxa"/>
            <w:vAlign w:val="center"/>
          </w:tcPr>
          <w:p w14:paraId="1CAAF638"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2485" w:type="dxa"/>
          </w:tcPr>
          <w:p w14:paraId="65B472E5" w14:textId="77777777" w:rsidR="003B155E" w:rsidRDefault="003B155E" w:rsidP="000D79D6">
            <w:pPr>
              <w:jc w:val="center"/>
              <w:rPr>
                <w:rFonts w:ascii="Times New Roman" w:hAnsi="Times New Roman" w:cs="Times New Roman"/>
                <w:b/>
                <w:bCs/>
              </w:rPr>
            </w:pPr>
            <w:r>
              <w:rPr>
                <w:rFonts w:ascii="Times New Roman" w:hAnsi="Times New Roman" w:cs="Times New Roman"/>
                <w:b/>
                <w:bCs/>
              </w:rPr>
              <w:t>Başlıca Azaltılan Kirleticiler</w:t>
            </w:r>
          </w:p>
        </w:tc>
        <w:tc>
          <w:tcPr>
            <w:tcW w:w="3115" w:type="dxa"/>
          </w:tcPr>
          <w:p w14:paraId="56A8B001"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7DB64DC7" w14:textId="77777777" w:rsidTr="000D79D6">
        <w:trPr>
          <w:jc w:val="center"/>
        </w:trPr>
        <w:tc>
          <w:tcPr>
            <w:tcW w:w="431" w:type="dxa"/>
            <w:vAlign w:val="center"/>
          </w:tcPr>
          <w:p w14:paraId="423560CB"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3031" w:type="dxa"/>
            <w:vAlign w:val="center"/>
          </w:tcPr>
          <w:p w14:paraId="14CF2DC1" w14:textId="77777777" w:rsidR="003B155E" w:rsidRDefault="003B155E" w:rsidP="000D79D6">
            <w:pPr>
              <w:jc w:val="both"/>
              <w:rPr>
                <w:rFonts w:ascii="Times New Roman" w:hAnsi="Times New Roman" w:cs="Times New Roman"/>
              </w:rPr>
            </w:pPr>
            <w:r>
              <w:rPr>
                <w:rFonts w:ascii="Times New Roman" w:hAnsi="Times New Roman" w:cs="Times New Roman"/>
              </w:rPr>
              <w:t xml:space="preserve">Aşağıdaki tekniklerin biri veya bir kombinasyonu ile birleştirilmiş doğrudan ısıtılan </w:t>
            </w:r>
            <w:r>
              <w:rPr>
                <w:rFonts w:ascii="Times New Roman" w:hAnsi="Times New Roman" w:cs="Times New Roman"/>
              </w:rPr>
              <w:lastRenderedPageBreak/>
              <w:t>kurutucuya gönderilen sıcak giriş gazının toz azaltımı</w:t>
            </w:r>
          </w:p>
        </w:tc>
        <w:tc>
          <w:tcPr>
            <w:tcW w:w="2485" w:type="dxa"/>
            <w:vAlign w:val="center"/>
          </w:tcPr>
          <w:p w14:paraId="6B1B0F11" w14:textId="77777777" w:rsidR="003B155E" w:rsidRDefault="003B155E" w:rsidP="000D79D6">
            <w:pPr>
              <w:jc w:val="both"/>
              <w:rPr>
                <w:rFonts w:ascii="Times New Roman" w:hAnsi="Times New Roman" w:cs="Times New Roman"/>
              </w:rPr>
            </w:pPr>
            <w:r>
              <w:rPr>
                <w:rFonts w:ascii="Times New Roman" w:hAnsi="Times New Roman" w:cs="Times New Roman"/>
              </w:rPr>
              <w:lastRenderedPageBreak/>
              <w:t>Toz</w:t>
            </w:r>
          </w:p>
        </w:tc>
        <w:tc>
          <w:tcPr>
            <w:tcW w:w="3115" w:type="dxa"/>
            <w:vAlign w:val="center"/>
          </w:tcPr>
          <w:p w14:paraId="081DE3BC" w14:textId="77777777" w:rsidR="003B155E" w:rsidRDefault="003B155E" w:rsidP="000D79D6">
            <w:pPr>
              <w:jc w:val="both"/>
              <w:rPr>
                <w:rFonts w:ascii="Times New Roman" w:hAnsi="Times New Roman" w:cs="Times New Roman"/>
              </w:rPr>
            </w:pPr>
            <w:r>
              <w:rPr>
                <w:rFonts w:ascii="Times New Roman" w:hAnsi="Times New Roman" w:cs="Times New Roman"/>
              </w:rPr>
              <w:t xml:space="preserve">Uygulanabilirlik, kısıtlı olabilir; örneğin, daha küçük talaş </w:t>
            </w:r>
            <w:r>
              <w:rPr>
                <w:rFonts w:ascii="Times New Roman" w:hAnsi="Times New Roman" w:cs="Times New Roman"/>
              </w:rPr>
              <w:lastRenderedPageBreak/>
              <w:t>brülörleri mevcut olduğu durumlarda.</w:t>
            </w:r>
          </w:p>
        </w:tc>
      </w:tr>
      <w:tr w:rsidR="003B155E" w14:paraId="7E20F603" w14:textId="77777777" w:rsidTr="000D79D6">
        <w:trPr>
          <w:jc w:val="center"/>
        </w:trPr>
        <w:tc>
          <w:tcPr>
            <w:tcW w:w="431" w:type="dxa"/>
            <w:vAlign w:val="center"/>
          </w:tcPr>
          <w:p w14:paraId="55D2CB1F" w14:textId="77777777" w:rsidR="003B155E" w:rsidRDefault="003B155E" w:rsidP="000D79D6">
            <w:pPr>
              <w:jc w:val="center"/>
              <w:rPr>
                <w:rFonts w:ascii="Times New Roman" w:hAnsi="Times New Roman" w:cs="Times New Roman"/>
              </w:rPr>
            </w:pPr>
            <w:r>
              <w:rPr>
                <w:rFonts w:ascii="Times New Roman" w:hAnsi="Times New Roman" w:cs="Times New Roman"/>
              </w:rPr>
              <w:lastRenderedPageBreak/>
              <w:t>b</w:t>
            </w:r>
          </w:p>
        </w:tc>
        <w:tc>
          <w:tcPr>
            <w:tcW w:w="3031" w:type="dxa"/>
            <w:vAlign w:val="center"/>
          </w:tcPr>
          <w:p w14:paraId="12C7399C" w14:textId="77777777" w:rsidR="003B155E" w:rsidRDefault="003B155E" w:rsidP="000D79D6">
            <w:pPr>
              <w:jc w:val="both"/>
              <w:rPr>
                <w:rFonts w:ascii="Times New Roman" w:hAnsi="Times New Roman" w:cs="Times New Roman"/>
              </w:rPr>
            </w:pPr>
            <w:r>
              <w:rPr>
                <w:rFonts w:ascii="Times New Roman" w:hAnsi="Times New Roman" w:cs="Times New Roman"/>
              </w:rPr>
              <w:t>Torba filtre</w:t>
            </w:r>
          </w:p>
        </w:tc>
        <w:tc>
          <w:tcPr>
            <w:tcW w:w="2485" w:type="dxa"/>
            <w:vAlign w:val="center"/>
          </w:tcPr>
          <w:p w14:paraId="7FF9C4E0" w14:textId="77777777" w:rsidR="003B155E" w:rsidRDefault="003B155E" w:rsidP="000D79D6">
            <w:pPr>
              <w:jc w:val="both"/>
              <w:rPr>
                <w:rFonts w:ascii="Times New Roman" w:hAnsi="Times New Roman" w:cs="Times New Roman"/>
              </w:rPr>
            </w:pPr>
            <w:r>
              <w:rPr>
                <w:rFonts w:ascii="Times New Roman" w:hAnsi="Times New Roman" w:cs="Times New Roman"/>
              </w:rPr>
              <w:t>Toz</w:t>
            </w:r>
          </w:p>
        </w:tc>
        <w:tc>
          <w:tcPr>
            <w:tcW w:w="3115" w:type="dxa"/>
            <w:vAlign w:val="center"/>
          </w:tcPr>
          <w:p w14:paraId="2C02AFDA" w14:textId="77777777" w:rsidR="003B155E" w:rsidRDefault="003B155E" w:rsidP="000D79D6">
            <w:pPr>
              <w:jc w:val="both"/>
              <w:rPr>
                <w:rFonts w:ascii="Times New Roman" w:hAnsi="Times New Roman" w:cs="Times New Roman"/>
              </w:rPr>
            </w:pPr>
            <w:r>
              <w:rPr>
                <w:rFonts w:ascii="Times New Roman" w:hAnsi="Times New Roman" w:cs="Times New Roman"/>
              </w:rPr>
              <w:t>Sadece dolaylı ısıtılan kurutuculara uygulanabilir. Güvenlik nedenleri dolayısıyla, sadece geri kazanılmış ahşap kullanılırken özel bir dikkat gösterilmelidir.</w:t>
            </w:r>
          </w:p>
        </w:tc>
      </w:tr>
      <w:tr w:rsidR="003B155E" w14:paraId="296929D0" w14:textId="77777777" w:rsidTr="000D79D6">
        <w:trPr>
          <w:jc w:val="center"/>
        </w:trPr>
        <w:tc>
          <w:tcPr>
            <w:tcW w:w="431" w:type="dxa"/>
            <w:vAlign w:val="center"/>
          </w:tcPr>
          <w:p w14:paraId="518ADDA8"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3031" w:type="dxa"/>
            <w:vAlign w:val="center"/>
          </w:tcPr>
          <w:p w14:paraId="57664694" w14:textId="77777777" w:rsidR="003B155E" w:rsidRDefault="003B155E" w:rsidP="000D79D6">
            <w:pPr>
              <w:jc w:val="both"/>
              <w:rPr>
                <w:rFonts w:ascii="Times New Roman" w:hAnsi="Times New Roman" w:cs="Times New Roman"/>
              </w:rPr>
            </w:pPr>
            <w:r>
              <w:rPr>
                <w:rFonts w:ascii="Times New Roman" w:hAnsi="Times New Roman" w:cs="Times New Roman"/>
              </w:rPr>
              <w:t>Siklon</w:t>
            </w:r>
          </w:p>
        </w:tc>
        <w:tc>
          <w:tcPr>
            <w:tcW w:w="2485" w:type="dxa"/>
            <w:vAlign w:val="center"/>
          </w:tcPr>
          <w:p w14:paraId="09AE7FB9" w14:textId="77777777" w:rsidR="003B155E" w:rsidRDefault="003B155E" w:rsidP="000D79D6">
            <w:pPr>
              <w:jc w:val="both"/>
              <w:rPr>
                <w:rFonts w:ascii="Times New Roman" w:hAnsi="Times New Roman" w:cs="Times New Roman"/>
              </w:rPr>
            </w:pPr>
            <w:r>
              <w:rPr>
                <w:rFonts w:ascii="Times New Roman" w:hAnsi="Times New Roman" w:cs="Times New Roman"/>
              </w:rPr>
              <w:t>Toz</w:t>
            </w:r>
          </w:p>
        </w:tc>
        <w:tc>
          <w:tcPr>
            <w:tcW w:w="3115" w:type="dxa"/>
            <w:vAlign w:val="center"/>
          </w:tcPr>
          <w:p w14:paraId="06669B86"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BF39D8B" w14:textId="77777777" w:rsidTr="000D79D6">
        <w:trPr>
          <w:jc w:val="center"/>
        </w:trPr>
        <w:tc>
          <w:tcPr>
            <w:tcW w:w="431" w:type="dxa"/>
            <w:vAlign w:val="center"/>
          </w:tcPr>
          <w:p w14:paraId="4275EB00" w14:textId="77777777" w:rsidR="003B155E" w:rsidRDefault="003B155E" w:rsidP="000D79D6">
            <w:pPr>
              <w:jc w:val="center"/>
              <w:rPr>
                <w:rFonts w:ascii="Times New Roman" w:hAnsi="Times New Roman" w:cs="Times New Roman"/>
              </w:rPr>
            </w:pPr>
            <w:r>
              <w:rPr>
                <w:rFonts w:ascii="Times New Roman" w:hAnsi="Times New Roman" w:cs="Times New Roman"/>
              </w:rPr>
              <w:t>d</w:t>
            </w:r>
          </w:p>
        </w:tc>
        <w:tc>
          <w:tcPr>
            <w:tcW w:w="3031" w:type="dxa"/>
            <w:vAlign w:val="center"/>
          </w:tcPr>
          <w:p w14:paraId="40C5420E" w14:textId="77777777" w:rsidR="003B155E" w:rsidRDefault="003B155E" w:rsidP="000D79D6">
            <w:pPr>
              <w:jc w:val="both"/>
              <w:rPr>
                <w:rFonts w:ascii="Times New Roman" w:hAnsi="Times New Roman" w:cs="Times New Roman"/>
              </w:rPr>
            </w:pPr>
            <w:r>
              <w:rPr>
                <w:rFonts w:ascii="Times New Roman" w:hAnsi="Times New Roman" w:cs="Times New Roman"/>
              </w:rPr>
              <w:t>UTWS kurutucusu ve ısı eşanjörlü yakma ile deşarj edilen kurutucu atık gazının termal işlemi</w:t>
            </w:r>
          </w:p>
        </w:tc>
        <w:tc>
          <w:tcPr>
            <w:tcW w:w="2485" w:type="dxa"/>
            <w:vAlign w:val="center"/>
          </w:tcPr>
          <w:p w14:paraId="6A83F1DE"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Align w:val="center"/>
          </w:tcPr>
          <w:p w14:paraId="62E2C93B" w14:textId="77777777" w:rsidR="003B155E" w:rsidRDefault="003B155E" w:rsidP="000D79D6">
            <w:pPr>
              <w:jc w:val="both"/>
              <w:rPr>
                <w:rFonts w:ascii="Times New Roman" w:hAnsi="Times New Roman" w:cs="Times New Roman"/>
              </w:rPr>
            </w:pPr>
            <w:r>
              <w:rPr>
                <w:rFonts w:ascii="Times New Roman" w:hAnsi="Times New Roman" w:cs="Times New Roman"/>
              </w:rPr>
              <w:t>Lif kurutuculara uygulanamaz.</w:t>
            </w:r>
          </w:p>
          <w:p w14:paraId="314ED8BE" w14:textId="77777777" w:rsidR="003B155E" w:rsidRDefault="003B155E" w:rsidP="000D79D6">
            <w:pPr>
              <w:jc w:val="both"/>
              <w:rPr>
                <w:rFonts w:ascii="Times New Roman" w:hAnsi="Times New Roman" w:cs="Times New Roman"/>
              </w:rPr>
            </w:pPr>
          </w:p>
          <w:p w14:paraId="38DDB19D" w14:textId="77777777" w:rsidR="003B155E" w:rsidRDefault="003B155E" w:rsidP="000D79D6">
            <w:pPr>
              <w:jc w:val="both"/>
              <w:rPr>
                <w:rFonts w:ascii="Times New Roman" w:hAnsi="Times New Roman" w:cs="Times New Roman"/>
              </w:rPr>
            </w:pPr>
            <w:r>
              <w:rPr>
                <w:rFonts w:ascii="Times New Roman" w:hAnsi="Times New Roman" w:cs="Times New Roman"/>
              </w:rPr>
              <w:t>Uygulanabilirlik, kısmi kurutucu atık gaz akışının yakma sonrası için uygun olmayan mevcut yakma tesisleri özelinde kısıtlanabilir.</w:t>
            </w:r>
          </w:p>
        </w:tc>
      </w:tr>
      <w:tr w:rsidR="003B155E" w14:paraId="68D53384" w14:textId="77777777" w:rsidTr="000D79D6">
        <w:trPr>
          <w:jc w:val="center"/>
        </w:trPr>
        <w:tc>
          <w:tcPr>
            <w:tcW w:w="431" w:type="dxa"/>
            <w:vAlign w:val="center"/>
          </w:tcPr>
          <w:p w14:paraId="3BEF983E" w14:textId="77777777" w:rsidR="003B155E" w:rsidRDefault="003B155E" w:rsidP="000D79D6">
            <w:pPr>
              <w:jc w:val="center"/>
              <w:rPr>
                <w:rFonts w:ascii="Times New Roman" w:hAnsi="Times New Roman" w:cs="Times New Roman"/>
              </w:rPr>
            </w:pPr>
            <w:r>
              <w:rPr>
                <w:rFonts w:ascii="Times New Roman" w:hAnsi="Times New Roman" w:cs="Times New Roman"/>
              </w:rPr>
              <w:t>e</w:t>
            </w:r>
          </w:p>
        </w:tc>
        <w:tc>
          <w:tcPr>
            <w:tcW w:w="3031" w:type="dxa"/>
            <w:vAlign w:val="center"/>
          </w:tcPr>
          <w:p w14:paraId="71B04595" w14:textId="77777777" w:rsidR="003B155E" w:rsidRDefault="003B155E" w:rsidP="000D79D6">
            <w:pPr>
              <w:jc w:val="both"/>
              <w:rPr>
                <w:rFonts w:ascii="Times New Roman" w:hAnsi="Times New Roman" w:cs="Times New Roman"/>
              </w:rPr>
            </w:pPr>
            <w:r>
              <w:rPr>
                <w:rFonts w:ascii="Times New Roman" w:hAnsi="Times New Roman" w:cs="Times New Roman"/>
              </w:rPr>
              <w:t>Islak elektrostatik filtre</w:t>
            </w:r>
          </w:p>
        </w:tc>
        <w:tc>
          <w:tcPr>
            <w:tcW w:w="2485" w:type="dxa"/>
            <w:vAlign w:val="center"/>
          </w:tcPr>
          <w:p w14:paraId="126A54C6"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Align w:val="center"/>
          </w:tcPr>
          <w:p w14:paraId="1442FC49"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310F0AF" w14:textId="77777777" w:rsidTr="000D79D6">
        <w:trPr>
          <w:jc w:val="center"/>
        </w:trPr>
        <w:tc>
          <w:tcPr>
            <w:tcW w:w="431" w:type="dxa"/>
            <w:vAlign w:val="center"/>
          </w:tcPr>
          <w:p w14:paraId="5626353B" w14:textId="77777777" w:rsidR="003B155E" w:rsidRDefault="003B155E" w:rsidP="000D79D6">
            <w:pPr>
              <w:jc w:val="center"/>
              <w:rPr>
                <w:rFonts w:ascii="Times New Roman" w:hAnsi="Times New Roman" w:cs="Times New Roman"/>
              </w:rPr>
            </w:pPr>
            <w:r>
              <w:rPr>
                <w:rFonts w:ascii="Times New Roman" w:hAnsi="Times New Roman" w:cs="Times New Roman"/>
              </w:rPr>
              <w:t>f</w:t>
            </w:r>
          </w:p>
        </w:tc>
        <w:tc>
          <w:tcPr>
            <w:tcW w:w="3031" w:type="dxa"/>
            <w:vAlign w:val="center"/>
          </w:tcPr>
          <w:p w14:paraId="12D4EFF4" w14:textId="77777777" w:rsidR="003B155E" w:rsidRDefault="003B155E" w:rsidP="000D79D6">
            <w:pPr>
              <w:jc w:val="both"/>
              <w:rPr>
                <w:rFonts w:ascii="Times New Roman" w:hAnsi="Times New Roman" w:cs="Times New Roman"/>
              </w:rPr>
            </w:pPr>
            <w:r>
              <w:rPr>
                <w:rFonts w:ascii="Times New Roman" w:hAnsi="Times New Roman" w:cs="Times New Roman"/>
              </w:rPr>
              <w:t>Islak yıkayıcı</w:t>
            </w:r>
          </w:p>
        </w:tc>
        <w:tc>
          <w:tcPr>
            <w:tcW w:w="2485" w:type="dxa"/>
            <w:vAlign w:val="center"/>
          </w:tcPr>
          <w:p w14:paraId="0E061D1D"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Align w:val="center"/>
          </w:tcPr>
          <w:p w14:paraId="1B97A13A"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33785EB7" w14:textId="77777777" w:rsidTr="000D79D6">
        <w:trPr>
          <w:jc w:val="center"/>
        </w:trPr>
        <w:tc>
          <w:tcPr>
            <w:tcW w:w="431" w:type="dxa"/>
            <w:vAlign w:val="center"/>
          </w:tcPr>
          <w:p w14:paraId="5BEE2F68" w14:textId="77777777" w:rsidR="003B155E" w:rsidRDefault="003B155E" w:rsidP="000D79D6">
            <w:pPr>
              <w:jc w:val="center"/>
              <w:rPr>
                <w:rFonts w:ascii="Times New Roman" w:hAnsi="Times New Roman" w:cs="Times New Roman"/>
              </w:rPr>
            </w:pPr>
            <w:r>
              <w:rPr>
                <w:rFonts w:ascii="Times New Roman" w:hAnsi="Times New Roman" w:cs="Times New Roman"/>
              </w:rPr>
              <w:t>g</w:t>
            </w:r>
          </w:p>
        </w:tc>
        <w:tc>
          <w:tcPr>
            <w:tcW w:w="3031" w:type="dxa"/>
            <w:vAlign w:val="center"/>
          </w:tcPr>
          <w:p w14:paraId="5B9D8DB5" w14:textId="77777777" w:rsidR="003B155E" w:rsidRDefault="003B155E" w:rsidP="000D79D6">
            <w:pPr>
              <w:jc w:val="both"/>
              <w:rPr>
                <w:rFonts w:ascii="Times New Roman" w:hAnsi="Times New Roman" w:cs="Times New Roman"/>
              </w:rPr>
            </w:pPr>
            <w:r>
              <w:rPr>
                <w:rFonts w:ascii="Times New Roman" w:hAnsi="Times New Roman" w:cs="Times New Roman"/>
              </w:rPr>
              <w:t>Biyoyıkayıcı</w:t>
            </w:r>
          </w:p>
        </w:tc>
        <w:tc>
          <w:tcPr>
            <w:tcW w:w="2485" w:type="dxa"/>
            <w:vAlign w:val="center"/>
          </w:tcPr>
          <w:p w14:paraId="46524C4B"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Align w:val="center"/>
          </w:tcPr>
          <w:p w14:paraId="5E45B688" w14:textId="77777777" w:rsidR="003B155E" w:rsidRDefault="003B155E" w:rsidP="000D79D6">
            <w:pPr>
              <w:jc w:val="both"/>
              <w:rPr>
                <w:rFonts w:ascii="Times New Roman" w:hAnsi="Times New Roman" w:cs="Times New Roman"/>
              </w:rPr>
            </w:pPr>
            <w:r>
              <w:rPr>
                <w:rFonts w:ascii="Times New Roman" w:hAnsi="Times New Roman" w:cs="Times New Roman"/>
              </w:rPr>
              <w:t>Uygulanabilirlik, kurutucudan çıkan atık gazdaki yüksek toz konsantrasyonları ve yüksek sıcaklıklar ile kısıtlanabilir.</w:t>
            </w:r>
          </w:p>
        </w:tc>
      </w:tr>
      <w:tr w:rsidR="003B155E" w14:paraId="324BEC80" w14:textId="77777777" w:rsidTr="000D79D6">
        <w:trPr>
          <w:jc w:val="center"/>
        </w:trPr>
        <w:tc>
          <w:tcPr>
            <w:tcW w:w="431" w:type="dxa"/>
            <w:vAlign w:val="center"/>
          </w:tcPr>
          <w:p w14:paraId="2BD66E1F" w14:textId="77777777" w:rsidR="003B155E" w:rsidRDefault="003B155E" w:rsidP="000D79D6">
            <w:pPr>
              <w:jc w:val="center"/>
              <w:rPr>
                <w:rFonts w:ascii="Times New Roman" w:hAnsi="Times New Roman" w:cs="Times New Roman"/>
              </w:rPr>
            </w:pPr>
            <w:r>
              <w:rPr>
                <w:rFonts w:ascii="Times New Roman" w:hAnsi="Times New Roman" w:cs="Times New Roman"/>
              </w:rPr>
              <w:t>h</w:t>
            </w:r>
          </w:p>
        </w:tc>
        <w:tc>
          <w:tcPr>
            <w:tcW w:w="3031" w:type="dxa"/>
            <w:vAlign w:val="center"/>
          </w:tcPr>
          <w:p w14:paraId="5C4B545B" w14:textId="77777777" w:rsidR="003B155E" w:rsidRDefault="003B155E" w:rsidP="000D79D6">
            <w:pPr>
              <w:jc w:val="both"/>
              <w:rPr>
                <w:rFonts w:ascii="Times New Roman" w:hAnsi="Times New Roman" w:cs="Times New Roman"/>
              </w:rPr>
            </w:pPr>
            <w:r>
              <w:rPr>
                <w:rFonts w:ascii="Times New Roman" w:hAnsi="Times New Roman" w:cs="Times New Roman"/>
              </w:rPr>
              <w:t>Kimyasallarla birlikte formaldehitin, ıslak yıkama sistemi ile beraber kimyasal bozunumu veya yakalanması</w:t>
            </w:r>
          </w:p>
        </w:tc>
        <w:tc>
          <w:tcPr>
            <w:tcW w:w="2485" w:type="dxa"/>
            <w:vAlign w:val="center"/>
          </w:tcPr>
          <w:p w14:paraId="50F010A2" w14:textId="77777777" w:rsidR="003B155E" w:rsidRDefault="003B155E" w:rsidP="000D79D6">
            <w:pPr>
              <w:jc w:val="both"/>
              <w:rPr>
                <w:rFonts w:ascii="Times New Roman" w:hAnsi="Times New Roman" w:cs="Times New Roman"/>
              </w:rPr>
            </w:pPr>
            <w:r>
              <w:rPr>
                <w:rFonts w:ascii="Times New Roman" w:hAnsi="Times New Roman" w:cs="Times New Roman"/>
              </w:rPr>
              <w:t>Formaldehit</w:t>
            </w:r>
          </w:p>
        </w:tc>
        <w:tc>
          <w:tcPr>
            <w:tcW w:w="3115" w:type="dxa"/>
            <w:vAlign w:val="center"/>
          </w:tcPr>
          <w:p w14:paraId="24BAEE12" w14:textId="77777777" w:rsidR="003B155E" w:rsidRDefault="003B155E" w:rsidP="000D79D6">
            <w:pPr>
              <w:jc w:val="both"/>
              <w:rPr>
                <w:rFonts w:ascii="Times New Roman" w:hAnsi="Times New Roman" w:cs="Times New Roman"/>
              </w:rPr>
            </w:pPr>
            <w:r>
              <w:rPr>
                <w:rFonts w:ascii="Times New Roman" w:hAnsi="Times New Roman" w:cs="Times New Roman"/>
              </w:rPr>
              <w:t>Islak azaltım sistemlerinde genellikle uygulanabilir.</w:t>
            </w:r>
          </w:p>
        </w:tc>
      </w:tr>
    </w:tbl>
    <w:p w14:paraId="25BCBAAD" w14:textId="77777777" w:rsidR="003B155E" w:rsidRDefault="003B155E" w:rsidP="003B155E">
      <w:pPr>
        <w:spacing w:after="120" w:line="276" w:lineRule="auto"/>
        <w:jc w:val="both"/>
        <w:rPr>
          <w:rFonts w:ascii="Times New Roman" w:hAnsi="Times New Roman" w:cs="Times New Roman"/>
          <w:sz w:val="24"/>
          <w:szCs w:val="24"/>
        </w:rPr>
      </w:pPr>
    </w:p>
    <w:p w14:paraId="54523FF6" w14:textId="77777777"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1</w:t>
      </w:r>
    </w:p>
    <w:p w14:paraId="726C9449" w14:textId="77777777" w:rsidR="003B155E" w:rsidRPr="00864858"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Kurutucudan kaynaklanan emisyonlara ve kurutucu ile presten kaynaklanan beraber arıtılan emisyonlara yönelik MET-İES’ler</w:t>
      </w:r>
    </w:p>
    <w:tbl>
      <w:tblPr>
        <w:tblStyle w:val="TabloKlavuzu"/>
        <w:tblW w:w="0" w:type="auto"/>
        <w:tblLook w:val="04A0" w:firstRow="1" w:lastRow="0" w:firstColumn="1" w:lastColumn="0" w:noHBand="0" w:noVBand="1"/>
      </w:tblPr>
      <w:tblGrid>
        <w:gridCol w:w="1292"/>
        <w:gridCol w:w="1538"/>
        <w:gridCol w:w="2552"/>
        <w:gridCol w:w="1134"/>
        <w:gridCol w:w="2546"/>
      </w:tblGrid>
      <w:tr w:rsidR="003B155E" w14:paraId="64C85E92" w14:textId="77777777" w:rsidTr="0082590D">
        <w:tc>
          <w:tcPr>
            <w:tcW w:w="1292" w:type="dxa"/>
          </w:tcPr>
          <w:p w14:paraId="4A819F24"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1538" w:type="dxa"/>
          </w:tcPr>
          <w:p w14:paraId="69C31433"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Ürün</w:t>
            </w:r>
          </w:p>
        </w:tc>
        <w:tc>
          <w:tcPr>
            <w:tcW w:w="2552" w:type="dxa"/>
          </w:tcPr>
          <w:p w14:paraId="7BEAC67C" w14:textId="77777777" w:rsidR="003B155E" w:rsidRDefault="003B155E" w:rsidP="000D79D6">
            <w:pPr>
              <w:jc w:val="center"/>
              <w:rPr>
                <w:rFonts w:ascii="Times New Roman" w:hAnsi="Times New Roman" w:cs="Times New Roman"/>
                <w:b/>
                <w:bCs/>
              </w:rPr>
            </w:pPr>
            <w:r>
              <w:rPr>
                <w:rFonts w:ascii="Times New Roman" w:hAnsi="Times New Roman" w:cs="Times New Roman"/>
                <w:b/>
                <w:bCs/>
              </w:rPr>
              <w:t>Kurutucu Tipi</w:t>
            </w:r>
          </w:p>
        </w:tc>
        <w:tc>
          <w:tcPr>
            <w:tcW w:w="1134" w:type="dxa"/>
          </w:tcPr>
          <w:p w14:paraId="78CD7AB4" w14:textId="77777777" w:rsidR="003B155E" w:rsidRDefault="003B155E" w:rsidP="000D79D6">
            <w:pPr>
              <w:jc w:val="center"/>
              <w:rPr>
                <w:rFonts w:ascii="Times New Roman" w:hAnsi="Times New Roman" w:cs="Times New Roman"/>
                <w:b/>
                <w:bCs/>
              </w:rPr>
            </w:pPr>
            <w:r>
              <w:rPr>
                <w:rFonts w:ascii="Times New Roman" w:hAnsi="Times New Roman" w:cs="Times New Roman"/>
                <w:b/>
                <w:bCs/>
              </w:rPr>
              <w:t>Birim</w:t>
            </w:r>
          </w:p>
        </w:tc>
        <w:tc>
          <w:tcPr>
            <w:tcW w:w="2546" w:type="dxa"/>
          </w:tcPr>
          <w:p w14:paraId="7DE94EBD"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7A7E9288" w14:textId="77777777" w:rsidR="003B155E" w:rsidRDefault="003B155E" w:rsidP="000D79D6">
            <w:pPr>
              <w:jc w:val="center"/>
              <w:rPr>
                <w:rFonts w:ascii="Times New Roman" w:hAnsi="Times New Roman" w:cs="Times New Roman"/>
                <w:b/>
                <w:bCs/>
              </w:rPr>
            </w:pPr>
            <w:r>
              <w:rPr>
                <w:rFonts w:ascii="Times New Roman" w:hAnsi="Times New Roman" w:cs="Times New Roman"/>
                <w:b/>
                <w:bCs/>
              </w:rPr>
              <w:t>(örnekleme süresi üzerinden ortalama)</w:t>
            </w:r>
          </w:p>
        </w:tc>
      </w:tr>
      <w:tr w:rsidR="003B155E" w14:paraId="332BF296" w14:textId="77777777" w:rsidTr="0082590D">
        <w:tc>
          <w:tcPr>
            <w:tcW w:w="1292" w:type="dxa"/>
            <w:vMerge w:val="restart"/>
          </w:tcPr>
          <w:p w14:paraId="75E0E7EB" w14:textId="77777777" w:rsidR="003B155E" w:rsidRDefault="003B155E" w:rsidP="000D79D6">
            <w:pPr>
              <w:jc w:val="both"/>
              <w:rPr>
                <w:rFonts w:ascii="Times New Roman" w:hAnsi="Times New Roman" w:cs="Times New Roman"/>
              </w:rPr>
            </w:pPr>
            <w:r>
              <w:rPr>
                <w:rFonts w:ascii="Times New Roman" w:hAnsi="Times New Roman" w:cs="Times New Roman"/>
              </w:rPr>
              <w:t>Toz</w:t>
            </w:r>
          </w:p>
        </w:tc>
        <w:tc>
          <w:tcPr>
            <w:tcW w:w="1538" w:type="dxa"/>
            <w:vMerge w:val="restart"/>
          </w:tcPr>
          <w:p w14:paraId="502E1D41" w14:textId="77777777" w:rsidR="003B155E" w:rsidRDefault="003B155E" w:rsidP="000D79D6">
            <w:pPr>
              <w:jc w:val="center"/>
              <w:rPr>
                <w:rFonts w:ascii="Times New Roman" w:hAnsi="Times New Roman" w:cs="Times New Roman"/>
              </w:rPr>
            </w:pPr>
            <w:r>
              <w:rPr>
                <w:rFonts w:ascii="Times New Roman" w:hAnsi="Times New Roman" w:cs="Times New Roman"/>
              </w:rPr>
              <w:t>PB veya OSB</w:t>
            </w:r>
          </w:p>
        </w:tc>
        <w:tc>
          <w:tcPr>
            <w:tcW w:w="2552" w:type="dxa"/>
          </w:tcPr>
          <w:p w14:paraId="14251C42" w14:textId="77777777" w:rsidR="003B155E" w:rsidRDefault="003B155E" w:rsidP="000D79D6">
            <w:pPr>
              <w:jc w:val="center"/>
              <w:rPr>
                <w:rFonts w:ascii="Times New Roman" w:hAnsi="Times New Roman" w:cs="Times New Roman"/>
              </w:rPr>
            </w:pPr>
            <w:r>
              <w:rPr>
                <w:rFonts w:ascii="Times New Roman" w:hAnsi="Times New Roman" w:cs="Times New Roman"/>
              </w:rPr>
              <w:t>doğrudan ısıtılan kurutucu</w:t>
            </w:r>
          </w:p>
        </w:tc>
        <w:tc>
          <w:tcPr>
            <w:tcW w:w="1134" w:type="dxa"/>
            <w:vMerge w:val="restart"/>
          </w:tcPr>
          <w:p w14:paraId="6EB9DB0D" w14:textId="77777777" w:rsidR="003B155E" w:rsidRPr="00250F9B"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r>
              <w:rPr>
                <w:rFonts w:ascii="Times New Roman" w:hAnsi="Times New Roman" w:cs="Times New Roman"/>
              </w:rPr>
              <w:t xml:space="preserve"> </w:t>
            </w:r>
          </w:p>
        </w:tc>
        <w:tc>
          <w:tcPr>
            <w:tcW w:w="2546" w:type="dxa"/>
          </w:tcPr>
          <w:p w14:paraId="6B158213" w14:textId="77777777" w:rsidR="003B155E" w:rsidRDefault="003B155E" w:rsidP="000D79D6">
            <w:pPr>
              <w:jc w:val="center"/>
              <w:rPr>
                <w:rFonts w:ascii="Times New Roman" w:hAnsi="Times New Roman" w:cs="Times New Roman"/>
              </w:rPr>
            </w:pPr>
            <w:r>
              <w:rPr>
                <w:rFonts w:ascii="Times New Roman" w:hAnsi="Times New Roman" w:cs="Times New Roman"/>
              </w:rPr>
              <w:t>3-30</w:t>
            </w:r>
          </w:p>
        </w:tc>
      </w:tr>
      <w:tr w:rsidR="003B155E" w14:paraId="0AE655C2" w14:textId="77777777" w:rsidTr="0082590D">
        <w:tc>
          <w:tcPr>
            <w:tcW w:w="1292" w:type="dxa"/>
            <w:vMerge/>
          </w:tcPr>
          <w:p w14:paraId="38063CAF" w14:textId="77777777" w:rsidR="003B155E" w:rsidRDefault="003B155E" w:rsidP="000D79D6">
            <w:pPr>
              <w:jc w:val="both"/>
              <w:rPr>
                <w:rFonts w:ascii="Times New Roman" w:hAnsi="Times New Roman" w:cs="Times New Roman"/>
              </w:rPr>
            </w:pPr>
          </w:p>
        </w:tc>
        <w:tc>
          <w:tcPr>
            <w:tcW w:w="1538" w:type="dxa"/>
            <w:vMerge/>
          </w:tcPr>
          <w:p w14:paraId="6252D765" w14:textId="77777777" w:rsidR="003B155E" w:rsidRDefault="003B155E" w:rsidP="000D79D6">
            <w:pPr>
              <w:jc w:val="center"/>
              <w:rPr>
                <w:rFonts w:ascii="Times New Roman" w:hAnsi="Times New Roman" w:cs="Times New Roman"/>
              </w:rPr>
            </w:pPr>
          </w:p>
        </w:tc>
        <w:tc>
          <w:tcPr>
            <w:tcW w:w="2552" w:type="dxa"/>
          </w:tcPr>
          <w:p w14:paraId="1F1E2505" w14:textId="77777777" w:rsidR="003B155E" w:rsidRDefault="003B155E" w:rsidP="000D79D6">
            <w:pPr>
              <w:jc w:val="center"/>
              <w:rPr>
                <w:rFonts w:ascii="Times New Roman" w:hAnsi="Times New Roman" w:cs="Times New Roman"/>
              </w:rPr>
            </w:pPr>
            <w:r>
              <w:rPr>
                <w:rFonts w:ascii="Times New Roman" w:hAnsi="Times New Roman" w:cs="Times New Roman"/>
              </w:rPr>
              <w:t>dolaylı ısıtılan kurutucu</w:t>
            </w:r>
          </w:p>
        </w:tc>
        <w:tc>
          <w:tcPr>
            <w:tcW w:w="1134" w:type="dxa"/>
            <w:vMerge/>
          </w:tcPr>
          <w:p w14:paraId="627EF6CC" w14:textId="77777777" w:rsidR="003B155E" w:rsidRDefault="003B155E" w:rsidP="000D79D6">
            <w:pPr>
              <w:jc w:val="center"/>
              <w:rPr>
                <w:rFonts w:ascii="Times New Roman" w:hAnsi="Times New Roman" w:cs="Times New Roman"/>
              </w:rPr>
            </w:pPr>
          </w:p>
        </w:tc>
        <w:tc>
          <w:tcPr>
            <w:tcW w:w="2546" w:type="dxa"/>
          </w:tcPr>
          <w:p w14:paraId="3BCEE2FA" w14:textId="77777777" w:rsidR="003B155E" w:rsidRDefault="003B155E" w:rsidP="000D79D6">
            <w:pPr>
              <w:jc w:val="center"/>
              <w:rPr>
                <w:rFonts w:ascii="Times New Roman" w:hAnsi="Times New Roman" w:cs="Times New Roman"/>
              </w:rPr>
            </w:pPr>
            <w:r>
              <w:rPr>
                <w:rFonts w:ascii="Times New Roman" w:hAnsi="Times New Roman" w:cs="Times New Roman"/>
              </w:rPr>
              <w:t>3-10</w:t>
            </w:r>
          </w:p>
        </w:tc>
      </w:tr>
      <w:tr w:rsidR="003B155E" w14:paraId="652C57A7" w14:textId="77777777" w:rsidTr="0082590D">
        <w:tc>
          <w:tcPr>
            <w:tcW w:w="1292" w:type="dxa"/>
            <w:vMerge/>
          </w:tcPr>
          <w:p w14:paraId="4174AB26" w14:textId="77777777" w:rsidR="003B155E" w:rsidRDefault="003B155E" w:rsidP="000D79D6">
            <w:pPr>
              <w:jc w:val="both"/>
              <w:rPr>
                <w:rFonts w:ascii="Times New Roman" w:hAnsi="Times New Roman" w:cs="Times New Roman"/>
              </w:rPr>
            </w:pPr>
          </w:p>
        </w:tc>
        <w:tc>
          <w:tcPr>
            <w:tcW w:w="1538" w:type="dxa"/>
          </w:tcPr>
          <w:p w14:paraId="33D6A912" w14:textId="77777777" w:rsidR="003B155E" w:rsidRDefault="003B155E" w:rsidP="000D79D6">
            <w:pPr>
              <w:jc w:val="center"/>
              <w:rPr>
                <w:rFonts w:ascii="Times New Roman" w:hAnsi="Times New Roman" w:cs="Times New Roman"/>
              </w:rPr>
            </w:pPr>
            <w:r>
              <w:rPr>
                <w:rFonts w:ascii="Times New Roman" w:hAnsi="Times New Roman" w:cs="Times New Roman"/>
              </w:rPr>
              <w:t>Fiber</w:t>
            </w:r>
          </w:p>
        </w:tc>
        <w:tc>
          <w:tcPr>
            <w:tcW w:w="2552" w:type="dxa"/>
          </w:tcPr>
          <w:p w14:paraId="4D20F054" w14:textId="77777777" w:rsidR="003B155E" w:rsidRDefault="003B155E" w:rsidP="000D79D6">
            <w:pPr>
              <w:jc w:val="center"/>
              <w:rPr>
                <w:rFonts w:ascii="Times New Roman" w:hAnsi="Times New Roman" w:cs="Times New Roman"/>
              </w:rPr>
            </w:pPr>
            <w:r>
              <w:rPr>
                <w:rFonts w:ascii="Times New Roman" w:hAnsi="Times New Roman" w:cs="Times New Roman"/>
              </w:rPr>
              <w:t>tüm tipler</w:t>
            </w:r>
          </w:p>
        </w:tc>
        <w:tc>
          <w:tcPr>
            <w:tcW w:w="1134" w:type="dxa"/>
            <w:vMerge/>
          </w:tcPr>
          <w:p w14:paraId="03B0A9BA" w14:textId="77777777" w:rsidR="003B155E" w:rsidRDefault="003B155E" w:rsidP="000D79D6">
            <w:pPr>
              <w:jc w:val="center"/>
              <w:rPr>
                <w:rFonts w:ascii="Times New Roman" w:hAnsi="Times New Roman" w:cs="Times New Roman"/>
              </w:rPr>
            </w:pPr>
          </w:p>
        </w:tc>
        <w:tc>
          <w:tcPr>
            <w:tcW w:w="2546" w:type="dxa"/>
          </w:tcPr>
          <w:p w14:paraId="2B6BE491" w14:textId="77777777" w:rsidR="003B155E" w:rsidRDefault="003B155E" w:rsidP="000D79D6">
            <w:pPr>
              <w:jc w:val="center"/>
              <w:rPr>
                <w:rFonts w:ascii="Times New Roman" w:hAnsi="Times New Roman" w:cs="Times New Roman"/>
              </w:rPr>
            </w:pPr>
            <w:r>
              <w:rPr>
                <w:rFonts w:ascii="Times New Roman" w:hAnsi="Times New Roman" w:cs="Times New Roman"/>
              </w:rPr>
              <w:t>3-20</w:t>
            </w:r>
          </w:p>
        </w:tc>
      </w:tr>
      <w:tr w:rsidR="003B155E" w14:paraId="71715A32" w14:textId="77777777" w:rsidTr="0082590D">
        <w:tc>
          <w:tcPr>
            <w:tcW w:w="1292" w:type="dxa"/>
            <w:vMerge w:val="restart"/>
          </w:tcPr>
          <w:p w14:paraId="712B9EB8" w14:textId="77777777" w:rsidR="003B155E" w:rsidRDefault="003B155E" w:rsidP="000D79D6">
            <w:pPr>
              <w:jc w:val="both"/>
              <w:rPr>
                <w:rFonts w:ascii="Times New Roman" w:hAnsi="Times New Roman" w:cs="Times New Roman"/>
              </w:rPr>
            </w:pPr>
            <w:r>
              <w:rPr>
                <w:rFonts w:ascii="Times New Roman" w:hAnsi="Times New Roman" w:cs="Times New Roman"/>
              </w:rPr>
              <w:t>T</w:t>
            </w:r>
            <w:r w:rsidR="009D570E">
              <w:rPr>
                <w:rFonts w:ascii="Times New Roman" w:hAnsi="Times New Roman" w:cs="Times New Roman"/>
              </w:rPr>
              <w:t>UOB</w:t>
            </w:r>
          </w:p>
        </w:tc>
        <w:tc>
          <w:tcPr>
            <w:tcW w:w="1538" w:type="dxa"/>
          </w:tcPr>
          <w:p w14:paraId="3174FF1E" w14:textId="77777777" w:rsidR="003B155E" w:rsidRDefault="003B155E" w:rsidP="000D79D6">
            <w:pPr>
              <w:jc w:val="center"/>
              <w:rPr>
                <w:rFonts w:ascii="Times New Roman" w:hAnsi="Times New Roman" w:cs="Times New Roman"/>
              </w:rPr>
            </w:pPr>
            <w:r>
              <w:rPr>
                <w:rFonts w:ascii="Times New Roman" w:hAnsi="Times New Roman" w:cs="Times New Roman"/>
              </w:rPr>
              <w:t>PB</w:t>
            </w:r>
          </w:p>
        </w:tc>
        <w:tc>
          <w:tcPr>
            <w:tcW w:w="2552" w:type="dxa"/>
            <w:vMerge w:val="restart"/>
          </w:tcPr>
          <w:p w14:paraId="706BE88E" w14:textId="77777777" w:rsidR="003B155E" w:rsidRDefault="003B155E" w:rsidP="000D79D6">
            <w:pPr>
              <w:jc w:val="center"/>
              <w:rPr>
                <w:rFonts w:ascii="Times New Roman" w:hAnsi="Times New Roman" w:cs="Times New Roman"/>
              </w:rPr>
            </w:pPr>
            <w:r>
              <w:rPr>
                <w:rFonts w:ascii="Times New Roman" w:hAnsi="Times New Roman" w:cs="Times New Roman"/>
              </w:rPr>
              <w:t>tüm tipler</w:t>
            </w:r>
          </w:p>
        </w:tc>
        <w:tc>
          <w:tcPr>
            <w:tcW w:w="1134" w:type="dxa"/>
            <w:vMerge/>
          </w:tcPr>
          <w:p w14:paraId="76C57470" w14:textId="77777777" w:rsidR="003B155E" w:rsidRDefault="003B155E" w:rsidP="000D79D6">
            <w:pPr>
              <w:jc w:val="center"/>
              <w:rPr>
                <w:rFonts w:ascii="Times New Roman" w:hAnsi="Times New Roman" w:cs="Times New Roman"/>
              </w:rPr>
            </w:pPr>
          </w:p>
        </w:tc>
        <w:tc>
          <w:tcPr>
            <w:tcW w:w="2546" w:type="dxa"/>
          </w:tcPr>
          <w:p w14:paraId="1010D969" w14:textId="77777777" w:rsidR="003B155E" w:rsidRDefault="003B155E" w:rsidP="000D79D6">
            <w:pPr>
              <w:jc w:val="center"/>
              <w:rPr>
                <w:rFonts w:ascii="Times New Roman" w:hAnsi="Times New Roman" w:cs="Times New Roman"/>
              </w:rPr>
            </w:pPr>
            <w:r>
              <w:rPr>
                <w:rFonts w:ascii="Times New Roman" w:hAnsi="Times New Roman" w:cs="Times New Roman"/>
              </w:rPr>
              <w:t>&lt;20-200 (</w:t>
            </w:r>
            <w:r w:rsidRPr="005F2917">
              <w:rPr>
                <w:rFonts w:ascii="Times New Roman" w:hAnsi="Times New Roman" w:cs="Times New Roman"/>
                <w:vertAlign w:val="superscript"/>
              </w:rPr>
              <w:t>1</w:t>
            </w:r>
            <w:r>
              <w:rPr>
                <w:rFonts w:ascii="Times New Roman" w:hAnsi="Times New Roman" w:cs="Times New Roman"/>
              </w:rPr>
              <w:t>)(</w:t>
            </w:r>
            <w:r w:rsidRPr="005F2917">
              <w:rPr>
                <w:rFonts w:ascii="Times New Roman" w:hAnsi="Times New Roman" w:cs="Times New Roman"/>
                <w:vertAlign w:val="superscript"/>
              </w:rPr>
              <w:t>2</w:t>
            </w:r>
            <w:r>
              <w:rPr>
                <w:rFonts w:ascii="Times New Roman" w:hAnsi="Times New Roman" w:cs="Times New Roman"/>
              </w:rPr>
              <w:t>)</w:t>
            </w:r>
          </w:p>
        </w:tc>
      </w:tr>
      <w:tr w:rsidR="003B155E" w14:paraId="26D8C6FF" w14:textId="77777777" w:rsidTr="0082590D">
        <w:tc>
          <w:tcPr>
            <w:tcW w:w="1292" w:type="dxa"/>
            <w:vMerge/>
          </w:tcPr>
          <w:p w14:paraId="249E3431" w14:textId="77777777" w:rsidR="003B155E" w:rsidRDefault="003B155E" w:rsidP="000D79D6">
            <w:pPr>
              <w:jc w:val="both"/>
              <w:rPr>
                <w:rFonts w:ascii="Times New Roman" w:hAnsi="Times New Roman" w:cs="Times New Roman"/>
              </w:rPr>
            </w:pPr>
          </w:p>
        </w:tc>
        <w:tc>
          <w:tcPr>
            <w:tcW w:w="1538" w:type="dxa"/>
          </w:tcPr>
          <w:p w14:paraId="6444F15F" w14:textId="77777777" w:rsidR="003B155E" w:rsidRDefault="003B155E" w:rsidP="000D79D6">
            <w:pPr>
              <w:jc w:val="center"/>
              <w:rPr>
                <w:rFonts w:ascii="Times New Roman" w:hAnsi="Times New Roman" w:cs="Times New Roman"/>
              </w:rPr>
            </w:pPr>
            <w:r>
              <w:rPr>
                <w:rFonts w:ascii="Times New Roman" w:hAnsi="Times New Roman" w:cs="Times New Roman"/>
              </w:rPr>
              <w:t>OSB</w:t>
            </w:r>
          </w:p>
        </w:tc>
        <w:tc>
          <w:tcPr>
            <w:tcW w:w="2552" w:type="dxa"/>
            <w:vMerge/>
          </w:tcPr>
          <w:p w14:paraId="43ECC4D8" w14:textId="77777777" w:rsidR="003B155E" w:rsidRDefault="003B155E" w:rsidP="000D79D6">
            <w:pPr>
              <w:jc w:val="center"/>
              <w:rPr>
                <w:rFonts w:ascii="Times New Roman" w:hAnsi="Times New Roman" w:cs="Times New Roman"/>
              </w:rPr>
            </w:pPr>
          </w:p>
        </w:tc>
        <w:tc>
          <w:tcPr>
            <w:tcW w:w="1134" w:type="dxa"/>
            <w:vMerge/>
          </w:tcPr>
          <w:p w14:paraId="6D486B8E" w14:textId="77777777" w:rsidR="003B155E" w:rsidRDefault="003B155E" w:rsidP="000D79D6">
            <w:pPr>
              <w:jc w:val="center"/>
              <w:rPr>
                <w:rFonts w:ascii="Times New Roman" w:hAnsi="Times New Roman" w:cs="Times New Roman"/>
              </w:rPr>
            </w:pPr>
          </w:p>
        </w:tc>
        <w:tc>
          <w:tcPr>
            <w:tcW w:w="2546" w:type="dxa"/>
          </w:tcPr>
          <w:p w14:paraId="0E5325AB" w14:textId="77777777" w:rsidR="003B155E" w:rsidRDefault="003B155E" w:rsidP="000D79D6">
            <w:pPr>
              <w:jc w:val="center"/>
              <w:rPr>
                <w:rFonts w:ascii="Times New Roman" w:hAnsi="Times New Roman" w:cs="Times New Roman"/>
              </w:rPr>
            </w:pPr>
            <w:r>
              <w:rPr>
                <w:rFonts w:ascii="Times New Roman" w:hAnsi="Times New Roman" w:cs="Times New Roman"/>
              </w:rPr>
              <w:t>10-400 (</w:t>
            </w:r>
            <w:r w:rsidRPr="00002025">
              <w:rPr>
                <w:rFonts w:ascii="Times New Roman" w:hAnsi="Times New Roman" w:cs="Times New Roman"/>
                <w:vertAlign w:val="superscript"/>
              </w:rPr>
              <w:t>2</w:t>
            </w:r>
            <w:r>
              <w:rPr>
                <w:rFonts w:ascii="Times New Roman" w:hAnsi="Times New Roman" w:cs="Times New Roman"/>
              </w:rPr>
              <w:t>)</w:t>
            </w:r>
          </w:p>
        </w:tc>
      </w:tr>
      <w:tr w:rsidR="003B155E" w14:paraId="08CF9022" w14:textId="77777777" w:rsidTr="0082590D">
        <w:tc>
          <w:tcPr>
            <w:tcW w:w="1292" w:type="dxa"/>
            <w:vMerge/>
          </w:tcPr>
          <w:p w14:paraId="6556EF1D" w14:textId="77777777" w:rsidR="003B155E" w:rsidRDefault="003B155E" w:rsidP="000D79D6">
            <w:pPr>
              <w:jc w:val="both"/>
              <w:rPr>
                <w:rFonts w:ascii="Times New Roman" w:hAnsi="Times New Roman" w:cs="Times New Roman"/>
              </w:rPr>
            </w:pPr>
          </w:p>
        </w:tc>
        <w:tc>
          <w:tcPr>
            <w:tcW w:w="1538" w:type="dxa"/>
          </w:tcPr>
          <w:p w14:paraId="53201A81" w14:textId="77777777" w:rsidR="003B155E" w:rsidRDefault="003B155E" w:rsidP="000D79D6">
            <w:pPr>
              <w:jc w:val="center"/>
              <w:rPr>
                <w:rFonts w:ascii="Times New Roman" w:hAnsi="Times New Roman" w:cs="Times New Roman"/>
              </w:rPr>
            </w:pPr>
            <w:r>
              <w:rPr>
                <w:rFonts w:ascii="Times New Roman" w:hAnsi="Times New Roman" w:cs="Times New Roman"/>
              </w:rPr>
              <w:t>Fiber</w:t>
            </w:r>
          </w:p>
        </w:tc>
        <w:tc>
          <w:tcPr>
            <w:tcW w:w="2552" w:type="dxa"/>
            <w:vMerge/>
          </w:tcPr>
          <w:p w14:paraId="11A5A115" w14:textId="77777777" w:rsidR="003B155E" w:rsidRDefault="003B155E" w:rsidP="000D79D6">
            <w:pPr>
              <w:jc w:val="center"/>
              <w:rPr>
                <w:rFonts w:ascii="Times New Roman" w:hAnsi="Times New Roman" w:cs="Times New Roman"/>
              </w:rPr>
            </w:pPr>
          </w:p>
        </w:tc>
        <w:tc>
          <w:tcPr>
            <w:tcW w:w="1134" w:type="dxa"/>
            <w:vMerge/>
          </w:tcPr>
          <w:p w14:paraId="1A214A6B" w14:textId="77777777" w:rsidR="003B155E" w:rsidRDefault="003B155E" w:rsidP="000D79D6">
            <w:pPr>
              <w:jc w:val="center"/>
              <w:rPr>
                <w:rFonts w:ascii="Times New Roman" w:hAnsi="Times New Roman" w:cs="Times New Roman"/>
              </w:rPr>
            </w:pPr>
          </w:p>
        </w:tc>
        <w:tc>
          <w:tcPr>
            <w:tcW w:w="2546" w:type="dxa"/>
          </w:tcPr>
          <w:p w14:paraId="0A30AFA9" w14:textId="77777777" w:rsidR="003B155E" w:rsidRDefault="003B155E" w:rsidP="000D79D6">
            <w:pPr>
              <w:jc w:val="center"/>
              <w:rPr>
                <w:rFonts w:ascii="Times New Roman" w:hAnsi="Times New Roman" w:cs="Times New Roman"/>
              </w:rPr>
            </w:pPr>
            <w:r>
              <w:rPr>
                <w:rFonts w:ascii="Times New Roman" w:hAnsi="Times New Roman" w:cs="Times New Roman"/>
              </w:rPr>
              <w:t>&lt;20-120</w:t>
            </w:r>
          </w:p>
        </w:tc>
      </w:tr>
      <w:tr w:rsidR="003B155E" w14:paraId="596FAAF1" w14:textId="77777777" w:rsidTr="0082590D">
        <w:tc>
          <w:tcPr>
            <w:tcW w:w="1292" w:type="dxa"/>
            <w:vMerge w:val="restart"/>
          </w:tcPr>
          <w:p w14:paraId="1DD92280" w14:textId="77777777" w:rsidR="003B155E" w:rsidRDefault="003B155E" w:rsidP="000D79D6">
            <w:pPr>
              <w:jc w:val="both"/>
              <w:rPr>
                <w:rFonts w:ascii="Times New Roman" w:hAnsi="Times New Roman" w:cs="Times New Roman"/>
              </w:rPr>
            </w:pPr>
            <w:r>
              <w:rPr>
                <w:rFonts w:ascii="Times New Roman" w:hAnsi="Times New Roman" w:cs="Times New Roman"/>
              </w:rPr>
              <w:t>Formaldehit</w:t>
            </w:r>
          </w:p>
        </w:tc>
        <w:tc>
          <w:tcPr>
            <w:tcW w:w="1538" w:type="dxa"/>
          </w:tcPr>
          <w:p w14:paraId="2E0D3A2E" w14:textId="77777777" w:rsidR="003B155E" w:rsidRDefault="003B155E" w:rsidP="000D79D6">
            <w:pPr>
              <w:jc w:val="center"/>
              <w:rPr>
                <w:rFonts w:ascii="Times New Roman" w:hAnsi="Times New Roman" w:cs="Times New Roman"/>
              </w:rPr>
            </w:pPr>
            <w:r>
              <w:rPr>
                <w:rFonts w:ascii="Times New Roman" w:hAnsi="Times New Roman" w:cs="Times New Roman"/>
              </w:rPr>
              <w:t>PB</w:t>
            </w:r>
          </w:p>
        </w:tc>
        <w:tc>
          <w:tcPr>
            <w:tcW w:w="2552" w:type="dxa"/>
            <w:vMerge w:val="restart"/>
          </w:tcPr>
          <w:p w14:paraId="4C7DBA98" w14:textId="77777777" w:rsidR="003B155E" w:rsidRDefault="003B155E" w:rsidP="000D79D6">
            <w:pPr>
              <w:jc w:val="center"/>
              <w:rPr>
                <w:rFonts w:ascii="Times New Roman" w:hAnsi="Times New Roman" w:cs="Times New Roman"/>
              </w:rPr>
            </w:pPr>
            <w:r>
              <w:rPr>
                <w:rFonts w:ascii="Times New Roman" w:hAnsi="Times New Roman" w:cs="Times New Roman"/>
              </w:rPr>
              <w:t>tüm tipler</w:t>
            </w:r>
          </w:p>
        </w:tc>
        <w:tc>
          <w:tcPr>
            <w:tcW w:w="1134" w:type="dxa"/>
            <w:vMerge/>
          </w:tcPr>
          <w:p w14:paraId="0E6C48CA" w14:textId="77777777" w:rsidR="003B155E" w:rsidRDefault="003B155E" w:rsidP="000D79D6">
            <w:pPr>
              <w:jc w:val="center"/>
              <w:rPr>
                <w:rFonts w:ascii="Times New Roman" w:hAnsi="Times New Roman" w:cs="Times New Roman"/>
              </w:rPr>
            </w:pPr>
          </w:p>
        </w:tc>
        <w:tc>
          <w:tcPr>
            <w:tcW w:w="2546" w:type="dxa"/>
          </w:tcPr>
          <w:p w14:paraId="6B31329D" w14:textId="77777777" w:rsidR="003B155E" w:rsidRDefault="003B155E" w:rsidP="000D79D6">
            <w:pPr>
              <w:jc w:val="center"/>
              <w:rPr>
                <w:rFonts w:ascii="Times New Roman" w:hAnsi="Times New Roman" w:cs="Times New Roman"/>
              </w:rPr>
            </w:pPr>
            <w:r>
              <w:rPr>
                <w:rFonts w:ascii="Times New Roman" w:hAnsi="Times New Roman" w:cs="Times New Roman"/>
              </w:rPr>
              <w:t>&lt;5-10 (</w:t>
            </w:r>
            <w:r w:rsidRPr="00002025">
              <w:rPr>
                <w:rFonts w:ascii="Times New Roman" w:hAnsi="Times New Roman" w:cs="Times New Roman"/>
                <w:vertAlign w:val="superscript"/>
              </w:rPr>
              <w:t>3</w:t>
            </w:r>
            <w:r>
              <w:rPr>
                <w:rFonts w:ascii="Times New Roman" w:hAnsi="Times New Roman" w:cs="Times New Roman"/>
              </w:rPr>
              <w:t>)</w:t>
            </w:r>
          </w:p>
        </w:tc>
      </w:tr>
      <w:tr w:rsidR="003B155E" w14:paraId="3E051D23" w14:textId="77777777" w:rsidTr="0082590D">
        <w:tc>
          <w:tcPr>
            <w:tcW w:w="1292" w:type="dxa"/>
            <w:vMerge/>
          </w:tcPr>
          <w:p w14:paraId="2BFDCDC6" w14:textId="77777777" w:rsidR="003B155E" w:rsidRDefault="003B155E" w:rsidP="000D79D6">
            <w:pPr>
              <w:jc w:val="both"/>
              <w:rPr>
                <w:rFonts w:ascii="Times New Roman" w:hAnsi="Times New Roman" w:cs="Times New Roman"/>
              </w:rPr>
            </w:pPr>
          </w:p>
        </w:tc>
        <w:tc>
          <w:tcPr>
            <w:tcW w:w="1538" w:type="dxa"/>
          </w:tcPr>
          <w:p w14:paraId="42CBDFD3" w14:textId="77777777" w:rsidR="003B155E" w:rsidRDefault="003B155E" w:rsidP="000D79D6">
            <w:pPr>
              <w:jc w:val="center"/>
              <w:rPr>
                <w:rFonts w:ascii="Times New Roman" w:hAnsi="Times New Roman" w:cs="Times New Roman"/>
              </w:rPr>
            </w:pPr>
            <w:r>
              <w:rPr>
                <w:rFonts w:ascii="Times New Roman" w:hAnsi="Times New Roman" w:cs="Times New Roman"/>
              </w:rPr>
              <w:t>OSB</w:t>
            </w:r>
          </w:p>
        </w:tc>
        <w:tc>
          <w:tcPr>
            <w:tcW w:w="2552" w:type="dxa"/>
            <w:vMerge/>
          </w:tcPr>
          <w:p w14:paraId="225672A7" w14:textId="77777777" w:rsidR="003B155E" w:rsidRDefault="003B155E" w:rsidP="000D79D6">
            <w:pPr>
              <w:jc w:val="center"/>
              <w:rPr>
                <w:rFonts w:ascii="Times New Roman" w:hAnsi="Times New Roman" w:cs="Times New Roman"/>
              </w:rPr>
            </w:pPr>
          </w:p>
        </w:tc>
        <w:tc>
          <w:tcPr>
            <w:tcW w:w="1134" w:type="dxa"/>
            <w:vMerge/>
          </w:tcPr>
          <w:p w14:paraId="697931B4" w14:textId="77777777" w:rsidR="003B155E" w:rsidRDefault="003B155E" w:rsidP="000D79D6">
            <w:pPr>
              <w:jc w:val="center"/>
              <w:rPr>
                <w:rFonts w:ascii="Times New Roman" w:hAnsi="Times New Roman" w:cs="Times New Roman"/>
              </w:rPr>
            </w:pPr>
          </w:p>
        </w:tc>
        <w:tc>
          <w:tcPr>
            <w:tcW w:w="2546" w:type="dxa"/>
          </w:tcPr>
          <w:p w14:paraId="6974B9B4" w14:textId="77777777" w:rsidR="003B155E" w:rsidRDefault="003B155E" w:rsidP="000D79D6">
            <w:pPr>
              <w:jc w:val="center"/>
              <w:rPr>
                <w:rFonts w:ascii="Times New Roman" w:hAnsi="Times New Roman" w:cs="Times New Roman"/>
              </w:rPr>
            </w:pPr>
            <w:r>
              <w:rPr>
                <w:rFonts w:ascii="Times New Roman" w:hAnsi="Times New Roman" w:cs="Times New Roman"/>
              </w:rPr>
              <w:t>&lt;5-20</w:t>
            </w:r>
          </w:p>
        </w:tc>
      </w:tr>
      <w:tr w:rsidR="003B155E" w14:paraId="3F45311A" w14:textId="77777777" w:rsidTr="0082590D">
        <w:tc>
          <w:tcPr>
            <w:tcW w:w="1292" w:type="dxa"/>
            <w:vMerge/>
          </w:tcPr>
          <w:p w14:paraId="653B8D06" w14:textId="77777777" w:rsidR="003B155E" w:rsidRDefault="003B155E" w:rsidP="000D79D6">
            <w:pPr>
              <w:jc w:val="both"/>
              <w:rPr>
                <w:rFonts w:ascii="Times New Roman" w:hAnsi="Times New Roman" w:cs="Times New Roman"/>
              </w:rPr>
            </w:pPr>
          </w:p>
        </w:tc>
        <w:tc>
          <w:tcPr>
            <w:tcW w:w="1538" w:type="dxa"/>
          </w:tcPr>
          <w:p w14:paraId="389DF9B2" w14:textId="77777777" w:rsidR="003B155E" w:rsidRDefault="003B155E" w:rsidP="000D79D6">
            <w:pPr>
              <w:jc w:val="center"/>
              <w:rPr>
                <w:rFonts w:ascii="Times New Roman" w:hAnsi="Times New Roman" w:cs="Times New Roman"/>
              </w:rPr>
            </w:pPr>
            <w:r>
              <w:rPr>
                <w:rFonts w:ascii="Times New Roman" w:hAnsi="Times New Roman" w:cs="Times New Roman"/>
              </w:rPr>
              <w:t>Fiber</w:t>
            </w:r>
          </w:p>
        </w:tc>
        <w:tc>
          <w:tcPr>
            <w:tcW w:w="2552" w:type="dxa"/>
            <w:vMerge/>
          </w:tcPr>
          <w:p w14:paraId="1F80E554" w14:textId="77777777" w:rsidR="003B155E" w:rsidRDefault="003B155E" w:rsidP="000D79D6">
            <w:pPr>
              <w:jc w:val="center"/>
              <w:rPr>
                <w:rFonts w:ascii="Times New Roman" w:hAnsi="Times New Roman" w:cs="Times New Roman"/>
              </w:rPr>
            </w:pPr>
          </w:p>
        </w:tc>
        <w:tc>
          <w:tcPr>
            <w:tcW w:w="1134" w:type="dxa"/>
            <w:vMerge/>
          </w:tcPr>
          <w:p w14:paraId="2EEA7BD1" w14:textId="77777777" w:rsidR="003B155E" w:rsidRDefault="003B155E" w:rsidP="000D79D6">
            <w:pPr>
              <w:jc w:val="center"/>
              <w:rPr>
                <w:rFonts w:ascii="Times New Roman" w:hAnsi="Times New Roman" w:cs="Times New Roman"/>
              </w:rPr>
            </w:pPr>
          </w:p>
        </w:tc>
        <w:tc>
          <w:tcPr>
            <w:tcW w:w="2546" w:type="dxa"/>
          </w:tcPr>
          <w:p w14:paraId="749CD285" w14:textId="77777777" w:rsidR="003B155E" w:rsidRDefault="003B155E" w:rsidP="000D79D6">
            <w:pPr>
              <w:jc w:val="center"/>
              <w:rPr>
                <w:rFonts w:ascii="Times New Roman" w:hAnsi="Times New Roman" w:cs="Times New Roman"/>
              </w:rPr>
            </w:pPr>
            <w:r>
              <w:rPr>
                <w:rFonts w:ascii="Times New Roman" w:hAnsi="Times New Roman" w:cs="Times New Roman"/>
              </w:rPr>
              <w:t>&lt;5-15</w:t>
            </w:r>
          </w:p>
        </w:tc>
      </w:tr>
      <w:tr w:rsidR="003B155E" w14:paraId="5C81ACBF" w14:textId="77777777" w:rsidTr="0082590D">
        <w:tc>
          <w:tcPr>
            <w:tcW w:w="9062" w:type="dxa"/>
            <w:gridSpan w:val="5"/>
          </w:tcPr>
          <w:p w14:paraId="5C7984CA"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Bu MET-İES, ağırlıklı hammadde olarak çam ağacı kullanıldığında uygulanamaz.</w:t>
            </w:r>
          </w:p>
          <w:p w14:paraId="3CE82B20"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UTWS kurutucusu kullanılarak 30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’ün altında emisyonlara ulaşılabilir.</w:t>
            </w:r>
          </w:p>
          <w:p w14:paraId="31CB3A20" w14:textId="77777777" w:rsidR="003B155E" w:rsidRPr="0065351D" w:rsidRDefault="003B155E" w:rsidP="000D79D6">
            <w:pPr>
              <w:jc w:val="both"/>
              <w:rPr>
                <w:rFonts w:ascii="Times New Roman" w:hAnsi="Times New Roman" w:cs="Times New Roman"/>
                <w:i/>
                <w:iCs/>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Neredeyse sadece geri kazanılmış ahşap kullanıldığında aralığın üst sınırı, 15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’e kadar çıkabilir.</w:t>
            </w:r>
          </w:p>
        </w:tc>
      </w:tr>
    </w:tbl>
    <w:p w14:paraId="75CD1465" w14:textId="1B3D1549" w:rsidR="003B155E" w:rsidRDefault="003B155E" w:rsidP="003B155E">
      <w:pPr>
        <w:spacing w:after="120" w:line="276" w:lineRule="auto"/>
        <w:jc w:val="both"/>
        <w:rPr>
          <w:rFonts w:ascii="Times New Roman" w:hAnsi="Times New Roman" w:cs="Times New Roman"/>
          <w:sz w:val="24"/>
          <w:szCs w:val="24"/>
        </w:rPr>
      </w:pPr>
    </w:p>
    <w:p w14:paraId="11665D80" w14:textId="77777777" w:rsidR="001208DC" w:rsidRDefault="001208DC" w:rsidP="003B155E">
      <w:pPr>
        <w:spacing w:after="120" w:line="276" w:lineRule="auto"/>
        <w:jc w:val="both"/>
        <w:rPr>
          <w:rFonts w:ascii="Times New Roman" w:hAnsi="Times New Roman" w:cs="Times New Roman"/>
          <w:sz w:val="24"/>
          <w:szCs w:val="24"/>
        </w:rPr>
      </w:pPr>
    </w:p>
    <w:p w14:paraId="57944DF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İlişkili izleme, MET 14’te verilmektedir.</w:t>
      </w:r>
    </w:p>
    <w:p w14:paraId="6F7EFC1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18:</w:t>
      </w:r>
      <w:r>
        <w:rPr>
          <w:rFonts w:ascii="Times New Roman" w:hAnsi="Times New Roman" w:cs="Times New Roman"/>
          <w:sz w:val="24"/>
          <w:szCs w:val="24"/>
        </w:rPr>
        <w:t xml:space="preserve"> Doğrudan ısıtılan kurutucu kaynaklı havaya olan NO</w:t>
      </w:r>
      <w:r>
        <w:rPr>
          <w:rFonts w:ascii="Times New Roman" w:hAnsi="Times New Roman" w:cs="Times New Roman"/>
          <w:sz w:val="24"/>
          <w:szCs w:val="24"/>
          <w:vertAlign w:val="subscript"/>
        </w:rPr>
        <w:t>x</w:t>
      </w:r>
      <w:r>
        <w:rPr>
          <w:rFonts w:ascii="Times New Roman" w:hAnsi="Times New Roman" w:cs="Times New Roman"/>
          <w:sz w:val="24"/>
          <w:szCs w:val="24"/>
        </w:rPr>
        <w:t xml:space="preserve"> emisyonlarını önlemek veya azaltmak için, (a) tekniği veya (b) tekniği ile birlikte (a) tekniği kullanılır.</w:t>
      </w:r>
    </w:p>
    <w:tbl>
      <w:tblPr>
        <w:tblStyle w:val="TabloKlavuzu"/>
        <w:tblW w:w="0" w:type="auto"/>
        <w:jc w:val="center"/>
        <w:tblLook w:val="04A0" w:firstRow="1" w:lastRow="0" w:firstColumn="1" w:lastColumn="0" w:noHBand="0" w:noVBand="1"/>
      </w:tblPr>
      <w:tblGrid>
        <w:gridCol w:w="503"/>
        <w:gridCol w:w="4518"/>
        <w:gridCol w:w="4041"/>
      </w:tblGrid>
      <w:tr w:rsidR="003B155E" w14:paraId="3EC1BD8E" w14:textId="77777777" w:rsidTr="000D79D6">
        <w:trPr>
          <w:tblHeader/>
          <w:jc w:val="center"/>
        </w:trPr>
        <w:tc>
          <w:tcPr>
            <w:tcW w:w="503" w:type="dxa"/>
            <w:vAlign w:val="center"/>
          </w:tcPr>
          <w:p w14:paraId="759969D2" w14:textId="77777777" w:rsidR="003B155E" w:rsidRPr="00276CE9" w:rsidRDefault="003B155E" w:rsidP="000D79D6">
            <w:pPr>
              <w:jc w:val="center"/>
              <w:rPr>
                <w:rFonts w:ascii="Times New Roman" w:hAnsi="Times New Roman" w:cs="Times New Roman"/>
                <w:b/>
                <w:bCs/>
              </w:rPr>
            </w:pPr>
          </w:p>
        </w:tc>
        <w:tc>
          <w:tcPr>
            <w:tcW w:w="4518" w:type="dxa"/>
            <w:vAlign w:val="center"/>
          </w:tcPr>
          <w:p w14:paraId="197DA67C"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0468AD01"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6DA41EFD" w14:textId="77777777" w:rsidTr="000D79D6">
        <w:trPr>
          <w:jc w:val="center"/>
        </w:trPr>
        <w:tc>
          <w:tcPr>
            <w:tcW w:w="503" w:type="dxa"/>
            <w:vAlign w:val="center"/>
          </w:tcPr>
          <w:p w14:paraId="2991C149"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57B0D90C" w14:textId="77777777" w:rsidR="003B155E" w:rsidRDefault="003B155E" w:rsidP="000D79D6">
            <w:pPr>
              <w:jc w:val="both"/>
              <w:rPr>
                <w:rFonts w:ascii="Times New Roman" w:hAnsi="Times New Roman" w:cs="Times New Roman"/>
              </w:rPr>
            </w:pPr>
            <w:r>
              <w:rPr>
                <w:rFonts w:ascii="Times New Roman" w:hAnsi="Times New Roman" w:cs="Times New Roman"/>
              </w:rPr>
              <w:t>Toz halinde yakma, akışkan yataklı kazan veya hareketli ızgaralı yakma uygulanırken hava ve yakıt aşamalı yakma kullanılarak yakma prosesinin etkin operasyonu.</w:t>
            </w:r>
          </w:p>
        </w:tc>
        <w:tc>
          <w:tcPr>
            <w:tcW w:w="4041" w:type="dxa"/>
            <w:vAlign w:val="center"/>
          </w:tcPr>
          <w:p w14:paraId="36837ECC"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14AB6C9F" w14:textId="77777777" w:rsidTr="000D79D6">
        <w:trPr>
          <w:jc w:val="center"/>
        </w:trPr>
        <w:tc>
          <w:tcPr>
            <w:tcW w:w="503" w:type="dxa"/>
            <w:vAlign w:val="center"/>
          </w:tcPr>
          <w:p w14:paraId="4C45C9AB"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2C568568" w14:textId="77777777" w:rsidR="003B155E" w:rsidRDefault="003B155E" w:rsidP="000D79D6">
            <w:pPr>
              <w:jc w:val="both"/>
              <w:rPr>
                <w:rFonts w:ascii="Times New Roman" w:hAnsi="Times New Roman" w:cs="Times New Roman"/>
              </w:rPr>
            </w:pPr>
            <w:r>
              <w:rPr>
                <w:rFonts w:ascii="Times New Roman" w:hAnsi="Times New Roman" w:cs="Times New Roman"/>
              </w:rPr>
              <w:t>Enjeksiyon ve üre veya sıvı amonyak ile reaksiyon yoluyla Seçici Katalitik Olmayan İndirgeme (SNCR)</w:t>
            </w:r>
          </w:p>
        </w:tc>
        <w:tc>
          <w:tcPr>
            <w:tcW w:w="4041" w:type="dxa"/>
            <w:vAlign w:val="center"/>
          </w:tcPr>
          <w:p w14:paraId="0E48A9EC" w14:textId="77777777" w:rsidR="003B155E" w:rsidRDefault="003B155E" w:rsidP="000D79D6">
            <w:pPr>
              <w:jc w:val="both"/>
              <w:rPr>
                <w:rFonts w:ascii="Times New Roman" w:hAnsi="Times New Roman" w:cs="Times New Roman"/>
              </w:rPr>
            </w:pPr>
            <w:r>
              <w:rPr>
                <w:rFonts w:ascii="Times New Roman" w:hAnsi="Times New Roman" w:cs="Times New Roman"/>
              </w:rPr>
              <w:t>Uygulanabilirlik, yüksek derecede değişken olan yakma koşulları ile kısıtlanabilir.</w:t>
            </w:r>
          </w:p>
        </w:tc>
      </w:tr>
    </w:tbl>
    <w:p w14:paraId="0F72D7D9" w14:textId="77777777" w:rsidR="003B155E" w:rsidRDefault="003B155E" w:rsidP="003B155E">
      <w:pPr>
        <w:spacing w:after="120" w:line="276" w:lineRule="auto"/>
        <w:jc w:val="both"/>
        <w:rPr>
          <w:rFonts w:ascii="Times New Roman" w:hAnsi="Times New Roman" w:cs="Times New Roman"/>
          <w:sz w:val="24"/>
          <w:szCs w:val="24"/>
        </w:rPr>
      </w:pPr>
    </w:p>
    <w:p w14:paraId="43CF4944" w14:textId="77777777"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2</w:t>
      </w:r>
    </w:p>
    <w:p w14:paraId="023AA0B4" w14:textId="77777777" w:rsidR="003B155E" w:rsidRPr="00F4193D"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Doğrudan ısıtılan kurutucu kaynaklı havaya olan NO</w:t>
      </w:r>
      <w:r>
        <w:rPr>
          <w:rFonts w:ascii="Times New Roman" w:hAnsi="Times New Roman" w:cs="Times New Roman"/>
          <w:b/>
          <w:bCs/>
          <w:sz w:val="24"/>
          <w:szCs w:val="24"/>
          <w:vertAlign w:val="subscript"/>
        </w:rPr>
        <w:t>x</w:t>
      </w:r>
      <w:r>
        <w:rPr>
          <w:rFonts w:ascii="Times New Roman" w:hAnsi="Times New Roman" w:cs="Times New Roman"/>
          <w:b/>
          <w:bCs/>
          <w:sz w:val="24"/>
          <w:szCs w:val="24"/>
        </w:rPr>
        <w:t xml:space="preserve"> emisyonlarına yönelik MET-İES’ler</w:t>
      </w:r>
    </w:p>
    <w:tbl>
      <w:tblPr>
        <w:tblStyle w:val="TabloKlavuzu"/>
        <w:tblW w:w="0" w:type="auto"/>
        <w:jc w:val="center"/>
        <w:tblLook w:val="04A0" w:firstRow="1" w:lastRow="0" w:firstColumn="1" w:lastColumn="0" w:noHBand="0" w:noVBand="1"/>
      </w:tblPr>
      <w:tblGrid>
        <w:gridCol w:w="1696"/>
        <w:gridCol w:w="3119"/>
        <w:gridCol w:w="4247"/>
      </w:tblGrid>
      <w:tr w:rsidR="003B155E" w14:paraId="4C61C2B2" w14:textId="77777777" w:rsidTr="000D79D6">
        <w:trPr>
          <w:tblHeader/>
          <w:jc w:val="center"/>
        </w:trPr>
        <w:tc>
          <w:tcPr>
            <w:tcW w:w="1696" w:type="dxa"/>
            <w:vAlign w:val="center"/>
          </w:tcPr>
          <w:p w14:paraId="1E33DB8E"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119" w:type="dxa"/>
            <w:vAlign w:val="center"/>
          </w:tcPr>
          <w:p w14:paraId="467A98FA"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Birim</w:t>
            </w:r>
          </w:p>
        </w:tc>
        <w:tc>
          <w:tcPr>
            <w:tcW w:w="4247" w:type="dxa"/>
          </w:tcPr>
          <w:p w14:paraId="684B76C0"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32178BFA" w14:textId="77777777" w:rsidR="003B155E" w:rsidRDefault="003B155E" w:rsidP="000D79D6">
            <w:pPr>
              <w:jc w:val="center"/>
              <w:rPr>
                <w:rFonts w:ascii="Times New Roman" w:hAnsi="Times New Roman" w:cs="Times New Roman"/>
                <w:b/>
                <w:bCs/>
              </w:rPr>
            </w:pPr>
            <w:r>
              <w:rPr>
                <w:rFonts w:ascii="Times New Roman" w:hAnsi="Times New Roman" w:cs="Times New Roman"/>
                <w:b/>
                <w:bCs/>
              </w:rPr>
              <w:t>(örnekleme süresi üzerinden ortalama)</w:t>
            </w:r>
          </w:p>
        </w:tc>
      </w:tr>
      <w:tr w:rsidR="003B155E" w14:paraId="7DAA4BD5" w14:textId="77777777" w:rsidTr="000D79D6">
        <w:trPr>
          <w:jc w:val="center"/>
        </w:trPr>
        <w:tc>
          <w:tcPr>
            <w:tcW w:w="1696" w:type="dxa"/>
            <w:tcBorders>
              <w:bottom w:val="single" w:sz="4" w:space="0" w:color="auto"/>
            </w:tcBorders>
            <w:vAlign w:val="center"/>
          </w:tcPr>
          <w:p w14:paraId="5D770E70"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NO</w:t>
            </w:r>
            <w:r>
              <w:rPr>
                <w:rFonts w:ascii="Times New Roman" w:hAnsi="Times New Roman" w:cs="Times New Roman"/>
                <w:vertAlign w:val="subscript"/>
              </w:rPr>
              <w:t>x</w:t>
            </w:r>
          </w:p>
        </w:tc>
        <w:tc>
          <w:tcPr>
            <w:tcW w:w="3119" w:type="dxa"/>
            <w:tcBorders>
              <w:bottom w:val="single" w:sz="4" w:space="0" w:color="auto"/>
            </w:tcBorders>
            <w:vAlign w:val="center"/>
          </w:tcPr>
          <w:p w14:paraId="3B71CE7B"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r>
              <w:rPr>
                <w:rFonts w:ascii="Times New Roman" w:hAnsi="Times New Roman" w:cs="Times New Roman"/>
              </w:rPr>
              <w:t xml:space="preserve"> </w:t>
            </w:r>
          </w:p>
        </w:tc>
        <w:tc>
          <w:tcPr>
            <w:tcW w:w="4247" w:type="dxa"/>
            <w:tcBorders>
              <w:bottom w:val="single" w:sz="4" w:space="0" w:color="auto"/>
            </w:tcBorders>
            <w:vAlign w:val="center"/>
          </w:tcPr>
          <w:p w14:paraId="180B1ED3" w14:textId="77777777" w:rsidR="003B155E" w:rsidRDefault="003B155E" w:rsidP="000D79D6">
            <w:pPr>
              <w:jc w:val="center"/>
              <w:rPr>
                <w:rFonts w:ascii="Times New Roman" w:hAnsi="Times New Roman" w:cs="Times New Roman"/>
              </w:rPr>
            </w:pPr>
            <w:r>
              <w:rPr>
                <w:rFonts w:ascii="Times New Roman" w:hAnsi="Times New Roman" w:cs="Times New Roman"/>
              </w:rPr>
              <w:t>30-250</w:t>
            </w:r>
          </w:p>
        </w:tc>
      </w:tr>
    </w:tbl>
    <w:p w14:paraId="092C19A7" w14:textId="77777777" w:rsidR="003B155E" w:rsidRDefault="003B155E" w:rsidP="003B155E">
      <w:pPr>
        <w:spacing w:after="120" w:line="276" w:lineRule="auto"/>
        <w:jc w:val="both"/>
        <w:rPr>
          <w:rFonts w:ascii="Times New Roman" w:hAnsi="Times New Roman" w:cs="Times New Roman"/>
          <w:sz w:val="24"/>
          <w:szCs w:val="24"/>
        </w:rPr>
      </w:pPr>
    </w:p>
    <w:p w14:paraId="7BE0C51A"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14’te verilmektedir.</w:t>
      </w:r>
    </w:p>
    <w:p w14:paraId="78F6617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19:</w:t>
      </w:r>
      <w:r>
        <w:rPr>
          <w:rFonts w:ascii="Times New Roman" w:hAnsi="Times New Roman" w:cs="Times New Roman"/>
          <w:sz w:val="24"/>
          <w:szCs w:val="24"/>
        </w:rPr>
        <w:t xml:space="preserve"> Presten kaynaklanan havaya emisyonları önlemek veya azaltmak için, toplanan pres atık gazı kanal içinde söndürülür ve aşağıdaki tekniklerin uygun bir kombinasyonu kullanılır.</w:t>
      </w:r>
    </w:p>
    <w:tbl>
      <w:tblPr>
        <w:tblStyle w:val="TabloKlavuzu"/>
        <w:tblW w:w="0" w:type="auto"/>
        <w:jc w:val="center"/>
        <w:tblLook w:val="04A0" w:firstRow="1" w:lastRow="0" w:firstColumn="1" w:lastColumn="0" w:noHBand="0" w:noVBand="1"/>
      </w:tblPr>
      <w:tblGrid>
        <w:gridCol w:w="431"/>
        <w:gridCol w:w="3031"/>
        <w:gridCol w:w="2485"/>
        <w:gridCol w:w="3115"/>
      </w:tblGrid>
      <w:tr w:rsidR="003B155E" w14:paraId="1DBE0E5E" w14:textId="77777777" w:rsidTr="000D79D6">
        <w:trPr>
          <w:tblHeader/>
          <w:jc w:val="center"/>
        </w:trPr>
        <w:tc>
          <w:tcPr>
            <w:tcW w:w="431" w:type="dxa"/>
            <w:vAlign w:val="center"/>
          </w:tcPr>
          <w:p w14:paraId="1F051494" w14:textId="77777777" w:rsidR="003B155E" w:rsidRPr="00276CE9" w:rsidRDefault="003B155E" w:rsidP="000D79D6">
            <w:pPr>
              <w:jc w:val="center"/>
              <w:rPr>
                <w:rFonts w:ascii="Times New Roman" w:hAnsi="Times New Roman" w:cs="Times New Roman"/>
                <w:b/>
                <w:bCs/>
              </w:rPr>
            </w:pPr>
          </w:p>
        </w:tc>
        <w:tc>
          <w:tcPr>
            <w:tcW w:w="3031" w:type="dxa"/>
            <w:vAlign w:val="center"/>
          </w:tcPr>
          <w:p w14:paraId="20F3343B"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2485" w:type="dxa"/>
          </w:tcPr>
          <w:p w14:paraId="2D277355" w14:textId="77777777" w:rsidR="003B155E" w:rsidRDefault="003B155E" w:rsidP="000D79D6">
            <w:pPr>
              <w:jc w:val="center"/>
              <w:rPr>
                <w:rFonts w:ascii="Times New Roman" w:hAnsi="Times New Roman" w:cs="Times New Roman"/>
                <w:b/>
                <w:bCs/>
              </w:rPr>
            </w:pPr>
            <w:r>
              <w:rPr>
                <w:rFonts w:ascii="Times New Roman" w:hAnsi="Times New Roman" w:cs="Times New Roman"/>
                <w:b/>
                <w:bCs/>
              </w:rPr>
              <w:t>Başlıca Azaltılan Kirleticiler</w:t>
            </w:r>
          </w:p>
        </w:tc>
        <w:tc>
          <w:tcPr>
            <w:tcW w:w="3115" w:type="dxa"/>
          </w:tcPr>
          <w:p w14:paraId="5D804AAF"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4B8307FB" w14:textId="77777777" w:rsidTr="000D79D6">
        <w:trPr>
          <w:jc w:val="center"/>
        </w:trPr>
        <w:tc>
          <w:tcPr>
            <w:tcW w:w="431" w:type="dxa"/>
            <w:vAlign w:val="center"/>
          </w:tcPr>
          <w:p w14:paraId="1F39EA1E"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3031" w:type="dxa"/>
            <w:vAlign w:val="center"/>
          </w:tcPr>
          <w:p w14:paraId="0BD73CB2" w14:textId="77777777" w:rsidR="003B155E" w:rsidRDefault="003B155E" w:rsidP="000D79D6">
            <w:pPr>
              <w:jc w:val="both"/>
              <w:rPr>
                <w:rFonts w:ascii="Times New Roman" w:hAnsi="Times New Roman" w:cs="Times New Roman"/>
              </w:rPr>
            </w:pPr>
            <w:r>
              <w:rPr>
                <w:rFonts w:ascii="Times New Roman" w:hAnsi="Times New Roman" w:cs="Times New Roman"/>
              </w:rPr>
              <w:t>Düşük formaldehit içerikli reçinelerin seçimi</w:t>
            </w:r>
          </w:p>
        </w:tc>
        <w:tc>
          <w:tcPr>
            <w:tcW w:w="2485" w:type="dxa"/>
            <w:vAlign w:val="center"/>
          </w:tcPr>
          <w:p w14:paraId="5B402A31" w14:textId="77777777" w:rsidR="003B155E" w:rsidRDefault="003B155E" w:rsidP="000D79D6">
            <w:pPr>
              <w:jc w:val="both"/>
              <w:rPr>
                <w:rFonts w:ascii="Times New Roman" w:hAnsi="Times New Roman" w:cs="Times New Roman"/>
              </w:rPr>
            </w:pPr>
            <w:r>
              <w:rPr>
                <w:rFonts w:ascii="Times New Roman" w:hAnsi="Times New Roman" w:cs="Times New Roman"/>
              </w:rPr>
              <w:t>Uçucu organik bileşikler</w:t>
            </w:r>
          </w:p>
        </w:tc>
        <w:tc>
          <w:tcPr>
            <w:tcW w:w="3115" w:type="dxa"/>
            <w:vAlign w:val="center"/>
          </w:tcPr>
          <w:p w14:paraId="479F761D" w14:textId="77777777" w:rsidR="003B155E" w:rsidRDefault="003B155E" w:rsidP="000D79D6">
            <w:pPr>
              <w:jc w:val="both"/>
              <w:rPr>
                <w:rFonts w:ascii="Times New Roman" w:hAnsi="Times New Roman" w:cs="Times New Roman"/>
              </w:rPr>
            </w:pPr>
            <w:r>
              <w:rPr>
                <w:rFonts w:ascii="Times New Roman" w:hAnsi="Times New Roman" w:cs="Times New Roman"/>
              </w:rPr>
              <w:t>Uygulanabilirlik kısıtlı olabilir; örn. özel ürün kalitesine yönelik taleplerden dolayı.</w:t>
            </w:r>
          </w:p>
        </w:tc>
      </w:tr>
      <w:tr w:rsidR="003B155E" w14:paraId="4881C240" w14:textId="77777777" w:rsidTr="000D79D6">
        <w:trPr>
          <w:jc w:val="center"/>
        </w:trPr>
        <w:tc>
          <w:tcPr>
            <w:tcW w:w="431" w:type="dxa"/>
            <w:vAlign w:val="center"/>
          </w:tcPr>
          <w:p w14:paraId="7CD61307"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3031" w:type="dxa"/>
            <w:vAlign w:val="center"/>
          </w:tcPr>
          <w:p w14:paraId="3BA4F47F" w14:textId="77777777" w:rsidR="003B155E" w:rsidRDefault="003B155E" w:rsidP="000D79D6">
            <w:pPr>
              <w:jc w:val="both"/>
              <w:rPr>
                <w:rFonts w:ascii="Times New Roman" w:hAnsi="Times New Roman" w:cs="Times New Roman"/>
              </w:rPr>
            </w:pPr>
            <w:r>
              <w:rPr>
                <w:rFonts w:ascii="Times New Roman" w:hAnsi="Times New Roman" w:cs="Times New Roman"/>
              </w:rPr>
              <w:t>Eşit pres sıcaklığı, uygulanan basınç ve pres hızı ile birlikte presin kontrollü operasyonu</w:t>
            </w:r>
          </w:p>
        </w:tc>
        <w:tc>
          <w:tcPr>
            <w:tcW w:w="2485" w:type="dxa"/>
            <w:vAlign w:val="center"/>
          </w:tcPr>
          <w:p w14:paraId="424476D7" w14:textId="77777777" w:rsidR="003B155E" w:rsidRDefault="003B155E" w:rsidP="000D79D6">
            <w:pPr>
              <w:jc w:val="both"/>
              <w:rPr>
                <w:rFonts w:ascii="Times New Roman" w:hAnsi="Times New Roman" w:cs="Times New Roman"/>
              </w:rPr>
            </w:pPr>
            <w:r>
              <w:rPr>
                <w:rFonts w:ascii="Times New Roman" w:hAnsi="Times New Roman" w:cs="Times New Roman"/>
              </w:rPr>
              <w:t>Uçucu organik bileşikler</w:t>
            </w:r>
          </w:p>
        </w:tc>
        <w:tc>
          <w:tcPr>
            <w:tcW w:w="3115" w:type="dxa"/>
            <w:vAlign w:val="center"/>
          </w:tcPr>
          <w:p w14:paraId="578FF39D" w14:textId="77777777" w:rsidR="003B155E" w:rsidRDefault="003B155E" w:rsidP="000D79D6">
            <w:pPr>
              <w:jc w:val="both"/>
              <w:rPr>
                <w:rFonts w:ascii="Times New Roman" w:hAnsi="Times New Roman" w:cs="Times New Roman"/>
              </w:rPr>
            </w:pPr>
            <w:r>
              <w:rPr>
                <w:rFonts w:ascii="Times New Roman" w:hAnsi="Times New Roman" w:cs="Times New Roman"/>
              </w:rPr>
              <w:t>Uygulanabilirlik kısıtlı olabilir; örn. presin özel ürün kalitesine yönelik gereksinimler için operasyonundan dolayı.</w:t>
            </w:r>
          </w:p>
        </w:tc>
      </w:tr>
      <w:tr w:rsidR="003B155E" w14:paraId="3B88DE86" w14:textId="77777777" w:rsidTr="000D79D6">
        <w:trPr>
          <w:jc w:val="center"/>
        </w:trPr>
        <w:tc>
          <w:tcPr>
            <w:tcW w:w="431" w:type="dxa"/>
            <w:vAlign w:val="center"/>
          </w:tcPr>
          <w:p w14:paraId="3505E086"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3031" w:type="dxa"/>
            <w:vAlign w:val="center"/>
          </w:tcPr>
          <w:p w14:paraId="3D835543" w14:textId="77777777" w:rsidR="003B155E" w:rsidRDefault="003B155E" w:rsidP="000D79D6">
            <w:pPr>
              <w:jc w:val="both"/>
              <w:rPr>
                <w:rFonts w:ascii="Times New Roman" w:hAnsi="Times New Roman" w:cs="Times New Roman"/>
              </w:rPr>
            </w:pPr>
            <w:r>
              <w:rPr>
                <w:rFonts w:ascii="Times New Roman" w:hAnsi="Times New Roman" w:cs="Times New Roman"/>
              </w:rPr>
              <w:t>Toplanan pres atık gazlarının Venturi yıkayıcıları veya hidrosiklonlar vb. kullanılarak ıslak yıkanması</w:t>
            </w:r>
          </w:p>
        </w:tc>
        <w:tc>
          <w:tcPr>
            <w:tcW w:w="2485" w:type="dxa"/>
            <w:vAlign w:val="center"/>
          </w:tcPr>
          <w:p w14:paraId="726ACA59"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Merge w:val="restart"/>
            <w:vAlign w:val="center"/>
          </w:tcPr>
          <w:p w14:paraId="05E19E77"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82B6ADB" w14:textId="77777777" w:rsidTr="000D79D6">
        <w:trPr>
          <w:jc w:val="center"/>
        </w:trPr>
        <w:tc>
          <w:tcPr>
            <w:tcW w:w="431" w:type="dxa"/>
            <w:vAlign w:val="center"/>
          </w:tcPr>
          <w:p w14:paraId="0CCD835D" w14:textId="77777777" w:rsidR="003B155E" w:rsidRDefault="003B155E" w:rsidP="000D79D6">
            <w:pPr>
              <w:jc w:val="center"/>
              <w:rPr>
                <w:rFonts w:ascii="Times New Roman" w:hAnsi="Times New Roman" w:cs="Times New Roman"/>
              </w:rPr>
            </w:pPr>
            <w:r>
              <w:rPr>
                <w:rFonts w:ascii="Times New Roman" w:hAnsi="Times New Roman" w:cs="Times New Roman"/>
              </w:rPr>
              <w:t>d</w:t>
            </w:r>
          </w:p>
        </w:tc>
        <w:tc>
          <w:tcPr>
            <w:tcW w:w="3031" w:type="dxa"/>
            <w:vAlign w:val="center"/>
          </w:tcPr>
          <w:p w14:paraId="4335419B" w14:textId="77777777" w:rsidR="003B155E" w:rsidRDefault="003B155E" w:rsidP="000D79D6">
            <w:pPr>
              <w:jc w:val="both"/>
              <w:rPr>
                <w:rFonts w:ascii="Times New Roman" w:hAnsi="Times New Roman" w:cs="Times New Roman"/>
              </w:rPr>
            </w:pPr>
            <w:r>
              <w:rPr>
                <w:rFonts w:ascii="Times New Roman" w:hAnsi="Times New Roman" w:cs="Times New Roman"/>
              </w:rPr>
              <w:t>Islak elektrostatik filtre</w:t>
            </w:r>
          </w:p>
        </w:tc>
        <w:tc>
          <w:tcPr>
            <w:tcW w:w="2485" w:type="dxa"/>
            <w:vAlign w:val="center"/>
          </w:tcPr>
          <w:p w14:paraId="6D22A156"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Merge/>
            <w:vAlign w:val="center"/>
          </w:tcPr>
          <w:p w14:paraId="64944BC3" w14:textId="77777777" w:rsidR="003B155E" w:rsidRDefault="003B155E" w:rsidP="000D79D6">
            <w:pPr>
              <w:jc w:val="both"/>
              <w:rPr>
                <w:rFonts w:ascii="Times New Roman" w:hAnsi="Times New Roman" w:cs="Times New Roman"/>
              </w:rPr>
            </w:pPr>
          </w:p>
        </w:tc>
      </w:tr>
      <w:tr w:rsidR="003B155E" w14:paraId="15EE2BA8" w14:textId="77777777" w:rsidTr="000D79D6">
        <w:trPr>
          <w:jc w:val="center"/>
        </w:trPr>
        <w:tc>
          <w:tcPr>
            <w:tcW w:w="431" w:type="dxa"/>
            <w:vAlign w:val="center"/>
          </w:tcPr>
          <w:p w14:paraId="24AF266E" w14:textId="77777777" w:rsidR="003B155E" w:rsidRDefault="003B155E" w:rsidP="000D79D6">
            <w:pPr>
              <w:jc w:val="center"/>
              <w:rPr>
                <w:rFonts w:ascii="Times New Roman" w:hAnsi="Times New Roman" w:cs="Times New Roman"/>
              </w:rPr>
            </w:pPr>
            <w:r>
              <w:rPr>
                <w:rFonts w:ascii="Times New Roman" w:hAnsi="Times New Roman" w:cs="Times New Roman"/>
              </w:rPr>
              <w:t>e</w:t>
            </w:r>
          </w:p>
        </w:tc>
        <w:tc>
          <w:tcPr>
            <w:tcW w:w="3031" w:type="dxa"/>
            <w:vAlign w:val="center"/>
          </w:tcPr>
          <w:p w14:paraId="6E621FC0" w14:textId="77777777" w:rsidR="003B155E" w:rsidRDefault="003B155E" w:rsidP="000D79D6">
            <w:pPr>
              <w:jc w:val="both"/>
              <w:rPr>
                <w:rFonts w:ascii="Times New Roman" w:hAnsi="Times New Roman" w:cs="Times New Roman"/>
              </w:rPr>
            </w:pPr>
            <w:r>
              <w:rPr>
                <w:rFonts w:ascii="Times New Roman" w:hAnsi="Times New Roman" w:cs="Times New Roman"/>
              </w:rPr>
              <w:t>Biyoyıkayıcı</w:t>
            </w:r>
          </w:p>
        </w:tc>
        <w:tc>
          <w:tcPr>
            <w:tcW w:w="2485" w:type="dxa"/>
            <w:vAlign w:val="center"/>
          </w:tcPr>
          <w:p w14:paraId="45690821"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Merge/>
            <w:vAlign w:val="center"/>
          </w:tcPr>
          <w:p w14:paraId="6969ABBC" w14:textId="77777777" w:rsidR="003B155E" w:rsidRDefault="003B155E" w:rsidP="000D79D6">
            <w:pPr>
              <w:jc w:val="both"/>
              <w:rPr>
                <w:rFonts w:ascii="Times New Roman" w:hAnsi="Times New Roman" w:cs="Times New Roman"/>
              </w:rPr>
            </w:pPr>
          </w:p>
        </w:tc>
      </w:tr>
      <w:tr w:rsidR="003B155E" w14:paraId="49A4C744" w14:textId="77777777" w:rsidTr="000D79D6">
        <w:trPr>
          <w:jc w:val="center"/>
        </w:trPr>
        <w:tc>
          <w:tcPr>
            <w:tcW w:w="431" w:type="dxa"/>
            <w:vAlign w:val="center"/>
          </w:tcPr>
          <w:p w14:paraId="6D0D9622" w14:textId="77777777" w:rsidR="003B155E" w:rsidRDefault="003B155E" w:rsidP="000D79D6">
            <w:pPr>
              <w:jc w:val="center"/>
              <w:rPr>
                <w:rFonts w:ascii="Times New Roman" w:hAnsi="Times New Roman" w:cs="Times New Roman"/>
              </w:rPr>
            </w:pPr>
            <w:r>
              <w:rPr>
                <w:rFonts w:ascii="Times New Roman" w:hAnsi="Times New Roman" w:cs="Times New Roman"/>
              </w:rPr>
              <w:t>f</w:t>
            </w:r>
          </w:p>
        </w:tc>
        <w:tc>
          <w:tcPr>
            <w:tcW w:w="3031" w:type="dxa"/>
            <w:vAlign w:val="center"/>
          </w:tcPr>
          <w:p w14:paraId="3D4588D8" w14:textId="77777777" w:rsidR="003B155E" w:rsidRDefault="003B155E" w:rsidP="000D79D6">
            <w:pPr>
              <w:jc w:val="both"/>
              <w:rPr>
                <w:rFonts w:ascii="Times New Roman" w:hAnsi="Times New Roman" w:cs="Times New Roman"/>
              </w:rPr>
            </w:pPr>
            <w:r>
              <w:rPr>
                <w:rFonts w:ascii="Times New Roman" w:hAnsi="Times New Roman" w:cs="Times New Roman"/>
              </w:rPr>
              <w:t>Islak yıkayıcı uygulamasından sonra son işlem adımı olarak yakma sonrası</w:t>
            </w:r>
          </w:p>
        </w:tc>
        <w:tc>
          <w:tcPr>
            <w:tcW w:w="2485" w:type="dxa"/>
            <w:vAlign w:val="center"/>
          </w:tcPr>
          <w:p w14:paraId="2F9F8EED" w14:textId="77777777" w:rsidR="003B155E" w:rsidRDefault="003B155E" w:rsidP="000D79D6">
            <w:pPr>
              <w:jc w:val="both"/>
              <w:rPr>
                <w:rFonts w:ascii="Times New Roman" w:hAnsi="Times New Roman" w:cs="Times New Roman"/>
              </w:rPr>
            </w:pPr>
            <w:r>
              <w:rPr>
                <w:rFonts w:ascii="Times New Roman" w:hAnsi="Times New Roman" w:cs="Times New Roman"/>
              </w:rPr>
              <w:t>Toz, uçucu organik bileşikler</w:t>
            </w:r>
          </w:p>
        </w:tc>
        <w:tc>
          <w:tcPr>
            <w:tcW w:w="3115" w:type="dxa"/>
            <w:vAlign w:val="center"/>
          </w:tcPr>
          <w:p w14:paraId="173AE661" w14:textId="77777777" w:rsidR="003B155E" w:rsidRDefault="003B155E" w:rsidP="000D79D6">
            <w:pPr>
              <w:jc w:val="both"/>
              <w:rPr>
                <w:rFonts w:ascii="Times New Roman" w:hAnsi="Times New Roman" w:cs="Times New Roman"/>
              </w:rPr>
            </w:pPr>
            <w:r>
              <w:rPr>
                <w:rFonts w:ascii="Times New Roman" w:hAnsi="Times New Roman" w:cs="Times New Roman"/>
              </w:rPr>
              <w:t>Uygulanabilirlik, uygun bir yakma biriminin olmadığı mevcut tesisler için kısıtlanabilir.</w:t>
            </w:r>
          </w:p>
        </w:tc>
      </w:tr>
    </w:tbl>
    <w:p w14:paraId="517D661A" w14:textId="1F1DB205" w:rsidR="003B155E" w:rsidRDefault="003B155E" w:rsidP="003B155E">
      <w:pPr>
        <w:spacing w:after="120" w:line="276" w:lineRule="auto"/>
        <w:jc w:val="both"/>
        <w:rPr>
          <w:rFonts w:ascii="Times New Roman" w:hAnsi="Times New Roman" w:cs="Times New Roman"/>
          <w:sz w:val="24"/>
          <w:szCs w:val="24"/>
        </w:rPr>
      </w:pPr>
    </w:p>
    <w:p w14:paraId="51433E56" w14:textId="1BBB3EE3" w:rsidR="001208DC" w:rsidRDefault="001208DC" w:rsidP="003B155E">
      <w:pPr>
        <w:spacing w:after="120" w:line="276" w:lineRule="auto"/>
        <w:jc w:val="both"/>
        <w:rPr>
          <w:rFonts w:ascii="Times New Roman" w:hAnsi="Times New Roman" w:cs="Times New Roman"/>
          <w:sz w:val="24"/>
          <w:szCs w:val="24"/>
        </w:rPr>
      </w:pPr>
    </w:p>
    <w:p w14:paraId="7968558A" w14:textId="77777777" w:rsidR="001208DC" w:rsidRDefault="001208DC" w:rsidP="003B155E">
      <w:pPr>
        <w:spacing w:after="120" w:line="276" w:lineRule="auto"/>
        <w:jc w:val="both"/>
        <w:rPr>
          <w:rFonts w:ascii="Times New Roman" w:hAnsi="Times New Roman" w:cs="Times New Roman"/>
          <w:sz w:val="24"/>
          <w:szCs w:val="24"/>
        </w:rPr>
      </w:pPr>
    </w:p>
    <w:p w14:paraId="52C2CA96" w14:textId="77777777"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lastRenderedPageBreak/>
        <w:t>Tablo 3</w:t>
      </w:r>
    </w:p>
    <w:p w14:paraId="15E2BFDA" w14:textId="77777777" w:rsidR="003B155E" w:rsidRPr="00B04F64"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Presten kaynaklanan havaya emisyonlara yönelik MET-İES’ler</w:t>
      </w:r>
    </w:p>
    <w:tbl>
      <w:tblPr>
        <w:tblStyle w:val="TabloKlavuzu"/>
        <w:tblW w:w="0" w:type="auto"/>
        <w:jc w:val="center"/>
        <w:tblLook w:val="04A0" w:firstRow="1" w:lastRow="0" w:firstColumn="1" w:lastColumn="0" w:noHBand="0" w:noVBand="1"/>
      </w:tblPr>
      <w:tblGrid>
        <w:gridCol w:w="1696"/>
        <w:gridCol w:w="3119"/>
        <w:gridCol w:w="4247"/>
      </w:tblGrid>
      <w:tr w:rsidR="003B155E" w14:paraId="0BA65ED1" w14:textId="77777777" w:rsidTr="000D79D6">
        <w:trPr>
          <w:tblHeader/>
          <w:jc w:val="center"/>
        </w:trPr>
        <w:tc>
          <w:tcPr>
            <w:tcW w:w="1696" w:type="dxa"/>
            <w:vAlign w:val="center"/>
          </w:tcPr>
          <w:p w14:paraId="36E6BC21"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119" w:type="dxa"/>
            <w:vAlign w:val="center"/>
          </w:tcPr>
          <w:p w14:paraId="4CCBFEBA"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Birim</w:t>
            </w:r>
          </w:p>
        </w:tc>
        <w:tc>
          <w:tcPr>
            <w:tcW w:w="4247" w:type="dxa"/>
          </w:tcPr>
          <w:p w14:paraId="48F7FD03"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6CB234F4" w14:textId="77777777" w:rsidR="003B155E" w:rsidRDefault="003B155E" w:rsidP="000D79D6">
            <w:pPr>
              <w:jc w:val="center"/>
              <w:rPr>
                <w:rFonts w:ascii="Times New Roman" w:hAnsi="Times New Roman" w:cs="Times New Roman"/>
                <w:b/>
                <w:bCs/>
              </w:rPr>
            </w:pPr>
            <w:r>
              <w:rPr>
                <w:rFonts w:ascii="Times New Roman" w:hAnsi="Times New Roman" w:cs="Times New Roman"/>
                <w:b/>
                <w:bCs/>
              </w:rPr>
              <w:t>(örnekleme süresi üzerinden ortalama)</w:t>
            </w:r>
          </w:p>
        </w:tc>
      </w:tr>
      <w:tr w:rsidR="003B155E" w14:paraId="49D194C2" w14:textId="77777777" w:rsidTr="000D79D6">
        <w:trPr>
          <w:jc w:val="center"/>
        </w:trPr>
        <w:tc>
          <w:tcPr>
            <w:tcW w:w="1696" w:type="dxa"/>
            <w:vAlign w:val="center"/>
          </w:tcPr>
          <w:p w14:paraId="08903A3E"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Toz</w:t>
            </w:r>
          </w:p>
        </w:tc>
        <w:tc>
          <w:tcPr>
            <w:tcW w:w="3119" w:type="dxa"/>
            <w:vAlign w:val="center"/>
          </w:tcPr>
          <w:p w14:paraId="2017067C"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r>
              <w:rPr>
                <w:rFonts w:ascii="Times New Roman" w:hAnsi="Times New Roman" w:cs="Times New Roman"/>
              </w:rPr>
              <w:t xml:space="preserve"> </w:t>
            </w:r>
          </w:p>
        </w:tc>
        <w:tc>
          <w:tcPr>
            <w:tcW w:w="4247" w:type="dxa"/>
            <w:vAlign w:val="center"/>
          </w:tcPr>
          <w:p w14:paraId="2E609219" w14:textId="77777777" w:rsidR="003B155E" w:rsidRDefault="003B155E" w:rsidP="000D79D6">
            <w:pPr>
              <w:jc w:val="center"/>
              <w:rPr>
                <w:rFonts w:ascii="Times New Roman" w:hAnsi="Times New Roman" w:cs="Times New Roman"/>
              </w:rPr>
            </w:pPr>
            <w:r>
              <w:rPr>
                <w:rFonts w:ascii="Times New Roman" w:hAnsi="Times New Roman" w:cs="Times New Roman"/>
              </w:rPr>
              <w:t>3-15</w:t>
            </w:r>
          </w:p>
        </w:tc>
      </w:tr>
      <w:tr w:rsidR="003B155E" w14:paraId="4BC844A1" w14:textId="77777777" w:rsidTr="000D79D6">
        <w:trPr>
          <w:jc w:val="center"/>
        </w:trPr>
        <w:tc>
          <w:tcPr>
            <w:tcW w:w="1696" w:type="dxa"/>
            <w:tcBorders>
              <w:bottom w:val="single" w:sz="4" w:space="0" w:color="auto"/>
            </w:tcBorders>
            <w:vAlign w:val="center"/>
          </w:tcPr>
          <w:p w14:paraId="0844C1DA" w14:textId="77777777" w:rsidR="003B155E" w:rsidRDefault="003B155E" w:rsidP="000D79D6">
            <w:pPr>
              <w:jc w:val="center"/>
              <w:rPr>
                <w:rFonts w:ascii="Times New Roman" w:hAnsi="Times New Roman" w:cs="Times New Roman"/>
              </w:rPr>
            </w:pPr>
            <w:r>
              <w:rPr>
                <w:rFonts w:ascii="Times New Roman" w:hAnsi="Times New Roman" w:cs="Times New Roman"/>
              </w:rPr>
              <w:t>T</w:t>
            </w:r>
            <w:r w:rsidR="009D570E">
              <w:rPr>
                <w:rFonts w:ascii="Times New Roman" w:hAnsi="Times New Roman" w:cs="Times New Roman"/>
              </w:rPr>
              <w:t>UOB</w:t>
            </w:r>
          </w:p>
        </w:tc>
        <w:tc>
          <w:tcPr>
            <w:tcW w:w="3119" w:type="dxa"/>
            <w:tcBorders>
              <w:bottom w:val="single" w:sz="4" w:space="0" w:color="auto"/>
            </w:tcBorders>
            <w:vAlign w:val="center"/>
          </w:tcPr>
          <w:p w14:paraId="50CD86D6" w14:textId="77777777" w:rsidR="003B155E"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p>
        </w:tc>
        <w:tc>
          <w:tcPr>
            <w:tcW w:w="4247" w:type="dxa"/>
            <w:tcBorders>
              <w:bottom w:val="single" w:sz="4" w:space="0" w:color="auto"/>
            </w:tcBorders>
            <w:vAlign w:val="center"/>
          </w:tcPr>
          <w:p w14:paraId="77BA93E2" w14:textId="77777777" w:rsidR="003B155E" w:rsidRDefault="003B155E" w:rsidP="000D79D6">
            <w:pPr>
              <w:jc w:val="center"/>
              <w:rPr>
                <w:rFonts w:ascii="Times New Roman" w:hAnsi="Times New Roman" w:cs="Times New Roman"/>
              </w:rPr>
            </w:pPr>
            <w:r>
              <w:rPr>
                <w:rFonts w:ascii="Times New Roman" w:hAnsi="Times New Roman" w:cs="Times New Roman"/>
              </w:rPr>
              <w:t>10-100</w:t>
            </w:r>
          </w:p>
        </w:tc>
      </w:tr>
      <w:tr w:rsidR="003B155E" w14:paraId="7E685375" w14:textId="77777777" w:rsidTr="000D79D6">
        <w:trPr>
          <w:jc w:val="center"/>
        </w:trPr>
        <w:tc>
          <w:tcPr>
            <w:tcW w:w="1696" w:type="dxa"/>
            <w:tcBorders>
              <w:bottom w:val="single" w:sz="4" w:space="0" w:color="auto"/>
            </w:tcBorders>
            <w:vAlign w:val="center"/>
          </w:tcPr>
          <w:p w14:paraId="5CFDB452" w14:textId="77777777" w:rsidR="003B155E" w:rsidRDefault="003B155E" w:rsidP="000D79D6">
            <w:pPr>
              <w:jc w:val="center"/>
              <w:rPr>
                <w:rFonts w:ascii="Times New Roman" w:hAnsi="Times New Roman" w:cs="Times New Roman"/>
              </w:rPr>
            </w:pPr>
            <w:r>
              <w:rPr>
                <w:rFonts w:ascii="Times New Roman" w:hAnsi="Times New Roman" w:cs="Times New Roman"/>
              </w:rPr>
              <w:t>Formaldehit</w:t>
            </w:r>
          </w:p>
        </w:tc>
        <w:tc>
          <w:tcPr>
            <w:tcW w:w="3119" w:type="dxa"/>
            <w:tcBorders>
              <w:bottom w:val="single" w:sz="4" w:space="0" w:color="auto"/>
            </w:tcBorders>
            <w:vAlign w:val="center"/>
          </w:tcPr>
          <w:p w14:paraId="0BFB93D8" w14:textId="77777777" w:rsidR="003B155E"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p>
        </w:tc>
        <w:tc>
          <w:tcPr>
            <w:tcW w:w="4247" w:type="dxa"/>
            <w:tcBorders>
              <w:bottom w:val="single" w:sz="4" w:space="0" w:color="auto"/>
            </w:tcBorders>
            <w:vAlign w:val="center"/>
          </w:tcPr>
          <w:p w14:paraId="4D638814" w14:textId="77777777" w:rsidR="003B155E" w:rsidRDefault="003B155E" w:rsidP="000D79D6">
            <w:pPr>
              <w:jc w:val="center"/>
              <w:rPr>
                <w:rFonts w:ascii="Times New Roman" w:hAnsi="Times New Roman" w:cs="Times New Roman"/>
              </w:rPr>
            </w:pPr>
            <w:r>
              <w:rPr>
                <w:rFonts w:ascii="Times New Roman" w:hAnsi="Times New Roman" w:cs="Times New Roman"/>
              </w:rPr>
              <w:t>2-15</w:t>
            </w:r>
          </w:p>
        </w:tc>
      </w:tr>
    </w:tbl>
    <w:p w14:paraId="0356BACD" w14:textId="77777777" w:rsidR="003B155E" w:rsidRDefault="003B155E" w:rsidP="003B155E">
      <w:pPr>
        <w:spacing w:after="120" w:line="276" w:lineRule="auto"/>
        <w:jc w:val="both"/>
        <w:rPr>
          <w:rFonts w:ascii="Times New Roman" w:hAnsi="Times New Roman" w:cs="Times New Roman"/>
          <w:sz w:val="24"/>
          <w:szCs w:val="24"/>
        </w:rPr>
      </w:pPr>
    </w:p>
    <w:p w14:paraId="3148F15D"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14’te verilmektedir.</w:t>
      </w:r>
    </w:p>
    <w:p w14:paraId="56603AAD"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20:</w:t>
      </w:r>
      <w:r>
        <w:rPr>
          <w:rFonts w:ascii="Times New Roman" w:hAnsi="Times New Roman" w:cs="Times New Roman"/>
          <w:sz w:val="24"/>
          <w:szCs w:val="24"/>
        </w:rPr>
        <w:t xml:space="preserve"> Üst akım ve alt akım ahşap işleme prosesleri, ahşap materyallerinin taşınması ve mat oluşturmadan kaynaklı havaya olan toz emisyonlarını azaltmak için, torba filtre veya siklofiltre kullanılır.</w:t>
      </w:r>
    </w:p>
    <w:p w14:paraId="44B7DA09"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Güvenlik sebepleri dolayısıyla, geri kazanılmış ahşabın hammadde olarak kullanıldığı durumlarda, torba filtre veya siklofiltre uygulanamayabilir.</w:t>
      </w:r>
    </w:p>
    <w:p w14:paraId="5C346748" w14:textId="77777777"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4</w:t>
      </w:r>
    </w:p>
    <w:p w14:paraId="616B1117" w14:textId="77777777" w:rsidR="003B155E" w:rsidRPr="00085F50"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Üst akım ve alt akım ahşap işleme prosesleri, ahşap materyallerinin taşınması ve mat oluşturmadan kaynaklı havaya olan baca gazı toz emisyonlarına yönelik MET-İES’ler</w:t>
      </w:r>
    </w:p>
    <w:tbl>
      <w:tblPr>
        <w:tblStyle w:val="TabloKlavuzu"/>
        <w:tblW w:w="0" w:type="auto"/>
        <w:tblLook w:val="04A0" w:firstRow="1" w:lastRow="0" w:firstColumn="1" w:lastColumn="0" w:noHBand="0" w:noVBand="1"/>
      </w:tblPr>
      <w:tblGrid>
        <w:gridCol w:w="1696"/>
        <w:gridCol w:w="3119"/>
        <w:gridCol w:w="4247"/>
      </w:tblGrid>
      <w:tr w:rsidR="003B155E" w14:paraId="07FD6C77" w14:textId="77777777" w:rsidTr="0082590D">
        <w:tc>
          <w:tcPr>
            <w:tcW w:w="1696" w:type="dxa"/>
          </w:tcPr>
          <w:p w14:paraId="637B9AB0"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119" w:type="dxa"/>
          </w:tcPr>
          <w:p w14:paraId="17EA2B08"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Birim</w:t>
            </w:r>
          </w:p>
        </w:tc>
        <w:tc>
          <w:tcPr>
            <w:tcW w:w="4247" w:type="dxa"/>
          </w:tcPr>
          <w:p w14:paraId="0D818443"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3CBBB437" w14:textId="77777777" w:rsidR="003B155E" w:rsidRDefault="003B155E" w:rsidP="000D79D6">
            <w:pPr>
              <w:jc w:val="center"/>
              <w:rPr>
                <w:rFonts w:ascii="Times New Roman" w:hAnsi="Times New Roman" w:cs="Times New Roman"/>
                <w:b/>
                <w:bCs/>
              </w:rPr>
            </w:pPr>
            <w:r>
              <w:rPr>
                <w:rFonts w:ascii="Times New Roman" w:hAnsi="Times New Roman" w:cs="Times New Roman"/>
                <w:b/>
                <w:bCs/>
              </w:rPr>
              <w:t>(örnekleme süresi üzerinden ortalama)</w:t>
            </w:r>
          </w:p>
        </w:tc>
      </w:tr>
      <w:tr w:rsidR="003B155E" w14:paraId="678B6C92" w14:textId="77777777" w:rsidTr="0082590D">
        <w:tc>
          <w:tcPr>
            <w:tcW w:w="1696" w:type="dxa"/>
          </w:tcPr>
          <w:p w14:paraId="2036B37A"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Toz</w:t>
            </w:r>
          </w:p>
        </w:tc>
        <w:tc>
          <w:tcPr>
            <w:tcW w:w="3119" w:type="dxa"/>
          </w:tcPr>
          <w:p w14:paraId="6D90032B"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r>
              <w:rPr>
                <w:rFonts w:ascii="Times New Roman" w:hAnsi="Times New Roman" w:cs="Times New Roman"/>
              </w:rPr>
              <w:t xml:space="preserve"> </w:t>
            </w:r>
          </w:p>
        </w:tc>
        <w:tc>
          <w:tcPr>
            <w:tcW w:w="4247" w:type="dxa"/>
          </w:tcPr>
          <w:p w14:paraId="48D67D22" w14:textId="77777777" w:rsidR="003B155E" w:rsidRDefault="003B155E" w:rsidP="000D79D6">
            <w:pPr>
              <w:jc w:val="center"/>
              <w:rPr>
                <w:rFonts w:ascii="Times New Roman" w:hAnsi="Times New Roman" w:cs="Times New Roman"/>
              </w:rPr>
            </w:pPr>
            <w:r>
              <w:rPr>
                <w:rFonts w:ascii="Times New Roman" w:hAnsi="Times New Roman" w:cs="Times New Roman"/>
              </w:rPr>
              <w:t>&lt;3-5 (</w:t>
            </w:r>
            <w:r w:rsidRPr="005A1997">
              <w:rPr>
                <w:rFonts w:ascii="Times New Roman" w:hAnsi="Times New Roman" w:cs="Times New Roman"/>
                <w:vertAlign w:val="superscript"/>
              </w:rPr>
              <w:t>1</w:t>
            </w:r>
            <w:r>
              <w:rPr>
                <w:rFonts w:ascii="Times New Roman" w:hAnsi="Times New Roman" w:cs="Times New Roman"/>
              </w:rPr>
              <w:t>)</w:t>
            </w:r>
          </w:p>
        </w:tc>
      </w:tr>
      <w:tr w:rsidR="003B155E" w:rsidRPr="00294440" w14:paraId="72F149FA" w14:textId="77777777" w:rsidTr="0082590D">
        <w:tc>
          <w:tcPr>
            <w:tcW w:w="9062" w:type="dxa"/>
            <w:gridSpan w:val="3"/>
          </w:tcPr>
          <w:p w14:paraId="6AD11A77"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Torba filtre veya siklofiltrenin uygulanamadığı durumlarda aralığın üst sınırı, 10 mg/Nm</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’e kadar çıkabilir.</w:t>
            </w:r>
          </w:p>
        </w:tc>
      </w:tr>
    </w:tbl>
    <w:p w14:paraId="2DAFFAAD" w14:textId="77777777" w:rsidR="003B155E" w:rsidRPr="00294440" w:rsidRDefault="003B155E" w:rsidP="003B155E">
      <w:pPr>
        <w:spacing w:after="120" w:line="276" w:lineRule="auto"/>
        <w:jc w:val="both"/>
        <w:rPr>
          <w:rFonts w:ascii="Times New Roman" w:hAnsi="Times New Roman" w:cs="Times New Roman"/>
          <w:sz w:val="24"/>
          <w:szCs w:val="24"/>
        </w:rPr>
      </w:pPr>
    </w:p>
    <w:p w14:paraId="5330864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14’te verilmektedir.</w:t>
      </w:r>
    </w:p>
    <w:p w14:paraId="079B496D"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21:</w:t>
      </w:r>
      <w:r>
        <w:rPr>
          <w:rFonts w:ascii="Times New Roman" w:hAnsi="Times New Roman" w:cs="Times New Roman"/>
          <w:sz w:val="24"/>
          <w:szCs w:val="24"/>
        </w:rPr>
        <w:t xml:space="preserve"> Kağıdın emprenyesi için kurutma fırınlarından kaynaklı havaya olan uçucu organik bileşik emisyonlarını azaltmak için, aşağıdaki tekniklerin biri veya bir kombinasyonu kullanılır.</w:t>
      </w:r>
    </w:p>
    <w:tbl>
      <w:tblPr>
        <w:tblStyle w:val="TabloKlavuzu"/>
        <w:tblW w:w="0" w:type="auto"/>
        <w:jc w:val="center"/>
        <w:tblLook w:val="04A0" w:firstRow="1" w:lastRow="0" w:firstColumn="1" w:lastColumn="0" w:noHBand="0" w:noVBand="1"/>
      </w:tblPr>
      <w:tblGrid>
        <w:gridCol w:w="503"/>
        <w:gridCol w:w="4518"/>
        <w:gridCol w:w="4041"/>
      </w:tblGrid>
      <w:tr w:rsidR="003B155E" w14:paraId="76DC04B2" w14:textId="77777777" w:rsidTr="000D79D6">
        <w:trPr>
          <w:tblHeader/>
          <w:jc w:val="center"/>
        </w:trPr>
        <w:tc>
          <w:tcPr>
            <w:tcW w:w="503" w:type="dxa"/>
            <w:vAlign w:val="center"/>
          </w:tcPr>
          <w:p w14:paraId="6B5C9DF5" w14:textId="77777777" w:rsidR="003B155E" w:rsidRPr="00276CE9" w:rsidRDefault="003B155E" w:rsidP="000D79D6">
            <w:pPr>
              <w:jc w:val="center"/>
              <w:rPr>
                <w:rFonts w:ascii="Times New Roman" w:hAnsi="Times New Roman" w:cs="Times New Roman"/>
                <w:b/>
                <w:bCs/>
              </w:rPr>
            </w:pPr>
          </w:p>
        </w:tc>
        <w:tc>
          <w:tcPr>
            <w:tcW w:w="4518" w:type="dxa"/>
            <w:vAlign w:val="center"/>
          </w:tcPr>
          <w:p w14:paraId="5B24A528"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27E0D1C4"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74F0B53C" w14:textId="77777777" w:rsidTr="000D79D6">
        <w:trPr>
          <w:jc w:val="center"/>
        </w:trPr>
        <w:tc>
          <w:tcPr>
            <w:tcW w:w="503" w:type="dxa"/>
            <w:vAlign w:val="center"/>
          </w:tcPr>
          <w:p w14:paraId="71AD1F37"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1993793E" w14:textId="77777777" w:rsidR="003B155E" w:rsidRDefault="003B155E" w:rsidP="000D79D6">
            <w:pPr>
              <w:jc w:val="both"/>
              <w:rPr>
                <w:rFonts w:ascii="Times New Roman" w:hAnsi="Times New Roman" w:cs="Times New Roman"/>
              </w:rPr>
            </w:pPr>
            <w:r>
              <w:rPr>
                <w:rFonts w:ascii="Times New Roman" w:hAnsi="Times New Roman" w:cs="Times New Roman"/>
              </w:rPr>
              <w:t>Düşük formaldehit içerikli reçinelerin seçimi ve kullanımı</w:t>
            </w:r>
          </w:p>
        </w:tc>
        <w:tc>
          <w:tcPr>
            <w:tcW w:w="4041" w:type="dxa"/>
            <w:vMerge w:val="restart"/>
            <w:vAlign w:val="center"/>
          </w:tcPr>
          <w:p w14:paraId="499F0787"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55B0F242" w14:textId="77777777" w:rsidTr="000D79D6">
        <w:trPr>
          <w:jc w:val="center"/>
        </w:trPr>
        <w:tc>
          <w:tcPr>
            <w:tcW w:w="503" w:type="dxa"/>
            <w:vAlign w:val="center"/>
          </w:tcPr>
          <w:p w14:paraId="5165ADEA"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44CDD23C" w14:textId="77777777" w:rsidR="003B155E" w:rsidRDefault="003B155E" w:rsidP="000D79D6">
            <w:pPr>
              <w:jc w:val="both"/>
              <w:rPr>
                <w:rFonts w:ascii="Times New Roman" w:hAnsi="Times New Roman" w:cs="Times New Roman"/>
              </w:rPr>
            </w:pPr>
            <w:r>
              <w:rPr>
                <w:rFonts w:ascii="Times New Roman" w:hAnsi="Times New Roman" w:cs="Times New Roman"/>
              </w:rPr>
              <w:t>Eşit sıcaklık ve hız ile fırınların kontrollü operasyonu</w:t>
            </w:r>
          </w:p>
        </w:tc>
        <w:tc>
          <w:tcPr>
            <w:tcW w:w="4041" w:type="dxa"/>
            <w:vMerge/>
            <w:vAlign w:val="center"/>
          </w:tcPr>
          <w:p w14:paraId="270714AD" w14:textId="77777777" w:rsidR="003B155E" w:rsidRDefault="003B155E" w:rsidP="000D79D6">
            <w:pPr>
              <w:jc w:val="both"/>
              <w:rPr>
                <w:rFonts w:ascii="Times New Roman" w:hAnsi="Times New Roman" w:cs="Times New Roman"/>
              </w:rPr>
            </w:pPr>
          </w:p>
        </w:tc>
      </w:tr>
      <w:tr w:rsidR="003B155E" w14:paraId="0E58A47B" w14:textId="77777777" w:rsidTr="000D79D6">
        <w:trPr>
          <w:jc w:val="center"/>
        </w:trPr>
        <w:tc>
          <w:tcPr>
            <w:tcW w:w="503" w:type="dxa"/>
            <w:vAlign w:val="center"/>
          </w:tcPr>
          <w:p w14:paraId="004ABDC6"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4518" w:type="dxa"/>
            <w:vAlign w:val="center"/>
          </w:tcPr>
          <w:p w14:paraId="4E5F08B4" w14:textId="77777777" w:rsidR="003B155E" w:rsidRDefault="003B155E" w:rsidP="000D79D6">
            <w:pPr>
              <w:jc w:val="both"/>
              <w:rPr>
                <w:rFonts w:ascii="Times New Roman" w:hAnsi="Times New Roman" w:cs="Times New Roman"/>
              </w:rPr>
            </w:pPr>
            <w:r>
              <w:rPr>
                <w:rFonts w:ascii="Times New Roman" w:hAnsi="Times New Roman" w:cs="Times New Roman"/>
              </w:rPr>
              <w:t>Atık gazın rejeneratif termal oksitleyicide veya katalitik termal oksitleyicide termal oksidasyonu</w:t>
            </w:r>
          </w:p>
        </w:tc>
        <w:tc>
          <w:tcPr>
            <w:tcW w:w="4041" w:type="dxa"/>
            <w:vMerge/>
            <w:vAlign w:val="center"/>
          </w:tcPr>
          <w:p w14:paraId="2EDDCEF0" w14:textId="77777777" w:rsidR="003B155E" w:rsidRDefault="003B155E" w:rsidP="000D79D6">
            <w:pPr>
              <w:jc w:val="both"/>
              <w:rPr>
                <w:rFonts w:ascii="Times New Roman" w:hAnsi="Times New Roman" w:cs="Times New Roman"/>
              </w:rPr>
            </w:pPr>
          </w:p>
        </w:tc>
      </w:tr>
      <w:tr w:rsidR="003B155E" w14:paraId="2CEEC1BD" w14:textId="77777777" w:rsidTr="000D79D6">
        <w:trPr>
          <w:jc w:val="center"/>
        </w:trPr>
        <w:tc>
          <w:tcPr>
            <w:tcW w:w="503" w:type="dxa"/>
            <w:vAlign w:val="center"/>
          </w:tcPr>
          <w:p w14:paraId="79AACD9C" w14:textId="77777777" w:rsidR="003B155E" w:rsidRDefault="003B155E" w:rsidP="000D79D6">
            <w:pPr>
              <w:jc w:val="center"/>
              <w:rPr>
                <w:rFonts w:ascii="Times New Roman" w:hAnsi="Times New Roman" w:cs="Times New Roman"/>
              </w:rPr>
            </w:pPr>
            <w:r>
              <w:rPr>
                <w:rFonts w:ascii="Times New Roman" w:hAnsi="Times New Roman" w:cs="Times New Roman"/>
              </w:rPr>
              <w:t>d</w:t>
            </w:r>
          </w:p>
        </w:tc>
        <w:tc>
          <w:tcPr>
            <w:tcW w:w="4518" w:type="dxa"/>
            <w:vAlign w:val="center"/>
          </w:tcPr>
          <w:p w14:paraId="289ECC17" w14:textId="77777777" w:rsidR="003B155E" w:rsidRDefault="003B155E" w:rsidP="000D79D6">
            <w:pPr>
              <w:jc w:val="both"/>
              <w:rPr>
                <w:rFonts w:ascii="Times New Roman" w:hAnsi="Times New Roman" w:cs="Times New Roman"/>
              </w:rPr>
            </w:pPr>
            <w:r>
              <w:rPr>
                <w:rFonts w:ascii="Times New Roman" w:hAnsi="Times New Roman" w:cs="Times New Roman"/>
              </w:rPr>
              <w:t>Atık gazın yakma tesisinde son yakması veya insinerasyonu</w:t>
            </w:r>
          </w:p>
        </w:tc>
        <w:tc>
          <w:tcPr>
            <w:tcW w:w="4041" w:type="dxa"/>
            <w:vAlign w:val="center"/>
          </w:tcPr>
          <w:p w14:paraId="6F084FEA" w14:textId="77777777" w:rsidR="003B155E" w:rsidRDefault="003B155E" w:rsidP="000D79D6">
            <w:pPr>
              <w:jc w:val="both"/>
              <w:rPr>
                <w:rFonts w:ascii="Times New Roman" w:hAnsi="Times New Roman" w:cs="Times New Roman"/>
              </w:rPr>
            </w:pPr>
            <w:r>
              <w:rPr>
                <w:rFonts w:ascii="Times New Roman" w:hAnsi="Times New Roman" w:cs="Times New Roman"/>
              </w:rPr>
              <w:t>Uygulanabilirlik, saha içinde uygun bir yakma biriminin mevcut olmadığı mevcut tesisler için kısıtlanabilir.</w:t>
            </w:r>
          </w:p>
        </w:tc>
      </w:tr>
      <w:tr w:rsidR="003B155E" w14:paraId="3DD11603" w14:textId="77777777" w:rsidTr="000D79D6">
        <w:trPr>
          <w:jc w:val="center"/>
        </w:trPr>
        <w:tc>
          <w:tcPr>
            <w:tcW w:w="503" w:type="dxa"/>
            <w:vAlign w:val="center"/>
          </w:tcPr>
          <w:p w14:paraId="5E8B41B5" w14:textId="77777777" w:rsidR="003B155E" w:rsidRDefault="003B155E" w:rsidP="000D79D6">
            <w:pPr>
              <w:jc w:val="center"/>
              <w:rPr>
                <w:rFonts w:ascii="Times New Roman" w:hAnsi="Times New Roman" w:cs="Times New Roman"/>
              </w:rPr>
            </w:pPr>
            <w:r>
              <w:rPr>
                <w:rFonts w:ascii="Times New Roman" w:hAnsi="Times New Roman" w:cs="Times New Roman"/>
              </w:rPr>
              <w:t>e</w:t>
            </w:r>
          </w:p>
        </w:tc>
        <w:tc>
          <w:tcPr>
            <w:tcW w:w="4518" w:type="dxa"/>
            <w:vAlign w:val="center"/>
          </w:tcPr>
          <w:p w14:paraId="1F6492A0" w14:textId="77777777" w:rsidR="003B155E" w:rsidRDefault="003B155E" w:rsidP="000D79D6">
            <w:pPr>
              <w:jc w:val="both"/>
              <w:rPr>
                <w:rFonts w:ascii="Times New Roman" w:hAnsi="Times New Roman" w:cs="Times New Roman"/>
              </w:rPr>
            </w:pPr>
            <w:r>
              <w:rPr>
                <w:rFonts w:ascii="Times New Roman" w:hAnsi="Times New Roman" w:cs="Times New Roman"/>
              </w:rPr>
              <w:t>Atık gazın biyofiltrede arıtımından sonra ıslak yıkanması</w:t>
            </w:r>
          </w:p>
        </w:tc>
        <w:tc>
          <w:tcPr>
            <w:tcW w:w="4041" w:type="dxa"/>
            <w:vAlign w:val="center"/>
          </w:tcPr>
          <w:p w14:paraId="7059BDBE"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bl>
    <w:p w14:paraId="194651D3" w14:textId="77777777" w:rsidR="003B155E" w:rsidRDefault="003B155E" w:rsidP="003B155E">
      <w:pPr>
        <w:spacing w:after="120" w:line="276" w:lineRule="auto"/>
        <w:jc w:val="both"/>
        <w:rPr>
          <w:rFonts w:ascii="Times New Roman" w:hAnsi="Times New Roman" w:cs="Times New Roman"/>
          <w:sz w:val="24"/>
          <w:szCs w:val="24"/>
        </w:rPr>
      </w:pPr>
    </w:p>
    <w:p w14:paraId="3ADB67BB" w14:textId="77777777" w:rsidR="001208DC" w:rsidRDefault="001208DC" w:rsidP="003B155E">
      <w:pPr>
        <w:spacing w:after="120" w:line="276" w:lineRule="auto"/>
        <w:jc w:val="center"/>
        <w:rPr>
          <w:rFonts w:ascii="Times New Roman" w:hAnsi="Times New Roman" w:cs="Times New Roman"/>
          <w:i/>
          <w:iCs/>
          <w:sz w:val="24"/>
          <w:szCs w:val="24"/>
        </w:rPr>
      </w:pPr>
    </w:p>
    <w:p w14:paraId="142A4294" w14:textId="77777777" w:rsidR="001208DC" w:rsidRDefault="001208DC" w:rsidP="003B155E">
      <w:pPr>
        <w:spacing w:after="120" w:line="276" w:lineRule="auto"/>
        <w:jc w:val="center"/>
        <w:rPr>
          <w:rFonts w:ascii="Times New Roman" w:hAnsi="Times New Roman" w:cs="Times New Roman"/>
          <w:i/>
          <w:iCs/>
          <w:sz w:val="24"/>
          <w:szCs w:val="24"/>
        </w:rPr>
      </w:pPr>
    </w:p>
    <w:p w14:paraId="6CB32CCD" w14:textId="77777777" w:rsidR="001208DC" w:rsidRDefault="001208DC" w:rsidP="003B155E">
      <w:pPr>
        <w:spacing w:after="120" w:line="276" w:lineRule="auto"/>
        <w:jc w:val="center"/>
        <w:rPr>
          <w:rFonts w:ascii="Times New Roman" w:hAnsi="Times New Roman" w:cs="Times New Roman"/>
          <w:i/>
          <w:iCs/>
          <w:sz w:val="24"/>
          <w:szCs w:val="24"/>
        </w:rPr>
      </w:pPr>
    </w:p>
    <w:p w14:paraId="6A099375" w14:textId="77777777" w:rsidR="001208DC" w:rsidRDefault="001208DC" w:rsidP="003B155E">
      <w:pPr>
        <w:spacing w:after="120" w:line="276" w:lineRule="auto"/>
        <w:jc w:val="center"/>
        <w:rPr>
          <w:rFonts w:ascii="Times New Roman" w:hAnsi="Times New Roman" w:cs="Times New Roman"/>
          <w:i/>
          <w:iCs/>
          <w:sz w:val="24"/>
          <w:szCs w:val="24"/>
        </w:rPr>
      </w:pPr>
    </w:p>
    <w:p w14:paraId="39BDD23C" w14:textId="30CAAADC"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lastRenderedPageBreak/>
        <w:t>Tablo 5</w:t>
      </w:r>
    </w:p>
    <w:p w14:paraId="423725AF" w14:textId="77777777" w:rsidR="003B155E" w:rsidRPr="001771E3"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Kağıdın emprenyesi için kurutma fırınından kaynaklı havaya olan T</w:t>
      </w:r>
      <w:r w:rsidR="009D570E">
        <w:rPr>
          <w:rFonts w:ascii="Times New Roman" w:hAnsi="Times New Roman" w:cs="Times New Roman"/>
          <w:b/>
          <w:bCs/>
          <w:sz w:val="24"/>
          <w:szCs w:val="24"/>
        </w:rPr>
        <w:t>UOB</w:t>
      </w:r>
      <w:r>
        <w:rPr>
          <w:rFonts w:ascii="Times New Roman" w:hAnsi="Times New Roman" w:cs="Times New Roman"/>
          <w:b/>
          <w:bCs/>
          <w:sz w:val="24"/>
          <w:szCs w:val="24"/>
        </w:rPr>
        <w:t xml:space="preserve"> ve formaldehit emisyonlarına yönelik MET-İES’ler</w:t>
      </w:r>
    </w:p>
    <w:tbl>
      <w:tblPr>
        <w:tblStyle w:val="TabloKlavuzu"/>
        <w:tblW w:w="0" w:type="auto"/>
        <w:jc w:val="center"/>
        <w:tblLook w:val="04A0" w:firstRow="1" w:lastRow="0" w:firstColumn="1" w:lastColumn="0" w:noHBand="0" w:noVBand="1"/>
      </w:tblPr>
      <w:tblGrid>
        <w:gridCol w:w="1696"/>
        <w:gridCol w:w="3119"/>
        <w:gridCol w:w="4247"/>
      </w:tblGrid>
      <w:tr w:rsidR="003B155E" w14:paraId="2C75E9DB" w14:textId="77777777" w:rsidTr="000D79D6">
        <w:trPr>
          <w:tblHeader/>
          <w:jc w:val="center"/>
        </w:trPr>
        <w:tc>
          <w:tcPr>
            <w:tcW w:w="1696" w:type="dxa"/>
            <w:vAlign w:val="center"/>
          </w:tcPr>
          <w:p w14:paraId="58AD74E7"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3119" w:type="dxa"/>
            <w:vAlign w:val="center"/>
          </w:tcPr>
          <w:p w14:paraId="116AA2F4"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Birim</w:t>
            </w:r>
          </w:p>
        </w:tc>
        <w:tc>
          <w:tcPr>
            <w:tcW w:w="4247" w:type="dxa"/>
          </w:tcPr>
          <w:p w14:paraId="42FA26BC"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11ACC7B3" w14:textId="77777777" w:rsidR="003B155E" w:rsidRDefault="003B155E" w:rsidP="000D79D6">
            <w:pPr>
              <w:jc w:val="center"/>
              <w:rPr>
                <w:rFonts w:ascii="Times New Roman" w:hAnsi="Times New Roman" w:cs="Times New Roman"/>
                <w:b/>
                <w:bCs/>
              </w:rPr>
            </w:pPr>
            <w:r>
              <w:rPr>
                <w:rFonts w:ascii="Times New Roman" w:hAnsi="Times New Roman" w:cs="Times New Roman"/>
                <w:b/>
                <w:bCs/>
              </w:rPr>
              <w:t>(örnekleme süresi üzerinden ortalama)</w:t>
            </w:r>
          </w:p>
        </w:tc>
      </w:tr>
      <w:tr w:rsidR="003B155E" w14:paraId="46A0AAF0" w14:textId="77777777" w:rsidTr="000D79D6">
        <w:trPr>
          <w:jc w:val="center"/>
        </w:trPr>
        <w:tc>
          <w:tcPr>
            <w:tcW w:w="1696" w:type="dxa"/>
            <w:vAlign w:val="center"/>
          </w:tcPr>
          <w:p w14:paraId="42994981"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T</w:t>
            </w:r>
            <w:r w:rsidR="009D570E">
              <w:rPr>
                <w:rFonts w:ascii="Times New Roman" w:hAnsi="Times New Roman" w:cs="Times New Roman"/>
              </w:rPr>
              <w:t>UOB</w:t>
            </w:r>
          </w:p>
        </w:tc>
        <w:tc>
          <w:tcPr>
            <w:tcW w:w="3119" w:type="dxa"/>
            <w:vAlign w:val="center"/>
          </w:tcPr>
          <w:p w14:paraId="0DA5B6A1"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r>
              <w:rPr>
                <w:rFonts w:ascii="Times New Roman" w:hAnsi="Times New Roman" w:cs="Times New Roman"/>
              </w:rPr>
              <w:t xml:space="preserve"> </w:t>
            </w:r>
          </w:p>
        </w:tc>
        <w:tc>
          <w:tcPr>
            <w:tcW w:w="4247" w:type="dxa"/>
            <w:vAlign w:val="center"/>
          </w:tcPr>
          <w:p w14:paraId="295BED05" w14:textId="77777777" w:rsidR="003B155E" w:rsidRDefault="003B155E" w:rsidP="000D79D6">
            <w:pPr>
              <w:jc w:val="center"/>
              <w:rPr>
                <w:rFonts w:ascii="Times New Roman" w:hAnsi="Times New Roman" w:cs="Times New Roman"/>
              </w:rPr>
            </w:pPr>
            <w:r>
              <w:rPr>
                <w:rFonts w:ascii="Times New Roman" w:hAnsi="Times New Roman" w:cs="Times New Roman"/>
              </w:rPr>
              <w:t>5-30</w:t>
            </w:r>
          </w:p>
        </w:tc>
      </w:tr>
      <w:tr w:rsidR="003B155E" w14:paraId="2FB11AD9" w14:textId="77777777" w:rsidTr="000D79D6">
        <w:trPr>
          <w:jc w:val="center"/>
        </w:trPr>
        <w:tc>
          <w:tcPr>
            <w:tcW w:w="1696" w:type="dxa"/>
            <w:tcBorders>
              <w:bottom w:val="single" w:sz="4" w:space="0" w:color="auto"/>
            </w:tcBorders>
            <w:vAlign w:val="center"/>
          </w:tcPr>
          <w:p w14:paraId="1CCA9607" w14:textId="77777777" w:rsidR="003B155E" w:rsidRDefault="003B155E" w:rsidP="000D79D6">
            <w:pPr>
              <w:jc w:val="center"/>
              <w:rPr>
                <w:rFonts w:ascii="Times New Roman" w:hAnsi="Times New Roman" w:cs="Times New Roman"/>
              </w:rPr>
            </w:pPr>
            <w:r>
              <w:rPr>
                <w:rFonts w:ascii="Times New Roman" w:hAnsi="Times New Roman" w:cs="Times New Roman"/>
              </w:rPr>
              <w:t>Formaldehit</w:t>
            </w:r>
          </w:p>
        </w:tc>
        <w:tc>
          <w:tcPr>
            <w:tcW w:w="3119" w:type="dxa"/>
            <w:tcBorders>
              <w:bottom w:val="single" w:sz="4" w:space="0" w:color="auto"/>
            </w:tcBorders>
            <w:vAlign w:val="center"/>
          </w:tcPr>
          <w:p w14:paraId="22EA400B" w14:textId="77777777" w:rsidR="003B155E" w:rsidRDefault="003B155E" w:rsidP="000D79D6">
            <w:pPr>
              <w:jc w:val="center"/>
              <w:rPr>
                <w:rFonts w:ascii="Times New Roman" w:hAnsi="Times New Roman" w:cs="Times New Roman"/>
              </w:rPr>
            </w:pPr>
            <w:r>
              <w:rPr>
                <w:rFonts w:ascii="Times New Roman" w:hAnsi="Times New Roman" w:cs="Times New Roman"/>
              </w:rPr>
              <w:t>mg/Nm</w:t>
            </w:r>
            <w:r>
              <w:rPr>
                <w:rFonts w:ascii="Times New Roman" w:hAnsi="Times New Roman" w:cs="Times New Roman"/>
                <w:vertAlign w:val="superscript"/>
              </w:rPr>
              <w:t>3</w:t>
            </w:r>
          </w:p>
        </w:tc>
        <w:tc>
          <w:tcPr>
            <w:tcW w:w="4247" w:type="dxa"/>
            <w:tcBorders>
              <w:bottom w:val="single" w:sz="4" w:space="0" w:color="auto"/>
            </w:tcBorders>
            <w:vAlign w:val="center"/>
          </w:tcPr>
          <w:p w14:paraId="0FA7B400" w14:textId="77777777" w:rsidR="003B155E" w:rsidRDefault="003B155E" w:rsidP="000D79D6">
            <w:pPr>
              <w:jc w:val="center"/>
              <w:rPr>
                <w:rFonts w:ascii="Times New Roman" w:hAnsi="Times New Roman" w:cs="Times New Roman"/>
              </w:rPr>
            </w:pPr>
            <w:r>
              <w:rPr>
                <w:rFonts w:ascii="Times New Roman" w:hAnsi="Times New Roman" w:cs="Times New Roman"/>
              </w:rPr>
              <w:t>&lt;5-10</w:t>
            </w:r>
          </w:p>
        </w:tc>
      </w:tr>
    </w:tbl>
    <w:p w14:paraId="385FCF2C" w14:textId="77777777" w:rsidR="003B155E" w:rsidRDefault="003B155E" w:rsidP="003B155E">
      <w:pPr>
        <w:spacing w:after="120" w:line="276" w:lineRule="auto"/>
        <w:jc w:val="both"/>
        <w:rPr>
          <w:rFonts w:ascii="Times New Roman" w:hAnsi="Times New Roman" w:cs="Times New Roman"/>
          <w:sz w:val="24"/>
          <w:szCs w:val="24"/>
        </w:rPr>
      </w:pPr>
    </w:p>
    <w:p w14:paraId="4E9BAABE"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14’te verilmektedir.</w:t>
      </w:r>
    </w:p>
    <w:p w14:paraId="44F21A1C" w14:textId="77777777" w:rsidR="003B155E" w:rsidRPr="00687ECE" w:rsidRDefault="003B155E" w:rsidP="00C043C7">
      <w:pPr>
        <w:pStyle w:val="Balk3"/>
        <w:keepNext w:val="0"/>
        <w:keepLines w:val="0"/>
        <w:spacing w:before="0" w:beforeAutospacing="1" w:after="120" w:afterAutospacing="1" w:line="276" w:lineRule="auto"/>
        <w:jc w:val="both"/>
        <w:rPr>
          <w:b w:val="0"/>
          <w:bCs/>
          <w:szCs w:val="24"/>
        </w:rPr>
      </w:pPr>
      <w:r>
        <w:rPr>
          <w:szCs w:val="24"/>
        </w:rPr>
        <w:t>(2.2) Yayılı Emisyonlar</w:t>
      </w:r>
    </w:p>
    <w:p w14:paraId="16E06AE8"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22:</w:t>
      </w:r>
      <w:r>
        <w:rPr>
          <w:rFonts w:ascii="Times New Roman" w:hAnsi="Times New Roman" w:cs="Times New Roman"/>
          <w:sz w:val="24"/>
          <w:szCs w:val="24"/>
        </w:rPr>
        <w:t xml:space="preserve"> Presten kaynaklı havaya olan yayılı emisyonları önlemek veya önlemenin mümkün olmadığı durumlarda azaltmak için, çıkış gazı toplama verimliliği optimize edilir ve çıkış gazları arıtma için kanalla aktarılır (bkz. MET 19).</w:t>
      </w:r>
    </w:p>
    <w:p w14:paraId="3A720BBE"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Atık gazların sürekli presler için hem pres çıkışında hem de pres hattı boyunca etkin toplanması ve arıtımı (bkz. MET 19). Mevcut çok açıklıklı presler için preslerin etrafının çevrilmesine yönelik uygulanabilirlik, güvenlik sebepleri dolayısıyla kısıtlanabilir.</w:t>
      </w:r>
    </w:p>
    <w:p w14:paraId="44393A1C"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23:</w:t>
      </w:r>
      <w:r>
        <w:rPr>
          <w:rFonts w:ascii="Times New Roman" w:hAnsi="Times New Roman" w:cs="Times New Roman"/>
          <w:sz w:val="24"/>
          <w:szCs w:val="24"/>
        </w:rPr>
        <w:t xml:space="preserve"> Ahşap materyallerinin taşıma, yükleme/boşaltma ve depolamasından kaynaklı havaya olan yayılı toz emisyonlarını azaltmak için, ÇYS’nin bir parçası olarak (bkz. MET 1) toz yönetim planı oluşturulur ve uygulanır ve aşağıdaki tekniklerin biri veya bir kombinasyonu uygulanır.</w:t>
      </w:r>
    </w:p>
    <w:tbl>
      <w:tblPr>
        <w:tblStyle w:val="TabloKlavuzu"/>
        <w:tblW w:w="0" w:type="auto"/>
        <w:jc w:val="center"/>
        <w:tblLook w:val="04A0" w:firstRow="1" w:lastRow="0" w:firstColumn="1" w:lastColumn="0" w:noHBand="0" w:noVBand="1"/>
      </w:tblPr>
      <w:tblGrid>
        <w:gridCol w:w="503"/>
        <w:gridCol w:w="4518"/>
        <w:gridCol w:w="4041"/>
      </w:tblGrid>
      <w:tr w:rsidR="003B155E" w14:paraId="10055F28" w14:textId="77777777" w:rsidTr="000D79D6">
        <w:trPr>
          <w:tblHeader/>
          <w:jc w:val="center"/>
        </w:trPr>
        <w:tc>
          <w:tcPr>
            <w:tcW w:w="503" w:type="dxa"/>
            <w:vAlign w:val="center"/>
          </w:tcPr>
          <w:p w14:paraId="627725F4" w14:textId="77777777" w:rsidR="003B155E" w:rsidRPr="00276CE9" w:rsidRDefault="003B155E" w:rsidP="000D79D6">
            <w:pPr>
              <w:jc w:val="center"/>
              <w:rPr>
                <w:rFonts w:ascii="Times New Roman" w:hAnsi="Times New Roman" w:cs="Times New Roman"/>
                <w:b/>
                <w:bCs/>
              </w:rPr>
            </w:pPr>
          </w:p>
        </w:tc>
        <w:tc>
          <w:tcPr>
            <w:tcW w:w="4518" w:type="dxa"/>
            <w:vAlign w:val="center"/>
          </w:tcPr>
          <w:p w14:paraId="0FF7DD0E"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32E82CA4"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40F62A80" w14:textId="77777777" w:rsidTr="000D79D6">
        <w:trPr>
          <w:jc w:val="center"/>
        </w:trPr>
        <w:tc>
          <w:tcPr>
            <w:tcW w:w="503" w:type="dxa"/>
            <w:vAlign w:val="center"/>
          </w:tcPr>
          <w:p w14:paraId="39203143"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230EA5DE" w14:textId="77777777" w:rsidR="003B155E" w:rsidRDefault="003B155E" w:rsidP="000D79D6">
            <w:pPr>
              <w:jc w:val="both"/>
              <w:rPr>
                <w:rFonts w:ascii="Times New Roman" w:hAnsi="Times New Roman" w:cs="Times New Roman"/>
              </w:rPr>
            </w:pPr>
            <w:r>
              <w:rPr>
                <w:rFonts w:ascii="Times New Roman" w:hAnsi="Times New Roman" w:cs="Times New Roman"/>
              </w:rPr>
              <w:t>Taşıma rotalarının, depolama alanlarının ve araçların düzenli olarak temizlenmesi</w:t>
            </w:r>
          </w:p>
        </w:tc>
        <w:tc>
          <w:tcPr>
            <w:tcW w:w="4041" w:type="dxa"/>
            <w:vMerge w:val="restart"/>
            <w:vAlign w:val="center"/>
          </w:tcPr>
          <w:p w14:paraId="03FDF6EA"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3E05E6B" w14:textId="77777777" w:rsidTr="000D79D6">
        <w:trPr>
          <w:jc w:val="center"/>
        </w:trPr>
        <w:tc>
          <w:tcPr>
            <w:tcW w:w="503" w:type="dxa"/>
            <w:vAlign w:val="center"/>
          </w:tcPr>
          <w:p w14:paraId="3EC952E2"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4C7D6E89" w14:textId="77777777" w:rsidR="003B155E" w:rsidRDefault="003B155E" w:rsidP="000D79D6">
            <w:pPr>
              <w:jc w:val="both"/>
              <w:rPr>
                <w:rFonts w:ascii="Times New Roman" w:hAnsi="Times New Roman" w:cs="Times New Roman"/>
              </w:rPr>
            </w:pPr>
            <w:r>
              <w:rPr>
                <w:rFonts w:ascii="Times New Roman" w:hAnsi="Times New Roman" w:cs="Times New Roman"/>
              </w:rPr>
              <w:t>Testere tozunun kapalı geçişli boşaltma alanları kullanılarak boşaltılması</w:t>
            </w:r>
          </w:p>
        </w:tc>
        <w:tc>
          <w:tcPr>
            <w:tcW w:w="4041" w:type="dxa"/>
            <w:vMerge/>
            <w:vAlign w:val="center"/>
          </w:tcPr>
          <w:p w14:paraId="03064DB9" w14:textId="77777777" w:rsidR="003B155E" w:rsidRDefault="003B155E" w:rsidP="000D79D6">
            <w:pPr>
              <w:jc w:val="both"/>
              <w:rPr>
                <w:rFonts w:ascii="Times New Roman" w:hAnsi="Times New Roman" w:cs="Times New Roman"/>
              </w:rPr>
            </w:pPr>
          </w:p>
        </w:tc>
      </w:tr>
      <w:tr w:rsidR="003B155E" w14:paraId="6452FD14" w14:textId="77777777" w:rsidTr="000D79D6">
        <w:trPr>
          <w:jc w:val="center"/>
        </w:trPr>
        <w:tc>
          <w:tcPr>
            <w:tcW w:w="503" w:type="dxa"/>
            <w:vAlign w:val="center"/>
          </w:tcPr>
          <w:p w14:paraId="7192E8CA"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4518" w:type="dxa"/>
            <w:vAlign w:val="center"/>
          </w:tcPr>
          <w:p w14:paraId="2BF98DE3" w14:textId="77777777" w:rsidR="003B155E" w:rsidRDefault="003B155E" w:rsidP="000D79D6">
            <w:pPr>
              <w:jc w:val="both"/>
              <w:rPr>
                <w:rFonts w:ascii="Times New Roman" w:hAnsi="Times New Roman" w:cs="Times New Roman"/>
              </w:rPr>
            </w:pPr>
            <w:r>
              <w:rPr>
                <w:rFonts w:ascii="Times New Roman" w:hAnsi="Times New Roman" w:cs="Times New Roman"/>
              </w:rPr>
              <w:t>Testere tozuna eğilimli materyallerin silolarda, konteynerlerde, çatılı yığınlarda vb. depolanması veya yığın depolama alanlarının etrafının kapatılması</w:t>
            </w:r>
          </w:p>
        </w:tc>
        <w:tc>
          <w:tcPr>
            <w:tcW w:w="4041" w:type="dxa"/>
            <w:vMerge/>
            <w:vAlign w:val="center"/>
          </w:tcPr>
          <w:p w14:paraId="1FC504B9" w14:textId="77777777" w:rsidR="003B155E" w:rsidRDefault="003B155E" w:rsidP="000D79D6">
            <w:pPr>
              <w:jc w:val="both"/>
              <w:rPr>
                <w:rFonts w:ascii="Times New Roman" w:hAnsi="Times New Roman" w:cs="Times New Roman"/>
              </w:rPr>
            </w:pPr>
          </w:p>
        </w:tc>
      </w:tr>
      <w:tr w:rsidR="003B155E" w14:paraId="05E2FF6C" w14:textId="77777777" w:rsidTr="000D79D6">
        <w:trPr>
          <w:jc w:val="center"/>
        </w:trPr>
        <w:tc>
          <w:tcPr>
            <w:tcW w:w="503" w:type="dxa"/>
            <w:vAlign w:val="center"/>
          </w:tcPr>
          <w:p w14:paraId="5EC3DA3B" w14:textId="77777777" w:rsidR="003B155E" w:rsidRDefault="003B155E" w:rsidP="000D79D6">
            <w:pPr>
              <w:jc w:val="center"/>
              <w:rPr>
                <w:rFonts w:ascii="Times New Roman" w:hAnsi="Times New Roman" w:cs="Times New Roman"/>
              </w:rPr>
            </w:pPr>
            <w:r>
              <w:rPr>
                <w:rFonts w:ascii="Times New Roman" w:hAnsi="Times New Roman" w:cs="Times New Roman"/>
              </w:rPr>
              <w:t>d</w:t>
            </w:r>
          </w:p>
        </w:tc>
        <w:tc>
          <w:tcPr>
            <w:tcW w:w="4518" w:type="dxa"/>
            <w:vAlign w:val="center"/>
          </w:tcPr>
          <w:p w14:paraId="1A97EDD7" w14:textId="77777777" w:rsidR="003B155E" w:rsidRDefault="003B155E" w:rsidP="000D79D6">
            <w:pPr>
              <w:jc w:val="both"/>
              <w:rPr>
                <w:rFonts w:ascii="Times New Roman" w:hAnsi="Times New Roman" w:cs="Times New Roman"/>
              </w:rPr>
            </w:pPr>
            <w:r>
              <w:rPr>
                <w:rFonts w:ascii="Times New Roman" w:hAnsi="Times New Roman" w:cs="Times New Roman"/>
              </w:rPr>
              <w:t>Toz emisyonlarının su serpilerek bastırılması</w:t>
            </w:r>
          </w:p>
        </w:tc>
        <w:tc>
          <w:tcPr>
            <w:tcW w:w="4041" w:type="dxa"/>
            <w:vMerge/>
            <w:vAlign w:val="center"/>
          </w:tcPr>
          <w:p w14:paraId="518C13DE" w14:textId="77777777" w:rsidR="003B155E" w:rsidRDefault="003B155E" w:rsidP="000D79D6">
            <w:pPr>
              <w:jc w:val="both"/>
              <w:rPr>
                <w:rFonts w:ascii="Times New Roman" w:hAnsi="Times New Roman" w:cs="Times New Roman"/>
              </w:rPr>
            </w:pPr>
          </w:p>
        </w:tc>
      </w:tr>
    </w:tbl>
    <w:p w14:paraId="706D888E" w14:textId="77777777" w:rsidR="003B155E" w:rsidRDefault="003B155E" w:rsidP="003B155E">
      <w:pPr>
        <w:spacing w:after="120" w:line="276" w:lineRule="auto"/>
        <w:jc w:val="both"/>
        <w:rPr>
          <w:rFonts w:ascii="Times New Roman" w:hAnsi="Times New Roman" w:cs="Times New Roman"/>
          <w:sz w:val="24"/>
          <w:szCs w:val="24"/>
        </w:rPr>
      </w:pPr>
    </w:p>
    <w:p w14:paraId="351CA3E0" w14:textId="77777777" w:rsidR="003B155E" w:rsidRPr="00C043C7" w:rsidRDefault="003B155E" w:rsidP="003B155E">
      <w:pPr>
        <w:pStyle w:val="Balk2"/>
        <w:spacing w:before="0" w:after="120" w:line="276" w:lineRule="auto"/>
        <w:jc w:val="both"/>
        <w:rPr>
          <w:rFonts w:cs="Times New Roman"/>
          <w:b/>
          <w:szCs w:val="24"/>
          <w:u w:val="single"/>
        </w:rPr>
      </w:pPr>
      <w:r w:rsidRPr="00C043C7">
        <w:rPr>
          <w:rFonts w:cs="Times New Roman"/>
          <w:b/>
          <w:szCs w:val="24"/>
          <w:u w:val="single"/>
        </w:rPr>
        <w:t>(3) Suya Emisyonlar</w:t>
      </w:r>
    </w:p>
    <w:p w14:paraId="26C79E9F"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24:</w:t>
      </w:r>
      <w:r>
        <w:rPr>
          <w:rFonts w:ascii="Times New Roman" w:hAnsi="Times New Roman" w:cs="Times New Roman"/>
          <w:sz w:val="24"/>
          <w:szCs w:val="24"/>
        </w:rPr>
        <w:t xml:space="preserve"> Toplanan atık suyun kirlilik yükünü azaltmak için, aşağıda verilen iki teknik de kullanılır.</w:t>
      </w:r>
    </w:p>
    <w:tbl>
      <w:tblPr>
        <w:tblStyle w:val="TabloKlavuzu"/>
        <w:tblW w:w="0" w:type="auto"/>
        <w:tblLook w:val="04A0" w:firstRow="1" w:lastRow="0" w:firstColumn="1" w:lastColumn="0" w:noHBand="0" w:noVBand="1"/>
      </w:tblPr>
      <w:tblGrid>
        <w:gridCol w:w="503"/>
        <w:gridCol w:w="4518"/>
        <w:gridCol w:w="4041"/>
      </w:tblGrid>
      <w:tr w:rsidR="003B155E" w14:paraId="67CB7CE3" w14:textId="77777777" w:rsidTr="0082590D">
        <w:tc>
          <w:tcPr>
            <w:tcW w:w="503" w:type="dxa"/>
          </w:tcPr>
          <w:p w14:paraId="531CEFDC" w14:textId="77777777" w:rsidR="003B155E" w:rsidRPr="00276CE9" w:rsidRDefault="003B155E" w:rsidP="000D79D6">
            <w:pPr>
              <w:jc w:val="center"/>
              <w:rPr>
                <w:rFonts w:ascii="Times New Roman" w:hAnsi="Times New Roman" w:cs="Times New Roman"/>
                <w:b/>
                <w:bCs/>
              </w:rPr>
            </w:pPr>
          </w:p>
        </w:tc>
        <w:tc>
          <w:tcPr>
            <w:tcW w:w="4518" w:type="dxa"/>
          </w:tcPr>
          <w:p w14:paraId="182AAA4F"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37D454F1"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3F2A1AB8" w14:textId="77777777" w:rsidTr="0082590D">
        <w:tc>
          <w:tcPr>
            <w:tcW w:w="503" w:type="dxa"/>
          </w:tcPr>
          <w:p w14:paraId="0482FA6B"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tcPr>
          <w:p w14:paraId="2FCD8834" w14:textId="77777777" w:rsidR="003B155E" w:rsidRDefault="003B155E" w:rsidP="000D79D6">
            <w:pPr>
              <w:jc w:val="both"/>
              <w:rPr>
                <w:rFonts w:ascii="Times New Roman" w:hAnsi="Times New Roman" w:cs="Times New Roman"/>
              </w:rPr>
            </w:pPr>
            <w:r>
              <w:rPr>
                <w:rFonts w:ascii="Times New Roman" w:hAnsi="Times New Roman" w:cs="Times New Roman"/>
              </w:rPr>
              <w:t>Yüzey akıntı suyunun ve proses atık suyunun toplanması ve ayrı bir şekilde arıtılması</w:t>
            </w:r>
          </w:p>
        </w:tc>
        <w:tc>
          <w:tcPr>
            <w:tcW w:w="4041" w:type="dxa"/>
          </w:tcPr>
          <w:p w14:paraId="7AEF089B" w14:textId="77777777" w:rsidR="003B155E" w:rsidRDefault="003B155E" w:rsidP="000D79D6">
            <w:pPr>
              <w:jc w:val="both"/>
              <w:rPr>
                <w:rFonts w:ascii="Times New Roman" w:hAnsi="Times New Roman" w:cs="Times New Roman"/>
              </w:rPr>
            </w:pPr>
            <w:r>
              <w:rPr>
                <w:rFonts w:ascii="Times New Roman" w:hAnsi="Times New Roman" w:cs="Times New Roman"/>
              </w:rPr>
              <w:t>Uygulanabilirlik, drenaj altyapısının şekli dolayısıyla, mevcut tesislerde kısıtlanabilir.</w:t>
            </w:r>
          </w:p>
        </w:tc>
      </w:tr>
      <w:tr w:rsidR="003B155E" w14:paraId="51720279" w14:textId="77777777" w:rsidTr="0082590D">
        <w:tc>
          <w:tcPr>
            <w:tcW w:w="503" w:type="dxa"/>
          </w:tcPr>
          <w:p w14:paraId="4D4FDAC9"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tcPr>
          <w:p w14:paraId="0B8937F9" w14:textId="77777777" w:rsidR="003B155E" w:rsidRDefault="003B155E" w:rsidP="000D79D6">
            <w:pPr>
              <w:jc w:val="both"/>
              <w:rPr>
                <w:rFonts w:ascii="Times New Roman" w:hAnsi="Times New Roman" w:cs="Times New Roman"/>
              </w:rPr>
            </w:pPr>
            <w:r>
              <w:rPr>
                <w:rFonts w:ascii="Times New Roman" w:hAnsi="Times New Roman" w:cs="Times New Roman"/>
              </w:rPr>
              <w:t>Yuvarlak kereste ve kalın tabakalar (</w:t>
            </w:r>
            <w:r w:rsidRPr="0007100B">
              <w:rPr>
                <w:rFonts w:ascii="Times New Roman" w:hAnsi="Times New Roman" w:cs="Times New Roman"/>
                <w:vertAlign w:val="superscript"/>
              </w:rPr>
              <w:t>1</w:t>
            </w:r>
            <w:r>
              <w:rPr>
                <w:rFonts w:ascii="Times New Roman" w:hAnsi="Times New Roman" w:cs="Times New Roman"/>
              </w:rPr>
              <w:t>) dışındaki herhangi bir ağaç malzemenin sert yüzeyli bir alanda depolanması</w:t>
            </w:r>
          </w:p>
        </w:tc>
        <w:tc>
          <w:tcPr>
            <w:tcW w:w="4041" w:type="dxa"/>
          </w:tcPr>
          <w:p w14:paraId="2A3514F7"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D0209E2" w14:textId="77777777" w:rsidTr="0082590D">
        <w:tc>
          <w:tcPr>
            <w:tcW w:w="9062" w:type="dxa"/>
            <w:gridSpan w:val="3"/>
          </w:tcPr>
          <w:p w14:paraId="1DD5C562" w14:textId="77777777" w:rsidR="003B155E" w:rsidRPr="0082590D" w:rsidRDefault="003B155E"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Kütüğü kereste haline getirmek için testereleme prosesindeki ilk kesimlerden çıkan, kabuğu soyulmuş veya soyulmamış, ağacın dıştaki parçası.</w:t>
            </w:r>
          </w:p>
        </w:tc>
      </w:tr>
    </w:tbl>
    <w:p w14:paraId="4241EF4E" w14:textId="77777777" w:rsidR="003B155E" w:rsidRDefault="003B155E" w:rsidP="003B155E">
      <w:pPr>
        <w:spacing w:after="120" w:line="276" w:lineRule="auto"/>
        <w:jc w:val="both"/>
        <w:rPr>
          <w:rFonts w:ascii="Times New Roman" w:hAnsi="Times New Roman" w:cs="Times New Roman"/>
          <w:sz w:val="24"/>
          <w:szCs w:val="24"/>
        </w:rPr>
      </w:pPr>
    </w:p>
    <w:p w14:paraId="768652C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MET 25:</w:t>
      </w:r>
      <w:r>
        <w:rPr>
          <w:rFonts w:ascii="Times New Roman" w:hAnsi="Times New Roman" w:cs="Times New Roman"/>
          <w:sz w:val="24"/>
          <w:szCs w:val="24"/>
        </w:rPr>
        <w:t xml:space="preserve"> Yüzey akıntı suyundan kaynaklı suya olan emisyonları azaltmak için, aşağıdaki tekniklerin bir kombinasyonu kullanılır.</w:t>
      </w:r>
    </w:p>
    <w:tbl>
      <w:tblPr>
        <w:tblStyle w:val="TabloKlavuzu"/>
        <w:tblW w:w="0" w:type="auto"/>
        <w:jc w:val="center"/>
        <w:tblLook w:val="04A0" w:firstRow="1" w:lastRow="0" w:firstColumn="1" w:lastColumn="0" w:noHBand="0" w:noVBand="1"/>
      </w:tblPr>
      <w:tblGrid>
        <w:gridCol w:w="503"/>
        <w:gridCol w:w="4518"/>
        <w:gridCol w:w="4041"/>
      </w:tblGrid>
      <w:tr w:rsidR="003B155E" w14:paraId="3C94F509" w14:textId="77777777" w:rsidTr="000D79D6">
        <w:trPr>
          <w:tblHeader/>
          <w:jc w:val="center"/>
        </w:trPr>
        <w:tc>
          <w:tcPr>
            <w:tcW w:w="503" w:type="dxa"/>
            <w:vAlign w:val="center"/>
          </w:tcPr>
          <w:p w14:paraId="1A21CB00" w14:textId="77777777" w:rsidR="003B155E" w:rsidRPr="00276CE9" w:rsidRDefault="003B155E" w:rsidP="000D79D6">
            <w:pPr>
              <w:jc w:val="center"/>
              <w:rPr>
                <w:rFonts w:ascii="Times New Roman" w:hAnsi="Times New Roman" w:cs="Times New Roman"/>
                <w:b/>
                <w:bCs/>
              </w:rPr>
            </w:pPr>
          </w:p>
        </w:tc>
        <w:tc>
          <w:tcPr>
            <w:tcW w:w="4518" w:type="dxa"/>
            <w:vAlign w:val="center"/>
          </w:tcPr>
          <w:p w14:paraId="1D756F7B"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3D42892A"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6F724FFB" w14:textId="77777777" w:rsidTr="000D79D6">
        <w:trPr>
          <w:jc w:val="center"/>
        </w:trPr>
        <w:tc>
          <w:tcPr>
            <w:tcW w:w="503" w:type="dxa"/>
            <w:vAlign w:val="center"/>
          </w:tcPr>
          <w:p w14:paraId="39893FDF"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6164338A" w14:textId="77777777" w:rsidR="003B155E" w:rsidRDefault="003B155E" w:rsidP="000D79D6">
            <w:pPr>
              <w:jc w:val="both"/>
              <w:rPr>
                <w:rFonts w:ascii="Times New Roman" w:hAnsi="Times New Roman" w:cs="Times New Roman"/>
              </w:rPr>
            </w:pPr>
            <w:r>
              <w:rPr>
                <w:rFonts w:ascii="Times New Roman" w:hAnsi="Times New Roman" w:cs="Times New Roman"/>
              </w:rPr>
              <w:t>Kaba taneli materyallerin eleklerle ve süzgeçlerle, ön arıtma olarak, mekanik ayrımı</w:t>
            </w:r>
          </w:p>
        </w:tc>
        <w:tc>
          <w:tcPr>
            <w:tcW w:w="4041" w:type="dxa"/>
            <w:vAlign w:val="center"/>
          </w:tcPr>
          <w:p w14:paraId="5C1A13B1"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7BE324A0" w14:textId="77777777" w:rsidTr="000D79D6">
        <w:trPr>
          <w:jc w:val="center"/>
        </w:trPr>
        <w:tc>
          <w:tcPr>
            <w:tcW w:w="503" w:type="dxa"/>
            <w:tcBorders>
              <w:bottom w:val="single" w:sz="4" w:space="0" w:color="auto"/>
            </w:tcBorders>
            <w:vAlign w:val="center"/>
          </w:tcPr>
          <w:p w14:paraId="0F73327E"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tcBorders>
              <w:bottom w:val="single" w:sz="4" w:space="0" w:color="auto"/>
            </w:tcBorders>
            <w:vAlign w:val="center"/>
          </w:tcPr>
          <w:p w14:paraId="5164CB3D" w14:textId="77777777" w:rsidR="003B155E" w:rsidRDefault="003B155E" w:rsidP="000D79D6">
            <w:pPr>
              <w:jc w:val="both"/>
              <w:rPr>
                <w:rFonts w:ascii="Times New Roman" w:hAnsi="Times New Roman" w:cs="Times New Roman"/>
              </w:rPr>
            </w:pPr>
            <w:r>
              <w:rPr>
                <w:rFonts w:ascii="Times New Roman" w:hAnsi="Times New Roman" w:cs="Times New Roman"/>
              </w:rPr>
              <w:t>Yağ-su ayrımı</w:t>
            </w:r>
          </w:p>
        </w:tc>
        <w:tc>
          <w:tcPr>
            <w:tcW w:w="4041" w:type="dxa"/>
            <w:tcBorders>
              <w:bottom w:val="single" w:sz="4" w:space="0" w:color="auto"/>
            </w:tcBorders>
            <w:vAlign w:val="center"/>
          </w:tcPr>
          <w:p w14:paraId="22D5B73B"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4345CE35" w14:textId="77777777" w:rsidTr="000D79D6">
        <w:trPr>
          <w:jc w:val="center"/>
        </w:trPr>
        <w:tc>
          <w:tcPr>
            <w:tcW w:w="503" w:type="dxa"/>
            <w:tcBorders>
              <w:bottom w:val="single" w:sz="4" w:space="0" w:color="auto"/>
            </w:tcBorders>
            <w:vAlign w:val="center"/>
          </w:tcPr>
          <w:p w14:paraId="5401184B"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4518" w:type="dxa"/>
            <w:tcBorders>
              <w:bottom w:val="single" w:sz="4" w:space="0" w:color="auto"/>
            </w:tcBorders>
            <w:vAlign w:val="center"/>
          </w:tcPr>
          <w:p w14:paraId="490DCCFD" w14:textId="77777777" w:rsidR="003B155E" w:rsidRDefault="003B155E" w:rsidP="000D79D6">
            <w:pPr>
              <w:jc w:val="both"/>
              <w:rPr>
                <w:rFonts w:ascii="Times New Roman" w:hAnsi="Times New Roman" w:cs="Times New Roman"/>
              </w:rPr>
            </w:pPr>
            <w:r>
              <w:rPr>
                <w:rFonts w:ascii="Times New Roman" w:hAnsi="Times New Roman" w:cs="Times New Roman"/>
              </w:rPr>
              <w:t>Katıların bekleme havuzlarında veya çöktürme tanklarında sedimantasyon ile uzaklaştırılması</w:t>
            </w:r>
          </w:p>
        </w:tc>
        <w:tc>
          <w:tcPr>
            <w:tcW w:w="4041" w:type="dxa"/>
            <w:tcBorders>
              <w:bottom w:val="single" w:sz="4" w:space="0" w:color="auto"/>
            </w:tcBorders>
            <w:vAlign w:val="center"/>
          </w:tcPr>
          <w:p w14:paraId="317DD449" w14:textId="77777777" w:rsidR="003B155E" w:rsidRDefault="003B155E" w:rsidP="000D79D6">
            <w:pPr>
              <w:jc w:val="both"/>
              <w:rPr>
                <w:rFonts w:ascii="Times New Roman" w:hAnsi="Times New Roman" w:cs="Times New Roman"/>
              </w:rPr>
            </w:pPr>
            <w:r>
              <w:rPr>
                <w:rFonts w:ascii="Times New Roman" w:hAnsi="Times New Roman" w:cs="Times New Roman"/>
              </w:rPr>
              <w:t>Alan gereksinimleri dolayısıyla, sedimantasyonun uygulanabilirliğinde kısıtlamalar olabilir.</w:t>
            </w:r>
          </w:p>
        </w:tc>
      </w:tr>
    </w:tbl>
    <w:p w14:paraId="6804B15A" w14:textId="77777777" w:rsidR="003B155E" w:rsidRPr="00E95B15" w:rsidRDefault="003B155E" w:rsidP="003B155E">
      <w:pPr>
        <w:spacing w:after="120" w:line="276" w:lineRule="auto"/>
        <w:jc w:val="both"/>
        <w:rPr>
          <w:rFonts w:ascii="Times New Roman" w:hAnsi="Times New Roman" w:cs="Times New Roman"/>
          <w:sz w:val="24"/>
          <w:szCs w:val="24"/>
        </w:rPr>
      </w:pPr>
    </w:p>
    <w:p w14:paraId="1714AB54" w14:textId="77777777"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6</w:t>
      </w:r>
    </w:p>
    <w:p w14:paraId="0EFD82FF" w14:textId="77777777" w:rsidR="003B155E" w:rsidRPr="00411D31"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Yüzey akıntı suyundan alıcı ortama olan doğrudan deşarjlar için TSS’ye yönelik MET-İES’ler</w:t>
      </w:r>
    </w:p>
    <w:tbl>
      <w:tblPr>
        <w:tblStyle w:val="TabloKlavuzu"/>
        <w:tblW w:w="0" w:type="auto"/>
        <w:jc w:val="center"/>
        <w:tblLook w:val="04A0" w:firstRow="1" w:lastRow="0" w:firstColumn="1" w:lastColumn="0" w:noHBand="0" w:noVBand="1"/>
      </w:tblPr>
      <w:tblGrid>
        <w:gridCol w:w="1696"/>
        <w:gridCol w:w="1843"/>
        <w:gridCol w:w="5523"/>
      </w:tblGrid>
      <w:tr w:rsidR="003B155E" w14:paraId="5454408F" w14:textId="77777777" w:rsidTr="000D79D6">
        <w:trPr>
          <w:tblHeader/>
          <w:jc w:val="center"/>
        </w:trPr>
        <w:tc>
          <w:tcPr>
            <w:tcW w:w="1696" w:type="dxa"/>
            <w:vAlign w:val="center"/>
          </w:tcPr>
          <w:p w14:paraId="2E971D12"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1843" w:type="dxa"/>
            <w:vAlign w:val="center"/>
          </w:tcPr>
          <w:p w14:paraId="76430A5C"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Birim</w:t>
            </w:r>
          </w:p>
        </w:tc>
        <w:tc>
          <w:tcPr>
            <w:tcW w:w="5523" w:type="dxa"/>
          </w:tcPr>
          <w:p w14:paraId="04F16EED"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3D39252F" w14:textId="77777777" w:rsidR="003B155E" w:rsidRDefault="003B155E" w:rsidP="000D79D6">
            <w:pPr>
              <w:jc w:val="center"/>
              <w:rPr>
                <w:rFonts w:ascii="Times New Roman" w:hAnsi="Times New Roman" w:cs="Times New Roman"/>
                <w:b/>
                <w:bCs/>
              </w:rPr>
            </w:pPr>
            <w:r>
              <w:rPr>
                <w:rFonts w:ascii="Times New Roman" w:hAnsi="Times New Roman" w:cs="Times New Roman"/>
                <w:b/>
                <w:bCs/>
              </w:rPr>
              <w:t>(bir yıl boyunca elde edilen numunelerin ortalaması)</w:t>
            </w:r>
          </w:p>
        </w:tc>
      </w:tr>
      <w:tr w:rsidR="003B155E" w14:paraId="28EFD493" w14:textId="77777777" w:rsidTr="000D79D6">
        <w:trPr>
          <w:jc w:val="center"/>
        </w:trPr>
        <w:tc>
          <w:tcPr>
            <w:tcW w:w="1696" w:type="dxa"/>
            <w:vAlign w:val="center"/>
          </w:tcPr>
          <w:p w14:paraId="3F3D888A"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TSS</w:t>
            </w:r>
          </w:p>
        </w:tc>
        <w:tc>
          <w:tcPr>
            <w:tcW w:w="1843" w:type="dxa"/>
            <w:vAlign w:val="center"/>
          </w:tcPr>
          <w:p w14:paraId="36ABE0C3"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mg/L</w:t>
            </w:r>
          </w:p>
        </w:tc>
        <w:tc>
          <w:tcPr>
            <w:tcW w:w="5523" w:type="dxa"/>
            <w:vAlign w:val="center"/>
          </w:tcPr>
          <w:p w14:paraId="7ADA6F61" w14:textId="77777777" w:rsidR="003B155E" w:rsidRDefault="003B155E" w:rsidP="000D79D6">
            <w:pPr>
              <w:jc w:val="center"/>
              <w:rPr>
                <w:rFonts w:ascii="Times New Roman" w:hAnsi="Times New Roman" w:cs="Times New Roman"/>
              </w:rPr>
            </w:pPr>
            <w:r>
              <w:rPr>
                <w:rFonts w:ascii="Times New Roman" w:hAnsi="Times New Roman" w:cs="Times New Roman"/>
              </w:rPr>
              <w:t>10-40</w:t>
            </w:r>
          </w:p>
        </w:tc>
      </w:tr>
    </w:tbl>
    <w:p w14:paraId="13BADA74" w14:textId="77777777" w:rsidR="003B155E" w:rsidRDefault="003B155E" w:rsidP="003B155E">
      <w:pPr>
        <w:spacing w:after="120" w:line="276" w:lineRule="auto"/>
        <w:jc w:val="both"/>
        <w:rPr>
          <w:rFonts w:ascii="Times New Roman" w:hAnsi="Times New Roman" w:cs="Times New Roman"/>
          <w:sz w:val="24"/>
          <w:szCs w:val="24"/>
        </w:rPr>
      </w:pPr>
    </w:p>
    <w:p w14:paraId="025B5FD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14’te verilmektedir.</w:t>
      </w:r>
    </w:p>
    <w:p w14:paraId="0677C04D"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26:</w:t>
      </w:r>
      <w:r>
        <w:rPr>
          <w:rFonts w:ascii="Times New Roman" w:hAnsi="Times New Roman" w:cs="Times New Roman"/>
          <w:sz w:val="24"/>
          <w:szCs w:val="24"/>
        </w:rPr>
        <w:t xml:space="preserve"> Odun lifi üretiminden kaynaklanan proses atık suyu oluşumunu önlemek veya azaltmak için, proses suyu geri dönüşümü en yüksek seviyeye çıkarılır.</w:t>
      </w:r>
    </w:p>
    <w:p w14:paraId="3B19089E"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Yonga yıkama, pişirme ve/veya rafinasyon işlemlerinden kaynaklanan proses suyunun, en uygun şekilde katıların mekanik olarak uzaklaştırılması veya evaporasyon yolu ile arıtılarak kapalı veya açık döngülerde geri dönüşümü.</w:t>
      </w:r>
    </w:p>
    <w:p w14:paraId="4A6C5A2C"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27:</w:t>
      </w:r>
      <w:r>
        <w:rPr>
          <w:rFonts w:ascii="Times New Roman" w:hAnsi="Times New Roman" w:cs="Times New Roman"/>
          <w:sz w:val="24"/>
          <w:szCs w:val="24"/>
        </w:rPr>
        <w:t xml:space="preserve"> Odun lifi üretiminden kaynaklı suya emisyonları azaltmak için, aşağıdaki tekniklerin bir kombinasyonu kullanılır.</w:t>
      </w:r>
    </w:p>
    <w:tbl>
      <w:tblPr>
        <w:tblStyle w:val="TabloKlavuzu"/>
        <w:tblW w:w="0" w:type="auto"/>
        <w:jc w:val="center"/>
        <w:tblLook w:val="04A0" w:firstRow="1" w:lastRow="0" w:firstColumn="1" w:lastColumn="0" w:noHBand="0" w:noVBand="1"/>
      </w:tblPr>
      <w:tblGrid>
        <w:gridCol w:w="503"/>
        <w:gridCol w:w="4518"/>
        <w:gridCol w:w="4041"/>
      </w:tblGrid>
      <w:tr w:rsidR="003B155E" w14:paraId="291F8AD1" w14:textId="77777777" w:rsidTr="000D79D6">
        <w:trPr>
          <w:tblHeader/>
          <w:jc w:val="center"/>
        </w:trPr>
        <w:tc>
          <w:tcPr>
            <w:tcW w:w="503" w:type="dxa"/>
            <w:vAlign w:val="center"/>
          </w:tcPr>
          <w:p w14:paraId="39CC3129" w14:textId="77777777" w:rsidR="003B155E" w:rsidRPr="00276CE9" w:rsidRDefault="003B155E" w:rsidP="000D79D6">
            <w:pPr>
              <w:jc w:val="center"/>
              <w:rPr>
                <w:rFonts w:ascii="Times New Roman" w:hAnsi="Times New Roman" w:cs="Times New Roman"/>
                <w:b/>
                <w:bCs/>
              </w:rPr>
            </w:pPr>
          </w:p>
        </w:tc>
        <w:tc>
          <w:tcPr>
            <w:tcW w:w="4518" w:type="dxa"/>
            <w:vAlign w:val="center"/>
          </w:tcPr>
          <w:p w14:paraId="6986D04D"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73F21514"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02BC1770" w14:textId="77777777" w:rsidTr="000D79D6">
        <w:trPr>
          <w:jc w:val="center"/>
        </w:trPr>
        <w:tc>
          <w:tcPr>
            <w:tcW w:w="503" w:type="dxa"/>
            <w:vAlign w:val="center"/>
          </w:tcPr>
          <w:p w14:paraId="3A1D32CB" w14:textId="77777777" w:rsidR="003B155E" w:rsidRDefault="003B155E" w:rsidP="000D79D6">
            <w:pPr>
              <w:jc w:val="center"/>
              <w:rPr>
                <w:rFonts w:ascii="Times New Roman" w:hAnsi="Times New Roman" w:cs="Times New Roman"/>
              </w:rPr>
            </w:pPr>
            <w:r>
              <w:rPr>
                <w:rFonts w:ascii="Times New Roman" w:hAnsi="Times New Roman" w:cs="Times New Roman"/>
              </w:rPr>
              <w:t>a</w:t>
            </w:r>
          </w:p>
        </w:tc>
        <w:tc>
          <w:tcPr>
            <w:tcW w:w="4518" w:type="dxa"/>
            <w:vAlign w:val="center"/>
          </w:tcPr>
          <w:p w14:paraId="0D325870" w14:textId="77777777" w:rsidR="003B155E" w:rsidRDefault="003B155E" w:rsidP="000D79D6">
            <w:pPr>
              <w:jc w:val="both"/>
              <w:rPr>
                <w:rFonts w:ascii="Times New Roman" w:hAnsi="Times New Roman" w:cs="Times New Roman"/>
              </w:rPr>
            </w:pPr>
            <w:r>
              <w:rPr>
                <w:rFonts w:ascii="Times New Roman" w:hAnsi="Times New Roman" w:cs="Times New Roman"/>
              </w:rPr>
              <w:t>Kaba taneli materyallerin elek ve süzgeçlerle mekanik ayrımı</w:t>
            </w:r>
          </w:p>
        </w:tc>
        <w:tc>
          <w:tcPr>
            <w:tcW w:w="4041" w:type="dxa"/>
            <w:vMerge w:val="restart"/>
            <w:vAlign w:val="center"/>
          </w:tcPr>
          <w:p w14:paraId="5F776720"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64BDFA9A" w14:textId="77777777" w:rsidTr="000D79D6">
        <w:trPr>
          <w:jc w:val="center"/>
        </w:trPr>
        <w:tc>
          <w:tcPr>
            <w:tcW w:w="503" w:type="dxa"/>
            <w:vAlign w:val="center"/>
          </w:tcPr>
          <w:p w14:paraId="04DBCAE1" w14:textId="77777777" w:rsidR="003B155E" w:rsidRDefault="003B155E" w:rsidP="000D79D6">
            <w:pPr>
              <w:jc w:val="center"/>
              <w:rPr>
                <w:rFonts w:ascii="Times New Roman" w:hAnsi="Times New Roman" w:cs="Times New Roman"/>
              </w:rPr>
            </w:pPr>
            <w:r>
              <w:rPr>
                <w:rFonts w:ascii="Times New Roman" w:hAnsi="Times New Roman" w:cs="Times New Roman"/>
              </w:rPr>
              <w:t>b</w:t>
            </w:r>
          </w:p>
        </w:tc>
        <w:tc>
          <w:tcPr>
            <w:tcW w:w="4518" w:type="dxa"/>
            <w:vAlign w:val="center"/>
          </w:tcPr>
          <w:p w14:paraId="7F02CD23" w14:textId="77777777" w:rsidR="003B155E" w:rsidRDefault="003B155E" w:rsidP="000D79D6">
            <w:pPr>
              <w:jc w:val="both"/>
              <w:rPr>
                <w:rFonts w:ascii="Times New Roman" w:hAnsi="Times New Roman" w:cs="Times New Roman"/>
              </w:rPr>
            </w:pPr>
            <w:r>
              <w:rPr>
                <w:rFonts w:ascii="Times New Roman" w:hAnsi="Times New Roman" w:cs="Times New Roman"/>
              </w:rPr>
              <w:t>Örn. kum filtreleri, çözünmüş havalı yüzdürme, koagülasyon ve flokülasyon kullanılarak fiziko-kimyasal ayrım</w:t>
            </w:r>
          </w:p>
        </w:tc>
        <w:tc>
          <w:tcPr>
            <w:tcW w:w="4041" w:type="dxa"/>
            <w:vMerge/>
            <w:vAlign w:val="center"/>
          </w:tcPr>
          <w:p w14:paraId="2984BFC7" w14:textId="77777777" w:rsidR="003B155E" w:rsidRDefault="003B155E" w:rsidP="000D79D6">
            <w:pPr>
              <w:jc w:val="both"/>
              <w:rPr>
                <w:rFonts w:ascii="Times New Roman" w:hAnsi="Times New Roman" w:cs="Times New Roman"/>
              </w:rPr>
            </w:pPr>
          </w:p>
        </w:tc>
      </w:tr>
      <w:tr w:rsidR="003B155E" w14:paraId="64AED459" w14:textId="77777777" w:rsidTr="000D79D6">
        <w:trPr>
          <w:jc w:val="center"/>
        </w:trPr>
        <w:tc>
          <w:tcPr>
            <w:tcW w:w="503" w:type="dxa"/>
            <w:vAlign w:val="center"/>
          </w:tcPr>
          <w:p w14:paraId="6743C075" w14:textId="77777777" w:rsidR="003B155E" w:rsidRDefault="003B155E" w:rsidP="000D79D6">
            <w:pPr>
              <w:jc w:val="center"/>
              <w:rPr>
                <w:rFonts w:ascii="Times New Roman" w:hAnsi="Times New Roman" w:cs="Times New Roman"/>
              </w:rPr>
            </w:pPr>
            <w:r>
              <w:rPr>
                <w:rFonts w:ascii="Times New Roman" w:hAnsi="Times New Roman" w:cs="Times New Roman"/>
              </w:rPr>
              <w:t>c</w:t>
            </w:r>
          </w:p>
        </w:tc>
        <w:tc>
          <w:tcPr>
            <w:tcW w:w="4518" w:type="dxa"/>
            <w:vAlign w:val="center"/>
          </w:tcPr>
          <w:p w14:paraId="2D3B3287" w14:textId="77777777" w:rsidR="003B155E" w:rsidRDefault="003B155E" w:rsidP="000D79D6">
            <w:pPr>
              <w:jc w:val="both"/>
              <w:rPr>
                <w:rFonts w:ascii="Times New Roman" w:hAnsi="Times New Roman" w:cs="Times New Roman"/>
              </w:rPr>
            </w:pPr>
            <w:r>
              <w:rPr>
                <w:rFonts w:ascii="Times New Roman" w:hAnsi="Times New Roman" w:cs="Times New Roman"/>
              </w:rPr>
              <w:t>Biyolojik arıtma</w:t>
            </w:r>
          </w:p>
        </w:tc>
        <w:tc>
          <w:tcPr>
            <w:tcW w:w="4041" w:type="dxa"/>
            <w:vMerge/>
            <w:vAlign w:val="center"/>
          </w:tcPr>
          <w:p w14:paraId="530E3FB5" w14:textId="77777777" w:rsidR="003B155E" w:rsidRDefault="003B155E" w:rsidP="000D79D6">
            <w:pPr>
              <w:jc w:val="both"/>
              <w:rPr>
                <w:rFonts w:ascii="Times New Roman" w:hAnsi="Times New Roman" w:cs="Times New Roman"/>
              </w:rPr>
            </w:pPr>
          </w:p>
        </w:tc>
      </w:tr>
    </w:tbl>
    <w:p w14:paraId="2215531E" w14:textId="77777777" w:rsidR="003B155E" w:rsidRDefault="003B155E" w:rsidP="003B155E">
      <w:pPr>
        <w:spacing w:after="120" w:line="276" w:lineRule="auto"/>
        <w:jc w:val="both"/>
        <w:rPr>
          <w:rFonts w:ascii="Times New Roman" w:hAnsi="Times New Roman" w:cs="Times New Roman"/>
          <w:sz w:val="24"/>
          <w:szCs w:val="24"/>
        </w:rPr>
      </w:pPr>
    </w:p>
    <w:p w14:paraId="2722783F" w14:textId="77777777" w:rsidR="003B155E" w:rsidRDefault="003B155E" w:rsidP="003B155E">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7</w:t>
      </w:r>
    </w:p>
    <w:p w14:paraId="706BD443" w14:textId="77777777" w:rsidR="003B155E" w:rsidRPr="00DD51E7" w:rsidRDefault="003B155E" w:rsidP="003B155E">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Odun lifi üretiminden kaynaklanan proses atık suyunun alıcı ortama doğrudan deşarjına yönelik MET-İES’ler</w:t>
      </w:r>
    </w:p>
    <w:tbl>
      <w:tblPr>
        <w:tblStyle w:val="TabloKlavuzu"/>
        <w:tblW w:w="0" w:type="auto"/>
        <w:jc w:val="center"/>
        <w:tblLook w:val="04A0" w:firstRow="1" w:lastRow="0" w:firstColumn="1" w:lastColumn="0" w:noHBand="0" w:noVBand="1"/>
      </w:tblPr>
      <w:tblGrid>
        <w:gridCol w:w="1696"/>
        <w:gridCol w:w="7366"/>
      </w:tblGrid>
      <w:tr w:rsidR="003B155E" w14:paraId="63E82A18" w14:textId="77777777" w:rsidTr="000D79D6">
        <w:trPr>
          <w:tblHeader/>
          <w:jc w:val="center"/>
        </w:trPr>
        <w:tc>
          <w:tcPr>
            <w:tcW w:w="1696" w:type="dxa"/>
            <w:vMerge w:val="restart"/>
            <w:vAlign w:val="center"/>
          </w:tcPr>
          <w:p w14:paraId="73BB0433"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Parametre</w:t>
            </w:r>
          </w:p>
        </w:tc>
        <w:tc>
          <w:tcPr>
            <w:tcW w:w="7366" w:type="dxa"/>
            <w:vAlign w:val="center"/>
          </w:tcPr>
          <w:p w14:paraId="689D0E16"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MET-İES</w:t>
            </w:r>
          </w:p>
          <w:p w14:paraId="6C32620B" w14:textId="77777777" w:rsidR="003B155E" w:rsidRDefault="003B155E" w:rsidP="000D79D6">
            <w:pPr>
              <w:jc w:val="center"/>
              <w:rPr>
                <w:rFonts w:ascii="Times New Roman" w:hAnsi="Times New Roman" w:cs="Times New Roman"/>
                <w:b/>
                <w:bCs/>
              </w:rPr>
            </w:pPr>
            <w:r>
              <w:rPr>
                <w:rFonts w:ascii="Times New Roman" w:hAnsi="Times New Roman" w:cs="Times New Roman"/>
                <w:b/>
                <w:bCs/>
              </w:rPr>
              <w:t>(bir yıl boyunca elde edilen numunelerin ortalaması)</w:t>
            </w:r>
          </w:p>
        </w:tc>
      </w:tr>
      <w:tr w:rsidR="003B155E" w14:paraId="3CF6E8C8" w14:textId="77777777" w:rsidTr="000D79D6">
        <w:trPr>
          <w:tblHeader/>
          <w:jc w:val="center"/>
        </w:trPr>
        <w:tc>
          <w:tcPr>
            <w:tcW w:w="1696" w:type="dxa"/>
            <w:vMerge/>
            <w:vAlign w:val="center"/>
          </w:tcPr>
          <w:p w14:paraId="5CA3BC59" w14:textId="77777777" w:rsidR="003B155E" w:rsidRDefault="003B155E" w:rsidP="000D79D6">
            <w:pPr>
              <w:jc w:val="center"/>
              <w:rPr>
                <w:rFonts w:ascii="Times New Roman" w:hAnsi="Times New Roman" w:cs="Times New Roman"/>
                <w:b/>
                <w:bCs/>
              </w:rPr>
            </w:pPr>
          </w:p>
        </w:tc>
        <w:tc>
          <w:tcPr>
            <w:tcW w:w="7366" w:type="dxa"/>
            <w:vAlign w:val="center"/>
          </w:tcPr>
          <w:p w14:paraId="107D962D" w14:textId="77777777" w:rsidR="003B155E" w:rsidRDefault="003B155E" w:rsidP="000D79D6">
            <w:pPr>
              <w:jc w:val="center"/>
              <w:rPr>
                <w:rFonts w:ascii="Times New Roman" w:hAnsi="Times New Roman" w:cs="Times New Roman"/>
                <w:b/>
                <w:bCs/>
              </w:rPr>
            </w:pPr>
            <w:r>
              <w:rPr>
                <w:rFonts w:ascii="Times New Roman" w:hAnsi="Times New Roman" w:cs="Times New Roman"/>
                <w:b/>
                <w:bCs/>
              </w:rPr>
              <w:t>mg/L</w:t>
            </w:r>
          </w:p>
        </w:tc>
      </w:tr>
      <w:tr w:rsidR="003B155E" w14:paraId="4B404FA9" w14:textId="77777777" w:rsidTr="000D79D6">
        <w:trPr>
          <w:jc w:val="center"/>
        </w:trPr>
        <w:tc>
          <w:tcPr>
            <w:tcW w:w="1696" w:type="dxa"/>
            <w:vAlign w:val="center"/>
          </w:tcPr>
          <w:p w14:paraId="674D0F7B" w14:textId="77777777" w:rsidR="003B155E" w:rsidRPr="001D4DC3" w:rsidRDefault="003B155E" w:rsidP="000D79D6">
            <w:pPr>
              <w:jc w:val="center"/>
              <w:rPr>
                <w:rFonts w:ascii="Times New Roman" w:hAnsi="Times New Roman" w:cs="Times New Roman"/>
              </w:rPr>
            </w:pPr>
            <w:r>
              <w:rPr>
                <w:rFonts w:ascii="Times New Roman" w:hAnsi="Times New Roman" w:cs="Times New Roman"/>
              </w:rPr>
              <w:t>TSS</w:t>
            </w:r>
          </w:p>
        </w:tc>
        <w:tc>
          <w:tcPr>
            <w:tcW w:w="7366" w:type="dxa"/>
            <w:vAlign w:val="center"/>
          </w:tcPr>
          <w:p w14:paraId="1257BED3" w14:textId="77777777" w:rsidR="003B155E" w:rsidRDefault="003B155E" w:rsidP="000D79D6">
            <w:pPr>
              <w:jc w:val="center"/>
              <w:rPr>
                <w:rFonts w:ascii="Times New Roman" w:hAnsi="Times New Roman" w:cs="Times New Roman"/>
              </w:rPr>
            </w:pPr>
            <w:r>
              <w:rPr>
                <w:rFonts w:ascii="Times New Roman" w:hAnsi="Times New Roman" w:cs="Times New Roman"/>
              </w:rPr>
              <w:t>5-35</w:t>
            </w:r>
          </w:p>
        </w:tc>
      </w:tr>
      <w:tr w:rsidR="003B155E" w14:paraId="4DCC5555" w14:textId="77777777" w:rsidTr="000D79D6">
        <w:trPr>
          <w:jc w:val="center"/>
        </w:trPr>
        <w:tc>
          <w:tcPr>
            <w:tcW w:w="1696" w:type="dxa"/>
            <w:vAlign w:val="center"/>
          </w:tcPr>
          <w:p w14:paraId="7D3CEA45" w14:textId="77777777" w:rsidR="003B155E" w:rsidRDefault="009D570E" w:rsidP="000D79D6">
            <w:pPr>
              <w:jc w:val="center"/>
              <w:rPr>
                <w:rFonts w:ascii="Times New Roman" w:hAnsi="Times New Roman" w:cs="Times New Roman"/>
              </w:rPr>
            </w:pPr>
            <w:r>
              <w:rPr>
                <w:rFonts w:ascii="Times New Roman" w:hAnsi="Times New Roman" w:cs="Times New Roman"/>
              </w:rPr>
              <w:t>KOİ</w:t>
            </w:r>
          </w:p>
        </w:tc>
        <w:tc>
          <w:tcPr>
            <w:tcW w:w="7366" w:type="dxa"/>
            <w:vAlign w:val="center"/>
          </w:tcPr>
          <w:p w14:paraId="24F45E24" w14:textId="77777777" w:rsidR="003B155E" w:rsidRDefault="003B155E" w:rsidP="000D79D6">
            <w:pPr>
              <w:jc w:val="center"/>
              <w:rPr>
                <w:rFonts w:ascii="Times New Roman" w:hAnsi="Times New Roman" w:cs="Times New Roman"/>
              </w:rPr>
            </w:pPr>
            <w:r>
              <w:rPr>
                <w:rFonts w:ascii="Times New Roman" w:hAnsi="Times New Roman" w:cs="Times New Roman"/>
              </w:rPr>
              <w:t>20-200</w:t>
            </w:r>
          </w:p>
        </w:tc>
      </w:tr>
    </w:tbl>
    <w:p w14:paraId="32F277F2" w14:textId="77777777" w:rsidR="003B155E" w:rsidRDefault="003B155E" w:rsidP="003B155E">
      <w:pPr>
        <w:spacing w:after="120" w:line="276" w:lineRule="auto"/>
        <w:jc w:val="both"/>
        <w:rPr>
          <w:rFonts w:ascii="Times New Roman" w:hAnsi="Times New Roman" w:cs="Times New Roman"/>
          <w:sz w:val="24"/>
          <w:szCs w:val="24"/>
        </w:rPr>
      </w:pPr>
    </w:p>
    <w:p w14:paraId="7DD3E06A" w14:textId="77777777" w:rsidR="001208DC" w:rsidRDefault="001208DC" w:rsidP="003B155E">
      <w:pPr>
        <w:spacing w:after="120" w:line="276" w:lineRule="auto"/>
        <w:jc w:val="both"/>
        <w:rPr>
          <w:rFonts w:ascii="Times New Roman" w:hAnsi="Times New Roman" w:cs="Times New Roman"/>
          <w:sz w:val="24"/>
          <w:szCs w:val="24"/>
        </w:rPr>
      </w:pPr>
    </w:p>
    <w:p w14:paraId="1AF03F21" w14:textId="0C6AF208"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İlişkili izleme, MET 14’te verilmektedir.</w:t>
      </w:r>
    </w:p>
    <w:p w14:paraId="0DB2A205"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28:</w:t>
      </w:r>
      <w:r>
        <w:rPr>
          <w:rFonts w:ascii="Times New Roman" w:hAnsi="Times New Roman" w:cs="Times New Roman"/>
          <w:sz w:val="24"/>
          <w:szCs w:val="24"/>
        </w:rPr>
        <w:t xml:space="preserve"> Deşarjdan önce arıtmanın gerekli olduğu ıslak hava azaltım sistemlerinden kaynaklanan atık su oluşumunu önlemek veya azaltmak için, aşağıdaki tekniklerin biri veya bir kombinasyonu kullanılır.</w:t>
      </w:r>
    </w:p>
    <w:tbl>
      <w:tblPr>
        <w:tblStyle w:val="TabloKlavuzu"/>
        <w:tblW w:w="0" w:type="auto"/>
        <w:jc w:val="center"/>
        <w:tblLook w:val="04A0" w:firstRow="1" w:lastRow="0" w:firstColumn="1" w:lastColumn="0" w:noHBand="0" w:noVBand="1"/>
      </w:tblPr>
      <w:tblGrid>
        <w:gridCol w:w="5021"/>
        <w:gridCol w:w="4041"/>
      </w:tblGrid>
      <w:tr w:rsidR="003B155E" w14:paraId="0802B312" w14:textId="77777777" w:rsidTr="000D79D6">
        <w:trPr>
          <w:tblHeader/>
          <w:jc w:val="center"/>
        </w:trPr>
        <w:tc>
          <w:tcPr>
            <w:tcW w:w="5021" w:type="dxa"/>
            <w:vAlign w:val="center"/>
          </w:tcPr>
          <w:p w14:paraId="18FE42CE"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4041" w:type="dxa"/>
          </w:tcPr>
          <w:p w14:paraId="6D559A05" w14:textId="77777777" w:rsidR="003B155E" w:rsidRDefault="003B155E" w:rsidP="000D79D6">
            <w:pPr>
              <w:jc w:val="center"/>
              <w:rPr>
                <w:rFonts w:ascii="Times New Roman" w:hAnsi="Times New Roman" w:cs="Times New Roman"/>
                <w:b/>
                <w:bCs/>
              </w:rPr>
            </w:pPr>
            <w:r>
              <w:rPr>
                <w:rFonts w:ascii="Times New Roman" w:hAnsi="Times New Roman" w:cs="Times New Roman"/>
                <w:b/>
                <w:bCs/>
              </w:rPr>
              <w:t>Uygulanabilirlik</w:t>
            </w:r>
          </w:p>
        </w:tc>
      </w:tr>
      <w:tr w:rsidR="003B155E" w14:paraId="2BE06A6E" w14:textId="77777777" w:rsidTr="000D79D6">
        <w:trPr>
          <w:jc w:val="center"/>
        </w:trPr>
        <w:tc>
          <w:tcPr>
            <w:tcW w:w="5021" w:type="dxa"/>
            <w:vAlign w:val="center"/>
          </w:tcPr>
          <w:p w14:paraId="6A9C79C0" w14:textId="77777777" w:rsidR="003B155E" w:rsidRDefault="003B155E" w:rsidP="000D79D6">
            <w:pPr>
              <w:jc w:val="both"/>
              <w:rPr>
                <w:rFonts w:ascii="Times New Roman" w:hAnsi="Times New Roman" w:cs="Times New Roman"/>
              </w:rPr>
            </w:pPr>
            <w:r>
              <w:rPr>
                <w:rFonts w:ascii="Times New Roman" w:hAnsi="Times New Roman" w:cs="Times New Roman"/>
              </w:rPr>
              <w:t>Islak azaltım sistemlerinde toplanan katıların uzaklaştırılması için sedimantasyon, tortu ayırma, vidalı ve kayışlı presler</w:t>
            </w:r>
          </w:p>
        </w:tc>
        <w:tc>
          <w:tcPr>
            <w:tcW w:w="4041" w:type="dxa"/>
            <w:vMerge w:val="restart"/>
            <w:vAlign w:val="center"/>
          </w:tcPr>
          <w:p w14:paraId="0FF7AE25" w14:textId="77777777" w:rsidR="003B155E" w:rsidRDefault="003B155E" w:rsidP="000D79D6">
            <w:pPr>
              <w:jc w:val="both"/>
              <w:rPr>
                <w:rFonts w:ascii="Times New Roman" w:hAnsi="Times New Roman" w:cs="Times New Roman"/>
              </w:rPr>
            </w:pPr>
            <w:r>
              <w:rPr>
                <w:rFonts w:ascii="Times New Roman" w:hAnsi="Times New Roman" w:cs="Times New Roman"/>
              </w:rPr>
              <w:t>Genellikle uygulanabilir.</w:t>
            </w:r>
          </w:p>
        </w:tc>
      </w:tr>
      <w:tr w:rsidR="003B155E" w14:paraId="20DC3FCE" w14:textId="77777777" w:rsidTr="000D79D6">
        <w:trPr>
          <w:jc w:val="center"/>
        </w:trPr>
        <w:tc>
          <w:tcPr>
            <w:tcW w:w="5021" w:type="dxa"/>
            <w:vAlign w:val="center"/>
          </w:tcPr>
          <w:p w14:paraId="5B5FBF26" w14:textId="77777777" w:rsidR="003B155E" w:rsidRDefault="003B155E" w:rsidP="000D79D6">
            <w:pPr>
              <w:jc w:val="both"/>
              <w:rPr>
                <w:rFonts w:ascii="Times New Roman" w:hAnsi="Times New Roman" w:cs="Times New Roman"/>
              </w:rPr>
            </w:pPr>
            <w:r>
              <w:rPr>
                <w:rFonts w:ascii="Times New Roman" w:hAnsi="Times New Roman" w:cs="Times New Roman"/>
              </w:rPr>
              <w:t>Çözünmüş havalı yüzdürme. Koagülasyon ve flokülasyon beraberinde, çözünmüş hava yardımıyla topaksı kümelenmelerin yüzdürme ile uzaklaştırılması</w:t>
            </w:r>
          </w:p>
        </w:tc>
        <w:tc>
          <w:tcPr>
            <w:tcW w:w="4041" w:type="dxa"/>
            <w:vMerge/>
            <w:vAlign w:val="center"/>
          </w:tcPr>
          <w:p w14:paraId="0334EFB2" w14:textId="77777777" w:rsidR="003B155E" w:rsidRDefault="003B155E" w:rsidP="000D79D6">
            <w:pPr>
              <w:jc w:val="both"/>
              <w:rPr>
                <w:rFonts w:ascii="Times New Roman" w:hAnsi="Times New Roman" w:cs="Times New Roman"/>
              </w:rPr>
            </w:pPr>
          </w:p>
        </w:tc>
      </w:tr>
    </w:tbl>
    <w:p w14:paraId="3C8887E6" w14:textId="77777777" w:rsidR="003B155E" w:rsidRDefault="003B155E" w:rsidP="003B155E">
      <w:pPr>
        <w:spacing w:after="120" w:line="276" w:lineRule="auto"/>
        <w:jc w:val="both"/>
        <w:rPr>
          <w:rFonts w:ascii="Times New Roman" w:hAnsi="Times New Roman" w:cs="Times New Roman"/>
          <w:sz w:val="24"/>
          <w:szCs w:val="24"/>
        </w:rPr>
      </w:pPr>
    </w:p>
    <w:p w14:paraId="5CD246AA" w14:textId="77777777" w:rsidR="003B155E" w:rsidRDefault="003B155E" w:rsidP="003B155E">
      <w:pPr>
        <w:spacing w:after="120" w:line="276" w:lineRule="auto"/>
        <w:jc w:val="both"/>
        <w:rPr>
          <w:rFonts w:ascii="Times New Roman" w:hAnsi="Times New Roman" w:cs="Times New Roman"/>
          <w:sz w:val="24"/>
          <w:szCs w:val="24"/>
        </w:rPr>
        <w:sectPr w:rsidR="003B155E">
          <w:pgSz w:w="11906" w:h="16838"/>
          <w:pgMar w:top="1417" w:right="1417" w:bottom="1417" w:left="1417" w:header="708" w:footer="708" w:gutter="0"/>
          <w:cols w:space="708"/>
          <w:docGrid w:linePitch="360"/>
        </w:sectPr>
      </w:pPr>
    </w:p>
    <w:p w14:paraId="09EDC5DF" w14:textId="1E9B33D7" w:rsidR="003B155E" w:rsidRPr="007F1D69" w:rsidRDefault="00C043C7" w:rsidP="003B155E">
      <w:pPr>
        <w:pStyle w:val="Balk1"/>
      </w:pPr>
      <w:r>
        <w:lastRenderedPageBreak/>
        <w:t>4-</w:t>
      </w:r>
      <w:r w:rsidR="003B155E">
        <w:t>TEKNİKLERİN AÇIKLAMALARI</w:t>
      </w:r>
    </w:p>
    <w:p w14:paraId="01CCB4E3" w14:textId="68365866" w:rsidR="003B155E" w:rsidRPr="00C043C7" w:rsidRDefault="003B155E" w:rsidP="003B155E">
      <w:pPr>
        <w:pStyle w:val="Balk2"/>
        <w:spacing w:before="0" w:after="120" w:line="276" w:lineRule="auto"/>
        <w:jc w:val="both"/>
        <w:rPr>
          <w:rFonts w:cs="Times New Roman"/>
          <w:b/>
          <w:szCs w:val="24"/>
        </w:rPr>
      </w:pPr>
      <w:r w:rsidRPr="00C043C7">
        <w:rPr>
          <w:rFonts w:cs="Times New Roman"/>
          <w:b/>
          <w:szCs w:val="24"/>
        </w:rPr>
        <w:t>(</w:t>
      </w:r>
      <w:r w:rsidR="00C043C7" w:rsidRPr="00C043C7">
        <w:rPr>
          <w:rFonts w:cs="Times New Roman"/>
          <w:b/>
          <w:szCs w:val="24"/>
        </w:rPr>
        <w:t>4.1</w:t>
      </w:r>
      <w:r w:rsidRPr="00C043C7">
        <w:rPr>
          <w:rFonts w:cs="Times New Roman"/>
          <w:b/>
          <w:szCs w:val="24"/>
        </w:rPr>
        <w:t>) Havaya Emisyonlar</w:t>
      </w:r>
    </w:p>
    <w:tbl>
      <w:tblPr>
        <w:tblStyle w:val="TabloKlavuzu"/>
        <w:tblW w:w="0" w:type="auto"/>
        <w:jc w:val="center"/>
        <w:tblLook w:val="04A0" w:firstRow="1" w:lastRow="0" w:firstColumn="1" w:lastColumn="0" w:noHBand="0" w:noVBand="1"/>
      </w:tblPr>
      <w:tblGrid>
        <w:gridCol w:w="3114"/>
        <w:gridCol w:w="5948"/>
      </w:tblGrid>
      <w:tr w:rsidR="003B155E" w14:paraId="35C3F6A5" w14:textId="77777777" w:rsidTr="000D79D6">
        <w:trPr>
          <w:tblHeader/>
          <w:jc w:val="center"/>
        </w:trPr>
        <w:tc>
          <w:tcPr>
            <w:tcW w:w="3114" w:type="dxa"/>
            <w:vAlign w:val="center"/>
          </w:tcPr>
          <w:p w14:paraId="254416C6"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5948" w:type="dxa"/>
          </w:tcPr>
          <w:p w14:paraId="402A6726" w14:textId="77777777" w:rsidR="003B155E" w:rsidRDefault="003B155E" w:rsidP="000D79D6">
            <w:pPr>
              <w:jc w:val="center"/>
              <w:rPr>
                <w:rFonts w:ascii="Times New Roman" w:hAnsi="Times New Roman" w:cs="Times New Roman"/>
                <w:b/>
                <w:bCs/>
              </w:rPr>
            </w:pPr>
            <w:r>
              <w:rPr>
                <w:rFonts w:ascii="Times New Roman" w:hAnsi="Times New Roman" w:cs="Times New Roman"/>
                <w:b/>
                <w:bCs/>
              </w:rPr>
              <w:t>Açıklama</w:t>
            </w:r>
          </w:p>
        </w:tc>
      </w:tr>
      <w:tr w:rsidR="003B155E" w14:paraId="01B0F4D4" w14:textId="77777777" w:rsidTr="000D79D6">
        <w:trPr>
          <w:jc w:val="center"/>
        </w:trPr>
        <w:tc>
          <w:tcPr>
            <w:tcW w:w="3114" w:type="dxa"/>
            <w:vAlign w:val="center"/>
          </w:tcPr>
          <w:p w14:paraId="39D9E99D" w14:textId="77777777" w:rsidR="003B155E" w:rsidRDefault="003B155E" w:rsidP="000D79D6">
            <w:pPr>
              <w:jc w:val="both"/>
              <w:rPr>
                <w:rFonts w:ascii="Times New Roman" w:hAnsi="Times New Roman" w:cs="Times New Roman"/>
              </w:rPr>
            </w:pPr>
            <w:r>
              <w:rPr>
                <w:rFonts w:ascii="Times New Roman" w:hAnsi="Times New Roman" w:cs="Times New Roman"/>
              </w:rPr>
              <w:t>Biyofiltre</w:t>
            </w:r>
          </w:p>
        </w:tc>
        <w:tc>
          <w:tcPr>
            <w:tcW w:w="5948" w:type="dxa"/>
            <w:vAlign w:val="center"/>
          </w:tcPr>
          <w:p w14:paraId="77E4056C" w14:textId="77777777" w:rsidR="003B155E" w:rsidRDefault="003B155E" w:rsidP="000D79D6">
            <w:pPr>
              <w:jc w:val="both"/>
              <w:rPr>
                <w:rFonts w:ascii="Times New Roman" w:hAnsi="Times New Roman" w:cs="Times New Roman"/>
              </w:rPr>
            </w:pPr>
            <w:r>
              <w:rPr>
                <w:rFonts w:ascii="Times New Roman" w:hAnsi="Times New Roman" w:cs="Times New Roman"/>
              </w:rPr>
              <w:t>Biyofiltre, organik bileşikleri biyolojik oksidasyon yoluyla ayrıştırır. Atık gaz, organik bileşiklerin doğal oluşumlu mikroorganizmalar tarafından oksitlendiği ve inert materyalden oluşan (örn. plastik veya seramik) destekleyici bir katmandan geçirilir. Biyofiltre; toza, yüksek sıcaklıklara veya atık gaz giriş sıcaklığındaki yüksek değişimlere duyarlıdır.</w:t>
            </w:r>
          </w:p>
        </w:tc>
      </w:tr>
      <w:tr w:rsidR="003B155E" w14:paraId="44154570" w14:textId="77777777" w:rsidTr="000D79D6">
        <w:trPr>
          <w:jc w:val="center"/>
        </w:trPr>
        <w:tc>
          <w:tcPr>
            <w:tcW w:w="3114" w:type="dxa"/>
            <w:vAlign w:val="center"/>
          </w:tcPr>
          <w:p w14:paraId="7CAD0E67" w14:textId="77777777" w:rsidR="003B155E" w:rsidRDefault="003B155E" w:rsidP="000D79D6">
            <w:pPr>
              <w:jc w:val="both"/>
              <w:rPr>
                <w:rFonts w:ascii="Times New Roman" w:hAnsi="Times New Roman" w:cs="Times New Roman"/>
              </w:rPr>
            </w:pPr>
            <w:r>
              <w:rPr>
                <w:rFonts w:ascii="Times New Roman" w:hAnsi="Times New Roman" w:cs="Times New Roman"/>
              </w:rPr>
              <w:t>Biyoyıkayıcı</w:t>
            </w:r>
          </w:p>
        </w:tc>
        <w:tc>
          <w:tcPr>
            <w:tcW w:w="5948" w:type="dxa"/>
            <w:vAlign w:val="center"/>
          </w:tcPr>
          <w:p w14:paraId="160E77C4" w14:textId="77777777" w:rsidR="003B155E" w:rsidRDefault="003B155E" w:rsidP="000D79D6">
            <w:pPr>
              <w:jc w:val="both"/>
              <w:rPr>
                <w:rFonts w:ascii="Times New Roman" w:hAnsi="Times New Roman" w:cs="Times New Roman"/>
              </w:rPr>
            </w:pPr>
            <w:r>
              <w:rPr>
                <w:rFonts w:ascii="Times New Roman" w:hAnsi="Times New Roman" w:cs="Times New Roman"/>
              </w:rPr>
              <w:t>Biyoyıkayıcı, tozu uzaklaştırarak ve giriş sıcaklığını düşürerek atık gazı önceden hazırlayan bir ıslak yıkayıcı ile birleştirilmiş biyofiltredir. Su, dolgulu yatak kolonundan girip buradan aşağı yönde damlayarak sürekli olarak geri dönüştürülür. İlave ayrıştırmanın gerçekleştiği bir çöktürme tankında toplanır. pH düzenlemesi ile besin ilavesi, ayrıştırma sürecini optimize edebilir.</w:t>
            </w:r>
          </w:p>
        </w:tc>
      </w:tr>
      <w:tr w:rsidR="003B155E" w14:paraId="12E739C6" w14:textId="77777777" w:rsidTr="000D79D6">
        <w:trPr>
          <w:jc w:val="center"/>
        </w:trPr>
        <w:tc>
          <w:tcPr>
            <w:tcW w:w="3114" w:type="dxa"/>
            <w:vAlign w:val="center"/>
          </w:tcPr>
          <w:p w14:paraId="7F15AC1B" w14:textId="77777777" w:rsidR="003B155E" w:rsidRDefault="003B155E" w:rsidP="000D79D6">
            <w:pPr>
              <w:jc w:val="both"/>
              <w:rPr>
                <w:rFonts w:ascii="Times New Roman" w:hAnsi="Times New Roman" w:cs="Times New Roman"/>
              </w:rPr>
            </w:pPr>
            <w:r>
              <w:rPr>
                <w:rFonts w:ascii="Times New Roman" w:hAnsi="Times New Roman" w:cs="Times New Roman"/>
              </w:rPr>
              <w:t>Siklon</w:t>
            </w:r>
          </w:p>
        </w:tc>
        <w:tc>
          <w:tcPr>
            <w:tcW w:w="5948" w:type="dxa"/>
            <w:vAlign w:val="center"/>
          </w:tcPr>
          <w:p w14:paraId="7D788084" w14:textId="77777777" w:rsidR="003B155E" w:rsidRDefault="003B155E" w:rsidP="000D79D6">
            <w:pPr>
              <w:jc w:val="both"/>
              <w:rPr>
                <w:rFonts w:ascii="Times New Roman" w:hAnsi="Times New Roman" w:cs="Times New Roman"/>
              </w:rPr>
            </w:pPr>
            <w:r>
              <w:rPr>
                <w:rFonts w:ascii="Times New Roman" w:hAnsi="Times New Roman" w:cs="Times New Roman"/>
              </w:rPr>
              <w:t>Siklon, çoğunlukla konik bir bölme içinde santrifüj kuvveti uygulayarak atık gaz kollarından tozu uzaklaştırmak için eylemsizliği kullanır. Siklonlar, ileri toz azaltım veya organik bileşik azaltımından önce ön arıtma olarak kullanılır. Tek başına veya çoklu siklonlar şeklinde uygulanabilir.</w:t>
            </w:r>
          </w:p>
        </w:tc>
      </w:tr>
      <w:tr w:rsidR="003B155E" w14:paraId="33132758" w14:textId="77777777" w:rsidTr="000D79D6">
        <w:trPr>
          <w:jc w:val="center"/>
        </w:trPr>
        <w:tc>
          <w:tcPr>
            <w:tcW w:w="3114" w:type="dxa"/>
            <w:vAlign w:val="center"/>
          </w:tcPr>
          <w:p w14:paraId="4BA0111C" w14:textId="77777777" w:rsidR="003B155E" w:rsidRDefault="003B155E" w:rsidP="000D79D6">
            <w:pPr>
              <w:jc w:val="both"/>
              <w:rPr>
                <w:rFonts w:ascii="Times New Roman" w:hAnsi="Times New Roman" w:cs="Times New Roman"/>
              </w:rPr>
            </w:pPr>
            <w:r>
              <w:rPr>
                <w:rFonts w:ascii="Times New Roman" w:hAnsi="Times New Roman" w:cs="Times New Roman"/>
              </w:rPr>
              <w:t>Siklofiltre</w:t>
            </w:r>
          </w:p>
        </w:tc>
        <w:tc>
          <w:tcPr>
            <w:tcW w:w="5948" w:type="dxa"/>
            <w:vAlign w:val="center"/>
          </w:tcPr>
          <w:p w14:paraId="56BD3124" w14:textId="77777777" w:rsidR="003B155E" w:rsidRDefault="003B155E" w:rsidP="000D79D6">
            <w:pPr>
              <w:jc w:val="both"/>
              <w:rPr>
                <w:rFonts w:ascii="Times New Roman" w:hAnsi="Times New Roman" w:cs="Times New Roman"/>
              </w:rPr>
            </w:pPr>
            <w:r>
              <w:rPr>
                <w:rFonts w:ascii="Times New Roman" w:hAnsi="Times New Roman" w:cs="Times New Roman"/>
              </w:rPr>
              <w:t>Siklofiltre, siklon teknolojisi (daha iri taneli tozu ayırmak için) ile torba filtrenin (daha ince taneli tozu yakalamak için) bir kombinasyonunu kullanır.</w:t>
            </w:r>
          </w:p>
        </w:tc>
      </w:tr>
      <w:tr w:rsidR="003B155E" w14:paraId="44A7B967" w14:textId="77777777" w:rsidTr="000D79D6">
        <w:trPr>
          <w:jc w:val="center"/>
        </w:trPr>
        <w:tc>
          <w:tcPr>
            <w:tcW w:w="3114" w:type="dxa"/>
            <w:vAlign w:val="center"/>
          </w:tcPr>
          <w:p w14:paraId="00D918B7" w14:textId="77777777" w:rsidR="003B155E" w:rsidRDefault="003B155E" w:rsidP="000D79D6">
            <w:pPr>
              <w:jc w:val="both"/>
              <w:rPr>
                <w:rFonts w:ascii="Times New Roman" w:hAnsi="Times New Roman" w:cs="Times New Roman"/>
              </w:rPr>
            </w:pPr>
            <w:r>
              <w:rPr>
                <w:rFonts w:ascii="Times New Roman" w:hAnsi="Times New Roman" w:cs="Times New Roman"/>
              </w:rPr>
              <w:t>Elektrostatik Filtre (ESP)</w:t>
            </w:r>
          </w:p>
        </w:tc>
        <w:tc>
          <w:tcPr>
            <w:tcW w:w="5948" w:type="dxa"/>
            <w:vAlign w:val="center"/>
          </w:tcPr>
          <w:p w14:paraId="2395CB5F" w14:textId="77777777" w:rsidR="003B155E" w:rsidRDefault="003B155E" w:rsidP="000D79D6">
            <w:pPr>
              <w:jc w:val="both"/>
              <w:rPr>
                <w:rFonts w:ascii="Times New Roman" w:hAnsi="Times New Roman" w:cs="Times New Roman"/>
              </w:rPr>
            </w:pPr>
            <w:r>
              <w:rPr>
                <w:rFonts w:ascii="Times New Roman" w:hAnsi="Times New Roman" w:cs="Times New Roman"/>
              </w:rPr>
              <w:t>Elektrostatik filtreler, partiküllerin yüklenerek bir elektriksel alan altında ayrılması şeklinde çalışır. ESP, çok çeşitli koşullarda çalışabilir.</w:t>
            </w:r>
          </w:p>
        </w:tc>
      </w:tr>
      <w:tr w:rsidR="003B155E" w14:paraId="2E59C8E1" w14:textId="77777777" w:rsidTr="000D79D6">
        <w:trPr>
          <w:jc w:val="center"/>
        </w:trPr>
        <w:tc>
          <w:tcPr>
            <w:tcW w:w="3114" w:type="dxa"/>
            <w:vAlign w:val="center"/>
          </w:tcPr>
          <w:p w14:paraId="71808B1B" w14:textId="77777777" w:rsidR="003B155E" w:rsidRDefault="003B155E" w:rsidP="000D79D6">
            <w:pPr>
              <w:jc w:val="both"/>
              <w:rPr>
                <w:rFonts w:ascii="Times New Roman" w:hAnsi="Times New Roman" w:cs="Times New Roman"/>
              </w:rPr>
            </w:pPr>
            <w:r>
              <w:rPr>
                <w:rFonts w:ascii="Times New Roman" w:hAnsi="Times New Roman" w:cs="Times New Roman"/>
              </w:rPr>
              <w:t>Islak Elektrostatik Filtre (WESP)</w:t>
            </w:r>
          </w:p>
        </w:tc>
        <w:tc>
          <w:tcPr>
            <w:tcW w:w="5948" w:type="dxa"/>
            <w:vAlign w:val="center"/>
          </w:tcPr>
          <w:p w14:paraId="6B657581" w14:textId="77777777" w:rsidR="003B155E" w:rsidRDefault="003B155E" w:rsidP="000D79D6">
            <w:pPr>
              <w:jc w:val="both"/>
              <w:rPr>
                <w:rFonts w:ascii="Times New Roman" w:hAnsi="Times New Roman" w:cs="Times New Roman"/>
              </w:rPr>
            </w:pPr>
            <w:r>
              <w:rPr>
                <w:rFonts w:ascii="Times New Roman" w:hAnsi="Times New Roman" w:cs="Times New Roman"/>
              </w:rPr>
              <w:t>Islak elektrostatik filtre, atık gazı yıkayıp yoğunlaştıran bir ıslak yıkayıcı aşaması ile toplanan materyalin toplayıcı plakalardan hızla su ile akıtılmasıyla uzaklaştırıldığı ıslak modda çalışan bir elektrostatik filtreden oluşur. Atık gazın deşarjından önce su damlacıklarını uzaklaştırmak için genelde bir mekanizma kurulur (örn. buğu çözücü). Toplanan toz, su fazından ayrılır.</w:t>
            </w:r>
          </w:p>
        </w:tc>
      </w:tr>
      <w:tr w:rsidR="003B155E" w14:paraId="52FDF823" w14:textId="77777777" w:rsidTr="000D79D6">
        <w:trPr>
          <w:jc w:val="center"/>
        </w:trPr>
        <w:tc>
          <w:tcPr>
            <w:tcW w:w="3114" w:type="dxa"/>
            <w:vAlign w:val="center"/>
          </w:tcPr>
          <w:p w14:paraId="457C32AF" w14:textId="77777777" w:rsidR="003B155E" w:rsidRDefault="003B155E" w:rsidP="000D79D6">
            <w:pPr>
              <w:jc w:val="both"/>
              <w:rPr>
                <w:rFonts w:ascii="Times New Roman" w:hAnsi="Times New Roman" w:cs="Times New Roman"/>
              </w:rPr>
            </w:pPr>
            <w:r>
              <w:rPr>
                <w:rFonts w:ascii="Times New Roman" w:hAnsi="Times New Roman" w:cs="Times New Roman"/>
              </w:rPr>
              <w:t>Torba Filtre</w:t>
            </w:r>
          </w:p>
        </w:tc>
        <w:tc>
          <w:tcPr>
            <w:tcW w:w="5948" w:type="dxa"/>
            <w:vAlign w:val="center"/>
          </w:tcPr>
          <w:p w14:paraId="48B14056" w14:textId="77777777" w:rsidR="003B155E" w:rsidRDefault="003B155E" w:rsidP="000D79D6">
            <w:pPr>
              <w:jc w:val="both"/>
              <w:rPr>
                <w:rFonts w:ascii="Times New Roman" w:hAnsi="Times New Roman" w:cs="Times New Roman"/>
              </w:rPr>
            </w:pPr>
            <w:r>
              <w:rPr>
                <w:rFonts w:ascii="Times New Roman" w:hAnsi="Times New Roman" w:cs="Times New Roman"/>
              </w:rPr>
              <w:t>Torba filtreler, partikülleri uzaklaştırmak için gazların içinden geçtiği gözenekli dokuma veya keçeli kumaştan oluşur. Torba filtre kullanımı, baca gazının karakteristik özelliklerine ve maksimum çalışma sıcaklığına uygun bir kumaş seçimini gerektirir.</w:t>
            </w:r>
          </w:p>
        </w:tc>
      </w:tr>
      <w:tr w:rsidR="003B155E" w14:paraId="1D7DE7B4" w14:textId="77777777" w:rsidTr="000D79D6">
        <w:trPr>
          <w:jc w:val="center"/>
        </w:trPr>
        <w:tc>
          <w:tcPr>
            <w:tcW w:w="3114" w:type="dxa"/>
            <w:vAlign w:val="center"/>
          </w:tcPr>
          <w:p w14:paraId="742528D5" w14:textId="77777777" w:rsidR="003B155E" w:rsidRDefault="003B155E" w:rsidP="000D79D6">
            <w:pPr>
              <w:jc w:val="both"/>
              <w:rPr>
                <w:rFonts w:ascii="Times New Roman" w:hAnsi="Times New Roman" w:cs="Times New Roman"/>
              </w:rPr>
            </w:pPr>
            <w:r>
              <w:rPr>
                <w:rFonts w:ascii="Times New Roman" w:hAnsi="Times New Roman" w:cs="Times New Roman"/>
              </w:rPr>
              <w:t>Katalitik Termal Oksitleyici (CTO)</w:t>
            </w:r>
          </w:p>
        </w:tc>
        <w:tc>
          <w:tcPr>
            <w:tcW w:w="5948" w:type="dxa"/>
            <w:vAlign w:val="center"/>
          </w:tcPr>
          <w:p w14:paraId="509C7694" w14:textId="77777777" w:rsidR="003B155E" w:rsidRDefault="003B155E" w:rsidP="000D79D6">
            <w:pPr>
              <w:jc w:val="both"/>
              <w:rPr>
                <w:rFonts w:ascii="Times New Roman" w:hAnsi="Times New Roman" w:cs="Times New Roman"/>
              </w:rPr>
            </w:pPr>
            <w:r>
              <w:rPr>
                <w:rFonts w:ascii="Times New Roman" w:hAnsi="Times New Roman" w:cs="Times New Roman"/>
              </w:rPr>
              <w:t xml:space="preserve">Katalitik termal oksitleyiciler organik bileşikleri, katalitik olarak bir metal yüzeyde ve termal olarak bir yakıtın -normalde doğal gaz- yakılmasından kaynaklanan alev ile atık gazda bulunan </w:t>
            </w:r>
            <w:r w:rsidR="009D570E">
              <w:rPr>
                <w:rFonts w:ascii="Times New Roman" w:hAnsi="Times New Roman" w:cs="Times New Roman"/>
              </w:rPr>
              <w:t>UOB</w:t>
            </w:r>
            <w:r>
              <w:rPr>
                <w:rFonts w:ascii="Times New Roman" w:hAnsi="Times New Roman" w:cs="Times New Roman"/>
              </w:rPr>
              <w:t>’lerin atık gazı ısıttığı yakma bölmesinde yok eder. Yakma sıcaklığı, 400℃ ile 700℃ arasındadır. Isı, serbest bırakılmadan önce arıtılmış atık gazdan geri kazanılabilir.</w:t>
            </w:r>
          </w:p>
        </w:tc>
      </w:tr>
      <w:tr w:rsidR="003B155E" w14:paraId="241D954F" w14:textId="77777777" w:rsidTr="000D79D6">
        <w:trPr>
          <w:jc w:val="center"/>
        </w:trPr>
        <w:tc>
          <w:tcPr>
            <w:tcW w:w="3114" w:type="dxa"/>
            <w:vAlign w:val="center"/>
          </w:tcPr>
          <w:p w14:paraId="022EB95D" w14:textId="77777777" w:rsidR="003B155E" w:rsidRDefault="003B155E" w:rsidP="000D79D6">
            <w:pPr>
              <w:jc w:val="both"/>
              <w:rPr>
                <w:rFonts w:ascii="Times New Roman" w:hAnsi="Times New Roman" w:cs="Times New Roman"/>
              </w:rPr>
            </w:pPr>
            <w:r>
              <w:rPr>
                <w:rFonts w:ascii="Times New Roman" w:hAnsi="Times New Roman" w:cs="Times New Roman"/>
              </w:rPr>
              <w:t>Rejeneratif Termal Oksitleyici (RTO)</w:t>
            </w:r>
          </w:p>
        </w:tc>
        <w:tc>
          <w:tcPr>
            <w:tcW w:w="5948" w:type="dxa"/>
            <w:vAlign w:val="center"/>
          </w:tcPr>
          <w:p w14:paraId="5589D783" w14:textId="77777777" w:rsidR="003B155E" w:rsidRDefault="003B155E" w:rsidP="000D79D6">
            <w:pPr>
              <w:jc w:val="both"/>
              <w:rPr>
                <w:rFonts w:ascii="Times New Roman" w:hAnsi="Times New Roman" w:cs="Times New Roman"/>
              </w:rPr>
            </w:pPr>
            <w:r>
              <w:rPr>
                <w:rFonts w:ascii="Times New Roman" w:hAnsi="Times New Roman" w:cs="Times New Roman"/>
              </w:rPr>
              <w:t xml:space="preserve">Termal oksitleyiciler organik bileşikleri, termal olarak bir yakıtın -normalde doğal gaz- yakılmasından kaynaklanan alev ile atık gazda bulunan </w:t>
            </w:r>
            <w:r w:rsidR="009D570E">
              <w:rPr>
                <w:rFonts w:ascii="Times New Roman" w:hAnsi="Times New Roman" w:cs="Times New Roman"/>
              </w:rPr>
              <w:t>UOB</w:t>
            </w:r>
            <w:r>
              <w:rPr>
                <w:rFonts w:ascii="Times New Roman" w:hAnsi="Times New Roman" w:cs="Times New Roman"/>
              </w:rPr>
              <w:t xml:space="preserve">’lerin atık gazı ısıttığı yakma bölmesinde yok eder. Yakma sıcaklığı, 800℃ ile 1.100℃ arasındadır. Rejeneratif termal oksitleyiciler, birinci bölmedeki yakma döngüsünden gelen yakma ısısının ikinci bölmedeki dolgulu yatağı önden ısıtmak için kullanıldığı iki veya daha fazla seramik dolgulu yatak </w:t>
            </w:r>
            <w:r>
              <w:rPr>
                <w:rFonts w:ascii="Times New Roman" w:hAnsi="Times New Roman" w:cs="Times New Roman"/>
              </w:rPr>
              <w:lastRenderedPageBreak/>
              <w:t>bölmelerine sahiptir. Isı, serbest bırakılmadan önce arıtılmış atık gazdan geri kazanılabilir.</w:t>
            </w:r>
          </w:p>
        </w:tc>
      </w:tr>
      <w:tr w:rsidR="003B155E" w14:paraId="68E15B86" w14:textId="77777777" w:rsidTr="000D79D6">
        <w:trPr>
          <w:jc w:val="center"/>
        </w:trPr>
        <w:tc>
          <w:tcPr>
            <w:tcW w:w="3114" w:type="dxa"/>
            <w:vAlign w:val="center"/>
          </w:tcPr>
          <w:p w14:paraId="1DF5C494" w14:textId="77777777" w:rsidR="003B155E" w:rsidRDefault="003B155E" w:rsidP="000D79D6">
            <w:pPr>
              <w:jc w:val="both"/>
              <w:rPr>
                <w:rFonts w:ascii="Times New Roman" w:hAnsi="Times New Roman" w:cs="Times New Roman"/>
              </w:rPr>
            </w:pPr>
            <w:r>
              <w:rPr>
                <w:rFonts w:ascii="Times New Roman" w:hAnsi="Times New Roman" w:cs="Times New Roman"/>
              </w:rPr>
              <w:lastRenderedPageBreak/>
              <w:t>UTWS Kurutucusu ve Isı Eşanjörlü Yakma ile Deşarj Edilen Kurutucu Atık Gazının Termal Arıtımı</w:t>
            </w:r>
          </w:p>
        </w:tc>
        <w:tc>
          <w:tcPr>
            <w:tcW w:w="5948" w:type="dxa"/>
            <w:vAlign w:val="center"/>
          </w:tcPr>
          <w:p w14:paraId="7883232D" w14:textId="77777777" w:rsidR="003B155E" w:rsidRDefault="003B155E" w:rsidP="000D79D6">
            <w:pPr>
              <w:jc w:val="both"/>
              <w:rPr>
                <w:rFonts w:ascii="Times New Roman" w:hAnsi="Times New Roman" w:cs="Times New Roman"/>
              </w:rPr>
            </w:pPr>
            <w:r>
              <w:rPr>
                <w:rFonts w:ascii="Times New Roman" w:hAnsi="Times New Roman" w:cs="Times New Roman"/>
              </w:rPr>
              <w:t>UTWS bir Alman kısaltmasıdır: ‘Umluft’ (kurutucu atık gazının resirkülasyonu), ‘Teilstromverbrennung’ (kısmen yönlendirilmiş kurutucu atık gazının son yakması), ‘Wärmerückgewinnung’ (kurutucu atık gazından ısı geri kazanımı’, ‘Staubabsheidung’ (yakma tesisinden kaynaklanan hava emisyonları deşarjının toz arıtması).</w:t>
            </w:r>
          </w:p>
          <w:p w14:paraId="59E96524" w14:textId="77777777" w:rsidR="003B155E" w:rsidRDefault="003B155E" w:rsidP="000D79D6">
            <w:pPr>
              <w:jc w:val="both"/>
              <w:rPr>
                <w:rFonts w:ascii="Times New Roman" w:hAnsi="Times New Roman" w:cs="Times New Roman"/>
              </w:rPr>
            </w:pPr>
          </w:p>
          <w:p w14:paraId="69D9F037" w14:textId="77777777" w:rsidR="003B155E" w:rsidRDefault="003B155E" w:rsidP="000D79D6">
            <w:pPr>
              <w:jc w:val="both"/>
              <w:rPr>
                <w:rFonts w:ascii="Times New Roman" w:hAnsi="Times New Roman" w:cs="Times New Roman"/>
              </w:rPr>
            </w:pPr>
            <w:r>
              <w:rPr>
                <w:rFonts w:ascii="Times New Roman" w:hAnsi="Times New Roman" w:cs="Times New Roman"/>
              </w:rPr>
              <w:t>UTWS, ısı eşanjörlü döner kurutucu ile kurutucu atık gazının resirküle edildiği yakma tesisinin bir kombinasyonudur. Resirküle edilen kurutucu atık gazı, buhar kurutma prosesini mümkün kılan sıcak buhardır. Kurutucu atık gazı, yakma baca hazları ile ısıtılan bir ısı eşanjöründe tekrar ısıtılır ve kurutucuya geri beslenir. Kurutucu atık gazının bir kısmı, son yakma için yakma bölmesine sürekli olarak beslenir. Odun kurutmadan kaynaklanan kirleticiler, ısı eşanjörü ve son yakma ile yok edilir. Yakma tesisinden deşarj edilen baca gazları, torba filtre veya elektrostatik filtre ile arıtılır.</w:t>
            </w:r>
          </w:p>
        </w:tc>
      </w:tr>
      <w:tr w:rsidR="003B155E" w14:paraId="502C1807" w14:textId="77777777" w:rsidTr="000D79D6">
        <w:trPr>
          <w:jc w:val="center"/>
        </w:trPr>
        <w:tc>
          <w:tcPr>
            <w:tcW w:w="3114" w:type="dxa"/>
            <w:vAlign w:val="center"/>
          </w:tcPr>
          <w:p w14:paraId="288112F3" w14:textId="77777777" w:rsidR="003B155E" w:rsidRDefault="003B155E" w:rsidP="000D79D6">
            <w:pPr>
              <w:jc w:val="both"/>
              <w:rPr>
                <w:rFonts w:ascii="Times New Roman" w:hAnsi="Times New Roman" w:cs="Times New Roman"/>
              </w:rPr>
            </w:pPr>
            <w:r>
              <w:rPr>
                <w:rFonts w:ascii="Times New Roman" w:hAnsi="Times New Roman" w:cs="Times New Roman"/>
              </w:rPr>
              <w:t>Islak Yıkayıcı</w:t>
            </w:r>
          </w:p>
        </w:tc>
        <w:tc>
          <w:tcPr>
            <w:tcW w:w="5948" w:type="dxa"/>
            <w:vAlign w:val="center"/>
          </w:tcPr>
          <w:p w14:paraId="7AC0C3FF" w14:textId="77777777" w:rsidR="003B155E" w:rsidRDefault="003B155E" w:rsidP="000D79D6">
            <w:pPr>
              <w:jc w:val="both"/>
              <w:rPr>
                <w:rFonts w:ascii="Times New Roman" w:hAnsi="Times New Roman" w:cs="Times New Roman"/>
              </w:rPr>
            </w:pPr>
            <w:r>
              <w:rPr>
                <w:rFonts w:ascii="Times New Roman" w:hAnsi="Times New Roman" w:cs="Times New Roman"/>
              </w:rPr>
              <w:t>Islak yıkayıcılar tozu, su fazında hareketsiz (eylemsiz) sıkıştırma, doğrudan tutma ve adsorpsiyon ile yakalar ve uzaklaştırır. Islak yıkayıcılar, çeşitli tasarımlara ve çalışma ilkelerine sahip olabilirler, örn. püskürtmeli yıkayıcı, vurmalı plakalı yıkayıcı veya Venturi yıkayıcı, ve toz ön işlemi veya tek başına bir teknik olarak kullanılabilirler. Bazı organik bileşiklerin uzaklaştırılması, yıkama suyunda kimyasallar kullanılarak başarılabilir ve daha da iyileştirilebilir (kimyasal oksidasyonu veya başka bir dönüşümü sağlayarak). Sonuçta oluşan sıvı, toplanan tozun sedimantasyon veya filtrasyon ile ayrılmasıyla arıtılmalıdır.</w:t>
            </w:r>
          </w:p>
        </w:tc>
      </w:tr>
    </w:tbl>
    <w:p w14:paraId="46A2B144" w14:textId="77777777" w:rsidR="003B155E" w:rsidRDefault="003B155E" w:rsidP="003B155E">
      <w:pPr>
        <w:spacing w:after="120" w:line="276" w:lineRule="auto"/>
        <w:jc w:val="both"/>
        <w:rPr>
          <w:rFonts w:ascii="Times New Roman" w:hAnsi="Times New Roman" w:cs="Times New Roman"/>
          <w:sz w:val="24"/>
          <w:szCs w:val="24"/>
        </w:rPr>
      </w:pPr>
    </w:p>
    <w:p w14:paraId="6A7746AE" w14:textId="3CD700B0" w:rsidR="003B155E" w:rsidRPr="00C043C7" w:rsidRDefault="003B155E" w:rsidP="003B155E">
      <w:pPr>
        <w:pStyle w:val="Balk2"/>
        <w:spacing w:before="0" w:after="120" w:line="276" w:lineRule="auto"/>
        <w:jc w:val="both"/>
        <w:rPr>
          <w:rFonts w:cs="Times New Roman"/>
          <w:b/>
          <w:szCs w:val="24"/>
        </w:rPr>
      </w:pPr>
      <w:r w:rsidRPr="00C043C7">
        <w:rPr>
          <w:rFonts w:cs="Times New Roman"/>
          <w:b/>
          <w:szCs w:val="24"/>
        </w:rPr>
        <w:t>(</w:t>
      </w:r>
      <w:r w:rsidR="00C043C7" w:rsidRPr="00C043C7">
        <w:rPr>
          <w:rFonts w:cs="Times New Roman"/>
          <w:b/>
          <w:szCs w:val="24"/>
        </w:rPr>
        <w:t>4.</w:t>
      </w:r>
      <w:r w:rsidRPr="00C043C7">
        <w:rPr>
          <w:rFonts w:cs="Times New Roman"/>
          <w:b/>
          <w:szCs w:val="24"/>
        </w:rPr>
        <w:t>2) Suya Emisyonlar</w:t>
      </w:r>
    </w:p>
    <w:tbl>
      <w:tblPr>
        <w:tblStyle w:val="TabloKlavuzu"/>
        <w:tblW w:w="0" w:type="auto"/>
        <w:jc w:val="center"/>
        <w:tblLook w:val="04A0" w:firstRow="1" w:lastRow="0" w:firstColumn="1" w:lastColumn="0" w:noHBand="0" w:noVBand="1"/>
      </w:tblPr>
      <w:tblGrid>
        <w:gridCol w:w="3114"/>
        <w:gridCol w:w="5948"/>
      </w:tblGrid>
      <w:tr w:rsidR="003B155E" w14:paraId="6C650BB1" w14:textId="77777777" w:rsidTr="000D79D6">
        <w:trPr>
          <w:tblHeader/>
          <w:jc w:val="center"/>
        </w:trPr>
        <w:tc>
          <w:tcPr>
            <w:tcW w:w="3114" w:type="dxa"/>
            <w:vAlign w:val="center"/>
          </w:tcPr>
          <w:p w14:paraId="7CDF7E43" w14:textId="77777777" w:rsidR="003B155E" w:rsidRPr="00276CE9" w:rsidRDefault="003B155E" w:rsidP="000D79D6">
            <w:pPr>
              <w:jc w:val="center"/>
              <w:rPr>
                <w:rFonts w:ascii="Times New Roman" w:hAnsi="Times New Roman" w:cs="Times New Roman"/>
                <w:b/>
                <w:bCs/>
              </w:rPr>
            </w:pPr>
            <w:r>
              <w:rPr>
                <w:rFonts w:ascii="Times New Roman" w:hAnsi="Times New Roman" w:cs="Times New Roman"/>
                <w:b/>
                <w:bCs/>
              </w:rPr>
              <w:t>Teknik</w:t>
            </w:r>
          </w:p>
        </w:tc>
        <w:tc>
          <w:tcPr>
            <w:tcW w:w="5948" w:type="dxa"/>
          </w:tcPr>
          <w:p w14:paraId="24FBD69D" w14:textId="77777777" w:rsidR="003B155E" w:rsidRDefault="003B155E" w:rsidP="000D79D6">
            <w:pPr>
              <w:jc w:val="center"/>
              <w:rPr>
                <w:rFonts w:ascii="Times New Roman" w:hAnsi="Times New Roman" w:cs="Times New Roman"/>
                <w:b/>
                <w:bCs/>
              </w:rPr>
            </w:pPr>
            <w:r>
              <w:rPr>
                <w:rFonts w:ascii="Times New Roman" w:hAnsi="Times New Roman" w:cs="Times New Roman"/>
                <w:b/>
                <w:bCs/>
              </w:rPr>
              <w:t>Açıklama</w:t>
            </w:r>
          </w:p>
        </w:tc>
      </w:tr>
      <w:tr w:rsidR="003B155E" w14:paraId="1A9B61E3" w14:textId="77777777" w:rsidTr="000D79D6">
        <w:trPr>
          <w:jc w:val="center"/>
        </w:trPr>
        <w:tc>
          <w:tcPr>
            <w:tcW w:w="3114" w:type="dxa"/>
            <w:vAlign w:val="center"/>
          </w:tcPr>
          <w:p w14:paraId="7B7E6A27" w14:textId="77777777" w:rsidR="003B155E" w:rsidRDefault="003B155E" w:rsidP="000D79D6">
            <w:pPr>
              <w:jc w:val="both"/>
              <w:rPr>
                <w:rFonts w:ascii="Times New Roman" w:hAnsi="Times New Roman" w:cs="Times New Roman"/>
              </w:rPr>
            </w:pPr>
            <w:r>
              <w:rPr>
                <w:rFonts w:ascii="Times New Roman" w:hAnsi="Times New Roman" w:cs="Times New Roman"/>
              </w:rPr>
              <w:t>Biyolojik Arıtma</w:t>
            </w:r>
          </w:p>
        </w:tc>
        <w:tc>
          <w:tcPr>
            <w:tcW w:w="5948" w:type="dxa"/>
            <w:vAlign w:val="center"/>
          </w:tcPr>
          <w:p w14:paraId="3BBB46E4" w14:textId="77777777" w:rsidR="003B155E" w:rsidRDefault="003B155E" w:rsidP="000D79D6">
            <w:pPr>
              <w:jc w:val="both"/>
              <w:rPr>
                <w:rFonts w:ascii="Times New Roman" w:hAnsi="Times New Roman" w:cs="Times New Roman"/>
              </w:rPr>
            </w:pPr>
            <w:r>
              <w:rPr>
                <w:rFonts w:ascii="Times New Roman" w:hAnsi="Times New Roman" w:cs="Times New Roman"/>
              </w:rPr>
              <w:t>Çözünmüş organik maddelerin mikroorganizmaların metabolizması kullanılarak biyolojik oksidasyonu veya atık suda bulunan organik içeriğin hava yokluğunda mikroorganizmaların faaliyeti ile bozunması. Biyolojik faaliyeti çoğunlukla, askıdaki katıların uzaklaştırılması, örn. sedimantasyon ile, takip eder.</w:t>
            </w:r>
          </w:p>
        </w:tc>
      </w:tr>
      <w:tr w:rsidR="003B155E" w14:paraId="70F6E385" w14:textId="77777777" w:rsidTr="000D79D6">
        <w:trPr>
          <w:jc w:val="center"/>
        </w:trPr>
        <w:tc>
          <w:tcPr>
            <w:tcW w:w="3114" w:type="dxa"/>
            <w:vAlign w:val="center"/>
          </w:tcPr>
          <w:p w14:paraId="5606F8C3" w14:textId="77777777" w:rsidR="003B155E" w:rsidRDefault="003B155E" w:rsidP="000D79D6">
            <w:pPr>
              <w:jc w:val="both"/>
              <w:rPr>
                <w:rFonts w:ascii="Times New Roman" w:hAnsi="Times New Roman" w:cs="Times New Roman"/>
              </w:rPr>
            </w:pPr>
            <w:r>
              <w:rPr>
                <w:rFonts w:ascii="Times New Roman" w:hAnsi="Times New Roman" w:cs="Times New Roman"/>
              </w:rPr>
              <w:t>Koagülasyon ve Flokülasyon</w:t>
            </w:r>
          </w:p>
        </w:tc>
        <w:tc>
          <w:tcPr>
            <w:tcW w:w="5948" w:type="dxa"/>
            <w:vAlign w:val="center"/>
          </w:tcPr>
          <w:p w14:paraId="64822CA0" w14:textId="77777777" w:rsidR="003B155E" w:rsidRDefault="003B155E" w:rsidP="000D79D6">
            <w:pPr>
              <w:jc w:val="both"/>
              <w:rPr>
                <w:rFonts w:ascii="Times New Roman" w:hAnsi="Times New Roman" w:cs="Times New Roman"/>
              </w:rPr>
            </w:pPr>
            <w:r>
              <w:rPr>
                <w:rFonts w:ascii="Times New Roman" w:hAnsi="Times New Roman" w:cs="Times New Roman"/>
              </w:rPr>
              <w:t>Koagülasyon ve flokülasyon, askıdaki katıları atık sudan ayırmak için kullanılır ve sıklıkla birbirini izleyen adımlarda yürütülür. Koagülasyon, askıdaki katıların zıttı yüke sahip koagülanların eklenmesiyle gerçekleşir. Flokülasyon, mikroflok partiküllerinin çarpışarak daha büyük floklar oluşturmak üzere birbirine bağlanmasını sağlayan polimerlerin eklenmesiyle gerçekleşir.</w:t>
            </w:r>
          </w:p>
        </w:tc>
      </w:tr>
      <w:tr w:rsidR="003B155E" w14:paraId="36DDE838" w14:textId="77777777" w:rsidTr="000D79D6">
        <w:trPr>
          <w:jc w:val="center"/>
        </w:trPr>
        <w:tc>
          <w:tcPr>
            <w:tcW w:w="3114" w:type="dxa"/>
            <w:vAlign w:val="center"/>
          </w:tcPr>
          <w:p w14:paraId="4A8346A6" w14:textId="77777777" w:rsidR="003B155E" w:rsidRDefault="003B155E" w:rsidP="000D79D6">
            <w:pPr>
              <w:jc w:val="both"/>
              <w:rPr>
                <w:rFonts w:ascii="Times New Roman" w:hAnsi="Times New Roman" w:cs="Times New Roman"/>
              </w:rPr>
            </w:pPr>
            <w:r>
              <w:rPr>
                <w:rFonts w:ascii="Times New Roman" w:hAnsi="Times New Roman" w:cs="Times New Roman"/>
              </w:rPr>
              <w:t>Yüzdürme</w:t>
            </w:r>
          </w:p>
        </w:tc>
        <w:tc>
          <w:tcPr>
            <w:tcW w:w="5948" w:type="dxa"/>
            <w:vAlign w:val="center"/>
          </w:tcPr>
          <w:p w14:paraId="293A2659" w14:textId="77777777" w:rsidR="003B155E" w:rsidRDefault="003B155E" w:rsidP="000D79D6">
            <w:pPr>
              <w:jc w:val="both"/>
              <w:rPr>
                <w:rFonts w:ascii="Times New Roman" w:hAnsi="Times New Roman" w:cs="Times New Roman"/>
              </w:rPr>
            </w:pPr>
            <w:r>
              <w:rPr>
                <w:rFonts w:ascii="Times New Roman" w:hAnsi="Times New Roman" w:cs="Times New Roman"/>
              </w:rPr>
              <w:t>Büyük flokların veya yüzen partiküllerin süspansiyonun yüzeyine getirilerek atık sudan ayrılması.</w:t>
            </w:r>
          </w:p>
        </w:tc>
      </w:tr>
      <w:tr w:rsidR="003B155E" w14:paraId="1F01C70D" w14:textId="77777777" w:rsidTr="000D79D6">
        <w:trPr>
          <w:jc w:val="center"/>
        </w:trPr>
        <w:tc>
          <w:tcPr>
            <w:tcW w:w="3114" w:type="dxa"/>
            <w:vAlign w:val="center"/>
          </w:tcPr>
          <w:p w14:paraId="7A22758C" w14:textId="77777777" w:rsidR="003B155E" w:rsidRDefault="003B155E" w:rsidP="000D79D6">
            <w:pPr>
              <w:jc w:val="both"/>
              <w:rPr>
                <w:rFonts w:ascii="Times New Roman" w:hAnsi="Times New Roman" w:cs="Times New Roman"/>
              </w:rPr>
            </w:pPr>
            <w:r>
              <w:rPr>
                <w:rFonts w:ascii="Times New Roman" w:hAnsi="Times New Roman" w:cs="Times New Roman"/>
              </w:rPr>
              <w:t>Çözünmüş Havalı Yüzdürme</w:t>
            </w:r>
          </w:p>
        </w:tc>
        <w:tc>
          <w:tcPr>
            <w:tcW w:w="5948" w:type="dxa"/>
            <w:vAlign w:val="center"/>
          </w:tcPr>
          <w:p w14:paraId="17046776" w14:textId="77777777" w:rsidR="003B155E" w:rsidRDefault="003B155E" w:rsidP="000D79D6">
            <w:pPr>
              <w:jc w:val="both"/>
              <w:rPr>
                <w:rFonts w:ascii="Times New Roman" w:hAnsi="Times New Roman" w:cs="Times New Roman"/>
              </w:rPr>
            </w:pPr>
            <w:r>
              <w:rPr>
                <w:rFonts w:ascii="Times New Roman" w:hAnsi="Times New Roman" w:cs="Times New Roman"/>
              </w:rPr>
              <w:t>Yüzdürme teknikleri, koagüle ve floküle materyallerin ayrılması için çözünmüş hava kullanımına bağlıdır.</w:t>
            </w:r>
          </w:p>
        </w:tc>
      </w:tr>
      <w:tr w:rsidR="003B155E" w14:paraId="2420AD4A" w14:textId="77777777" w:rsidTr="000D79D6">
        <w:trPr>
          <w:jc w:val="center"/>
        </w:trPr>
        <w:tc>
          <w:tcPr>
            <w:tcW w:w="3114" w:type="dxa"/>
            <w:vAlign w:val="center"/>
          </w:tcPr>
          <w:p w14:paraId="223E0582" w14:textId="77777777" w:rsidR="003B155E" w:rsidRDefault="003B155E" w:rsidP="000D79D6">
            <w:pPr>
              <w:jc w:val="both"/>
              <w:rPr>
                <w:rFonts w:ascii="Times New Roman" w:hAnsi="Times New Roman" w:cs="Times New Roman"/>
              </w:rPr>
            </w:pPr>
            <w:r>
              <w:rPr>
                <w:rFonts w:ascii="Times New Roman" w:hAnsi="Times New Roman" w:cs="Times New Roman"/>
              </w:rPr>
              <w:t>Filtrasyon</w:t>
            </w:r>
          </w:p>
        </w:tc>
        <w:tc>
          <w:tcPr>
            <w:tcW w:w="5948" w:type="dxa"/>
            <w:vAlign w:val="center"/>
          </w:tcPr>
          <w:p w14:paraId="40660027" w14:textId="77777777" w:rsidR="003B155E" w:rsidRDefault="003B155E" w:rsidP="000D79D6">
            <w:pPr>
              <w:jc w:val="both"/>
              <w:rPr>
                <w:rFonts w:ascii="Times New Roman" w:hAnsi="Times New Roman" w:cs="Times New Roman"/>
              </w:rPr>
            </w:pPr>
            <w:r>
              <w:rPr>
                <w:rFonts w:ascii="Times New Roman" w:hAnsi="Times New Roman" w:cs="Times New Roman"/>
              </w:rPr>
              <w:t>Katıların gözenekli bir ortamdan geçirilerek atık su taşıyıcısından ayrılması. Farklı türde teknikleri içerir, örn. kum filtrasyonu, mikrofiltrasyon ve ultrafiltrasyon.</w:t>
            </w:r>
          </w:p>
        </w:tc>
      </w:tr>
      <w:tr w:rsidR="003B155E" w14:paraId="15C088DE" w14:textId="77777777" w:rsidTr="000D79D6">
        <w:trPr>
          <w:jc w:val="center"/>
        </w:trPr>
        <w:tc>
          <w:tcPr>
            <w:tcW w:w="3114" w:type="dxa"/>
            <w:vAlign w:val="center"/>
          </w:tcPr>
          <w:p w14:paraId="14A4B08D" w14:textId="77777777" w:rsidR="003B155E" w:rsidRDefault="003B155E" w:rsidP="000D79D6">
            <w:pPr>
              <w:jc w:val="both"/>
              <w:rPr>
                <w:rFonts w:ascii="Times New Roman" w:hAnsi="Times New Roman" w:cs="Times New Roman"/>
              </w:rPr>
            </w:pPr>
            <w:r>
              <w:rPr>
                <w:rFonts w:ascii="Times New Roman" w:hAnsi="Times New Roman" w:cs="Times New Roman"/>
              </w:rPr>
              <w:t>Yağ-Su Ayrımı</w:t>
            </w:r>
          </w:p>
        </w:tc>
        <w:tc>
          <w:tcPr>
            <w:tcW w:w="5948" w:type="dxa"/>
            <w:vAlign w:val="center"/>
          </w:tcPr>
          <w:p w14:paraId="0D15BB56" w14:textId="77777777" w:rsidR="003B155E" w:rsidRDefault="003B155E" w:rsidP="000D79D6">
            <w:pPr>
              <w:jc w:val="both"/>
              <w:rPr>
                <w:rFonts w:ascii="Times New Roman" w:hAnsi="Times New Roman" w:cs="Times New Roman"/>
              </w:rPr>
            </w:pPr>
            <w:r>
              <w:rPr>
                <w:rFonts w:ascii="Times New Roman" w:hAnsi="Times New Roman" w:cs="Times New Roman"/>
              </w:rPr>
              <w:t xml:space="preserve">Çözünmez hidrokarbonların, fazlar (sıvı-sıvı veya katı-sıvı) arasındaki yer çekimi farkı ilkelerine dayanan ayrımı ve </w:t>
            </w:r>
            <w:r>
              <w:rPr>
                <w:rFonts w:ascii="Times New Roman" w:hAnsi="Times New Roman" w:cs="Times New Roman"/>
              </w:rPr>
              <w:lastRenderedPageBreak/>
              <w:t>ekstraksiyonu. Yüksek yoğunluklu faz çöker ve düşük yoğunluklu faz ise yüzeyde yüzer.</w:t>
            </w:r>
          </w:p>
        </w:tc>
      </w:tr>
      <w:tr w:rsidR="003B155E" w14:paraId="0C94C0B7" w14:textId="77777777" w:rsidTr="000D79D6">
        <w:trPr>
          <w:jc w:val="center"/>
        </w:trPr>
        <w:tc>
          <w:tcPr>
            <w:tcW w:w="3114" w:type="dxa"/>
            <w:vAlign w:val="center"/>
          </w:tcPr>
          <w:p w14:paraId="164F7016" w14:textId="77777777" w:rsidR="003B155E" w:rsidRDefault="003B155E" w:rsidP="000D79D6">
            <w:pPr>
              <w:jc w:val="both"/>
              <w:rPr>
                <w:rFonts w:ascii="Times New Roman" w:hAnsi="Times New Roman" w:cs="Times New Roman"/>
              </w:rPr>
            </w:pPr>
            <w:r>
              <w:rPr>
                <w:rFonts w:ascii="Times New Roman" w:hAnsi="Times New Roman" w:cs="Times New Roman"/>
              </w:rPr>
              <w:lastRenderedPageBreak/>
              <w:t>Bekleme Havuzları</w:t>
            </w:r>
          </w:p>
        </w:tc>
        <w:tc>
          <w:tcPr>
            <w:tcW w:w="5948" w:type="dxa"/>
            <w:vAlign w:val="center"/>
          </w:tcPr>
          <w:p w14:paraId="008BC1C1" w14:textId="77777777" w:rsidR="003B155E" w:rsidRDefault="003B155E" w:rsidP="000D79D6">
            <w:pPr>
              <w:jc w:val="both"/>
              <w:rPr>
                <w:rFonts w:ascii="Times New Roman" w:hAnsi="Times New Roman" w:cs="Times New Roman"/>
              </w:rPr>
            </w:pPr>
            <w:r>
              <w:rPr>
                <w:rFonts w:ascii="Times New Roman" w:hAnsi="Times New Roman" w:cs="Times New Roman"/>
              </w:rPr>
              <w:t>Katıların pasif yer çekimi çöktürmesi için büyük yüzey alanlı havuzlar.</w:t>
            </w:r>
          </w:p>
        </w:tc>
      </w:tr>
      <w:tr w:rsidR="003B155E" w14:paraId="03FE59D1" w14:textId="77777777" w:rsidTr="000D79D6">
        <w:trPr>
          <w:jc w:val="center"/>
        </w:trPr>
        <w:tc>
          <w:tcPr>
            <w:tcW w:w="3114" w:type="dxa"/>
            <w:vAlign w:val="center"/>
          </w:tcPr>
          <w:p w14:paraId="41B1D76A" w14:textId="77777777" w:rsidR="003B155E" w:rsidRDefault="003B155E" w:rsidP="000D79D6">
            <w:pPr>
              <w:jc w:val="both"/>
              <w:rPr>
                <w:rFonts w:ascii="Times New Roman" w:hAnsi="Times New Roman" w:cs="Times New Roman"/>
              </w:rPr>
            </w:pPr>
            <w:r>
              <w:rPr>
                <w:rFonts w:ascii="Times New Roman" w:hAnsi="Times New Roman" w:cs="Times New Roman"/>
              </w:rPr>
              <w:t>Sedimantasyon</w:t>
            </w:r>
          </w:p>
        </w:tc>
        <w:tc>
          <w:tcPr>
            <w:tcW w:w="5948" w:type="dxa"/>
            <w:vAlign w:val="center"/>
          </w:tcPr>
          <w:p w14:paraId="5EA1E5EB" w14:textId="77777777" w:rsidR="003B155E" w:rsidRDefault="003B155E" w:rsidP="000D79D6">
            <w:pPr>
              <w:jc w:val="both"/>
              <w:rPr>
                <w:rFonts w:ascii="Times New Roman" w:hAnsi="Times New Roman" w:cs="Times New Roman"/>
              </w:rPr>
            </w:pPr>
            <w:r>
              <w:rPr>
                <w:rFonts w:ascii="Times New Roman" w:hAnsi="Times New Roman" w:cs="Times New Roman"/>
              </w:rPr>
              <w:t>Askıdaki partiküllerin ve materyalin yer çekimi çöktürmesi ile ayrımı.</w:t>
            </w:r>
          </w:p>
        </w:tc>
      </w:tr>
    </w:tbl>
    <w:p w14:paraId="4FC85A8D" w14:textId="77777777" w:rsidR="003B155E" w:rsidRDefault="003B155E" w:rsidP="003B155E">
      <w:pPr>
        <w:spacing w:after="120" w:line="276" w:lineRule="auto"/>
        <w:jc w:val="both"/>
        <w:rPr>
          <w:rFonts w:ascii="Times New Roman" w:hAnsi="Times New Roman" w:cs="Times New Roman"/>
          <w:sz w:val="24"/>
          <w:szCs w:val="24"/>
        </w:rPr>
      </w:pPr>
    </w:p>
    <w:p w14:paraId="5446B2D5" w14:textId="77777777" w:rsidR="003B155E" w:rsidRDefault="003B155E" w:rsidP="003B155E"/>
    <w:p w14:paraId="37476687" w14:textId="77777777" w:rsidR="008F246B" w:rsidRDefault="008F246B" w:rsidP="003610DF">
      <w:pPr>
        <w:spacing w:after="120" w:line="276" w:lineRule="auto"/>
        <w:jc w:val="both"/>
        <w:rPr>
          <w:rFonts w:ascii="Times New Roman" w:hAnsi="Times New Roman" w:cs="Times New Roman"/>
          <w:sz w:val="24"/>
          <w:szCs w:val="24"/>
        </w:rPr>
        <w:sectPr w:rsidR="008F246B">
          <w:pgSz w:w="11906" w:h="16838"/>
          <w:pgMar w:top="1417" w:right="1417" w:bottom="1417" w:left="1417" w:header="708" w:footer="708" w:gutter="0"/>
          <w:cols w:space="708"/>
          <w:docGrid w:linePitch="360"/>
        </w:sectPr>
      </w:pPr>
    </w:p>
    <w:p w14:paraId="49351804" w14:textId="77777777" w:rsidR="00FD0408" w:rsidRPr="007F1D69" w:rsidRDefault="00FD0408" w:rsidP="00FD0408">
      <w:pPr>
        <w:pStyle w:val="Balk1"/>
        <w:spacing w:before="0" w:after="120" w:line="276" w:lineRule="auto"/>
        <w:jc w:val="right"/>
        <w:rPr>
          <w:rFonts w:cs="Times New Roman"/>
          <w:b w:val="0"/>
          <w:bCs/>
          <w:szCs w:val="24"/>
        </w:rPr>
      </w:pPr>
      <w:r>
        <w:rPr>
          <w:rFonts w:cs="Times New Roman"/>
          <w:bCs/>
          <w:szCs w:val="24"/>
        </w:rPr>
        <w:lastRenderedPageBreak/>
        <w:t>EK-4</w:t>
      </w:r>
    </w:p>
    <w:p w14:paraId="14E73C87" w14:textId="77777777" w:rsidR="00FD0408" w:rsidRPr="007F1D69" w:rsidRDefault="00FD0408" w:rsidP="00FD0408">
      <w:pPr>
        <w:pStyle w:val="Balk1"/>
        <w:spacing w:before="0" w:after="120" w:line="276" w:lineRule="auto"/>
        <w:jc w:val="center"/>
        <w:rPr>
          <w:rFonts w:cs="Times New Roman"/>
          <w:b w:val="0"/>
          <w:bCs/>
          <w:szCs w:val="24"/>
        </w:rPr>
      </w:pPr>
      <w:r>
        <w:rPr>
          <w:rFonts w:cs="Times New Roman"/>
          <w:bCs/>
          <w:szCs w:val="24"/>
        </w:rPr>
        <w:t>TEKSTİL SEKTÖRÜ İÇİN MEVCUT EN İYİ TEKNİKLER</w:t>
      </w:r>
    </w:p>
    <w:p w14:paraId="0609D02D" w14:textId="0ACCE5AD" w:rsidR="00FD0408" w:rsidRDefault="00FD0408" w:rsidP="00FD040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w:t>
      </w:r>
      <w:r w:rsidR="001208DC">
        <w:rPr>
          <w:rFonts w:ascii="Times New Roman" w:hAnsi="Times New Roman" w:cs="Times New Roman"/>
          <w:sz w:val="24"/>
          <w:szCs w:val="24"/>
        </w:rPr>
        <w:t>K</w:t>
      </w:r>
      <w:r>
        <w:rPr>
          <w:rFonts w:ascii="Times New Roman" w:hAnsi="Times New Roman" w:cs="Times New Roman"/>
          <w:sz w:val="24"/>
          <w:szCs w:val="24"/>
        </w:rPr>
        <w:t>-1’inde yer alan aşağıdaki endüstriyel faaliyetleri kapsar:</w:t>
      </w:r>
    </w:p>
    <w:p w14:paraId="41840C9D" w14:textId="77777777" w:rsidR="00FD0408" w:rsidRDefault="00FD0408" w:rsidP="00FD040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6.2. Günlük 10 ton ve üzeri kapasiteli tekstil elyafı ve tekstil mamullerinin ön işlemleri (yıkama, ağartma, merserizasyon gibi işlemler), boyanması veya aprelenmesi.</w:t>
      </w:r>
    </w:p>
    <w:p w14:paraId="01E4BAB5" w14:textId="77777777" w:rsidR="00CA0453" w:rsidRPr="007421ED" w:rsidRDefault="00CA0453" w:rsidP="00FD040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6.11. Endüstriyel Emisyonların Yönetimi Yönetmeliği kapsamında olan bir tesis tarafından deşarj edilen, Kentsel Atıksu Arıtımı Yönetmeliği kapsamında bulunmayan ve bağımsız işletilen atık su arıtma tesisleri, esas kirletici yükünün bu MET sonuçları kapsamındaki faaliyetlerden kaynaklanması halinde.</w:t>
      </w:r>
    </w:p>
    <w:p w14:paraId="3EDB52CC" w14:textId="77777777" w:rsidR="00FD0408" w:rsidRDefault="00FD0408" w:rsidP="00FD040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w:t>
      </w:r>
      <w:r w:rsidR="00C1636D">
        <w:rPr>
          <w:rFonts w:ascii="Times New Roman" w:hAnsi="Times New Roman" w:cs="Times New Roman"/>
          <w:sz w:val="24"/>
          <w:szCs w:val="24"/>
        </w:rPr>
        <w:t xml:space="preserve">leri </w:t>
      </w:r>
      <w:r>
        <w:rPr>
          <w:rFonts w:ascii="Times New Roman" w:hAnsi="Times New Roman" w:cs="Times New Roman"/>
          <w:sz w:val="24"/>
          <w:szCs w:val="24"/>
        </w:rPr>
        <w:t>de kapsar:</w:t>
      </w:r>
    </w:p>
    <w:p w14:paraId="7F0439EB" w14:textId="13F6086D" w:rsidR="0068515C" w:rsidRDefault="0068515C" w:rsidP="00FD040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Endüstriyel Emisyonların Yönetimi Yönetmeliği E</w:t>
      </w:r>
      <w:r w:rsidR="001208DC">
        <w:rPr>
          <w:rFonts w:ascii="Times New Roman" w:hAnsi="Times New Roman" w:cs="Times New Roman"/>
          <w:sz w:val="24"/>
          <w:szCs w:val="24"/>
        </w:rPr>
        <w:t>K</w:t>
      </w:r>
      <w:r>
        <w:rPr>
          <w:rFonts w:ascii="Times New Roman" w:hAnsi="Times New Roman" w:cs="Times New Roman"/>
          <w:sz w:val="24"/>
          <w:szCs w:val="24"/>
        </w:rPr>
        <w:t>-1’inde yer alan (6.2) maddesinde belirtilen faaliyetlerle doğrudan ilişkili olması halinde, aşağıdaki faaliyetler:</w:t>
      </w:r>
    </w:p>
    <w:p w14:paraId="602EED19"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kaplama;</w:t>
      </w:r>
    </w:p>
    <w:p w14:paraId="034AB453"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kuru temizleme;</w:t>
      </w:r>
    </w:p>
    <w:p w14:paraId="63F47844"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kumaş üretimi;</w:t>
      </w:r>
    </w:p>
    <w:p w14:paraId="34B6B7AD"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bitirme;</w:t>
      </w:r>
    </w:p>
    <w:p w14:paraId="60B132B3"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laminasyon;</w:t>
      </w:r>
    </w:p>
    <w:p w14:paraId="08F2E87A"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baskı;</w:t>
      </w:r>
    </w:p>
    <w:p w14:paraId="69CD55ED"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yakma;</w:t>
      </w:r>
    </w:p>
    <w:p w14:paraId="05665B7D"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yün karbonizasyonu;</w:t>
      </w:r>
    </w:p>
    <w:p w14:paraId="42D07D96" w14:textId="77777777" w:rsidR="0068515C" w:rsidRDefault="0068515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00840883">
        <w:rPr>
          <w:rFonts w:ascii="Times New Roman" w:hAnsi="Times New Roman" w:cs="Times New Roman"/>
          <w:sz w:val="24"/>
          <w:szCs w:val="24"/>
        </w:rPr>
        <w:t>yün dinkleme;</w:t>
      </w:r>
    </w:p>
    <w:p w14:paraId="536EBFA7" w14:textId="77777777" w:rsidR="00840883" w:rsidRDefault="00840883"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007A6C0C">
        <w:rPr>
          <w:rFonts w:ascii="Times New Roman" w:hAnsi="Times New Roman" w:cs="Times New Roman"/>
          <w:sz w:val="24"/>
          <w:szCs w:val="24"/>
        </w:rPr>
        <w:t>lif eğirme (yapay lifler haricindeki);</w:t>
      </w:r>
    </w:p>
    <w:p w14:paraId="5ABB538A" w14:textId="77777777" w:rsidR="007A6C0C" w:rsidRDefault="007A6C0C" w:rsidP="0068515C">
      <w:pPr>
        <w:spacing w:after="120" w:line="276" w:lineRule="auto"/>
        <w:ind w:left="708"/>
        <w:jc w:val="both"/>
        <w:rPr>
          <w:rFonts w:ascii="Times New Roman" w:hAnsi="Times New Roman" w:cs="Times New Roman"/>
          <w:sz w:val="24"/>
          <w:szCs w:val="24"/>
        </w:rPr>
      </w:pPr>
      <w:r>
        <w:rPr>
          <w:rFonts w:ascii="Times New Roman" w:hAnsi="Times New Roman" w:cs="Times New Roman"/>
          <w:sz w:val="24"/>
          <w:szCs w:val="24"/>
        </w:rPr>
        <w:t>-- boyama, baskı veya bitirme ile ilişkili yıkama veya durulama.</w:t>
      </w:r>
    </w:p>
    <w:p w14:paraId="5F80C839" w14:textId="77777777" w:rsidR="00AB137F" w:rsidRDefault="00AB137F" w:rsidP="00AB137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Esas kirletici yükünün bu MET sonuçları kapsamındaki faaliyetlerden kaynaklanması ve atık su arıtımının Kentsel Atıksu Arıtımı Yönetmeliği kapsamında olmaması halinde, farklı kaynaklardan gelen atık suyun ortak arıtımı.</w:t>
      </w:r>
    </w:p>
    <w:p w14:paraId="6A8E0C8B" w14:textId="77777777" w:rsidR="00AB137F" w:rsidRDefault="00AB137F" w:rsidP="00AB137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Yakma sonucundaki gaz halindeki ürünlerin tekstil lifleri veya tekstil ürünleri ile doğrudan temasa sokulması (doğrudan ısıtma, kurutma, termofiksaj gibi) veya radyan ve/veya iletken ısının ara ısı transfer sıvısı kullanılmadan katı duvar</w:t>
      </w:r>
      <w:r w:rsidR="00B97F8E">
        <w:rPr>
          <w:rFonts w:ascii="Times New Roman" w:hAnsi="Times New Roman" w:cs="Times New Roman"/>
          <w:sz w:val="24"/>
          <w:szCs w:val="24"/>
        </w:rPr>
        <w:t>dan geçirilerek transfer edilmesi (dolaylı ısıtma) halinde, bu MET sonuçları kapsamındaki faaliyetlerle doğrudan ilişkili saha içi yakma tesisleri.</w:t>
      </w:r>
    </w:p>
    <w:p w14:paraId="66842887" w14:textId="77777777" w:rsidR="006F651C" w:rsidRDefault="00FD0408"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 faaliyetleri kapsamaz:</w:t>
      </w:r>
    </w:p>
    <w:p w14:paraId="7713C2CB" w14:textId="77777777" w:rsidR="00875ADF" w:rsidRDefault="00B97F8E" w:rsidP="0074492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5ADF">
        <w:rPr>
          <w:rFonts w:ascii="Times New Roman" w:hAnsi="Times New Roman" w:cs="Times New Roman"/>
          <w:sz w:val="24"/>
          <w:szCs w:val="24"/>
        </w:rPr>
        <w:t>Saatte 150 kg’dan veya yılda 200 tondan fazla organik solvent tüketim kapasiteli kaplama ve laminasyon.</w:t>
      </w:r>
    </w:p>
    <w:p w14:paraId="4C24DA56" w14:textId="77777777" w:rsidR="00875ADF" w:rsidRDefault="00875ADF"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Yapay lif ve iplik üretimi.</w:t>
      </w:r>
    </w:p>
    <w:p w14:paraId="3CD8E0FF" w14:textId="77777777" w:rsidR="00875ADF" w:rsidRDefault="00875ADF"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Post ve derilerin kılsızlaştırılması.</w:t>
      </w:r>
    </w:p>
    <w:p w14:paraId="673C629D"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1.1. Genel En İyi Mevcut Teknikler (MET) Sonuçları</w:t>
      </w:r>
    </w:p>
    <w:p w14:paraId="12A001EC"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highlight w:val="green"/>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1.1.1. Genel Çevresel Performans</w:t>
      </w:r>
    </w:p>
    <w:p w14:paraId="1F7668E4"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1 - </w:t>
      </w:r>
      <w:r w:rsidRPr="0055515A">
        <w:rPr>
          <w:rFonts w:ascii="Times New Roman" w:eastAsia="Times New Roman" w:hAnsi="Times New Roman" w:cs="Times New Roman"/>
          <w:bCs/>
          <w:color w:val="000000"/>
          <w:kern w:val="0"/>
          <w:sz w:val="24"/>
          <w:szCs w:val="24"/>
          <w:lang w:eastAsia="tr-TR"/>
          <w14:ligatures w14:val="none"/>
        </w:rPr>
        <w:t>Çevresel performansı bütüncül bir şekilde iyileştirmek amacıyla MET, aşağıdaki özelliklerin tümünü içeren bir Çevre Yönetim Sistemi (ÇYS) geliştirecek ve uygulayacaktır:</w:t>
      </w:r>
    </w:p>
    <w:p w14:paraId="1CA2C879"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Etkili </w:t>
      </w:r>
      <w:r w:rsidR="0055515A" w:rsidRPr="00313D18">
        <w:rPr>
          <w:rFonts w:ascii="Times New Roman" w:eastAsia="Times New Roman" w:hAnsi="Times New Roman" w:cs="Times New Roman"/>
          <w:color w:val="000000"/>
          <w:kern w:val="0"/>
          <w:sz w:val="24"/>
          <w:szCs w:val="24"/>
          <w:lang w:eastAsia="tr-TR"/>
          <w14:ligatures w14:val="none"/>
        </w:rPr>
        <w:t>bir ÇYS’nin uygulanması için, üst düzey yönetim de dahil olmak üzere, idarenin bağlılığı, liderliği ve hesap verebilirliği;</w:t>
      </w:r>
    </w:p>
    <w:p w14:paraId="2BF19509"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Kurumsal </w:t>
      </w:r>
      <w:r w:rsidR="0055515A" w:rsidRPr="00313D18">
        <w:rPr>
          <w:rFonts w:ascii="Times New Roman" w:eastAsia="Times New Roman" w:hAnsi="Times New Roman" w:cs="Times New Roman"/>
          <w:color w:val="000000"/>
          <w:kern w:val="0"/>
          <w:sz w:val="24"/>
          <w:szCs w:val="24"/>
          <w:lang w:eastAsia="tr-TR"/>
          <w14:ligatures w14:val="none"/>
        </w:rPr>
        <w:t>bağlamın belirlenmesi, ilgili paydaşların ihtiyaç ve beklentilerinin tanımlanması ile tesisin çevre sağlığına (veya insan sağlığına) yönelik olası risklerle ilişkili özelliklerinin yanı sıra çevre ile ilgili uygulanabilir yasal gerekliliklerin belirlenmesini kapsayan bir analiz;</w:t>
      </w:r>
    </w:p>
    <w:p w14:paraId="6DEF5442"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Hedefleri </w:t>
      </w:r>
      <w:r w:rsidR="0055515A" w:rsidRPr="00313D18">
        <w:rPr>
          <w:rFonts w:ascii="Times New Roman" w:eastAsia="Times New Roman" w:hAnsi="Times New Roman" w:cs="Times New Roman"/>
          <w:color w:val="000000"/>
          <w:kern w:val="0"/>
          <w:sz w:val="24"/>
          <w:szCs w:val="24"/>
          <w:lang w:eastAsia="tr-TR"/>
          <w14:ligatures w14:val="none"/>
        </w:rPr>
        <w:t>arasında, tesisin çevresel performansının sürekli olarak iyileştirilmesi bulunan bir çevre politikası;</w:t>
      </w:r>
    </w:p>
    <w:p w14:paraId="11804797"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Uygulanabilir </w:t>
      </w:r>
      <w:r w:rsidR="0055515A" w:rsidRPr="00313D18">
        <w:rPr>
          <w:rFonts w:ascii="Times New Roman" w:eastAsia="Times New Roman" w:hAnsi="Times New Roman" w:cs="Times New Roman"/>
          <w:color w:val="000000"/>
          <w:kern w:val="0"/>
          <w:sz w:val="24"/>
          <w:szCs w:val="24"/>
          <w:lang w:eastAsia="tr-TR"/>
          <w14:ligatures w14:val="none"/>
        </w:rPr>
        <w:t>yasal gerekliliklere uyumluluğu da kapsayan önemli çevresel hususlar ile ilişkili hedefler ve performans göstergeleri;</w:t>
      </w:r>
    </w:p>
    <w:p w14:paraId="014716A5"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Çevresel </w:t>
      </w:r>
      <w:r w:rsidR="0055515A" w:rsidRPr="00313D18">
        <w:rPr>
          <w:rFonts w:ascii="Times New Roman" w:eastAsia="Times New Roman" w:hAnsi="Times New Roman" w:cs="Times New Roman"/>
          <w:color w:val="000000"/>
          <w:kern w:val="0"/>
          <w:sz w:val="24"/>
          <w:szCs w:val="24"/>
          <w:lang w:eastAsia="tr-TR"/>
          <w14:ligatures w14:val="none"/>
        </w:rPr>
        <w:t>hedeflere ulaşmak ve çevresel riskleri engellemek için gerekli prosedür ve eylemlerin (düzenleyici ve önleyici eylemler de gerektiğinde dahil olmak üzere) planlanması ve uygulanması;</w:t>
      </w:r>
    </w:p>
    <w:p w14:paraId="1F3C608E"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Çevresel </w:t>
      </w:r>
      <w:r w:rsidR="0055515A" w:rsidRPr="00313D18">
        <w:rPr>
          <w:rFonts w:ascii="Times New Roman" w:eastAsia="Times New Roman" w:hAnsi="Times New Roman" w:cs="Times New Roman"/>
          <w:color w:val="000000"/>
          <w:kern w:val="0"/>
          <w:sz w:val="24"/>
          <w:szCs w:val="24"/>
          <w:lang w:eastAsia="tr-TR"/>
          <w14:ligatures w14:val="none"/>
        </w:rPr>
        <w:t>hususlar ve hedefler ile ilişkili olarak düzenleme, rol ve sorumlulukların belirlenmesi ve gerekli olan mali ve insan kaynaklarının sağlanması;</w:t>
      </w:r>
    </w:p>
    <w:p w14:paraId="6A50EC4B"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Tesisin </w:t>
      </w:r>
      <w:r w:rsidR="0055515A" w:rsidRPr="00313D18">
        <w:rPr>
          <w:rFonts w:ascii="Times New Roman" w:eastAsia="Times New Roman" w:hAnsi="Times New Roman" w:cs="Times New Roman"/>
          <w:color w:val="000000"/>
          <w:kern w:val="0"/>
          <w:sz w:val="24"/>
          <w:szCs w:val="24"/>
          <w:lang w:eastAsia="tr-TR"/>
          <w14:ligatures w14:val="none"/>
        </w:rPr>
        <w:t>çevresel performansını etkileyebilecek çalışma faaliyetlerinde bulunan personele yönelik gerekli yetkinlik ve farkındalığın sağlanması (örneğin, bilgi paylaşımı ve eğitim yoluyla);</w:t>
      </w:r>
    </w:p>
    <w:p w14:paraId="3D85F43E"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İç </w:t>
      </w:r>
      <w:r w:rsidR="0055515A" w:rsidRPr="00313D18">
        <w:rPr>
          <w:rFonts w:ascii="Times New Roman" w:eastAsia="Times New Roman" w:hAnsi="Times New Roman" w:cs="Times New Roman"/>
          <w:color w:val="000000"/>
          <w:kern w:val="0"/>
          <w:sz w:val="24"/>
          <w:szCs w:val="24"/>
          <w:lang w:eastAsia="tr-TR"/>
          <w14:ligatures w14:val="none"/>
        </w:rPr>
        <w:t>ve dış iletişim;</w:t>
      </w:r>
    </w:p>
    <w:p w14:paraId="56F7BB66"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İyi </w:t>
      </w:r>
      <w:r w:rsidR="0055515A" w:rsidRPr="00313D18">
        <w:rPr>
          <w:rFonts w:ascii="Times New Roman" w:eastAsia="Times New Roman" w:hAnsi="Times New Roman" w:cs="Times New Roman"/>
          <w:color w:val="000000"/>
          <w:kern w:val="0"/>
          <w:sz w:val="24"/>
          <w:szCs w:val="24"/>
          <w:lang w:eastAsia="tr-TR"/>
          <w14:ligatures w14:val="none"/>
        </w:rPr>
        <w:t>çevre yönetimi uygulamalarına personel katılımının teşvik edilmesi;</w:t>
      </w:r>
    </w:p>
    <w:p w14:paraId="78DD1FD4"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Önemli </w:t>
      </w:r>
      <w:r w:rsidR="0055515A" w:rsidRPr="00313D18">
        <w:rPr>
          <w:rFonts w:ascii="Times New Roman" w:eastAsia="Times New Roman" w:hAnsi="Times New Roman" w:cs="Times New Roman"/>
          <w:color w:val="000000"/>
          <w:kern w:val="0"/>
          <w:sz w:val="24"/>
          <w:szCs w:val="24"/>
          <w:lang w:eastAsia="tr-TR"/>
          <w14:ligatures w14:val="none"/>
        </w:rPr>
        <w:t>çevresel etkiye sahip faaliyetler ile ilgili kayıtları kontrol altında tutmak adına yönetim el kitabı ve yazılı prosedürlerin oluşturulması ve sürdürülebilirliklerinin sağlanması;</w:t>
      </w:r>
    </w:p>
    <w:p w14:paraId="561AF7CF"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Etkili </w:t>
      </w:r>
      <w:r w:rsidR="0055515A" w:rsidRPr="00313D18">
        <w:rPr>
          <w:rFonts w:ascii="Times New Roman" w:eastAsia="Times New Roman" w:hAnsi="Times New Roman" w:cs="Times New Roman"/>
          <w:color w:val="000000"/>
          <w:kern w:val="0"/>
          <w:sz w:val="24"/>
          <w:szCs w:val="24"/>
          <w:lang w:eastAsia="tr-TR"/>
          <w14:ligatures w14:val="none"/>
        </w:rPr>
        <w:t>operasyonel planlama ve proses kontrolü;</w:t>
      </w:r>
    </w:p>
    <w:p w14:paraId="63A19A56"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Uygun </w:t>
      </w:r>
      <w:r w:rsidR="0055515A" w:rsidRPr="00313D18">
        <w:rPr>
          <w:rFonts w:ascii="Times New Roman" w:eastAsia="Times New Roman" w:hAnsi="Times New Roman" w:cs="Times New Roman"/>
          <w:color w:val="000000"/>
          <w:kern w:val="0"/>
          <w:sz w:val="24"/>
          <w:szCs w:val="24"/>
          <w:lang w:eastAsia="tr-TR"/>
          <w14:ligatures w14:val="none"/>
        </w:rPr>
        <w:t>bakım ve onarım programı uygulamaları;</w:t>
      </w:r>
    </w:p>
    <w:p w14:paraId="49AAC2C9"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lastRenderedPageBreak/>
        <w:t>Acil durumlardan kaynaklanan olumsuz çevr</w:t>
      </w:r>
      <w:r w:rsidR="0055515A" w:rsidRPr="00313D18">
        <w:rPr>
          <w:rFonts w:ascii="Times New Roman" w:eastAsia="Times New Roman" w:hAnsi="Times New Roman" w:cs="Times New Roman"/>
          <w:color w:val="000000"/>
          <w:kern w:val="0"/>
          <w:sz w:val="24"/>
          <w:szCs w:val="24"/>
          <w:lang w:eastAsia="tr-TR"/>
          <w14:ligatures w14:val="none"/>
        </w:rPr>
        <w:t>esel etkilerin önlenmesi ve/veya azaltılması/hafifletilmesi de dahil olmak üzere, acil durumlara hazırlık ve müdahale protokolleri;</w:t>
      </w:r>
    </w:p>
    <w:p w14:paraId="36FF884A"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Yeni bir tesis veya bir bölümü (yeniden) tasarlanırken inşaat, bakım ve onarım, operasyon ve kullanım sonu aşamaları da dahi</w:t>
      </w:r>
      <w:r w:rsidR="0055515A" w:rsidRPr="00313D18">
        <w:rPr>
          <w:rFonts w:ascii="Times New Roman" w:eastAsia="Times New Roman" w:hAnsi="Times New Roman" w:cs="Times New Roman"/>
          <w:color w:val="000000"/>
          <w:kern w:val="0"/>
          <w:sz w:val="24"/>
          <w:szCs w:val="24"/>
          <w:lang w:eastAsia="tr-TR"/>
          <w14:ligatures w14:val="none"/>
        </w:rPr>
        <w:t>l edilerek yaşam döngüsü boyunca sebep olunan çevresel etkilerin göz önünde bulundurulması;</w:t>
      </w:r>
    </w:p>
    <w:p w14:paraId="041C4E9C"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İzleme ve ölçüm programları;</w:t>
      </w:r>
    </w:p>
    <w:p w14:paraId="4D007456"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Sektörel karşılaştırmalı değerlendirmenin düzenli aralıklarla uygulanması;</w:t>
      </w:r>
    </w:p>
    <w:p w14:paraId="257BF3E4"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Çevresel performansı değerlendirmek ve çys’nin planlanan </w:t>
      </w:r>
      <w:r w:rsidR="0055515A" w:rsidRPr="00313D18">
        <w:rPr>
          <w:rFonts w:ascii="Times New Roman" w:eastAsia="Times New Roman" w:hAnsi="Times New Roman" w:cs="Times New Roman"/>
          <w:color w:val="000000"/>
          <w:kern w:val="0"/>
          <w:sz w:val="24"/>
          <w:szCs w:val="24"/>
          <w:lang w:eastAsia="tr-TR"/>
          <w14:ligatures w14:val="none"/>
        </w:rPr>
        <w:t>düzenlemelere uyumlu olarak doğru bir şekilde uygulanıp uygulanmadığını belirlemek için periyodik bağımsız (ve uygulanabilir olduğu sürece) bir iç denetim ile periyodik bağımsız bir dış denetim;</w:t>
      </w:r>
    </w:p>
    <w:p w14:paraId="1F4833D8"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Uygunsuzluk sebeplerinin değerlendirilmesi, bunlara yönelik d</w:t>
      </w:r>
      <w:r w:rsidR="0055515A" w:rsidRPr="00313D18">
        <w:rPr>
          <w:rFonts w:ascii="Times New Roman" w:eastAsia="Times New Roman" w:hAnsi="Times New Roman" w:cs="Times New Roman"/>
          <w:color w:val="000000"/>
          <w:kern w:val="0"/>
          <w:sz w:val="24"/>
          <w:szCs w:val="24"/>
          <w:lang w:eastAsia="tr-TR"/>
          <w14:ligatures w14:val="none"/>
        </w:rPr>
        <w:t>üzeltici eylemlerin uygulanması, söz konusu düzeltici eylemlerin etkinliklerinin gözden geçirilmesi ve benzer uygunsuzlukların mevcut olup olmadığının veya potansiyel olarak ortaya çıkıp çıkmayacağının belirlenmesi;</w:t>
      </w:r>
    </w:p>
    <w:p w14:paraId="2FF999EB"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Çys’ye ve devam </w:t>
      </w:r>
      <w:r w:rsidR="0055515A" w:rsidRPr="00313D18">
        <w:rPr>
          <w:rFonts w:ascii="Times New Roman" w:eastAsia="Times New Roman" w:hAnsi="Times New Roman" w:cs="Times New Roman"/>
          <w:color w:val="000000"/>
          <w:kern w:val="0"/>
          <w:sz w:val="24"/>
          <w:szCs w:val="24"/>
          <w:lang w:eastAsia="tr-TR"/>
          <w14:ligatures w14:val="none"/>
        </w:rPr>
        <w:t>eden uygunluğuna, yeterliliğine ve etkinliğine yönelik üst düzey yönetim tarafından yapılan periyodik değerlendirme;</w:t>
      </w:r>
    </w:p>
    <w:p w14:paraId="1592ABE8" w14:textId="77777777" w:rsidR="0055515A" w:rsidRPr="00313D18" w:rsidRDefault="000E2BBC" w:rsidP="00313D18">
      <w:pPr>
        <w:pStyle w:val="ListeParagraf"/>
        <w:numPr>
          <w:ilvl w:val="0"/>
          <w:numId w:val="31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Daha temiz yöntemlerin takip edilmesi ve dikkate alınması.</w:t>
      </w:r>
    </w:p>
    <w:p w14:paraId="36D9AD76" w14:textId="77777777" w:rsidR="0055515A" w:rsidRPr="0055515A" w:rsidRDefault="000E2BBC" w:rsidP="0055515A">
      <w:pPr>
        <w:pBdr>
          <w:top w:val="nil"/>
          <w:left w:val="nil"/>
          <w:bottom w:val="nil"/>
          <w:right w:val="nil"/>
          <w:between w:val="nil"/>
        </w:pBdr>
        <w:spacing w:after="0" w:line="360" w:lineRule="auto"/>
        <w:ind w:left="720"/>
        <w:jc w:val="both"/>
        <w:rPr>
          <w:rFonts w:ascii="Times New Roman" w:eastAsia="Times New Roman" w:hAnsi="Times New Roman" w:cs="Times New Roman"/>
          <w:iCs/>
          <w:color w:val="000000"/>
          <w:kern w:val="0"/>
          <w:sz w:val="24"/>
          <w:szCs w:val="24"/>
          <w:lang w:eastAsia="tr-TR"/>
          <w14:ligatures w14:val="none"/>
        </w:rPr>
      </w:pPr>
      <w:r w:rsidRPr="0055515A">
        <w:rPr>
          <w:rFonts w:ascii="Times New Roman" w:eastAsia="Times New Roman" w:hAnsi="Times New Roman" w:cs="Times New Roman"/>
          <w:iCs/>
          <w:color w:val="000000"/>
          <w:kern w:val="0"/>
          <w:sz w:val="24"/>
          <w:szCs w:val="24"/>
          <w:lang w:eastAsia="tr-TR"/>
          <w14:ligatures w14:val="none"/>
        </w:rPr>
        <w:t>Özellikle tekstil sektörü için met, çys’de aşağıdaki özellikleri de dikkate alacaktır:</w:t>
      </w:r>
    </w:p>
    <w:p w14:paraId="57E05AF6" w14:textId="77777777" w:rsidR="0055515A" w:rsidRPr="00313D18" w:rsidRDefault="000E2BBC" w:rsidP="00313D18">
      <w:pPr>
        <w:pStyle w:val="ListeParagraf"/>
        <w:numPr>
          <w:ilvl w:val="0"/>
          <w:numId w:val="31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Girdi ve çıktı envanteri (bkz. Met 2),</w:t>
      </w:r>
    </w:p>
    <w:p w14:paraId="550E7A10" w14:textId="77777777" w:rsidR="0055515A" w:rsidRPr="00313D18" w:rsidRDefault="000E2BBC" w:rsidP="00313D18">
      <w:pPr>
        <w:pStyle w:val="ListeParagraf"/>
        <w:numPr>
          <w:ilvl w:val="0"/>
          <w:numId w:val="31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i/>
          <w:color w:val="000000"/>
          <w:kern w:val="0"/>
          <w:sz w:val="24"/>
          <w:szCs w:val="24"/>
          <w:lang w:eastAsia="tr-TR"/>
          <w14:ligatures w14:val="none"/>
        </w:rPr>
        <w:t>Normal çalışma koşullarının dışında</w:t>
      </w:r>
      <w:r w:rsidRPr="00313D18">
        <w:rPr>
          <w:rFonts w:ascii="Times New Roman" w:eastAsia="Times New Roman" w:hAnsi="Times New Roman" w:cs="Times New Roman"/>
          <w:color w:val="000000"/>
          <w:kern w:val="0"/>
          <w:sz w:val="24"/>
          <w:szCs w:val="24"/>
          <w:lang w:eastAsia="tr-TR"/>
          <w14:ligatures w14:val="none"/>
        </w:rPr>
        <w:t xml:space="preserve"> [otnoc] bir yönetim planı (bkz. Met 3),</w:t>
      </w:r>
    </w:p>
    <w:p w14:paraId="276DAAD4" w14:textId="77777777" w:rsidR="0055515A" w:rsidRPr="00313D18" w:rsidRDefault="000E2BBC" w:rsidP="00313D18">
      <w:pPr>
        <w:pStyle w:val="ListeParagraf"/>
        <w:numPr>
          <w:ilvl w:val="0"/>
          <w:numId w:val="31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Su yönetim planı ve denetimleri (bkz. Met 10),</w:t>
      </w:r>
    </w:p>
    <w:p w14:paraId="353F59E3" w14:textId="77777777" w:rsidR="0055515A" w:rsidRPr="00313D18" w:rsidRDefault="000E2BBC" w:rsidP="00313D18">
      <w:pPr>
        <w:pStyle w:val="ListeParagraf"/>
        <w:numPr>
          <w:ilvl w:val="0"/>
          <w:numId w:val="31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Enerji verimliliği planı ve denetimleri (bkz. Met 11),</w:t>
      </w:r>
    </w:p>
    <w:p w14:paraId="5A682F42" w14:textId="77777777" w:rsidR="0055515A" w:rsidRPr="00313D18" w:rsidRDefault="000E2BBC" w:rsidP="00313D18">
      <w:pPr>
        <w:pStyle w:val="ListeParagraf"/>
        <w:numPr>
          <w:ilvl w:val="0"/>
          <w:numId w:val="31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Kimyasal yönetim sistemi (bkz. Met 14),</w:t>
      </w:r>
    </w:p>
    <w:p w14:paraId="69E9CFFD" w14:textId="77777777" w:rsidR="0055515A" w:rsidRPr="00313D18" w:rsidRDefault="000E2BBC" w:rsidP="00313D18">
      <w:pPr>
        <w:pStyle w:val="ListeParagraf"/>
        <w:numPr>
          <w:ilvl w:val="0"/>
          <w:numId w:val="317"/>
        </w:num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313D18">
        <w:rPr>
          <w:rFonts w:ascii="Times New Roman" w:eastAsia="Times New Roman" w:hAnsi="Times New Roman" w:cs="Times New Roman"/>
          <w:color w:val="000000"/>
          <w:kern w:val="0"/>
          <w:sz w:val="24"/>
          <w:szCs w:val="24"/>
          <w:lang w:eastAsia="tr-TR"/>
          <w14:ligatures w14:val="none"/>
        </w:rPr>
        <w:t xml:space="preserve">Atık yönetim planı (bkz. Met </w:t>
      </w:r>
      <w:r w:rsidR="0055515A" w:rsidRPr="00313D18">
        <w:rPr>
          <w:rFonts w:ascii="Times New Roman" w:eastAsia="Times New Roman" w:hAnsi="Times New Roman" w:cs="Times New Roman"/>
          <w:color w:val="000000"/>
          <w:kern w:val="0"/>
          <w:sz w:val="24"/>
          <w:szCs w:val="24"/>
          <w:lang w:eastAsia="tr-TR"/>
          <w14:ligatures w14:val="none"/>
        </w:rPr>
        <w:t>29).</w:t>
      </w:r>
    </w:p>
    <w:p w14:paraId="49DD1505" w14:textId="77777777" w:rsidR="0055515A" w:rsidRPr="0055515A" w:rsidRDefault="0055515A" w:rsidP="00B875CF">
      <w:pPr>
        <w:spacing w:before="100" w:beforeAutospacing="1" w:after="100" w:afterAutospacing="1"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Not</w:t>
      </w:r>
      <w:r w:rsidRPr="0055515A">
        <w:rPr>
          <w:rFonts w:ascii="Times New Roman" w:eastAsia="Times New Roman" w:hAnsi="Times New Roman" w:cs="Times New Roman"/>
          <w:color w:val="000000"/>
          <w:kern w:val="0"/>
          <w:sz w:val="24"/>
          <w:szCs w:val="24"/>
          <w:lang w:eastAsia="tr-TR"/>
          <w14:ligatures w14:val="none"/>
        </w:rPr>
        <w:br/>
        <w:t>Regülasyon (EC) No 1221/2009, Avrupa Birliği çevre yönetimi ve denetim sistemi (EMAS)ni kurar, bu da bu MET ile uyumlu bir ÇYS örneğidir.</w:t>
      </w:r>
    </w:p>
    <w:p w14:paraId="417C412D" w14:textId="77777777" w:rsidR="0055515A" w:rsidRPr="0055515A" w:rsidRDefault="0055515A" w:rsidP="00B875CF">
      <w:pPr>
        <w:spacing w:before="100" w:beforeAutospacing="1" w:after="100" w:afterAutospacing="1"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Uygulama</w:t>
      </w:r>
      <w:r w:rsidRPr="0055515A">
        <w:rPr>
          <w:rFonts w:ascii="Times New Roman" w:eastAsia="Times New Roman" w:hAnsi="Times New Roman" w:cs="Times New Roman"/>
          <w:color w:val="000000"/>
          <w:kern w:val="0"/>
          <w:sz w:val="24"/>
          <w:szCs w:val="24"/>
          <w:lang w:eastAsia="tr-TR"/>
          <w14:ligatures w14:val="none"/>
        </w:rPr>
        <w:br/>
        <w:t>ÇYS’nin detay seviyesi ve resmiyet derecesi genellikle kurulumun doğası, ölçeği ve karmaşıklığı ile bu kurulumun sahip olabileceği çevresel etki aralığına bağlı olacaktır.</w:t>
      </w:r>
    </w:p>
    <w:p w14:paraId="56DD2573"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p>
    <w:p w14:paraId="7CF29F44" w14:textId="1BB27922" w:rsidR="0055515A" w:rsidRPr="0055515A" w:rsidRDefault="0055515A"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lastRenderedPageBreak/>
        <w:t xml:space="preserve">MET 2 - </w:t>
      </w:r>
      <w:r w:rsidRPr="0055515A">
        <w:rPr>
          <w:rFonts w:ascii="Times New Roman" w:eastAsia="Times New Roman" w:hAnsi="Times New Roman" w:cs="Times New Roman"/>
          <w:color w:val="000000"/>
          <w:kern w:val="0"/>
          <w:sz w:val="24"/>
          <w:szCs w:val="24"/>
          <w:lang w:eastAsia="tr-TR"/>
          <w14:ligatures w14:val="none"/>
        </w:rPr>
        <w:t>Çevresel performansı bütüncül bir şekilde iyileştirmek amacıyla MET, Çevre Yönetim Sistemi’nin (ÇYS) bir parçası olarak, aşağıdaki özellikleri içeren bir girdi ve çıktı envanteri oluşturacak, devamlılığını sağlayacak ve düzenli olarak gözden geçirecektir (önemli bir değişiklik söz konusu olduğunda da</w:t>
      </w:r>
      <w:r w:rsidRPr="0085348C">
        <w:rPr>
          <w:rFonts w:ascii="Times New Roman" w:eastAsia="Times New Roman" w:hAnsi="Times New Roman" w:cs="Times New Roman"/>
          <w:color w:val="000000"/>
          <w:kern w:val="0"/>
          <w:sz w:val="24"/>
          <w:szCs w:val="24"/>
          <w:lang w:eastAsia="tr-TR"/>
          <w14:ligatures w14:val="none"/>
        </w:rPr>
        <w:t>):</w:t>
      </w:r>
      <w:r w:rsidR="0085348C" w:rsidRPr="0085348C">
        <w:rPr>
          <w:rFonts w:ascii="Times New Roman" w:eastAsia="Times New Roman" w:hAnsi="Times New Roman" w:cs="Times New Roman"/>
          <w:color w:val="000000"/>
          <w:kern w:val="0"/>
          <w:sz w:val="24"/>
          <w:szCs w:val="24"/>
          <w:lang w:eastAsia="tr-TR"/>
          <w14:ligatures w14:val="none"/>
        </w:rPr>
        <w:t xml:space="preserve"> </w:t>
      </w:r>
    </w:p>
    <w:p w14:paraId="02D4E287" w14:textId="77777777" w:rsidR="0055515A" w:rsidRPr="0055515A" w:rsidRDefault="000E2BBC" w:rsidP="002E42C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Emisyonların kaynağını gösteren basitleştirilmiş bir proses akış şeması ile emisyonları önlemek veya azaltmak i</w:t>
      </w:r>
      <w:r w:rsidR="0055515A" w:rsidRPr="0055515A">
        <w:rPr>
          <w:rFonts w:ascii="Times New Roman" w:eastAsia="Times New Roman" w:hAnsi="Times New Roman" w:cs="Times New Roman"/>
          <w:color w:val="000000"/>
          <w:kern w:val="0"/>
          <w:sz w:val="24"/>
          <w:szCs w:val="24"/>
          <w:lang w:eastAsia="tr-TR"/>
          <w14:ligatures w14:val="none"/>
        </w:rPr>
        <w:t>çin prosesle entegre teknikler ve atık su/baca gazı arıtma tekniklerine yönelik, performanslarını da kapsayacak şekilde (örneğin, azaltma verimliliği), açıklamaları da içeren üretim prosesleri bilgisi;</w:t>
      </w:r>
    </w:p>
    <w:p w14:paraId="3C02FB08" w14:textId="77777777" w:rsidR="0055515A" w:rsidRPr="0055515A" w:rsidRDefault="000E2BBC" w:rsidP="002E42C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Tekstil materyalleri (bkz. Met 5</w:t>
      </w:r>
      <w:r w:rsidR="00787766">
        <w:rPr>
          <w:rFonts w:ascii="Times New Roman" w:eastAsia="Times New Roman" w:hAnsi="Times New Roman" w:cs="Times New Roman"/>
          <w:color w:val="000000"/>
          <w:kern w:val="0"/>
          <w:sz w:val="24"/>
          <w:szCs w:val="24"/>
          <w:lang w:eastAsia="tr-TR"/>
          <w14:ligatures w14:val="none"/>
        </w:rPr>
        <w:t>(a)</w:t>
      </w:r>
      <w:r w:rsidR="0055515A" w:rsidRPr="0055515A">
        <w:rPr>
          <w:rFonts w:ascii="Times New Roman" w:eastAsia="Times New Roman" w:hAnsi="Times New Roman" w:cs="Times New Roman"/>
          <w:color w:val="000000"/>
          <w:kern w:val="0"/>
          <w:sz w:val="24"/>
          <w:szCs w:val="24"/>
          <w:lang w:eastAsia="tr-TR"/>
          <w14:ligatures w14:val="none"/>
        </w:rPr>
        <w:t>) ve proses kimyasa</w:t>
      </w:r>
      <w:r w:rsidRPr="0055515A">
        <w:rPr>
          <w:rFonts w:ascii="Times New Roman" w:eastAsia="Times New Roman" w:hAnsi="Times New Roman" w:cs="Times New Roman"/>
          <w:color w:val="000000"/>
          <w:kern w:val="0"/>
          <w:sz w:val="24"/>
          <w:szCs w:val="24"/>
          <w:lang w:eastAsia="tr-TR"/>
          <w14:ligatures w14:val="none"/>
        </w:rPr>
        <w:t>lları (bkz. Met 15) dahil olmak üzere, kullanılan materyallerin miktar ve karakteristik özelliklerine yönelik bilgi;</w:t>
      </w:r>
    </w:p>
    <w:p w14:paraId="59653F45" w14:textId="77777777" w:rsidR="0055515A" w:rsidRPr="0055515A" w:rsidRDefault="000E2BBC" w:rsidP="002E42C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Su tüketimi ve kullanımına yönelik bilgi (örneğin, akış şemaları ve su kütle dengeleri);</w:t>
      </w:r>
    </w:p>
    <w:p w14:paraId="1C3910FC" w14:textId="77777777" w:rsidR="0055515A" w:rsidRPr="0055515A" w:rsidRDefault="000E2BBC" w:rsidP="002E42C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Enerji tüketimi ve kullanımına yönelik bilgi;</w:t>
      </w:r>
    </w:p>
    <w:p w14:paraId="544D61FF" w14:textId="77777777" w:rsidR="0055515A" w:rsidRPr="0055515A" w:rsidRDefault="000E2BBC" w:rsidP="002E42C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Ortalama değerler ve akış değişkenliği, ph, sıcaklık ve iletkenlik; ortalama konsantrasyon ve ilişkili maddelerin/parametrelerin kütle akış değerleri ile değişkenlikleri (örneğin; </w:t>
      </w:r>
      <w:r>
        <w:rPr>
          <w:rFonts w:ascii="Times New Roman" w:eastAsia="Times New Roman" w:hAnsi="Times New Roman" w:cs="Times New Roman"/>
          <w:color w:val="000000"/>
          <w:kern w:val="0"/>
          <w:sz w:val="24"/>
          <w:szCs w:val="24"/>
          <w:lang w:eastAsia="tr-TR"/>
          <w14:ligatures w14:val="none"/>
        </w:rPr>
        <w:t>koi</w:t>
      </w:r>
      <w:r w:rsidR="0055515A" w:rsidRPr="0055515A">
        <w:rPr>
          <w:rFonts w:ascii="Times New Roman" w:eastAsia="Times New Roman" w:hAnsi="Times New Roman" w:cs="Times New Roman"/>
          <w:color w:val="000000"/>
          <w:kern w:val="0"/>
          <w:sz w:val="24"/>
          <w:szCs w:val="24"/>
          <w:lang w:eastAsia="tr-TR"/>
          <w14:ligatures w14:val="none"/>
        </w:rPr>
        <w:t>/</w:t>
      </w:r>
      <w:r>
        <w:rPr>
          <w:rFonts w:ascii="Times New Roman" w:eastAsia="Times New Roman" w:hAnsi="Times New Roman" w:cs="Times New Roman"/>
          <w:color w:val="000000"/>
          <w:kern w:val="0"/>
          <w:sz w:val="24"/>
          <w:szCs w:val="24"/>
          <w:lang w:eastAsia="tr-TR"/>
          <w14:ligatures w14:val="none"/>
        </w:rPr>
        <w:t>tok</w:t>
      </w:r>
      <w:r w:rsidR="0055515A" w:rsidRPr="0055515A">
        <w:rPr>
          <w:rFonts w:ascii="Times New Roman" w:eastAsia="Times New Roman" w:hAnsi="Times New Roman" w:cs="Times New Roman"/>
          <w:color w:val="000000"/>
          <w:kern w:val="0"/>
          <w:sz w:val="24"/>
          <w:szCs w:val="24"/>
          <w:lang w:eastAsia="tr-TR"/>
          <w14:ligatures w14:val="none"/>
        </w:rPr>
        <w:t xml:space="preserve">, nitrojen türevleri, fosfor, metaller, öncelikli maddeler, mikroplastikler); toksisite, biyolojik olarak elimine edilebilirlik ve biyobozunurluk verileri (örneğin; </w:t>
      </w:r>
      <w:r>
        <w:rPr>
          <w:rFonts w:ascii="Times New Roman" w:eastAsia="Times New Roman" w:hAnsi="Times New Roman" w:cs="Times New Roman"/>
          <w:color w:val="000000"/>
          <w:kern w:val="0"/>
          <w:sz w:val="24"/>
          <w:szCs w:val="24"/>
          <w:lang w:eastAsia="tr-TR"/>
          <w14:ligatures w14:val="none"/>
        </w:rPr>
        <w:t>boi</w:t>
      </w:r>
      <w:r w:rsidR="00787766" w:rsidRPr="0055515A">
        <w:rPr>
          <w:rFonts w:ascii="Times New Roman" w:eastAsia="Times New Roman" w:hAnsi="Times New Roman" w:cs="Times New Roman"/>
          <w:color w:val="000000"/>
          <w:kern w:val="0"/>
          <w:sz w:val="24"/>
          <w:szCs w:val="24"/>
          <w:vertAlign w:val="subscript"/>
          <w:lang w:eastAsia="tr-TR"/>
          <w14:ligatures w14:val="none"/>
        </w:rPr>
        <w:t>n</w:t>
      </w:r>
      <w:r w:rsidR="0055515A" w:rsidRPr="0055515A">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boi</w:t>
      </w:r>
      <w:r w:rsidR="00787766" w:rsidRPr="0055515A">
        <w:rPr>
          <w:rFonts w:ascii="Times New Roman" w:eastAsia="Times New Roman" w:hAnsi="Times New Roman" w:cs="Times New Roman"/>
          <w:color w:val="000000"/>
          <w:kern w:val="0"/>
          <w:sz w:val="24"/>
          <w:szCs w:val="24"/>
          <w:vertAlign w:val="subscript"/>
          <w:lang w:eastAsia="tr-TR"/>
          <w14:ligatures w14:val="none"/>
        </w:rPr>
        <w:t>n</w:t>
      </w:r>
      <w:r w:rsidR="0055515A" w:rsidRPr="0055515A">
        <w:rPr>
          <w:rFonts w:ascii="Times New Roman" w:eastAsia="Times New Roman" w:hAnsi="Times New Roman" w:cs="Times New Roman"/>
          <w:color w:val="000000"/>
          <w:kern w:val="0"/>
          <w:sz w:val="24"/>
          <w:szCs w:val="24"/>
          <w:lang w:eastAsia="tr-TR"/>
          <w14:ligatures w14:val="none"/>
        </w:rPr>
        <w:t>/</w:t>
      </w:r>
      <w:r>
        <w:rPr>
          <w:rFonts w:ascii="Times New Roman" w:eastAsia="Times New Roman" w:hAnsi="Times New Roman" w:cs="Times New Roman"/>
          <w:color w:val="000000"/>
          <w:kern w:val="0"/>
          <w:sz w:val="24"/>
          <w:szCs w:val="24"/>
          <w:lang w:eastAsia="tr-TR"/>
          <w14:ligatures w14:val="none"/>
        </w:rPr>
        <w:t>koi</w:t>
      </w:r>
      <w:r w:rsidR="00787766" w:rsidRPr="0055515A">
        <w:rPr>
          <w:rFonts w:ascii="Times New Roman" w:eastAsia="Times New Roman" w:hAnsi="Times New Roman" w:cs="Times New Roman"/>
          <w:color w:val="000000"/>
          <w:kern w:val="0"/>
          <w:sz w:val="24"/>
          <w:szCs w:val="24"/>
          <w:lang w:eastAsia="tr-TR"/>
          <w14:ligatures w14:val="none"/>
        </w:rPr>
        <w:t xml:space="preserve"> </w:t>
      </w:r>
      <w:r w:rsidRPr="0055515A">
        <w:rPr>
          <w:rFonts w:ascii="Times New Roman" w:eastAsia="Times New Roman" w:hAnsi="Times New Roman" w:cs="Times New Roman"/>
          <w:color w:val="000000"/>
          <w:kern w:val="0"/>
          <w:sz w:val="24"/>
          <w:szCs w:val="24"/>
          <w:lang w:eastAsia="tr-TR"/>
          <w14:ligatures w14:val="none"/>
        </w:rPr>
        <w:t xml:space="preserve">oranı, zahn-wellens test sonuçları, biyolojik inhibisyon potansiyeli [örneğin, aktif çamur inhibisyonu]) gibi atık su kollarının miktar ve </w:t>
      </w:r>
      <w:r w:rsidR="0055515A" w:rsidRPr="0055515A">
        <w:rPr>
          <w:rFonts w:ascii="Times New Roman" w:eastAsia="Times New Roman" w:hAnsi="Times New Roman" w:cs="Times New Roman"/>
          <w:color w:val="000000"/>
          <w:kern w:val="0"/>
          <w:sz w:val="24"/>
          <w:szCs w:val="24"/>
          <w:lang w:eastAsia="tr-TR"/>
          <w14:ligatures w14:val="none"/>
        </w:rPr>
        <w:t>karakteristik özelliklerine yönelik bilgi;</w:t>
      </w:r>
    </w:p>
    <w:p w14:paraId="37B5544C" w14:textId="77777777" w:rsidR="0055515A" w:rsidRPr="0055515A" w:rsidRDefault="000E2BBC" w:rsidP="002E42C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Ortalama değerler, akış değişkenliği ve sıcaklık; ortalama konsantrasyon ve ilişkili maddelerin/parametrelerin kütle akış değerleri ile değişkenlikleri (örneğin; toz, organik bileşikler) ve havaya olan emisyonları</w:t>
      </w:r>
      <w:r w:rsidR="0055515A" w:rsidRPr="0055515A">
        <w:rPr>
          <w:rFonts w:ascii="Times New Roman" w:eastAsia="Times New Roman" w:hAnsi="Times New Roman" w:cs="Times New Roman"/>
          <w:color w:val="000000"/>
          <w:kern w:val="0"/>
          <w:sz w:val="24"/>
          <w:szCs w:val="24"/>
          <w:lang w:eastAsia="tr-TR"/>
          <w14:ligatures w14:val="none"/>
        </w:rPr>
        <w:t>n değişkenliğini ölçmede kullanılabilecek emisyon faktörleri; yanıcılık, alt ve üst patlama sınır değerleri, reaktivite, tehlikeli özellikler; baca gazı arıtma sistemini veya kurulum güvenliğini etkileyebilecek diğer maddelerin varlığı (örneğin; su buharı, toz) gibi baca gazı karakteristik özelliklerine yönelik bilgi;</w:t>
      </w:r>
    </w:p>
    <w:p w14:paraId="426FA739" w14:textId="77777777" w:rsidR="0055515A" w:rsidRPr="0055515A" w:rsidRDefault="000E2BBC" w:rsidP="002E42C3">
      <w:pPr>
        <w:numPr>
          <w:ilvl w:val="0"/>
          <w:numId w:val="26"/>
        </w:num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Oluşan atık miktarı ve karakteristik </w:t>
      </w:r>
      <w:r w:rsidR="0055515A" w:rsidRPr="0055515A">
        <w:rPr>
          <w:rFonts w:ascii="Times New Roman" w:eastAsia="Times New Roman" w:hAnsi="Times New Roman" w:cs="Times New Roman"/>
          <w:color w:val="000000"/>
          <w:kern w:val="0"/>
          <w:sz w:val="24"/>
          <w:szCs w:val="24"/>
          <w:lang w:eastAsia="tr-TR"/>
          <w14:ligatures w14:val="none"/>
        </w:rPr>
        <w:t>özelliklerine yönelik bilgi.</w:t>
      </w:r>
    </w:p>
    <w:p w14:paraId="506F17B6"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Uygulama</w:t>
      </w:r>
    </w:p>
    <w:p w14:paraId="50ED916F"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Envanterin kapsamı (örneğin, detay seviyesi) ve doğası genellikle kurulumun doğası, ölçeği ve karmaşıklığı ile bu kurulumun sahip olabileceği çevresel etki aralığına bağlı olacaktır.</w:t>
      </w:r>
    </w:p>
    <w:p w14:paraId="44F133E1"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3 - </w:t>
      </w:r>
      <w:r w:rsidRPr="0055515A">
        <w:rPr>
          <w:rFonts w:ascii="Times New Roman" w:eastAsia="Times New Roman" w:hAnsi="Times New Roman" w:cs="Times New Roman"/>
          <w:bCs/>
          <w:color w:val="000000"/>
          <w:kern w:val="0"/>
          <w:sz w:val="24"/>
          <w:szCs w:val="24"/>
          <w:lang w:eastAsia="tr-TR"/>
          <w14:ligatures w14:val="none"/>
        </w:rPr>
        <w:t xml:space="preserve">Normal çalışma koşullarının dışındaki durumların oluşma sıklığı ile bu durumlarda açığa çıkan emisyonları azaltmak amacıyla MET, Çevre Yönetim Sistemi’nin bir parçası </w:t>
      </w:r>
      <w:r w:rsidRPr="0055515A">
        <w:rPr>
          <w:rFonts w:ascii="Times New Roman" w:eastAsia="Times New Roman" w:hAnsi="Times New Roman" w:cs="Times New Roman"/>
          <w:bCs/>
          <w:color w:val="000000"/>
          <w:kern w:val="0"/>
          <w:sz w:val="24"/>
          <w:szCs w:val="24"/>
          <w:lang w:eastAsia="tr-TR"/>
          <w14:ligatures w14:val="none"/>
        </w:rPr>
        <w:lastRenderedPageBreak/>
        <w:t>olarak, aşağıdaki özellikleri içeren riske dayalı bir OTNOC Yönetim Planı oluşturacak ve uygulayacaktır:</w:t>
      </w:r>
    </w:p>
    <w:p w14:paraId="74600F6F" w14:textId="77777777" w:rsidR="0055515A" w:rsidRPr="0055515A" w:rsidRDefault="000E2BBC" w:rsidP="002E42C3">
      <w:pPr>
        <w:numPr>
          <w:ilvl w:val="0"/>
          <w:numId w:val="2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Potansiyel </w:t>
      </w:r>
      <w:r w:rsidR="0055515A" w:rsidRPr="0055515A">
        <w:rPr>
          <w:rFonts w:ascii="Times New Roman" w:eastAsia="Times New Roman" w:hAnsi="Times New Roman" w:cs="Times New Roman"/>
          <w:color w:val="000000"/>
          <w:kern w:val="0"/>
          <w:sz w:val="24"/>
          <w:szCs w:val="24"/>
          <w:lang w:eastAsia="tr-TR"/>
          <w14:ligatures w14:val="none"/>
        </w:rPr>
        <w:t>OTNOC’ların (örneğin, çevre korunmasında kritik öneme sahip ekipmanların arızası), temel sebeplerinin ve olası sonuçlarının belirlenmesi; belirlenen OTNOC’ların düzenli aralıklarla gözden geçirilmesi ve güncellenmesi;</w:t>
      </w:r>
    </w:p>
    <w:p w14:paraId="243D0738" w14:textId="77777777" w:rsidR="0055515A" w:rsidRPr="0055515A" w:rsidRDefault="000E2BBC" w:rsidP="002E42C3">
      <w:pPr>
        <w:numPr>
          <w:ilvl w:val="0"/>
          <w:numId w:val="2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Kritik </w:t>
      </w:r>
      <w:r w:rsidR="0055515A" w:rsidRPr="0055515A">
        <w:rPr>
          <w:rFonts w:ascii="Times New Roman" w:eastAsia="Times New Roman" w:hAnsi="Times New Roman" w:cs="Times New Roman"/>
          <w:color w:val="000000"/>
          <w:kern w:val="0"/>
          <w:sz w:val="24"/>
          <w:szCs w:val="24"/>
          <w:lang w:eastAsia="tr-TR"/>
          <w14:ligatures w14:val="none"/>
        </w:rPr>
        <w:t>öneme sahip ekipmanların uygun tasarımı (örneğin; atık su arıtımı, baca gazı azaltma teknikleri);</w:t>
      </w:r>
    </w:p>
    <w:p w14:paraId="544AA66A" w14:textId="77777777" w:rsidR="0055515A" w:rsidRPr="0055515A" w:rsidRDefault="000E2BBC" w:rsidP="002E42C3">
      <w:pPr>
        <w:numPr>
          <w:ilvl w:val="0"/>
          <w:numId w:val="2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Kritik </w:t>
      </w:r>
      <w:r w:rsidR="0055515A" w:rsidRPr="0055515A">
        <w:rPr>
          <w:rFonts w:ascii="Times New Roman" w:eastAsia="Times New Roman" w:hAnsi="Times New Roman" w:cs="Times New Roman"/>
          <w:color w:val="000000"/>
          <w:kern w:val="0"/>
          <w:sz w:val="24"/>
          <w:szCs w:val="24"/>
          <w:lang w:eastAsia="tr-TR"/>
          <w14:ligatures w14:val="none"/>
        </w:rPr>
        <w:t>ekipmanlar için denetleyici ve önleyici bakım ve onarım planının oluşturulması ve uygulanması (bkz. MET 1, xii);</w:t>
      </w:r>
    </w:p>
    <w:p w14:paraId="4EDF1DC1" w14:textId="77777777" w:rsidR="0055515A" w:rsidRPr="0055515A" w:rsidRDefault="0055515A" w:rsidP="002E42C3">
      <w:pPr>
        <w:numPr>
          <w:ilvl w:val="0"/>
          <w:numId w:val="2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OTNOC’lar ve ilişkili şartlar altında açığa çıkan emisyonların takip edilmesi (başka bir ifadeyle, tahmin edilmesi veya, mümkün olduğu durumlarda, ölçülmesi) ve kayıt altına alınması;</w:t>
      </w:r>
    </w:p>
    <w:p w14:paraId="60854882" w14:textId="77777777" w:rsidR="0055515A" w:rsidRPr="0055515A" w:rsidRDefault="0055515A" w:rsidP="002E42C3">
      <w:pPr>
        <w:numPr>
          <w:ilvl w:val="0"/>
          <w:numId w:val="2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OTNOC’lar esnasında açığa çıkan emisyonların periyodik değerlendirilmesi (örneğin; olayların sıklığı, süresi, açığa çıkan kirletici miktarı) ve gerekli olduğu durumlarda düzeltici eylemlerin uygulanması;</w:t>
      </w:r>
    </w:p>
    <w:p w14:paraId="743B836E" w14:textId="77777777" w:rsidR="0055515A" w:rsidRPr="0055515A" w:rsidRDefault="000E2BBC" w:rsidP="002E42C3">
      <w:pPr>
        <w:numPr>
          <w:ilvl w:val="0"/>
          <w:numId w:val="2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i/>
          <w:color w:val="000000"/>
          <w:kern w:val="0"/>
          <w:sz w:val="24"/>
          <w:szCs w:val="24"/>
          <w:lang w:eastAsia="tr-TR"/>
          <w14:ligatures w14:val="none"/>
        </w:rPr>
        <w:t xml:space="preserve">Madde </w:t>
      </w:r>
      <w:r w:rsidR="0055515A" w:rsidRPr="0055515A">
        <w:rPr>
          <w:rFonts w:ascii="Times New Roman" w:eastAsia="Times New Roman" w:hAnsi="Times New Roman" w:cs="Times New Roman"/>
          <w:i/>
          <w:color w:val="000000"/>
          <w:kern w:val="0"/>
          <w:sz w:val="24"/>
          <w:szCs w:val="24"/>
          <w:lang w:eastAsia="tr-TR"/>
          <w14:ligatures w14:val="none"/>
        </w:rPr>
        <w:t>v</w:t>
      </w:r>
      <w:r w:rsidR="0055515A" w:rsidRPr="0055515A">
        <w:rPr>
          <w:rFonts w:ascii="Times New Roman" w:eastAsia="Times New Roman" w:hAnsi="Times New Roman" w:cs="Times New Roman"/>
          <w:color w:val="000000"/>
          <w:kern w:val="0"/>
          <w:sz w:val="24"/>
          <w:szCs w:val="24"/>
          <w:lang w:eastAsia="tr-TR"/>
          <w14:ligatures w14:val="none"/>
        </w:rPr>
        <w:t xml:space="preserve"> ile uyumlu olacak şekilde </w:t>
      </w:r>
      <w:r w:rsidR="0055515A" w:rsidRPr="0055515A">
        <w:rPr>
          <w:rFonts w:ascii="Times New Roman" w:eastAsia="Times New Roman" w:hAnsi="Times New Roman" w:cs="Times New Roman"/>
          <w:i/>
          <w:color w:val="000000"/>
          <w:kern w:val="0"/>
          <w:sz w:val="24"/>
          <w:szCs w:val="24"/>
          <w:lang w:eastAsia="tr-TR"/>
          <w14:ligatures w14:val="none"/>
        </w:rPr>
        <w:t>madde i</w:t>
      </w:r>
      <w:r w:rsidR="0055515A" w:rsidRPr="0055515A">
        <w:rPr>
          <w:rFonts w:ascii="Times New Roman" w:eastAsia="Times New Roman" w:hAnsi="Times New Roman" w:cs="Times New Roman"/>
          <w:color w:val="000000"/>
          <w:kern w:val="0"/>
          <w:sz w:val="24"/>
          <w:szCs w:val="24"/>
          <w:lang w:eastAsia="tr-TR"/>
          <w14:ligatures w14:val="none"/>
        </w:rPr>
        <w:t xml:space="preserve"> kapsamında belirlenen OTNOC’ların düzenli aralıklarla gözden geçirilmesi ve güncellenmesi;</w:t>
      </w:r>
    </w:p>
    <w:p w14:paraId="2A2E1BDB" w14:textId="77777777" w:rsidR="0055515A" w:rsidRPr="0055515A" w:rsidRDefault="000E2BBC" w:rsidP="002E42C3">
      <w:pPr>
        <w:numPr>
          <w:ilvl w:val="0"/>
          <w:numId w:val="24"/>
        </w:num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Destek </w:t>
      </w:r>
      <w:r w:rsidR="0055515A" w:rsidRPr="0055515A">
        <w:rPr>
          <w:rFonts w:ascii="Times New Roman" w:eastAsia="Times New Roman" w:hAnsi="Times New Roman" w:cs="Times New Roman"/>
          <w:color w:val="000000"/>
          <w:kern w:val="0"/>
          <w:sz w:val="24"/>
          <w:szCs w:val="24"/>
          <w:lang w:eastAsia="tr-TR"/>
          <w14:ligatures w14:val="none"/>
        </w:rPr>
        <w:t>sistemlerinin düzenli aralıklarla test edilmesi.</w:t>
      </w:r>
    </w:p>
    <w:p w14:paraId="45EF7501"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 xml:space="preserve">Uygulama  </w:t>
      </w:r>
    </w:p>
    <w:p w14:paraId="0E68760B"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OTNOC yönetim planının detay seviyesi ve formalizasyon derecesi genellikle kurulumun doğası, ölçeği ve karmaşıklığı ile bu kurulumun sahip olabileceği çevresel etki aralığına bağlı olacaktır.</w:t>
      </w:r>
    </w:p>
    <w:p w14:paraId="58852CD5"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4 - </w:t>
      </w:r>
      <w:r w:rsidRPr="0055515A">
        <w:rPr>
          <w:rFonts w:ascii="Times New Roman" w:eastAsia="Times New Roman" w:hAnsi="Times New Roman" w:cs="Times New Roman"/>
          <w:bCs/>
          <w:color w:val="000000"/>
          <w:kern w:val="0"/>
          <w:sz w:val="24"/>
          <w:szCs w:val="24"/>
          <w:lang w:eastAsia="tr-TR"/>
          <w14:ligatures w14:val="none"/>
        </w:rPr>
        <w:t>Çevresel performansı bütüncül bir şekilde iyileştirmek amacıyla MET, ileri seviye takip ve kontrol sistemleri kullanacaktır.</w:t>
      </w:r>
    </w:p>
    <w:p w14:paraId="0815C0FF" w14:textId="77777777" w:rsidR="0055515A" w:rsidRPr="0055515A" w:rsidRDefault="0055515A" w:rsidP="0055515A">
      <w:pPr>
        <w:spacing w:after="120" w:line="360" w:lineRule="auto"/>
        <w:jc w:val="both"/>
        <w:rPr>
          <w:rFonts w:ascii="Times New Roman" w:eastAsia="Times New Roman" w:hAnsi="Times New Roman" w:cs="Times New Roman"/>
          <w:bCs/>
          <w:i/>
          <w:iCs/>
          <w:color w:val="000000"/>
          <w:kern w:val="0"/>
          <w:sz w:val="24"/>
          <w:szCs w:val="24"/>
          <w:lang w:eastAsia="tr-TR"/>
          <w14:ligatures w14:val="none"/>
        </w:rPr>
      </w:pPr>
      <w:r w:rsidRPr="0055515A">
        <w:rPr>
          <w:rFonts w:ascii="Times New Roman" w:eastAsia="Times New Roman" w:hAnsi="Times New Roman" w:cs="Times New Roman"/>
          <w:bCs/>
          <w:i/>
          <w:iCs/>
          <w:color w:val="000000"/>
          <w:kern w:val="0"/>
          <w:sz w:val="24"/>
          <w:szCs w:val="24"/>
          <w:lang w:eastAsia="tr-TR"/>
          <w14:ligatures w14:val="none"/>
        </w:rPr>
        <w:t>Açıklama</w:t>
      </w:r>
    </w:p>
    <w:p w14:paraId="4599B367"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Optimum proses koşullarına (örneğin, proses kimyasallarının optimum seviyede alımı) ulaşmak için temel proses parametrelerinin hızlı bir şekilde analiz ve adapte edilmesi amacıyla takip ve kontrol süreçleri, geri bildirim sistemli sensör ve kontrolör donanımlı çevrim içi otomatik sistemlerle yürütülecektir.</w:t>
      </w:r>
    </w:p>
    <w:p w14:paraId="34845C2C"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Temel proses parametreleri aşağıdakileri içermektedir:</w:t>
      </w:r>
    </w:p>
    <w:p w14:paraId="54D0D116" w14:textId="77777777" w:rsidR="0055515A" w:rsidRPr="0055515A" w:rsidRDefault="0055515A" w:rsidP="002E42C3">
      <w:pPr>
        <w:numPr>
          <w:ilvl w:val="0"/>
          <w:numId w:val="2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proses sıvısı hacmi, pH değeri ve sıcaklığı;</w:t>
      </w:r>
    </w:p>
    <w:p w14:paraId="69F20F4F" w14:textId="77777777" w:rsidR="0055515A" w:rsidRPr="0055515A" w:rsidRDefault="0055515A" w:rsidP="002E42C3">
      <w:pPr>
        <w:numPr>
          <w:ilvl w:val="0"/>
          <w:numId w:val="2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lastRenderedPageBreak/>
        <w:t>işlenen tekstil materyali miktarı;</w:t>
      </w:r>
    </w:p>
    <w:p w14:paraId="06422D22" w14:textId="77777777" w:rsidR="0055515A" w:rsidRPr="0055515A" w:rsidRDefault="0055515A" w:rsidP="002E42C3">
      <w:pPr>
        <w:numPr>
          <w:ilvl w:val="0"/>
          <w:numId w:val="27"/>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proses kimyasallarının dozajı;</w:t>
      </w:r>
    </w:p>
    <w:p w14:paraId="33CA2641" w14:textId="77777777" w:rsidR="0055515A" w:rsidRPr="0055515A" w:rsidRDefault="0055515A" w:rsidP="002E42C3">
      <w:pPr>
        <w:numPr>
          <w:ilvl w:val="0"/>
          <w:numId w:val="27"/>
        </w:num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kurutma parametreleri (MET 13(d)).</w:t>
      </w:r>
    </w:p>
    <w:p w14:paraId="6D2A483A" w14:textId="77777777" w:rsidR="0055515A" w:rsidRPr="002E42C3" w:rsidRDefault="0055515A" w:rsidP="002E42C3">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5 - </w:t>
      </w:r>
      <w:r w:rsidRPr="0055515A">
        <w:rPr>
          <w:rFonts w:ascii="Times New Roman" w:eastAsia="Times New Roman" w:hAnsi="Times New Roman" w:cs="Times New Roman"/>
          <w:bCs/>
          <w:color w:val="000000"/>
          <w:kern w:val="0"/>
          <w:sz w:val="24"/>
          <w:szCs w:val="24"/>
          <w:lang w:eastAsia="tr-TR"/>
          <w14:ligatures w14:val="none"/>
        </w:rPr>
        <w:t>Çevresel performansı bütüncül bir şekilde iyileştirmek amacıyla MET, aşağıda verilen tekniklerin ikisini de kullanacaktır:</w:t>
      </w:r>
    </w:p>
    <w:tbl>
      <w:tblPr>
        <w:tblStyle w:val="TabloKlavuzu8"/>
        <w:tblW w:w="0" w:type="auto"/>
        <w:tblLook w:val="04A0" w:firstRow="1" w:lastRow="0" w:firstColumn="1" w:lastColumn="0" w:noHBand="0" w:noVBand="1"/>
      </w:tblPr>
      <w:tblGrid>
        <w:gridCol w:w="1560"/>
        <w:gridCol w:w="4763"/>
        <w:gridCol w:w="2739"/>
      </w:tblGrid>
      <w:tr w:rsidR="0055515A" w:rsidRPr="0055515A" w14:paraId="2D2B23E3" w14:textId="77777777" w:rsidTr="0024730D">
        <w:tc>
          <w:tcPr>
            <w:tcW w:w="1271" w:type="dxa"/>
          </w:tcPr>
          <w:p w14:paraId="0A21D741"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Teknik</w:t>
            </w:r>
          </w:p>
        </w:tc>
        <w:tc>
          <w:tcPr>
            <w:tcW w:w="4939" w:type="dxa"/>
          </w:tcPr>
          <w:p w14:paraId="4F4B8798"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Açıklama</w:t>
            </w:r>
          </w:p>
        </w:tc>
        <w:tc>
          <w:tcPr>
            <w:tcW w:w="2850" w:type="dxa"/>
          </w:tcPr>
          <w:p w14:paraId="1F9DA7CA"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 xml:space="preserve">Uygulama  </w:t>
            </w:r>
          </w:p>
          <w:p w14:paraId="7E3AB47D"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r>
      <w:tr w:rsidR="0055515A" w:rsidRPr="0055515A" w14:paraId="231B746E" w14:textId="77777777" w:rsidTr="0024730D">
        <w:tc>
          <w:tcPr>
            <w:tcW w:w="1271" w:type="dxa"/>
          </w:tcPr>
          <w:p w14:paraId="6B0C7455"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a.Minimum miktarda kirletici madde içeren tekstil materyallerinin kullanımı</w:t>
            </w:r>
          </w:p>
        </w:tc>
        <w:tc>
          <w:tcPr>
            <w:tcW w:w="4939" w:type="dxa"/>
          </w:tcPr>
          <w:p w14:paraId="57D7DBE9"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 xml:space="preserve">Kullanılan tekstil materyali (geri dönüştürülmüş tekstil materyalleri dahil) seçimine yönelik kriterler; </w:t>
            </w:r>
            <w:r w:rsidR="0071338C">
              <w:rPr>
                <w:rFonts w:ascii="Times New Roman" w:eastAsia="Times New Roman" w:hAnsi="Times New Roman" w:cs="Times New Roman"/>
                <w:color w:val="000000"/>
              </w:rPr>
              <w:t>zararlı</w:t>
            </w:r>
            <w:r w:rsidRPr="0055515A">
              <w:rPr>
                <w:rFonts w:ascii="Times New Roman" w:eastAsia="Times New Roman" w:hAnsi="Times New Roman" w:cs="Times New Roman"/>
                <w:color w:val="000000"/>
              </w:rPr>
              <w:t xml:space="preserve"> maddeler, biyolojik olarak zayıf bir şekilde parçalanabilen maddeler ve yüksek önem arz eden maddeleri de içeren kirletici madde miktarını minimize edecek şekilde belirlenecektir. Bahse konu kriterlerin belirlenmesinde, sertifikasyon veya standart sistemleri temel alınabilir. Kullanılan tekstil materyallerinin belirlenen kriterlere uygunluğunu doğrulamak üzere, düzenli aralıklarla kontroller yürütülecektir. Söz konusu kontroller, tedarikçiler ve/veya üreticiler tarafından sağlanan bilgilerin ölçülmesi ve/veya doğrulanması süreçlerinden oluşup aşağıdakileri göz önünde bulundurabilir:</w:t>
            </w:r>
          </w:p>
          <w:p w14:paraId="0F1C5D61" w14:textId="77777777" w:rsidR="0055515A" w:rsidRPr="0055515A" w:rsidRDefault="0055515A" w:rsidP="002E42C3">
            <w:pPr>
              <w:numPr>
                <w:ilvl w:val="0"/>
                <w:numId w:val="31"/>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ektoparazitisitler (veteriner ilaçları) ve kullanılan ham (veya yarı işlenmiş) yün liflerinde bulunan biyositler;</w:t>
            </w:r>
          </w:p>
          <w:p w14:paraId="4E36FCA6" w14:textId="77777777" w:rsidR="0055515A" w:rsidRPr="0055515A" w:rsidRDefault="0055515A" w:rsidP="002E42C3">
            <w:pPr>
              <w:numPr>
                <w:ilvl w:val="0"/>
                <w:numId w:val="31"/>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kullanılan pamuk liflerinde bulunan biyositler;</w:t>
            </w:r>
          </w:p>
          <w:p w14:paraId="2E873ECD" w14:textId="77777777" w:rsidR="0055515A" w:rsidRPr="0055515A" w:rsidRDefault="0055515A" w:rsidP="002E42C3">
            <w:pPr>
              <w:numPr>
                <w:ilvl w:val="0"/>
                <w:numId w:val="31"/>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kullanılan sentetik liflerde (örneğin; monomerler, polimer sentezi işleminde oluşan yan ürünler, katalizörler, çözücüler) bulunan üretim</w:t>
            </w:r>
            <w:r w:rsidR="00D27F8E">
              <w:rPr>
                <w:rFonts w:ascii="Times New Roman" w:eastAsia="Times New Roman" w:hAnsi="Times New Roman" w:cs="Times New Roman"/>
                <w:color w:val="000000"/>
              </w:rPr>
              <w:t>den kaynaklanan atıklar</w:t>
            </w:r>
          </w:p>
          <w:p w14:paraId="158117CA" w14:textId="77777777" w:rsidR="0055515A" w:rsidRPr="0055515A" w:rsidRDefault="0055515A" w:rsidP="002E42C3">
            <w:pPr>
              <w:numPr>
                <w:ilvl w:val="0"/>
                <w:numId w:val="31"/>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lastRenderedPageBreak/>
              <w:t>kullanılan tekstil materyallerinde bulunan madeni yağlar (örneğin; bobin yağı, eğirme veya örmede kullanılan yağlar);</w:t>
            </w:r>
          </w:p>
          <w:p w14:paraId="147A67A5" w14:textId="77777777" w:rsidR="0055515A" w:rsidRPr="0055515A" w:rsidRDefault="0055515A" w:rsidP="002E42C3">
            <w:pPr>
              <w:numPr>
                <w:ilvl w:val="0"/>
                <w:numId w:val="31"/>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kullanılan tekstil materyallerinde bulunan haşıl kimyasalları.</w:t>
            </w:r>
          </w:p>
          <w:p w14:paraId="36E6CE74"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2850" w:type="dxa"/>
          </w:tcPr>
          <w:p w14:paraId="4F8B03BE"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lastRenderedPageBreak/>
              <w:t>Genel olarak uygulanabilir.</w:t>
            </w:r>
          </w:p>
        </w:tc>
      </w:tr>
      <w:tr w:rsidR="0055515A" w:rsidRPr="0055515A" w14:paraId="4BFDDD31" w14:textId="77777777" w:rsidTr="0024730D">
        <w:tc>
          <w:tcPr>
            <w:tcW w:w="1271" w:type="dxa"/>
          </w:tcPr>
          <w:p w14:paraId="6F4E62B8"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b.İşleme ihtiyacını azaltan doğal özelliklere tekstil materyallerinin kullanımı.</w:t>
            </w:r>
          </w:p>
        </w:tc>
        <w:tc>
          <w:tcPr>
            <w:tcW w:w="4939" w:type="dxa"/>
          </w:tcPr>
          <w:p w14:paraId="2D2E26FA"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Söz konusu tekstil materyalleri aşağıdakileri içermektedir:</w:t>
            </w:r>
          </w:p>
          <w:p w14:paraId="5E9A21A8" w14:textId="77777777" w:rsidR="0055515A" w:rsidRPr="0055515A" w:rsidRDefault="0055515A" w:rsidP="002E42C3">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spin boyalı sentetik lifler;</w:t>
            </w:r>
          </w:p>
          <w:p w14:paraId="5A0A05E4" w14:textId="77777777" w:rsidR="0055515A" w:rsidRPr="0055515A" w:rsidRDefault="0055515A" w:rsidP="002E42C3">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alev geciktirici özelliklere doğal olarak sahip olan lifler;</w:t>
            </w:r>
          </w:p>
          <w:p w14:paraId="4D90F031" w14:textId="77777777" w:rsidR="0055515A" w:rsidRPr="0055515A" w:rsidRDefault="0055515A" w:rsidP="002E42C3">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azaltılmış miktarda silikon yağı ve çözücü kalıntısı içeren diğer polimer lifler ile elastan lif karışımları ve elastan lifler;</w:t>
            </w:r>
          </w:p>
          <w:p w14:paraId="4C5B6503" w14:textId="77777777" w:rsidR="0055515A" w:rsidRPr="0055515A" w:rsidRDefault="0055515A" w:rsidP="002E42C3">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termoplastik elastomerler ile sentetik lif karışımları;</w:t>
            </w:r>
          </w:p>
          <w:p w14:paraId="693EFC6E" w14:textId="77777777" w:rsidR="0055515A" w:rsidRPr="0055515A" w:rsidRDefault="0055515A" w:rsidP="002E42C3">
            <w:pPr>
              <w:numPr>
                <w:ilvl w:val="0"/>
                <w:numId w:val="32"/>
              </w:numPr>
              <w:pBdr>
                <w:top w:val="nil"/>
                <w:left w:val="nil"/>
                <w:bottom w:val="nil"/>
                <w:right w:val="nil"/>
                <w:between w:val="nil"/>
              </w:pBd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taşıyıcı olmadan boyanabilen polyester lifler.</w:t>
            </w:r>
          </w:p>
          <w:p w14:paraId="3066E7B8"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2850" w:type="dxa"/>
          </w:tcPr>
          <w:p w14:paraId="76D45CED"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Uygulama, ürün spesifikasyonları tarafından sınırlanabilir.</w:t>
            </w:r>
          </w:p>
        </w:tc>
      </w:tr>
    </w:tbl>
    <w:p w14:paraId="651B8C9F"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p>
    <w:p w14:paraId="6CEE9836"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1.1.2. İzleme</w:t>
      </w:r>
    </w:p>
    <w:p w14:paraId="003E394D" w14:textId="77777777" w:rsidR="00133925" w:rsidRDefault="0055515A" w:rsidP="00133925">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6 - </w:t>
      </w:r>
      <w:r w:rsidRPr="0055515A">
        <w:rPr>
          <w:rFonts w:ascii="Times New Roman" w:eastAsia="Times New Roman" w:hAnsi="Times New Roman" w:cs="Times New Roman"/>
          <w:bCs/>
          <w:color w:val="000000"/>
          <w:kern w:val="0"/>
          <w:sz w:val="24"/>
          <w:szCs w:val="24"/>
          <w:lang w:eastAsia="tr-TR"/>
          <w14:ligatures w14:val="none"/>
        </w:rPr>
        <w:t>MET, her yıl en az bir kere takip süreci yürütecektir</w:t>
      </w:r>
      <w:r w:rsidRPr="0085348C">
        <w:rPr>
          <w:rFonts w:ascii="Times New Roman" w:eastAsia="Times New Roman" w:hAnsi="Times New Roman" w:cs="Times New Roman"/>
          <w:bCs/>
          <w:color w:val="000000"/>
          <w:kern w:val="0"/>
          <w:sz w:val="24"/>
          <w:szCs w:val="24"/>
          <w:lang w:eastAsia="tr-TR"/>
          <w14:ligatures w14:val="none"/>
        </w:rPr>
        <w:t>:</w:t>
      </w:r>
      <w:r w:rsidR="0085348C" w:rsidRPr="0085348C">
        <w:rPr>
          <w:rFonts w:ascii="Times New Roman" w:eastAsia="Times New Roman" w:hAnsi="Times New Roman" w:cs="Times New Roman"/>
          <w:bCs/>
          <w:color w:val="000000"/>
          <w:kern w:val="0"/>
          <w:sz w:val="24"/>
          <w:szCs w:val="24"/>
          <w:lang w:eastAsia="tr-TR"/>
          <w14:ligatures w14:val="none"/>
        </w:rPr>
        <w:t xml:space="preserve"> </w:t>
      </w:r>
    </w:p>
    <w:p w14:paraId="243DF18B" w14:textId="361289D3" w:rsidR="0055515A" w:rsidRPr="0055515A" w:rsidRDefault="0055515A" w:rsidP="00133925">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Yıllık su ve enerji tüketimi ile materyal kullanımı (tekstil materyalleri ve proses kimyasalları dahil olmak üzere) miktarları;</w:t>
      </w:r>
    </w:p>
    <w:p w14:paraId="77683304" w14:textId="77777777" w:rsidR="0055515A" w:rsidRPr="0055515A" w:rsidRDefault="0055515A" w:rsidP="002E42C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Yıllık atık su miktarı;</w:t>
      </w:r>
    </w:p>
    <w:p w14:paraId="737A1244" w14:textId="77777777" w:rsidR="002E42C3" w:rsidRDefault="0055515A" w:rsidP="002E42C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Yıllık geri kazanılan veya yeniden kullanılan materyal miktarı;</w:t>
      </w:r>
    </w:p>
    <w:p w14:paraId="2D1BB79C" w14:textId="59FE9C28" w:rsidR="002E42C3" w:rsidRDefault="002E42C3" w:rsidP="002E42C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Her bir atık türünün yıllık üretim miktarı ile her bir atık türünün yıllık bertarafa gönderilen miktarı</w:t>
      </w:r>
    </w:p>
    <w:p w14:paraId="17B980A0" w14:textId="428848A6" w:rsidR="00B875CF" w:rsidRDefault="00B875CF" w:rsidP="00B875CF">
      <w:p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p>
    <w:p w14:paraId="0157EFEF" w14:textId="259C5F52" w:rsidR="00B875CF" w:rsidRDefault="00B875CF" w:rsidP="00B875CF">
      <w:p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p>
    <w:p w14:paraId="7B0188CE" w14:textId="77777777" w:rsidR="00B875CF" w:rsidRPr="002E42C3" w:rsidRDefault="00B875CF" w:rsidP="00B875CF">
      <w:p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p>
    <w:p w14:paraId="1B5FADB9" w14:textId="77777777" w:rsidR="002E42C3" w:rsidRPr="002E42C3" w:rsidRDefault="00636A7E" w:rsidP="002E42C3">
      <w:pPr>
        <w:pBdr>
          <w:top w:val="nil"/>
          <w:left w:val="nil"/>
          <w:bottom w:val="nil"/>
          <w:right w:val="nil"/>
          <w:between w:val="nil"/>
        </w:pBd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2E42C3">
        <w:rPr>
          <w:rFonts w:ascii="Times New Roman" w:eastAsia="Times New Roman" w:hAnsi="Times New Roman" w:cs="Times New Roman"/>
          <w:b/>
          <w:color w:val="000000"/>
          <w:kern w:val="0"/>
          <w:sz w:val="24"/>
          <w:szCs w:val="24"/>
          <w:lang w:eastAsia="tr-TR"/>
          <w14:ligatures w14:val="none"/>
        </w:rPr>
        <w:lastRenderedPageBreak/>
        <w:t>Açıklama</w:t>
      </w:r>
      <w:r w:rsidR="002E42C3" w:rsidRPr="002E42C3">
        <w:rPr>
          <w:rFonts w:ascii="Times New Roman" w:eastAsia="Times New Roman" w:hAnsi="Times New Roman" w:cs="Times New Roman"/>
          <w:b/>
          <w:color w:val="000000"/>
          <w:kern w:val="0"/>
          <w:sz w:val="24"/>
          <w:szCs w:val="24"/>
          <w:lang w:eastAsia="tr-TR"/>
          <w14:ligatures w14:val="none"/>
        </w:rPr>
        <w:t xml:space="preserve"> </w:t>
      </w:r>
    </w:p>
    <w:p w14:paraId="409841B6" w14:textId="77777777" w:rsidR="00636A7E" w:rsidRPr="00636A7E" w:rsidRDefault="00636A7E" w:rsidP="002E42C3">
      <w:p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636A7E">
        <w:rPr>
          <w:rFonts w:ascii="Times New Roman" w:eastAsia="Times New Roman" w:hAnsi="Times New Roman" w:cs="Times New Roman"/>
          <w:color w:val="000000"/>
          <w:kern w:val="0"/>
          <w:sz w:val="24"/>
          <w:szCs w:val="24"/>
          <w:lang w:eastAsia="tr-TR"/>
          <w14:ligatures w14:val="none"/>
        </w:rPr>
        <w:t>İzleme tercihen doğrudan ölçümleri içerir. Hesaplamalar veya kayıtlar, örneğin uygun sayaçlar veya faturalar da kullanılabilir. İzleme mümkün olduğunca süreç düzeyine indirgenir ve süreçlerdeki önemli değişiklikler dikkate alınır.</w:t>
      </w:r>
    </w:p>
    <w:p w14:paraId="2C1DC31A"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7 - </w:t>
      </w:r>
      <w:r w:rsidRPr="0055515A">
        <w:rPr>
          <w:rFonts w:ascii="Times New Roman" w:eastAsia="Times New Roman" w:hAnsi="Times New Roman" w:cs="Times New Roman"/>
          <w:bCs/>
          <w:color w:val="000000"/>
          <w:kern w:val="0"/>
          <w:sz w:val="24"/>
          <w:szCs w:val="24"/>
          <w:lang w:eastAsia="tr-TR"/>
          <w14:ligatures w14:val="none"/>
        </w:rPr>
        <w:t>Girdi ve çıktı envanteri ile tanımlanan atık su kolları için (bkz. MET 2) MET, önemli noktalarda (örneğin; ön arıtımdaki atık su giriş ve/veya çıkışları, nihai arıtımdaki atık su girişi, atık suyun tesisten çıktığı nokta) önemli parametrelerin (örneğin; atık su akışı, pH’si ve sıcaklığının sürekli takibi) takibini yapacaktır:</w:t>
      </w:r>
    </w:p>
    <w:p w14:paraId="0CD28A13" w14:textId="77777777" w:rsidR="0055515A" w:rsidRPr="0055515A" w:rsidRDefault="0055515A" w:rsidP="0055515A">
      <w:pPr>
        <w:spacing w:after="120" w:line="360" w:lineRule="auto"/>
        <w:jc w:val="both"/>
        <w:rPr>
          <w:rFonts w:ascii="Times New Roman" w:eastAsia="Times New Roman" w:hAnsi="Times New Roman" w:cs="Times New Roman"/>
          <w:bCs/>
          <w:i/>
          <w:iCs/>
          <w:color w:val="000000"/>
          <w:kern w:val="0"/>
          <w:sz w:val="24"/>
          <w:szCs w:val="24"/>
          <w:lang w:eastAsia="tr-TR"/>
          <w14:ligatures w14:val="none"/>
        </w:rPr>
      </w:pPr>
      <w:r w:rsidRPr="0055515A">
        <w:rPr>
          <w:rFonts w:ascii="Times New Roman" w:eastAsia="Times New Roman" w:hAnsi="Times New Roman" w:cs="Times New Roman"/>
          <w:bCs/>
          <w:i/>
          <w:iCs/>
          <w:color w:val="000000"/>
          <w:kern w:val="0"/>
          <w:sz w:val="24"/>
          <w:szCs w:val="24"/>
          <w:lang w:eastAsia="tr-TR"/>
          <w14:ligatures w14:val="none"/>
        </w:rPr>
        <w:t>Açıklama</w:t>
      </w:r>
    </w:p>
    <w:p w14:paraId="0407B547" w14:textId="77777777"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Biyolojik olarak elimine edilebilirliğin, biyobozunurluğun ve engelleyici etkilerin önemli parametreler arasında olduğu durumlarda (bkz. MET 19) takip işlemi, biyolojik arıtmadan önce aşağıdakilere yönelik olarak yapılacak olup minimum takip sıklığı, çıkış suyu karakterizasyonuna göre belirlenecektir:</w:t>
      </w:r>
    </w:p>
    <w:p w14:paraId="36C20503" w14:textId="77777777" w:rsidR="0055515A" w:rsidRPr="0055515A" w:rsidRDefault="00545058" w:rsidP="00887149">
      <w:pPr>
        <w:numPr>
          <w:ilvl w:val="0"/>
          <w:numId w:val="34"/>
        </w:numPr>
        <w:pBdr>
          <w:top w:val="nil"/>
          <w:left w:val="nil"/>
          <w:bottom w:val="nil"/>
          <w:right w:val="nil"/>
          <w:between w:val="nil"/>
        </w:pBdr>
        <w:spacing w:after="0" w:line="360" w:lineRule="auto"/>
        <w:jc w:val="both"/>
        <w:rPr>
          <w:rFonts w:ascii="Times New Roman" w:eastAsia="Times New Roman" w:hAnsi="Times New Roman" w:cs="Times New Roman"/>
          <w:color w:val="000000"/>
          <w:kern w:val="0"/>
          <w:sz w:val="24"/>
          <w:szCs w:val="24"/>
          <w:lang w:eastAsia="tr-TR"/>
          <w14:ligatures w14:val="none"/>
        </w:rPr>
      </w:pPr>
      <w:sdt>
        <w:sdtPr>
          <w:rPr>
            <w:rFonts w:ascii="Times New Roman" w:eastAsia="Times New Roman" w:hAnsi="Times New Roman" w:cs="Times New Roman"/>
            <w:kern w:val="0"/>
            <w:sz w:val="24"/>
            <w:szCs w:val="24"/>
            <w:lang w:eastAsia="tr-TR"/>
            <w14:ligatures w14:val="none"/>
          </w:rPr>
          <w:tag w:val="goog_rdk_7"/>
          <w:id w:val="823010344"/>
        </w:sdtPr>
        <w:sdtEndPr/>
        <w:sdtContent/>
      </w:sdt>
      <w:r w:rsidR="0055515A" w:rsidRPr="0055515A">
        <w:rPr>
          <w:rFonts w:ascii="Times New Roman" w:eastAsia="Times New Roman" w:hAnsi="Times New Roman" w:cs="Times New Roman"/>
          <w:color w:val="000000"/>
          <w:kern w:val="0"/>
          <w:sz w:val="24"/>
          <w:szCs w:val="24"/>
          <w:lang w:eastAsia="tr-TR"/>
          <w14:ligatures w14:val="none"/>
        </w:rPr>
        <w:t>TS EN ISO 7827 ile uyumlu olarak biyolojik olarak elimine edilebilirlik, biyobozunurluk;</w:t>
      </w:r>
    </w:p>
    <w:p w14:paraId="4C4721F9" w14:textId="77777777" w:rsidR="0055515A" w:rsidRPr="0055515A" w:rsidRDefault="0055515A" w:rsidP="00887149">
      <w:pPr>
        <w:numPr>
          <w:ilvl w:val="0"/>
          <w:numId w:val="34"/>
        </w:numPr>
        <w:pBdr>
          <w:top w:val="nil"/>
          <w:left w:val="nil"/>
          <w:bottom w:val="nil"/>
          <w:right w:val="nil"/>
          <w:between w:val="nil"/>
        </w:pBd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TS 10868 EN ISO 8192 ile uyumlu olarak biyolojik arıtma üzerindeki engelleyici etkiler.</w:t>
      </w:r>
    </w:p>
    <w:p w14:paraId="5FEF3E26"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Çıkış suyu karakterizasyonu, tesisin işletilmeye başlamasından önce veya işbu MET’</w:t>
      </w:r>
      <w:r w:rsidR="00772606">
        <w:rPr>
          <w:rFonts w:ascii="Times New Roman" w:eastAsia="Times New Roman" w:hAnsi="Times New Roman" w:cs="Times New Roman"/>
          <w:kern w:val="0"/>
          <w:sz w:val="24"/>
          <w:szCs w:val="24"/>
          <w:lang w:eastAsia="tr-TR"/>
          <w14:ligatures w14:val="none"/>
        </w:rPr>
        <w:t>in</w:t>
      </w:r>
      <w:r w:rsidRPr="0055515A">
        <w:rPr>
          <w:rFonts w:ascii="Times New Roman" w:eastAsia="Times New Roman" w:hAnsi="Times New Roman" w:cs="Times New Roman"/>
          <w:kern w:val="0"/>
          <w:sz w:val="24"/>
          <w:szCs w:val="24"/>
          <w:lang w:eastAsia="tr-TR"/>
          <w14:ligatures w14:val="none"/>
        </w:rPr>
        <w:t xml:space="preserve"> yayınlanmasından sonra ilk kez güncellenen bir izinden önce ve tesisin kirletici yükünü artıran her bir değişiklikten (örneğin, formül/yöntem değişikliği) sonra yürütülecektir.</w:t>
      </w:r>
    </w:p>
    <w:p w14:paraId="783018D5"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8 - </w:t>
      </w:r>
      <w:r w:rsidRPr="0055515A">
        <w:rPr>
          <w:rFonts w:ascii="Times New Roman" w:eastAsia="Times New Roman" w:hAnsi="Times New Roman" w:cs="Times New Roman"/>
          <w:bCs/>
          <w:color w:val="000000"/>
          <w:kern w:val="0"/>
          <w:sz w:val="24"/>
          <w:szCs w:val="24"/>
          <w:lang w:eastAsia="tr-TR"/>
          <w14:ligatures w14:val="none"/>
        </w:rPr>
        <w:t>MET, su ekosistemlerine olan emisyonları en az aşağıdaki tabloda verilen aralıklarla ve AB standartlarına uygun olarak takip edecektir. AB standartlarının mevcut olmadığı durumlarda MET, eş değer bilimsel kalitede veri sağlanmasını mümkün kılan ISO standartlarını, ulusal veya uluslararası standartları kullanacaktır:</w:t>
      </w:r>
    </w:p>
    <w:tbl>
      <w:tblPr>
        <w:tblStyle w:val="TabloKlavuzu15"/>
        <w:tblW w:w="9058" w:type="dxa"/>
        <w:tblLayout w:type="fixed"/>
        <w:tblLook w:val="0400" w:firstRow="0" w:lastRow="0" w:firstColumn="0" w:lastColumn="0" w:noHBand="0" w:noVBand="1"/>
      </w:tblPr>
      <w:tblGrid>
        <w:gridCol w:w="1170"/>
        <w:gridCol w:w="1235"/>
        <w:gridCol w:w="1662"/>
        <w:gridCol w:w="1771"/>
        <w:gridCol w:w="1652"/>
        <w:gridCol w:w="1568"/>
      </w:tblGrid>
      <w:tr w:rsidR="0055515A" w:rsidRPr="00691C2D" w14:paraId="2F2A62DB" w14:textId="77777777" w:rsidTr="0082590D">
        <w:trPr>
          <w:trHeight w:val="240"/>
        </w:trPr>
        <w:tc>
          <w:tcPr>
            <w:tcW w:w="2405" w:type="dxa"/>
            <w:gridSpan w:val="2"/>
          </w:tcPr>
          <w:p w14:paraId="6835AC32" w14:textId="77777777" w:rsidR="0055515A" w:rsidRPr="00691C2D" w:rsidRDefault="0055515A" w:rsidP="0055515A">
            <w:pPr>
              <w:spacing w:after="120"/>
              <w:jc w:val="center"/>
              <w:rPr>
                <w:rFonts w:ascii="Times New Roman" w:eastAsia="Times New Roman" w:hAnsi="Times New Roman" w:cs="Times New Roman"/>
                <w:b/>
                <w:lang w:eastAsia="tr-TR"/>
              </w:rPr>
            </w:pPr>
            <w:r w:rsidRPr="00691C2D">
              <w:rPr>
                <w:rFonts w:ascii="Times New Roman" w:eastAsia="Times New Roman" w:hAnsi="Times New Roman" w:cs="Times New Roman"/>
                <w:b/>
                <w:lang w:eastAsia="tr-TR"/>
              </w:rPr>
              <w:t>Madde(ler)/Parametre</w:t>
            </w:r>
          </w:p>
        </w:tc>
        <w:tc>
          <w:tcPr>
            <w:tcW w:w="1662" w:type="dxa"/>
          </w:tcPr>
          <w:p w14:paraId="6E1BEE13" w14:textId="77777777" w:rsidR="0055515A" w:rsidRPr="00691C2D" w:rsidRDefault="0055515A" w:rsidP="0055515A">
            <w:pPr>
              <w:spacing w:after="120"/>
              <w:jc w:val="center"/>
              <w:rPr>
                <w:rFonts w:ascii="Times New Roman" w:eastAsia="Times New Roman" w:hAnsi="Times New Roman" w:cs="Times New Roman"/>
                <w:b/>
                <w:lang w:eastAsia="tr-TR"/>
              </w:rPr>
            </w:pPr>
            <w:r w:rsidRPr="00691C2D">
              <w:rPr>
                <w:rFonts w:ascii="Times New Roman" w:eastAsia="Times New Roman" w:hAnsi="Times New Roman" w:cs="Times New Roman"/>
                <w:b/>
                <w:lang w:eastAsia="tr-TR"/>
              </w:rPr>
              <w:t>Standart(lar)</w:t>
            </w:r>
          </w:p>
        </w:tc>
        <w:tc>
          <w:tcPr>
            <w:tcW w:w="1771" w:type="dxa"/>
          </w:tcPr>
          <w:p w14:paraId="40894F08" w14:textId="77777777" w:rsidR="0055515A" w:rsidRPr="00691C2D" w:rsidRDefault="0055515A" w:rsidP="0055515A">
            <w:pPr>
              <w:spacing w:after="120"/>
              <w:jc w:val="center"/>
              <w:rPr>
                <w:rFonts w:ascii="Times New Roman" w:eastAsia="Times New Roman" w:hAnsi="Times New Roman" w:cs="Times New Roman"/>
                <w:b/>
                <w:lang w:eastAsia="tr-TR"/>
              </w:rPr>
            </w:pPr>
            <w:r w:rsidRPr="00691C2D">
              <w:rPr>
                <w:rFonts w:ascii="Times New Roman" w:eastAsia="Times New Roman" w:hAnsi="Times New Roman" w:cs="Times New Roman"/>
                <w:b/>
                <w:lang w:eastAsia="tr-TR"/>
              </w:rPr>
              <w:t>Faaliyet/Proses</w:t>
            </w:r>
          </w:p>
        </w:tc>
        <w:tc>
          <w:tcPr>
            <w:tcW w:w="1652" w:type="dxa"/>
          </w:tcPr>
          <w:p w14:paraId="6EA9B0C2" w14:textId="77777777" w:rsidR="0055515A" w:rsidRPr="00691C2D" w:rsidRDefault="0055515A" w:rsidP="0055515A">
            <w:pPr>
              <w:spacing w:after="120"/>
              <w:jc w:val="center"/>
              <w:rPr>
                <w:rFonts w:ascii="Times New Roman" w:eastAsia="Times New Roman" w:hAnsi="Times New Roman" w:cs="Times New Roman"/>
                <w:b/>
                <w:lang w:eastAsia="tr-TR"/>
              </w:rPr>
            </w:pPr>
            <w:r w:rsidRPr="00691C2D">
              <w:rPr>
                <w:rFonts w:ascii="Times New Roman" w:eastAsia="Times New Roman" w:hAnsi="Times New Roman" w:cs="Times New Roman"/>
                <w:b/>
                <w:lang w:eastAsia="tr-TR"/>
              </w:rPr>
              <w:t>Minimum Takip Sıklığı</w:t>
            </w:r>
          </w:p>
        </w:tc>
        <w:tc>
          <w:tcPr>
            <w:tcW w:w="1568" w:type="dxa"/>
          </w:tcPr>
          <w:p w14:paraId="7EEEEDEC" w14:textId="77777777" w:rsidR="0055515A" w:rsidRPr="00691C2D" w:rsidRDefault="0055515A" w:rsidP="0055515A">
            <w:pPr>
              <w:spacing w:after="120"/>
              <w:jc w:val="center"/>
              <w:rPr>
                <w:rFonts w:ascii="Times New Roman" w:eastAsia="Times New Roman" w:hAnsi="Times New Roman" w:cs="Times New Roman"/>
                <w:b/>
                <w:lang w:eastAsia="tr-TR"/>
              </w:rPr>
            </w:pPr>
            <w:r w:rsidRPr="00691C2D">
              <w:rPr>
                <w:rFonts w:ascii="Times New Roman" w:eastAsia="Times New Roman" w:hAnsi="Times New Roman" w:cs="Times New Roman"/>
                <w:b/>
                <w:lang w:eastAsia="tr-TR"/>
              </w:rPr>
              <w:t>İlişkili MET</w:t>
            </w:r>
          </w:p>
        </w:tc>
      </w:tr>
      <w:tr w:rsidR="0055515A" w:rsidRPr="00691C2D" w14:paraId="1F592C78" w14:textId="77777777" w:rsidTr="0082590D">
        <w:trPr>
          <w:trHeight w:val="240"/>
        </w:trPr>
        <w:tc>
          <w:tcPr>
            <w:tcW w:w="2405" w:type="dxa"/>
            <w:gridSpan w:val="2"/>
          </w:tcPr>
          <w:p w14:paraId="081F4999" w14:textId="77777777" w:rsidR="0055515A" w:rsidRPr="00691C2D" w:rsidRDefault="0048732D">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Adsorbe edilebilir </w:t>
            </w:r>
            <w:r w:rsidR="0055515A" w:rsidRPr="00691C2D">
              <w:rPr>
                <w:rFonts w:ascii="Times New Roman" w:eastAsia="Times New Roman" w:hAnsi="Times New Roman" w:cs="Times New Roman"/>
                <w:lang w:eastAsia="tr-TR"/>
              </w:rPr>
              <w:t>organik bağlı halojenler (AOX)</w:t>
            </w:r>
            <w:r w:rsidR="0055515A" w:rsidRPr="00691C2D">
              <w:rPr>
                <w:rFonts w:ascii="Times New Roman" w:eastAsia="Times New Roman" w:hAnsi="Times New Roman" w:cs="Times New Roman"/>
                <w:color w:val="000000"/>
                <w:lang w:eastAsia="tr-TR"/>
              </w:rPr>
              <w:t xml:space="preserve"> (</w:t>
            </w:r>
            <w:r w:rsidR="0055515A" w:rsidRPr="00691C2D">
              <w:rPr>
                <w:rFonts w:ascii="Times New Roman" w:eastAsia="Times New Roman" w:hAnsi="Times New Roman" w:cs="Times New Roman"/>
                <w:color w:val="000000"/>
                <w:vertAlign w:val="superscript"/>
                <w:lang w:eastAsia="tr-TR"/>
              </w:rPr>
              <w:t>1</w:t>
            </w:r>
            <w:r w:rsidR="0055515A" w:rsidRPr="00691C2D">
              <w:rPr>
                <w:rFonts w:ascii="Times New Roman" w:eastAsia="Times New Roman" w:hAnsi="Times New Roman" w:cs="Times New Roman"/>
                <w:color w:val="000000"/>
                <w:lang w:eastAsia="tr-TR"/>
              </w:rPr>
              <w:t>)</w:t>
            </w:r>
          </w:p>
        </w:tc>
        <w:tc>
          <w:tcPr>
            <w:tcW w:w="1662" w:type="dxa"/>
          </w:tcPr>
          <w:p w14:paraId="3357247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b/>
            </w:r>
            <w:r w:rsidRPr="00691C2D">
              <w:rPr>
                <w:rFonts w:ascii="Times New Roman" w:eastAsia="Times New Roman" w:hAnsi="Times New Roman" w:cs="Times New Roman"/>
                <w:lang w:eastAsia="tr-TR"/>
              </w:rPr>
              <w:tab/>
              <w:t xml:space="preserve"> </w:t>
            </w:r>
            <w:r w:rsidRPr="00691C2D">
              <w:rPr>
                <w:rFonts w:ascii="Times New Roman" w:eastAsia="Times New Roman" w:hAnsi="Times New Roman" w:cs="Times New Roman"/>
                <w:lang w:eastAsia="tr-TR"/>
              </w:rPr>
              <w:tab/>
            </w:r>
            <w:r w:rsidRPr="00691C2D">
              <w:rPr>
                <w:rFonts w:ascii="Times New Roman" w:eastAsia="Times New Roman" w:hAnsi="Times New Roman" w:cs="Times New Roman"/>
                <w:lang w:eastAsia="tr-TR"/>
              </w:rPr>
              <w:tab/>
            </w:r>
          </w:p>
          <w:p w14:paraId="311F81D7" w14:textId="77777777" w:rsidR="0055515A" w:rsidRPr="00691C2D" w:rsidRDefault="0055515A" w:rsidP="0055515A">
            <w:pPr>
              <w:shd w:val="clear" w:color="auto" w:fill="FFFFFF"/>
              <w:spacing w:before="240" w:after="24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TS EN ISO 9562 </w:t>
            </w:r>
          </w:p>
          <w:p w14:paraId="20C4D1F3" w14:textId="77777777" w:rsidR="0055515A" w:rsidRPr="00691C2D" w:rsidRDefault="0055515A" w:rsidP="0055515A">
            <w:pPr>
              <w:shd w:val="clear" w:color="auto" w:fill="FFFFFF"/>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b/>
            </w:r>
          </w:p>
        </w:tc>
        <w:tc>
          <w:tcPr>
            <w:tcW w:w="1771" w:type="dxa"/>
          </w:tcPr>
          <w:p w14:paraId="39B71DA3" w14:textId="402F41B3" w:rsidR="0055515A" w:rsidRPr="00691C2D" w:rsidRDefault="0055515A" w:rsidP="00691C2D">
            <w:pPr>
              <w:spacing w:after="120"/>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w:t>
            </w:r>
            <w:r w:rsidR="00691C2D">
              <w:rPr>
                <w:rFonts w:ascii="Times New Roman" w:eastAsia="Times New Roman" w:hAnsi="Times New Roman" w:cs="Times New Roman"/>
                <w:lang w:eastAsia="tr-TR"/>
              </w:rPr>
              <w:t xml:space="preserve"> </w:t>
            </w:r>
            <w:r w:rsidRPr="00691C2D">
              <w:rPr>
                <w:rFonts w:ascii="Times New Roman" w:eastAsia="Times New Roman" w:hAnsi="Times New Roman" w:cs="Times New Roman"/>
                <w:lang w:eastAsia="tr-TR"/>
              </w:rPr>
              <w:t>faaliyetler</w:t>
            </w:r>
            <w:r w:rsidR="00691C2D">
              <w:rPr>
                <w:rFonts w:ascii="Times New Roman" w:eastAsia="Times New Roman" w:hAnsi="Times New Roman" w:cs="Times New Roman"/>
                <w:lang w:eastAsia="tr-TR"/>
              </w:rPr>
              <w:t xml:space="preserve"> </w:t>
            </w:r>
            <w:r w:rsidRPr="00691C2D">
              <w:rPr>
                <w:rFonts w:ascii="Times New Roman" w:eastAsia="Times New Roman" w:hAnsi="Times New Roman" w:cs="Times New Roman"/>
                <w:lang w:eastAsia="tr-TR"/>
              </w:rPr>
              <w:t>/süreçler</w:t>
            </w:r>
          </w:p>
        </w:tc>
        <w:tc>
          <w:tcPr>
            <w:tcW w:w="1652" w:type="dxa"/>
          </w:tcPr>
          <w:p w14:paraId="40F8BF32"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Ayda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2</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lang w:eastAsia="tr-TR"/>
              </w:rPr>
              <w:t xml:space="preserve"> </w:t>
            </w:r>
          </w:p>
        </w:tc>
        <w:tc>
          <w:tcPr>
            <w:tcW w:w="1568" w:type="dxa"/>
            <w:vMerge w:val="restart"/>
          </w:tcPr>
          <w:p w14:paraId="21CBB7D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MET 20</w:t>
            </w:r>
          </w:p>
        </w:tc>
      </w:tr>
      <w:tr w:rsidR="0055515A" w:rsidRPr="00691C2D" w14:paraId="574974B7" w14:textId="77777777" w:rsidTr="0082590D">
        <w:trPr>
          <w:trHeight w:val="240"/>
        </w:trPr>
        <w:tc>
          <w:tcPr>
            <w:tcW w:w="2405" w:type="dxa"/>
            <w:gridSpan w:val="2"/>
          </w:tcPr>
          <w:p w14:paraId="3B0BBE40" w14:textId="77777777" w:rsidR="0055515A" w:rsidRPr="00691C2D" w:rsidRDefault="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lastRenderedPageBreak/>
              <w:t>Biyokimyasal oksijen ihtiyacı (</w:t>
            </w:r>
            <w:r w:rsidR="0048732D" w:rsidRPr="00691C2D">
              <w:rPr>
                <w:rFonts w:ascii="Times New Roman" w:eastAsia="Times New Roman" w:hAnsi="Times New Roman" w:cs="Times New Roman"/>
                <w:lang w:eastAsia="tr-TR"/>
              </w:rPr>
              <w:t>BOİ</w:t>
            </w:r>
            <w:r w:rsidRPr="00691C2D">
              <w:rPr>
                <w:rFonts w:ascii="Times New Roman" w:eastAsia="Times New Roman" w:hAnsi="Times New Roman" w:cs="Times New Roman"/>
                <w:lang w:eastAsia="tr-TR"/>
              </w:rPr>
              <w:t>)</w:t>
            </w:r>
            <w:r w:rsidRPr="00691C2D">
              <w:rPr>
                <w:rFonts w:ascii="Times New Roman" w:eastAsia="Times New Roman" w:hAnsi="Times New Roman" w:cs="Times New Roman"/>
                <w:color w:val="000000"/>
                <w:lang w:eastAsia="tr-TR"/>
              </w:rPr>
              <w:t xml:space="preserve"> (</w:t>
            </w:r>
            <w:r w:rsidRPr="00691C2D">
              <w:rPr>
                <w:rFonts w:ascii="Times New Roman" w:eastAsia="Times New Roman" w:hAnsi="Times New Roman" w:cs="Times New Roman"/>
                <w:color w:val="000000"/>
                <w:vertAlign w:val="superscript"/>
                <w:lang w:eastAsia="tr-TR"/>
              </w:rPr>
              <w:t>3</w:t>
            </w:r>
            <w:r w:rsidRPr="00691C2D">
              <w:rPr>
                <w:rFonts w:ascii="Times New Roman" w:eastAsia="Times New Roman" w:hAnsi="Times New Roman" w:cs="Times New Roman"/>
                <w:color w:val="000000"/>
                <w:lang w:eastAsia="tr-TR"/>
              </w:rPr>
              <w:t>)</w:t>
            </w:r>
          </w:p>
        </w:tc>
        <w:tc>
          <w:tcPr>
            <w:tcW w:w="1662" w:type="dxa"/>
          </w:tcPr>
          <w:p w14:paraId="4C8E821A"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Çeşitli EN standartları mevcuttur (örn. TS 4957-1 EN 1899-1, EN ISO 5815-1)</w:t>
            </w:r>
          </w:p>
        </w:tc>
        <w:tc>
          <w:tcPr>
            <w:tcW w:w="1771" w:type="dxa"/>
          </w:tcPr>
          <w:p w14:paraId="12220C05"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 faaliyetler/süreçler</w:t>
            </w:r>
          </w:p>
        </w:tc>
        <w:tc>
          <w:tcPr>
            <w:tcW w:w="1652" w:type="dxa"/>
          </w:tcPr>
          <w:p w14:paraId="3F33D6D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Ayda bir kez </w:t>
            </w:r>
          </w:p>
        </w:tc>
        <w:tc>
          <w:tcPr>
            <w:tcW w:w="1568" w:type="dxa"/>
            <w:vMerge/>
          </w:tcPr>
          <w:p w14:paraId="42C694DB" w14:textId="77777777" w:rsidR="0055515A" w:rsidRPr="00691C2D" w:rsidRDefault="0055515A" w:rsidP="0055515A">
            <w:pPr>
              <w:jc w:val="center"/>
              <w:rPr>
                <w:rFonts w:ascii="Times New Roman" w:eastAsia="Times New Roman" w:hAnsi="Times New Roman" w:cs="Times New Roman"/>
                <w:lang w:eastAsia="tr-TR"/>
              </w:rPr>
            </w:pPr>
          </w:p>
        </w:tc>
      </w:tr>
      <w:tr w:rsidR="0055515A" w:rsidRPr="00691C2D" w14:paraId="2746D3FE" w14:textId="77777777" w:rsidTr="0082590D">
        <w:trPr>
          <w:trHeight w:val="240"/>
        </w:trPr>
        <w:tc>
          <w:tcPr>
            <w:tcW w:w="2405" w:type="dxa"/>
            <w:gridSpan w:val="2"/>
          </w:tcPr>
          <w:p w14:paraId="380F848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Bromlu alev geciktiriciler</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1</w:t>
            </w:r>
            <w:r w:rsidRPr="00691C2D">
              <w:rPr>
                <w:rFonts w:ascii="Times New Roman" w:eastAsia="Times New Roman" w:hAnsi="Times New Roman" w:cs="Times New Roman"/>
                <w:color w:val="000000"/>
                <w:lang w:eastAsia="tr-TR"/>
              </w:rPr>
              <w:t>)</w:t>
            </w:r>
          </w:p>
        </w:tc>
        <w:tc>
          <w:tcPr>
            <w:tcW w:w="1662" w:type="dxa"/>
          </w:tcPr>
          <w:p w14:paraId="465CB032"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Bazı polibromlu difenil eterler için EN standardı mevcuttur.</w:t>
            </w:r>
          </w:p>
        </w:tc>
        <w:tc>
          <w:tcPr>
            <w:tcW w:w="1771" w:type="dxa"/>
          </w:tcPr>
          <w:p w14:paraId="6CE056F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Alev geciktiricilerle kaplama</w:t>
            </w:r>
          </w:p>
        </w:tc>
        <w:tc>
          <w:tcPr>
            <w:tcW w:w="1652" w:type="dxa"/>
          </w:tcPr>
          <w:p w14:paraId="7576062B"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Ayda 3 kez </w:t>
            </w:r>
          </w:p>
        </w:tc>
        <w:tc>
          <w:tcPr>
            <w:tcW w:w="1568" w:type="dxa"/>
            <w:vMerge/>
          </w:tcPr>
          <w:p w14:paraId="4BD78CF1" w14:textId="77777777" w:rsidR="0055515A" w:rsidRPr="00691C2D" w:rsidRDefault="0055515A" w:rsidP="0055515A">
            <w:pPr>
              <w:jc w:val="center"/>
              <w:rPr>
                <w:rFonts w:ascii="Times New Roman" w:eastAsia="Times New Roman" w:hAnsi="Times New Roman" w:cs="Times New Roman"/>
                <w:lang w:eastAsia="tr-TR"/>
              </w:rPr>
            </w:pPr>
          </w:p>
        </w:tc>
      </w:tr>
      <w:tr w:rsidR="0055515A" w:rsidRPr="00691C2D" w14:paraId="691BCE1E" w14:textId="77777777" w:rsidTr="0082590D">
        <w:trPr>
          <w:trHeight w:val="240"/>
        </w:trPr>
        <w:tc>
          <w:tcPr>
            <w:tcW w:w="2405" w:type="dxa"/>
            <w:gridSpan w:val="2"/>
          </w:tcPr>
          <w:p w14:paraId="633F73F7" w14:textId="77777777" w:rsidR="0055515A" w:rsidRPr="00691C2D" w:rsidRDefault="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Kimyasal oksijen ihtiyacı (</w:t>
            </w:r>
            <w:r w:rsidR="0048732D" w:rsidRPr="00691C2D">
              <w:rPr>
                <w:rFonts w:ascii="Times New Roman" w:eastAsia="Times New Roman" w:hAnsi="Times New Roman" w:cs="Times New Roman"/>
                <w:lang w:eastAsia="tr-TR"/>
              </w:rPr>
              <w:t>KOİ</w:t>
            </w:r>
            <w:r w:rsidRPr="00691C2D">
              <w:rPr>
                <w:rFonts w:ascii="Times New Roman" w:eastAsia="Times New Roman" w:hAnsi="Times New Roman" w:cs="Times New Roman"/>
                <w:lang w:eastAsia="tr-TR"/>
              </w:rPr>
              <w:t>)</w:t>
            </w:r>
          </w:p>
        </w:tc>
        <w:tc>
          <w:tcPr>
            <w:tcW w:w="1662" w:type="dxa"/>
          </w:tcPr>
          <w:p w14:paraId="1450A985"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EN standardı mevcut değil</w:t>
            </w:r>
          </w:p>
        </w:tc>
        <w:tc>
          <w:tcPr>
            <w:tcW w:w="1771" w:type="dxa"/>
          </w:tcPr>
          <w:p w14:paraId="7583FE2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 faaliyetler/süreçler</w:t>
            </w:r>
          </w:p>
        </w:tc>
        <w:tc>
          <w:tcPr>
            <w:tcW w:w="1652" w:type="dxa"/>
          </w:tcPr>
          <w:p w14:paraId="63BADA4A"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Her gün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5</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6</w:t>
            </w:r>
            <w:r w:rsidRPr="00691C2D">
              <w:rPr>
                <w:rFonts w:ascii="Times New Roman" w:eastAsia="Times New Roman" w:hAnsi="Times New Roman" w:cs="Times New Roman"/>
                <w:color w:val="000000"/>
                <w:lang w:eastAsia="tr-TR"/>
              </w:rPr>
              <w:t>)</w:t>
            </w:r>
          </w:p>
        </w:tc>
        <w:tc>
          <w:tcPr>
            <w:tcW w:w="1568" w:type="dxa"/>
            <w:vMerge/>
          </w:tcPr>
          <w:p w14:paraId="12552FEA" w14:textId="77777777" w:rsidR="0055515A" w:rsidRPr="00691C2D" w:rsidRDefault="0055515A" w:rsidP="0055515A">
            <w:pPr>
              <w:jc w:val="center"/>
              <w:rPr>
                <w:rFonts w:ascii="Times New Roman" w:eastAsia="Times New Roman" w:hAnsi="Times New Roman" w:cs="Times New Roman"/>
                <w:lang w:eastAsia="tr-TR"/>
              </w:rPr>
            </w:pPr>
          </w:p>
        </w:tc>
      </w:tr>
      <w:tr w:rsidR="0055515A" w:rsidRPr="00691C2D" w14:paraId="38EFBFCA" w14:textId="77777777" w:rsidTr="0082590D">
        <w:trPr>
          <w:trHeight w:val="240"/>
        </w:trPr>
        <w:tc>
          <w:tcPr>
            <w:tcW w:w="2405" w:type="dxa"/>
            <w:gridSpan w:val="2"/>
          </w:tcPr>
          <w:p w14:paraId="6ABF31E2"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Renk</w:t>
            </w:r>
          </w:p>
        </w:tc>
        <w:tc>
          <w:tcPr>
            <w:tcW w:w="1662" w:type="dxa"/>
          </w:tcPr>
          <w:p w14:paraId="43E994E7"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EN ISO 7887</w:t>
            </w:r>
          </w:p>
        </w:tc>
        <w:tc>
          <w:tcPr>
            <w:tcW w:w="1771" w:type="dxa"/>
          </w:tcPr>
          <w:p w14:paraId="730227A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Boyama</w:t>
            </w:r>
          </w:p>
        </w:tc>
        <w:tc>
          <w:tcPr>
            <w:tcW w:w="1652" w:type="dxa"/>
          </w:tcPr>
          <w:p w14:paraId="34B8F5CF"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Ayda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7</w:t>
            </w:r>
            <w:r w:rsidRPr="00691C2D">
              <w:rPr>
                <w:rFonts w:ascii="Times New Roman" w:eastAsia="Times New Roman" w:hAnsi="Times New Roman" w:cs="Times New Roman"/>
                <w:color w:val="000000"/>
                <w:lang w:eastAsia="tr-TR"/>
              </w:rPr>
              <w:t>)</w:t>
            </w:r>
          </w:p>
        </w:tc>
        <w:tc>
          <w:tcPr>
            <w:tcW w:w="1568" w:type="dxa"/>
            <w:vMerge/>
          </w:tcPr>
          <w:p w14:paraId="36BAD7A6" w14:textId="77777777" w:rsidR="0055515A" w:rsidRPr="00691C2D" w:rsidRDefault="0055515A" w:rsidP="0055515A">
            <w:pPr>
              <w:jc w:val="center"/>
              <w:rPr>
                <w:rFonts w:ascii="Times New Roman" w:eastAsia="Times New Roman" w:hAnsi="Times New Roman" w:cs="Times New Roman"/>
                <w:lang w:eastAsia="tr-TR"/>
              </w:rPr>
            </w:pPr>
          </w:p>
        </w:tc>
      </w:tr>
      <w:tr w:rsidR="0055515A" w:rsidRPr="00691C2D" w14:paraId="4A8BFCD7" w14:textId="77777777" w:rsidTr="0082590D">
        <w:trPr>
          <w:trHeight w:val="240"/>
        </w:trPr>
        <w:tc>
          <w:tcPr>
            <w:tcW w:w="2405" w:type="dxa"/>
            <w:gridSpan w:val="2"/>
          </w:tcPr>
          <w:p w14:paraId="609D82F8"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Hidrokarbon yağ endeksi (HOI) </w:t>
            </w:r>
          </w:p>
        </w:tc>
        <w:tc>
          <w:tcPr>
            <w:tcW w:w="1662" w:type="dxa"/>
          </w:tcPr>
          <w:p w14:paraId="15B65517"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EN ISO 9377-2</w:t>
            </w:r>
          </w:p>
        </w:tc>
        <w:tc>
          <w:tcPr>
            <w:tcW w:w="1771" w:type="dxa"/>
          </w:tcPr>
          <w:p w14:paraId="0EEB038A"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 faaliyetler/süreçler</w:t>
            </w:r>
          </w:p>
        </w:tc>
        <w:tc>
          <w:tcPr>
            <w:tcW w:w="1652" w:type="dxa"/>
          </w:tcPr>
          <w:p w14:paraId="68F370BD"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Ayda 3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3</w:t>
            </w:r>
            <w:r w:rsidRPr="00691C2D">
              <w:rPr>
                <w:rFonts w:ascii="Times New Roman" w:eastAsia="Times New Roman" w:hAnsi="Times New Roman" w:cs="Times New Roman"/>
                <w:color w:val="000000"/>
                <w:lang w:eastAsia="tr-TR"/>
              </w:rPr>
              <w:t>)</w:t>
            </w:r>
          </w:p>
        </w:tc>
        <w:tc>
          <w:tcPr>
            <w:tcW w:w="1568" w:type="dxa"/>
            <w:vMerge/>
          </w:tcPr>
          <w:p w14:paraId="5E38F7EC" w14:textId="77777777" w:rsidR="0055515A" w:rsidRPr="00691C2D" w:rsidRDefault="0055515A" w:rsidP="0055515A">
            <w:pPr>
              <w:jc w:val="center"/>
              <w:rPr>
                <w:rFonts w:ascii="Times New Roman" w:eastAsia="Times New Roman" w:hAnsi="Times New Roman" w:cs="Times New Roman"/>
                <w:lang w:eastAsia="tr-TR"/>
              </w:rPr>
            </w:pPr>
          </w:p>
        </w:tc>
      </w:tr>
      <w:tr w:rsidR="0055515A" w:rsidRPr="00691C2D" w14:paraId="346BA9AB" w14:textId="77777777" w:rsidTr="0082590D">
        <w:trPr>
          <w:trHeight w:val="887"/>
        </w:trPr>
        <w:tc>
          <w:tcPr>
            <w:tcW w:w="1170" w:type="dxa"/>
            <w:vMerge w:val="restart"/>
          </w:tcPr>
          <w:p w14:paraId="776F915A"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Metaller/ metaloidler</w:t>
            </w:r>
          </w:p>
        </w:tc>
        <w:tc>
          <w:tcPr>
            <w:tcW w:w="1235" w:type="dxa"/>
            <w:vMerge w:val="restart"/>
          </w:tcPr>
          <w:p w14:paraId="0E283451"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Antimon (Sb)</w:t>
            </w:r>
          </w:p>
        </w:tc>
        <w:tc>
          <w:tcPr>
            <w:tcW w:w="1662" w:type="dxa"/>
            <w:vMerge w:val="restart"/>
          </w:tcPr>
          <w:p w14:paraId="376BBC67"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Çeşitli EN standartları mevcuttur (örn. TS EN ISO 11885, TS EN ISO 17294-2)</w:t>
            </w:r>
          </w:p>
        </w:tc>
        <w:tc>
          <w:tcPr>
            <w:tcW w:w="1771" w:type="dxa"/>
          </w:tcPr>
          <w:p w14:paraId="3B277F01"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Polyester tekstil malzemelerinin ön işlemden geçirilmesi ve/veya boyanması</w:t>
            </w:r>
          </w:p>
        </w:tc>
        <w:tc>
          <w:tcPr>
            <w:tcW w:w="1652" w:type="dxa"/>
            <w:vMerge w:val="restart"/>
          </w:tcPr>
          <w:p w14:paraId="75401D0E"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Ayda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2</w:t>
            </w:r>
            <w:r w:rsidRPr="00691C2D">
              <w:rPr>
                <w:rFonts w:ascii="Times New Roman" w:eastAsia="Times New Roman" w:hAnsi="Times New Roman" w:cs="Times New Roman"/>
                <w:color w:val="000000"/>
                <w:lang w:eastAsia="tr-TR"/>
              </w:rPr>
              <w:t>)</w:t>
            </w:r>
          </w:p>
        </w:tc>
        <w:tc>
          <w:tcPr>
            <w:tcW w:w="1568" w:type="dxa"/>
            <w:vMerge/>
          </w:tcPr>
          <w:p w14:paraId="37A79E2B"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73714FF8" w14:textId="77777777" w:rsidTr="0082590D">
        <w:trPr>
          <w:trHeight w:val="887"/>
        </w:trPr>
        <w:tc>
          <w:tcPr>
            <w:tcW w:w="1170" w:type="dxa"/>
            <w:vMerge/>
          </w:tcPr>
          <w:p w14:paraId="2158DAFE"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68D5FBE4"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tcPr>
          <w:p w14:paraId="742D4DD0" w14:textId="77777777" w:rsidR="0055515A" w:rsidRPr="00691C2D" w:rsidRDefault="0055515A" w:rsidP="0055515A">
            <w:pPr>
              <w:jc w:val="center"/>
              <w:rPr>
                <w:rFonts w:ascii="Times New Roman" w:eastAsia="Times New Roman" w:hAnsi="Times New Roman" w:cs="Times New Roman"/>
                <w:lang w:eastAsia="tr-TR"/>
              </w:rPr>
            </w:pPr>
          </w:p>
        </w:tc>
        <w:tc>
          <w:tcPr>
            <w:tcW w:w="1771" w:type="dxa"/>
          </w:tcPr>
          <w:p w14:paraId="090F2BA9"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Antimon trioksit kullanılarak alev geciktiricilerle kaplama</w:t>
            </w:r>
          </w:p>
        </w:tc>
        <w:tc>
          <w:tcPr>
            <w:tcW w:w="1652" w:type="dxa"/>
            <w:vMerge/>
          </w:tcPr>
          <w:p w14:paraId="260AB90E"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046A0C95"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1E6F3458" w14:textId="77777777" w:rsidTr="0082590D">
        <w:trPr>
          <w:trHeight w:val="240"/>
        </w:trPr>
        <w:tc>
          <w:tcPr>
            <w:tcW w:w="1170" w:type="dxa"/>
            <w:vMerge/>
          </w:tcPr>
          <w:p w14:paraId="5D15E4DD"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2BF9D139"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Krom (Cr)</w:t>
            </w:r>
          </w:p>
        </w:tc>
        <w:tc>
          <w:tcPr>
            <w:tcW w:w="1662" w:type="dxa"/>
            <w:vMerge/>
          </w:tcPr>
          <w:p w14:paraId="29DC3081" w14:textId="77777777" w:rsidR="0055515A" w:rsidRPr="00691C2D" w:rsidRDefault="0055515A" w:rsidP="0055515A">
            <w:pPr>
              <w:jc w:val="center"/>
              <w:rPr>
                <w:rFonts w:ascii="Times New Roman" w:eastAsia="Times New Roman" w:hAnsi="Times New Roman" w:cs="Times New Roman"/>
                <w:lang w:eastAsia="tr-TR"/>
              </w:rPr>
            </w:pPr>
          </w:p>
        </w:tc>
        <w:tc>
          <w:tcPr>
            <w:tcW w:w="1771" w:type="dxa"/>
          </w:tcPr>
          <w:p w14:paraId="7F3D928F"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Krom mordan veya krom içeren boyalar (örn. metal kompleks boyalar) ile boyama</w:t>
            </w:r>
          </w:p>
        </w:tc>
        <w:tc>
          <w:tcPr>
            <w:tcW w:w="1652" w:type="dxa"/>
            <w:vMerge/>
          </w:tcPr>
          <w:p w14:paraId="782C8603"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5F1E09EA"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6DFFAF98" w14:textId="77777777" w:rsidTr="0082590D">
        <w:trPr>
          <w:trHeight w:val="240"/>
        </w:trPr>
        <w:tc>
          <w:tcPr>
            <w:tcW w:w="1170" w:type="dxa"/>
            <w:vMerge/>
          </w:tcPr>
          <w:p w14:paraId="2B37E1BF"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19DC24B2"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Bakır (Cu)</w:t>
            </w:r>
          </w:p>
        </w:tc>
        <w:tc>
          <w:tcPr>
            <w:tcW w:w="1662" w:type="dxa"/>
            <w:vMerge/>
          </w:tcPr>
          <w:p w14:paraId="2D787F02"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val="restart"/>
          </w:tcPr>
          <w:p w14:paraId="02AD2800"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Boyama Boyaları ile baskı</w:t>
            </w:r>
          </w:p>
        </w:tc>
        <w:tc>
          <w:tcPr>
            <w:tcW w:w="1652" w:type="dxa"/>
            <w:vMerge/>
          </w:tcPr>
          <w:p w14:paraId="47E44B49"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1C290DB6"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48F8E8AC" w14:textId="77777777" w:rsidTr="0082590D">
        <w:trPr>
          <w:trHeight w:val="240"/>
        </w:trPr>
        <w:tc>
          <w:tcPr>
            <w:tcW w:w="1170" w:type="dxa"/>
            <w:vMerge/>
          </w:tcPr>
          <w:p w14:paraId="05004811"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76D972BD"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Nikel (Ni)</w:t>
            </w:r>
          </w:p>
        </w:tc>
        <w:tc>
          <w:tcPr>
            <w:tcW w:w="1662" w:type="dxa"/>
            <w:vMerge/>
          </w:tcPr>
          <w:p w14:paraId="0F13B034"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015B71F8"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2C2FD79D"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426F756F"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3AF9B332" w14:textId="77777777" w:rsidTr="0082590D">
        <w:trPr>
          <w:trHeight w:val="240"/>
        </w:trPr>
        <w:tc>
          <w:tcPr>
            <w:tcW w:w="1170" w:type="dxa"/>
            <w:vMerge/>
          </w:tcPr>
          <w:p w14:paraId="1002D944"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5855C3D1"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Çinko (Zn)</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1</w:t>
            </w:r>
            <w:r w:rsidRPr="00691C2D">
              <w:rPr>
                <w:rFonts w:ascii="Times New Roman" w:eastAsia="Times New Roman" w:hAnsi="Times New Roman" w:cs="Times New Roman"/>
                <w:color w:val="000000"/>
                <w:lang w:eastAsia="tr-TR"/>
              </w:rPr>
              <w:t>)</w:t>
            </w:r>
          </w:p>
        </w:tc>
        <w:tc>
          <w:tcPr>
            <w:tcW w:w="1662" w:type="dxa"/>
            <w:vMerge/>
          </w:tcPr>
          <w:p w14:paraId="6D461904" w14:textId="77777777" w:rsidR="0055515A" w:rsidRPr="00691C2D" w:rsidRDefault="0055515A" w:rsidP="0055515A">
            <w:pPr>
              <w:jc w:val="center"/>
              <w:rPr>
                <w:rFonts w:ascii="Times New Roman" w:eastAsia="Times New Roman" w:hAnsi="Times New Roman" w:cs="Times New Roman"/>
                <w:lang w:eastAsia="tr-TR"/>
              </w:rPr>
            </w:pPr>
          </w:p>
        </w:tc>
        <w:tc>
          <w:tcPr>
            <w:tcW w:w="1771" w:type="dxa"/>
          </w:tcPr>
          <w:p w14:paraId="353AA477"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 faaliyetler/süreçler</w:t>
            </w:r>
          </w:p>
        </w:tc>
        <w:tc>
          <w:tcPr>
            <w:tcW w:w="1652" w:type="dxa"/>
            <w:vMerge/>
          </w:tcPr>
          <w:p w14:paraId="25C4465E"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75CC5585"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3EB5A47F" w14:textId="77777777" w:rsidTr="0082590D">
        <w:trPr>
          <w:trHeight w:val="240"/>
        </w:trPr>
        <w:tc>
          <w:tcPr>
            <w:tcW w:w="2405" w:type="dxa"/>
            <w:gridSpan w:val="2"/>
          </w:tcPr>
          <w:p w14:paraId="185C63F3"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Pestisitler</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1</w:t>
            </w:r>
            <w:r w:rsidRPr="00691C2D">
              <w:rPr>
                <w:rFonts w:ascii="Times New Roman" w:eastAsia="Times New Roman" w:hAnsi="Times New Roman" w:cs="Times New Roman"/>
                <w:color w:val="000000"/>
                <w:lang w:eastAsia="tr-TR"/>
              </w:rPr>
              <w:t>)</w:t>
            </w:r>
          </w:p>
        </w:tc>
        <w:tc>
          <w:tcPr>
            <w:tcW w:w="1662" w:type="dxa"/>
          </w:tcPr>
          <w:p w14:paraId="2B733280"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Bazı pestisitler için EN standartları mevcuttur (örn. TS 12918)</w:t>
            </w:r>
          </w:p>
        </w:tc>
        <w:tc>
          <w:tcPr>
            <w:tcW w:w="1771" w:type="dxa"/>
          </w:tcPr>
          <w:p w14:paraId="7D652E70"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Ham yün liflerinin ovma ile ön işlemi</w:t>
            </w:r>
          </w:p>
        </w:tc>
        <w:tc>
          <w:tcPr>
            <w:tcW w:w="1652" w:type="dxa"/>
          </w:tcPr>
          <w:p w14:paraId="2DB38C01"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Atık su karakterizasyonundan sonra karar verilecek</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8</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lang w:eastAsia="tr-TR"/>
              </w:rPr>
              <w:t xml:space="preserve"> </w:t>
            </w:r>
          </w:p>
        </w:tc>
        <w:tc>
          <w:tcPr>
            <w:tcW w:w="1568" w:type="dxa"/>
            <w:vMerge/>
          </w:tcPr>
          <w:p w14:paraId="5C0ECC04"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63E63360" w14:textId="77777777" w:rsidTr="0082590D">
        <w:trPr>
          <w:trHeight w:val="240"/>
        </w:trPr>
        <w:tc>
          <w:tcPr>
            <w:tcW w:w="2405" w:type="dxa"/>
            <w:gridSpan w:val="2"/>
          </w:tcPr>
          <w:p w14:paraId="59747D51" w14:textId="77777777" w:rsidR="0055515A" w:rsidRPr="00691C2D" w:rsidRDefault="0055515A" w:rsidP="0055515A">
            <w:pPr>
              <w:jc w:val="center"/>
              <w:rPr>
                <w:rFonts w:ascii="Times New Roman" w:eastAsia="Times New Roman" w:hAnsi="Times New Roman" w:cs="Times New Roman"/>
                <w:lang w:eastAsia="tr-TR"/>
              </w:rPr>
            </w:pPr>
          </w:p>
          <w:p w14:paraId="64F87CD1"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Perfloroalkil ve polifloroalkil maddeler (PFAS)</w:t>
            </w:r>
          </w:p>
          <w:p w14:paraId="2BD94973" w14:textId="77777777" w:rsidR="0055515A" w:rsidRPr="00691C2D" w:rsidRDefault="0055515A" w:rsidP="0055515A">
            <w:pPr>
              <w:jc w:val="center"/>
              <w:rPr>
                <w:rFonts w:ascii="Times New Roman" w:eastAsia="Times New Roman" w:hAnsi="Times New Roman" w:cs="Times New Roman"/>
                <w:lang w:eastAsia="tr-TR"/>
              </w:rPr>
            </w:pPr>
          </w:p>
        </w:tc>
        <w:tc>
          <w:tcPr>
            <w:tcW w:w="1662" w:type="dxa"/>
          </w:tcPr>
          <w:p w14:paraId="49E38D5B"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lastRenderedPageBreak/>
              <w:t>Mevcut EN standardı yok</w:t>
            </w:r>
          </w:p>
        </w:tc>
        <w:tc>
          <w:tcPr>
            <w:tcW w:w="1771" w:type="dxa"/>
          </w:tcPr>
          <w:p w14:paraId="39B2A7F6"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 faaliyetler/süreçler</w:t>
            </w:r>
          </w:p>
        </w:tc>
        <w:tc>
          <w:tcPr>
            <w:tcW w:w="1652" w:type="dxa"/>
          </w:tcPr>
          <w:p w14:paraId="15E26249"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3 ayda bir</w:t>
            </w:r>
          </w:p>
        </w:tc>
        <w:tc>
          <w:tcPr>
            <w:tcW w:w="1568" w:type="dxa"/>
            <w:vMerge/>
          </w:tcPr>
          <w:p w14:paraId="28E13CCC"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768EE5BA" w14:textId="77777777" w:rsidTr="0082590D">
        <w:trPr>
          <w:trHeight w:val="240"/>
        </w:trPr>
        <w:tc>
          <w:tcPr>
            <w:tcW w:w="2405" w:type="dxa"/>
            <w:gridSpan w:val="2"/>
          </w:tcPr>
          <w:p w14:paraId="114DDED7" w14:textId="77777777" w:rsidR="0055515A" w:rsidRPr="00691C2D" w:rsidRDefault="0055515A" w:rsidP="0055515A">
            <w:pPr>
              <w:jc w:val="center"/>
              <w:rPr>
                <w:rFonts w:ascii="Times New Roman" w:eastAsia="Times New Roman" w:hAnsi="Times New Roman" w:cs="Times New Roman"/>
                <w:lang w:eastAsia="tr-TR"/>
              </w:rPr>
            </w:pPr>
          </w:p>
          <w:p w14:paraId="736AA655"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Sülfür, kolayca salınır (S</w:t>
            </w:r>
            <w:r w:rsidRPr="00691C2D">
              <w:rPr>
                <w:rFonts w:ascii="Times New Roman" w:eastAsia="Times New Roman" w:hAnsi="Times New Roman" w:cs="Times New Roman"/>
                <w:vertAlign w:val="superscript"/>
                <w:lang w:eastAsia="tr-TR"/>
              </w:rPr>
              <w:t>2-)</w:t>
            </w:r>
          </w:p>
          <w:p w14:paraId="5D7C0EFA" w14:textId="77777777" w:rsidR="0055515A" w:rsidRPr="00691C2D" w:rsidRDefault="0055515A" w:rsidP="0055515A">
            <w:pPr>
              <w:jc w:val="center"/>
              <w:rPr>
                <w:rFonts w:ascii="Times New Roman" w:eastAsia="Times New Roman" w:hAnsi="Times New Roman" w:cs="Times New Roman"/>
                <w:lang w:eastAsia="tr-TR"/>
              </w:rPr>
            </w:pPr>
          </w:p>
        </w:tc>
        <w:tc>
          <w:tcPr>
            <w:tcW w:w="1662" w:type="dxa"/>
          </w:tcPr>
          <w:p w14:paraId="7B576FA6"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Mevcut EN standardı yok</w:t>
            </w:r>
          </w:p>
        </w:tc>
        <w:tc>
          <w:tcPr>
            <w:tcW w:w="1771" w:type="dxa"/>
          </w:tcPr>
          <w:p w14:paraId="6463238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Sülfür boyaları ile boyama</w:t>
            </w:r>
          </w:p>
        </w:tc>
        <w:tc>
          <w:tcPr>
            <w:tcW w:w="1652" w:type="dxa"/>
          </w:tcPr>
          <w:p w14:paraId="4A578F98"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Her hafta veya her ay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2</w:t>
            </w:r>
            <w:r w:rsidRPr="00691C2D">
              <w:rPr>
                <w:rFonts w:ascii="Times New Roman" w:eastAsia="Times New Roman" w:hAnsi="Times New Roman" w:cs="Times New Roman"/>
                <w:color w:val="000000"/>
                <w:lang w:eastAsia="tr-TR"/>
              </w:rPr>
              <w:t>)</w:t>
            </w:r>
          </w:p>
        </w:tc>
        <w:tc>
          <w:tcPr>
            <w:tcW w:w="1568" w:type="dxa"/>
            <w:vMerge/>
          </w:tcPr>
          <w:p w14:paraId="1C2C9CFA"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66FEFC34" w14:textId="77777777" w:rsidTr="0082590D">
        <w:trPr>
          <w:trHeight w:val="276"/>
        </w:trPr>
        <w:tc>
          <w:tcPr>
            <w:tcW w:w="1170" w:type="dxa"/>
            <w:vMerge w:val="restart"/>
          </w:tcPr>
          <w:p w14:paraId="631018A3"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Yüzey Aktif Maddeler</w:t>
            </w:r>
          </w:p>
        </w:tc>
        <w:tc>
          <w:tcPr>
            <w:tcW w:w="1235" w:type="dxa"/>
            <w:vMerge w:val="restart"/>
          </w:tcPr>
          <w:p w14:paraId="7B8E2005"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Alkilfenoller ve alkilfenol etoksilatlar </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1</w:t>
            </w:r>
            <w:r w:rsidRPr="00691C2D">
              <w:rPr>
                <w:rFonts w:ascii="Times New Roman" w:eastAsia="Times New Roman" w:hAnsi="Times New Roman" w:cs="Times New Roman"/>
                <w:color w:val="000000"/>
                <w:lang w:eastAsia="tr-TR"/>
              </w:rPr>
              <w:t>)</w:t>
            </w:r>
          </w:p>
        </w:tc>
        <w:tc>
          <w:tcPr>
            <w:tcW w:w="1662" w:type="dxa"/>
            <w:vMerge w:val="restart"/>
          </w:tcPr>
          <w:p w14:paraId="166F54DB"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Alkilfenoller ve alkilfenol etoksilatlar gibi bazı iyonik olmayan yüzey aktif maddeler için EN standartları mevcuttur </w:t>
            </w:r>
          </w:p>
        </w:tc>
        <w:tc>
          <w:tcPr>
            <w:tcW w:w="1771" w:type="dxa"/>
            <w:vMerge w:val="restart"/>
          </w:tcPr>
          <w:p w14:paraId="481724E8"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Tüm faaliyetler/süreçler</w:t>
            </w:r>
          </w:p>
        </w:tc>
        <w:tc>
          <w:tcPr>
            <w:tcW w:w="1652" w:type="dxa"/>
            <w:vMerge w:val="restart"/>
          </w:tcPr>
          <w:p w14:paraId="3AEFBFD5"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Her gün bir kez </w:t>
            </w:r>
          </w:p>
        </w:tc>
        <w:tc>
          <w:tcPr>
            <w:tcW w:w="1568" w:type="dxa"/>
            <w:vMerge/>
          </w:tcPr>
          <w:p w14:paraId="1A9F2945"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0E9EE0D1" w14:textId="77777777" w:rsidTr="0082590D">
        <w:trPr>
          <w:trHeight w:val="276"/>
        </w:trPr>
        <w:tc>
          <w:tcPr>
            <w:tcW w:w="1170" w:type="dxa"/>
            <w:vMerge/>
          </w:tcPr>
          <w:p w14:paraId="5F1E434F"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27092789"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tcPr>
          <w:p w14:paraId="253E7396"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67E4F989"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5645F7E0"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554336EC"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59CB88EF" w14:textId="77777777" w:rsidTr="0082590D">
        <w:trPr>
          <w:trHeight w:val="276"/>
        </w:trPr>
        <w:tc>
          <w:tcPr>
            <w:tcW w:w="1170" w:type="dxa"/>
            <w:vMerge/>
          </w:tcPr>
          <w:p w14:paraId="002366AE"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6926CFE4"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tcPr>
          <w:p w14:paraId="11023DE4"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1E0D1073"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763CBD3A"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133455C8"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29AF9313" w14:textId="77777777" w:rsidTr="0082590D">
        <w:trPr>
          <w:trHeight w:val="338"/>
        </w:trPr>
        <w:tc>
          <w:tcPr>
            <w:tcW w:w="1170" w:type="dxa"/>
            <w:vMerge/>
          </w:tcPr>
          <w:p w14:paraId="70512A43"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val="restart"/>
          </w:tcPr>
          <w:p w14:paraId="74CF4CB0"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Diğer yüzey aktif maddeler</w:t>
            </w:r>
          </w:p>
        </w:tc>
        <w:tc>
          <w:tcPr>
            <w:tcW w:w="1662" w:type="dxa"/>
            <w:vMerge w:val="restart"/>
          </w:tcPr>
          <w:p w14:paraId="4FBE01FC" w14:textId="77777777" w:rsidR="0055515A" w:rsidRPr="00691C2D" w:rsidRDefault="0055515A" w:rsidP="0055515A">
            <w:pPr>
              <w:spacing w:after="120"/>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Anyonik yüzey aktif maddeler için TS 6550 EN 903</w:t>
            </w:r>
          </w:p>
        </w:tc>
        <w:tc>
          <w:tcPr>
            <w:tcW w:w="1771" w:type="dxa"/>
            <w:vMerge/>
          </w:tcPr>
          <w:p w14:paraId="475EF8BD"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21793C7C"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43122203"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5BA2504E" w14:textId="77777777" w:rsidTr="0082590D">
        <w:trPr>
          <w:trHeight w:val="338"/>
        </w:trPr>
        <w:tc>
          <w:tcPr>
            <w:tcW w:w="1170" w:type="dxa"/>
            <w:vMerge/>
          </w:tcPr>
          <w:p w14:paraId="4FAA0C67"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49AAB6B7"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tcPr>
          <w:p w14:paraId="35306884"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1D266839"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65790522"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6EC6CC8E"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067881DE" w14:textId="77777777" w:rsidTr="0082590D">
        <w:trPr>
          <w:trHeight w:val="276"/>
        </w:trPr>
        <w:tc>
          <w:tcPr>
            <w:tcW w:w="1170" w:type="dxa"/>
            <w:vMerge/>
          </w:tcPr>
          <w:p w14:paraId="7CEFAFC0"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12365CC7"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tcPr>
          <w:p w14:paraId="4A91F3DE"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5C45609E"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6C98667C"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2DA0A220"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705B0FCB" w14:textId="77777777" w:rsidTr="0082590D">
        <w:trPr>
          <w:trHeight w:val="276"/>
        </w:trPr>
        <w:tc>
          <w:tcPr>
            <w:tcW w:w="1170" w:type="dxa"/>
            <w:vMerge/>
          </w:tcPr>
          <w:p w14:paraId="581AC5C3"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1621B8D0"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val="restart"/>
          </w:tcPr>
          <w:p w14:paraId="26BBB76A"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Katyonik yüzey aktif maddeler için EN standardı </w:t>
            </w:r>
          </w:p>
          <w:p w14:paraId="0A782BA9" w14:textId="77777777" w:rsidR="0055515A" w:rsidRPr="00691C2D" w:rsidRDefault="0055515A" w:rsidP="0055515A">
            <w:pP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mevcut değildir</w:t>
            </w:r>
          </w:p>
        </w:tc>
        <w:tc>
          <w:tcPr>
            <w:tcW w:w="1771" w:type="dxa"/>
            <w:vMerge/>
          </w:tcPr>
          <w:p w14:paraId="3F2FB72E"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24932FD0"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3D9DF8B5"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3A5B61A1" w14:textId="77777777" w:rsidTr="0082590D">
        <w:trPr>
          <w:trHeight w:val="1950"/>
        </w:trPr>
        <w:tc>
          <w:tcPr>
            <w:tcW w:w="1170" w:type="dxa"/>
            <w:vMerge/>
          </w:tcPr>
          <w:p w14:paraId="7079C8FE"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0B20A7FF"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tcPr>
          <w:p w14:paraId="7ED98E84" w14:textId="77777777" w:rsidR="0055515A" w:rsidRPr="00691C2D" w:rsidRDefault="0055515A" w:rsidP="0055515A">
            <w:pPr>
              <w:jc w:val="center"/>
              <w:rPr>
                <w:rFonts w:ascii="Times New Roman" w:eastAsia="Times New Roman" w:hAnsi="Times New Roman" w:cs="Times New Roman"/>
                <w:highlight w:val="yellow"/>
                <w:lang w:eastAsia="tr-TR"/>
              </w:rPr>
            </w:pPr>
          </w:p>
        </w:tc>
        <w:tc>
          <w:tcPr>
            <w:tcW w:w="1771" w:type="dxa"/>
            <w:vMerge/>
          </w:tcPr>
          <w:p w14:paraId="7B3D5696"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7B2FA369"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6D9CFB23"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57E5AF73" w14:textId="77777777" w:rsidTr="0082590D">
        <w:trPr>
          <w:trHeight w:val="276"/>
        </w:trPr>
        <w:tc>
          <w:tcPr>
            <w:tcW w:w="1170" w:type="dxa"/>
            <w:vMerge/>
          </w:tcPr>
          <w:p w14:paraId="5EBD3753" w14:textId="77777777" w:rsidR="0055515A" w:rsidRPr="00691C2D" w:rsidRDefault="0055515A" w:rsidP="0055515A">
            <w:pPr>
              <w:jc w:val="center"/>
              <w:rPr>
                <w:rFonts w:ascii="Times New Roman" w:eastAsia="Times New Roman" w:hAnsi="Times New Roman" w:cs="Times New Roman"/>
                <w:lang w:eastAsia="tr-TR"/>
              </w:rPr>
            </w:pPr>
          </w:p>
        </w:tc>
        <w:tc>
          <w:tcPr>
            <w:tcW w:w="1235" w:type="dxa"/>
            <w:vMerge/>
          </w:tcPr>
          <w:p w14:paraId="1C006331" w14:textId="77777777" w:rsidR="0055515A" w:rsidRPr="00691C2D" w:rsidRDefault="0055515A" w:rsidP="0055515A">
            <w:pPr>
              <w:jc w:val="center"/>
              <w:rPr>
                <w:rFonts w:ascii="Times New Roman" w:eastAsia="Times New Roman" w:hAnsi="Times New Roman" w:cs="Times New Roman"/>
                <w:lang w:eastAsia="tr-TR"/>
              </w:rPr>
            </w:pPr>
          </w:p>
        </w:tc>
        <w:tc>
          <w:tcPr>
            <w:tcW w:w="1662" w:type="dxa"/>
            <w:vMerge w:val="restart"/>
          </w:tcPr>
          <w:p w14:paraId="55EA01D3"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çeşitli EN standartları mevcuttur (örn. TS EN 12260, TS EN ISO 11905-1)</w:t>
            </w:r>
          </w:p>
        </w:tc>
        <w:tc>
          <w:tcPr>
            <w:tcW w:w="1771" w:type="dxa"/>
            <w:vMerge/>
          </w:tcPr>
          <w:p w14:paraId="0D54F03F"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0E914647"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7641DDC4"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3221CBD4" w14:textId="77777777" w:rsidTr="0082590D">
        <w:trPr>
          <w:trHeight w:val="240"/>
        </w:trPr>
        <w:tc>
          <w:tcPr>
            <w:tcW w:w="2405" w:type="dxa"/>
            <w:gridSpan w:val="2"/>
          </w:tcPr>
          <w:p w14:paraId="2188A360"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Toplam azot (TN)</w:t>
            </w:r>
          </w:p>
        </w:tc>
        <w:tc>
          <w:tcPr>
            <w:tcW w:w="1662" w:type="dxa"/>
            <w:vMerge/>
          </w:tcPr>
          <w:p w14:paraId="11F05020"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4B3EA295" w14:textId="77777777" w:rsidR="0055515A" w:rsidRPr="00691C2D" w:rsidRDefault="0055515A" w:rsidP="0055515A">
            <w:pPr>
              <w:jc w:val="center"/>
              <w:rPr>
                <w:rFonts w:ascii="Times New Roman" w:eastAsia="Times New Roman" w:hAnsi="Times New Roman" w:cs="Times New Roman"/>
                <w:lang w:eastAsia="tr-TR"/>
              </w:rPr>
            </w:pPr>
          </w:p>
        </w:tc>
        <w:tc>
          <w:tcPr>
            <w:tcW w:w="1652" w:type="dxa"/>
          </w:tcPr>
          <w:p w14:paraId="3CF0087E"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Her gün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5</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6</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lang w:eastAsia="tr-TR"/>
              </w:rPr>
              <w:t xml:space="preserve"> </w:t>
            </w:r>
          </w:p>
        </w:tc>
        <w:tc>
          <w:tcPr>
            <w:tcW w:w="1568" w:type="dxa"/>
            <w:vMerge/>
          </w:tcPr>
          <w:p w14:paraId="5F82A5DC"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3F7B4FFA" w14:textId="77777777" w:rsidTr="0082590D">
        <w:trPr>
          <w:trHeight w:val="240"/>
        </w:trPr>
        <w:tc>
          <w:tcPr>
            <w:tcW w:w="2405" w:type="dxa"/>
            <w:gridSpan w:val="2"/>
          </w:tcPr>
          <w:p w14:paraId="559554DD"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Toplam organik karbon (</w:t>
            </w:r>
            <w:r w:rsidR="009D570E" w:rsidRPr="00691C2D">
              <w:rPr>
                <w:rFonts w:ascii="Times New Roman" w:eastAsia="Times New Roman" w:hAnsi="Times New Roman" w:cs="Times New Roman"/>
                <w:lang w:eastAsia="tr-TR"/>
              </w:rPr>
              <w:t>TOK</w:t>
            </w:r>
            <w:r w:rsidRPr="00691C2D">
              <w:rPr>
                <w:rFonts w:ascii="Times New Roman" w:eastAsia="Times New Roman" w:hAnsi="Times New Roman" w:cs="Times New Roman"/>
                <w:lang w:eastAsia="tr-TR"/>
              </w:rPr>
              <w:t xml:space="preserve">) </w:t>
            </w:r>
          </w:p>
        </w:tc>
        <w:tc>
          <w:tcPr>
            <w:tcW w:w="1662" w:type="dxa"/>
          </w:tcPr>
          <w:p w14:paraId="5CE57BC0"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8195 EN 1484</w:t>
            </w:r>
          </w:p>
        </w:tc>
        <w:tc>
          <w:tcPr>
            <w:tcW w:w="1771" w:type="dxa"/>
            <w:vMerge/>
          </w:tcPr>
          <w:p w14:paraId="6AC949F1" w14:textId="77777777" w:rsidR="0055515A" w:rsidRPr="00691C2D" w:rsidRDefault="0055515A" w:rsidP="0055515A">
            <w:pPr>
              <w:jc w:val="center"/>
              <w:rPr>
                <w:rFonts w:ascii="Times New Roman" w:eastAsia="Times New Roman" w:hAnsi="Times New Roman" w:cs="Times New Roman"/>
                <w:lang w:eastAsia="tr-TR"/>
              </w:rPr>
            </w:pPr>
          </w:p>
        </w:tc>
        <w:tc>
          <w:tcPr>
            <w:tcW w:w="1652" w:type="dxa"/>
          </w:tcPr>
          <w:p w14:paraId="4726908C"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Her gün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5</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6</w:t>
            </w:r>
            <w:r w:rsidRPr="00691C2D">
              <w:rPr>
                <w:rFonts w:ascii="Times New Roman" w:eastAsia="Times New Roman" w:hAnsi="Times New Roman" w:cs="Times New Roman"/>
                <w:color w:val="000000"/>
                <w:lang w:eastAsia="tr-TR"/>
              </w:rPr>
              <w:t>)</w:t>
            </w:r>
          </w:p>
        </w:tc>
        <w:tc>
          <w:tcPr>
            <w:tcW w:w="1568" w:type="dxa"/>
            <w:vMerge/>
          </w:tcPr>
          <w:p w14:paraId="2D841736"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1A94EDED" w14:textId="77777777" w:rsidTr="0082590D">
        <w:trPr>
          <w:trHeight w:val="240"/>
        </w:trPr>
        <w:tc>
          <w:tcPr>
            <w:tcW w:w="2405" w:type="dxa"/>
            <w:gridSpan w:val="2"/>
          </w:tcPr>
          <w:p w14:paraId="78B81018"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Toplam fosfor (TP)</w:t>
            </w:r>
          </w:p>
        </w:tc>
        <w:tc>
          <w:tcPr>
            <w:tcW w:w="1662" w:type="dxa"/>
          </w:tcPr>
          <w:p w14:paraId="484E6699"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Çeşitli EN standartları mevcuttur (örn. TS EN ISO 6878, TS EN ISO 15681-1, TS EN ISO 11885)</w:t>
            </w:r>
          </w:p>
        </w:tc>
        <w:tc>
          <w:tcPr>
            <w:tcW w:w="1771" w:type="dxa"/>
            <w:vMerge/>
          </w:tcPr>
          <w:p w14:paraId="02C2DB6B" w14:textId="77777777" w:rsidR="0055515A" w:rsidRPr="00691C2D" w:rsidRDefault="0055515A" w:rsidP="0055515A">
            <w:pPr>
              <w:jc w:val="center"/>
              <w:rPr>
                <w:rFonts w:ascii="Times New Roman" w:eastAsia="Times New Roman" w:hAnsi="Times New Roman" w:cs="Times New Roman"/>
                <w:lang w:eastAsia="tr-TR"/>
              </w:rPr>
            </w:pPr>
          </w:p>
        </w:tc>
        <w:tc>
          <w:tcPr>
            <w:tcW w:w="1652" w:type="dxa"/>
          </w:tcPr>
          <w:p w14:paraId="08685790"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Her gün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5</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6</w:t>
            </w:r>
            <w:r w:rsidRPr="00691C2D">
              <w:rPr>
                <w:rFonts w:ascii="Times New Roman" w:eastAsia="Times New Roman" w:hAnsi="Times New Roman" w:cs="Times New Roman"/>
                <w:color w:val="000000"/>
                <w:lang w:eastAsia="tr-TR"/>
              </w:rPr>
              <w:t>)</w:t>
            </w:r>
          </w:p>
        </w:tc>
        <w:tc>
          <w:tcPr>
            <w:tcW w:w="1568" w:type="dxa"/>
            <w:vMerge/>
          </w:tcPr>
          <w:p w14:paraId="25F3F1EE"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6533081A" w14:textId="77777777" w:rsidTr="0082590D">
        <w:trPr>
          <w:trHeight w:val="240"/>
        </w:trPr>
        <w:tc>
          <w:tcPr>
            <w:tcW w:w="2405" w:type="dxa"/>
            <w:gridSpan w:val="2"/>
          </w:tcPr>
          <w:p w14:paraId="5E7869B6"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Toplam askıda katı madde (TSS)</w:t>
            </w:r>
          </w:p>
        </w:tc>
        <w:tc>
          <w:tcPr>
            <w:tcW w:w="1662" w:type="dxa"/>
          </w:tcPr>
          <w:p w14:paraId="4C7C4DAF"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EN 872</w:t>
            </w:r>
          </w:p>
        </w:tc>
        <w:tc>
          <w:tcPr>
            <w:tcW w:w="1771" w:type="dxa"/>
            <w:vMerge/>
          </w:tcPr>
          <w:p w14:paraId="57BD1D92" w14:textId="77777777" w:rsidR="0055515A" w:rsidRPr="00691C2D" w:rsidRDefault="0055515A" w:rsidP="0055515A">
            <w:pPr>
              <w:jc w:val="center"/>
              <w:rPr>
                <w:rFonts w:ascii="Times New Roman" w:eastAsia="Times New Roman" w:hAnsi="Times New Roman" w:cs="Times New Roman"/>
                <w:lang w:eastAsia="tr-TR"/>
              </w:rPr>
            </w:pPr>
          </w:p>
        </w:tc>
        <w:tc>
          <w:tcPr>
            <w:tcW w:w="1652" w:type="dxa"/>
          </w:tcPr>
          <w:p w14:paraId="0D245291"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Her gün bir kez</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5</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6</w:t>
            </w:r>
            <w:r w:rsidRPr="00691C2D">
              <w:rPr>
                <w:rFonts w:ascii="Times New Roman" w:eastAsia="Times New Roman" w:hAnsi="Times New Roman" w:cs="Times New Roman"/>
                <w:color w:val="000000"/>
                <w:lang w:eastAsia="tr-TR"/>
              </w:rPr>
              <w:t>)</w:t>
            </w:r>
          </w:p>
        </w:tc>
        <w:tc>
          <w:tcPr>
            <w:tcW w:w="1568" w:type="dxa"/>
            <w:vMerge/>
          </w:tcPr>
          <w:p w14:paraId="45804710"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08757618" w14:textId="77777777" w:rsidTr="0082590D">
        <w:trPr>
          <w:trHeight w:val="240"/>
        </w:trPr>
        <w:tc>
          <w:tcPr>
            <w:tcW w:w="1170" w:type="dxa"/>
            <w:vMerge w:val="restart"/>
          </w:tcPr>
          <w:p w14:paraId="71CABEBC"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Toksiklik </w:t>
            </w:r>
          </w:p>
        </w:tc>
        <w:tc>
          <w:tcPr>
            <w:tcW w:w="1235" w:type="dxa"/>
          </w:tcPr>
          <w:p w14:paraId="0A0424B7"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Balık yumurtası (Danio rerio)</w:t>
            </w:r>
          </w:p>
        </w:tc>
        <w:tc>
          <w:tcPr>
            <w:tcW w:w="1662" w:type="dxa"/>
          </w:tcPr>
          <w:p w14:paraId="5C01420B"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EN 15088</w:t>
            </w:r>
          </w:p>
        </w:tc>
        <w:tc>
          <w:tcPr>
            <w:tcW w:w="1771" w:type="dxa"/>
            <w:vMerge/>
          </w:tcPr>
          <w:p w14:paraId="374F775D"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val="restart"/>
          </w:tcPr>
          <w:p w14:paraId="7EA2FCAE"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Atık su karakterizasyonundan sonra bir risk değerlendirmesine dayalı olarak karar verilecektir</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color w:val="000000"/>
                <w:vertAlign w:val="superscript"/>
                <w:lang w:eastAsia="tr-TR"/>
              </w:rPr>
              <w:t>8</w:t>
            </w:r>
            <w:r w:rsidRPr="00691C2D">
              <w:rPr>
                <w:rFonts w:ascii="Times New Roman" w:eastAsia="Times New Roman" w:hAnsi="Times New Roman" w:cs="Times New Roman"/>
                <w:color w:val="000000"/>
                <w:lang w:eastAsia="tr-TR"/>
              </w:rPr>
              <w:t>)</w:t>
            </w:r>
            <w:r w:rsidRPr="00691C2D">
              <w:rPr>
                <w:rFonts w:ascii="Times New Roman" w:eastAsia="Times New Roman" w:hAnsi="Times New Roman" w:cs="Times New Roman"/>
                <w:lang w:eastAsia="tr-TR"/>
              </w:rPr>
              <w:t xml:space="preserve"> </w:t>
            </w:r>
          </w:p>
        </w:tc>
        <w:tc>
          <w:tcPr>
            <w:tcW w:w="1568" w:type="dxa"/>
            <w:vMerge/>
          </w:tcPr>
          <w:p w14:paraId="4DC48D81"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4059AC26" w14:textId="77777777" w:rsidTr="0082590D">
        <w:trPr>
          <w:trHeight w:val="240"/>
        </w:trPr>
        <w:tc>
          <w:tcPr>
            <w:tcW w:w="1170" w:type="dxa"/>
            <w:vMerge/>
          </w:tcPr>
          <w:p w14:paraId="1D401D3C"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3FAE4836"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Su piresi (Daphnia magna Straus)</w:t>
            </w:r>
          </w:p>
        </w:tc>
        <w:tc>
          <w:tcPr>
            <w:tcW w:w="1662" w:type="dxa"/>
          </w:tcPr>
          <w:p w14:paraId="1C15090D"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EN ISO 6341</w:t>
            </w:r>
          </w:p>
        </w:tc>
        <w:tc>
          <w:tcPr>
            <w:tcW w:w="1771" w:type="dxa"/>
            <w:vMerge/>
          </w:tcPr>
          <w:p w14:paraId="6E08EB7F"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673F54AE"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03A086A2"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3AE92F4E" w14:textId="77777777" w:rsidTr="0082590D">
        <w:trPr>
          <w:trHeight w:val="240"/>
        </w:trPr>
        <w:tc>
          <w:tcPr>
            <w:tcW w:w="1170" w:type="dxa"/>
            <w:vMerge/>
          </w:tcPr>
          <w:p w14:paraId="4B2E0997"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4032D340"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Lüminesans bakteri (Vibrio fischeri)</w:t>
            </w:r>
          </w:p>
        </w:tc>
        <w:tc>
          <w:tcPr>
            <w:tcW w:w="1662" w:type="dxa"/>
          </w:tcPr>
          <w:p w14:paraId="78DF1F94"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Çeşitli EN standartları mevcuttur (örn. TS EN ISO 11348-2)</w:t>
            </w:r>
          </w:p>
        </w:tc>
        <w:tc>
          <w:tcPr>
            <w:tcW w:w="1771" w:type="dxa"/>
            <w:vMerge/>
          </w:tcPr>
          <w:p w14:paraId="22CB6F19"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7171CF25"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3624C011"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482B4F94" w14:textId="77777777" w:rsidTr="0082590D">
        <w:trPr>
          <w:trHeight w:val="240"/>
        </w:trPr>
        <w:tc>
          <w:tcPr>
            <w:tcW w:w="1170" w:type="dxa"/>
            <w:vMerge/>
          </w:tcPr>
          <w:p w14:paraId="1EC8A917"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130BA476"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Su mercimeği (Lemna minor)</w:t>
            </w:r>
          </w:p>
        </w:tc>
        <w:tc>
          <w:tcPr>
            <w:tcW w:w="1662" w:type="dxa"/>
          </w:tcPr>
          <w:p w14:paraId="40B0F2D2"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 xml:space="preserve">Çeşitli EN standartları mevcuttur (örn. </w:t>
            </w:r>
          </w:p>
          <w:p w14:paraId="5F6045B8"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TS EN ISO 20227)</w:t>
            </w:r>
          </w:p>
          <w:p w14:paraId="0B5F7F1C" w14:textId="77777777" w:rsidR="0055515A" w:rsidRPr="00691C2D" w:rsidRDefault="0055515A" w:rsidP="0055515A">
            <w:pPr>
              <w:jc w:val="center"/>
              <w:rPr>
                <w:rFonts w:ascii="Times New Roman" w:eastAsia="Times New Roman" w:hAnsi="Times New Roman" w:cs="Times New Roman"/>
                <w:lang w:eastAsia="tr-TR"/>
              </w:rPr>
            </w:pPr>
          </w:p>
        </w:tc>
        <w:tc>
          <w:tcPr>
            <w:tcW w:w="1771" w:type="dxa"/>
            <w:vMerge/>
          </w:tcPr>
          <w:p w14:paraId="699C11C9"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23634A33"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33225BDF" w14:textId="77777777" w:rsidR="0055515A" w:rsidRPr="00691C2D" w:rsidRDefault="0055515A" w:rsidP="0055515A">
            <w:pPr>
              <w:rPr>
                <w:rFonts w:ascii="Times New Roman" w:eastAsia="Times New Roman" w:hAnsi="Times New Roman" w:cs="Times New Roman"/>
                <w:lang w:eastAsia="tr-TR"/>
              </w:rPr>
            </w:pPr>
          </w:p>
        </w:tc>
      </w:tr>
      <w:tr w:rsidR="0055515A" w:rsidRPr="00691C2D" w14:paraId="44E0D3AC" w14:textId="77777777" w:rsidTr="0082590D">
        <w:trPr>
          <w:trHeight w:val="240"/>
        </w:trPr>
        <w:tc>
          <w:tcPr>
            <w:tcW w:w="1170" w:type="dxa"/>
            <w:vMerge/>
          </w:tcPr>
          <w:p w14:paraId="4098CB3D" w14:textId="77777777" w:rsidR="0055515A" w:rsidRPr="00691C2D" w:rsidRDefault="0055515A" w:rsidP="0055515A">
            <w:pPr>
              <w:jc w:val="center"/>
              <w:rPr>
                <w:rFonts w:ascii="Times New Roman" w:eastAsia="Times New Roman" w:hAnsi="Times New Roman" w:cs="Times New Roman"/>
                <w:lang w:eastAsia="tr-TR"/>
              </w:rPr>
            </w:pPr>
          </w:p>
        </w:tc>
        <w:tc>
          <w:tcPr>
            <w:tcW w:w="1235" w:type="dxa"/>
          </w:tcPr>
          <w:p w14:paraId="40B9C145"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Algler</w:t>
            </w:r>
          </w:p>
        </w:tc>
        <w:tc>
          <w:tcPr>
            <w:tcW w:w="1662" w:type="dxa"/>
          </w:tcPr>
          <w:p w14:paraId="3138534D" w14:textId="77777777" w:rsidR="0055515A" w:rsidRPr="00691C2D" w:rsidRDefault="0055515A" w:rsidP="0055515A">
            <w:pPr>
              <w:jc w:val="center"/>
              <w:rPr>
                <w:rFonts w:ascii="Times New Roman" w:eastAsia="Times New Roman" w:hAnsi="Times New Roman" w:cs="Times New Roman"/>
                <w:lang w:eastAsia="tr-TR"/>
              </w:rPr>
            </w:pPr>
            <w:r w:rsidRPr="00691C2D">
              <w:rPr>
                <w:rFonts w:ascii="Times New Roman" w:eastAsia="Times New Roman" w:hAnsi="Times New Roman" w:cs="Times New Roman"/>
                <w:lang w:eastAsia="tr-TR"/>
              </w:rPr>
              <w:t>Çeşitli EN standartları mevcuttur (örn. TS EN ISO 8692, TS EN ISO 10253, TS EN ISO 10710)</w:t>
            </w:r>
          </w:p>
        </w:tc>
        <w:tc>
          <w:tcPr>
            <w:tcW w:w="1771" w:type="dxa"/>
            <w:vMerge/>
          </w:tcPr>
          <w:p w14:paraId="58E085A4" w14:textId="77777777" w:rsidR="0055515A" w:rsidRPr="00691C2D" w:rsidRDefault="0055515A" w:rsidP="0055515A">
            <w:pPr>
              <w:jc w:val="center"/>
              <w:rPr>
                <w:rFonts w:ascii="Times New Roman" w:eastAsia="Times New Roman" w:hAnsi="Times New Roman" w:cs="Times New Roman"/>
                <w:lang w:eastAsia="tr-TR"/>
              </w:rPr>
            </w:pPr>
          </w:p>
        </w:tc>
        <w:tc>
          <w:tcPr>
            <w:tcW w:w="1652" w:type="dxa"/>
            <w:vMerge/>
          </w:tcPr>
          <w:p w14:paraId="3873C829" w14:textId="77777777" w:rsidR="0055515A" w:rsidRPr="00691C2D" w:rsidRDefault="0055515A" w:rsidP="0055515A">
            <w:pPr>
              <w:jc w:val="center"/>
              <w:rPr>
                <w:rFonts w:ascii="Times New Roman" w:eastAsia="Times New Roman" w:hAnsi="Times New Roman" w:cs="Times New Roman"/>
                <w:lang w:eastAsia="tr-TR"/>
              </w:rPr>
            </w:pPr>
          </w:p>
        </w:tc>
        <w:tc>
          <w:tcPr>
            <w:tcW w:w="1568" w:type="dxa"/>
            <w:vMerge/>
          </w:tcPr>
          <w:p w14:paraId="4CD28FBB" w14:textId="77777777" w:rsidR="0055515A" w:rsidRPr="00691C2D" w:rsidRDefault="0055515A" w:rsidP="0055515A">
            <w:pPr>
              <w:rPr>
                <w:rFonts w:ascii="Times New Roman" w:eastAsia="Times New Roman" w:hAnsi="Times New Roman" w:cs="Times New Roman"/>
                <w:lang w:eastAsia="tr-TR"/>
              </w:rPr>
            </w:pPr>
          </w:p>
        </w:tc>
      </w:tr>
    </w:tbl>
    <w:p w14:paraId="0025460E"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lang w:eastAsia="tr-TR"/>
          <w14:ligatures w14:val="none"/>
        </w:rPr>
        <w:t>(</w:t>
      </w:r>
      <w:r w:rsidRPr="0055515A">
        <w:rPr>
          <w:rFonts w:ascii="Times New Roman" w:eastAsia="Times New Roman" w:hAnsi="Times New Roman" w:cs="Times New Roman"/>
          <w:color w:val="000000"/>
          <w:kern w:val="0"/>
          <w:vertAlign w:val="superscript"/>
          <w:lang w:eastAsia="tr-TR"/>
          <w14:ligatures w14:val="none"/>
        </w:rPr>
        <w:t>1</w:t>
      </w:r>
      <w:r w:rsidRPr="0055515A">
        <w:rPr>
          <w:rFonts w:ascii="Times New Roman" w:eastAsia="Times New Roman" w:hAnsi="Times New Roman" w:cs="Times New Roman"/>
          <w:color w:val="000000"/>
          <w:kern w:val="0"/>
          <w:lang w:eastAsia="tr-TR"/>
          <w14:ligatures w14:val="none"/>
        </w:rPr>
        <w:t>)</w:t>
      </w:r>
      <w:r w:rsidRPr="0055515A">
        <w:rPr>
          <w:rFonts w:ascii="Times New Roman" w:eastAsia="Times New Roman" w:hAnsi="Times New Roman" w:cs="Times New Roman"/>
          <w:color w:val="000000"/>
          <w:kern w:val="0"/>
          <w:sz w:val="20"/>
          <w:szCs w:val="20"/>
          <w:lang w:eastAsia="tr-TR"/>
          <w14:ligatures w14:val="none"/>
        </w:rPr>
        <w:t xml:space="preserve">İzleme, yalnızca ilgili madde(ler)/parametre(ler) (madde grupları veya bir madde grubundaki bireysel maddeler dahil) MET 2’de belirtilen girdiler ve çıktılar envanterine dayalı olarak atık su akışında önemli olduğu tespit edildiğinde uygulanır.  </w:t>
      </w:r>
    </w:p>
    <w:p w14:paraId="30FD2F06"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2</w:t>
      </w:r>
      <w:r w:rsidRPr="0055515A">
        <w:rPr>
          <w:rFonts w:ascii="Times New Roman" w:eastAsia="Times New Roman" w:hAnsi="Times New Roman" w:cs="Times New Roman"/>
          <w:color w:val="000000"/>
          <w:kern w:val="0"/>
          <w:sz w:val="20"/>
          <w:szCs w:val="20"/>
          <w:lang w:eastAsia="tr-TR"/>
          <w14:ligatures w14:val="none"/>
        </w:rPr>
        <w:t xml:space="preserve">)Dolaylı deşarj durumunda, aşağı akıştaki atık su arıtma tesisi ilgili kirleticileri giderecek şekilde tasarlanmış ve donatılmışsa, izleme sıklığı üç ayda bire düşürülebilir.  </w:t>
      </w:r>
    </w:p>
    <w:p w14:paraId="7C01CBE6"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3</w:t>
      </w:r>
      <w:r w:rsidRPr="0055515A">
        <w:rPr>
          <w:rFonts w:ascii="Times New Roman" w:eastAsia="Times New Roman" w:hAnsi="Times New Roman" w:cs="Times New Roman"/>
          <w:color w:val="000000"/>
          <w:kern w:val="0"/>
          <w:sz w:val="20"/>
          <w:szCs w:val="20"/>
          <w:lang w:eastAsia="tr-TR"/>
          <w14:ligatures w14:val="none"/>
        </w:rPr>
        <w:t xml:space="preserve">)Doğrudan deşarj durumunda izleme uygulanır.  </w:t>
      </w:r>
    </w:p>
    <w:p w14:paraId="6BF83328"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4</w:t>
      </w:r>
      <w:r w:rsidRPr="0055515A">
        <w:rPr>
          <w:rFonts w:ascii="Times New Roman" w:eastAsia="Times New Roman" w:hAnsi="Times New Roman" w:cs="Times New Roman"/>
          <w:color w:val="000000"/>
          <w:kern w:val="0"/>
          <w:sz w:val="20"/>
          <w:szCs w:val="20"/>
          <w:lang w:eastAsia="tr-TR"/>
          <w14:ligatures w14:val="none"/>
        </w:rPr>
        <w:t>)</w:t>
      </w:r>
      <w:r w:rsidR="009D570E">
        <w:rPr>
          <w:rFonts w:ascii="Times New Roman" w:eastAsia="Times New Roman" w:hAnsi="Times New Roman" w:cs="Times New Roman"/>
          <w:color w:val="000000"/>
          <w:kern w:val="0"/>
          <w:sz w:val="20"/>
          <w:szCs w:val="20"/>
          <w:lang w:eastAsia="tr-TR"/>
          <w14:ligatures w14:val="none"/>
        </w:rPr>
        <w:t>TOK</w:t>
      </w:r>
      <w:r w:rsidRPr="0055515A">
        <w:rPr>
          <w:rFonts w:ascii="Times New Roman" w:eastAsia="Times New Roman" w:hAnsi="Times New Roman" w:cs="Times New Roman"/>
          <w:color w:val="000000"/>
          <w:kern w:val="0"/>
          <w:sz w:val="20"/>
          <w:szCs w:val="20"/>
          <w:lang w:eastAsia="tr-TR"/>
          <w14:ligatures w14:val="none"/>
        </w:rPr>
        <w:t xml:space="preserve"> (Toplam Organik Karbon) izleme ve KOİ (Kimyasal Oksijen İhtiyacı) izleme birbirinin alternatifidir. </w:t>
      </w:r>
      <w:r w:rsidR="009D570E">
        <w:rPr>
          <w:rFonts w:ascii="Times New Roman" w:eastAsia="Times New Roman" w:hAnsi="Times New Roman" w:cs="Times New Roman"/>
          <w:color w:val="000000"/>
          <w:kern w:val="0"/>
          <w:sz w:val="20"/>
          <w:szCs w:val="20"/>
          <w:lang w:eastAsia="tr-TR"/>
          <w14:ligatures w14:val="none"/>
        </w:rPr>
        <w:t>TOK</w:t>
      </w:r>
      <w:r w:rsidRPr="0055515A">
        <w:rPr>
          <w:rFonts w:ascii="Times New Roman" w:eastAsia="Times New Roman" w:hAnsi="Times New Roman" w:cs="Times New Roman"/>
          <w:color w:val="000000"/>
          <w:kern w:val="0"/>
          <w:sz w:val="20"/>
          <w:szCs w:val="20"/>
          <w:lang w:eastAsia="tr-TR"/>
          <w14:ligatures w14:val="none"/>
        </w:rPr>
        <w:t xml:space="preserve"> izleme, çok toksik bileşiklerin kullanımına dayanmadığı için tercih edilen seçenektir.  </w:t>
      </w:r>
    </w:p>
    <w:p w14:paraId="2BCF886F"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5</w:t>
      </w:r>
      <w:r w:rsidRPr="0055515A">
        <w:rPr>
          <w:rFonts w:ascii="Times New Roman" w:eastAsia="Times New Roman" w:hAnsi="Times New Roman" w:cs="Times New Roman"/>
          <w:color w:val="000000"/>
          <w:kern w:val="0"/>
          <w:sz w:val="20"/>
          <w:szCs w:val="20"/>
          <w:lang w:eastAsia="tr-TR"/>
          <w14:ligatures w14:val="none"/>
        </w:rPr>
        <w:t xml:space="preserve">)Dolaylı deşarj durumunda, aşağı akıştaki atık su arıtma tesisi ilgili kirleticileri giderecek şekilde tasarlanmış ve donatılmışsa, izleme sıklığı ayda bire düşürülebilir.  </w:t>
      </w:r>
    </w:p>
    <w:p w14:paraId="53B1CA63"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6</w:t>
      </w:r>
      <w:r w:rsidRPr="0055515A">
        <w:rPr>
          <w:rFonts w:ascii="Times New Roman" w:eastAsia="Times New Roman" w:hAnsi="Times New Roman" w:cs="Times New Roman"/>
          <w:color w:val="000000"/>
          <w:kern w:val="0"/>
          <w:sz w:val="20"/>
          <w:szCs w:val="20"/>
          <w:lang w:eastAsia="tr-TR"/>
          <w14:ligatures w14:val="none"/>
        </w:rPr>
        <w:t xml:space="preserve">)Emisyon seviyelerinin yeterince stabil olduğu kanıtlanırsa, izleme sıklığı ayda bire düşürülebilir.  </w:t>
      </w:r>
    </w:p>
    <w:p w14:paraId="66AE1D6A"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7</w:t>
      </w:r>
      <w:r w:rsidRPr="0055515A">
        <w:rPr>
          <w:rFonts w:ascii="Times New Roman" w:eastAsia="Times New Roman" w:hAnsi="Times New Roman" w:cs="Times New Roman"/>
          <w:color w:val="000000"/>
          <w:kern w:val="0"/>
          <w:sz w:val="20"/>
          <w:szCs w:val="20"/>
          <w:lang w:eastAsia="tr-TR"/>
          <w14:ligatures w14:val="none"/>
        </w:rPr>
        <w:t xml:space="preserve">)Dolaylı deşarj durumunda, aşağı akıştaki atık su arıtma tesisi ilgili kirleticileri giderecek şekilde tasarlanmış ve donatılmışsa, izleme sıklığı altı ayda bire düşürülebilir.  </w:t>
      </w:r>
    </w:p>
    <w:p w14:paraId="40AB6976"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8</w:t>
      </w:r>
      <w:r w:rsidRPr="0055515A">
        <w:rPr>
          <w:rFonts w:ascii="Times New Roman" w:eastAsia="Times New Roman" w:hAnsi="Times New Roman" w:cs="Times New Roman"/>
          <w:color w:val="000000"/>
          <w:kern w:val="0"/>
          <w:sz w:val="20"/>
          <w:szCs w:val="20"/>
          <w:lang w:eastAsia="tr-TR"/>
          <w14:ligatures w14:val="none"/>
        </w:rPr>
        <w:t xml:space="preserve">)Atık su karakterizasyonu, tesisin işletmeye alınmasından önce veya tesis için verilen iznin, bu MET sonuçlarının yayımlanmasından sonra ilk kez güncellenmesinden önce ve ayrıca tesiste kirletici yükünü artırabilecek her değişiklikten (örneğin, "reçete" değişikliği) sonra gerçekleştirilir.  </w:t>
      </w:r>
    </w:p>
    <w:p w14:paraId="0AF9BAAC" w14:textId="77777777" w:rsidR="0055515A" w:rsidRPr="0055515A" w:rsidRDefault="0055515A" w:rsidP="0082590D">
      <w:pPr>
        <w:pBdr>
          <w:top w:val="single" w:sz="4" w:space="1" w:color="auto"/>
          <w:left w:val="single" w:sz="4" w:space="1" w:color="auto"/>
          <w:bottom w:val="single" w:sz="4" w:space="1" w:color="auto"/>
          <w:right w:val="single" w:sz="4" w:space="1" w:color="auto"/>
          <w:between w:val="nil"/>
        </w:pBdr>
        <w:spacing w:after="120" w:line="240" w:lineRule="auto"/>
        <w:jc w:val="both"/>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9</w:t>
      </w:r>
      <w:r w:rsidRPr="0055515A">
        <w:rPr>
          <w:rFonts w:ascii="Times New Roman" w:eastAsia="Times New Roman" w:hAnsi="Times New Roman" w:cs="Times New Roman"/>
          <w:color w:val="000000"/>
          <w:kern w:val="0"/>
          <w:sz w:val="20"/>
          <w:szCs w:val="20"/>
          <w:lang w:eastAsia="tr-TR"/>
          <w14:ligatures w14:val="none"/>
        </w:rPr>
        <w:t>)En hassas toksisite parametresi veya uygun bir toksisite parametre kombinasyonu kullanılabilir.</w:t>
      </w:r>
    </w:p>
    <w:p w14:paraId="297B140E"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9 - </w:t>
      </w:r>
      <w:r w:rsidRPr="0055515A">
        <w:rPr>
          <w:rFonts w:ascii="Times New Roman" w:eastAsia="Times New Roman" w:hAnsi="Times New Roman" w:cs="Times New Roman"/>
          <w:bCs/>
          <w:color w:val="000000"/>
          <w:kern w:val="0"/>
          <w:sz w:val="24"/>
          <w:szCs w:val="24"/>
          <w:lang w:eastAsia="tr-TR"/>
          <w14:ligatures w14:val="none"/>
        </w:rPr>
        <w:t xml:space="preserve">MET, havaya olan </w:t>
      </w:r>
      <w:r w:rsidR="0048732D">
        <w:rPr>
          <w:rFonts w:ascii="Times New Roman" w:eastAsia="Times New Roman" w:hAnsi="Times New Roman" w:cs="Times New Roman"/>
          <w:bCs/>
          <w:color w:val="000000"/>
          <w:kern w:val="0"/>
          <w:sz w:val="24"/>
          <w:szCs w:val="24"/>
          <w:lang w:eastAsia="tr-TR"/>
          <w14:ligatures w14:val="none"/>
        </w:rPr>
        <w:t xml:space="preserve">kanalize </w:t>
      </w:r>
      <w:r w:rsidRPr="0055515A">
        <w:rPr>
          <w:rFonts w:ascii="Times New Roman" w:eastAsia="Times New Roman" w:hAnsi="Times New Roman" w:cs="Times New Roman"/>
          <w:bCs/>
          <w:color w:val="000000"/>
          <w:kern w:val="0"/>
          <w:sz w:val="24"/>
          <w:szCs w:val="24"/>
          <w:lang w:eastAsia="tr-TR"/>
          <w14:ligatures w14:val="none"/>
        </w:rPr>
        <w:t>emisyonları en az aşağıdaki tabloda verilen aralıklarla ve AB standartlarına uygun olarak takip edecektir. AB standartlarının mevcut olmadığı durumlarda MET, eş değer bilimsel kalitede veri sağlanmasını mümkün kılan ISO standartlarını, ulusal veya uluslararası standartları kullanacaktır.</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2"/>
        <w:gridCol w:w="1727"/>
        <w:gridCol w:w="1771"/>
        <w:gridCol w:w="1652"/>
        <w:gridCol w:w="1568"/>
      </w:tblGrid>
      <w:tr w:rsidR="0055515A" w:rsidRPr="0055515A" w14:paraId="4FB0DE0B" w14:textId="77777777" w:rsidTr="0024730D">
        <w:trPr>
          <w:jc w:val="center"/>
        </w:trPr>
        <w:tc>
          <w:tcPr>
            <w:tcW w:w="2342" w:type="dxa"/>
            <w:vAlign w:val="center"/>
          </w:tcPr>
          <w:p w14:paraId="71BD2012"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Madde(ler)/Parametre</w:t>
            </w:r>
          </w:p>
        </w:tc>
        <w:tc>
          <w:tcPr>
            <w:tcW w:w="1727" w:type="dxa"/>
            <w:vAlign w:val="center"/>
          </w:tcPr>
          <w:p w14:paraId="7F843B36"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Standart(lar)</w:t>
            </w:r>
          </w:p>
        </w:tc>
        <w:tc>
          <w:tcPr>
            <w:tcW w:w="1771" w:type="dxa"/>
            <w:vAlign w:val="center"/>
          </w:tcPr>
          <w:p w14:paraId="0EE07D62"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Faaliyet/Proses</w:t>
            </w:r>
          </w:p>
        </w:tc>
        <w:tc>
          <w:tcPr>
            <w:tcW w:w="1652" w:type="dxa"/>
            <w:vAlign w:val="center"/>
          </w:tcPr>
          <w:p w14:paraId="5536C854"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Minimum Takip Sıklığı</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1</w:t>
            </w:r>
            <w:r w:rsidRPr="0055515A">
              <w:rPr>
                <w:rFonts w:ascii="Times New Roman" w:eastAsia="Times New Roman" w:hAnsi="Times New Roman" w:cs="Times New Roman"/>
                <w:bCs/>
                <w:kern w:val="0"/>
                <w:lang w:eastAsia="tr-TR"/>
                <w14:ligatures w14:val="none"/>
              </w:rPr>
              <w:t>)</w:t>
            </w:r>
          </w:p>
        </w:tc>
        <w:tc>
          <w:tcPr>
            <w:tcW w:w="1568" w:type="dxa"/>
            <w:vAlign w:val="center"/>
          </w:tcPr>
          <w:p w14:paraId="31B03368"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İlişkili MET</w:t>
            </w:r>
          </w:p>
        </w:tc>
      </w:tr>
      <w:tr w:rsidR="0055515A" w:rsidRPr="0055515A" w14:paraId="5E811B42" w14:textId="77777777" w:rsidTr="0024730D">
        <w:trPr>
          <w:jc w:val="center"/>
        </w:trPr>
        <w:tc>
          <w:tcPr>
            <w:tcW w:w="2342" w:type="dxa"/>
            <w:vAlign w:val="center"/>
          </w:tcPr>
          <w:p w14:paraId="4F432DDA"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CO</w:t>
            </w:r>
          </w:p>
        </w:tc>
        <w:tc>
          <w:tcPr>
            <w:tcW w:w="1727" w:type="dxa"/>
            <w:vAlign w:val="center"/>
          </w:tcPr>
          <w:p w14:paraId="5F42E693"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TS EN 15058</w:t>
            </w:r>
          </w:p>
        </w:tc>
        <w:tc>
          <w:tcPr>
            <w:tcW w:w="1771" w:type="dxa"/>
            <w:vAlign w:val="center"/>
          </w:tcPr>
          <w:p w14:paraId="24948233"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Yakma/Yanma//Alev laminasyonu</w:t>
            </w:r>
          </w:p>
        </w:tc>
        <w:tc>
          <w:tcPr>
            <w:tcW w:w="1652" w:type="dxa"/>
            <w:vAlign w:val="center"/>
          </w:tcPr>
          <w:p w14:paraId="7053AE79"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3 yılda 1 kere</w:t>
            </w:r>
          </w:p>
        </w:tc>
        <w:tc>
          <w:tcPr>
            <w:tcW w:w="1568" w:type="dxa"/>
            <w:vAlign w:val="center"/>
          </w:tcPr>
          <w:p w14:paraId="555950E4"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w:t>
            </w:r>
          </w:p>
        </w:tc>
      </w:tr>
      <w:tr w:rsidR="0055515A" w:rsidRPr="0055515A" w14:paraId="1959F1DC" w14:textId="77777777" w:rsidTr="0024730D">
        <w:trPr>
          <w:jc w:val="center"/>
        </w:trPr>
        <w:tc>
          <w:tcPr>
            <w:tcW w:w="2342" w:type="dxa"/>
            <w:vAlign w:val="center"/>
          </w:tcPr>
          <w:p w14:paraId="19FFAA6A"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Toz</w:t>
            </w:r>
          </w:p>
        </w:tc>
        <w:tc>
          <w:tcPr>
            <w:tcW w:w="1727" w:type="dxa"/>
            <w:vAlign w:val="center"/>
          </w:tcPr>
          <w:p w14:paraId="00396C85"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TS EN 13284-1</w:t>
            </w:r>
          </w:p>
        </w:tc>
        <w:tc>
          <w:tcPr>
            <w:tcW w:w="1771" w:type="dxa"/>
            <w:vAlign w:val="center"/>
          </w:tcPr>
          <w:p w14:paraId="3604CCC9"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Yakma/Yanma/Ön işlem, boyama, baskı ve terbiye </w:t>
            </w:r>
            <w:r w:rsidRPr="0055515A">
              <w:rPr>
                <w:rFonts w:ascii="Times New Roman" w:eastAsia="Times New Roman" w:hAnsi="Times New Roman" w:cs="Times New Roman"/>
                <w:kern w:val="0"/>
                <w:lang w:eastAsia="tr-TR"/>
                <w14:ligatures w14:val="none"/>
              </w:rPr>
              <w:lastRenderedPageBreak/>
              <w:t>ile ilgili ısıl işlemler</w:t>
            </w:r>
          </w:p>
        </w:tc>
        <w:tc>
          <w:tcPr>
            <w:tcW w:w="1652" w:type="dxa"/>
            <w:vAlign w:val="center"/>
          </w:tcPr>
          <w:p w14:paraId="713103C6"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lastRenderedPageBreak/>
              <w:t>yılda 1 kere</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1</w:t>
            </w:r>
            <w:r w:rsidRPr="0055515A">
              <w:rPr>
                <w:rFonts w:ascii="Times New Roman" w:eastAsia="Times New Roman" w:hAnsi="Times New Roman" w:cs="Times New Roman"/>
                <w:bCs/>
                <w:kern w:val="0"/>
                <w:lang w:eastAsia="tr-TR"/>
                <w14:ligatures w14:val="none"/>
              </w:rPr>
              <w:t>)</w:t>
            </w:r>
          </w:p>
        </w:tc>
        <w:tc>
          <w:tcPr>
            <w:tcW w:w="1568" w:type="dxa"/>
            <w:vAlign w:val="center"/>
          </w:tcPr>
          <w:p w14:paraId="006AB978"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MET 27</w:t>
            </w:r>
          </w:p>
        </w:tc>
      </w:tr>
      <w:tr w:rsidR="0055515A" w:rsidRPr="0055515A" w14:paraId="3D7AF89F" w14:textId="77777777" w:rsidTr="0024730D">
        <w:trPr>
          <w:jc w:val="center"/>
        </w:trPr>
        <w:tc>
          <w:tcPr>
            <w:tcW w:w="2342" w:type="dxa"/>
            <w:vAlign w:val="center"/>
          </w:tcPr>
          <w:p w14:paraId="2AA0406B"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CMR(Karayoluyla Uluslararası Mal Taşımacılığına İlişkin Sözleşme)</w:t>
            </w:r>
          </w:p>
        </w:tc>
        <w:tc>
          <w:tcPr>
            <w:tcW w:w="1727" w:type="dxa"/>
            <w:vAlign w:val="center"/>
          </w:tcPr>
          <w:p w14:paraId="60D41063"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standartları mevcut değil</w:t>
            </w:r>
          </w:p>
        </w:tc>
        <w:tc>
          <w:tcPr>
            <w:tcW w:w="1771" w:type="dxa"/>
            <w:vAlign w:val="center"/>
          </w:tcPr>
          <w:p w14:paraId="4285A169"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Kaplama</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/Alev laminasyonu</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 Son işlem</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 xml:space="preserve">/ Kaplama, laminasyon ve apreleme işlemleriyle ile ilgili ısıl işlemler </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p>
        </w:tc>
        <w:tc>
          <w:tcPr>
            <w:tcW w:w="1652" w:type="dxa"/>
            <w:vAlign w:val="center"/>
          </w:tcPr>
          <w:p w14:paraId="1B8E0978"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Yılda 1 kere</w:t>
            </w:r>
          </w:p>
        </w:tc>
        <w:tc>
          <w:tcPr>
            <w:tcW w:w="1568" w:type="dxa"/>
            <w:vAlign w:val="center"/>
          </w:tcPr>
          <w:p w14:paraId="330E0FA5"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w:t>
            </w:r>
          </w:p>
        </w:tc>
      </w:tr>
      <w:tr w:rsidR="0055515A" w:rsidRPr="0055515A" w14:paraId="6474F4DC" w14:textId="77777777" w:rsidTr="0024730D">
        <w:trPr>
          <w:trHeight w:val="2825"/>
          <w:jc w:val="center"/>
        </w:trPr>
        <w:tc>
          <w:tcPr>
            <w:tcW w:w="2342" w:type="dxa"/>
            <w:vAlign w:val="center"/>
          </w:tcPr>
          <w:p w14:paraId="31A0B0C6"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Formaldehit</w:t>
            </w:r>
          </w:p>
        </w:tc>
        <w:tc>
          <w:tcPr>
            <w:tcW w:w="1727" w:type="dxa"/>
            <w:vAlign w:val="center"/>
          </w:tcPr>
          <w:p w14:paraId="7CAA5A91"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standardı geliştirilme aşamasında</w:t>
            </w:r>
          </w:p>
        </w:tc>
        <w:tc>
          <w:tcPr>
            <w:tcW w:w="1771" w:type="dxa"/>
            <w:vAlign w:val="center"/>
          </w:tcPr>
          <w:p w14:paraId="2E61672F"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p>
          <w:p w14:paraId="69C04F50" w14:textId="77777777" w:rsidR="0055515A" w:rsidRPr="0055515A" w:rsidRDefault="0055515A" w:rsidP="0055515A">
            <w:pPr>
              <w:shd w:val="clear" w:color="auto" w:fill="FFFFFF"/>
              <w:spacing w:before="240" w:after="24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Kaplama</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/Alev laminasyonu/Baskı</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/Yakma/Sonlandırma</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/Isıl işlemler</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p>
          <w:p w14:paraId="11AF96B8" w14:textId="77777777" w:rsidR="0055515A" w:rsidRPr="0055515A" w:rsidRDefault="0055515A" w:rsidP="0055515A">
            <w:pPr>
              <w:shd w:val="clear" w:color="auto" w:fill="FFFFFF"/>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p>
        </w:tc>
        <w:tc>
          <w:tcPr>
            <w:tcW w:w="1652" w:type="dxa"/>
            <w:vAlign w:val="center"/>
          </w:tcPr>
          <w:p w14:paraId="1835BE7A"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 Yılda 1 kere</w:t>
            </w:r>
          </w:p>
        </w:tc>
        <w:tc>
          <w:tcPr>
            <w:tcW w:w="1568" w:type="dxa"/>
            <w:vAlign w:val="center"/>
          </w:tcPr>
          <w:p w14:paraId="60D9198C"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p>
          <w:p w14:paraId="03B5F7CA" w14:textId="77777777" w:rsidR="0055515A" w:rsidRPr="0055515A" w:rsidRDefault="0055515A" w:rsidP="0055515A">
            <w:pPr>
              <w:spacing w:before="240" w:after="24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MET 26 </w:t>
            </w:r>
          </w:p>
          <w:p w14:paraId="76EFB162"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p>
        </w:tc>
      </w:tr>
      <w:tr w:rsidR="0055515A" w:rsidRPr="0055515A" w14:paraId="460C50D1" w14:textId="77777777" w:rsidTr="0024730D">
        <w:trPr>
          <w:trHeight w:val="1975"/>
          <w:jc w:val="center"/>
        </w:trPr>
        <w:tc>
          <w:tcPr>
            <w:tcW w:w="2342" w:type="dxa"/>
            <w:vAlign w:val="center"/>
          </w:tcPr>
          <w:p w14:paraId="75E28A4A"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NH</w:t>
            </w:r>
            <w:r w:rsidRPr="0055515A">
              <w:rPr>
                <w:rFonts w:ascii="Times New Roman" w:eastAsia="Times New Roman" w:hAnsi="Times New Roman" w:cs="Times New Roman"/>
                <w:kern w:val="0"/>
                <w:vertAlign w:val="subscript"/>
                <w:lang w:eastAsia="tr-TR"/>
                <w14:ligatures w14:val="none"/>
              </w:rPr>
              <w:t>3</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3</w:t>
            </w:r>
            <w:r w:rsidRPr="0055515A">
              <w:rPr>
                <w:rFonts w:ascii="Times New Roman" w:eastAsia="Times New Roman" w:hAnsi="Times New Roman" w:cs="Times New Roman"/>
                <w:bCs/>
                <w:kern w:val="0"/>
                <w:lang w:eastAsia="tr-TR"/>
                <w14:ligatures w14:val="none"/>
              </w:rPr>
              <w:t>)</w:t>
            </w:r>
          </w:p>
        </w:tc>
        <w:tc>
          <w:tcPr>
            <w:tcW w:w="1727" w:type="dxa"/>
            <w:vAlign w:val="center"/>
          </w:tcPr>
          <w:p w14:paraId="0EE02814"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standartları mevcut değil</w:t>
            </w:r>
          </w:p>
        </w:tc>
        <w:tc>
          <w:tcPr>
            <w:tcW w:w="1771" w:type="dxa"/>
            <w:vAlign w:val="center"/>
          </w:tcPr>
          <w:p w14:paraId="486E5005" w14:textId="77777777" w:rsidR="0055515A" w:rsidRPr="0055515A" w:rsidRDefault="0055515A" w:rsidP="0055515A">
            <w:pPr>
              <w:shd w:val="clear" w:color="auto" w:fill="FFFFFF"/>
              <w:spacing w:before="240" w:after="24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Kaplama</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/Baskı</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/Sonlandırma</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3</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kern w:val="0"/>
                <w:lang w:eastAsia="tr-TR"/>
                <w14:ligatures w14:val="none"/>
              </w:rPr>
              <w:t>/Isıl işlemler</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4</w:t>
            </w:r>
            <w:r w:rsidRPr="0055515A">
              <w:rPr>
                <w:rFonts w:ascii="Times New Roman" w:eastAsia="Times New Roman" w:hAnsi="Times New Roman" w:cs="Times New Roman"/>
                <w:bCs/>
                <w:kern w:val="0"/>
                <w:lang w:eastAsia="tr-TR"/>
                <w14:ligatures w14:val="none"/>
              </w:rPr>
              <w:t>)</w:t>
            </w:r>
          </w:p>
        </w:tc>
        <w:tc>
          <w:tcPr>
            <w:tcW w:w="1652" w:type="dxa"/>
            <w:vAlign w:val="center"/>
          </w:tcPr>
          <w:p w14:paraId="4B00B7F7"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Yılda 1 kere</w:t>
            </w:r>
          </w:p>
        </w:tc>
        <w:tc>
          <w:tcPr>
            <w:tcW w:w="1568" w:type="dxa"/>
            <w:vAlign w:val="center"/>
          </w:tcPr>
          <w:p w14:paraId="759E6B00"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w:r>
            <w:r w:rsidRPr="0055515A">
              <w:rPr>
                <w:rFonts w:ascii="Times New Roman" w:eastAsia="Times New Roman" w:hAnsi="Times New Roman" w:cs="Times New Roman"/>
                <w:kern w:val="0"/>
                <w:lang w:eastAsia="tr-TR"/>
                <w14:ligatures w14:val="none"/>
              </w:rPr>
              <w:tab/>
            </w:r>
          </w:p>
          <w:p w14:paraId="597BCAE5" w14:textId="77777777" w:rsidR="0055515A" w:rsidRPr="0055515A" w:rsidRDefault="0055515A" w:rsidP="0055515A">
            <w:pPr>
              <w:spacing w:before="240" w:after="24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MET 28 </w:t>
            </w:r>
          </w:p>
          <w:p w14:paraId="7D23A29B"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w:r>
          </w:p>
          <w:p w14:paraId="5B221855"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p>
        </w:tc>
      </w:tr>
      <w:tr w:rsidR="0055515A" w:rsidRPr="0055515A" w14:paraId="7ED93CAF" w14:textId="77777777" w:rsidTr="0024730D">
        <w:trPr>
          <w:jc w:val="center"/>
        </w:trPr>
        <w:tc>
          <w:tcPr>
            <w:tcW w:w="2342" w:type="dxa"/>
            <w:vAlign w:val="center"/>
          </w:tcPr>
          <w:p w14:paraId="618536E5"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NOX</w:t>
            </w:r>
          </w:p>
        </w:tc>
        <w:tc>
          <w:tcPr>
            <w:tcW w:w="1727" w:type="dxa"/>
            <w:vAlign w:val="center"/>
          </w:tcPr>
          <w:p w14:paraId="4E97C848"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AB standartları mevcut değil</w:t>
            </w:r>
          </w:p>
        </w:tc>
        <w:tc>
          <w:tcPr>
            <w:tcW w:w="1771" w:type="dxa"/>
            <w:vAlign w:val="center"/>
          </w:tcPr>
          <w:p w14:paraId="2FEB4ADF"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Yakma/ Yanma</w:t>
            </w:r>
          </w:p>
        </w:tc>
        <w:tc>
          <w:tcPr>
            <w:tcW w:w="1652" w:type="dxa"/>
            <w:vAlign w:val="center"/>
          </w:tcPr>
          <w:p w14:paraId="70A4293F"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3 yılda 1 kere</w:t>
            </w:r>
          </w:p>
        </w:tc>
        <w:tc>
          <w:tcPr>
            <w:tcW w:w="1568" w:type="dxa"/>
            <w:vAlign w:val="center"/>
          </w:tcPr>
          <w:p w14:paraId="64CF46BA"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w:t>
            </w:r>
          </w:p>
        </w:tc>
      </w:tr>
      <w:tr w:rsidR="0055515A" w:rsidRPr="0055515A" w14:paraId="273B035D" w14:textId="77777777" w:rsidTr="0024730D">
        <w:trPr>
          <w:jc w:val="center"/>
        </w:trPr>
        <w:tc>
          <w:tcPr>
            <w:tcW w:w="2342" w:type="dxa"/>
            <w:vAlign w:val="center"/>
          </w:tcPr>
          <w:p w14:paraId="6EFA1416"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SO2</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5</w:t>
            </w:r>
            <w:r w:rsidRPr="0055515A">
              <w:rPr>
                <w:rFonts w:ascii="Times New Roman" w:eastAsia="Times New Roman" w:hAnsi="Times New Roman" w:cs="Times New Roman"/>
                <w:bCs/>
                <w:kern w:val="0"/>
                <w:lang w:eastAsia="tr-TR"/>
                <w14:ligatures w14:val="none"/>
              </w:rPr>
              <w:t>)</w:t>
            </w:r>
          </w:p>
        </w:tc>
        <w:tc>
          <w:tcPr>
            <w:tcW w:w="1727" w:type="dxa"/>
            <w:vAlign w:val="center"/>
          </w:tcPr>
          <w:p w14:paraId="0AE17C6B"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TS EN 14791</w:t>
            </w:r>
          </w:p>
        </w:tc>
        <w:tc>
          <w:tcPr>
            <w:tcW w:w="1771" w:type="dxa"/>
            <w:vAlign w:val="center"/>
          </w:tcPr>
          <w:p w14:paraId="076EC20E"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Yanma</w:t>
            </w:r>
          </w:p>
        </w:tc>
        <w:tc>
          <w:tcPr>
            <w:tcW w:w="1652" w:type="dxa"/>
            <w:vAlign w:val="center"/>
          </w:tcPr>
          <w:p w14:paraId="3F175ADE"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3 yılda 1 kere</w:t>
            </w:r>
          </w:p>
        </w:tc>
        <w:tc>
          <w:tcPr>
            <w:tcW w:w="1568" w:type="dxa"/>
            <w:vAlign w:val="center"/>
          </w:tcPr>
          <w:p w14:paraId="7E05D0EF"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p>
          <w:p w14:paraId="402D5C4E"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w:t>
            </w:r>
          </w:p>
        </w:tc>
      </w:tr>
      <w:tr w:rsidR="0055515A" w:rsidRPr="0055515A" w14:paraId="184BA574" w14:textId="77777777" w:rsidTr="0024730D">
        <w:trPr>
          <w:jc w:val="center"/>
        </w:trPr>
        <w:tc>
          <w:tcPr>
            <w:tcW w:w="2342" w:type="dxa"/>
            <w:vAlign w:val="center"/>
          </w:tcPr>
          <w:p w14:paraId="1DFCD743"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w:t>
            </w:r>
            <w:r w:rsidR="009D570E">
              <w:rPr>
                <w:rFonts w:ascii="Times New Roman" w:eastAsia="Times New Roman" w:hAnsi="Times New Roman" w:cs="Times New Roman"/>
                <w:kern w:val="0"/>
                <w:lang w:eastAsia="tr-TR"/>
                <w14:ligatures w14:val="none"/>
              </w:rPr>
              <w:t>UOB</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3</w:t>
            </w:r>
            <w:r w:rsidRPr="0055515A">
              <w:rPr>
                <w:rFonts w:ascii="Times New Roman" w:eastAsia="Times New Roman" w:hAnsi="Times New Roman" w:cs="Times New Roman"/>
                <w:bCs/>
                <w:kern w:val="0"/>
                <w:lang w:eastAsia="tr-TR"/>
                <w14:ligatures w14:val="none"/>
              </w:rPr>
              <w:t>)</w:t>
            </w:r>
          </w:p>
          <w:p w14:paraId="07DADBF7"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p>
        </w:tc>
        <w:tc>
          <w:tcPr>
            <w:tcW w:w="1727" w:type="dxa"/>
            <w:vAlign w:val="center"/>
          </w:tcPr>
          <w:p w14:paraId="7235562A"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TS EN 12619</w:t>
            </w:r>
          </w:p>
        </w:tc>
        <w:tc>
          <w:tcPr>
            <w:tcW w:w="1771" w:type="dxa"/>
            <w:vAlign w:val="center"/>
          </w:tcPr>
          <w:p w14:paraId="03377562"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Kaplama/Boyama/Apreleme/Laminasyon/Baskı/Yakma/Termofiksaj/Kaplama, boyama, laminasyon, baskı ve terbiye ile ilgili ısıl işlemler</w:t>
            </w:r>
          </w:p>
        </w:tc>
        <w:tc>
          <w:tcPr>
            <w:tcW w:w="1652" w:type="dxa"/>
            <w:vAlign w:val="center"/>
          </w:tcPr>
          <w:p w14:paraId="019EE847"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Yılda 1 kere</w:t>
            </w:r>
            <w:r w:rsidRPr="0055515A">
              <w:rPr>
                <w:rFonts w:ascii="Times New Roman" w:eastAsia="Times New Roman" w:hAnsi="Times New Roman" w:cs="Times New Roman"/>
                <w:bCs/>
                <w:kern w:val="0"/>
                <w:lang w:eastAsia="tr-TR"/>
                <w14:ligatures w14:val="none"/>
              </w:rPr>
              <w:t>(</w:t>
            </w:r>
            <w:r w:rsidRPr="0055515A">
              <w:rPr>
                <w:rFonts w:ascii="Times New Roman" w:eastAsia="Times New Roman" w:hAnsi="Times New Roman" w:cs="Times New Roman"/>
                <w:bCs/>
                <w:kern w:val="0"/>
                <w:vertAlign w:val="superscript"/>
                <w:lang w:eastAsia="tr-TR"/>
                <w14:ligatures w14:val="none"/>
              </w:rPr>
              <w:t>6</w:t>
            </w:r>
            <w:r w:rsidRPr="0055515A">
              <w:rPr>
                <w:rFonts w:ascii="Times New Roman" w:eastAsia="Times New Roman" w:hAnsi="Times New Roman" w:cs="Times New Roman"/>
                <w:bCs/>
                <w:kern w:val="0"/>
                <w:lang w:eastAsia="tr-TR"/>
                <w14:ligatures w14:val="none"/>
              </w:rPr>
              <w:t>)</w:t>
            </w:r>
          </w:p>
        </w:tc>
        <w:tc>
          <w:tcPr>
            <w:tcW w:w="1568" w:type="dxa"/>
            <w:vAlign w:val="center"/>
          </w:tcPr>
          <w:p w14:paraId="48419DB3"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MET 26</w:t>
            </w:r>
          </w:p>
        </w:tc>
      </w:tr>
      <w:tr w:rsidR="003A5B64" w:rsidRPr="0055515A" w14:paraId="051B760A" w14:textId="77777777" w:rsidTr="0024730D">
        <w:trPr>
          <w:jc w:val="center"/>
        </w:trPr>
        <w:tc>
          <w:tcPr>
            <w:tcW w:w="2342" w:type="dxa"/>
            <w:vAlign w:val="center"/>
          </w:tcPr>
          <w:p w14:paraId="29171A2D" w14:textId="77777777" w:rsidR="003A5B64" w:rsidRPr="0055515A" w:rsidRDefault="003A5B64"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Yağ Buharı/Aerosolü</w:t>
            </w:r>
          </w:p>
        </w:tc>
        <w:tc>
          <w:tcPr>
            <w:tcW w:w="1727" w:type="dxa"/>
            <w:vAlign w:val="center"/>
          </w:tcPr>
          <w:p w14:paraId="7653EB50" w14:textId="77777777" w:rsidR="003A5B64" w:rsidRPr="0055515A" w:rsidRDefault="003A5B64"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Danimarka Çevre Ajansı(Danish-EPA)</w:t>
            </w:r>
          </w:p>
        </w:tc>
        <w:tc>
          <w:tcPr>
            <w:tcW w:w="1771" w:type="dxa"/>
            <w:vAlign w:val="center"/>
          </w:tcPr>
          <w:p w14:paraId="0C775A65" w14:textId="77777777" w:rsidR="003A5B64" w:rsidRDefault="003A5B64"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US-EPA Metot 001</w:t>
            </w:r>
          </w:p>
          <w:p w14:paraId="59D391C2" w14:textId="77777777" w:rsidR="003A5B64" w:rsidRDefault="003A5B64"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EN 13284-1(Numune Alma)</w:t>
            </w:r>
          </w:p>
          <w:p w14:paraId="248B9ABE" w14:textId="77777777" w:rsidR="003A5B64" w:rsidRPr="0055515A" w:rsidRDefault="003A5B64"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lastRenderedPageBreak/>
              <w:t>ISO 16200-1 (Analiz)</w:t>
            </w:r>
          </w:p>
        </w:tc>
        <w:tc>
          <w:tcPr>
            <w:tcW w:w="1652" w:type="dxa"/>
            <w:vAlign w:val="center"/>
          </w:tcPr>
          <w:p w14:paraId="1ABC27A5" w14:textId="77777777" w:rsidR="003A5B64" w:rsidRPr="0055515A" w:rsidRDefault="003A5B64" w:rsidP="0055515A">
            <w:pPr>
              <w:spacing w:after="120" w:line="240" w:lineRule="auto"/>
              <w:jc w:val="center"/>
              <w:rPr>
                <w:rFonts w:ascii="Times New Roman" w:eastAsia="Times New Roman" w:hAnsi="Times New Roman" w:cs="Times New Roman"/>
                <w:kern w:val="0"/>
                <w:lang w:eastAsia="tr-TR"/>
                <w14:ligatures w14:val="none"/>
              </w:rPr>
            </w:pPr>
          </w:p>
        </w:tc>
        <w:tc>
          <w:tcPr>
            <w:tcW w:w="1568" w:type="dxa"/>
            <w:vAlign w:val="center"/>
          </w:tcPr>
          <w:p w14:paraId="3F499665" w14:textId="77777777" w:rsidR="003A5B64" w:rsidRPr="0055515A" w:rsidRDefault="003A5B64" w:rsidP="0055515A">
            <w:pPr>
              <w:spacing w:after="120" w:line="240" w:lineRule="auto"/>
              <w:jc w:val="center"/>
              <w:rPr>
                <w:rFonts w:ascii="Times New Roman" w:eastAsia="Times New Roman" w:hAnsi="Times New Roman" w:cs="Times New Roman"/>
                <w:kern w:val="0"/>
                <w:lang w:eastAsia="tr-TR"/>
                <w14:ligatures w14:val="none"/>
              </w:rPr>
            </w:pPr>
          </w:p>
        </w:tc>
      </w:tr>
      <w:tr w:rsidR="0055515A" w:rsidRPr="0055515A" w14:paraId="229B1512" w14:textId="77777777" w:rsidTr="0024730D">
        <w:trPr>
          <w:jc w:val="center"/>
        </w:trPr>
        <w:tc>
          <w:tcPr>
            <w:tcW w:w="9060" w:type="dxa"/>
            <w:gridSpan w:val="5"/>
            <w:vAlign w:val="center"/>
          </w:tcPr>
          <w:p w14:paraId="098C0CD7" w14:textId="77777777" w:rsidR="0055515A" w:rsidRPr="0055515A" w:rsidRDefault="0055515A" w:rsidP="0055515A">
            <w:pPr>
              <w:spacing w:after="120"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1</w:t>
            </w:r>
            <w:r w:rsidRPr="0055515A">
              <w:rPr>
                <w:rFonts w:ascii="Times New Roman" w:eastAsia="Times New Roman" w:hAnsi="Times New Roman" w:cs="Times New Roman"/>
                <w:kern w:val="0"/>
                <w:sz w:val="20"/>
                <w:szCs w:val="20"/>
                <w:lang w:eastAsia="tr-TR"/>
                <w14:ligatures w14:val="none"/>
              </w:rPr>
              <w:t xml:space="preserve">) Ölçümler, mümkün olduğunca, normal işletme koşulları altında beklenen en yüksek emisyon durumunda gerçekleştirilir.  </w:t>
            </w:r>
          </w:p>
          <w:p w14:paraId="5CD55837" w14:textId="77777777" w:rsidR="0055515A" w:rsidRPr="0055515A" w:rsidRDefault="0055515A" w:rsidP="0055515A">
            <w:pPr>
              <w:spacing w:after="120"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2</w:t>
            </w:r>
            <w:r w:rsidRPr="0055515A">
              <w:rPr>
                <w:rFonts w:ascii="Times New Roman" w:eastAsia="Times New Roman" w:hAnsi="Times New Roman" w:cs="Times New Roman"/>
                <w:kern w:val="0"/>
                <w:sz w:val="20"/>
                <w:szCs w:val="20"/>
                <w:lang w:eastAsia="tr-TR"/>
                <w14:ligatures w14:val="none"/>
              </w:rPr>
              <w:t xml:space="preserve">) Toz kütle akışının 50 g/saatin altında olması durumunda, asgari izleme sıklığı üç yılda bire düşürülebilir.  </w:t>
            </w:r>
          </w:p>
          <w:p w14:paraId="7FA61416" w14:textId="77777777" w:rsidR="0055515A" w:rsidRPr="0055515A" w:rsidRDefault="0055515A" w:rsidP="0055515A">
            <w:pPr>
              <w:spacing w:after="120"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3</w:t>
            </w:r>
            <w:r w:rsidRPr="0055515A">
              <w:rPr>
                <w:rFonts w:ascii="Times New Roman" w:eastAsia="Times New Roman" w:hAnsi="Times New Roman" w:cs="Times New Roman"/>
                <w:kern w:val="0"/>
                <w:sz w:val="20"/>
                <w:szCs w:val="20"/>
                <w:lang w:eastAsia="tr-TR"/>
                <w14:ligatures w14:val="none"/>
              </w:rPr>
              <w:t xml:space="preserve">) İzleme sonuçları, ilgili hava-tekstil oranı ile birlikte raporlanır.  </w:t>
            </w:r>
          </w:p>
          <w:p w14:paraId="215D9597" w14:textId="77777777" w:rsidR="0055515A" w:rsidRPr="0055515A" w:rsidRDefault="0055515A" w:rsidP="0055515A">
            <w:pPr>
              <w:spacing w:after="120"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4</w:t>
            </w:r>
            <w:r w:rsidRPr="0055515A">
              <w:rPr>
                <w:rFonts w:ascii="Times New Roman" w:eastAsia="Times New Roman" w:hAnsi="Times New Roman" w:cs="Times New Roman"/>
                <w:kern w:val="0"/>
                <w:sz w:val="20"/>
                <w:szCs w:val="20"/>
                <w:lang w:eastAsia="tr-TR"/>
                <w14:ligatures w14:val="none"/>
              </w:rPr>
              <w:t xml:space="preserve">) İzleme, yalnızca ilgili maddenin, MET 2'de belirtilen girdiler ve çıktılar envanterine dayalı olarak atık gaz akışında önemli olduğu tespit edildiğinde uygulanır.  </w:t>
            </w:r>
          </w:p>
          <w:p w14:paraId="1E40969A" w14:textId="77777777" w:rsidR="0055515A" w:rsidRPr="0055515A" w:rsidRDefault="0055515A" w:rsidP="0055515A">
            <w:pPr>
              <w:spacing w:after="120"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5</w:t>
            </w:r>
            <w:r w:rsidRPr="0055515A">
              <w:rPr>
                <w:rFonts w:ascii="Times New Roman" w:eastAsia="Times New Roman" w:hAnsi="Times New Roman" w:cs="Times New Roman"/>
                <w:kern w:val="0"/>
                <w:sz w:val="20"/>
                <w:szCs w:val="20"/>
                <w:lang w:eastAsia="tr-TR"/>
                <w14:ligatures w14:val="none"/>
              </w:rPr>
              <w:t xml:space="preserve">) İzleme, yalnızca doğal gaz veya yalnızca sıvılaştırılmış petrol gazı yakıt olarak kullanıldığında uygulanmaz.  </w:t>
            </w:r>
          </w:p>
          <w:p w14:paraId="2EDE5622" w14:textId="77777777" w:rsidR="0055515A" w:rsidRPr="0055515A" w:rsidRDefault="0055515A" w:rsidP="0055515A">
            <w:pPr>
              <w:spacing w:after="120" w:line="240" w:lineRule="auto"/>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6</w:t>
            </w:r>
            <w:r w:rsidRPr="0055515A">
              <w:rPr>
                <w:rFonts w:ascii="Times New Roman" w:eastAsia="Times New Roman" w:hAnsi="Times New Roman" w:cs="Times New Roman"/>
                <w:kern w:val="0"/>
                <w:sz w:val="20"/>
                <w:szCs w:val="20"/>
                <w:lang w:eastAsia="tr-TR"/>
                <w14:ligatures w14:val="none"/>
              </w:rPr>
              <w:t>) T</w:t>
            </w:r>
            <w:r w:rsidR="009D570E">
              <w:rPr>
                <w:rFonts w:ascii="Times New Roman" w:eastAsia="Times New Roman" w:hAnsi="Times New Roman" w:cs="Times New Roman"/>
                <w:kern w:val="0"/>
                <w:sz w:val="20"/>
                <w:szCs w:val="20"/>
                <w:lang w:eastAsia="tr-TR"/>
                <w14:ligatures w14:val="none"/>
              </w:rPr>
              <w:t>UOB</w:t>
            </w:r>
            <w:r w:rsidRPr="0055515A">
              <w:rPr>
                <w:rFonts w:ascii="Times New Roman" w:eastAsia="Times New Roman" w:hAnsi="Times New Roman" w:cs="Times New Roman"/>
                <w:kern w:val="0"/>
                <w:sz w:val="20"/>
                <w:szCs w:val="20"/>
                <w:lang w:eastAsia="tr-TR"/>
                <w14:ligatures w14:val="none"/>
              </w:rPr>
              <w:t xml:space="preserve"> (Toplam Uçucu Organik Bileşik) kütle akışının 200 g/saatin altında olması durumunda, asgari izleme sıklığı üç yılda bire düşürülebilir.</w:t>
            </w:r>
          </w:p>
        </w:tc>
      </w:tr>
    </w:tbl>
    <w:p w14:paraId="3284084A"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p>
    <w:p w14:paraId="0E3ED3EE" w14:textId="77777777" w:rsidR="0055515A" w:rsidRPr="0055515A" w:rsidRDefault="0055515A" w:rsidP="0055515A">
      <w:pPr>
        <w:spacing w:after="120" w:line="360" w:lineRule="auto"/>
        <w:jc w:val="both"/>
        <w:rPr>
          <w:rFonts w:ascii="Times New Roman" w:eastAsia="Times New Roman" w:hAnsi="Times New Roman" w:cs="Times New Roman"/>
          <w:b/>
          <w:bCs/>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1.1.3. Su Tüketimi ve Atık Su Oluşumu</w:t>
      </w:r>
    </w:p>
    <w:p w14:paraId="1B550B29" w14:textId="31B3B0EE"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10 - </w:t>
      </w:r>
      <w:r w:rsidRPr="0055515A">
        <w:rPr>
          <w:rFonts w:ascii="Times New Roman" w:eastAsia="Times New Roman" w:hAnsi="Times New Roman" w:cs="Times New Roman"/>
          <w:bCs/>
          <w:color w:val="000000"/>
          <w:kern w:val="0"/>
          <w:sz w:val="24"/>
          <w:szCs w:val="24"/>
          <w:lang w:eastAsia="tr-TR"/>
          <w14:ligatures w14:val="none"/>
        </w:rPr>
        <w:t xml:space="preserve">Su tüketimini ve atık su oluşumunu azaltmak için MET, aşağıda verilen (a), (b) ve (c) teknikleri ile (d)’den (j)’ye kadar verilen tekniklerin uygun bir kombinasyonunu </w:t>
      </w:r>
      <w:r w:rsidRPr="0085348C">
        <w:rPr>
          <w:rFonts w:ascii="Times New Roman" w:eastAsia="Times New Roman" w:hAnsi="Times New Roman" w:cs="Times New Roman"/>
          <w:bCs/>
          <w:color w:val="000000"/>
          <w:kern w:val="0"/>
          <w:sz w:val="24"/>
          <w:szCs w:val="24"/>
          <w:lang w:eastAsia="tr-TR"/>
          <w14:ligatures w14:val="none"/>
        </w:rPr>
        <w:t>kullanacaktır:</w:t>
      </w:r>
      <w:r w:rsidR="0085348C" w:rsidRPr="0085348C">
        <w:rPr>
          <w:rFonts w:ascii="Times New Roman" w:eastAsia="Times New Roman" w:hAnsi="Times New Roman" w:cs="Times New Roman"/>
          <w:color w:val="000000"/>
          <w:kern w:val="0"/>
          <w:sz w:val="24"/>
          <w:szCs w:val="24"/>
          <w:lang w:eastAsia="tr-TR"/>
          <w14:ligatures w14:val="none"/>
        </w:rPr>
        <w:t xml:space="preserve"> </w:t>
      </w:r>
    </w:p>
    <w:tbl>
      <w:tblPr>
        <w:tblStyle w:val="TabloKlavuzu8"/>
        <w:tblW w:w="0" w:type="auto"/>
        <w:tblLook w:val="04A0" w:firstRow="1" w:lastRow="0" w:firstColumn="1" w:lastColumn="0" w:noHBand="0" w:noVBand="1"/>
      </w:tblPr>
      <w:tblGrid>
        <w:gridCol w:w="3114"/>
        <w:gridCol w:w="4143"/>
        <w:gridCol w:w="1805"/>
      </w:tblGrid>
      <w:tr w:rsidR="0055515A" w:rsidRPr="0055515A" w14:paraId="61DFBA43" w14:textId="77777777" w:rsidTr="00887149">
        <w:tc>
          <w:tcPr>
            <w:tcW w:w="3114" w:type="dxa"/>
          </w:tcPr>
          <w:p w14:paraId="2899D221"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
                <w:color w:val="000000"/>
              </w:rPr>
              <w:t>Teknik</w:t>
            </w:r>
          </w:p>
        </w:tc>
        <w:tc>
          <w:tcPr>
            <w:tcW w:w="4143" w:type="dxa"/>
          </w:tcPr>
          <w:p w14:paraId="301EF23D"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
                <w:color w:val="000000"/>
              </w:rPr>
              <w:t>Açıklama</w:t>
            </w:r>
          </w:p>
        </w:tc>
        <w:tc>
          <w:tcPr>
            <w:tcW w:w="1805" w:type="dxa"/>
          </w:tcPr>
          <w:p w14:paraId="2E3FD51E"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
                <w:color w:val="000000"/>
              </w:rPr>
              <w:t>Uygulanabilirlik</w:t>
            </w:r>
          </w:p>
        </w:tc>
      </w:tr>
      <w:tr w:rsidR="0055515A" w:rsidRPr="0055515A" w14:paraId="238DD081" w14:textId="77777777" w:rsidTr="00887149">
        <w:tc>
          <w:tcPr>
            <w:tcW w:w="9062" w:type="dxa"/>
            <w:gridSpan w:val="3"/>
          </w:tcPr>
          <w:p w14:paraId="5EF9786D" w14:textId="77777777" w:rsidR="0055515A" w:rsidRPr="0055515A" w:rsidRDefault="0055515A" w:rsidP="0055515A">
            <w:pPr>
              <w:spacing w:after="120" w:line="360" w:lineRule="auto"/>
              <w:jc w:val="both"/>
              <w:rPr>
                <w:rFonts w:ascii="Times New Roman" w:eastAsia="Times New Roman" w:hAnsi="Times New Roman" w:cs="Times New Roman"/>
                <w:bCs/>
                <w:i/>
              </w:rPr>
            </w:pPr>
            <w:r w:rsidRPr="0055515A">
              <w:rPr>
                <w:rFonts w:ascii="Times New Roman" w:eastAsia="Times New Roman" w:hAnsi="Times New Roman" w:cs="Times New Roman"/>
                <w:bCs/>
                <w:i/>
              </w:rPr>
              <w:t>Yönetim Teknikleri</w:t>
            </w:r>
          </w:p>
        </w:tc>
      </w:tr>
      <w:tr w:rsidR="0055515A" w:rsidRPr="0055515A" w14:paraId="429AB94A" w14:textId="77777777" w:rsidTr="00887149">
        <w:tc>
          <w:tcPr>
            <w:tcW w:w="3114" w:type="dxa"/>
          </w:tcPr>
          <w:p w14:paraId="1284B5B7" w14:textId="77777777" w:rsidR="0055515A" w:rsidRPr="0055515A" w:rsidRDefault="0055515A" w:rsidP="0082590D">
            <w:pPr>
              <w:numPr>
                <w:ilvl w:val="3"/>
                <w:numId w:val="29"/>
              </w:numPr>
              <w:spacing w:after="120" w:line="360" w:lineRule="auto"/>
              <w:ind w:left="164" w:firstLine="0"/>
              <w:contextualSpacing/>
              <w:rPr>
                <w:rFonts w:ascii="Times New Roman" w:eastAsia="Times New Roman" w:hAnsi="Times New Roman" w:cs="Times New Roman"/>
                <w:iCs/>
                <w:color w:val="000000"/>
              </w:rPr>
            </w:pPr>
            <w:r w:rsidRPr="0055515A">
              <w:rPr>
                <w:rFonts w:ascii="Times New Roman" w:eastAsia="Times New Roman" w:hAnsi="Times New Roman" w:cs="Times New Roman"/>
                <w:iCs/>
                <w:color w:val="000000"/>
              </w:rPr>
              <w:t>Su Yönetim Planı ve su denetimleri</w:t>
            </w:r>
          </w:p>
        </w:tc>
        <w:tc>
          <w:tcPr>
            <w:tcW w:w="4143" w:type="dxa"/>
          </w:tcPr>
          <w:p w14:paraId="083BE096"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 xml:space="preserve"> Su Yönetim Planı ve su denetimleri, Çevre Yönetim Sistemi’nin bir parçası olup aşağıdakileri içerecektir</w:t>
            </w:r>
            <w:r w:rsidR="0048732D">
              <w:rPr>
                <w:rFonts w:ascii="Times New Roman" w:eastAsia="Times New Roman" w:hAnsi="Times New Roman" w:cs="Times New Roman"/>
                <w:color w:val="000000"/>
              </w:rPr>
              <w:t>(MET 1)</w:t>
            </w:r>
            <w:r w:rsidRPr="0055515A">
              <w:rPr>
                <w:rFonts w:ascii="Times New Roman" w:eastAsia="Times New Roman" w:hAnsi="Times New Roman" w:cs="Times New Roman"/>
                <w:color w:val="000000"/>
              </w:rPr>
              <w:t>:</w:t>
            </w:r>
          </w:p>
          <w:p w14:paraId="7C238952" w14:textId="6FF8552E"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w:t>
            </w:r>
            <w:r w:rsidR="0048732D">
              <w:rPr>
                <w:rFonts w:ascii="Times New Roman" w:eastAsia="Times New Roman" w:hAnsi="Times New Roman" w:cs="Times New Roman"/>
                <w:color w:val="000000"/>
              </w:rPr>
              <w:t xml:space="preserve">MET 2 de belirtilen </w:t>
            </w:r>
            <w:r w:rsidRPr="0055515A">
              <w:rPr>
                <w:rFonts w:ascii="Times New Roman" w:eastAsia="Times New Roman" w:hAnsi="Times New Roman" w:cs="Times New Roman"/>
                <w:color w:val="000000"/>
              </w:rPr>
              <w:t>girdi ve çıktı envanterinin bir parçası olarak tesis ve proseslere ait akış şemaları ile su kütle dengeleri;</w:t>
            </w:r>
          </w:p>
          <w:p w14:paraId="7A57FCC8" w14:textId="24E8A7CB"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▪su verimliliği hedefleri</w:t>
            </w:r>
            <w:r w:rsidR="0048732D">
              <w:rPr>
                <w:rFonts w:ascii="Times New Roman" w:eastAsia="Times New Roman" w:hAnsi="Times New Roman" w:cs="Times New Roman"/>
                <w:color w:val="000000"/>
              </w:rPr>
              <w:t>nin oluşturulma</w:t>
            </w:r>
            <w:r w:rsidRPr="0055515A">
              <w:rPr>
                <w:rFonts w:ascii="Times New Roman" w:eastAsia="Times New Roman" w:hAnsi="Times New Roman" w:cs="Times New Roman"/>
                <w:color w:val="000000"/>
              </w:rPr>
              <w:t>;</w:t>
            </w:r>
          </w:p>
          <w:p w14:paraId="1C897760" w14:textId="0C79E7BF"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▪su optimizasyon teknikleri</w:t>
            </w:r>
            <w:r w:rsidR="00265BD2">
              <w:rPr>
                <w:rFonts w:ascii="Times New Roman" w:eastAsia="Times New Roman" w:hAnsi="Times New Roman" w:cs="Times New Roman"/>
                <w:color w:val="000000"/>
              </w:rPr>
              <w:t>nin uygulanması</w:t>
            </w:r>
            <w:r w:rsidRPr="0055515A">
              <w:rPr>
                <w:rFonts w:ascii="Times New Roman" w:eastAsia="Times New Roman" w:hAnsi="Times New Roman" w:cs="Times New Roman"/>
                <w:color w:val="000000"/>
              </w:rPr>
              <w:t xml:space="preserve"> (örneğin; su kullanım kontrolü, yeniden kullanım/geri dönüşüm, sızıntıların saptanması ve onarılması).</w:t>
            </w:r>
          </w:p>
          <w:p w14:paraId="60B554F2"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 xml:space="preserve">Su Yönetim Planında yer alan hedeflerin gerçekleştirilmesi ile su denetim tavsiyelerinin dikkate alınarak uygulanmasını sağlamak için su denetimleri, </w:t>
            </w:r>
            <w:r w:rsidRPr="0055515A">
              <w:rPr>
                <w:rFonts w:ascii="Times New Roman" w:eastAsia="Times New Roman" w:hAnsi="Times New Roman" w:cs="Times New Roman"/>
                <w:color w:val="000000"/>
              </w:rPr>
              <w:lastRenderedPageBreak/>
              <w:t>her yıl en az bir kere yapılacaktır. Su Yönetim Planı ile su denetimleri, daha büyük bir endüstriyel bölgenin bütüncül Su Yönetim Planına entegre edilebilir.</w:t>
            </w:r>
          </w:p>
        </w:tc>
        <w:tc>
          <w:tcPr>
            <w:tcW w:w="1805" w:type="dxa"/>
          </w:tcPr>
          <w:p w14:paraId="2788B529"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lastRenderedPageBreak/>
              <w:t>Su yönetim planı ve su denetimlerinin detay seviyesi, genellikle tesisin doğası, ölçeği ve karmaşıklığı ile ilişkili olacaktır.</w:t>
            </w:r>
          </w:p>
        </w:tc>
      </w:tr>
      <w:tr w:rsidR="0055515A" w:rsidRPr="0055515A" w14:paraId="66DB0C18" w14:textId="77777777" w:rsidTr="00887149">
        <w:tc>
          <w:tcPr>
            <w:tcW w:w="3114" w:type="dxa"/>
          </w:tcPr>
          <w:p w14:paraId="44C32C17" w14:textId="77777777" w:rsidR="0055515A" w:rsidRPr="0055515A" w:rsidRDefault="0055515A" w:rsidP="0082590D">
            <w:pPr>
              <w:numPr>
                <w:ilvl w:val="3"/>
                <w:numId w:val="29"/>
              </w:numPr>
              <w:spacing w:after="120" w:line="360" w:lineRule="auto"/>
              <w:ind w:left="306" w:right="-75" w:firstLine="0"/>
              <w:contextualSpacing/>
              <w:jc w:val="both"/>
              <w:rPr>
                <w:rFonts w:ascii="Times New Roman" w:eastAsia="Times New Roman" w:hAnsi="Times New Roman" w:cs="Times New Roman"/>
                <w:color w:val="000000"/>
              </w:rPr>
            </w:pPr>
            <w:r w:rsidRPr="0055515A">
              <w:rPr>
                <w:rFonts w:ascii="Times New Roman" w:eastAsia="Times New Roman" w:hAnsi="Times New Roman" w:cs="Times New Roman"/>
                <w:i/>
                <w:color w:val="000000"/>
              </w:rPr>
              <w:t>Üretim optimizasyonu</w:t>
            </w:r>
            <w:r w:rsidRPr="0055515A">
              <w:rPr>
                <w:rFonts w:ascii="Times New Roman" w:eastAsia="Times New Roman" w:hAnsi="Times New Roman" w:cs="Times New Roman"/>
                <w:color w:val="000000"/>
              </w:rPr>
              <w:t>.</w:t>
            </w:r>
          </w:p>
        </w:tc>
        <w:tc>
          <w:tcPr>
            <w:tcW w:w="4143" w:type="dxa"/>
          </w:tcPr>
          <w:p w14:paraId="454EE8D6" w14:textId="3BBC4B6D" w:rsidR="0055515A" w:rsidRPr="0055515A" w:rsidRDefault="0055515A" w:rsidP="00691C2D">
            <w:pPr>
              <w:pBdr>
                <w:top w:val="nil"/>
                <w:left w:val="nil"/>
                <w:bottom w:val="nil"/>
                <w:right w:val="nil"/>
                <w:between w:val="nil"/>
              </w:pBdr>
              <w:spacing w:after="120" w:line="360" w:lineRule="auto"/>
              <w:jc w:val="both"/>
              <w:rPr>
                <w:rFonts w:ascii="Times New Roman" w:eastAsia="Times New Roman" w:hAnsi="Times New Roman" w:cs="Times New Roman"/>
                <w:color w:val="000000"/>
              </w:rPr>
            </w:pPr>
            <w:r w:rsidRPr="00313D18">
              <w:rPr>
                <w:rFonts w:ascii="Times New Roman" w:eastAsia="Times New Roman" w:hAnsi="Times New Roman" w:cs="Times New Roman"/>
                <w:color w:val="000000"/>
              </w:rPr>
              <w:t>Proseslerin optimum kombinasyonları (örneğin; ön arıtım proseslerinin birleştirilmesi, koyu tonlarda boyama yapılmadan önce tekstil materyallerinin ağartılmasının önlenmesi) ile parti üretiminin optimize bir şekilde programlanmasını (örneğin; tekstil materyallerinin koyu tonlarda boyanmasının aynı boyama ekipmanları ile açık tonlarda boyanmasından sonra yapılması) içermektedir.</w:t>
            </w:r>
          </w:p>
        </w:tc>
        <w:tc>
          <w:tcPr>
            <w:tcW w:w="1805" w:type="dxa"/>
          </w:tcPr>
          <w:p w14:paraId="7F472172"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t>Genel olarak uygulanabilir.</w:t>
            </w:r>
          </w:p>
        </w:tc>
      </w:tr>
      <w:tr w:rsidR="0055515A" w:rsidRPr="0055515A" w14:paraId="204AC733" w14:textId="77777777" w:rsidTr="00887149">
        <w:tc>
          <w:tcPr>
            <w:tcW w:w="9062" w:type="dxa"/>
            <w:gridSpan w:val="3"/>
          </w:tcPr>
          <w:p w14:paraId="5488D471" w14:textId="41A6618D" w:rsidR="0055515A" w:rsidRPr="00691C2D" w:rsidRDefault="0055515A" w:rsidP="0055515A">
            <w:pPr>
              <w:spacing w:after="120" w:line="360" w:lineRule="auto"/>
              <w:jc w:val="both"/>
              <w:rPr>
                <w:rFonts w:ascii="Times New Roman" w:eastAsia="Times New Roman" w:hAnsi="Times New Roman" w:cs="Times New Roman"/>
                <w:i/>
              </w:rPr>
            </w:pPr>
            <w:r w:rsidRPr="0055515A">
              <w:rPr>
                <w:rFonts w:ascii="Times New Roman" w:eastAsia="Times New Roman" w:hAnsi="Times New Roman" w:cs="Times New Roman"/>
                <w:i/>
              </w:rPr>
              <w:t>Tasarım ve Operasyon Teknikleri</w:t>
            </w:r>
          </w:p>
        </w:tc>
      </w:tr>
      <w:tr w:rsidR="0055515A" w:rsidRPr="0055515A" w14:paraId="0C9840BE" w14:textId="77777777" w:rsidTr="00887149">
        <w:tc>
          <w:tcPr>
            <w:tcW w:w="3114" w:type="dxa"/>
          </w:tcPr>
          <w:p w14:paraId="6FC8A253" w14:textId="77777777" w:rsidR="0055515A" w:rsidRPr="0055515A" w:rsidRDefault="0055515A" w:rsidP="0055515A">
            <w:pPr>
              <w:spacing w:after="120" w:line="360" w:lineRule="auto"/>
              <w:jc w:val="both"/>
              <w:rPr>
                <w:rFonts w:ascii="Times New Roman" w:eastAsia="Times New Roman" w:hAnsi="Times New Roman" w:cs="Times New Roman"/>
                <w:iCs/>
                <w:color w:val="000000"/>
              </w:rPr>
            </w:pPr>
            <w:r w:rsidRPr="0055515A">
              <w:rPr>
                <w:rFonts w:ascii="Times New Roman" w:eastAsia="Times New Roman" w:hAnsi="Times New Roman" w:cs="Times New Roman"/>
                <w:iCs/>
                <w:color w:val="000000"/>
              </w:rPr>
              <w:t>c.Kirli ve Kirli Olmayan Su Akış Kollarının Ayrılması</w:t>
            </w:r>
          </w:p>
        </w:tc>
        <w:tc>
          <w:tcPr>
            <w:tcW w:w="4143" w:type="dxa"/>
          </w:tcPr>
          <w:p w14:paraId="7F085032"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Su akış kolları, kirletici içeriği ve gerekli olan arıtma yöntemlerine göre ayrı olarak toplanacaktır. Kirli su akış kolları (örneğin, kullanılmış proses suları) ile arıtma gerektirmeden yeniden kullanılabilir kirli olmayan su akış kolları (örneğin, soğutma suları), arıtma gerektiren atık su kollarından ayrılacaktır.</w:t>
            </w:r>
          </w:p>
        </w:tc>
        <w:tc>
          <w:tcPr>
            <w:tcW w:w="1805" w:type="dxa"/>
          </w:tcPr>
          <w:p w14:paraId="7CF98CB7"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t>Mevcut tesislere uygulanabilirliği, su toplama sisteminin yerleşimi ve geçici depolama tankları için yeterli alanın olmaması nedeniyle sınırlı olabilir.</w:t>
            </w:r>
          </w:p>
        </w:tc>
      </w:tr>
      <w:tr w:rsidR="0055515A" w:rsidRPr="0055515A" w14:paraId="3DF2E64E" w14:textId="77777777" w:rsidTr="00887149">
        <w:tc>
          <w:tcPr>
            <w:tcW w:w="3114" w:type="dxa"/>
          </w:tcPr>
          <w:p w14:paraId="47F88108" w14:textId="77777777" w:rsidR="0055515A" w:rsidRPr="0055515A" w:rsidRDefault="0055515A" w:rsidP="0055515A">
            <w:pPr>
              <w:spacing w:after="120" w:line="360" w:lineRule="auto"/>
              <w:jc w:val="both"/>
              <w:rPr>
                <w:rFonts w:ascii="Times New Roman" w:eastAsia="Times New Roman" w:hAnsi="Times New Roman" w:cs="Times New Roman"/>
                <w:iCs/>
                <w:color w:val="000000"/>
              </w:rPr>
            </w:pPr>
            <w:r w:rsidRPr="0055515A">
              <w:rPr>
                <w:rFonts w:ascii="Times New Roman" w:eastAsia="Times New Roman" w:hAnsi="Times New Roman" w:cs="Times New Roman"/>
                <w:iCs/>
                <w:color w:val="000000"/>
              </w:rPr>
              <w:t>d.Az Su Kullanan ya da Hiç Su Kullanmayan Prosesler</w:t>
            </w:r>
          </w:p>
        </w:tc>
        <w:tc>
          <w:tcPr>
            <w:tcW w:w="4143" w:type="dxa"/>
          </w:tcPr>
          <w:p w14:paraId="237AD8BD"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Plazma veya lazer arıtma ile ozon arıtması gibi düşük su kullanımı olan prosesleri içermektedir.</w:t>
            </w:r>
          </w:p>
          <w:p w14:paraId="3AD9936B"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1805" w:type="dxa"/>
          </w:tcPr>
          <w:p w14:paraId="47F931A8"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t>Uygulanabilirliği, tekstil materyallerinin özellikleri ve/veya ürün spesifikasyonları tarafından sınırlanabilir.</w:t>
            </w:r>
          </w:p>
        </w:tc>
      </w:tr>
      <w:tr w:rsidR="0055515A" w:rsidRPr="0055515A" w14:paraId="18C0F588" w14:textId="77777777" w:rsidTr="00887149">
        <w:tc>
          <w:tcPr>
            <w:tcW w:w="3114" w:type="dxa"/>
          </w:tcPr>
          <w:p w14:paraId="2A7A03DF" w14:textId="2D6C575B" w:rsidR="0055515A" w:rsidRPr="0055515A" w:rsidRDefault="0038525B" w:rsidP="00887149">
            <w:pPr>
              <w:spacing w:after="120" w:line="360" w:lineRule="auto"/>
              <w:contextualSpacing/>
              <w:jc w:val="both"/>
              <w:rPr>
                <w:rFonts w:ascii="Times New Roman" w:eastAsia="Times New Roman" w:hAnsi="Times New Roman" w:cs="Times New Roman"/>
                <w:iCs/>
                <w:color w:val="000000"/>
              </w:rPr>
            </w:pPr>
            <w:r>
              <w:rPr>
                <w:rFonts w:ascii="Times New Roman" w:eastAsia="Times New Roman" w:hAnsi="Times New Roman" w:cs="Times New Roman"/>
                <w:iCs/>
                <w:color w:val="000000"/>
              </w:rPr>
              <w:lastRenderedPageBreak/>
              <w:t>e.</w:t>
            </w:r>
            <w:r w:rsidR="0055515A" w:rsidRPr="0055515A">
              <w:rPr>
                <w:rFonts w:ascii="Times New Roman" w:eastAsia="Times New Roman" w:hAnsi="Times New Roman" w:cs="Times New Roman"/>
                <w:iCs/>
                <w:color w:val="000000"/>
              </w:rPr>
              <w:t>Kullanılan Proses Suyu Miktarının Optimizasyonu</w:t>
            </w:r>
          </w:p>
        </w:tc>
        <w:tc>
          <w:tcPr>
            <w:tcW w:w="4143" w:type="dxa"/>
          </w:tcPr>
          <w:p w14:paraId="25F34B12" w14:textId="77777777" w:rsidR="0055515A" w:rsidRPr="0055515A" w:rsidRDefault="002816B4">
            <w:pPr>
              <w:spacing w:after="12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Kesintili</w:t>
            </w:r>
            <w:r w:rsidRPr="0055515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prosesler</w:t>
            </w:r>
            <w:r w:rsidR="0055515A" w:rsidRPr="0055515A">
              <w:rPr>
                <w:rFonts w:ascii="Times New Roman" w:eastAsia="Times New Roman" w:hAnsi="Times New Roman" w:cs="Times New Roman"/>
                <w:color w:val="000000"/>
              </w:rPr>
              <w:t>, düşük su oranlı sistemlerle yürütülecektir. Kesintisiz prosesler ise, püskürtme gibi düşük hacim uygulamalı sistemlerle yürütülecektir.</w:t>
            </w:r>
          </w:p>
        </w:tc>
        <w:tc>
          <w:tcPr>
            <w:tcW w:w="1805" w:type="dxa"/>
          </w:tcPr>
          <w:p w14:paraId="0193A8D7"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t>Genel olarak uygulanabilir.</w:t>
            </w:r>
          </w:p>
        </w:tc>
      </w:tr>
      <w:tr w:rsidR="0055515A" w:rsidRPr="0055515A" w14:paraId="602FB10E" w14:textId="77777777" w:rsidTr="00887149">
        <w:tc>
          <w:tcPr>
            <w:tcW w:w="3114" w:type="dxa"/>
          </w:tcPr>
          <w:p w14:paraId="3D982971" w14:textId="305FFF79" w:rsidR="0055515A" w:rsidRPr="0055515A" w:rsidRDefault="0038525B" w:rsidP="00887149">
            <w:pPr>
              <w:spacing w:after="120" w:line="360" w:lineRule="auto"/>
              <w:contextualSpacing/>
              <w:jc w:val="both"/>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f. </w:t>
            </w:r>
            <w:r w:rsidR="0055515A" w:rsidRPr="0055515A">
              <w:rPr>
                <w:rFonts w:ascii="Times New Roman" w:eastAsia="Times New Roman" w:hAnsi="Times New Roman" w:cs="Times New Roman"/>
                <w:iCs/>
                <w:color w:val="000000"/>
              </w:rPr>
              <w:t>Ekipman Temizliğinin Optimizasyonu</w:t>
            </w:r>
          </w:p>
        </w:tc>
        <w:tc>
          <w:tcPr>
            <w:tcW w:w="4143" w:type="dxa"/>
          </w:tcPr>
          <w:p w14:paraId="117A9A86" w14:textId="77777777" w:rsidR="00FC16F0" w:rsidRDefault="00FC16F0" w:rsidP="0055515A">
            <w:pPr>
              <w:pBdr>
                <w:top w:val="nil"/>
                <w:left w:val="nil"/>
                <w:bottom w:val="nil"/>
                <w:right w:val="nil"/>
                <w:between w:val="nil"/>
              </w:pBdr>
              <w:spacing w:line="36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5515A" w:rsidRPr="0055515A">
              <w:rPr>
                <w:rFonts w:ascii="Times New Roman" w:eastAsia="Times New Roman" w:hAnsi="Times New Roman" w:cs="Times New Roman"/>
                <w:color w:val="000000"/>
              </w:rPr>
              <w:t>susuz temizleme (örneğin; tankların iç yüzeylerinin silinmesi veya fırçalanması, baskı patı içeren ragle çekeceği, döner elek ve tamburların mekanik olarak ön temizlenmesi (bkz. MET 44) ile</w:t>
            </w:r>
          </w:p>
          <w:p w14:paraId="2786C6F8" w14:textId="77777777" w:rsidR="0055515A" w:rsidRPr="0055515A" w:rsidRDefault="00FC16F0" w:rsidP="0055515A">
            <w:pPr>
              <w:pBdr>
                <w:top w:val="nil"/>
                <w:left w:val="nil"/>
                <w:bottom w:val="nil"/>
                <w:right w:val="nil"/>
                <w:between w:val="nil"/>
              </w:pBdr>
              <w:spacing w:line="36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55515A" w:rsidRPr="0055515A">
              <w:rPr>
                <w:rFonts w:ascii="Times New Roman" w:eastAsia="Times New Roman" w:hAnsi="Times New Roman" w:cs="Times New Roman"/>
                <w:color w:val="000000"/>
              </w:rPr>
              <w:t xml:space="preserve"> daha az miktarda su ile birden fazla temizleme adımını (son adımda kullanılan su, ekipmanın başka bir parçasını temizlemede kullanılabilir) içermektedir.</w:t>
            </w:r>
          </w:p>
          <w:p w14:paraId="788BEC16"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1805" w:type="dxa"/>
          </w:tcPr>
          <w:p w14:paraId="2AECF996"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t>Mevcut tesislerde susuz temizliğin uygulanabilirliği, ekipmana erişimle (örneğin, kapalı ve yarı kapalı sistemler) sınırlı olabilir.</w:t>
            </w:r>
          </w:p>
        </w:tc>
      </w:tr>
      <w:tr w:rsidR="0055515A" w:rsidRPr="0055515A" w14:paraId="36365126" w14:textId="77777777" w:rsidTr="00887149">
        <w:tc>
          <w:tcPr>
            <w:tcW w:w="3114" w:type="dxa"/>
          </w:tcPr>
          <w:p w14:paraId="20A83D74" w14:textId="77777777" w:rsidR="0055515A" w:rsidRPr="0055515A" w:rsidRDefault="0055515A">
            <w:pPr>
              <w:spacing w:after="120" w:line="360" w:lineRule="auto"/>
              <w:jc w:val="both"/>
              <w:rPr>
                <w:rFonts w:ascii="Times New Roman" w:eastAsia="Times New Roman" w:hAnsi="Times New Roman" w:cs="Times New Roman"/>
                <w:iCs/>
                <w:color w:val="000000"/>
              </w:rPr>
            </w:pPr>
            <w:r w:rsidRPr="0055515A">
              <w:rPr>
                <w:rFonts w:ascii="Times New Roman" w:eastAsia="Times New Roman" w:hAnsi="Times New Roman" w:cs="Times New Roman"/>
                <w:iCs/>
                <w:color w:val="000000"/>
              </w:rPr>
              <w:t xml:space="preserve">g. </w:t>
            </w:r>
            <w:r w:rsidR="00265BD2" w:rsidRPr="00265BD2">
              <w:rPr>
                <w:rFonts w:ascii="Times New Roman" w:eastAsia="Times New Roman" w:hAnsi="Times New Roman" w:cs="Times New Roman"/>
                <w:iCs/>
                <w:color w:val="000000"/>
              </w:rPr>
              <w:t xml:space="preserve">Tekstil materyallerinin optimize </w:t>
            </w:r>
            <w:r w:rsidR="00265BD2">
              <w:rPr>
                <w:rFonts w:ascii="Times New Roman" w:eastAsia="Times New Roman" w:hAnsi="Times New Roman" w:cs="Times New Roman"/>
                <w:iCs/>
                <w:color w:val="000000"/>
              </w:rPr>
              <w:t xml:space="preserve">edilerek </w:t>
            </w:r>
            <w:r w:rsidR="00265BD2" w:rsidRPr="00265BD2">
              <w:rPr>
                <w:rFonts w:ascii="Times New Roman" w:eastAsia="Times New Roman" w:hAnsi="Times New Roman" w:cs="Times New Roman"/>
                <w:iCs/>
                <w:color w:val="000000"/>
              </w:rPr>
              <w:t xml:space="preserve"> toplu işlenmesi, yıkanması ve durulanması</w:t>
            </w:r>
            <w:r w:rsidR="00FC16F0">
              <w:rPr>
                <w:rFonts w:ascii="Times New Roman" w:eastAsia="Times New Roman" w:hAnsi="Times New Roman" w:cs="Times New Roman"/>
                <w:iCs/>
                <w:color w:val="000000"/>
              </w:rPr>
              <w:t xml:space="preserve"> </w:t>
            </w:r>
          </w:p>
        </w:tc>
        <w:tc>
          <w:tcPr>
            <w:tcW w:w="4143" w:type="dxa"/>
          </w:tcPr>
          <w:p w14:paraId="714A5D09" w14:textId="77777777" w:rsidR="00FC16F0" w:rsidRPr="00FC16F0" w:rsidRDefault="00FC16F0" w:rsidP="00FC16F0">
            <w:pPr>
              <w:spacing w:after="120" w:line="360" w:lineRule="auto"/>
              <w:jc w:val="both"/>
              <w:rPr>
                <w:rFonts w:ascii="Times New Roman" w:eastAsia="Times New Roman" w:hAnsi="Times New Roman" w:cs="Times New Roman"/>
                <w:i/>
                <w:color w:val="000000"/>
              </w:rPr>
            </w:pPr>
            <w:r w:rsidRPr="00FC16F0">
              <w:rPr>
                <w:rFonts w:ascii="Times New Roman" w:eastAsia="Times New Roman" w:hAnsi="Times New Roman" w:cs="Times New Roman"/>
                <w:i/>
                <w:color w:val="000000"/>
              </w:rPr>
              <w:t xml:space="preserve">Bunlar </w:t>
            </w:r>
            <w:r>
              <w:rPr>
                <w:rFonts w:ascii="Times New Roman" w:eastAsia="Times New Roman" w:hAnsi="Times New Roman" w:cs="Times New Roman"/>
                <w:i/>
                <w:color w:val="000000"/>
              </w:rPr>
              <w:t xml:space="preserve">aşağıdaki adımları </w:t>
            </w:r>
            <w:r w:rsidRPr="00FC16F0">
              <w:rPr>
                <w:rFonts w:ascii="Times New Roman" w:eastAsia="Times New Roman" w:hAnsi="Times New Roman" w:cs="Times New Roman"/>
                <w:i/>
                <w:color w:val="000000"/>
              </w:rPr>
              <w:t xml:space="preserve"> içerir:</w:t>
            </w:r>
          </w:p>
          <w:p w14:paraId="4CE01090" w14:textId="77777777" w:rsidR="00FC16F0" w:rsidRPr="00FC16F0" w:rsidRDefault="00FC16F0" w:rsidP="00FC16F0">
            <w:pPr>
              <w:spacing w:after="120" w:line="360" w:lineRule="auto"/>
              <w:jc w:val="both"/>
              <w:rPr>
                <w:rFonts w:ascii="Times New Roman" w:eastAsia="Times New Roman" w:hAnsi="Times New Roman" w:cs="Times New Roman"/>
                <w:i/>
                <w:color w:val="000000"/>
              </w:rPr>
            </w:pPr>
            <w:r w:rsidRPr="00FC16F0">
              <w:rPr>
                <w:rFonts w:ascii="Times New Roman" w:eastAsia="Times New Roman" w:hAnsi="Times New Roman" w:cs="Times New Roman"/>
                <w:i/>
                <w:color w:val="000000"/>
              </w:rPr>
              <w:t>— geçici depolama için yardımcı tankların kullanımı:</w:t>
            </w:r>
          </w:p>
          <w:p w14:paraId="4AE84C8A" w14:textId="77777777" w:rsidR="00FC16F0" w:rsidRPr="00FC16F0" w:rsidRDefault="00FC16F0" w:rsidP="00FC16F0">
            <w:pPr>
              <w:spacing w:after="120" w:line="360" w:lineRule="auto"/>
              <w:jc w:val="both"/>
              <w:rPr>
                <w:rFonts w:ascii="Times New Roman" w:eastAsia="Times New Roman" w:hAnsi="Times New Roman" w:cs="Times New Roman"/>
                <w:i/>
                <w:color w:val="000000"/>
              </w:rPr>
            </w:pPr>
            <w:r w:rsidRPr="00FC16F0">
              <w:rPr>
                <w:rFonts w:ascii="Times New Roman" w:eastAsia="Times New Roman" w:hAnsi="Times New Roman" w:cs="Times New Roman"/>
                <w:i/>
                <w:color w:val="000000"/>
              </w:rPr>
              <w:t>— kullanılmış yıkama veya durulama suyu;</w:t>
            </w:r>
          </w:p>
          <w:p w14:paraId="4CCD1702" w14:textId="77777777" w:rsidR="00FC16F0" w:rsidRPr="00FC16F0" w:rsidRDefault="00FC16F0" w:rsidP="00FC16F0">
            <w:pPr>
              <w:spacing w:after="120" w:line="360" w:lineRule="auto"/>
              <w:jc w:val="both"/>
              <w:rPr>
                <w:rFonts w:ascii="Times New Roman" w:eastAsia="Times New Roman" w:hAnsi="Times New Roman" w:cs="Times New Roman"/>
                <w:i/>
                <w:color w:val="000000"/>
              </w:rPr>
            </w:pPr>
            <w:r w:rsidRPr="00FC16F0">
              <w:rPr>
                <w:rFonts w:ascii="Times New Roman" w:eastAsia="Times New Roman" w:hAnsi="Times New Roman" w:cs="Times New Roman"/>
                <w:i/>
                <w:color w:val="000000"/>
              </w:rPr>
              <w:t>— taze veya kullanılmış işlem sıvısı.</w:t>
            </w:r>
          </w:p>
          <w:p w14:paraId="44A6114B" w14:textId="26F9269B" w:rsidR="0055515A" w:rsidRPr="00691C2D" w:rsidRDefault="00FC16F0" w:rsidP="00FC16F0">
            <w:pPr>
              <w:spacing w:after="120" w:line="360" w:lineRule="auto"/>
              <w:jc w:val="both"/>
              <w:rPr>
                <w:rFonts w:ascii="Times New Roman" w:eastAsia="Times New Roman" w:hAnsi="Times New Roman" w:cs="Times New Roman"/>
                <w:i/>
                <w:color w:val="000000"/>
              </w:rPr>
            </w:pPr>
            <w:r w:rsidRPr="00FC16F0">
              <w:rPr>
                <w:rFonts w:ascii="Times New Roman" w:eastAsia="Times New Roman" w:hAnsi="Times New Roman" w:cs="Times New Roman"/>
                <w:i/>
                <w:color w:val="000000"/>
              </w:rPr>
              <w:t>— az miktarda suyla durulama ve yıkama için çoklu boşaltma ve doldurma adımları.</w:t>
            </w:r>
          </w:p>
        </w:tc>
        <w:tc>
          <w:tcPr>
            <w:tcW w:w="1805" w:type="dxa"/>
          </w:tcPr>
          <w:p w14:paraId="31F24463"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t>Mevcut tesislerde yardımcı tankların kullanımı, alan yetersizliği nedeniyle sınırlı olabilir.</w:t>
            </w:r>
          </w:p>
        </w:tc>
      </w:tr>
      <w:tr w:rsidR="0055515A" w:rsidRPr="0055515A" w14:paraId="03323100" w14:textId="77777777" w:rsidTr="00887149">
        <w:tc>
          <w:tcPr>
            <w:tcW w:w="3114" w:type="dxa"/>
          </w:tcPr>
          <w:p w14:paraId="5CD3E7B5" w14:textId="77777777" w:rsidR="0055515A" w:rsidRPr="0055515A" w:rsidRDefault="0055515A" w:rsidP="0055515A">
            <w:pPr>
              <w:spacing w:after="120" w:line="360" w:lineRule="auto"/>
              <w:jc w:val="both"/>
              <w:rPr>
                <w:rFonts w:ascii="Times New Roman" w:eastAsia="Times New Roman" w:hAnsi="Times New Roman" w:cs="Times New Roman"/>
                <w:iCs/>
                <w:color w:val="000000"/>
              </w:rPr>
            </w:pPr>
            <w:r w:rsidRPr="0055515A">
              <w:rPr>
                <w:rFonts w:ascii="Times New Roman" w:eastAsia="Times New Roman" w:hAnsi="Times New Roman" w:cs="Times New Roman"/>
                <w:iCs/>
                <w:color w:val="000000"/>
              </w:rPr>
              <w:t>h.Tekstil Materyallerinin Kesintisiz Üretimi, Yıkama ve Durulama Aşamalarının Optimizasyonu</w:t>
            </w:r>
          </w:p>
        </w:tc>
        <w:tc>
          <w:tcPr>
            <w:tcW w:w="4143" w:type="dxa"/>
          </w:tcPr>
          <w:p w14:paraId="486D00D7"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Çevrim içi anlık ölçümlere dayalı olarak zamanında ve yerinde proses suyu hazırlanmasını, yıkama makinesi durduğunda su girişinin otomatik olarak kapatılmasını, ters akımlı yıkama ve durulama aşamalarını ve proses kimyasallarının taşınmasını azaltmak için tekstil materyallerinin ara aşamada mekanik olarak kurutulmasını (bkz. MET 13 (a)) içermektedir.</w:t>
            </w:r>
          </w:p>
        </w:tc>
        <w:tc>
          <w:tcPr>
            <w:tcW w:w="1805" w:type="dxa"/>
          </w:tcPr>
          <w:p w14:paraId="18C61C23"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Cs/>
                <w:color w:val="000000"/>
              </w:rPr>
              <w:t>Genel olarak uygulanabilir.</w:t>
            </w:r>
          </w:p>
        </w:tc>
      </w:tr>
      <w:tr w:rsidR="0055515A" w:rsidRPr="0055515A" w14:paraId="731140E7" w14:textId="77777777" w:rsidTr="00887149">
        <w:tc>
          <w:tcPr>
            <w:tcW w:w="9062" w:type="dxa"/>
            <w:gridSpan w:val="3"/>
          </w:tcPr>
          <w:p w14:paraId="378E8F03" w14:textId="77777777" w:rsidR="0055515A" w:rsidRPr="0055515A" w:rsidRDefault="0055515A" w:rsidP="0055515A">
            <w:pPr>
              <w:spacing w:after="120" w:line="360" w:lineRule="auto"/>
              <w:jc w:val="both"/>
              <w:rPr>
                <w:rFonts w:ascii="Times New Roman" w:eastAsia="Times New Roman" w:hAnsi="Times New Roman" w:cs="Times New Roman"/>
                <w:i/>
              </w:rPr>
            </w:pPr>
            <w:r w:rsidRPr="0055515A">
              <w:rPr>
                <w:rFonts w:ascii="Times New Roman" w:eastAsia="Times New Roman" w:hAnsi="Times New Roman" w:cs="Times New Roman"/>
                <w:i/>
              </w:rPr>
              <w:lastRenderedPageBreak/>
              <w:t>Yeniden Kullanım ve Geri Dönüşüm Teknikleri</w:t>
            </w:r>
          </w:p>
        </w:tc>
      </w:tr>
      <w:tr w:rsidR="0055515A" w:rsidRPr="0055515A" w14:paraId="6E57A3C9" w14:textId="77777777" w:rsidTr="00887149">
        <w:tc>
          <w:tcPr>
            <w:tcW w:w="3114" w:type="dxa"/>
          </w:tcPr>
          <w:p w14:paraId="77F3D474" w14:textId="77777777" w:rsidR="0055515A" w:rsidRPr="0055515A" w:rsidRDefault="0055515A" w:rsidP="0055515A">
            <w:pP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i. Su Yeniden Kullanımı ve/veya Geri Dönüşümü.</w:t>
            </w:r>
          </w:p>
        </w:tc>
        <w:tc>
          <w:tcPr>
            <w:tcW w:w="4143" w:type="dxa"/>
          </w:tcPr>
          <w:p w14:paraId="602A4DC4" w14:textId="77777777" w:rsidR="00FC16F0" w:rsidRDefault="00FC16F0"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-Su akış kolları ayrılabilir (</w:t>
            </w:r>
            <w:r w:rsidR="0055515A" w:rsidRPr="0055515A">
              <w:rPr>
                <w:rFonts w:ascii="Times New Roman" w:eastAsia="Times New Roman" w:hAnsi="Times New Roman" w:cs="Times New Roman"/>
                <w:color w:val="000000"/>
              </w:rPr>
              <w:t>Örneğin temizleme, durulama, soğutma veya tekstil materyallerinin işlenmesi için yeniden kullanım ve/veya geri dönüşümden önce, su akış kolları ayrıla</w:t>
            </w:r>
            <w:r w:rsidR="007E7A21">
              <w:rPr>
                <w:rFonts w:ascii="Times New Roman" w:eastAsia="Times New Roman" w:hAnsi="Times New Roman" w:cs="Times New Roman"/>
                <w:color w:val="000000"/>
              </w:rPr>
              <w:t>bilir</w:t>
            </w:r>
            <w:r w:rsidR="0055515A" w:rsidRPr="0055515A">
              <w:rPr>
                <w:rFonts w:ascii="Times New Roman" w:eastAsia="Times New Roman" w:hAnsi="Times New Roman" w:cs="Times New Roman"/>
                <w:color w:val="000000"/>
              </w:rPr>
              <w:t xml:space="preserve"> (bkz. MET 10 (c)) ve/veya </w:t>
            </w:r>
          </w:p>
          <w:p w14:paraId="51F63A22" w14:textId="77777777" w:rsidR="0055515A" w:rsidRPr="0055515A" w:rsidRDefault="00FC16F0"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55515A" w:rsidRPr="0055515A">
              <w:rPr>
                <w:rFonts w:ascii="Times New Roman" w:eastAsia="Times New Roman" w:hAnsi="Times New Roman" w:cs="Times New Roman"/>
                <w:color w:val="000000"/>
              </w:rPr>
              <w:t>ön arıtımı (örneğin; membran filtrasyonu, evaporasyon) gerçekleştirile</w:t>
            </w:r>
            <w:r w:rsidR="007E7A21">
              <w:rPr>
                <w:rFonts w:ascii="Times New Roman" w:eastAsia="Times New Roman" w:hAnsi="Times New Roman" w:cs="Times New Roman"/>
                <w:color w:val="000000"/>
              </w:rPr>
              <w:t>bilir</w:t>
            </w:r>
            <w:r w:rsidR="0055515A" w:rsidRPr="0055515A">
              <w:rPr>
                <w:rFonts w:ascii="Times New Roman" w:eastAsia="Times New Roman" w:hAnsi="Times New Roman" w:cs="Times New Roman"/>
                <w:color w:val="000000"/>
              </w:rPr>
              <w:t>. Su</w:t>
            </w:r>
            <w:r w:rsidR="002816B4">
              <w:rPr>
                <w:rFonts w:ascii="Times New Roman" w:eastAsia="Times New Roman" w:hAnsi="Times New Roman" w:cs="Times New Roman"/>
                <w:color w:val="000000"/>
              </w:rPr>
              <w:t>yun</w:t>
            </w:r>
            <w:r w:rsidR="0055515A" w:rsidRPr="0055515A">
              <w:rPr>
                <w:rFonts w:ascii="Times New Roman" w:eastAsia="Times New Roman" w:hAnsi="Times New Roman" w:cs="Times New Roman"/>
                <w:color w:val="000000"/>
              </w:rPr>
              <w:t xml:space="preserve"> yeniden kullanım/geri dönüşüm oranı, akış kollarında bulunan</w:t>
            </w:r>
            <w:r w:rsidR="002816B4">
              <w:rPr>
                <w:rFonts w:ascii="Times New Roman" w:eastAsia="Times New Roman" w:hAnsi="Times New Roman" w:cs="Times New Roman"/>
                <w:color w:val="000000"/>
              </w:rPr>
              <w:t xml:space="preserve"> suyun</w:t>
            </w:r>
            <w:r w:rsidR="0055515A" w:rsidRPr="0055515A">
              <w:rPr>
                <w:rFonts w:ascii="Times New Roman" w:eastAsia="Times New Roman" w:hAnsi="Times New Roman" w:cs="Times New Roman"/>
                <w:color w:val="000000"/>
              </w:rPr>
              <w:t xml:space="preserve"> </w:t>
            </w:r>
            <w:r w:rsidR="007E7A21">
              <w:rPr>
                <w:rFonts w:ascii="Times New Roman" w:eastAsia="Times New Roman" w:hAnsi="Times New Roman" w:cs="Times New Roman"/>
                <w:color w:val="000000"/>
              </w:rPr>
              <w:t>safsızlık içeriği</w:t>
            </w:r>
            <w:r w:rsidR="0055515A" w:rsidRPr="0055515A">
              <w:rPr>
                <w:rFonts w:ascii="Times New Roman" w:eastAsia="Times New Roman" w:hAnsi="Times New Roman" w:cs="Times New Roman"/>
                <w:color w:val="000000"/>
              </w:rPr>
              <w:t xml:space="preserve"> ile sınırlanmaktadır. Aynı bölgede faaliyet gösteren birden fazla tesisten çıkan suyun yeniden kullanımı ve/veya geri dönüşümü, endüstriyel bölgeye ait bütüncül bir Su Yönetim Planına entegre edilebilir (örneğin, ortak bir su arıtma tesisi kullanımı).</w:t>
            </w:r>
          </w:p>
          <w:p w14:paraId="6E2113B3"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1805" w:type="dxa"/>
          </w:tcPr>
          <w:p w14:paraId="05FDA2B5"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Cs/>
                <w:color w:val="000000"/>
              </w:rPr>
              <w:t>Genel olarak uygulanabilir.</w:t>
            </w:r>
          </w:p>
        </w:tc>
      </w:tr>
      <w:tr w:rsidR="0055515A" w:rsidRPr="0055515A" w14:paraId="7E83BA69" w14:textId="77777777" w:rsidTr="00887149">
        <w:tc>
          <w:tcPr>
            <w:tcW w:w="3114" w:type="dxa"/>
          </w:tcPr>
          <w:p w14:paraId="33335267" w14:textId="77777777" w:rsidR="0055515A" w:rsidRPr="0055515A" w:rsidRDefault="0055515A" w:rsidP="0082590D">
            <w:pPr>
              <w:spacing w:after="120" w:line="360" w:lineRule="auto"/>
              <w:ind w:left="164"/>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j. Proses Suyunun Yeniden Kullanımı.</w:t>
            </w:r>
          </w:p>
        </w:tc>
        <w:tc>
          <w:tcPr>
            <w:tcW w:w="4143" w:type="dxa"/>
          </w:tcPr>
          <w:p w14:paraId="52ED00F9"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 xml:space="preserve">Tekstil materyallerinin mekanik olarak kurutulmasından kaynaklanan proses suyu da dahil olmak üzere (bkz. MET 13 (a)) proses suları, analiz edildikten ve, gerekirse, arıtımı yapıldıktan sonra yeniden kullanılacaktır. Proses sularının yeniden kullanım oranı, kimyasal içeriğinin değiştirilmesi veya </w:t>
            </w:r>
            <w:r w:rsidR="007536F8">
              <w:rPr>
                <w:rFonts w:ascii="Times New Roman" w:eastAsia="Times New Roman" w:hAnsi="Times New Roman" w:cs="Times New Roman"/>
                <w:color w:val="000000"/>
              </w:rPr>
              <w:t>safsızlık</w:t>
            </w:r>
            <w:r w:rsidRPr="0055515A">
              <w:rPr>
                <w:rFonts w:ascii="Times New Roman" w:eastAsia="Times New Roman" w:hAnsi="Times New Roman" w:cs="Times New Roman"/>
                <w:color w:val="000000"/>
              </w:rPr>
              <w:t xml:space="preserve"> içeriği ile bozunabilirlik oranı</w:t>
            </w:r>
            <w:r w:rsidR="007536F8">
              <w:rPr>
                <w:rFonts w:ascii="Times New Roman" w:eastAsia="Times New Roman" w:hAnsi="Times New Roman" w:cs="Times New Roman"/>
                <w:color w:val="000000"/>
              </w:rPr>
              <w:t>na göre</w:t>
            </w:r>
            <w:r w:rsidRPr="0055515A">
              <w:rPr>
                <w:rFonts w:ascii="Times New Roman" w:eastAsia="Times New Roman" w:hAnsi="Times New Roman" w:cs="Times New Roman"/>
                <w:color w:val="000000"/>
              </w:rPr>
              <w:t xml:space="preserve"> sınırlanmaktadır.</w:t>
            </w:r>
          </w:p>
          <w:p w14:paraId="694B3C34"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1805" w:type="dxa"/>
          </w:tcPr>
          <w:p w14:paraId="06517860"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Cs/>
                <w:color w:val="000000"/>
              </w:rPr>
              <w:t>Genel olarak uygulanabilir.</w:t>
            </w:r>
          </w:p>
        </w:tc>
      </w:tr>
    </w:tbl>
    <w:p w14:paraId="1E934F8C" w14:textId="04EA3F23" w:rsidR="0055515A" w:rsidRDefault="0055515A" w:rsidP="0055515A">
      <w:pPr>
        <w:spacing w:after="120" w:line="360" w:lineRule="auto"/>
        <w:jc w:val="both"/>
        <w:rPr>
          <w:rFonts w:ascii="Times New Roman" w:eastAsia="Times New Roman" w:hAnsi="Times New Roman" w:cs="Times New Roman"/>
          <w:b/>
          <w:color w:val="000000"/>
          <w:kern w:val="0"/>
          <w:lang w:eastAsia="tr-TR"/>
          <w14:ligatures w14:val="none"/>
        </w:rPr>
      </w:pPr>
    </w:p>
    <w:p w14:paraId="2984D9FD" w14:textId="77777777" w:rsidR="00B875CF" w:rsidRPr="0055515A" w:rsidRDefault="00B875CF" w:rsidP="0055515A">
      <w:pPr>
        <w:spacing w:after="120" w:line="360" w:lineRule="auto"/>
        <w:jc w:val="both"/>
        <w:rPr>
          <w:rFonts w:ascii="Times New Roman" w:eastAsia="Times New Roman" w:hAnsi="Times New Roman" w:cs="Times New Roman"/>
          <w:b/>
          <w:color w:val="000000"/>
          <w:kern w:val="0"/>
          <w:lang w:eastAsia="tr-TR"/>
          <w14:ligatures w14:val="none"/>
        </w:rPr>
      </w:pPr>
    </w:p>
    <w:p w14:paraId="33BF00EA" w14:textId="77777777" w:rsidR="00691C2D" w:rsidRDefault="00691C2D" w:rsidP="0055515A">
      <w:pPr>
        <w:pBdr>
          <w:top w:val="nil"/>
          <w:left w:val="nil"/>
          <w:bottom w:val="nil"/>
          <w:right w:val="nil"/>
          <w:between w:val="nil"/>
        </w:pBdr>
        <w:spacing w:after="120" w:line="360" w:lineRule="auto"/>
        <w:ind w:left="360"/>
        <w:jc w:val="center"/>
        <w:rPr>
          <w:rFonts w:ascii="Times New Roman" w:eastAsia="Times New Roman" w:hAnsi="Times New Roman" w:cs="Times New Roman"/>
          <w:iCs/>
          <w:color w:val="000000"/>
          <w:kern w:val="0"/>
          <w:sz w:val="24"/>
          <w:szCs w:val="24"/>
          <w:lang w:eastAsia="tr-TR"/>
          <w14:ligatures w14:val="none"/>
        </w:rPr>
      </w:pPr>
    </w:p>
    <w:p w14:paraId="38F57EC9" w14:textId="77777777" w:rsidR="00691C2D" w:rsidRDefault="00691C2D" w:rsidP="0055515A">
      <w:pPr>
        <w:pBdr>
          <w:top w:val="nil"/>
          <w:left w:val="nil"/>
          <w:bottom w:val="nil"/>
          <w:right w:val="nil"/>
          <w:between w:val="nil"/>
        </w:pBdr>
        <w:spacing w:after="120" w:line="360" w:lineRule="auto"/>
        <w:ind w:left="360"/>
        <w:jc w:val="center"/>
        <w:rPr>
          <w:rFonts w:ascii="Times New Roman" w:eastAsia="Times New Roman" w:hAnsi="Times New Roman" w:cs="Times New Roman"/>
          <w:iCs/>
          <w:color w:val="000000"/>
          <w:kern w:val="0"/>
          <w:sz w:val="24"/>
          <w:szCs w:val="24"/>
          <w:lang w:eastAsia="tr-TR"/>
          <w14:ligatures w14:val="none"/>
        </w:rPr>
      </w:pPr>
    </w:p>
    <w:p w14:paraId="52239DD2" w14:textId="77777777" w:rsidR="00691C2D" w:rsidRDefault="00691C2D" w:rsidP="0055515A">
      <w:pPr>
        <w:pBdr>
          <w:top w:val="nil"/>
          <w:left w:val="nil"/>
          <w:bottom w:val="nil"/>
          <w:right w:val="nil"/>
          <w:between w:val="nil"/>
        </w:pBdr>
        <w:spacing w:after="120" w:line="360" w:lineRule="auto"/>
        <w:ind w:left="360"/>
        <w:jc w:val="center"/>
        <w:rPr>
          <w:rFonts w:ascii="Times New Roman" w:eastAsia="Times New Roman" w:hAnsi="Times New Roman" w:cs="Times New Roman"/>
          <w:iCs/>
          <w:color w:val="000000"/>
          <w:kern w:val="0"/>
          <w:sz w:val="24"/>
          <w:szCs w:val="24"/>
          <w:lang w:eastAsia="tr-TR"/>
          <w14:ligatures w14:val="none"/>
        </w:rPr>
      </w:pPr>
    </w:p>
    <w:p w14:paraId="145F7C03" w14:textId="3D0DB69E" w:rsidR="0055515A" w:rsidRPr="0055515A" w:rsidRDefault="0055515A" w:rsidP="0055515A">
      <w:pPr>
        <w:pBdr>
          <w:top w:val="nil"/>
          <w:left w:val="nil"/>
          <w:bottom w:val="nil"/>
          <w:right w:val="nil"/>
          <w:between w:val="nil"/>
        </w:pBdr>
        <w:spacing w:after="120" w:line="360" w:lineRule="auto"/>
        <w:ind w:left="360"/>
        <w:jc w:val="center"/>
        <w:rPr>
          <w:rFonts w:ascii="Times New Roman" w:eastAsia="Times New Roman" w:hAnsi="Times New Roman" w:cs="Times New Roman"/>
          <w:iCs/>
          <w:color w:val="000000"/>
          <w:kern w:val="0"/>
          <w:sz w:val="24"/>
          <w:szCs w:val="24"/>
          <w:lang w:eastAsia="tr-TR"/>
          <w14:ligatures w14:val="none"/>
        </w:rPr>
      </w:pPr>
      <w:r w:rsidRPr="0055515A">
        <w:rPr>
          <w:rFonts w:ascii="Times New Roman" w:eastAsia="Times New Roman" w:hAnsi="Times New Roman" w:cs="Times New Roman"/>
          <w:iCs/>
          <w:color w:val="000000"/>
          <w:kern w:val="0"/>
          <w:sz w:val="24"/>
          <w:szCs w:val="24"/>
          <w:lang w:eastAsia="tr-TR"/>
          <w14:ligatures w14:val="none"/>
        </w:rPr>
        <w:lastRenderedPageBreak/>
        <w:t>Tablo 1.1</w:t>
      </w:r>
    </w:p>
    <w:p w14:paraId="2E2543E0" w14:textId="77777777" w:rsidR="0055515A" w:rsidRPr="0055515A" w:rsidRDefault="0055515A" w:rsidP="0055515A">
      <w:pPr>
        <w:keepNext/>
        <w:pBdr>
          <w:top w:val="nil"/>
          <w:left w:val="nil"/>
          <w:bottom w:val="nil"/>
          <w:right w:val="nil"/>
          <w:between w:val="nil"/>
        </w:pBdr>
        <w:spacing w:after="200" w:line="240" w:lineRule="auto"/>
        <w:jc w:val="center"/>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Özel su tüketim alanları için çevresel performans göstergeleri </w:t>
      </w:r>
    </w:p>
    <w:tbl>
      <w:tblPr>
        <w:tblW w:w="95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1"/>
        <w:gridCol w:w="1895"/>
        <w:gridCol w:w="3194"/>
      </w:tblGrid>
      <w:tr w:rsidR="0055515A" w:rsidRPr="0055515A" w14:paraId="71CD4450" w14:textId="77777777" w:rsidTr="006E3277">
        <w:trPr>
          <w:trHeight w:val="789"/>
          <w:tblHeader/>
          <w:jc w:val="center"/>
        </w:trPr>
        <w:tc>
          <w:tcPr>
            <w:tcW w:w="6386" w:type="dxa"/>
            <w:gridSpan w:val="2"/>
            <w:vAlign w:val="center"/>
          </w:tcPr>
          <w:p w14:paraId="66A9B879"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Özel Proses(ler)</w:t>
            </w:r>
          </w:p>
        </w:tc>
        <w:tc>
          <w:tcPr>
            <w:tcW w:w="3193" w:type="dxa"/>
            <w:vAlign w:val="center"/>
          </w:tcPr>
          <w:p w14:paraId="1816DA78"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Göstergeler</w:t>
            </w:r>
          </w:p>
          <w:p w14:paraId="3FC7DF46"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(yıllık ortalama, m</w:t>
            </w:r>
            <w:r w:rsidRPr="0055515A">
              <w:rPr>
                <w:rFonts w:ascii="Times New Roman" w:eastAsia="Times New Roman" w:hAnsi="Times New Roman" w:cs="Times New Roman"/>
                <w:b/>
                <w:kern w:val="0"/>
                <w:vertAlign w:val="superscript"/>
                <w:lang w:eastAsia="tr-TR"/>
                <w14:ligatures w14:val="none"/>
              </w:rPr>
              <w:t>3</w:t>
            </w:r>
            <w:r w:rsidRPr="0055515A">
              <w:rPr>
                <w:rFonts w:ascii="Times New Roman" w:eastAsia="Times New Roman" w:hAnsi="Times New Roman" w:cs="Times New Roman"/>
                <w:b/>
                <w:kern w:val="0"/>
                <w:lang w:eastAsia="tr-TR"/>
                <w14:ligatures w14:val="none"/>
              </w:rPr>
              <w:t>/ton)</w:t>
            </w:r>
          </w:p>
        </w:tc>
      </w:tr>
      <w:tr w:rsidR="0055515A" w:rsidRPr="0055515A" w14:paraId="639CAECE" w14:textId="77777777" w:rsidTr="0085348C">
        <w:trPr>
          <w:trHeight w:val="394"/>
          <w:jc w:val="center"/>
        </w:trPr>
        <w:tc>
          <w:tcPr>
            <w:tcW w:w="4491" w:type="dxa"/>
            <w:vMerge w:val="restart"/>
            <w:vAlign w:val="center"/>
          </w:tcPr>
          <w:p w14:paraId="6AC2A0A1" w14:textId="77777777" w:rsidR="0055515A" w:rsidRPr="0055515A" w:rsidRDefault="0055515A" w:rsidP="0055515A">
            <w:pPr>
              <w:spacing w:after="120" w:line="240"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Ağartma</w:t>
            </w:r>
          </w:p>
        </w:tc>
        <w:tc>
          <w:tcPr>
            <w:tcW w:w="1894" w:type="dxa"/>
            <w:vAlign w:val="center"/>
          </w:tcPr>
          <w:p w14:paraId="47992C29" w14:textId="77777777" w:rsidR="0055515A" w:rsidRPr="0055515A" w:rsidRDefault="0016373B"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Kesikli</w:t>
            </w:r>
            <w:r w:rsidRPr="0055515A">
              <w:rPr>
                <w:rFonts w:ascii="Times New Roman" w:eastAsia="Times New Roman" w:hAnsi="Times New Roman" w:cs="Times New Roman"/>
                <w:kern w:val="0"/>
                <w:lang w:eastAsia="tr-TR"/>
                <w14:ligatures w14:val="none"/>
              </w:rPr>
              <w:t xml:space="preserve"> </w:t>
            </w:r>
            <w:r w:rsidR="0055515A" w:rsidRPr="0055515A">
              <w:rPr>
                <w:rFonts w:ascii="Times New Roman" w:eastAsia="Times New Roman" w:hAnsi="Times New Roman" w:cs="Times New Roman"/>
                <w:kern w:val="0"/>
                <w:lang w:eastAsia="tr-TR"/>
                <w14:ligatures w14:val="none"/>
              </w:rPr>
              <w:t>Üretim</w:t>
            </w:r>
          </w:p>
        </w:tc>
        <w:tc>
          <w:tcPr>
            <w:tcW w:w="3193" w:type="dxa"/>
            <w:shd w:val="clear" w:color="auto" w:fill="auto"/>
            <w:vAlign w:val="center"/>
          </w:tcPr>
          <w:p w14:paraId="5A3FFB68"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10-32</w:t>
            </w:r>
            <w:r w:rsidR="006E3277" w:rsidRPr="0085348C">
              <w:rPr>
                <w:rFonts w:ascii="Times New Roman" w:eastAsia="Times New Roman" w:hAnsi="Times New Roman" w:cs="Times New Roman"/>
                <w:kern w:val="0"/>
                <w:vertAlign w:val="superscript"/>
                <w:lang w:eastAsia="tr-TR"/>
                <w14:ligatures w14:val="none"/>
              </w:rPr>
              <w:t>1</w:t>
            </w:r>
          </w:p>
        </w:tc>
      </w:tr>
      <w:tr w:rsidR="0055515A" w:rsidRPr="0055515A" w14:paraId="1A197F36" w14:textId="77777777" w:rsidTr="0085348C">
        <w:trPr>
          <w:trHeight w:val="394"/>
          <w:jc w:val="center"/>
        </w:trPr>
        <w:tc>
          <w:tcPr>
            <w:tcW w:w="4491" w:type="dxa"/>
            <w:vMerge/>
            <w:vAlign w:val="center"/>
          </w:tcPr>
          <w:p w14:paraId="0CEAEF81" w14:textId="77777777" w:rsidR="0055515A" w:rsidRPr="0055515A" w:rsidRDefault="0055515A" w:rsidP="0055515A">
            <w:pPr>
              <w:widowControl w:val="0"/>
              <w:pBdr>
                <w:top w:val="nil"/>
                <w:left w:val="nil"/>
                <w:bottom w:val="nil"/>
                <w:right w:val="nil"/>
                <w:between w:val="nil"/>
              </w:pBdr>
              <w:spacing w:after="0" w:line="276" w:lineRule="auto"/>
              <w:rPr>
                <w:rFonts w:ascii="Times New Roman" w:eastAsia="Times New Roman" w:hAnsi="Times New Roman" w:cs="Times New Roman"/>
                <w:kern w:val="0"/>
                <w:lang w:eastAsia="tr-TR"/>
                <w14:ligatures w14:val="none"/>
              </w:rPr>
            </w:pPr>
          </w:p>
        </w:tc>
        <w:tc>
          <w:tcPr>
            <w:tcW w:w="1894" w:type="dxa"/>
            <w:vAlign w:val="center"/>
          </w:tcPr>
          <w:p w14:paraId="2BF2D319" w14:textId="77777777" w:rsidR="0055515A" w:rsidRPr="0055515A" w:rsidRDefault="0016373B"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Sürekli </w:t>
            </w:r>
            <w:r w:rsidR="0055515A" w:rsidRPr="0055515A">
              <w:rPr>
                <w:rFonts w:ascii="Times New Roman" w:eastAsia="Times New Roman" w:hAnsi="Times New Roman" w:cs="Times New Roman"/>
                <w:kern w:val="0"/>
                <w:lang w:eastAsia="tr-TR"/>
                <w14:ligatures w14:val="none"/>
              </w:rPr>
              <w:t>Üretim</w:t>
            </w:r>
          </w:p>
        </w:tc>
        <w:tc>
          <w:tcPr>
            <w:tcW w:w="3193" w:type="dxa"/>
            <w:shd w:val="clear" w:color="auto" w:fill="auto"/>
            <w:vAlign w:val="center"/>
          </w:tcPr>
          <w:p w14:paraId="1D993881"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3-8</w:t>
            </w:r>
          </w:p>
        </w:tc>
      </w:tr>
      <w:tr w:rsidR="0055515A" w:rsidRPr="0055515A" w14:paraId="2E0992C1" w14:textId="77777777" w:rsidTr="0085348C">
        <w:trPr>
          <w:trHeight w:val="394"/>
          <w:jc w:val="center"/>
        </w:trPr>
        <w:tc>
          <w:tcPr>
            <w:tcW w:w="4491" w:type="dxa"/>
            <w:vMerge w:val="restart"/>
            <w:vAlign w:val="center"/>
          </w:tcPr>
          <w:p w14:paraId="5F3205FE" w14:textId="77777777" w:rsidR="0055515A" w:rsidRPr="0055515A" w:rsidRDefault="0055515A">
            <w:pPr>
              <w:spacing w:after="120" w:line="240"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Selüloz</w:t>
            </w:r>
            <w:r w:rsidR="0016373B">
              <w:rPr>
                <w:rFonts w:ascii="Times New Roman" w:eastAsia="Times New Roman" w:hAnsi="Times New Roman" w:cs="Times New Roman"/>
                <w:kern w:val="0"/>
                <w:lang w:eastAsia="tr-TR"/>
                <w14:ligatures w14:val="none"/>
              </w:rPr>
              <w:t>lu</w:t>
            </w:r>
            <w:r w:rsidRPr="0055515A">
              <w:rPr>
                <w:rFonts w:ascii="Times New Roman" w:eastAsia="Times New Roman" w:hAnsi="Times New Roman" w:cs="Times New Roman"/>
                <w:kern w:val="0"/>
                <w:lang w:eastAsia="tr-TR"/>
                <w14:ligatures w14:val="none"/>
              </w:rPr>
              <w:t xml:space="preserve"> </w:t>
            </w:r>
            <w:r w:rsidR="0016373B">
              <w:rPr>
                <w:rFonts w:ascii="Times New Roman" w:eastAsia="Times New Roman" w:hAnsi="Times New Roman" w:cs="Times New Roman"/>
                <w:kern w:val="0"/>
                <w:lang w:eastAsia="tr-TR"/>
                <w14:ligatures w14:val="none"/>
              </w:rPr>
              <w:t>Malzemelerin</w:t>
            </w:r>
            <w:r w:rsidRPr="0055515A">
              <w:rPr>
                <w:rFonts w:ascii="Times New Roman" w:eastAsia="Times New Roman" w:hAnsi="Times New Roman" w:cs="Times New Roman"/>
                <w:kern w:val="0"/>
                <w:lang w:eastAsia="tr-TR"/>
                <w14:ligatures w14:val="none"/>
              </w:rPr>
              <w:t xml:space="preserve"> Temizlenmesi</w:t>
            </w:r>
          </w:p>
        </w:tc>
        <w:tc>
          <w:tcPr>
            <w:tcW w:w="1894" w:type="dxa"/>
            <w:vAlign w:val="center"/>
          </w:tcPr>
          <w:p w14:paraId="1D1CD723" w14:textId="77777777" w:rsidR="0055515A" w:rsidRPr="0055515A" w:rsidRDefault="0016373B"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Kesikli </w:t>
            </w:r>
            <w:r w:rsidR="0055515A" w:rsidRPr="0055515A">
              <w:rPr>
                <w:rFonts w:ascii="Times New Roman" w:eastAsia="Times New Roman" w:hAnsi="Times New Roman" w:cs="Times New Roman"/>
                <w:kern w:val="0"/>
                <w:lang w:eastAsia="tr-TR"/>
                <w14:ligatures w14:val="none"/>
              </w:rPr>
              <w:t>Üretim</w:t>
            </w:r>
          </w:p>
        </w:tc>
        <w:tc>
          <w:tcPr>
            <w:tcW w:w="3193" w:type="dxa"/>
            <w:shd w:val="clear" w:color="auto" w:fill="auto"/>
            <w:vAlign w:val="center"/>
          </w:tcPr>
          <w:p w14:paraId="767628D6"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5-15</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0156E80D" w14:textId="77777777" w:rsidTr="0085348C">
        <w:trPr>
          <w:trHeight w:val="394"/>
          <w:jc w:val="center"/>
        </w:trPr>
        <w:tc>
          <w:tcPr>
            <w:tcW w:w="4491" w:type="dxa"/>
            <w:vMerge/>
            <w:vAlign w:val="center"/>
          </w:tcPr>
          <w:p w14:paraId="404FB714" w14:textId="77777777" w:rsidR="0055515A" w:rsidRPr="0055515A" w:rsidRDefault="0055515A" w:rsidP="0055515A">
            <w:pPr>
              <w:widowControl w:val="0"/>
              <w:pBdr>
                <w:top w:val="nil"/>
                <w:left w:val="nil"/>
                <w:bottom w:val="nil"/>
                <w:right w:val="nil"/>
                <w:between w:val="nil"/>
              </w:pBdr>
              <w:spacing w:after="0" w:line="276" w:lineRule="auto"/>
              <w:rPr>
                <w:rFonts w:ascii="Times New Roman" w:eastAsia="Times New Roman" w:hAnsi="Times New Roman" w:cs="Times New Roman"/>
                <w:kern w:val="0"/>
                <w:lang w:eastAsia="tr-TR"/>
                <w14:ligatures w14:val="none"/>
              </w:rPr>
            </w:pPr>
          </w:p>
        </w:tc>
        <w:tc>
          <w:tcPr>
            <w:tcW w:w="1894" w:type="dxa"/>
            <w:vAlign w:val="center"/>
          </w:tcPr>
          <w:p w14:paraId="4D2F4040" w14:textId="77777777" w:rsidR="0055515A" w:rsidRPr="0055515A" w:rsidRDefault="0016373B" w:rsidP="0055515A">
            <w:pPr>
              <w:spacing w:after="120" w:line="240" w:lineRule="auto"/>
              <w:jc w:val="center"/>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Sürekli</w:t>
            </w:r>
            <w:r w:rsidRPr="0055515A">
              <w:rPr>
                <w:rFonts w:ascii="Times New Roman" w:eastAsia="Times New Roman" w:hAnsi="Times New Roman" w:cs="Times New Roman"/>
                <w:kern w:val="0"/>
                <w:lang w:eastAsia="tr-TR"/>
                <w14:ligatures w14:val="none"/>
              </w:rPr>
              <w:t xml:space="preserve"> </w:t>
            </w:r>
            <w:r w:rsidR="0055515A" w:rsidRPr="0055515A">
              <w:rPr>
                <w:rFonts w:ascii="Times New Roman" w:eastAsia="Times New Roman" w:hAnsi="Times New Roman" w:cs="Times New Roman"/>
                <w:kern w:val="0"/>
                <w:lang w:eastAsia="tr-TR"/>
                <w14:ligatures w14:val="none"/>
              </w:rPr>
              <w:t>Üretim</w:t>
            </w:r>
          </w:p>
        </w:tc>
        <w:tc>
          <w:tcPr>
            <w:tcW w:w="3193" w:type="dxa"/>
            <w:shd w:val="clear" w:color="auto" w:fill="auto"/>
            <w:vAlign w:val="center"/>
          </w:tcPr>
          <w:p w14:paraId="28C0A3C1"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5-12</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276F6F56" w14:textId="77777777" w:rsidTr="0085348C">
        <w:trPr>
          <w:trHeight w:val="394"/>
          <w:jc w:val="center"/>
        </w:trPr>
        <w:tc>
          <w:tcPr>
            <w:tcW w:w="6386" w:type="dxa"/>
            <w:gridSpan w:val="2"/>
            <w:vAlign w:val="center"/>
          </w:tcPr>
          <w:p w14:paraId="7E10F264" w14:textId="77777777" w:rsidR="0055515A" w:rsidRPr="0055515A" w:rsidRDefault="0016373B" w:rsidP="0055515A">
            <w:pPr>
              <w:spacing w:after="12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 Selülozlu Malzemelerin</w:t>
            </w:r>
            <w:r w:rsidR="0055515A" w:rsidRPr="0055515A">
              <w:rPr>
                <w:rFonts w:ascii="Times New Roman" w:eastAsia="Times New Roman" w:hAnsi="Times New Roman" w:cs="Times New Roman"/>
                <w:kern w:val="0"/>
                <w:lang w:eastAsia="tr-TR"/>
                <w14:ligatures w14:val="none"/>
              </w:rPr>
              <w:t xml:space="preserve"> Haşıl Sökümü</w:t>
            </w:r>
          </w:p>
        </w:tc>
        <w:tc>
          <w:tcPr>
            <w:tcW w:w="3193" w:type="dxa"/>
            <w:shd w:val="clear" w:color="auto" w:fill="auto"/>
            <w:vAlign w:val="center"/>
          </w:tcPr>
          <w:p w14:paraId="6B2FE4F5"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5-12</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1C2D3A40" w14:textId="77777777" w:rsidTr="0085348C">
        <w:trPr>
          <w:trHeight w:val="660"/>
          <w:jc w:val="center"/>
        </w:trPr>
        <w:tc>
          <w:tcPr>
            <w:tcW w:w="6386" w:type="dxa"/>
            <w:gridSpan w:val="2"/>
            <w:vAlign w:val="center"/>
          </w:tcPr>
          <w:p w14:paraId="790EF21B" w14:textId="77777777" w:rsidR="0055515A" w:rsidRPr="0055515A" w:rsidRDefault="0016373B" w:rsidP="0055515A">
            <w:pPr>
              <w:spacing w:after="12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Selülozlu Malzemelere</w:t>
            </w:r>
            <w:r w:rsidRPr="0016373B">
              <w:rPr>
                <w:rFonts w:ascii="Times New Roman" w:eastAsia="Times New Roman" w:hAnsi="Times New Roman" w:cs="Times New Roman"/>
                <w:kern w:val="0"/>
                <w:lang w:eastAsia="tr-TR"/>
                <w14:ligatures w14:val="none"/>
              </w:rPr>
              <w:t xml:space="preserve"> </w:t>
            </w:r>
            <w:r w:rsidR="0055515A" w:rsidRPr="0055515A">
              <w:rPr>
                <w:rFonts w:ascii="Times New Roman" w:eastAsia="Times New Roman" w:hAnsi="Times New Roman" w:cs="Times New Roman"/>
                <w:kern w:val="0"/>
                <w:lang w:eastAsia="tr-TR"/>
                <w14:ligatures w14:val="none"/>
              </w:rPr>
              <w:t>Yönelik Ağartma, Yıkama/Temizleme ve Haşıl Sökme İşlemlerinin Birleşimi</w:t>
            </w:r>
          </w:p>
        </w:tc>
        <w:tc>
          <w:tcPr>
            <w:tcW w:w="3193" w:type="dxa"/>
            <w:shd w:val="clear" w:color="auto" w:fill="auto"/>
            <w:vAlign w:val="center"/>
          </w:tcPr>
          <w:p w14:paraId="4D6AFB08"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9-20</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2A335A47" w14:textId="77777777" w:rsidTr="0085348C">
        <w:trPr>
          <w:trHeight w:val="394"/>
          <w:jc w:val="center"/>
        </w:trPr>
        <w:tc>
          <w:tcPr>
            <w:tcW w:w="6386" w:type="dxa"/>
            <w:gridSpan w:val="2"/>
            <w:vAlign w:val="center"/>
          </w:tcPr>
          <w:p w14:paraId="0E2062A6" w14:textId="77777777" w:rsidR="0055515A" w:rsidRPr="0055515A" w:rsidRDefault="0055515A" w:rsidP="0055515A">
            <w:pPr>
              <w:spacing w:after="120" w:line="240"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Merserizasyon</w:t>
            </w:r>
          </w:p>
        </w:tc>
        <w:tc>
          <w:tcPr>
            <w:tcW w:w="3193" w:type="dxa"/>
            <w:shd w:val="clear" w:color="auto" w:fill="auto"/>
            <w:vAlign w:val="center"/>
          </w:tcPr>
          <w:p w14:paraId="0B753307"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2-13</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4D650ACF" w14:textId="77777777" w:rsidTr="0085348C">
        <w:trPr>
          <w:trHeight w:val="394"/>
          <w:jc w:val="center"/>
        </w:trPr>
        <w:tc>
          <w:tcPr>
            <w:tcW w:w="6386" w:type="dxa"/>
            <w:gridSpan w:val="2"/>
            <w:vAlign w:val="center"/>
          </w:tcPr>
          <w:p w14:paraId="0F1B1B41" w14:textId="77777777" w:rsidR="0055515A" w:rsidRPr="0055515A" w:rsidRDefault="0055515A" w:rsidP="0055515A">
            <w:pPr>
              <w:spacing w:after="120" w:line="240"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Sentetik Materyallerin Yıkanması</w:t>
            </w:r>
          </w:p>
        </w:tc>
        <w:tc>
          <w:tcPr>
            <w:tcW w:w="3193" w:type="dxa"/>
            <w:shd w:val="clear" w:color="auto" w:fill="auto"/>
            <w:vAlign w:val="center"/>
          </w:tcPr>
          <w:p w14:paraId="1DF14EB4"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5-20</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4D4C250E" w14:textId="77777777" w:rsidTr="0085348C">
        <w:trPr>
          <w:trHeight w:val="394"/>
          <w:jc w:val="center"/>
        </w:trPr>
        <w:tc>
          <w:tcPr>
            <w:tcW w:w="4491" w:type="dxa"/>
            <w:vMerge w:val="restart"/>
            <w:vAlign w:val="center"/>
          </w:tcPr>
          <w:p w14:paraId="385C829D" w14:textId="77777777" w:rsidR="0055515A" w:rsidRPr="0055515A" w:rsidRDefault="0016373B" w:rsidP="0055515A">
            <w:pPr>
              <w:spacing w:after="12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Kesikli </w:t>
            </w:r>
            <w:r w:rsidR="0055515A" w:rsidRPr="0055515A">
              <w:rPr>
                <w:rFonts w:ascii="Times New Roman" w:eastAsia="Times New Roman" w:hAnsi="Times New Roman" w:cs="Times New Roman"/>
                <w:kern w:val="0"/>
                <w:lang w:eastAsia="tr-TR"/>
                <w14:ligatures w14:val="none"/>
              </w:rPr>
              <w:t>Boyama</w:t>
            </w:r>
          </w:p>
        </w:tc>
        <w:tc>
          <w:tcPr>
            <w:tcW w:w="1894" w:type="dxa"/>
            <w:vAlign w:val="center"/>
          </w:tcPr>
          <w:p w14:paraId="500B8B97"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Kumaş</w:t>
            </w:r>
          </w:p>
        </w:tc>
        <w:tc>
          <w:tcPr>
            <w:tcW w:w="3193" w:type="dxa"/>
            <w:shd w:val="clear" w:color="auto" w:fill="auto"/>
            <w:vAlign w:val="center"/>
          </w:tcPr>
          <w:p w14:paraId="65F6EF6D"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10-150</w:t>
            </w:r>
            <w:r w:rsidRPr="0085348C">
              <w:rPr>
                <w:rFonts w:ascii="Times New Roman" w:eastAsia="Times New Roman" w:hAnsi="Times New Roman" w:cs="Times New Roman"/>
                <w:kern w:val="0"/>
                <w:vertAlign w:val="superscript"/>
                <w:lang w:eastAsia="tr-TR"/>
                <w14:ligatures w14:val="none"/>
              </w:rPr>
              <w:t>1</w:t>
            </w:r>
          </w:p>
        </w:tc>
      </w:tr>
      <w:tr w:rsidR="0055515A" w:rsidRPr="0055515A" w14:paraId="4CA4E87B" w14:textId="77777777" w:rsidTr="0085348C">
        <w:trPr>
          <w:trHeight w:val="394"/>
          <w:jc w:val="center"/>
        </w:trPr>
        <w:tc>
          <w:tcPr>
            <w:tcW w:w="4491" w:type="dxa"/>
            <w:vMerge/>
            <w:vAlign w:val="center"/>
          </w:tcPr>
          <w:p w14:paraId="7D36589B" w14:textId="77777777" w:rsidR="0055515A" w:rsidRPr="0055515A" w:rsidRDefault="0055515A" w:rsidP="0055515A">
            <w:pPr>
              <w:widowControl w:val="0"/>
              <w:pBdr>
                <w:top w:val="nil"/>
                <w:left w:val="nil"/>
                <w:bottom w:val="nil"/>
                <w:right w:val="nil"/>
                <w:between w:val="nil"/>
              </w:pBdr>
              <w:spacing w:after="0" w:line="276" w:lineRule="auto"/>
              <w:rPr>
                <w:rFonts w:ascii="Times New Roman" w:eastAsia="Times New Roman" w:hAnsi="Times New Roman" w:cs="Times New Roman"/>
                <w:kern w:val="0"/>
                <w:lang w:eastAsia="tr-TR"/>
                <w14:ligatures w14:val="none"/>
              </w:rPr>
            </w:pPr>
          </w:p>
        </w:tc>
        <w:tc>
          <w:tcPr>
            <w:tcW w:w="1894" w:type="dxa"/>
            <w:vAlign w:val="center"/>
          </w:tcPr>
          <w:p w14:paraId="28F2404D"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İplik</w:t>
            </w:r>
          </w:p>
        </w:tc>
        <w:tc>
          <w:tcPr>
            <w:tcW w:w="3193" w:type="dxa"/>
            <w:shd w:val="clear" w:color="auto" w:fill="auto"/>
            <w:vAlign w:val="center"/>
          </w:tcPr>
          <w:p w14:paraId="7099858A"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3-140</w:t>
            </w:r>
            <w:r w:rsidRPr="0085348C">
              <w:rPr>
                <w:rFonts w:ascii="Times New Roman" w:eastAsia="Times New Roman" w:hAnsi="Times New Roman" w:cs="Times New Roman"/>
                <w:kern w:val="0"/>
                <w:vertAlign w:val="superscript"/>
                <w:lang w:eastAsia="tr-TR"/>
                <w14:ligatures w14:val="none"/>
              </w:rPr>
              <w:t>1,</w:t>
            </w:r>
            <w:r w:rsidR="006E3277" w:rsidRPr="0085348C">
              <w:rPr>
                <w:rFonts w:ascii="Times New Roman" w:eastAsia="Times New Roman" w:hAnsi="Times New Roman" w:cs="Times New Roman"/>
                <w:kern w:val="0"/>
                <w:vertAlign w:val="superscript"/>
                <w:lang w:eastAsia="tr-TR"/>
                <w14:ligatures w14:val="none"/>
              </w:rPr>
              <w:t>2</w:t>
            </w:r>
          </w:p>
        </w:tc>
      </w:tr>
      <w:tr w:rsidR="0055515A" w:rsidRPr="0055515A" w14:paraId="5C822683" w14:textId="77777777" w:rsidTr="0085348C">
        <w:trPr>
          <w:trHeight w:val="394"/>
          <w:jc w:val="center"/>
        </w:trPr>
        <w:tc>
          <w:tcPr>
            <w:tcW w:w="4491" w:type="dxa"/>
            <w:vMerge/>
            <w:vAlign w:val="center"/>
          </w:tcPr>
          <w:p w14:paraId="6D779F81" w14:textId="77777777" w:rsidR="0055515A" w:rsidRPr="0055515A" w:rsidRDefault="0055515A" w:rsidP="0055515A">
            <w:pPr>
              <w:widowControl w:val="0"/>
              <w:pBdr>
                <w:top w:val="nil"/>
                <w:left w:val="nil"/>
                <w:bottom w:val="nil"/>
                <w:right w:val="nil"/>
                <w:between w:val="nil"/>
              </w:pBdr>
              <w:spacing w:after="0" w:line="276" w:lineRule="auto"/>
              <w:rPr>
                <w:rFonts w:ascii="Times New Roman" w:eastAsia="Times New Roman" w:hAnsi="Times New Roman" w:cs="Times New Roman"/>
                <w:kern w:val="0"/>
                <w:lang w:eastAsia="tr-TR"/>
                <w14:ligatures w14:val="none"/>
              </w:rPr>
            </w:pPr>
          </w:p>
        </w:tc>
        <w:tc>
          <w:tcPr>
            <w:tcW w:w="1894" w:type="dxa"/>
            <w:vAlign w:val="center"/>
          </w:tcPr>
          <w:p w14:paraId="212F1C7D"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Gevşek Lif</w:t>
            </w:r>
          </w:p>
        </w:tc>
        <w:tc>
          <w:tcPr>
            <w:tcW w:w="3193" w:type="dxa"/>
            <w:shd w:val="clear" w:color="auto" w:fill="auto"/>
            <w:vAlign w:val="center"/>
          </w:tcPr>
          <w:p w14:paraId="2764AE5E"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13-60</w:t>
            </w:r>
          </w:p>
        </w:tc>
      </w:tr>
      <w:tr w:rsidR="0055515A" w:rsidRPr="0055515A" w14:paraId="1502D2F7" w14:textId="77777777" w:rsidTr="0085348C">
        <w:trPr>
          <w:trHeight w:val="394"/>
          <w:jc w:val="center"/>
        </w:trPr>
        <w:tc>
          <w:tcPr>
            <w:tcW w:w="6386" w:type="dxa"/>
            <w:gridSpan w:val="2"/>
            <w:vAlign w:val="center"/>
          </w:tcPr>
          <w:p w14:paraId="080C4BAE" w14:textId="77777777" w:rsidR="0055515A" w:rsidRPr="0055515A" w:rsidRDefault="0016373B" w:rsidP="0055515A">
            <w:pPr>
              <w:spacing w:after="12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Sürekli </w:t>
            </w:r>
            <w:r w:rsidR="0055515A" w:rsidRPr="0055515A">
              <w:rPr>
                <w:rFonts w:ascii="Times New Roman" w:eastAsia="Times New Roman" w:hAnsi="Times New Roman" w:cs="Times New Roman"/>
                <w:kern w:val="0"/>
                <w:lang w:eastAsia="tr-TR"/>
                <w14:ligatures w14:val="none"/>
              </w:rPr>
              <w:t>Boyama</w:t>
            </w:r>
          </w:p>
        </w:tc>
        <w:tc>
          <w:tcPr>
            <w:tcW w:w="3193" w:type="dxa"/>
            <w:shd w:val="clear" w:color="auto" w:fill="auto"/>
            <w:vAlign w:val="center"/>
          </w:tcPr>
          <w:p w14:paraId="5AC00EC0" w14:textId="77777777" w:rsidR="0055515A" w:rsidRPr="0085348C"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2-16</w:t>
            </w:r>
            <w:r w:rsidRPr="0085348C">
              <w:rPr>
                <w:rFonts w:ascii="Times New Roman" w:eastAsia="Times New Roman" w:hAnsi="Times New Roman" w:cs="Times New Roman"/>
                <w:kern w:val="0"/>
                <w:vertAlign w:val="superscript"/>
                <w:lang w:eastAsia="tr-TR"/>
                <w14:ligatures w14:val="none"/>
              </w:rPr>
              <w:t>1,</w:t>
            </w:r>
            <w:r w:rsidR="006E3277" w:rsidRPr="0085348C">
              <w:rPr>
                <w:rFonts w:ascii="Times New Roman" w:eastAsia="Times New Roman" w:hAnsi="Times New Roman" w:cs="Times New Roman"/>
                <w:kern w:val="0"/>
                <w:vertAlign w:val="superscript"/>
                <w:lang w:eastAsia="tr-TR"/>
                <w14:ligatures w14:val="none"/>
              </w:rPr>
              <w:t>3</w:t>
            </w:r>
          </w:p>
        </w:tc>
      </w:tr>
      <w:tr w:rsidR="0055515A" w:rsidRPr="0055515A" w14:paraId="2B4418A0" w14:textId="77777777" w:rsidTr="006E3277">
        <w:trPr>
          <w:trHeight w:val="1805"/>
          <w:jc w:val="center"/>
        </w:trPr>
        <w:tc>
          <w:tcPr>
            <w:tcW w:w="9580" w:type="dxa"/>
            <w:gridSpan w:val="3"/>
            <w:vAlign w:val="center"/>
          </w:tcPr>
          <w:p w14:paraId="286400D5"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1</w:t>
            </w:r>
            <w:r w:rsidRPr="0055515A">
              <w:rPr>
                <w:rFonts w:ascii="Times New Roman" w:eastAsia="Times New Roman" w:hAnsi="Times New Roman" w:cs="Times New Roman"/>
                <w:kern w:val="0"/>
                <w:sz w:val="20"/>
                <w:szCs w:val="20"/>
                <w:lang w:eastAsia="tr-TR"/>
                <w14:ligatures w14:val="none"/>
              </w:rPr>
              <w:t>)Aralığın alt sınırı, yüksek seviyede su geri dönüşümü ile sağlanabilir (örneğin, birden fazla tesisi kapsayan entegre su yönetimi olan tesislerde).</w:t>
            </w:r>
          </w:p>
          <w:p w14:paraId="1F80C093"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2</w:t>
            </w:r>
            <w:r w:rsidRPr="0055515A">
              <w:rPr>
                <w:rFonts w:ascii="Times New Roman" w:eastAsia="Times New Roman" w:hAnsi="Times New Roman" w:cs="Times New Roman"/>
                <w:kern w:val="0"/>
                <w:sz w:val="20"/>
                <w:szCs w:val="20"/>
                <w:lang w:eastAsia="tr-TR"/>
                <w14:ligatures w14:val="none"/>
              </w:rPr>
              <w:t>)Bu aralık, kombine iplik ve gevşek lif parti boyama işlemleri için de geçerlidir.</w:t>
            </w:r>
          </w:p>
          <w:p w14:paraId="29688F09" w14:textId="77777777" w:rsidR="0055515A" w:rsidRPr="0055515A" w:rsidRDefault="0055515A">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0"/>
                <w:szCs w:val="20"/>
                <w:lang w:eastAsia="tr-TR"/>
                <w14:ligatures w14:val="none"/>
              </w:rPr>
              <w:t>(</w:t>
            </w:r>
            <w:r w:rsidRPr="0055515A">
              <w:rPr>
                <w:rFonts w:ascii="Times New Roman" w:eastAsia="Times New Roman" w:hAnsi="Times New Roman" w:cs="Times New Roman"/>
                <w:kern w:val="0"/>
                <w:sz w:val="20"/>
                <w:szCs w:val="20"/>
                <w:vertAlign w:val="superscript"/>
                <w:lang w:eastAsia="tr-TR"/>
                <w14:ligatures w14:val="none"/>
              </w:rPr>
              <w:t>3</w:t>
            </w:r>
            <w:r w:rsidRPr="0055515A">
              <w:rPr>
                <w:rFonts w:ascii="Times New Roman" w:eastAsia="Times New Roman" w:hAnsi="Times New Roman" w:cs="Times New Roman"/>
                <w:kern w:val="0"/>
                <w:sz w:val="20"/>
                <w:szCs w:val="20"/>
                <w:lang w:eastAsia="tr-TR"/>
                <w14:ligatures w14:val="none"/>
              </w:rPr>
              <w:t xml:space="preserve">)Aralığın üst sınırı, sürekli ve </w:t>
            </w:r>
            <w:r w:rsidR="0016373B">
              <w:rPr>
                <w:rFonts w:ascii="Times New Roman" w:eastAsia="Times New Roman" w:hAnsi="Times New Roman" w:cs="Times New Roman"/>
                <w:kern w:val="0"/>
                <w:sz w:val="20"/>
                <w:szCs w:val="20"/>
                <w:lang w:eastAsia="tr-TR"/>
                <w14:ligatures w14:val="none"/>
              </w:rPr>
              <w:t xml:space="preserve">kesikli </w:t>
            </w:r>
            <w:r w:rsidRPr="0055515A">
              <w:rPr>
                <w:rFonts w:ascii="Times New Roman" w:eastAsia="Times New Roman" w:hAnsi="Times New Roman" w:cs="Times New Roman"/>
                <w:kern w:val="0"/>
                <w:sz w:val="20"/>
                <w:szCs w:val="20"/>
                <w:lang w:eastAsia="tr-TR"/>
                <w14:ligatures w14:val="none"/>
              </w:rPr>
              <w:t>proseslerini birlikte kullanan tesisler için daha yüksek olabilir ve 100 m³/t'ye kadar çıkabilir.</w:t>
            </w:r>
          </w:p>
        </w:tc>
      </w:tr>
    </w:tbl>
    <w:p w14:paraId="0FDAB08B" w14:textId="77777777" w:rsidR="0055515A" w:rsidRPr="00B875CF"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B875CF">
        <w:rPr>
          <w:rFonts w:ascii="Times New Roman" w:eastAsia="Times New Roman" w:hAnsi="Times New Roman" w:cs="Times New Roman"/>
          <w:bCs/>
          <w:color w:val="000000"/>
          <w:kern w:val="0"/>
          <w:sz w:val="24"/>
          <w:szCs w:val="24"/>
          <w:lang w:eastAsia="tr-TR"/>
          <w14:ligatures w14:val="none"/>
        </w:rPr>
        <w:t xml:space="preserve">İlgili izleme, MET 6'da verilmiştir.  </w:t>
      </w:r>
    </w:p>
    <w:p w14:paraId="53B375B9"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1.1.4. Enerji verimliliği</w:t>
      </w:r>
    </w:p>
    <w:p w14:paraId="00D72BA9"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MET 11 - Enerji verimliliğini sağlamak için MET, aşağıda verilen (a), (b), (c) ve (d) teknikleri ile (e)’den (k)’ye kadar verilen tekniklerin uygun bir kombinasyonunu kullanacaktır:</w:t>
      </w:r>
    </w:p>
    <w:tbl>
      <w:tblPr>
        <w:tblStyle w:val="TabloKlavuzu8"/>
        <w:tblW w:w="0" w:type="auto"/>
        <w:tblLook w:val="04A0" w:firstRow="1" w:lastRow="0" w:firstColumn="1" w:lastColumn="0" w:noHBand="0" w:noVBand="1"/>
      </w:tblPr>
      <w:tblGrid>
        <w:gridCol w:w="2871"/>
        <w:gridCol w:w="3296"/>
        <w:gridCol w:w="2893"/>
      </w:tblGrid>
      <w:tr w:rsidR="0055515A" w:rsidRPr="0055515A" w14:paraId="7F7A5723" w14:textId="77777777" w:rsidTr="0024730D">
        <w:tc>
          <w:tcPr>
            <w:tcW w:w="2871" w:type="dxa"/>
          </w:tcPr>
          <w:p w14:paraId="59B2B561"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
                <w:color w:val="000000"/>
              </w:rPr>
              <w:t>Teknik</w:t>
            </w:r>
          </w:p>
        </w:tc>
        <w:tc>
          <w:tcPr>
            <w:tcW w:w="3296" w:type="dxa"/>
          </w:tcPr>
          <w:p w14:paraId="37E532EA"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
                <w:color w:val="000000"/>
              </w:rPr>
              <w:t>Açıklama</w:t>
            </w:r>
          </w:p>
        </w:tc>
        <w:tc>
          <w:tcPr>
            <w:tcW w:w="2893" w:type="dxa"/>
          </w:tcPr>
          <w:p w14:paraId="6EDF16CB"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b/>
                <w:color w:val="000000"/>
              </w:rPr>
              <w:t>Uygulanabilirlik</w:t>
            </w:r>
          </w:p>
        </w:tc>
      </w:tr>
      <w:tr w:rsidR="0055515A" w:rsidRPr="0055515A" w14:paraId="796D512F" w14:textId="77777777" w:rsidTr="0024730D">
        <w:tc>
          <w:tcPr>
            <w:tcW w:w="9060" w:type="dxa"/>
            <w:gridSpan w:val="3"/>
          </w:tcPr>
          <w:p w14:paraId="136DE16A" w14:textId="77777777" w:rsidR="0055515A" w:rsidRPr="0055515A" w:rsidRDefault="0055515A" w:rsidP="0055515A">
            <w:pPr>
              <w:spacing w:after="120" w:line="360" w:lineRule="auto"/>
              <w:jc w:val="both"/>
              <w:rPr>
                <w:rFonts w:ascii="Times New Roman" w:eastAsia="Times New Roman" w:hAnsi="Times New Roman" w:cs="Times New Roman"/>
                <w:b/>
                <w:i/>
                <w:color w:val="000000"/>
                <w:u w:val="single"/>
              </w:rPr>
            </w:pPr>
            <w:r w:rsidRPr="0055515A">
              <w:rPr>
                <w:rFonts w:ascii="Times New Roman" w:eastAsia="Times New Roman" w:hAnsi="Times New Roman" w:cs="Times New Roman"/>
                <w:b/>
                <w:i/>
                <w:color w:val="000000"/>
                <w:u w:val="single"/>
              </w:rPr>
              <w:t>Yönetim Teknikleri</w:t>
            </w:r>
          </w:p>
        </w:tc>
      </w:tr>
      <w:tr w:rsidR="0055515A" w:rsidRPr="0055515A" w14:paraId="747BC6F9" w14:textId="77777777" w:rsidTr="0024730D">
        <w:tc>
          <w:tcPr>
            <w:tcW w:w="2871" w:type="dxa"/>
          </w:tcPr>
          <w:p w14:paraId="71D06252" w14:textId="77777777" w:rsidR="0055515A" w:rsidRPr="0055515A" w:rsidRDefault="0055515A" w:rsidP="0055515A">
            <w:pPr>
              <w:spacing w:after="120" w:line="360" w:lineRule="auto"/>
              <w:jc w:val="both"/>
              <w:rPr>
                <w:rFonts w:ascii="Times New Roman" w:eastAsia="Times New Roman" w:hAnsi="Times New Roman" w:cs="Times New Roman"/>
                <w:b/>
                <w:iCs/>
                <w:color w:val="000000"/>
              </w:rPr>
            </w:pPr>
            <w:r w:rsidRPr="0055515A">
              <w:rPr>
                <w:rFonts w:ascii="Times New Roman" w:eastAsia="Times New Roman" w:hAnsi="Times New Roman" w:cs="Times New Roman"/>
                <w:iCs/>
                <w:color w:val="000000"/>
              </w:rPr>
              <w:t>a. Enerji Verimliliği Planı ve denetimleri</w:t>
            </w:r>
          </w:p>
        </w:tc>
        <w:tc>
          <w:tcPr>
            <w:tcW w:w="3296" w:type="dxa"/>
          </w:tcPr>
          <w:p w14:paraId="6258D381" w14:textId="77777777" w:rsidR="0055515A" w:rsidRPr="0055515A" w:rsidRDefault="0055515A" w:rsidP="00887149">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Enerji Verimliliği Planı ve denetimleri, Çevre Yönetim Sistemi’nin bir parçası olup aşağıdakileri içerecektir:</w:t>
            </w:r>
            <w:r w:rsidR="00D37C14">
              <w:rPr>
                <w:rFonts w:ascii="Times New Roman" w:eastAsia="Times New Roman" w:hAnsi="Times New Roman" w:cs="Times New Roman"/>
                <w:color w:val="000000"/>
              </w:rPr>
              <w:t xml:space="preserve">- </w:t>
            </w:r>
            <w:r w:rsidRPr="0055515A">
              <w:rPr>
                <w:rFonts w:ascii="Times New Roman" w:eastAsia="Times New Roman" w:hAnsi="Times New Roman" w:cs="Times New Roman"/>
                <w:color w:val="000000"/>
              </w:rPr>
              <w:t xml:space="preserve">girdi ve </w:t>
            </w:r>
            <w:r w:rsidRPr="0055515A">
              <w:rPr>
                <w:rFonts w:ascii="Times New Roman" w:eastAsia="Times New Roman" w:hAnsi="Times New Roman" w:cs="Times New Roman"/>
                <w:color w:val="000000"/>
              </w:rPr>
              <w:lastRenderedPageBreak/>
              <w:t>çıktı envanterinin bir parçası olarak tesis ve proseslere ait enerji akış şemaları;</w:t>
            </w:r>
          </w:p>
          <w:p w14:paraId="04B6F57A" w14:textId="77777777" w:rsidR="0055515A" w:rsidRPr="0055515A" w:rsidRDefault="00D37C14" w:rsidP="00887149">
            <w:pPr>
              <w:pBdr>
                <w:top w:val="nil"/>
                <w:left w:val="nil"/>
                <w:bottom w:val="nil"/>
                <w:right w:val="nil"/>
                <w:between w:val="nil"/>
              </w:pBd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55515A" w:rsidRPr="0055515A">
              <w:rPr>
                <w:rFonts w:ascii="Times New Roman" w:eastAsia="Times New Roman" w:hAnsi="Times New Roman" w:cs="Times New Roman"/>
                <w:color w:val="000000"/>
              </w:rPr>
              <w:t>enerji verimliliği hedefleri (örneğin, MWh/ton biriminde işlenen tekstil materyali);</w:t>
            </w:r>
          </w:p>
          <w:p w14:paraId="79F3F53A" w14:textId="77777777" w:rsidR="0055515A" w:rsidRPr="0055515A" w:rsidRDefault="00D37C14" w:rsidP="00887149">
            <w:pPr>
              <w:pBdr>
                <w:top w:val="nil"/>
                <w:left w:val="nil"/>
                <w:bottom w:val="nil"/>
                <w:right w:val="nil"/>
                <w:between w:val="nil"/>
              </w:pBdr>
              <w:spacing w:after="12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55515A" w:rsidRPr="0055515A">
              <w:rPr>
                <w:rFonts w:ascii="Times New Roman" w:eastAsia="Times New Roman" w:hAnsi="Times New Roman" w:cs="Times New Roman"/>
                <w:color w:val="000000"/>
              </w:rPr>
              <w:t>söz konusu hedefleri gerçekleştirmeye yönelik eylemler.</w:t>
            </w:r>
          </w:p>
          <w:p w14:paraId="1F139CD8"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r w:rsidRPr="0055515A">
              <w:rPr>
                <w:rFonts w:ascii="Times New Roman" w:eastAsia="Times New Roman" w:hAnsi="Times New Roman" w:cs="Times New Roman"/>
                <w:color w:val="000000"/>
              </w:rPr>
              <w:t>Enerji Verimliliği Planında yer alan hedeflerin gerçekleştirilmesi ile enerji denetim tavsiyelerinin dikkate alınarak uygulanmasını sağlamak için enerji denetimleri, her yıl en az bir kere yapılacaktır.</w:t>
            </w:r>
          </w:p>
        </w:tc>
        <w:tc>
          <w:tcPr>
            <w:tcW w:w="2893" w:type="dxa"/>
          </w:tcPr>
          <w:p w14:paraId="4E74DE2A" w14:textId="77777777" w:rsidR="0055515A" w:rsidRPr="0055515A" w:rsidRDefault="0055515A" w:rsidP="0055515A">
            <w:pPr>
              <w:spacing w:after="120" w:line="360" w:lineRule="auto"/>
              <w:jc w:val="both"/>
              <w:rPr>
                <w:rFonts w:ascii="Times New Roman" w:eastAsia="Times New Roman" w:hAnsi="Times New Roman" w:cs="Times New Roman"/>
                <w:bCs/>
                <w:color w:val="000000"/>
              </w:rPr>
            </w:pPr>
            <w:r w:rsidRPr="0055515A">
              <w:rPr>
                <w:rFonts w:ascii="Times New Roman" w:eastAsia="Times New Roman" w:hAnsi="Times New Roman" w:cs="Times New Roman"/>
                <w:bCs/>
                <w:color w:val="000000"/>
              </w:rPr>
              <w:lastRenderedPageBreak/>
              <w:t xml:space="preserve">Enerji verimliliği planı ve denetimlerinin detay seviyesi, genellikle tesisin doğası, ölçeği ve karmaşıklığına bağlı </w:t>
            </w:r>
            <w:r w:rsidRPr="0055515A">
              <w:rPr>
                <w:rFonts w:ascii="Times New Roman" w:eastAsia="Times New Roman" w:hAnsi="Times New Roman" w:cs="Times New Roman"/>
                <w:bCs/>
                <w:color w:val="000000"/>
              </w:rPr>
              <w:lastRenderedPageBreak/>
              <w:t>olacaktır.</w:t>
            </w:r>
            <w:r w:rsidRPr="0055515A">
              <w:rPr>
                <w:rFonts w:ascii="Times New Roman" w:eastAsia="Times New Roman" w:hAnsi="Times New Roman" w:cs="Times New Roman"/>
                <w:bCs/>
              </w:rPr>
              <w:t xml:space="preserve"> </w:t>
            </w:r>
            <w:r w:rsidRPr="0055515A">
              <w:rPr>
                <w:rFonts w:ascii="Times New Roman" w:eastAsia="Times New Roman" w:hAnsi="Times New Roman" w:cs="Times New Roman"/>
                <w:bCs/>
                <w:color w:val="000000"/>
              </w:rPr>
              <w:t>Enerji verimliliği planı ve denetimlerinin detay seviyesi, genellikle tesisin doğası, ölçeği ve karmaşıklığına bağlı olacaktır.</w:t>
            </w:r>
          </w:p>
        </w:tc>
      </w:tr>
      <w:tr w:rsidR="0055515A" w:rsidRPr="0055515A" w14:paraId="517451B4" w14:textId="77777777" w:rsidTr="00887149">
        <w:trPr>
          <w:trHeight w:val="2043"/>
        </w:trPr>
        <w:tc>
          <w:tcPr>
            <w:tcW w:w="2871" w:type="dxa"/>
          </w:tcPr>
          <w:p w14:paraId="4B8D36DE" w14:textId="77777777" w:rsidR="0055515A" w:rsidRPr="0055515A" w:rsidRDefault="0055515A" w:rsidP="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b/>
                <w:iCs/>
                <w:color w:val="000000"/>
              </w:rPr>
              <w:lastRenderedPageBreak/>
              <w:t>b.</w:t>
            </w:r>
            <w:r w:rsidRPr="0055515A">
              <w:rPr>
                <w:rFonts w:ascii="Times New Roman" w:eastAsia="Times New Roman" w:hAnsi="Times New Roman" w:cs="Times New Roman"/>
                <w:iCs/>
                <w:color w:val="000000"/>
              </w:rPr>
              <w:t xml:space="preserve"> Üretim Optimizasyonu.</w:t>
            </w:r>
          </w:p>
        </w:tc>
        <w:tc>
          <w:tcPr>
            <w:tcW w:w="3296" w:type="dxa"/>
          </w:tcPr>
          <w:p w14:paraId="037EB898" w14:textId="77777777" w:rsidR="0055515A" w:rsidRPr="0055515A" w:rsidRDefault="0055515A" w:rsidP="00887149">
            <w:pPr>
              <w:pBdr>
                <w:top w:val="nil"/>
                <w:left w:val="nil"/>
                <w:bottom w:val="nil"/>
                <w:right w:val="nil"/>
                <w:between w:val="nil"/>
              </w:pBd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color w:val="000000"/>
              </w:rPr>
              <w:t>Ekipmanın rölanti süresini minimize etmek amacıyla kumaş partilerinin ısıl işleme alınmasına yönelik planlama optimizasyonunu içermektedir.</w:t>
            </w:r>
          </w:p>
        </w:tc>
        <w:tc>
          <w:tcPr>
            <w:tcW w:w="2893" w:type="dxa"/>
          </w:tcPr>
          <w:p w14:paraId="2F7C5FCF"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t>Genel olarak uygulanabilir.</w:t>
            </w:r>
          </w:p>
        </w:tc>
      </w:tr>
      <w:tr w:rsidR="0055515A" w:rsidRPr="0055515A" w14:paraId="2616BC90" w14:textId="77777777" w:rsidTr="0024730D">
        <w:tc>
          <w:tcPr>
            <w:tcW w:w="9060" w:type="dxa"/>
            <w:gridSpan w:val="3"/>
          </w:tcPr>
          <w:p w14:paraId="766F477F"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
                <w:i/>
                <w:u w:val="single"/>
              </w:rPr>
              <w:t>Proses ve Ekipman Seçimi ile Optimizasyonu</w:t>
            </w:r>
          </w:p>
        </w:tc>
      </w:tr>
      <w:tr w:rsidR="0055515A" w:rsidRPr="0055515A" w14:paraId="2D04E45C" w14:textId="77777777" w:rsidTr="0024730D">
        <w:tc>
          <w:tcPr>
            <w:tcW w:w="2871" w:type="dxa"/>
          </w:tcPr>
          <w:p w14:paraId="514CA9AB" w14:textId="77777777" w:rsidR="0055515A" w:rsidRPr="0055515A" w:rsidRDefault="0055515A" w:rsidP="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iCs/>
                <w:color w:val="000000"/>
              </w:rPr>
              <w:t>c.Yaygın Enerji Tasarrufu Tekniklerinin Kullanımı.</w:t>
            </w:r>
          </w:p>
        </w:tc>
        <w:tc>
          <w:tcPr>
            <w:tcW w:w="3296" w:type="dxa"/>
          </w:tcPr>
          <w:p w14:paraId="0515D84C"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Yakma fırını bakımı ve kontrolünü; enerji verimli motorları; enerji verimli aydınlatmayı; buhar dağıtım sistemlerinin optimizasyonunu (örneğin, buhar kazanlarının kullanım noktalarında bulunması); buhar sızıntılarını önlemek veya azaltmak için buhar dağıtım sistemlerinin düzenli aralıklarla denetimi ve bakımını; proses kontrol sistemlerini; değişken hızlı cihazları ve havalandırma ile bina ısıtmada optimizasyonunu içermektedir.</w:t>
            </w:r>
          </w:p>
          <w:p w14:paraId="3217808D"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p>
        </w:tc>
        <w:tc>
          <w:tcPr>
            <w:tcW w:w="2893" w:type="dxa"/>
          </w:tcPr>
          <w:p w14:paraId="4AAB69C1"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lastRenderedPageBreak/>
              <w:t>Genel olarak uygulanabilir.</w:t>
            </w:r>
          </w:p>
        </w:tc>
      </w:tr>
      <w:tr w:rsidR="0055515A" w:rsidRPr="0055515A" w14:paraId="4D16436E" w14:textId="77777777" w:rsidTr="0024730D">
        <w:tc>
          <w:tcPr>
            <w:tcW w:w="2871" w:type="dxa"/>
          </w:tcPr>
          <w:p w14:paraId="2FB96FB2" w14:textId="77777777" w:rsidR="0055515A" w:rsidRPr="0055515A" w:rsidRDefault="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iCs/>
                <w:color w:val="000000"/>
              </w:rPr>
              <w:t xml:space="preserve">d.Isıtma </w:t>
            </w:r>
            <w:r w:rsidR="003F5ACE">
              <w:rPr>
                <w:rFonts w:ascii="Times New Roman" w:eastAsia="Times New Roman" w:hAnsi="Times New Roman" w:cs="Times New Roman"/>
                <w:iCs/>
                <w:color w:val="000000"/>
              </w:rPr>
              <w:t xml:space="preserve">ihtiyacının </w:t>
            </w:r>
            <w:r w:rsidR="003F5ACE" w:rsidRPr="0055515A">
              <w:rPr>
                <w:rFonts w:ascii="Times New Roman" w:eastAsia="Times New Roman" w:hAnsi="Times New Roman" w:cs="Times New Roman"/>
                <w:iCs/>
                <w:color w:val="000000"/>
              </w:rPr>
              <w:t xml:space="preserve"> </w:t>
            </w:r>
            <w:r w:rsidRPr="0055515A">
              <w:rPr>
                <w:rFonts w:ascii="Times New Roman" w:eastAsia="Times New Roman" w:hAnsi="Times New Roman" w:cs="Times New Roman"/>
                <w:iCs/>
                <w:color w:val="000000"/>
              </w:rPr>
              <w:t>Optimizasyonu.</w:t>
            </w:r>
          </w:p>
        </w:tc>
        <w:tc>
          <w:tcPr>
            <w:tcW w:w="3296" w:type="dxa"/>
          </w:tcPr>
          <w:p w14:paraId="77FEC412"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Ekipman parçalarının yalıtımını sağlayarak ve sıcak proses suyu bulunan ekipmanları kaplayarak ısı kayıplarını azaltmayı; durulama suyu sıcaklığının optimizasyonunu ve proses sularının fazla ısıtılmasının önlenmesini içermektedir.</w:t>
            </w:r>
          </w:p>
        </w:tc>
        <w:tc>
          <w:tcPr>
            <w:tcW w:w="2893" w:type="dxa"/>
          </w:tcPr>
          <w:p w14:paraId="03B4E087"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t>Genel olarak uygulanabilir.</w:t>
            </w:r>
          </w:p>
        </w:tc>
      </w:tr>
      <w:tr w:rsidR="0055515A" w:rsidRPr="0055515A" w14:paraId="3F4569AB" w14:textId="77777777" w:rsidTr="0024730D">
        <w:tc>
          <w:tcPr>
            <w:tcW w:w="2871" w:type="dxa"/>
          </w:tcPr>
          <w:p w14:paraId="6A25A920" w14:textId="77777777" w:rsidR="0055515A" w:rsidRPr="0055515A" w:rsidRDefault="0055515A" w:rsidP="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iCs/>
                <w:color w:val="000000"/>
              </w:rPr>
              <w:t>e.Islak Üstüne Islak Boyama veya Kumaş Terbiyesi.</w:t>
            </w:r>
          </w:p>
        </w:tc>
        <w:tc>
          <w:tcPr>
            <w:tcW w:w="3296" w:type="dxa"/>
          </w:tcPr>
          <w:p w14:paraId="41D62C7B"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Boyama ve terbiye sularının ıslak kumaş üzerine direkt uygulanması, ara bir kurulama adımına olan ihtiyacı ortadan kaldırmaktadır. Üretim adımlarının uygun programlanması ve kimyasal dozajlamasının dikkate alınması gerekmektedir.</w:t>
            </w:r>
          </w:p>
        </w:tc>
        <w:tc>
          <w:tcPr>
            <w:tcW w:w="2893" w:type="dxa"/>
          </w:tcPr>
          <w:p w14:paraId="50754E30" w14:textId="77777777" w:rsidR="0055515A" w:rsidRPr="0055515A" w:rsidRDefault="0055515A" w:rsidP="0055515A">
            <w:pPr>
              <w:spacing w:after="120" w:line="360" w:lineRule="auto"/>
              <w:jc w:val="both"/>
              <w:rPr>
                <w:rFonts w:ascii="Times New Roman" w:eastAsia="Times New Roman" w:hAnsi="Times New Roman" w:cs="Times New Roman"/>
                <w:bCs/>
                <w:color w:val="FF0000"/>
              </w:rPr>
            </w:pPr>
            <w:r w:rsidRPr="0055515A">
              <w:rPr>
                <w:rFonts w:ascii="Times New Roman" w:eastAsia="Times New Roman" w:hAnsi="Times New Roman" w:cs="Times New Roman"/>
                <w:bCs/>
                <w:color w:val="000000"/>
              </w:rPr>
              <w:t>Kimyasalların, yetersiz kalıntı alımı nedeniyle kumaş tarafından emilemediği durumlarda uygulanamayabilir.</w:t>
            </w:r>
          </w:p>
        </w:tc>
      </w:tr>
      <w:tr w:rsidR="0055515A" w:rsidRPr="0055515A" w14:paraId="0CDA83FE" w14:textId="77777777" w:rsidTr="0024730D">
        <w:tc>
          <w:tcPr>
            <w:tcW w:w="2871" w:type="dxa"/>
          </w:tcPr>
          <w:p w14:paraId="64F3A3FA" w14:textId="77777777" w:rsidR="0055515A" w:rsidRPr="0055515A" w:rsidRDefault="0055515A" w:rsidP="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iCs/>
                <w:color w:val="000000"/>
              </w:rPr>
              <w:t>f.</w:t>
            </w:r>
            <w:r w:rsidR="00CE3039">
              <w:rPr>
                <w:rFonts w:ascii="Times New Roman" w:eastAsia="Times New Roman" w:hAnsi="Times New Roman" w:cs="Times New Roman"/>
                <w:iCs/>
                <w:color w:val="000000"/>
              </w:rPr>
              <w:t xml:space="preserve"> Kojenerasyon </w:t>
            </w:r>
          </w:p>
        </w:tc>
        <w:tc>
          <w:tcPr>
            <w:tcW w:w="3296" w:type="dxa"/>
          </w:tcPr>
          <w:p w14:paraId="71E6AC5F"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Endüstriyel proseslerde/faaliyetlerde veya uzaktan ısıtma/soğutma sistemlerinde kullanılmak üzere sıcak su/buhar üretmek için kullanılan ısının (temel olarak türbinden çıkan buhar), elektrik ile ortak üretimini içermektedir.</w:t>
            </w:r>
          </w:p>
        </w:tc>
        <w:tc>
          <w:tcPr>
            <w:tcW w:w="2893" w:type="dxa"/>
          </w:tcPr>
          <w:p w14:paraId="396FB0B3" w14:textId="77777777" w:rsidR="0055515A" w:rsidRPr="0055515A" w:rsidRDefault="0055515A" w:rsidP="0055515A">
            <w:pPr>
              <w:spacing w:after="120" w:line="360" w:lineRule="auto"/>
              <w:jc w:val="both"/>
              <w:rPr>
                <w:rFonts w:ascii="Times New Roman" w:eastAsia="Times New Roman" w:hAnsi="Times New Roman" w:cs="Times New Roman"/>
                <w:bCs/>
                <w:color w:val="FF0000"/>
              </w:rPr>
            </w:pPr>
            <w:r w:rsidRPr="0055515A">
              <w:rPr>
                <w:rFonts w:ascii="Times New Roman" w:eastAsia="Times New Roman" w:hAnsi="Times New Roman" w:cs="Times New Roman"/>
                <w:bCs/>
                <w:color w:val="000000"/>
              </w:rPr>
              <w:t>Mevcut tesislerde uygulanabilirlik, tesisin düzeni ve/veya alan yetersizliği nedeniyle kısıtlanabilir.</w:t>
            </w:r>
          </w:p>
        </w:tc>
      </w:tr>
      <w:tr w:rsidR="0055515A" w:rsidRPr="0055515A" w14:paraId="2F9A497B" w14:textId="77777777" w:rsidTr="0024730D">
        <w:tc>
          <w:tcPr>
            <w:tcW w:w="9060" w:type="dxa"/>
            <w:gridSpan w:val="3"/>
          </w:tcPr>
          <w:p w14:paraId="36066D42" w14:textId="77777777" w:rsidR="0055515A" w:rsidRPr="0055515A" w:rsidRDefault="0055515A" w:rsidP="0055515A">
            <w:pPr>
              <w:spacing w:after="120" w:line="360" w:lineRule="auto"/>
              <w:jc w:val="both"/>
              <w:rPr>
                <w:rFonts w:ascii="Times New Roman" w:eastAsia="Times New Roman" w:hAnsi="Times New Roman" w:cs="Times New Roman"/>
                <w:b/>
                <w:i/>
                <w:color w:val="000000"/>
                <w:u w:val="single"/>
              </w:rPr>
            </w:pPr>
            <w:r w:rsidRPr="0055515A">
              <w:rPr>
                <w:rFonts w:ascii="Times New Roman" w:eastAsia="Times New Roman" w:hAnsi="Times New Roman" w:cs="Times New Roman"/>
                <w:b/>
                <w:i/>
                <w:color w:val="000000"/>
                <w:u w:val="single"/>
              </w:rPr>
              <w:t>Isı Geri Kazanım Teknikleri</w:t>
            </w:r>
          </w:p>
        </w:tc>
      </w:tr>
      <w:tr w:rsidR="0055515A" w:rsidRPr="0055515A" w14:paraId="550D86A5" w14:textId="77777777" w:rsidTr="0024730D">
        <w:tc>
          <w:tcPr>
            <w:tcW w:w="2871" w:type="dxa"/>
          </w:tcPr>
          <w:p w14:paraId="4D01B89E" w14:textId="77777777" w:rsidR="0055515A" w:rsidRPr="0055515A" w:rsidRDefault="0055515A" w:rsidP="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iCs/>
                <w:color w:val="000000"/>
              </w:rPr>
              <w:t>g.Sıcak Soğutma Suyunun Geri Dönüşümü.</w:t>
            </w:r>
          </w:p>
        </w:tc>
        <w:tc>
          <w:tcPr>
            <w:tcW w:w="3296" w:type="dxa"/>
          </w:tcPr>
          <w:p w14:paraId="5614636F"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(bkz. MET 10 (i)). Soğuk suyu ısıtma ihtiyacını ortadan kaldırmaktadır.</w:t>
            </w:r>
          </w:p>
        </w:tc>
        <w:tc>
          <w:tcPr>
            <w:tcW w:w="2893" w:type="dxa"/>
          </w:tcPr>
          <w:p w14:paraId="67377196"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t>Genel olarak uygulanabilir.</w:t>
            </w:r>
          </w:p>
        </w:tc>
      </w:tr>
      <w:tr w:rsidR="0055515A" w:rsidRPr="0055515A" w14:paraId="532E62E6" w14:textId="77777777" w:rsidTr="0024730D">
        <w:tc>
          <w:tcPr>
            <w:tcW w:w="2871" w:type="dxa"/>
          </w:tcPr>
          <w:p w14:paraId="02F34B27" w14:textId="77777777" w:rsidR="0055515A" w:rsidRPr="0055515A" w:rsidRDefault="0055515A" w:rsidP="0055515A">
            <w:pPr>
              <w:spacing w:after="120" w:line="360" w:lineRule="auto"/>
              <w:jc w:val="both"/>
              <w:rPr>
                <w:rFonts w:ascii="Times New Roman" w:eastAsia="Times New Roman" w:hAnsi="Times New Roman" w:cs="Times New Roman"/>
                <w:b/>
                <w:iCs/>
                <w:color w:val="FF0000"/>
              </w:rPr>
            </w:pPr>
            <w:r w:rsidRPr="0055515A">
              <w:rPr>
                <w:rFonts w:ascii="Times New Roman" w:eastAsia="Times New Roman" w:hAnsi="Times New Roman" w:cs="Times New Roman"/>
                <w:iCs/>
                <w:color w:val="000000"/>
              </w:rPr>
              <w:t>h.Sıcak Proses Suyunun Yeniden Kullanımı.</w:t>
            </w:r>
          </w:p>
        </w:tc>
        <w:tc>
          <w:tcPr>
            <w:tcW w:w="3296" w:type="dxa"/>
          </w:tcPr>
          <w:p w14:paraId="4A96B729"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(bkz. MET 10 (j)). Soğuk proses suyunu ısıtma ihtiyacını ortadan kaldırmaktadır.</w:t>
            </w:r>
          </w:p>
          <w:p w14:paraId="12FD8F3E"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i/>
                <w:color w:val="000000"/>
              </w:rPr>
              <w:t>Atık Sudan Isı Geri Kazanımı</w:t>
            </w:r>
            <w:r w:rsidRPr="0055515A">
              <w:rPr>
                <w:rFonts w:ascii="Times New Roman" w:eastAsia="Times New Roman" w:hAnsi="Times New Roman" w:cs="Times New Roman"/>
                <w:color w:val="000000"/>
              </w:rPr>
              <w:t xml:space="preserve">. Isı eşanjörleri aracılığıyla atık sudan ısı geri kazanımı sağlanacaktır </w:t>
            </w:r>
            <w:r w:rsidRPr="0055515A">
              <w:rPr>
                <w:rFonts w:ascii="Times New Roman" w:eastAsia="Times New Roman" w:hAnsi="Times New Roman" w:cs="Times New Roman"/>
                <w:color w:val="000000"/>
              </w:rPr>
              <w:lastRenderedPageBreak/>
              <w:t>(örneğin, proses suyunun ısıtılması).</w:t>
            </w:r>
          </w:p>
          <w:p w14:paraId="246D04DB" w14:textId="77777777" w:rsidR="0055515A" w:rsidRPr="0055515A" w:rsidRDefault="0055515A" w:rsidP="0055515A">
            <w:pPr>
              <w:spacing w:after="120" w:line="360" w:lineRule="auto"/>
              <w:jc w:val="both"/>
              <w:rPr>
                <w:rFonts w:ascii="Times New Roman" w:eastAsia="Times New Roman" w:hAnsi="Times New Roman" w:cs="Times New Roman"/>
                <w:b/>
                <w:color w:val="000000"/>
              </w:rPr>
            </w:pPr>
          </w:p>
        </w:tc>
        <w:tc>
          <w:tcPr>
            <w:tcW w:w="2893" w:type="dxa"/>
          </w:tcPr>
          <w:p w14:paraId="05601C68"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lastRenderedPageBreak/>
              <w:t>Genel olarak uygulanabilir.</w:t>
            </w:r>
          </w:p>
        </w:tc>
      </w:tr>
      <w:tr w:rsidR="0055515A" w:rsidRPr="0055515A" w14:paraId="2878F308" w14:textId="77777777" w:rsidTr="0024730D">
        <w:tc>
          <w:tcPr>
            <w:tcW w:w="2871" w:type="dxa"/>
          </w:tcPr>
          <w:p w14:paraId="3594F656"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i/>
                <w:color w:val="000000"/>
              </w:rPr>
              <w:t>i.</w:t>
            </w:r>
            <w:r w:rsidRPr="0055515A">
              <w:rPr>
                <w:rFonts w:ascii="Times New Roman" w:eastAsia="Times New Roman" w:hAnsi="Times New Roman" w:cs="Times New Roman"/>
                <w:color w:val="000000"/>
              </w:rPr>
              <w:t xml:space="preserve"> Atık sudan ısı geri kazanımı  </w:t>
            </w:r>
          </w:p>
          <w:p w14:paraId="2EBB007C" w14:textId="77777777" w:rsidR="0055515A" w:rsidRPr="0055515A" w:rsidRDefault="0055515A" w:rsidP="0055515A">
            <w:pPr>
              <w:spacing w:after="120" w:line="360" w:lineRule="auto"/>
              <w:jc w:val="both"/>
              <w:rPr>
                <w:rFonts w:ascii="Times New Roman" w:eastAsia="Times New Roman" w:hAnsi="Times New Roman" w:cs="Times New Roman"/>
                <w:color w:val="000000"/>
              </w:rPr>
            </w:pPr>
          </w:p>
        </w:tc>
        <w:tc>
          <w:tcPr>
            <w:tcW w:w="3296" w:type="dxa"/>
          </w:tcPr>
          <w:p w14:paraId="570E5436"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Atık sudan ısı, ısı değiştiriciler aracılığıyla geri kazanılır; örneğin, işlem sıvısını ısıtmak için kullanılır.</w:t>
            </w:r>
          </w:p>
        </w:tc>
        <w:tc>
          <w:tcPr>
            <w:tcW w:w="2893" w:type="dxa"/>
          </w:tcPr>
          <w:p w14:paraId="5BC17A2D"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t>Genel olarak uygulanabilir.</w:t>
            </w:r>
          </w:p>
        </w:tc>
      </w:tr>
      <w:tr w:rsidR="0055515A" w:rsidRPr="0055515A" w14:paraId="5D0ADA67" w14:textId="77777777" w:rsidTr="0024730D">
        <w:tc>
          <w:tcPr>
            <w:tcW w:w="2871" w:type="dxa"/>
          </w:tcPr>
          <w:p w14:paraId="431035D9" w14:textId="77777777" w:rsidR="0055515A" w:rsidRPr="0055515A" w:rsidRDefault="0055515A" w:rsidP="0055515A">
            <w:pPr>
              <w:spacing w:after="120" w:line="360" w:lineRule="auto"/>
              <w:jc w:val="both"/>
              <w:rPr>
                <w:rFonts w:ascii="Times New Roman" w:eastAsia="Times New Roman" w:hAnsi="Times New Roman" w:cs="Times New Roman"/>
                <w:b/>
                <w:iCs/>
                <w:color w:val="000000"/>
              </w:rPr>
            </w:pPr>
            <w:r w:rsidRPr="0055515A">
              <w:rPr>
                <w:rFonts w:ascii="Times New Roman" w:eastAsia="Times New Roman" w:hAnsi="Times New Roman" w:cs="Times New Roman"/>
                <w:iCs/>
                <w:color w:val="000000"/>
              </w:rPr>
              <w:t>j. Baca Gazından Isı Geri Kazanımı.</w:t>
            </w:r>
          </w:p>
        </w:tc>
        <w:tc>
          <w:tcPr>
            <w:tcW w:w="3296" w:type="dxa"/>
          </w:tcPr>
          <w:p w14:paraId="5FEEABA8" w14:textId="77777777" w:rsidR="0055515A" w:rsidRPr="0055515A" w:rsidRDefault="0055515A" w:rsidP="0055515A">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Örneğin, proses suyunu ısıtmada veya yakma havasını işlem öncesi ısıtmada kullanılacak ısının, ısı eşanjörleri aracılığıyla baca gazından (örneğin, tekstil materyallerinin termal olarak işlenmesinden ya da buhar kazanlarından) ısı geri kazanımı sağlanacaktır.</w:t>
            </w:r>
          </w:p>
          <w:p w14:paraId="623C4676" w14:textId="77777777" w:rsidR="0055515A" w:rsidRPr="0055515A" w:rsidRDefault="0055515A" w:rsidP="0055515A">
            <w:pPr>
              <w:pBdr>
                <w:top w:val="nil"/>
                <w:left w:val="nil"/>
                <w:bottom w:val="nil"/>
                <w:right w:val="nil"/>
                <w:between w:val="nil"/>
              </w:pBdr>
              <w:spacing w:after="120" w:line="360" w:lineRule="auto"/>
              <w:jc w:val="both"/>
              <w:rPr>
                <w:rFonts w:ascii="Times New Roman" w:eastAsia="Times New Roman" w:hAnsi="Times New Roman" w:cs="Times New Roman"/>
                <w:color w:val="000000"/>
              </w:rPr>
            </w:pPr>
          </w:p>
        </w:tc>
        <w:tc>
          <w:tcPr>
            <w:tcW w:w="2893" w:type="dxa"/>
          </w:tcPr>
          <w:p w14:paraId="3D68156D"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t>Genel olarak uygulanabilir.</w:t>
            </w:r>
          </w:p>
        </w:tc>
      </w:tr>
      <w:tr w:rsidR="0055515A" w:rsidRPr="0055515A" w14:paraId="27956E37" w14:textId="77777777" w:rsidTr="0024730D">
        <w:tc>
          <w:tcPr>
            <w:tcW w:w="2871" w:type="dxa"/>
          </w:tcPr>
          <w:p w14:paraId="0469792A" w14:textId="77777777" w:rsidR="0055515A" w:rsidRPr="0055515A" w:rsidRDefault="0055515A" w:rsidP="0055515A">
            <w:pPr>
              <w:spacing w:after="120" w:line="360" w:lineRule="auto"/>
              <w:jc w:val="both"/>
              <w:rPr>
                <w:rFonts w:ascii="Times New Roman" w:eastAsia="Times New Roman" w:hAnsi="Times New Roman" w:cs="Times New Roman"/>
                <w:b/>
                <w:iCs/>
                <w:color w:val="000000"/>
              </w:rPr>
            </w:pPr>
            <w:r w:rsidRPr="0055515A">
              <w:rPr>
                <w:rFonts w:ascii="Times New Roman" w:eastAsia="Times New Roman" w:hAnsi="Times New Roman" w:cs="Times New Roman"/>
                <w:b/>
                <w:iCs/>
                <w:color w:val="000000"/>
              </w:rPr>
              <w:t>k.</w:t>
            </w:r>
            <w:r w:rsidRPr="0055515A">
              <w:rPr>
                <w:rFonts w:ascii="Times New Roman" w:eastAsia="Times New Roman" w:hAnsi="Times New Roman" w:cs="Times New Roman"/>
                <w:iCs/>
                <w:color w:val="000000"/>
              </w:rPr>
              <w:t xml:space="preserve"> Buhar Kullanımından Isı Geri Kazanımı.</w:t>
            </w:r>
          </w:p>
        </w:tc>
        <w:tc>
          <w:tcPr>
            <w:tcW w:w="3296" w:type="dxa"/>
          </w:tcPr>
          <w:p w14:paraId="5D59E845"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color w:val="000000"/>
              </w:rPr>
              <w:t>Örneğin, sıcak yoğuşma suyundan ve buhar kazanından çıkan ısı, geri kazanılmaktadır.</w:t>
            </w:r>
          </w:p>
        </w:tc>
        <w:tc>
          <w:tcPr>
            <w:tcW w:w="2893" w:type="dxa"/>
          </w:tcPr>
          <w:p w14:paraId="5D3078C1" w14:textId="77777777" w:rsidR="0055515A" w:rsidRPr="0055515A" w:rsidRDefault="0055515A" w:rsidP="0055515A">
            <w:pPr>
              <w:spacing w:after="120" w:line="360" w:lineRule="auto"/>
              <w:jc w:val="both"/>
              <w:rPr>
                <w:rFonts w:ascii="Times New Roman" w:eastAsia="Times New Roman" w:hAnsi="Times New Roman" w:cs="Times New Roman"/>
                <w:b/>
                <w:color w:val="FF0000"/>
              </w:rPr>
            </w:pPr>
            <w:r w:rsidRPr="0055515A">
              <w:rPr>
                <w:rFonts w:ascii="Times New Roman" w:eastAsia="Times New Roman" w:hAnsi="Times New Roman" w:cs="Times New Roman"/>
                <w:bCs/>
                <w:color w:val="000000"/>
              </w:rPr>
              <w:t>Genel olarak uygulanabilir.</w:t>
            </w:r>
          </w:p>
        </w:tc>
      </w:tr>
    </w:tbl>
    <w:p w14:paraId="2AB1EF40" w14:textId="77777777" w:rsidR="0055515A" w:rsidRPr="0055515A" w:rsidRDefault="0055515A" w:rsidP="0055515A">
      <w:pPr>
        <w:spacing w:after="120" w:line="360" w:lineRule="auto"/>
        <w:jc w:val="both"/>
        <w:rPr>
          <w:rFonts w:ascii="Times New Roman" w:eastAsia="Times New Roman" w:hAnsi="Times New Roman" w:cs="Times New Roman"/>
          <w:b/>
          <w:color w:val="FF0000"/>
          <w:kern w:val="0"/>
          <w:sz w:val="24"/>
          <w:szCs w:val="24"/>
          <w:lang w:eastAsia="tr-TR"/>
          <w14:ligatures w14:val="none"/>
        </w:rPr>
      </w:pPr>
    </w:p>
    <w:p w14:paraId="073437BB"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12. </w:t>
      </w:r>
      <w:r w:rsidRPr="0055515A">
        <w:rPr>
          <w:rFonts w:ascii="Times New Roman" w:eastAsia="Times New Roman" w:hAnsi="Times New Roman" w:cs="Times New Roman"/>
          <w:color w:val="000000"/>
          <w:kern w:val="0"/>
          <w:sz w:val="24"/>
          <w:szCs w:val="24"/>
          <w:lang w:eastAsia="tr-TR"/>
          <w14:ligatures w14:val="none"/>
        </w:rPr>
        <w:t>Sıkıştırılmış hava kullanırken enerji verimliliğini artırmak için aşağıdaki tekniklerin bir kombinasyonu kullanılır.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85"/>
        <w:gridCol w:w="4144"/>
        <w:gridCol w:w="2033"/>
      </w:tblGrid>
      <w:tr w:rsidR="0055515A" w:rsidRPr="0055515A" w14:paraId="7A1A5696" w14:textId="77777777" w:rsidTr="00691C2D">
        <w:trPr>
          <w:tblHeader/>
          <w:tblCellSpacing w:w="15" w:type="dxa"/>
        </w:trPr>
        <w:tc>
          <w:tcPr>
            <w:tcW w:w="0" w:type="auto"/>
            <w:vAlign w:val="center"/>
            <w:hideMark/>
          </w:tcPr>
          <w:p w14:paraId="794AAD5D" w14:textId="77777777" w:rsidR="0055515A" w:rsidRPr="0055515A" w:rsidRDefault="0055515A" w:rsidP="0055515A">
            <w:pPr>
              <w:spacing w:after="0" w:line="240" w:lineRule="auto"/>
              <w:jc w:val="center"/>
              <w:rPr>
                <w:rFonts w:ascii="Times New Roman" w:eastAsia="Times New Roman" w:hAnsi="Times New Roman" w:cs="Times New Roman"/>
                <w:b/>
                <w:bCs/>
                <w:kern w:val="0"/>
                <w:lang w:eastAsia="tr-TR"/>
                <w14:ligatures w14:val="none"/>
              </w:rPr>
            </w:pPr>
            <w:r w:rsidRPr="0055515A">
              <w:rPr>
                <w:rFonts w:ascii="Times New Roman" w:eastAsia="Times New Roman" w:hAnsi="Times New Roman" w:cs="Times New Roman"/>
                <w:b/>
                <w:bCs/>
                <w:kern w:val="0"/>
                <w:lang w:eastAsia="tr-TR"/>
                <w14:ligatures w14:val="none"/>
              </w:rPr>
              <w:t>Teknik</w:t>
            </w:r>
          </w:p>
        </w:tc>
        <w:tc>
          <w:tcPr>
            <w:tcW w:w="0" w:type="auto"/>
            <w:vAlign w:val="center"/>
            <w:hideMark/>
          </w:tcPr>
          <w:p w14:paraId="40E9BDF9" w14:textId="77777777" w:rsidR="0055515A" w:rsidRPr="0055515A" w:rsidRDefault="0055515A" w:rsidP="0055515A">
            <w:pPr>
              <w:spacing w:after="0" w:line="240" w:lineRule="auto"/>
              <w:jc w:val="center"/>
              <w:rPr>
                <w:rFonts w:ascii="Times New Roman" w:eastAsia="Times New Roman" w:hAnsi="Times New Roman" w:cs="Times New Roman"/>
                <w:b/>
                <w:bCs/>
                <w:kern w:val="0"/>
                <w:lang w:eastAsia="tr-TR"/>
                <w14:ligatures w14:val="none"/>
              </w:rPr>
            </w:pPr>
            <w:r w:rsidRPr="0055515A">
              <w:rPr>
                <w:rFonts w:ascii="Times New Roman" w:eastAsia="Times New Roman" w:hAnsi="Times New Roman" w:cs="Times New Roman"/>
                <w:b/>
                <w:bCs/>
                <w:kern w:val="0"/>
                <w:lang w:eastAsia="tr-TR"/>
                <w14:ligatures w14:val="none"/>
              </w:rPr>
              <w:t>Açıklama</w:t>
            </w:r>
          </w:p>
        </w:tc>
        <w:tc>
          <w:tcPr>
            <w:tcW w:w="0" w:type="auto"/>
            <w:vAlign w:val="center"/>
            <w:hideMark/>
          </w:tcPr>
          <w:p w14:paraId="6229D697" w14:textId="77777777" w:rsidR="0055515A" w:rsidRPr="0055515A" w:rsidRDefault="0055515A" w:rsidP="0055515A">
            <w:pPr>
              <w:spacing w:after="0" w:line="240" w:lineRule="auto"/>
              <w:jc w:val="center"/>
              <w:rPr>
                <w:rFonts w:ascii="Times New Roman" w:eastAsia="Times New Roman" w:hAnsi="Times New Roman" w:cs="Times New Roman"/>
                <w:b/>
                <w:bCs/>
                <w:kern w:val="0"/>
                <w:lang w:eastAsia="tr-TR"/>
                <w14:ligatures w14:val="none"/>
              </w:rPr>
            </w:pPr>
            <w:r w:rsidRPr="0055515A">
              <w:rPr>
                <w:rFonts w:ascii="Times New Roman" w:eastAsia="Times New Roman" w:hAnsi="Times New Roman" w:cs="Times New Roman"/>
                <w:b/>
                <w:bCs/>
                <w:kern w:val="0"/>
                <w:lang w:eastAsia="tr-TR"/>
                <w14:ligatures w14:val="none"/>
              </w:rPr>
              <w:t>Uygulama</w:t>
            </w:r>
          </w:p>
        </w:tc>
      </w:tr>
      <w:tr w:rsidR="0055515A" w:rsidRPr="0055515A" w14:paraId="3EC24C23" w14:textId="77777777" w:rsidTr="00691C2D">
        <w:trPr>
          <w:tblCellSpacing w:w="15" w:type="dxa"/>
        </w:trPr>
        <w:tc>
          <w:tcPr>
            <w:tcW w:w="0" w:type="auto"/>
            <w:vAlign w:val="center"/>
            <w:hideMark/>
          </w:tcPr>
          <w:p w14:paraId="5F78C2BC"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a. </w:t>
            </w:r>
            <w:r w:rsidRPr="0055515A">
              <w:rPr>
                <w:rFonts w:ascii="Times New Roman" w:eastAsia="Times New Roman" w:hAnsi="Times New Roman" w:cs="Times New Roman"/>
                <w:color w:val="000000"/>
                <w:kern w:val="0"/>
                <w:lang w:eastAsia="tr-TR"/>
                <w14:ligatures w14:val="none"/>
              </w:rPr>
              <w:t xml:space="preserve">Basınçlı Hava Sistemindeki </w:t>
            </w:r>
            <w:r w:rsidRPr="0055515A">
              <w:rPr>
                <w:rFonts w:ascii="Times New Roman" w:eastAsia="Times New Roman" w:hAnsi="Times New Roman" w:cs="Times New Roman"/>
                <w:kern w:val="0"/>
                <w:lang w:eastAsia="tr-TR"/>
                <w14:ligatures w14:val="none"/>
              </w:rPr>
              <w:t>optimum tasarımı</w:t>
            </w:r>
          </w:p>
        </w:tc>
        <w:tc>
          <w:tcPr>
            <w:tcW w:w="0" w:type="auto"/>
            <w:vAlign w:val="center"/>
            <w:hideMark/>
          </w:tcPr>
          <w:p w14:paraId="36D38515"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Birkaç sıkıştırılmış hava ünitesi, farklı basınç seviyelerinde hava sağlar. Bu, gereksiz yüksek basınçlı hava üretimini engeller.</w:t>
            </w:r>
          </w:p>
        </w:tc>
        <w:tc>
          <w:tcPr>
            <w:tcW w:w="0" w:type="auto"/>
            <w:vAlign w:val="center"/>
            <w:hideMark/>
          </w:tcPr>
          <w:p w14:paraId="6BA547D9"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Yalnızca yeni tesislerde veya büyük tesis yenilemelerinde uygulanabilir.</w:t>
            </w:r>
          </w:p>
        </w:tc>
      </w:tr>
      <w:tr w:rsidR="0055515A" w:rsidRPr="0055515A" w14:paraId="136BD610" w14:textId="77777777" w:rsidTr="00691C2D">
        <w:trPr>
          <w:tblCellSpacing w:w="15" w:type="dxa"/>
        </w:trPr>
        <w:tc>
          <w:tcPr>
            <w:tcW w:w="0" w:type="auto"/>
            <w:vAlign w:val="center"/>
            <w:hideMark/>
          </w:tcPr>
          <w:p w14:paraId="3EEFC1BE"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b. </w:t>
            </w:r>
            <w:r w:rsidRPr="0055515A">
              <w:rPr>
                <w:rFonts w:ascii="Times New Roman" w:eastAsia="Times New Roman" w:hAnsi="Times New Roman" w:cs="Times New Roman"/>
                <w:color w:val="000000"/>
                <w:kern w:val="0"/>
                <w:lang w:eastAsia="tr-TR"/>
                <w14:ligatures w14:val="none"/>
              </w:rPr>
              <w:t xml:space="preserve">Basınçlı Hava Sistemindeki </w:t>
            </w:r>
            <w:r w:rsidRPr="0055515A">
              <w:rPr>
                <w:rFonts w:ascii="Times New Roman" w:eastAsia="Times New Roman" w:hAnsi="Times New Roman" w:cs="Times New Roman"/>
                <w:kern w:val="0"/>
                <w:lang w:eastAsia="tr-TR"/>
                <w14:ligatures w14:val="none"/>
              </w:rPr>
              <w:t>optimum kullanımı</w:t>
            </w:r>
          </w:p>
        </w:tc>
        <w:tc>
          <w:tcPr>
            <w:tcW w:w="0" w:type="auto"/>
            <w:vAlign w:val="center"/>
            <w:hideMark/>
          </w:tcPr>
          <w:p w14:paraId="0EE86680"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Ekipmanların uzun süre kapalı kaldığı veya boşta olduğu zamanlarda sıkıştırılmış hava üretimi durdurulur ve tek bir alan (örneğin, vanalarla) sisteme bağlı diğer alanlardan izole edilebilir, özellikle nadiren kullanılan alanlarda.</w:t>
            </w:r>
          </w:p>
        </w:tc>
        <w:tc>
          <w:tcPr>
            <w:tcW w:w="0" w:type="auto"/>
            <w:vAlign w:val="center"/>
            <w:hideMark/>
          </w:tcPr>
          <w:p w14:paraId="04B0F320"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Genel olarak uygulanabilir.</w:t>
            </w:r>
          </w:p>
        </w:tc>
      </w:tr>
      <w:tr w:rsidR="0055515A" w:rsidRPr="0055515A" w14:paraId="7A5F1E25" w14:textId="77777777" w:rsidTr="00691C2D">
        <w:trPr>
          <w:tblCellSpacing w:w="15" w:type="dxa"/>
        </w:trPr>
        <w:tc>
          <w:tcPr>
            <w:tcW w:w="0" w:type="auto"/>
            <w:vAlign w:val="center"/>
            <w:hideMark/>
          </w:tcPr>
          <w:p w14:paraId="2AFFE993"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c. </w:t>
            </w:r>
            <w:r w:rsidRPr="0055515A">
              <w:rPr>
                <w:rFonts w:ascii="Times New Roman" w:eastAsia="Times New Roman" w:hAnsi="Times New Roman" w:cs="Times New Roman"/>
                <w:color w:val="000000"/>
                <w:kern w:val="0"/>
                <w:lang w:eastAsia="tr-TR"/>
                <w14:ligatures w14:val="none"/>
              </w:rPr>
              <w:t>Basınçlı Hava Sistemindeki Sızıntıların Kontrolü</w:t>
            </w:r>
            <w:r w:rsidRPr="0055515A">
              <w:rPr>
                <w:rFonts w:ascii="Times New Roman" w:eastAsia="Times New Roman" w:hAnsi="Times New Roman" w:cs="Times New Roman"/>
                <w:kern w:val="0"/>
                <w:lang w:eastAsia="tr-TR"/>
                <w14:ligatures w14:val="none"/>
              </w:rPr>
              <w:t>:</w:t>
            </w:r>
          </w:p>
        </w:tc>
        <w:tc>
          <w:tcPr>
            <w:tcW w:w="0" w:type="auto"/>
            <w:vAlign w:val="center"/>
            <w:hideMark/>
          </w:tcPr>
          <w:p w14:paraId="27F9254D" w14:textId="77777777" w:rsidR="0055515A" w:rsidRPr="0085348C" w:rsidRDefault="008B1553" w:rsidP="0055515A">
            <w:pPr>
              <w:spacing w:after="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kern w:val="0"/>
                <w:lang w:eastAsia="tr-TR"/>
                <w14:ligatures w14:val="none"/>
              </w:rPr>
              <w:t>Hava kaçaklarının yaygın olabileceği hortum, boru, pnömatik bağlantı noktaları, fitting elemanları ve basınç regülatörlerinde hava kaçak tespit cihazı ile düzenli kontrol yapılarak bakımlar yapılır.</w:t>
            </w:r>
          </w:p>
        </w:tc>
        <w:tc>
          <w:tcPr>
            <w:tcW w:w="0" w:type="auto"/>
            <w:vAlign w:val="center"/>
            <w:hideMark/>
          </w:tcPr>
          <w:p w14:paraId="1C18B186"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Genel olarak uygulanabilir.</w:t>
            </w:r>
          </w:p>
        </w:tc>
      </w:tr>
      <w:tr w:rsidR="0055515A" w:rsidRPr="0055515A" w14:paraId="3A69746A" w14:textId="77777777" w:rsidTr="00691C2D">
        <w:trPr>
          <w:tblCellSpacing w:w="15" w:type="dxa"/>
        </w:trPr>
        <w:tc>
          <w:tcPr>
            <w:tcW w:w="0" w:type="auto"/>
            <w:vAlign w:val="center"/>
            <w:hideMark/>
          </w:tcPr>
          <w:p w14:paraId="2E1461AF"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lastRenderedPageBreak/>
              <w:t xml:space="preserve">d. </w:t>
            </w:r>
            <w:r w:rsidRPr="0055515A">
              <w:rPr>
                <w:rFonts w:ascii="Times New Roman" w:eastAsia="Times New Roman" w:hAnsi="Times New Roman" w:cs="Times New Roman"/>
                <w:iCs/>
                <w:color w:val="000000"/>
                <w:kern w:val="0"/>
                <w:lang w:eastAsia="tr-TR"/>
                <w14:ligatures w14:val="none"/>
              </w:rPr>
              <w:t>Hava Kompresörlerinden Gelen Sıcak Soğutma Suyunun veya Sıcak Soğutma Havasının Yeniden Kullanımı ve/veya Geri Dönüşümü</w:t>
            </w:r>
          </w:p>
        </w:tc>
        <w:tc>
          <w:tcPr>
            <w:tcW w:w="0" w:type="auto"/>
            <w:vAlign w:val="center"/>
            <w:hideMark/>
          </w:tcPr>
          <w:p w14:paraId="5EF4544F"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Sıcak soğutma havası (örneğin, hava soğutmalı hava kompresörlerinden) geri kullanılır ve/veya geri dönüştürülür (örneğin, bobinler ve sargıların kurutulmasında ihtiyaç duyulursa). Sıcak soğutma suyunun geri kullanımı ve/veya geri dönüşümü için MET 11 (g)'ye bakınız.</w:t>
            </w:r>
            <w:r w:rsidRPr="0055515A">
              <w:rPr>
                <w:rFonts w:ascii="Times New Roman" w:eastAsia="Times New Roman" w:hAnsi="Times New Roman" w:cs="Times New Roman"/>
                <w:kern w:val="0"/>
                <w:lang w:eastAsia="tr-TR"/>
                <w14:ligatures w14:val="none"/>
              </w:rPr>
              <w:br/>
            </w:r>
          </w:p>
        </w:tc>
        <w:tc>
          <w:tcPr>
            <w:tcW w:w="0" w:type="auto"/>
            <w:vAlign w:val="center"/>
            <w:hideMark/>
          </w:tcPr>
          <w:p w14:paraId="5E533D74" w14:textId="77777777" w:rsidR="0055515A" w:rsidRPr="0055515A" w:rsidRDefault="0055515A" w:rsidP="0055515A">
            <w:pPr>
              <w:spacing w:after="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Genel olarak uygulanabilir.</w:t>
            </w:r>
          </w:p>
        </w:tc>
      </w:tr>
    </w:tbl>
    <w:p w14:paraId="7D105A6C"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13. </w:t>
      </w:r>
      <w:r w:rsidRPr="0055515A">
        <w:rPr>
          <w:rFonts w:ascii="Times New Roman" w:eastAsia="Times New Roman" w:hAnsi="Times New Roman" w:cs="Times New Roman"/>
          <w:color w:val="000000"/>
          <w:kern w:val="0"/>
          <w:sz w:val="24"/>
          <w:szCs w:val="24"/>
          <w:lang w:eastAsia="tr-TR"/>
          <w14:ligatures w14:val="none"/>
        </w:rPr>
        <w:t>Termal işlemde enerji verimliliğini artırmak için aşağıdaki tüm teknikler kullanılır.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4083"/>
        <w:gridCol w:w="2857"/>
      </w:tblGrid>
      <w:tr w:rsidR="0055515A" w:rsidRPr="0055515A" w14:paraId="78D90E89" w14:textId="77777777" w:rsidTr="0024730D">
        <w:trPr>
          <w:tblHeader/>
          <w:tblCellSpacing w:w="15" w:type="dxa"/>
        </w:trPr>
        <w:tc>
          <w:tcPr>
            <w:tcW w:w="0" w:type="auto"/>
            <w:vAlign w:val="center"/>
            <w:hideMark/>
          </w:tcPr>
          <w:p w14:paraId="7769D658" w14:textId="77777777" w:rsidR="0055515A" w:rsidRPr="0055515A" w:rsidRDefault="0055515A" w:rsidP="0055515A">
            <w:pPr>
              <w:spacing w:after="0" w:line="240" w:lineRule="auto"/>
              <w:jc w:val="center"/>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0" w:type="auto"/>
            <w:vAlign w:val="center"/>
            <w:hideMark/>
          </w:tcPr>
          <w:p w14:paraId="3250EA93" w14:textId="77777777" w:rsidR="0055515A" w:rsidRPr="0055515A" w:rsidRDefault="0055515A" w:rsidP="0055515A">
            <w:pPr>
              <w:spacing w:after="0" w:line="240" w:lineRule="auto"/>
              <w:jc w:val="center"/>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0" w:type="auto"/>
            <w:vAlign w:val="center"/>
            <w:hideMark/>
          </w:tcPr>
          <w:p w14:paraId="6543E5F0" w14:textId="77777777" w:rsidR="0055515A" w:rsidRPr="0055515A" w:rsidRDefault="0055515A" w:rsidP="0055515A">
            <w:pPr>
              <w:spacing w:after="0" w:line="240" w:lineRule="auto"/>
              <w:jc w:val="center"/>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Uygulama</w:t>
            </w:r>
          </w:p>
        </w:tc>
      </w:tr>
      <w:tr w:rsidR="0055515A" w:rsidRPr="0055515A" w14:paraId="04DE6331" w14:textId="77777777" w:rsidTr="0024730D">
        <w:trPr>
          <w:tblHeader/>
          <w:tblCellSpacing w:w="15" w:type="dxa"/>
        </w:trPr>
        <w:tc>
          <w:tcPr>
            <w:tcW w:w="0" w:type="auto"/>
            <w:gridSpan w:val="3"/>
            <w:vAlign w:val="center"/>
          </w:tcPr>
          <w:p w14:paraId="3A0FA29E"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Isı kullanımını azaltmaya yönelik teknikler</w:t>
            </w:r>
          </w:p>
        </w:tc>
      </w:tr>
      <w:tr w:rsidR="0055515A" w:rsidRPr="0055515A" w14:paraId="3D771C18" w14:textId="77777777" w:rsidTr="0024730D">
        <w:trPr>
          <w:tblCellSpacing w:w="15" w:type="dxa"/>
        </w:trPr>
        <w:tc>
          <w:tcPr>
            <w:tcW w:w="0" w:type="auto"/>
            <w:vAlign w:val="center"/>
            <w:hideMark/>
          </w:tcPr>
          <w:p w14:paraId="628FEF7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 Tekstil materyallerinin mekanik olarak suyu uzaklaştırılması</w:t>
            </w:r>
          </w:p>
        </w:tc>
        <w:tc>
          <w:tcPr>
            <w:tcW w:w="0" w:type="auto"/>
            <w:vAlign w:val="center"/>
            <w:hideMark/>
          </w:tcPr>
          <w:p w14:paraId="46E2AFE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Tekstil materyallerinin su içeriği mekanik tekniklerle (örneğin, santrifüj çıkarma, sıkma ve/veya vakumla çıkarma) azaltılır.</w:t>
            </w:r>
          </w:p>
        </w:tc>
        <w:tc>
          <w:tcPr>
            <w:tcW w:w="0" w:type="auto"/>
            <w:vAlign w:val="center"/>
            <w:hideMark/>
          </w:tcPr>
          <w:p w14:paraId="0183EF1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32AB03E1" w14:textId="77777777" w:rsidTr="0024730D">
        <w:trPr>
          <w:tblCellSpacing w:w="15" w:type="dxa"/>
        </w:trPr>
        <w:tc>
          <w:tcPr>
            <w:tcW w:w="0" w:type="auto"/>
            <w:vAlign w:val="center"/>
            <w:hideMark/>
          </w:tcPr>
          <w:p w14:paraId="1D7D920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 Tekstil materyallerinin aşırı kurutulmasından kaçınılması</w:t>
            </w:r>
          </w:p>
        </w:tc>
        <w:tc>
          <w:tcPr>
            <w:tcW w:w="0" w:type="auto"/>
            <w:vAlign w:val="center"/>
            <w:hideMark/>
          </w:tcPr>
          <w:p w14:paraId="7558A6A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Tekstil materyalleri, doğal nem seviyesinin altına kurutulmaz.</w:t>
            </w:r>
          </w:p>
        </w:tc>
        <w:tc>
          <w:tcPr>
            <w:tcW w:w="0" w:type="auto"/>
            <w:vAlign w:val="center"/>
            <w:hideMark/>
          </w:tcPr>
          <w:p w14:paraId="64FF569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28FC3F5D" w14:textId="77777777" w:rsidTr="0024730D">
        <w:trPr>
          <w:tblCellSpacing w:w="15" w:type="dxa"/>
        </w:trPr>
        <w:tc>
          <w:tcPr>
            <w:tcW w:w="0" w:type="auto"/>
            <w:gridSpan w:val="3"/>
            <w:vAlign w:val="center"/>
          </w:tcPr>
          <w:p w14:paraId="65C09AB7"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Tasarım ve İşletim Teknikleri</w:t>
            </w:r>
            <w:r w:rsidRPr="0055515A">
              <w:rPr>
                <w:rFonts w:ascii="Times New Roman" w:eastAsia="Times New Roman" w:hAnsi="Times New Roman" w:cs="Times New Roman"/>
                <w:b/>
                <w:bCs/>
                <w:color w:val="000000"/>
                <w:kern w:val="0"/>
                <w:lang w:eastAsia="tr-TR"/>
                <w14:ligatures w14:val="none"/>
              </w:rPr>
              <w:t> </w:t>
            </w:r>
            <w:r w:rsidRPr="0055515A">
              <w:rPr>
                <w:rFonts w:ascii="Times New Roman" w:eastAsia="Times New Roman" w:hAnsi="Times New Roman" w:cs="Times New Roman"/>
                <w:color w:val="000000"/>
                <w:kern w:val="0"/>
                <w:lang w:eastAsia="tr-TR"/>
                <w14:ligatures w14:val="none"/>
              </w:rPr>
              <w:t>Isı Geri Kazanım Teknikleri</w:t>
            </w:r>
          </w:p>
        </w:tc>
      </w:tr>
      <w:tr w:rsidR="0055515A" w:rsidRPr="0055515A" w14:paraId="63393C33" w14:textId="77777777" w:rsidTr="0024730D">
        <w:trPr>
          <w:tblCellSpacing w:w="15" w:type="dxa"/>
        </w:trPr>
        <w:tc>
          <w:tcPr>
            <w:tcW w:w="0" w:type="auto"/>
            <w:vAlign w:val="center"/>
            <w:hideMark/>
          </w:tcPr>
          <w:p w14:paraId="7017A74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c. </w:t>
            </w:r>
            <w:r w:rsidRPr="0055515A">
              <w:rPr>
                <w:rFonts w:ascii="Times New Roman" w:eastAsia="Times New Roman" w:hAnsi="Times New Roman" w:cs="Times New Roman"/>
                <w:iCs/>
                <w:color w:val="000000"/>
                <w:kern w:val="0"/>
                <w:lang w:eastAsia="tr-TR"/>
                <w14:ligatures w14:val="none"/>
              </w:rPr>
              <w:t>Germeli Kurutma Makinelerindeki Hava Dolaşımı Optimizasyonu</w:t>
            </w:r>
          </w:p>
        </w:tc>
        <w:tc>
          <w:tcPr>
            <w:tcW w:w="0" w:type="auto"/>
            <w:vAlign w:val="center"/>
            <w:hideMark/>
          </w:tcPr>
          <w:p w14:paraId="567A30F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Şunları içerir: — Hava enjeksiyon memelerinin sayısının kumaşın genişliğine uyarlanması; — Memeler ile kumaş arasındaki mesafenin mümkün olduğunca kısa olması; — Stentlerin iç bileşenleri nedeniyle oluşan basınç düşüşünün mümkün olduğunca küçük olması.</w:t>
            </w:r>
          </w:p>
        </w:tc>
        <w:tc>
          <w:tcPr>
            <w:tcW w:w="0" w:type="auto"/>
            <w:vAlign w:val="center"/>
            <w:hideMark/>
          </w:tcPr>
          <w:p w14:paraId="28B5D85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Yalnızca yeni tesislerde veya büyük tesis yenilemelerinde uygulanabilir.</w:t>
            </w:r>
          </w:p>
        </w:tc>
      </w:tr>
      <w:tr w:rsidR="0055515A" w:rsidRPr="0055515A" w14:paraId="2A2DC5D5" w14:textId="77777777" w:rsidTr="0024730D">
        <w:trPr>
          <w:tblCellSpacing w:w="15" w:type="dxa"/>
        </w:trPr>
        <w:tc>
          <w:tcPr>
            <w:tcW w:w="0" w:type="auto"/>
            <w:vAlign w:val="center"/>
            <w:hideMark/>
          </w:tcPr>
          <w:p w14:paraId="25C74C04" w14:textId="2B9DDEF1"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d. Kurutma işleminin ileri düzeyde izlenmesi ve kontrolü</w:t>
            </w:r>
          </w:p>
        </w:tc>
        <w:tc>
          <w:tcPr>
            <w:tcW w:w="0" w:type="auto"/>
            <w:vAlign w:val="center"/>
            <w:hideMark/>
          </w:tcPr>
          <w:p w14:paraId="69BC06F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Kurutma parametreleri izlenir ve kontrol edilir (bkz. MET 4). Bu parametreler şunları içerir: </w:t>
            </w:r>
          </w:p>
          <w:p w14:paraId="6D64704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 Giriş havasının nem içeriği ve sıcaklığı; </w:t>
            </w:r>
          </w:p>
          <w:p w14:paraId="413403E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 Tekstil materyallerinin ve havanın kurutucu içindeki sıcaklığı; </w:t>
            </w:r>
          </w:p>
          <w:p w14:paraId="038659B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 Egzoz havasının nem içeriği ve sıcaklığı; uygun nem içeriği ile kurutma verimliliği optimize edilir (örneğin, kuru havada 0,1 kg su/kg'dan yüksek); </w:t>
            </w:r>
          </w:p>
          <w:p w14:paraId="542C55B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Kumaşın kalıntı nem içeriği. Egzoz hava akışı, kurutma verimliliğini optimize etmek için ayarlanır ve kurutma ekipmanlarının boşta olduğu dönemlerde azaltılır.</w:t>
            </w:r>
          </w:p>
        </w:tc>
        <w:tc>
          <w:tcPr>
            <w:tcW w:w="0" w:type="auto"/>
            <w:vAlign w:val="center"/>
            <w:hideMark/>
          </w:tcPr>
          <w:p w14:paraId="43E1029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05AD83C5" w14:textId="77777777" w:rsidTr="0024730D">
        <w:trPr>
          <w:tblCellSpacing w:w="15" w:type="dxa"/>
        </w:trPr>
        <w:tc>
          <w:tcPr>
            <w:tcW w:w="0" w:type="auto"/>
            <w:vAlign w:val="center"/>
            <w:hideMark/>
          </w:tcPr>
          <w:p w14:paraId="390B47D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e. Mikrodalga veya radyo frekansı kurutucuları</w:t>
            </w:r>
          </w:p>
        </w:tc>
        <w:tc>
          <w:tcPr>
            <w:tcW w:w="0" w:type="auto"/>
            <w:vAlign w:val="center"/>
            <w:hideMark/>
          </w:tcPr>
          <w:p w14:paraId="00CF8CD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Tekstil materyallerinin yüksek verimli mikrodalga veya radyo frekansı kurutucuları ile kurutulması.</w:t>
            </w:r>
          </w:p>
        </w:tc>
        <w:tc>
          <w:tcPr>
            <w:tcW w:w="0" w:type="auto"/>
            <w:vAlign w:val="center"/>
            <w:hideMark/>
          </w:tcPr>
          <w:p w14:paraId="355B2BD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Metalik parçalar veya lifler içeren tekstil materyallerine uygulanamaz. Yalnızca yeni tesislerde veya büyük tesis yenilemelerinde uygulanabilir.</w:t>
            </w:r>
          </w:p>
        </w:tc>
      </w:tr>
      <w:tr w:rsidR="0055515A" w:rsidRPr="0055515A" w14:paraId="0742F4F7" w14:textId="77777777" w:rsidTr="0024730D">
        <w:trPr>
          <w:tblCellSpacing w:w="15" w:type="dxa"/>
        </w:trPr>
        <w:tc>
          <w:tcPr>
            <w:tcW w:w="0" w:type="auto"/>
            <w:gridSpan w:val="3"/>
            <w:vAlign w:val="center"/>
          </w:tcPr>
          <w:p w14:paraId="6CA4BF1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Isı Geri Kazanım Teknikler</w:t>
            </w:r>
          </w:p>
        </w:tc>
      </w:tr>
      <w:tr w:rsidR="0055515A" w:rsidRPr="0055515A" w14:paraId="605E98FB" w14:textId="77777777" w:rsidTr="0024730D">
        <w:trPr>
          <w:tblCellSpacing w:w="15" w:type="dxa"/>
        </w:trPr>
        <w:tc>
          <w:tcPr>
            <w:tcW w:w="0" w:type="auto"/>
            <w:vAlign w:val="center"/>
            <w:hideMark/>
          </w:tcPr>
          <w:p w14:paraId="2EBC545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lastRenderedPageBreak/>
              <w:t>f. Atık gazlardan ısı geri kazanımı</w:t>
            </w:r>
          </w:p>
        </w:tc>
        <w:tc>
          <w:tcPr>
            <w:tcW w:w="0" w:type="auto"/>
            <w:vAlign w:val="center"/>
            <w:hideMark/>
          </w:tcPr>
          <w:p w14:paraId="09FB5DD4" w14:textId="7165836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w:t>
            </w:r>
            <w:r w:rsidR="00691C2D">
              <w:rPr>
                <w:rFonts w:ascii="Times New Roman" w:eastAsia="Times New Roman" w:hAnsi="Times New Roman" w:cs="Times New Roman"/>
                <w:color w:val="000000"/>
                <w:kern w:val="0"/>
                <w:lang w:eastAsia="tr-TR"/>
                <w14:ligatures w14:val="none"/>
              </w:rPr>
              <w:t>kz</w:t>
            </w:r>
            <w:r w:rsidRPr="0055515A">
              <w:rPr>
                <w:rFonts w:ascii="Times New Roman" w:eastAsia="Times New Roman" w:hAnsi="Times New Roman" w:cs="Times New Roman"/>
                <w:color w:val="000000"/>
                <w:kern w:val="0"/>
                <w:lang w:eastAsia="tr-TR"/>
                <w14:ligatures w14:val="none"/>
              </w:rPr>
              <w:t>. MET 11 (j).</w:t>
            </w:r>
          </w:p>
        </w:tc>
        <w:tc>
          <w:tcPr>
            <w:tcW w:w="0" w:type="auto"/>
            <w:vAlign w:val="center"/>
            <w:hideMark/>
          </w:tcPr>
          <w:p w14:paraId="0B4B3C8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Yalnızca atık gaz akışı yeterli olduğunda uygulanabilir.</w:t>
            </w:r>
          </w:p>
        </w:tc>
      </w:tr>
    </w:tbl>
    <w:p w14:paraId="01E23AC3" w14:textId="77777777" w:rsidR="0085348C" w:rsidRDefault="0085348C" w:rsidP="0055515A">
      <w:pPr>
        <w:spacing w:after="120" w:line="360" w:lineRule="auto"/>
        <w:jc w:val="center"/>
        <w:rPr>
          <w:rFonts w:ascii="Times New Roman" w:eastAsia="Times New Roman" w:hAnsi="Times New Roman" w:cs="Times New Roman"/>
          <w:i/>
          <w:iCs/>
          <w:color w:val="000000"/>
          <w:kern w:val="0"/>
          <w:sz w:val="24"/>
          <w:szCs w:val="24"/>
          <w:lang w:eastAsia="tr-TR"/>
          <w14:ligatures w14:val="none"/>
        </w:rPr>
      </w:pPr>
    </w:p>
    <w:p w14:paraId="281FB206" w14:textId="6BFA7187" w:rsidR="0055515A" w:rsidRPr="0055515A" w:rsidRDefault="0055515A" w:rsidP="0055515A">
      <w:pPr>
        <w:spacing w:after="120" w:line="360" w:lineRule="auto"/>
        <w:jc w:val="center"/>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Tablo 1.2</w:t>
      </w:r>
    </w:p>
    <w:p w14:paraId="62FD45AD" w14:textId="77777777" w:rsidR="0055515A" w:rsidRPr="0055515A" w:rsidRDefault="0055515A" w:rsidP="0055515A">
      <w:pPr>
        <w:keepNext/>
        <w:pBdr>
          <w:top w:val="nil"/>
          <w:left w:val="nil"/>
          <w:bottom w:val="nil"/>
          <w:right w:val="nil"/>
          <w:between w:val="nil"/>
        </w:pBdr>
        <w:spacing w:after="200" w:line="240" w:lineRule="auto"/>
        <w:jc w:val="center"/>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Özel enerji tüketim alanları için çevresel performans göstergeleri</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530"/>
      </w:tblGrid>
      <w:tr w:rsidR="0055515A" w:rsidRPr="0055515A" w14:paraId="1347D9E5" w14:textId="77777777" w:rsidTr="0024730D">
        <w:trPr>
          <w:jc w:val="center"/>
        </w:trPr>
        <w:tc>
          <w:tcPr>
            <w:tcW w:w="4530" w:type="dxa"/>
            <w:vAlign w:val="center"/>
          </w:tcPr>
          <w:p w14:paraId="2966F237"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Proses</w:t>
            </w:r>
          </w:p>
        </w:tc>
        <w:tc>
          <w:tcPr>
            <w:tcW w:w="4530" w:type="dxa"/>
            <w:vAlign w:val="center"/>
          </w:tcPr>
          <w:p w14:paraId="6D66DED3"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Gösterge</w:t>
            </w:r>
          </w:p>
          <w:p w14:paraId="1E7F435C" w14:textId="77777777" w:rsidR="0055515A" w:rsidRPr="0055515A" w:rsidRDefault="0055515A" w:rsidP="0055515A">
            <w:pPr>
              <w:spacing w:after="120" w:line="240" w:lineRule="auto"/>
              <w:jc w:val="center"/>
              <w:rPr>
                <w:rFonts w:ascii="Times New Roman" w:eastAsia="Times New Roman" w:hAnsi="Times New Roman" w:cs="Times New Roman"/>
                <w:b/>
                <w:kern w:val="0"/>
                <w:lang w:eastAsia="tr-TR"/>
                <w14:ligatures w14:val="none"/>
              </w:rPr>
            </w:pPr>
            <w:r w:rsidRPr="0055515A">
              <w:rPr>
                <w:rFonts w:ascii="Times New Roman" w:eastAsia="Times New Roman" w:hAnsi="Times New Roman" w:cs="Times New Roman"/>
                <w:b/>
                <w:kern w:val="0"/>
                <w:lang w:eastAsia="tr-TR"/>
                <w14:ligatures w14:val="none"/>
              </w:rPr>
              <w:t>(yıllık ortalama, MWh/ton)</w:t>
            </w:r>
          </w:p>
        </w:tc>
      </w:tr>
      <w:tr w:rsidR="0055515A" w:rsidRPr="0055515A" w14:paraId="4A8B1F50" w14:textId="77777777" w:rsidTr="0024730D">
        <w:trPr>
          <w:jc w:val="center"/>
        </w:trPr>
        <w:tc>
          <w:tcPr>
            <w:tcW w:w="4530" w:type="dxa"/>
            <w:vAlign w:val="center"/>
          </w:tcPr>
          <w:p w14:paraId="467EE5E1"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Isıl İşlem</w:t>
            </w:r>
          </w:p>
        </w:tc>
        <w:tc>
          <w:tcPr>
            <w:tcW w:w="4530" w:type="dxa"/>
            <w:vAlign w:val="center"/>
          </w:tcPr>
          <w:p w14:paraId="0D45D1B7" w14:textId="77777777" w:rsidR="0055515A" w:rsidRPr="0055515A" w:rsidRDefault="0055515A" w:rsidP="0055515A">
            <w:pPr>
              <w:spacing w:after="120" w:line="240"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0,5-4,4</w:t>
            </w:r>
          </w:p>
        </w:tc>
      </w:tr>
    </w:tbl>
    <w:p w14:paraId="563D24FD" w14:textId="77777777" w:rsid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p>
    <w:p w14:paraId="02C0F174" w14:textId="77777777" w:rsidR="001F36B6" w:rsidRPr="00887149" w:rsidRDefault="001F36B6" w:rsidP="0055515A">
      <w:pPr>
        <w:spacing w:after="120" w:line="360" w:lineRule="auto"/>
        <w:jc w:val="both"/>
        <w:rPr>
          <w:rFonts w:ascii="Times New Roman" w:eastAsia="Times New Roman" w:hAnsi="Times New Roman" w:cs="Times New Roman"/>
          <w:b/>
          <w:kern w:val="0"/>
          <w:sz w:val="24"/>
          <w:szCs w:val="24"/>
          <w:lang w:eastAsia="tr-TR"/>
          <w14:ligatures w14:val="none"/>
        </w:rPr>
      </w:pPr>
      <w:r w:rsidRPr="00887149">
        <w:rPr>
          <w:rFonts w:ascii="Times New Roman" w:eastAsia="Times New Roman" w:hAnsi="Times New Roman" w:cs="Times New Roman"/>
          <w:b/>
          <w:kern w:val="0"/>
          <w:sz w:val="24"/>
          <w:szCs w:val="24"/>
          <w:lang w:eastAsia="tr-TR"/>
          <w14:ligatures w14:val="none"/>
        </w:rPr>
        <w:t>1.1.5.Kimyasalların Yönetimi, Tüketimi ve İkamesi</w:t>
      </w:r>
    </w:p>
    <w:p w14:paraId="3EFBA610"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 14 -</w:t>
      </w:r>
      <w:r w:rsidRPr="0055515A">
        <w:rPr>
          <w:rFonts w:ascii="Times New Roman" w:eastAsia="Times New Roman" w:hAnsi="Times New Roman" w:cs="Times New Roman"/>
          <w:color w:val="000000"/>
          <w:kern w:val="0"/>
          <w:sz w:val="24"/>
          <w:szCs w:val="24"/>
          <w:lang w:eastAsia="tr-TR"/>
          <w14:ligatures w14:val="none"/>
        </w:rPr>
        <w:t>   Genel çevresel performansı iyileştirmek için MET, ÇYS'nin bir parçası olarak (bkz. MET 1) aşağıdaki özelliklerin tümünü içeren bir kimyasal yönetim sistemi (KYS) hazırlamak ve uygulamaktadır:</w:t>
      </w:r>
    </w:p>
    <w:p w14:paraId="571E931F"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I. </w:t>
      </w:r>
      <w:r w:rsidR="0071338C">
        <w:rPr>
          <w:rFonts w:ascii="Times New Roman" w:eastAsia="Times New Roman" w:hAnsi="Times New Roman" w:cs="Times New Roman"/>
          <w:color w:val="000000"/>
          <w:kern w:val="0"/>
          <w:sz w:val="24"/>
          <w:szCs w:val="24"/>
          <w:lang w:eastAsia="tr-TR"/>
          <w14:ligatures w14:val="none"/>
        </w:rPr>
        <w:t>Zararlı</w:t>
      </w:r>
      <w:r w:rsidRPr="0055515A">
        <w:rPr>
          <w:rFonts w:ascii="Times New Roman" w:eastAsia="Times New Roman" w:hAnsi="Times New Roman" w:cs="Times New Roman"/>
          <w:color w:val="000000"/>
          <w:kern w:val="0"/>
          <w:sz w:val="24"/>
          <w:szCs w:val="24"/>
          <w:lang w:eastAsia="tr-TR"/>
          <w14:ligatures w14:val="none"/>
        </w:rPr>
        <w:t xml:space="preserve"> maddeler ve çok yüksek önem arz eden maddelerle ilişkili kullanım ve riskleri en aza indirmek ve süreç esnasında aşırı miktarda kimyasalının tedarik edilmesini önlemek amacıyla daha az zararlı kimyasalları ve tedarikçilerini seçmek için bir satın alma politikası da dahil olmak üzere proses kimyasallarıyla ilişkili tüketim ve riskleri azaltmaya yönelik bir politika oluşturmaktadır. Bu kimyasallarının seçimi aşağıdakilere dayanmaktadır:</w:t>
      </w:r>
    </w:p>
    <w:p w14:paraId="4AFEFEE7"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a) biyolojik olarak elimine edilebilirlik/biyobozunurluk, eko-toksisite ve çevreye salınma potansiyellerinin karşılaştırmalı analizi (havaya emisyonlar söz konusu olduğunda, örneğin emisyon faktörleri kullanılarak belirlenebilir (bkz. Bölüm 1.9.1));</w:t>
      </w:r>
    </w:p>
    <w:p w14:paraId="3385BA50"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 kimyasalların tehlike sınıflandırmasına, tesis içindeki yollarına, potansiyel salınımlarına ve maruz kalma seviyelerine dayalı olarak proses kimyasallarıyla ilişkili risklerin karakterizasyonu;</w:t>
      </w:r>
    </w:p>
    <w:p w14:paraId="2C495319"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c) geri kazanım ve yeniden kullanım potansiyeli (bakınız MET16(f) ve (g) ile MET39);</w:t>
      </w:r>
    </w:p>
    <w:p w14:paraId="1405BD3A"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d) PFAS, fitalatlar, bromlu alev geciktiriciler, krom-(VI)-içeren maddeler gibi çok yüksek tehlike arz eden maddelerin (gruplarının) kullanımına yönelik potansiyel olarak yeni mevcut ve daha güvenli alternatiflerin belirlenmesi amacıyla ikame potansiyelinin düzenli (örneğin yıllık) analizi; bu, süreç(ler)in değiştirilmesi veya çevresel etkileri olmayan veya daha düşük olan diğer süreç kimyasallarının kullanılması yoluyla gerçekleştirilebilir;</w:t>
      </w:r>
    </w:p>
    <w:p w14:paraId="3B391710" w14:textId="77777777" w:rsidR="00AC43C8"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e) </w:t>
      </w:r>
      <w:r w:rsidR="0071338C">
        <w:rPr>
          <w:rFonts w:ascii="Times New Roman" w:eastAsia="Times New Roman" w:hAnsi="Times New Roman" w:cs="Times New Roman"/>
          <w:color w:val="000000"/>
          <w:kern w:val="0"/>
          <w:sz w:val="24"/>
          <w:szCs w:val="24"/>
          <w:lang w:eastAsia="tr-TR"/>
          <w14:ligatures w14:val="none"/>
        </w:rPr>
        <w:t>Zararlı</w:t>
      </w:r>
      <w:r w:rsidR="0071338C" w:rsidRPr="0055515A">
        <w:rPr>
          <w:rFonts w:ascii="Times New Roman" w:eastAsia="Times New Roman" w:hAnsi="Times New Roman" w:cs="Times New Roman"/>
          <w:color w:val="000000"/>
          <w:kern w:val="0"/>
          <w:sz w:val="24"/>
          <w:szCs w:val="24"/>
          <w:lang w:eastAsia="tr-TR"/>
          <w14:ligatures w14:val="none"/>
        </w:rPr>
        <w:t xml:space="preserve"> </w:t>
      </w:r>
      <w:r w:rsidRPr="0055515A">
        <w:rPr>
          <w:rFonts w:ascii="Times New Roman" w:eastAsia="Times New Roman" w:hAnsi="Times New Roman" w:cs="Times New Roman"/>
          <w:color w:val="000000"/>
          <w:kern w:val="0"/>
          <w:sz w:val="24"/>
          <w:szCs w:val="24"/>
          <w:lang w:eastAsia="tr-TR"/>
          <w14:ligatures w14:val="none"/>
        </w:rPr>
        <w:t xml:space="preserve">maddeler ve çok yüksek önem arz eden maddelerle ilgili mevzuat değişikliklerinin öngörülü analizi ve geçerli yasal gerekliliklere uyumun korunması. </w:t>
      </w:r>
    </w:p>
    <w:p w14:paraId="1836951C" w14:textId="77777777" w:rsidR="00AC43C8"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Proses kimyasalları envanteri (bkz. MET 15), proses kimyasallarının seçimi için gereken bilgileri sağlamak ve saklamak için kullanılabilir.</w:t>
      </w:r>
    </w:p>
    <w:p w14:paraId="010313EA"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 Proses kimyasallarının ve tedarikçilerinin seçim kriterleri sertifikasyon programlarına veya standartlarına dayalı olabilir. Bu durumda, proses kimyasallarının ve tedarikçilerinin bu şemalara veya standartlara uygunluğu düzenli olarak doğrulanır.</w:t>
      </w:r>
    </w:p>
    <w:p w14:paraId="6E1FA915"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lastRenderedPageBreak/>
        <w:t xml:space="preserve">II. </w:t>
      </w:r>
      <w:r w:rsidR="0071338C">
        <w:rPr>
          <w:rFonts w:ascii="Times New Roman" w:eastAsia="Times New Roman" w:hAnsi="Times New Roman" w:cs="Times New Roman"/>
          <w:color w:val="000000"/>
          <w:kern w:val="0"/>
          <w:sz w:val="24"/>
          <w:szCs w:val="24"/>
          <w:lang w:eastAsia="tr-TR"/>
          <w14:ligatures w14:val="none"/>
        </w:rPr>
        <w:t>Zararlı</w:t>
      </w:r>
      <w:r w:rsidRPr="0055515A">
        <w:rPr>
          <w:rFonts w:ascii="Times New Roman" w:eastAsia="Times New Roman" w:hAnsi="Times New Roman" w:cs="Times New Roman"/>
          <w:color w:val="000000"/>
          <w:kern w:val="0"/>
          <w:sz w:val="24"/>
          <w:szCs w:val="24"/>
          <w:lang w:eastAsia="tr-TR"/>
          <w14:ligatures w14:val="none"/>
        </w:rPr>
        <w:t xml:space="preserve"> maddelerin ve çok yüksek önem arz eden maddelerin kullanımını ve bunlarla ilişkili riskleri önlemeye veya azaltmaya yönelik hedefler ve eylem planları.</w:t>
      </w:r>
    </w:p>
    <w:p w14:paraId="4FA689DC"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III. Çevreye emisyonları önlemek veya azaltmak için proses kimyasallarının tedariği, taşınması, depolanması ve kullanımı (bkz. MET 21), proses kimyasalları içeren atıkların bertarafı ve kullanılmayan proses kimyasallarının iadesi (bkz. MET 29 (d)) için prosedürlerin geliştirilmesi ve uygulanması.</w:t>
      </w:r>
    </w:p>
    <w:p w14:paraId="43038C45" w14:textId="77777777" w:rsidR="0055515A" w:rsidRPr="0055515A" w:rsidRDefault="0055515A" w:rsidP="0055515A">
      <w:pPr>
        <w:spacing w:after="0" w:line="240" w:lineRule="auto"/>
        <w:rPr>
          <w:rFonts w:ascii="Times New Roman" w:eastAsia="Times New Roman" w:hAnsi="Times New Roman" w:cs="Times New Roman"/>
          <w:kern w:val="0"/>
          <w:sz w:val="24"/>
          <w:szCs w:val="24"/>
          <w:lang w:eastAsia="tr-TR"/>
          <w14:ligatures w14:val="none"/>
        </w:rPr>
      </w:pPr>
    </w:p>
    <w:p w14:paraId="7A291A9D" w14:textId="77777777" w:rsidR="0055515A" w:rsidRPr="0055515A" w:rsidRDefault="0055515A" w:rsidP="0055515A">
      <w:pPr>
        <w:spacing w:after="120" w:line="360" w:lineRule="auto"/>
        <w:jc w:val="both"/>
        <w:rPr>
          <w:rFonts w:ascii="Times New Roman" w:eastAsia="Times New Roman" w:hAnsi="Times New Roman" w:cs="Times New Roman"/>
          <w:i/>
          <w:iCs/>
          <w:kern w:val="0"/>
          <w:sz w:val="24"/>
          <w:szCs w:val="24"/>
          <w:lang w:eastAsia="tr-TR"/>
          <w14:ligatures w14:val="none"/>
        </w:rPr>
      </w:pPr>
      <w:r w:rsidRPr="0055515A">
        <w:rPr>
          <w:rFonts w:ascii="Times New Roman" w:eastAsia="Times New Roman" w:hAnsi="Times New Roman" w:cs="Times New Roman"/>
          <w:i/>
          <w:iCs/>
          <w:kern w:val="0"/>
          <w:sz w:val="24"/>
          <w:szCs w:val="24"/>
          <w:lang w:eastAsia="tr-TR"/>
          <w14:ligatures w14:val="none"/>
        </w:rPr>
        <w:t>Uygulanabilirlik</w:t>
      </w:r>
    </w:p>
    <w:p w14:paraId="15EEFA4A" w14:textId="77777777" w:rsidR="0055515A" w:rsidRPr="0055515A" w:rsidRDefault="00DF522D" w:rsidP="0055515A">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KYS</w:t>
      </w:r>
      <w:r w:rsidRPr="0055515A">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n</w:t>
      </w:r>
      <w:r w:rsidRPr="0055515A">
        <w:rPr>
          <w:rFonts w:ascii="Times New Roman" w:eastAsia="Times New Roman" w:hAnsi="Times New Roman" w:cs="Times New Roman"/>
          <w:kern w:val="0"/>
          <w:sz w:val="24"/>
          <w:szCs w:val="24"/>
          <w:lang w:eastAsia="tr-TR"/>
          <w14:ligatures w14:val="none"/>
        </w:rPr>
        <w:t xml:space="preserve">in </w:t>
      </w:r>
      <w:r w:rsidR="0055515A" w:rsidRPr="0055515A">
        <w:rPr>
          <w:rFonts w:ascii="Times New Roman" w:eastAsia="Times New Roman" w:hAnsi="Times New Roman" w:cs="Times New Roman"/>
          <w:kern w:val="0"/>
          <w:sz w:val="24"/>
          <w:szCs w:val="24"/>
          <w:lang w:eastAsia="tr-TR"/>
          <w14:ligatures w14:val="none"/>
        </w:rPr>
        <w:t>detay seviyesi genellikle tesisin niteliği, ölçeği ve karmaşıklığı ile ilişkili olacaktır.</w:t>
      </w:r>
    </w:p>
    <w:p w14:paraId="0C04A91A"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 15 -</w:t>
      </w:r>
      <w:r w:rsidRPr="0055515A">
        <w:rPr>
          <w:rFonts w:ascii="Times New Roman" w:eastAsia="Times New Roman" w:hAnsi="Times New Roman" w:cs="Times New Roman"/>
          <w:color w:val="000000"/>
          <w:kern w:val="0"/>
          <w:sz w:val="24"/>
          <w:szCs w:val="24"/>
          <w:lang w:eastAsia="tr-TR"/>
          <w14:ligatures w14:val="none"/>
        </w:rPr>
        <w:t xml:space="preserve"> Genel çevresel performansı iyileştirmek için MET, KYS’nin bir parçası olarak bir kimyasal madde envanteri hazırlayacak ve uygulayacaktır (bkz. MET 14).</w:t>
      </w:r>
    </w:p>
    <w:p w14:paraId="29D7F11C" w14:textId="77777777" w:rsidR="0055515A" w:rsidRPr="0055515A" w:rsidRDefault="0055515A" w:rsidP="0055515A">
      <w:pPr>
        <w:spacing w:after="120" w:line="24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5C498E85" w14:textId="77777777" w:rsidR="0055515A" w:rsidRPr="0055515A"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Kimyasallar envanteri bilgisayar tabanlıdır ve aşağıdakiler hakkında bilgi içerir:</w:t>
      </w:r>
    </w:p>
    <w:p w14:paraId="0CED6BDF" w14:textId="77777777" w:rsidR="0055515A" w:rsidRPr="0055515A"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Proses kimyasallarının kimliği;</w:t>
      </w:r>
    </w:p>
    <w:p w14:paraId="0B4FFE8A" w14:textId="77777777" w:rsidR="0055515A" w:rsidRPr="0055515A"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Tedarik edilen, geri kazanılan (bkz. MET16(g)), depolanan, kullanılan ve tedarikçilere iade edilen proses kimyasallarının miktarları, yerleri ve dayanıklılıkları;</w:t>
      </w:r>
    </w:p>
    <w:p w14:paraId="16E4B446" w14:textId="77777777" w:rsidR="0055515A" w:rsidRPr="0055515A"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Çevre ve/veya insan sağlığı üzerinde olumsuz etkileri olan özellikler (örn. ekotoksisite, biyolojik olarak elimine edilebilirlik/biyobozunurluk) de dahil olmak üzere proses kimyasallarının bileşimi ve fiziko-kimyasal özellikleri (örn. çözünürlük, buhar basıncı, n-oktanol/su bölme katsayısı).</w:t>
      </w:r>
    </w:p>
    <w:p w14:paraId="5EE4A77C" w14:textId="77777777" w:rsidR="0055515A" w:rsidRPr="0055515A" w:rsidRDefault="0055515A" w:rsidP="0055515A">
      <w:pPr>
        <w:spacing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 tür bilgiler Güvenlik Bilgi Formlarından, Teknik Bilgi Formlarından veya diğer kaynaklardan alınabilir.</w:t>
      </w:r>
    </w:p>
    <w:p w14:paraId="0E8B53EB" w14:textId="46E35743"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MET 16 -</w:t>
      </w:r>
      <w:r w:rsidRPr="0055515A">
        <w:rPr>
          <w:rFonts w:ascii="Times New Roman" w:eastAsia="Times New Roman" w:hAnsi="Times New Roman" w:cs="Times New Roman"/>
          <w:color w:val="000000"/>
          <w:kern w:val="0"/>
          <w:sz w:val="24"/>
          <w:szCs w:val="24"/>
          <w:lang w:eastAsia="tr-TR"/>
          <w14:ligatures w14:val="none"/>
        </w:rPr>
        <w:t xml:space="preserve"> Kimyasal tüketimini azaltmak için MET, aşağıda verilen tekniklerin tümünü kullanmaktadır.</w:t>
      </w:r>
    </w:p>
    <w:tbl>
      <w:tblPr>
        <w:tblW w:w="0" w:type="auto"/>
        <w:tblCellMar>
          <w:top w:w="15" w:type="dxa"/>
          <w:left w:w="15" w:type="dxa"/>
          <w:bottom w:w="15" w:type="dxa"/>
          <w:right w:w="15" w:type="dxa"/>
        </w:tblCellMar>
        <w:tblLook w:val="04A0" w:firstRow="1" w:lastRow="0" w:firstColumn="1" w:lastColumn="0" w:noHBand="0" w:noVBand="1"/>
      </w:tblPr>
      <w:tblGrid>
        <w:gridCol w:w="2066"/>
        <w:gridCol w:w="3578"/>
        <w:gridCol w:w="3422"/>
      </w:tblGrid>
      <w:tr w:rsidR="0055515A" w:rsidRPr="0055515A" w14:paraId="21C43936"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121F166C"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4DABDB9D"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55150095"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7D3DAF75"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7FD3815D" w14:textId="77777777"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t>a.Proses kimyasallarına olan ihtiyacın azaltılması</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7016C830"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Formülasyonun düzenli gözden geçirilmesi ve proses kimyasallarının/sıvılarının optimize edilmesi. Üretim optimizasyonu (Bkz. MET 10(b)).</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350ADFEF"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266F8147"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42812153" w14:textId="77777777"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t>b.Kompleks yapıcı maddelerin kullanımının azaltılması</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6EE856E0"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Yumuşak/yumuşatılmış su kullanımı, kompleks yapıcı madde miktarını azaltır (örneğin boyama/ağartma işlemlerinde) (Bkz. MET 38(b)).</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6259B487"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Yıkama ve durulama için uygulanamaz.</w:t>
            </w:r>
          </w:p>
        </w:tc>
      </w:tr>
      <w:tr w:rsidR="0055515A" w:rsidRPr="0055515A" w14:paraId="7E972688"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1EBF394B" w14:textId="77777777"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t>c.Tekstil malzemelerinin enzimlerle işlenmesi</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2905A413"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Seçilen enzimler (Bkz. MET 14 I. (d)), proses kimyasal tüketimini azaltmak için reaksiyonları katalize etmek amacıyla kullanılır.</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58743EB9"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Uygulanabilirlik, uygun enzimlerin bulunabilirliği ile sınırlı olabilir.</w:t>
            </w:r>
          </w:p>
        </w:tc>
      </w:tr>
      <w:tr w:rsidR="0055515A" w:rsidRPr="0055515A" w14:paraId="11E7D7B3"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07AE1BC2" w14:textId="30319956"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lastRenderedPageBreak/>
              <w:t>d.Proses kimyasallarının ve sıvılarının otomatik hazırlanması ve dozajlanması</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3D6B87C4"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Tartma, dozajlama, çözme, ölçme ve dağıtma için otomatik sistemler ile kimyasalların üretim makinelerine hassas teslimi sağlanır.</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61443D12"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Mevcut tesislerde uygulanabilirliği, alan yetersizliği, hazırlık ve üretim makineleri arasındaki mesafe veya proses kimyasalları ve proses sıvılarındaki sık değişiklikler nedeniyle sınırlı olabilir.</w:t>
            </w:r>
          </w:p>
        </w:tc>
      </w:tr>
      <w:tr w:rsidR="0055515A" w:rsidRPr="0055515A" w14:paraId="48DAB90A"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064AA0AF" w14:textId="77777777"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t>e.Kullanılan proses kimyasallarının miktarının optimizasyonu</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780304F4"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Bkz. MET 10(e).</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26E20B5D"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22FB7C93"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09F98EB3" w14:textId="77777777"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t>f.Proses sıvılarının yeniden kullanımı</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45E4293E"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Bkz. MET 10(j).</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5D0EFC8C"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2D0F3B1A" w14:textId="77777777" w:rsidTr="0024730D">
        <w:trPr>
          <w:trHeight w:val="415"/>
        </w:trPr>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24E6D498" w14:textId="77777777" w:rsidR="0055515A" w:rsidRPr="0085348C" w:rsidRDefault="0055515A" w:rsidP="0055515A">
            <w:pPr>
              <w:spacing w:after="120" w:line="240" w:lineRule="auto"/>
              <w:rPr>
                <w:rFonts w:ascii="Times New Roman" w:eastAsia="Times New Roman" w:hAnsi="Times New Roman" w:cs="Times New Roman"/>
                <w:kern w:val="0"/>
                <w:lang w:eastAsia="tr-TR"/>
                <w14:ligatures w14:val="none"/>
              </w:rPr>
            </w:pPr>
            <w:r w:rsidRPr="0085348C">
              <w:rPr>
                <w:rFonts w:ascii="Times New Roman" w:eastAsia="Times New Roman" w:hAnsi="Times New Roman" w:cs="Times New Roman"/>
                <w:bCs/>
                <w:color w:val="000000"/>
                <w:kern w:val="0"/>
                <w:lang w:eastAsia="tr-TR"/>
                <w14:ligatures w14:val="none"/>
              </w:rPr>
              <w:t>g.Arta kalan proses kimyasallarının geri kazanımı ve kullanımı</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46767FBE"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Artık proses kimyasalları geri kazanılarak proseste tekrar kullanılır. Kullanım, safsızlık içeriği ve kimyasalların bozulabilirliği ile sınırlıdır.</w:t>
            </w:r>
          </w:p>
        </w:tc>
        <w:tc>
          <w:tcPr>
            <w:tcW w:w="0" w:type="auto"/>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bottom"/>
            <w:hideMark/>
          </w:tcPr>
          <w:p w14:paraId="4B0F8286" w14:textId="77777777" w:rsidR="0055515A" w:rsidRPr="0055515A" w:rsidRDefault="0055515A" w:rsidP="0055515A">
            <w:pPr>
              <w:spacing w:after="120" w:line="240" w:lineRule="auto"/>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bl>
    <w:p w14:paraId="3C5B27EA"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p>
    <w:p w14:paraId="10172330" w14:textId="55CC2869"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MET 17</w:t>
      </w:r>
      <w:r w:rsidR="00691C2D">
        <w:rPr>
          <w:rFonts w:ascii="Times New Roman" w:eastAsia="Times New Roman" w:hAnsi="Times New Roman" w:cs="Times New Roman"/>
          <w:b/>
          <w:color w:val="000000"/>
          <w:kern w:val="0"/>
          <w:sz w:val="24"/>
          <w:szCs w:val="24"/>
          <w:lang w:eastAsia="tr-TR"/>
          <w14:ligatures w14:val="none"/>
        </w:rPr>
        <w:t xml:space="preserve">- </w:t>
      </w:r>
      <w:r w:rsidRPr="0055515A">
        <w:rPr>
          <w:rFonts w:ascii="Times New Roman" w:eastAsia="Times New Roman" w:hAnsi="Times New Roman" w:cs="Times New Roman"/>
          <w:kern w:val="0"/>
          <w:sz w:val="24"/>
          <w:szCs w:val="24"/>
          <w:lang w:eastAsia="tr-TR"/>
          <w14:ligatures w14:val="none"/>
        </w:rPr>
        <w:t>Biyolojik olarak zayıf şekilde parçalanabilen maddelerin suya emisyonlarını önlemek veya azaltmak için MET aşağıda verilen tekniklerin tümünü kullanmaktadır.</w:t>
      </w:r>
    </w:p>
    <w:tbl>
      <w:tblPr>
        <w:tblW w:w="8817" w:type="dxa"/>
        <w:tblCellMar>
          <w:left w:w="70" w:type="dxa"/>
          <w:right w:w="70" w:type="dxa"/>
        </w:tblCellMar>
        <w:tblLook w:val="04A0" w:firstRow="1" w:lastRow="0" w:firstColumn="1" w:lastColumn="0" w:noHBand="0" w:noVBand="1"/>
      </w:tblPr>
      <w:tblGrid>
        <w:gridCol w:w="2701"/>
        <w:gridCol w:w="4644"/>
        <w:gridCol w:w="1693"/>
      </w:tblGrid>
      <w:tr w:rsidR="0055515A" w:rsidRPr="0055515A" w14:paraId="286D338A" w14:textId="77777777" w:rsidTr="00B875CF">
        <w:trPr>
          <w:trHeight w:val="386"/>
        </w:trPr>
        <w:tc>
          <w:tcPr>
            <w:tcW w:w="2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ADA07B"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4644" w:type="dxa"/>
            <w:tcBorders>
              <w:top w:val="single" w:sz="4" w:space="0" w:color="auto"/>
              <w:left w:val="nil"/>
              <w:bottom w:val="single" w:sz="4" w:space="0" w:color="auto"/>
              <w:right w:val="single" w:sz="4" w:space="0" w:color="auto"/>
            </w:tcBorders>
            <w:shd w:val="clear" w:color="auto" w:fill="auto"/>
            <w:noWrap/>
            <w:vAlign w:val="bottom"/>
            <w:hideMark/>
          </w:tcPr>
          <w:p w14:paraId="39F289CB"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289CF4E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5707704C" w14:textId="77777777" w:rsidTr="00B875CF">
        <w:trPr>
          <w:trHeight w:val="386"/>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14:paraId="005F1040" w14:textId="77777777" w:rsidR="0055515A" w:rsidRPr="0055515A" w:rsidRDefault="00DF522D" w:rsidP="0055515A">
            <w:pPr>
              <w:spacing w:after="0" w:line="240" w:lineRule="auto"/>
              <w:rPr>
                <w:rFonts w:ascii="Times New Roman" w:eastAsia="Times New Roman" w:hAnsi="Times New Roman" w:cs="Times New Roman"/>
                <w:b/>
                <w:bCs/>
                <w:color w:val="000000"/>
                <w:kern w:val="0"/>
                <w:lang w:eastAsia="tr-TR"/>
                <w14:ligatures w14:val="none"/>
              </w:rPr>
            </w:pPr>
            <w:r>
              <w:rPr>
                <w:rFonts w:ascii="Times New Roman" w:eastAsia="Times New Roman" w:hAnsi="Times New Roman" w:cs="Times New Roman"/>
                <w:b/>
                <w:bCs/>
                <w:color w:val="000000"/>
                <w:kern w:val="0"/>
                <w:lang w:eastAsia="tr-TR"/>
                <w14:ligatures w14:val="none"/>
              </w:rPr>
              <w:t xml:space="preserve">a. </w:t>
            </w:r>
            <w:r w:rsidR="0055515A" w:rsidRPr="0055515A">
              <w:rPr>
                <w:rFonts w:ascii="Times New Roman" w:eastAsia="Times New Roman" w:hAnsi="Times New Roman" w:cs="Times New Roman"/>
                <w:b/>
                <w:bCs/>
                <w:color w:val="000000"/>
                <w:kern w:val="0"/>
                <w:lang w:eastAsia="tr-TR"/>
                <w14:ligatures w14:val="none"/>
              </w:rPr>
              <w:t xml:space="preserve">Alkilfenoller ve alkilfenol etoksilatlar </w:t>
            </w:r>
            <w:r w:rsidR="0055515A" w:rsidRPr="0055515A">
              <w:rPr>
                <w:rFonts w:ascii="Times New Roman" w:eastAsia="Times New Roman" w:hAnsi="Times New Roman" w:cs="Times New Roman"/>
                <w:b/>
                <w:bCs/>
                <w:kern w:val="0"/>
                <w:lang w:eastAsia="tr-TR"/>
                <w14:ligatures w14:val="none"/>
              </w:rPr>
              <w:t>ikamesi</w:t>
            </w:r>
          </w:p>
        </w:tc>
        <w:tc>
          <w:tcPr>
            <w:tcW w:w="4644" w:type="dxa"/>
            <w:tcBorders>
              <w:top w:val="nil"/>
              <w:left w:val="nil"/>
              <w:bottom w:val="single" w:sz="4" w:space="0" w:color="auto"/>
              <w:right w:val="single" w:sz="4" w:space="0" w:color="auto"/>
            </w:tcBorders>
            <w:shd w:val="clear" w:color="auto" w:fill="auto"/>
            <w:noWrap/>
            <w:vAlign w:val="bottom"/>
            <w:hideMark/>
          </w:tcPr>
          <w:p w14:paraId="59FF15E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Biyolojik olarak parçalanabilen yüzey aktif maddeler (örn. alkol etoksilatlar)</w:t>
            </w:r>
          </w:p>
        </w:tc>
        <w:tc>
          <w:tcPr>
            <w:tcW w:w="1472" w:type="dxa"/>
            <w:tcBorders>
              <w:top w:val="nil"/>
              <w:left w:val="nil"/>
              <w:bottom w:val="single" w:sz="4" w:space="0" w:color="auto"/>
              <w:right w:val="single" w:sz="4" w:space="0" w:color="auto"/>
            </w:tcBorders>
            <w:shd w:val="clear" w:color="auto" w:fill="auto"/>
            <w:noWrap/>
            <w:vAlign w:val="bottom"/>
            <w:hideMark/>
          </w:tcPr>
          <w:p w14:paraId="29F92B8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r w:rsidR="0055515A" w:rsidRPr="0055515A" w14:paraId="62F52412" w14:textId="77777777" w:rsidTr="00B875CF">
        <w:trPr>
          <w:trHeight w:val="431"/>
        </w:trPr>
        <w:tc>
          <w:tcPr>
            <w:tcW w:w="2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BEB6D" w14:textId="77777777" w:rsidR="0055515A" w:rsidRPr="0055515A" w:rsidRDefault="00DF522D" w:rsidP="0055515A">
            <w:pPr>
              <w:spacing w:after="0" w:line="240" w:lineRule="auto"/>
              <w:rPr>
                <w:rFonts w:ascii="Times New Roman" w:eastAsia="Times New Roman" w:hAnsi="Times New Roman" w:cs="Times New Roman"/>
                <w:b/>
                <w:bCs/>
                <w:color w:val="000000"/>
                <w:kern w:val="0"/>
                <w:lang w:eastAsia="tr-TR"/>
                <w14:ligatures w14:val="none"/>
              </w:rPr>
            </w:pPr>
            <w:r>
              <w:rPr>
                <w:rFonts w:ascii="Times New Roman" w:eastAsia="Times New Roman" w:hAnsi="Times New Roman" w:cs="Times New Roman"/>
                <w:b/>
                <w:bCs/>
                <w:color w:val="000000"/>
                <w:kern w:val="0"/>
                <w:lang w:eastAsia="tr-TR"/>
                <w14:ligatures w14:val="none"/>
              </w:rPr>
              <w:t>b.</w:t>
            </w:r>
            <w:r>
              <w:t xml:space="preserve"> </w:t>
            </w:r>
            <w:r w:rsidRPr="00DF522D">
              <w:rPr>
                <w:rFonts w:ascii="Times New Roman" w:eastAsia="Times New Roman" w:hAnsi="Times New Roman" w:cs="Times New Roman"/>
                <w:b/>
                <w:bCs/>
                <w:color w:val="000000"/>
                <w:kern w:val="0"/>
                <w:lang w:eastAsia="tr-TR"/>
                <w14:ligatures w14:val="none"/>
              </w:rPr>
              <w:t xml:space="preserve">zayıf biyolojik olarak </w:t>
            </w:r>
            <w:r>
              <w:rPr>
                <w:rFonts w:ascii="Times New Roman" w:eastAsia="Times New Roman" w:hAnsi="Times New Roman" w:cs="Times New Roman"/>
                <w:b/>
                <w:bCs/>
                <w:color w:val="000000"/>
                <w:kern w:val="0"/>
                <w:lang w:eastAsia="tr-TR"/>
                <w14:ligatures w14:val="none"/>
              </w:rPr>
              <w:t xml:space="preserve">parçalanabilir olanların </w:t>
            </w:r>
            <w:r w:rsidR="0055515A" w:rsidRPr="0055515A">
              <w:rPr>
                <w:rFonts w:ascii="Times New Roman" w:eastAsia="Times New Roman" w:hAnsi="Times New Roman" w:cs="Times New Roman"/>
                <w:b/>
                <w:bCs/>
                <w:color w:val="000000"/>
                <w:kern w:val="0"/>
                <w:lang w:eastAsia="tr-TR"/>
                <w14:ligatures w14:val="none"/>
              </w:rPr>
              <w:t xml:space="preserve">Fosfor veya nitrojen içeren kompleks yapıcı maddelerin </w:t>
            </w:r>
            <w:r w:rsidR="0055515A" w:rsidRPr="0055515A">
              <w:rPr>
                <w:rFonts w:ascii="Times New Roman" w:eastAsia="Times New Roman" w:hAnsi="Times New Roman" w:cs="Times New Roman"/>
                <w:b/>
                <w:bCs/>
                <w:iCs/>
                <w:kern w:val="0"/>
                <w:lang w:eastAsia="tr-TR"/>
                <w14:ligatures w14:val="none"/>
              </w:rPr>
              <w:t>ikamesi</w:t>
            </w:r>
          </w:p>
          <w:p w14:paraId="6E3389F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4A3FB81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0987418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24E9775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2B9501C7"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c>
          <w:tcPr>
            <w:tcW w:w="4644" w:type="dxa"/>
            <w:tcBorders>
              <w:top w:val="single" w:sz="4" w:space="0" w:color="auto"/>
              <w:left w:val="nil"/>
              <w:bottom w:val="single" w:sz="4" w:space="0" w:color="auto"/>
              <w:right w:val="single" w:sz="4" w:space="0" w:color="auto"/>
            </w:tcBorders>
            <w:shd w:val="clear" w:color="auto" w:fill="auto"/>
            <w:noWrap/>
            <w:vAlign w:val="bottom"/>
            <w:hideMark/>
          </w:tcPr>
          <w:p w14:paraId="0E7204B7" w14:textId="77777777" w:rsidR="0055515A" w:rsidRPr="0055515A" w:rsidRDefault="0055515A" w:rsidP="0055515A">
            <w:pPr>
              <w:spacing w:after="0" w:line="276"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Fosfor (örn. trifosfatlar) veya azot (örn. EDTA veya DTPA gibi amino polikarboksilik asitler) içeren kompleks yapıcı maddeler biyolojik olarak parçalanabilen/biyolojik olarak yok edilebilen maddelerle ikame edilir, örn:</w:t>
            </w:r>
          </w:p>
          <w:p w14:paraId="472B96A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Polikarboksilatlar (örn. poliakrilatlar)</w:t>
            </w:r>
          </w:p>
          <w:p w14:paraId="6E3F6B0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Hidroksi karboksilik asit tuzları (örn. glukonatlar, sitratlar)</w:t>
            </w:r>
          </w:p>
          <w:p w14:paraId="11F97D4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Şeker bazlı akrilik asit kopolimerleri</w:t>
            </w:r>
          </w:p>
          <w:p w14:paraId="2B48CEC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MGDA, GLDA, IDS</w:t>
            </w:r>
          </w:p>
          <w:p w14:paraId="2330D5E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Fosfonatlar (örn. ATMP, DTPMP, HEDP)</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2389AD5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73CBE0E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6F81141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45ED1D3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34866C8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23FE043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7E2C50CF" w14:textId="77777777" w:rsidTr="00B875CF">
        <w:trPr>
          <w:trHeight w:val="386"/>
        </w:trPr>
        <w:tc>
          <w:tcPr>
            <w:tcW w:w="2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5C22B" w14:textId="77777777" w:rsidR="0055515A" w:rsidRPr="0055515A" w:rsidRDefault="00DF522D" w:rsidP="0055515A">
            <w:pPr>
              <w:spacing w:after="0" w:line="240" w:lineRule="auto"/>
              <w:rPr>
                <w:rFonts w:ascii="Times New Roman" w:eastAsia="Times New Roman" w:hAnsi="Times New Roman" w:cs="Times New Roman"/>
                <w:b/>
                <w:bCs/>
                <w:color w:val="000000"/>
                <w:kern w:val="0"/>
                <w:lang w:eastAsia="tr-TR"/>
                <w14:ligatures w14:val="none"/>
              </w:rPr>
            </w:pPr>
            <w:r>
              <w:rPr>
                <w:rFonts w:ascii="Times New Roman" w:eastAsia="Times New Roman" w:hAnsi="Times New Roman" w:cs="Times New Roman"/>
                <w:b/>
                <w:bCs/>
                <w:color w:val="000000"/>
                <w:kern w:val="0"/>
                <w:lang w:eastAsia="tr-TR"/>
                <w14:ligatures w14:val="none"/>
              </w:rPr>
              <w:t>c.</w:t>
            </w:r>
            <w:r w:rsidR="0055515A" w:rsidRPr="0055515A">
              <w:rPr>
                <w:rFonts w:ascii="Times New Roman" w:eastAsia="Times New Roman" w:hAnsi="Times New Roman" w:cs="Times New Roman"/>
                <w:b/>
                <w:bCs/>
                <w:color w:val="000000"/>
                <w:kern w:val="0"/>
                <w:lang w:eastAsia="tr-TR"/>
                <w14:ligatures w14:val="none"/>
              </w:rPr>
              <w:t xml:space="preserve">Mineral yağ bazlı köpük önleyici maddelerin </w:t>
            </w:r>
            <w:r w:rsidR="0055515A" w:rsidRPr="0055515A">
              <w:rPr>
                <w:rFonts w:ascii="Times New Roman" w:eastAsia="Times New Roman" w:hAnsi="Times New Roman" w:cs="Times New Roman"/>
                <w:b/>
                <w:bCs/>
                <w:kern w:val="0"/>
                <w:lang w:eastAsia="tr-TR"/>
                <w14:ligatures w14:val="none"/>
              </w:rPr>
              <w:t>ikamesi</w:t>
            </w:r>
          </w:p>
        </w:tc>
        <w:tc>
          <w:tcPr>
            <w:tcW w:w="4644" w:type="dxa"/>
            <w:tcBorders>
              <w:top w:val="single" w:sz="4" w:space="0" w:color="auto"/>
              <w:left w:val="nil"/>
              <w:bottom w:val="single" w:sz="4" w:space="0" w:color="auto"/>
              <w:right w:val="single" w:sz="4" w:space="0" w:color="auto"/>
            </w:tcBorders>
            <w:shd w:val="clear" w:color="auto" w:fill="auto"/>
            <w:noWrap/>
            <w:vAlign w:val="bottom"/>
            <w:hideMark/>
          </w:tcPr>
          <w:p w14:paraId="4DA6E09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Biyolojik olarak parçalanabilen maddeler (örn. sentetik ester yağı bazlı köpük önleyici maddeler)</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1602A2C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tc>
      </w:tr>
    </w:tbl>
    <w:p w14:paraId="05251A33" w14:textId="14373511" w:rsidR="0055515A" w:rsidRDefault="0055515A" w:rsidP="0055515A">
      <w:pPr>
        <w:spacing w:after="120" w:line="360" w:lineRule="auto"/>
        <w:jc w:val="both"/>
        <w:rPr>
          <w:rFonts w:ascii="Times New Roman" w:eastAsia="Times New Roman" w:hAnsi="Times New Roman" w:cs="Times New Roman"/>
          <w:b/>
          <w:color w:val="FF0000"/>
          <w:kern w:val="0"/>
          <w:sz w:val="24"/>
          <w:szCs w:val="24"/>
          <w:lang w:eastAsia="tr-TR"/>
          <w14:ligatures w14:val="none"/>
        </w:rPr>
      </w:pPr>
    </w:p>
    <w:p w14:paraId="24FB7663" w14:textId="1A97748B" w:rsidR="00691C2D" w:rsidRDefault="00691C2D" w:rsidP="0055515A">
      <w:pPr>
        <w:spacing w:after="120" w:line="360" w:lineRule="auto"/>
        <w:jc w:val="both"/>
        <w:rPr>
          <w:rFonts w:ascii="Times New Roman" w:eastAsia="Times New Roman" w:hAnsi="Times New Roman" w:cs="Times New Roman"/>
          <w:b/>
          <w:color w:val="FF0000"/>
          <w:kern w:val="0"/>
          <w:sz w:val="24"/>
          <w:szCs w:val="24"/>
          <w:lang w:eastAsia="tr-TR"/>
          <w14:ligatures w14:val="none"/>
        </w:rPr>
      </w:pPr>
    </w:p>
    <w:p w14:paraId="3F5EABBF" w14:textId="77777777" w:rsidR="006E2C99" w:rsidRDefault="006E2C99" w:rsidP="0055515A">
      <w:pPr>
        <w:spacing w:after="120" w:line="360" w:lineRule="auto"/>
        <w:jc w:val="both"/>
        <w:rPr>
          <w:rFonts w:ascii="Times New Roman" w:eastAsia="Times New Roman" w:hAnsi="Times New Roman" w:cs="Times New Roman"/>
          <w:b/>
          <w:color w:val="FF0000"/>
          <w:kern w:val="0"/>
          <w:sz w:val="24"/>
          <w:szCs w:val="24"/>
          <w:lang w:eastAsia="tr-TR"/>
          <w14:ligatures w14:val="none"/>
        </w:rPr>
      </w:pPr>
    </w:p>
    <w:p w14:paraId="49322FF9" w14:textId="77777777" w:rsidR="00691C2D" w:rsidRPr="0055515A" w:rsidRDefault="00691C2D" w:rsidP="0055515A">
      <w:pPr>
        <w:spacing w:after="120" w:line="360" w:lineRule="auto"/>
        <w:jc w:val="both"/>
        <w:rPr>
          <w:rFonts w:ascii="Times New Roman" w:eastAsia="Times New Roman" w:hAnsi="Times New Roman" w:cs="Times New Roman"/>
          <w:b/>
          <w:color w:val="FF0000"/>
          <w:kern w:val="0"/>
          <w:sz w:val="24"/>
          <w:szCs w:val="24"/>
          <w:lang w:eastAsia="tr-TR"/>
          <w14:ligatures w14:val="none"/>
        </w:rPr>
      </w:pPr>
    </w:p>
    <w:p w14:paraId="7B6AD9E2" w14:textId="77777777" w:rsidR="0055515A" w:rsidRPr="0055515A" w:rsidRDefault="0055515A" w:rsidP="0055515A">
      <w:pPr>
        <w:spacing w:after="120" w:line="360" w:lineRule="auto"/>
        <w:jc w:val="both"/>
        <w:rPr>
          <w:rFonts w:ascii="Times New Roman" w:eastAsia="Times New Roman" w:hAnsi="Times New Roman" w:cs="Times New Roman"/>
          <w:b/>
          <w:bCs/>
          <w:kern w:val="0"/>
          <w:sz w:val="24"/>
          <w:szCs w:val="24"/>
          <w:lang w:eastAsia="tr-TR"/>
          <w14:ligatures w14:val="none"/>
        </w:rPr>
      </w:pPr>
      <w:r w:rsidRPr="0055515A">
        <w:rPr>
          <w:rFonts w:ascii="Times New Roman" w:eastAsia="Times New Roman" w:hAnsi="Times New Roman" w:cs="Times New Roman"/>
          <w:b/>
          <w:bCs/>
          <w:kern w:val="0"/>
          <w:sz w:val="24"/>
          <w:szCs w:val="24"/>
          <w:lang w:eastAsia="tr-TR"/>
          <w14:ligatures w14:val="none"/>
        </w:rPr>
        <w:lastRenderedPageBreak/>
        <w:t>1.1.6. Suya Emisyonlar</w:t>
      </w:r>
      <w:bookmarkStart w:id="1" w:name="_heading=h.3j2qqm3" w:colFirst="0" w:colLast="0"/>
      <w:bookmarkEnd w:id="1"/>
    </w:p>
    <w:p w14:paraId="7C3DDC8D" w14:textId="1CBA45C9" w:rsidR="0085348C" w:rsidRPr="0056588F" w:rsidRDefault="0055515A" w:rsidP="0085348C">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18 </w:t>
      </w:r>
      <w:r w:rsidRPr="0055515A">
        <w:rPr>
          <w:rFonts w:ascii="Times New Roman" w:eastAsia="Times New Roman" w:hAnsi="Times New Roman" w:cs="Times New Roman"/>
          <w:color w:val="000000"/>
          <w:kern w:val="0"/>
          <w:sz w:val="24"/>
          <w:szCs w:val="24"/>
          <w:lang w:eastAsia="tr-TR"/>
          <w14:ligatures w14:val="none"/>
        </w:rPr>
        <w:t>Atık su hacmini azaltmak, atık su arıtma tesisine deşarj edilen kirletici yüklerini ve suya verilen emisyonları önlemek veya azaltmak için MET, atık su yönetimi ve arıtımı için aşağıdaki öncelik sırasına göre aşağıda verilen tekniklerin uygun bir kombinasyonunu içeren ente</w:t>
      </w:r>
      <w:r w:rsidR="0085348C">
        <w:rPr>
          <w:rFonts w:ascii="Times New Roman" w:eastAsia="Times New Roman" w:hAnsi="Times New Roman" w:cs="Times New Roman"/>
          <w:color w:val="000000"/>
          <w:kern w:val="0"/>
          <w:sz w:val="24"/>
          <w:szCs w:val="24"/>
          <w:lang w:eastAsia="tr-TR"/>
          <w14:ligatures w14:val="none"/>
        </w:rPr>
        <w:t>gre bir strateji kullanmaktadır</w:t>
      </w:r>
      <w:r w:rsidR="00C11481">
        <w:rPr>
          <w:rFonts w:ascii="Times New Roman" w:eastAsia="Times New Roman" w:hAnsi="Times New Roman" w:cs="Times New Roman"/>
          <w:color w:val="000000"/>
          <w:kern w:val="0"/>
          <w:sz w:val="24"/>
          <w:szCs w:val="24"/>
          <w:lang w:eastAsia="tr-TR"/>
          <w14:ligatures w14:val="none"/>
        </w:rPr>
        <w:t>:</w:t>
      </w:r>
    </w:p>
    <w:p w14:paraId="21DE95A2" w14:textId="77777777" w:rsidR="0055515A" w:rsidRPr="0055515A" w:rsidRDefault="0055515A" w:rsidP="0055515A">
      <w:pPr>
        <w:spacing w:after="120"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prosesle bütünleşik teknikler (bkz. MET10 ve Bölüm 1.2 ila 1.7'deki MET sonuçları);</w:t>
      </w:r>
    </w:p>
    <w:p w14:paraId="731F2058" w14:textId="3A92F1DA" w:rsidR="0055515A" w:rsidRPr="0055515A" w:rsidRDefault="0055515A" w:rsidP="0055515A">
      <w:pPr>
        <w:spacing w:after="120"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 proses sıvılarını geri kazanma ve yeniden kullanma teknikleri (bkz. MET 10 (j) ve MET 39), </w:t>
      </w:r>
      <w:r w:rsidRPr="0085348C">
        <w:rPr>
          <w:rFonts w:ascii="Times New Roman" w:eastAsia="Times New Roman" w:hAnsi="Times New Roman" w:cs="Times New Roman"/>
          <w:color w:val="000000" w:themeColor="text1"/>
          <w:kern w:val="0"/>
          <w:sz w:val="24"/>
          <w:szCs w:val="24"/>
          <w:lang w:eastAsia="tr-TR"/>
          <w14:ligatures w14:val="none"/>
        </w:rPr>
        <w:t xml:space="preserve">biyolojik arıtma ile yeterince arıtılamayan yüksek miktarda kirletici içeren atık su akımlarının ve </w:t>
      </w:r>
      <w:r w:rsidR="00DC03D3" w:rsidRPr="0085348C">
        <w:rPr>
          <w:rFonts w:ascii="Times New Roman" w:eastAsia="Times New Roman" w:hAnsi="Times New Roman" w:cs="Times New Roman"/>
          <w:color w:val="000000" w:themeColor="text1"/>
          <w:kern w:val="0"/>
          <w:sz w:val="24"/>
          <w:szCs w:val="24"/>
          <w:lang w:eastAsia="tr-TR"/>
          <w14:ligatures w14:val="none"/>
        </w:rPr>
        <w:t xml:space="preserve">baskı patlarının </w:t>
      </w:r>
      <w:r w:rsidRPr="0085348C">
        <w:rPr>
          <w:rFonts w:ascii="Times New Roman" w:eastAsia="Times New Roman" w:hAnsi="Times New Roman" w:cs="Times New Roman"/>
          <w:color w:val="000000" w:themeColor="text1"/>
          <w:kern w:val="0"/>
          <w:sz w:val="24"/>
          <w:szCs w:val="24"/>
          <w:lang w:eastAsia="tr-TR"/>
          <w14:ligatures w14:val="none"/>
        </w:rPr>
        <w:t>(örn. baskı ve kaplama) ayrı toplanması; bu atık su akımları ve</w:t>
      </w:r>
      <w:r w:rsidR="00DC03D3" w:rsidRPr="0085348C">
        <w:rPr>
          <w:rFonts w:ascii="Times New Roman" w:eastAsia="Times New Roman" w:hAnsi="Times New Roman" w:cs="Times New Roman"/>
          <w:color w:val="000000" w:themeColor="text1"/>
          <w:kern w:val="0"/>
          <w:sz w:val="24"/>
          <w:szCs w:val="24"/>
          <w:lang w:eastAsia="tr-TR"/>
          <w14:ligatures w14:val="none"/>
        </w:rPr>
        <w:t xml:space="preserve"> baskı patları</w:t>
      </w:r>
      <w:r w:rsidRPr="0085348C">
        <w:rPr>
          <w:rFonts w:ascii="Times New Roman" w:eastAsia="Times New Roman" w:hAnsi="Times New Roman" w:cs="Times New Roman"/>
          <w:color w:val="000000" w:themeColor="text1"/>
          <w:kern w:val="0"/>
          <w:sz w:val="24"/>
          <w:szCs w:val="24"/>
          <w:lang w:eastAsia="tr-TR"/>
          <w14:ligatures w14:val="none"/>
        </w:rPr>
        <w:t xml:space="preserve"> ya ön arıtmaya tabi tutulur (bkz. MET 19) ya da atık olarak ele alınır (bkz. MET 30);</w:t>
      </w:r>
    </w:p>
    <w:p w14:paraId="0C28CE87" w14:textId="77777777" w:rsidR="0055515A" w:rsidRPr="0055515A" w:rsidRDefault="0055515A" w:rsidP="0055515A">
      <w:pPr>
        <w:spacing w:after="120" w:line="240" w:lineRule="auto"/>
        <w:ind w:left="720"/>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(son) atık su arıtma teknikleri (bkz. MET 20).</w:t>
      </w:r>
    </w:p>
    <w:p w14:paraId="1487BC94" w14:textId="77777777" w:rsidR="0055515A" w:rsidRPr="0055515A" w:rsidRDefault="0055515A" w:rsidP="0055515A">
      <w:pPr>
        <w:spacing w:after="120" w:line="24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kern w:val="0"/>
          <w:sz w:val="24"/>
          <w:szCs w:val="24"/>
          <w:lang w:eastAsia="tr-TR"/>
          <w14:ligatures w14:val="none"/>
        </w:rPr>
        <w:t>Açıklama</w:t>
      </w:r>
    </w:p>
    <w:p w14:paraId="365A41B3" w14:textId="51573DCE" w:rsid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Atık su yönetimi ve arıtımı için entegre strateji, girdiler ve çıktılar envanterinden sağlanan bilgilere dayanmaktadır (bkz. MET 2).</w:t>
      </w:r>
    </w:p>
    <w:p w14:paraId="1AEAE31A" w14:textId="77777777" w:rsidR="006E2C99" w:rsidRPr="0055515A" w:rsidRDefault="006E2C99" w:rsidP="0055515A">
      <w:pPr>
        <w:spacing w:after="120" w:line="240" w:lineRule="auto"/>
        <w:jc w:val="both"/>
        <w:rPr>
          <w:rFonts w:ascii="Times New Roman" w:eastAsia="Times New Roman" w:hAnsi="Times New Roman" w:cs="Times New Roman"/>
          <w:kern w:val="0"/>
          <w:sz w:val="24"/>
          <w:szCs w:val="24"/>
          <w:lang w:eastAsia="tr-TR"/>
          <w14:ligatures w14:val="none"/>
        </w:rPr>
      </w:pPr>
    </w:p>
    <w:p w14:paraId="2661C4B5" w14:textId="549642C0" w:rsidR="0055515A" w:rsidRPr="0085348C" w:rsidRDefault="0055515A" w:rsidP="0055515A">
      <w:pPr>
        <w:spacing w:after="120" w:line="240" w:lineRule="auto"/>
        <w:jc w:val="both"/>
        <w:rPr>
          <w:rFonts w:ascii="Times New Roman" w:eastAsia="Times New Roman" w:hAnsi="Times New Roman" w:cs="Times New Roman"/>
          <w:color w:val="000000" w:themeColor="text1"/>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MET 19</w:t>
      </w:r>
      <w:r w:rsidRPr="0055515A">
        <w:rPr>
          <w:rFonts w:ascii="Times New Roman" w:eastAsia="Times New Roman" w:hAnsi="Times New Roman" w:cs="Times New Roman"/>
          <w:color w:val="000000"/>
          <w:kern w:val="0"/>
          <w:sz w:val="24"/>
          <w:szCs w:val="24"/>
          <w:lang w:eastAsia="tr-TR"/>
          <w14:ligatures w14:val="none"/>
        </w:rPr>
        <w:t xml:space="preserve"> Suya emisyonları azaltmak için MET, </w:t>
      </w:r>
      <w:r w:rsidRPr="0085348C">
        <w:rPr>
          <w:rFonts w:ascii="Times New Roman" w:eastAsia="Times New Roman" w:hAnsi="Times New Roman" w:cs="Times New Roman"/>
          <w:color w:val="000000" w:themeColor="text1"/>
          <w:kern w:val="0"/>
          <w:sz w:val="24"/>
          <w:szCs w:val="24"/>
          <w:lang w:eastAsia="tr-TR"/>
          <w14:ligatures w14:val="none"/>
        </w:rPr>
        <w:t xml:space="preserve">biyolojik arıtma ile yeterince arıtılamayan yüksek kirletici yükleri içeren atık su akışlarını ve </w:t>
      </w:r>
      <w:r w:rsidR="005702C6" w:rsidRPr="0085348C">
        <w:rPr>
          <w:rFonts w:ascii="Times New Roman" w:eastAsia="Times New Roman" w:hAnsi="Times New Roman" w:cs="Times New Roman"/>
          <w:color w:val="000000" w:themeColor="text1"/>
          <w:kern w:val="0"/>
          <w:sz w:val="24"/>
          <w:szCs w:val="24"/>
          <w:lang w:eastAsia="tr-TR"/>
          <w14:ligatures w14:val="none"/>
        </w:rPr>
        <w:t xml:space="preserve"> baskı patlarını</w:t>
      </w:r>
      <w:r w:rsidR="00CA1AA0" w:rsidRPr="0085348C">
        <w:rPr>
          <w:rFonts w:ascii="Times New Roman" w:eastAsia="Times New Roman" w:hAnsi="Times New Roman" w:cs="Times New Roman"/>
          <w:color w:val="000000" w:themeColor="text1"/>
          <w:kern w:val="0"/>
          <w:sz w:val="24"/>
          <w:szCs w:val="24"/>
          <w:lang w:eastAsia="tr-TR"/>
          <w14:ligatures w14:val="none"/>
        </w:rPr>
        <w:t xml:space="preserve"> </w:t>
      </w:r>
      <w:r w:rsidRPr="0085348C">
        <w:rPr>
          <w:rFonts w:ascii="Times New Roman" w:eastAsia="Times New Roman" w:hAnsi="Times New Roman" w:cs="Times New Roman"/>
          <w:color w:val="000000" w:themeColor="text1"/>
          <w:kern w:val="0"/>
          <w:sz w:val="24"/>
          <w:szCs w:val="24"/>
          <w:lang w:eastAsia="tr-TR"/>
          <w14:ligatures w14:val="none"/>
        </w:rPr>
        <w:t>(örneğin baskı ve kaplama) ön arıtmaya tabi tutmaktadır (ayrı olarak toplanan).</w:t>
      </w:r>
    </w:p>
    <w:p w14:paraId="0FC4152B" w14:textId="77777777" w:rsidR="0055515A" w:rsidRPr="0055515A" w:rsidRDefault="0055515A" w:rsidP="0055515A">
      <w:pPr>
        <w:spacing w:after="120" w:line="24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kern w:val="0"/>
          <w:sz w:val="24"/>
          <w:szCs w:val="24"/>
          <w:lang w:eastAsia="tr-TR"/>
          <w14:ligatures w14:val="none"/>
        </w:rPr>
        <w:t>Açıklama</w:t>
      </w:r>
    </w:p>
    <w:p w14:paraId="706CDC0C" w14:textId="6441DDF5" w:rsidR="0055515A" w:rsidRPr="0055515A" w:rsidRDefault="0085348C" w:rsidP="0055515A">
      <w:pPr>
        <w:spacing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i/>
          <w:iCs/>
          <w:color w:val="000000"/>
          <w:kern w:val="0"/>
          <w:sz w:val="24"/>
          <w:szCs w:val="24"/>
          <w:lang w:eastAsia="tr-TR"/>
          <w14:ligatures w14:val="none"/>
        </w:rPr>
        <w:t xml:space="preserve">Bu tür atık su akımları ve </w:t>
      </w:r>
      <w:r w:rsidR="00DC03D3" w:rsidRPr="0085348C">
        <w:rPr>
          <w:rFonts w:ascii="Times New Roman" w:eastAsia="Times New Roman" w:hAnsi="Times New Roman" w:cs="Times New Roman"/>
          <w:i/>
          <w:iCs/>
          <w:color w:val="000000" w:themeColor="text1"/>
          <w:kern w:val="0"/>
          <w:sz w:val="24"/>
          <w:szCs w:val="24"/>
          <w:lang w:eastAsia="tr-TR"/>
          <w14:ligatures w14:val="none"/>
        </w:rPr>
        <w:t>baskı patları</w:t>
      </w:r>
      <w:r w:rsidR="0055515A" w:rsidRPr="0085348C">
        <w:rPr>
          <w:rFonts w:ascii="Times New Roman" w:eastAsia="Times New Roman" w:hAnsi="Times New Roman" w:cs="Times New Roman"/>
          <w:i/>
          <w:iCs/>
          <w:color w:val="000000" w:themeColor="text1"/>
          <w:kern w:val="0"/>
          <w:sz w:val="24"/>
          <w:szCs w:val="24"/>
          <w:lang w:eastAsia="tr-TR"/>
          <w14:ligatures w14:val="none"/>
        </w:rPr>
        <w:t xml:space="preserve"> </w:t>
      </w:r>
      <w:r w:rsidR="0055515A" w:rsidRPr="0055515A">
        <w:rPr>
          <w:rFonts w:ascii="Times New Roman" w:eastAsia="Times New Roman" w:hAnsi="Times New Roman" w:cs="Times New Roman"/>
          <w:i/>
          <w:iCs/>
          <w:color w:val="000000"/>
          <w:kern w:val="0"/>
          <w:sz w:val="24"/>
          <w:szCs w:val="24"/>
          <w:lang w:eastAsia="tr-TR"/>
          <w14:ligatures w14:val="none"/>
        </w:rPr>
        <w:t>şunları içerir:</w:t>
      </w:r>
    </w:p>
    <w:p w14:paraId="1B42B8DD"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sürekli ve/veya yarı sürekli işlemlerden kaynaklanan kullanılmış boyama, kaplama veya apre dolgu sıvıları;</w:t>
      </w:r>
    </w:p>
    <w:p w14:paraId="69BABD8A"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haşıl sökme sıvıları;</w:t>
      </w:r>
    </w:p>
    <w:p w14:paraId="3C064D5F" w14:textId="4DECE5D5" w:rsidR="0055515A" w:rsidRPr="00DC03D3" w:rsidRDefault="0055515A" w:rsidP="0055515A">
      <w:pPr>
        <w:spacing w:line="240" w:lineRule="auto"/>
        <w:ind w:left="720"/>
        <w:jc w:val="both"/>
        <w:rPr>
          <w:rFonts w:ascii="Times New Roman" w:eastAsia="Times New Roman" w:hAnsi="Times New Roman" w:cs="Times New Roman"/>
          <w:strike/>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kullanılmış</w:t>
      </w:r>
      <w:r w:rsidR="00DC03D3">
        <w:rPr>
          <w:rFonts w:ascii="Times New Roman" w:eastAsia="Times New Roman" w:hAnsi="Times New Roman" w:cs="Times New Roman"/>
          <w:color w:val="000000"/>
          <w:kern w:val="0"/>
          <w:sz w:val="24"/>
          <w:szCs w:val="24"/>
          <w:lang w:eastAsia="tr-TR"/>
          <w14:ligatures w14:val="none"/>
        </w:rPr>
        <w:t xml:space="preserve"> </w:t>
      </w:r>
      <w:r w:rsidR="00DC03D3" w:rsidRPr="0085348C">
        <w:rPr>
          <w:rFonts w:ascii="Times New Roman" w:eastAsia="Times New Roman" w:hAnsi="Times New Roman" w:cs="Times New Roman"/>
          <w:color w:val="000000" w:themeColor="text1"/>
          <w:kern w:val="0"/>
          <w:sz w:val="24"/>
          <w:szCs w:val="24"/>
          <w:lang w:eastAsia="tr-TR"/>
          <w14:ligatures w14:val="none"/>
        </w:rPr>
        <w:t>baskı patları (</w:t>
      </w:r>
      <w:r w:rsidRPr="0085348C">
        <w:rPr>
          <w:rFonts w:ascii="Times New Roman" w:eastAsia="Times New Roman" w:hAnsi="Times New Roman" w:cs="Times New Roman"/>
          <w:color w:val="000000" w:themeColor="text1"/>
          <w:kern w:val="0"/>
          <w:sz w:val="24"/>
          <w:szCs w:val="24"/>
          <w:lang w:eastAsia="tr-TR"/>
          <w14:ligatures w14:val="none"/>
        </w:rPr>
        <w:t xml:space="preserve"> baskı ve kaplama</w:t>
      </w:r>
      <w:r w:rsidR="00DC03D3">
        <w:rPr>
          <w:rFonts w:ascii="Times New Roman" w:eastAsia="Times New Roman" w:hAnsi="Times New Roman" w:cs="Times New Roman"/>
          <w:color w:val="000000"/>
          <w:kern w:val="0"/>
          <w:sz w:val="24"/>
          <w:szCs w:val="24"/>
          <w:lang w:eastAsia="tr-TR"/>
          <w14:ligatures w14:val="none"/>
        </w:rPr>
        <w:t>)</w:t>
      </w:r>
      <w:r w:rsidRPr="0055515A">
        <w:rPr>
          <w:rFonts w:ascii="Times New Roman" w:eastAsia="Times New Roman" w:hAnsi="Times New Roman" w:cs="Times New Roman"/>
          <w:color w:val="000000"/>
          <w:kern w:val="0"/>
          <w:sz w:val="24"/>
          <w:szCs w:val="24"/>
          <w:lang w:eastAsia="tr-TR"/>
          <w14:ligatures w14:val="none"/>
        </w:rPr>
        <w:t xml:space="preserve"> </w:t>
      </w:r>
    </w:p>
    <w:p w14:paraId="58D3011D"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Ön işlem, atık su yönetimi ve arıtımı için entegre bir stratejinin parçası olarak gerçekleştirilir (bkz. MET 18) ve genellikle aşağıdakiler için gereklidir:</w:t>
      </w:r>
    </w:p>
    <w:p w14:paraId="31DE99F1"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(aşağı akışlı) biyolojik atık su arıtımını engelleyici veya toksik bileşiklere karşı korumak;</w:t>
      </w:r>
    </w:p>
    <w:p w14:paraId="43C47550"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biyolojik atık su arıtımı sırasında yeterince azaltılamayan bileşiklerin giderilmesi (örneğin toksik bileşikler, biyolojik olarak zayıf şekilde parçalanabilen organik bileşikler, yüksek yüklerde bulunan organik bileşikler veya metaller)</w:t>
      </w:r>
    </w:p>
    <w:p w14:paraId="62D551D5"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aksi takdirde toplama sisteminden veya biyolojik atık su arıtımı sırasında havaya sıyrılabilecek bileşiklerin giderilmesi (örn. sülfür)</w:t>
      </w:r>
    </w:p>
    <w:p w14:paraId="2CB13511"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diğer olumsuz etkileri olan bileşiklerin giderilmesi (örneğin ekipmanın korozyona uğraması, diğer maddelerle istenmeyen reaksiyonlar; atık su çamurunun kirlenmesi).</w:t>
      </w:r>
    </w:p>
    <w:p w14:paraId="254D9B1A"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Yukarıda bahsedilen ve giderilmesi gereken bileşikler arasında organofosfor ve bromlu alev geciktiriciler, PFAS, fitalatlar ve krom-(VI)-içeren bileşikler bulunmaktadır.</w:t>
      </w:r>
    </w:p>
    <w:p w14:paraId="2D440AB0" w14:textId="77777777"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Bu atık su akımlarının ön arıtımı, seyreltmeyi önlemek için genellikle kaynağa mümkün olduğunca yakın bir yerde gerçekleştirilir. Kullanılan ön arıtma teknikleri hedeflenen </w:t>
      </w:r>
      <w:r w:rsidRPr="0055515A">
        <w:rPr>
          <w:rFonts w:ascii="Times New Roman" w:eastAsia="Times New Roman" w:hAnsi="Times New Roman" w:cs="Times New Roman"/>
          <w:color w:val="000000"/>
          <w:kern w:val="0"/>
          <w:sz w:val="24"/>
          <w:szCs w:val="24"/>
          <w:lang w:eastAsia="tr-TR"/>
          <w14:ligatures w14:val="none"/>
        </w:rPr>
        <w:lastRenderedPageBreak/>
        <w:t>kirleticilere bağlıdır ve yüzeye tutunma (adsorpsiyon), filtrasyon, çökeltme, kimyasal oksidasyon veya kimyasal indirgeme içerebilir (bkz. MET 20).</w:t>
      </w:r>
    </w:p>
    <w:p w14:paraId="265ADE67" w14:textId="15DEAB15" w:rsidR="0055515A" w:rsidRPr="0055515A" w:rsidRDefault="0055515A" w:rsidP="0055515A">
      <w:pPr>
        <w:spacing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 xml:space="preserve">Atık su akımlarının ve </w:t>
      </w:r>
      <w:r w:rsidR="00DC03D3" w:rsidRPr="0085348C">
        <w:rPr>
          <w:rFonts w:ascii="Times New Roman" w:eastAsia="Times New Roman" w:hAnsi="Times New Roman" w:cs="Times New Roman"/>
          <w:i/>
          <w:iCs/>
          <w:color w:val="000000" w:themeColor="text1"/>
          <w:kern w:val="0"/>
          <w:sz w:val="24"/>
          <w:szCs w:val="24"/>
          <w:lang w:eastAsia="tr-TR"/>
          <w14:ligatures w14:val="none"/>
        </w:rPr>
        <w:t>baskı patlarının</w:t>
      </w:r>
      <w:r w:rsidRPr="0085348C">
        <w:rPr>
          <w:rFonts w:ascii="Times New Roman" w:eastAsia="Times New Roman" w:hAnsi="Times New Roman" w:cs="Times New Roman"/>
          <w:i/>
          <w:iCs/>
          <w:color w:val="000000" w:themeColor="text1"/>
          <w:kern w:val="0"/>
          <w:sz w:val="24"/>
          <w:szCs w:val="24"/>
          <w:lang w:eastAsia="tr-TR"/>
          <w14:ligatures w14:val="none"/>
        </w:rPr>
        <w:t xml:space="preserve"> </w:t>
      </w:r>
      <w:r w:rsidRPr="0055515A">
        <w:rPr>
          <w:rFonts w:ascii="Times New Roman" w:eastAsia="Times New Roman" w:hAnsi="Times New Roman" w:cs="Times New Roman"/>
          <w:i/>
          <w:iCs/>
          <w:color w:val="000000"/>
          <w:kern w:val="0"/>
          <w:sz w:val="24"/>
          <w:szCs w:val="24"/>
          <w:lang w:eastAsia="tr-TR"/>
          <w14:ligatures w14:val="none"/>
        </w:rPr>
        <w:t>aşağı akış biyolojik arıtmaya gönderilmeden önce biyolojik olarak elimine edilebilirliği/biyolojik olarak çözünebilirliği en az:</w:t>
      </w:r>
    </w:p>
    <w:p w14:paraId="0712CE71" w14:textId="77777777" w:rsidR="0055515A" w:rsidRPr="0055515A" w:rsidRDefault="0055515A" w:rsidP="0055515A">
      <w:pPr>
        <w:spacing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-TS EN ISO 7827 standardına göre belirlendiğinde 28 gün sonra %70.</w:t>
      </w:r>
    </w:p>
    <w:p w14:paraId="618AE513" w14:textId="77777777" w:rsidR="006E2C99" w:rsidRDefault="006E2C99"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p>
    <w:p w14:paraId="7E1AF595" w14:textId="76B6E562" w:rsid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20 - </w:t>
      </w:r>
      <w:r w:rsidRPr="0055515A">
        <w:rPr>
          <w:rFonts w:ascii="Times New Roman" w:eastAsia="Times New Roman" w:hAnsi="Times New Roman" w:cs="Times New Roman"/>
          <w:kern w:val="0"/>
          <w:sz w:val="24"/>
          <w:szCs w:val="24"/>
          <w:lang w:eastAsia="tr-TR"/>
          <w14:ligatures w14:val="none"/>
        </w:rPr>
        <w:t>Suya verilen emisyonları azaltmak için MET, aşağıda verilen tekniklerin uygun bir kombinasyonunu kullanmaktadır.</w:t>
      </w:r>
      <w:r w:rsidRPr="0055515A">
        <w:rPr>
          <w:rFonts w:ascii="Times New Roman" w:eastAsia="Times New Roman" w:hAnsi="Times New Roman" w:cs="Times New Roman"/>
          <w:kern w:val="0"/>
          <w:sz w:val="24"/>
          <w:szCs w:val="24"/>
          <w:lang w:eastAsia="tr-TR"/>
          <w14:ligatures w14:val="none"/>
        </w:rPr>
        <w:tab/>
      </w:r>
    </w:p>
    <w:tbl>
      <w:tblPr>
        <w:tblStyle w:val="EIPPCBTable"/>
        <w:tblW w:w="0" w:type="auto"/>
        <w:tblLook w:val="04A0" w:firstRow="1" w:lastRow="0" w:firstColumn="1" w:lastColumn="0" w:noHBand="0" w:noVBand="1"/>
      </w:tblPr>
      <w:tblGrid>
        <w:gridCol w:w="3114"/>
        <w:gridCol w:w="3685"/>
        <w:gridCol w:w="2263"/>
      </w:tblGrid>
      <w:tr w:rsidR="0055515A" w:rsidRPr="0055515A" w14:paraId="0070DC02" w14:textId="77777777" w:rsidTr="00691C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4136B862" w14:textId="77777777" w:rsidR="006E2C99" w:rsidRDefault="006E2C99" w:rsidP="0055515A">
            <w:pPr>
              <w:rPr>
                <w:b w:val="0"/>
                <w:bCs/>
              </w:rPr>
            </w:pPr>
          </w:p>
          <w:p w14:paraId="6B4C3F26" w14:textId="2882E923" w:rsidR="0055515A" w:rsidRPr="0055515A" w:rsidRDefault="0055515A" w:rsidP="0055515A">
            <w:pPr>
              <w:rPr>
                <w:b w:val="0"/>
                <w:bCs/>
                <w:color w:val="000000"/>
              </w:rPr>
            </w:pPr>
            <w:r w:rsidRPr="0055515A">
              <w:rPr>
                <w:bCs/>
              </w:rPr>
              <w:t>Teknikler</w:t>
            </w:r>
          </w:p>
        </w:tc>
        <w:tc>
          <w:tcPr>
            <w:tcW w:w="3685" w:type="dxa"/>
            <w:hideMark/>
          </w:tcPr>
          <w:p w14:paraId="671F95E7" w14:textId="77777777" w:rsidR="0055515A" w:rsidRPr="0055515A" w:rsidRDefault="0055515A" w:rsidP="0055515A">
            <w:pPr>
              <w:cnfStyle w:val="100000000000" w:firstRow="1" w:lastRow="0" w:firstColumn="0" w:lastColumn="0" w:oddVBand="0" w:evenVBand="0" w:oddHBand="0" w:evenHBand="0" w:firstRowFirstColumn="0" w:firstRowLastColumn="0" w:lastRowFirstColumn="0" w:lastRowLastColumn="0"/>
              <w:rPr>
                <w:b w:val="0"/>
                <w:bCs/>
                <w:color w:val="000000"/>
              </w:rPr>
            </w:pPr>
            <w:r w:rsidRPr="0055515A">
              <w:rPr>
                <w:bCs/>
              </w:rPr>
              <w:t>Açıklama</w:t>
            </w:r>
          </w:p>
        </w:tc>
        <w:tc>
          <w:tcPr>
            <w:tcW w:w="2263" w:type="dxa"/>
            <w:hideMark/>
          </w:tcPr>
          <w:p w14:paraId="41C6BDEC" w14:textId="77777777" w:rsidR="0055515A" w:rsidRPr="0055515A" w:rsidRDefault="0055515A" w:rsidP="0055515A">
            <w:pPr>
              <w:cnfStyle w:val="100000000000" w:firstRow="1" w:lastRow="0" w:firstColumn="0" w:lastColumn="0" w:oddVBand="0" w:evenVBand="0" w:oddHBand="0" w:evenHBand="0" w:firstRowFirstColumn="0" w:firstRowLastColumn="0" w:lastRowFirstColumn="0" w:lastRowLastColumn="0"/>
              <w:rPr>
                <w:b w:val="0"/>
                <w:bCs/>
                <w:color w:val="000000"/>
              </w:rPr>
            </w:pPr>
            <w:r w:rsidRPr="0055515A">
              <w:rPr>
                <w:bCs/>
              </w:rPr>
              <w:t>Uygulanabilirlik</w:t>
            </w:r>
          </w:p>
        </w:tc>
      </w:tr>
      <w:tr w:rsidR="0055515A" w:rsidRPr="0055515A" w14:paraId="2A272BF7" w14:textId="77777777" w:rsidTr="008679D6">
        <w:tc>
          <w:tcPr>
            <w:cnfStyle w:val="001000000000" w:firstRow="0" w:lastRow="0" w:firstColumn="1" w:lastColumn="0" w:oddVBand="0" w:evenVBand="0" w:oddHBand="0" w:evenHBand="0" w:firstRowFirstColumn="0" w:firstRowLastColumn="0" w:lastRowFirstColumn="0" w:lastRowLastColumn="0"/>
            <w:tcW w:w="0" w:type="auto"/>
            <w:gridSpan w:val="3"/>
            <w:hideMark/>
          </w:tcPr>
          <w:p w14:paraId="04B4E0F8" w14:textId="77777777" w:rsidR="0055515A" w:rsidRPr="008679D6" w:rsidRDefault="0055515A" w:rsidP="0055515A">
            <w:pPr>
              <w:rPr>
                <w:b w:val="0"/>
              </w:rPr>
            </w:pPr>
            <w:r w:rsidRPr="008679D6">
              <w:rPr>
                <w:b w:val="0"/>
                <w:bCs/>
                <w:color w:val="000000"/>
              </w:rPr>
              <w:t>Münferit Atık Su Akışlarının Ön Arıtımı</w:t>
            </w:r>
          </w:p>
        </w:tc>
      </w:tr>
      <w:tr w:rsidR="0055515A" w:rsidRPr="0055515A" w14:paraId="4665908D"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3BCE659A" w14:textId="77777777" w:rsidR="0055515A" w:rsidRPr="008679D6" w:rsidRDefault="0055515A">
            <w:pPr>
              <w:rPr>
                <w:b w:val="0"/>
                <w:color w:val="000000"/>
              </w:rPr>
            </w:pPr>
            <w:r w:rsidRPr="008679D6">
              <w:rPr>
                <w:b w:val="0"/>
                <w:bCs/>
                <w:color w:val="000000"/>
              </w:rPr>
              <w:t xml:space="preserve">a. </w:t>
            </w:r>
            <w:r w:rsidR="00801807" w:rsidRPr="008679D6">
              <w:rPr>
                <w:b w:val="0"/>
                <w:bCs/>
                <w:color w:val="000000"/>
              </w:rPr>
              <w:t>Adsorpsiyon</w:t>
            </w:r>
          </w:p>
        </w:tc>
        <w:tc>
          <w:tcPr>
            <w:tcW w:w="3685" w:type="dxa"/>
            <w:hideMark/>
          </w:tcPr>
          <w:p w14:paraId="781C8857" w14:textId="77777777" w:rsidR="0055515A" w:rsidRPr="0055515A" w:rsidRDefault="0055515A" w:rsidP="00691C2D">
            <w:pPr>
              <w:spacing w:after="120"/>
              <w:jc w:val="left"/>
              <w:textAlignment w:val="baseline"/>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Adsorbe edilebilir çözünmüş biyolojik olarak parçalanamayan veya inhibe edici kirleticiler (örneğin boyarmaddelerdeki AOX, organofosfor alev geciktiriciler)</w:t>
            </w:r>
          </w:p>
          <w:p w14:paraId="79A76D62"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p>
        </w:tc>
        <w:tc>
          <w:tcPr>
            <w:tcW w:w="2263" w:type="dxa"/>
            <w:hideMark/>
          </w:tcPr>
          <w:p w14:paraId="271C4B81"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038953EE"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3802C9B1"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416748D0" w14:textId="77777777" w:rsidR="0055515A" w:rsidRPr="008679D6" w:rsidRDefault="0055515A">
            <w:pPr>
              <w:rPr>
                <w:b w:val="0"/>
                <w:color w:val="000000"/>
              </w:rPr>
            </w:pPr>
            <w:r w:rsidRPr="008679D6">
              <w:rPr>
                <w:b w:val="0"/>
                <w:bCs/>
                <w:color w:val="000000"/>
              </w:rPr>
              <w:t xml:space="preserve">b. </w:t>
            </w:r>
            <w:r w:rsidR="00801807" w:rsidRPr="008679D6">
              <w:rPr>
                <w:b w:val="0"/>
                <w:bCs/>
                <w:color w:val="000000"/>
              </w:rPr>
              <w:t>Çöktürme</w:t>
            </w:r>
          </w:p>
        </w:tc>
        <w:tc>
          <w:tcPr>
            <w:tcW w:w="3685" w:type="dxa"/>
            <w:hideMark/>
          </w:tcPr>
          <w:p w14:paraId="32613A5E"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Çökelebilir çözünmüş biyolojik olarak parçalanamayan veya engelleyici kirleticiler (örn. boyar maddelerdeki metaller)</w:t>
            </w:r>
          </w:p>
        </w:tc>
        <w:tc>
          <w:tcPr>
            <w:tcW w:w="2263" w:type="dxa"/>
            <w:hideMark/>
          </w:tcPr>
          <w:p w14:paraId="5708E3B7"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0B14CCD5"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540D853A"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5E005B9F" w14:textId="77777777" w:rsidR="0055515A" w:rsidRPr="008679D6" w:rsidRDefault="0055515A" w:rsidP="0055515A">
            <w:pPr>
              <w:rPr>
                <w:b w:val="0"/>
                <w:color w:val="000000"/>
              </w:rPr>
            </w:pPr>
            <w:r w:rsidRPr="008679D6">
              <w:rPr>
                <w:b w:val="0"/>
                <w:bCs/>
                <w:color w:val="000000"/>
              </w:rPr>
              <w:t>c. Koagülasyon ve Flokülasyon</w:t>
            </w:r>
          </w:p>
        </w:tc>
        <w:tc>
          <w:tcPr>
            <w:tcW w:w="3685" w:type="dxa"/>
            <w:hideMark/>
          </w:tcPr>
          <w:p w14:paraId="4EC7D82C"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biyolojik olarak parçalanamayan veya engelleyici kirleticiler (örn. boyar maddelerdeki metaller)</w:t>
            </w:r>
          </w:p>
        </w:tc>
        <w:tc>
          <w:tcPr>
            <w:tcW w:w="2263" w:type="dxa"/>
            <w:hideMark/>
          </w:tcPr>
          <w:p w14:paraId="63BD0206"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65038B8D"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3DDEA6E1"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25BCD637" w14:textId="77777777" w:rsidR="0055515A" w:rsidRPr="008679D6" w:rsidRDefault="0055515A" w:rsidP="0055515A">
            <w:pPr>
              <w:rPr>
                <w:b w:val="0"/>
                <w:color w:val="000000"/>
              </w:rPr>
            </w:pPr>
            <w:r w:rsidRPr="008679D6">
              <w:rPr>
                <w:b w:val="0"/>
                <w:bCs/>
                <w:color w:val="000000"/>
              </w:rPr>
              <w:t>d. Kimyasal Oksidasyon</w:t>
            </w:r>
            <w:r w:rsidRPr="008679D6">
              <w:rPr>
                <w:b w:val="0"/>
                <w:color w:val="000000"/>
              </w:rPr>
              <w:t>(ozon, hidrojen peroksit, UV ışığı)</w:t>
            </w:r>
          </w:p>
        </w:tc>
        <w:tc>
          <w:tcPr>
            <w:tcW w:w="3685" w:type="dxa"/>
            <w:hideMark/>
          </w:tcPr>
          <w:p w14:paraId="5872D525"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Oksitlenebilir çözünmüş biyolojik olarak parçalanamayan veya engelleyici kirleticiler (örn. optik parlatıcılar ve azo boyarmaddeler, sülfür)</w:t>
            </w:r>
          </w:p>
        </w:tc>
        <w:tc>
          <w:tcPr>
            <w:tcW w:w="2263" w:type="dxa"/>
            <w:hideMark/>
          </w:tcPr>
          <w:p w14:paraId="4867CC20"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510EBFBD"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5B6A5950"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21B4CAD3" w14:textId="77777777" w:rsidR="0055515A" w:rsidRPr="008679D6" w:rsidRDefault="0055515A" w:rsidP="0055515A">
            <w:pPr>
              <w:rPr>
                <w:b w:val="0"/>
                <w:color w:val="000000"/>
              </w:rPr>
            </w:pPr>
            <w:r w:rsidRPr="008679D6">
              <w:rPr>
                <w:b w:val="0"/>
                <w:bCs/>
                <w:color w:val="000000"/>
              </w:rPr>
              <w:t>e. Kimyasal İndirgeme</w:t>
            </w:r>
          </w:p>
        </w:tc>
        <w:tc>
          <w:tcPr>
            <w:tcW w:w="3685" w:type="dxa"/>
            <w:hideMark/>
          </w:tcPr>
          <w:p w14:paraId="2FD5C643"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Azaltılabilir çözünmüş biyolojik olarak parçalanamayan veya engelleyici kirleticiler (örn. altı değerlikli krom (Cr(VI))</w:t>
            </w:r>
          </w:p>
        </w:tc>
        <w:tc>
          <w:tcPr>
            <w:tcW w:w="2263" w:type="dxa"/>
            <w:hideMark/>
          </w:tcPr>
          <w:p w14:paraId="3723C85D"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72CA7152"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06F8CEFF"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19F13C17" w14:textId="77777777" w:rsidR="0055515A" w:rsidRPr="008679D6" w:rsidRDefault="0055515A" w:rsidP="0055515A">
            <w:pPr>
              <w:rPr>
                <w:b w:val="0"/>
                <w:color w:val="000000"/>
              </w:rPr>
            </w:pPr>
            <w:r w:rsidRPr="008679D6">
              <w:rPr>
                <w:b w:val="0"/>
                <w:bCs/>
                <w:color w:val="000000"/>
              </w:rPr>
              <w:t>f. Anaerobik Ön Arıtma</w:t>
            </w:r>
          </w:p>
        </w:tc>
        <w:tc>
          <w:tcPr>
            <w:tcW w:w="3685" w:type="dxa"/>
            <w:hideMark/>
          </w:tcPr>
          <w:p w14:paraId="569AF2A8" w14:textId="77777777" w:rsidR="0055515A" w:rsidRPr="0055515A" w:rsidRDefault="0055515A" w:rsidP="00691C2D">
            <w:pPr>
              <w:spacing w:after="120"/>
              <w:jc w:val="left"/>
              <w:textAlignment w:val="baseline"/>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Biyolojik olarak parçalanabilen organik bileşikler (örn. azo boyar maddeler, baskı patları)</w:t>
            </w:r>
          </w:p>
        </w:tc>
        <w:tc>
          <w:tcPr>
            <w:tcW w:w="2263" w:type="dxa"/>
            <w:hideMark/>
          </w:tcPr>
          <w:p w14:paraId="115BE8A2"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0DF83AEA"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0B937329"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1229B1A8" w14:textId="77777777" w:rsidR="0055515A" w:rsidRPr="008679D6" w:rsidRDefault="0055515A" w:rsidP="0055515A">
            <w:pPr>
              <w:rPr>
                <w:b w:val="0"/>
                <w:color w:val="000000"/>
              </w:rPr>
            </w:pPr>
            <w:r w:rsidRPr="008679D6">
              <w:rPr>
                <w:b w:val="0"/>
                <w:bCs/>
                <w:color w:val="000000"/>
              </w:rPr>
              <w:t>g. Filtrasyon</w:t>
            </w:r>
            <w:r w:rsidRPr="008679D6">
              <w:rPr>
                <w:b w:val="0"/>
                <w:color w:val="000000"/>
              </w:rPr>
              <w:t> (nanofiltrasyon)</w:t>
            </w:r>
          </w:p>
        </w:tc>
        <w:tc>
          <w:tcPr>
            <w:tcW w:w="3685" w:type="dxa"/>
            <w:hideMark/>
          </w:tcPr>
          <w:p w14:paraId="6491232A"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biyolojik olarak parçalanamayan veya engelleyici kirleticiler.(</w:t>
            </w:r>
            <w:r w:rsidRPr="0055515A">
              <w:rPr>
                <w:i/>
                <w:iCs/>
                <w:color w:val="000000"/>
              </w:rPr>
              <w:t xml:space="preserve"> Birleşik atık su akışlarının ön arıtımı, örn.)</w:t>
            </w:r>
          </w:p>
        </w:tc>
        <w:tc>
          <w:tcPr>
            <w:tcW w:w="2263" w:type="dxa"/>
            <w:hideMark/>
          </w:tcPr>
          <w:p w14:paraId="2EFEF7BF"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06732D09"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7E6A7D44" w14:textId="77777777" w:rsidTr="008679D6">
        <w:tc>
          <w:tcPr>
            <w:cnfStyle w:val="001000000000" w:firstRow="0" w:lastRow="0" w:firstColumn="1" w:lastColumn="0" w:oddVBand="0" w:evenVBand="0" w:oddHBand="0" w:evenHBand="0" w:firstRowFirstColumn="0" w:firstRowLastColumn="0" w:lastRowFirstColumn="0" w:lastRowLastColumn="0"/>
            <w:tcW w:w="0" w:type="auto"/>
            <w:gridSpan w:val="3"/>
            <w:hideMark/>
          </w:tcPr>
          <w:p w14:paraId="32B5AAE9" w14:textId="77777777" w:rsidR="0055515A" w:rsidRPr="008679D6" w:rsidRDefault="0055515A" w:rsidP="00691C2D">
            <w:pPr>
              <w:rPr>
                <w:b w:val="0"/>
              </w:rPr>
            </w:pPr>
            <w:r w:rsidRPr="008679D6">
              <w:rPr>
                <w:b w:val="0"/>
                <w:bCs/>
                <w:color w:val="000000"/>
              </w:rPr>
              <w:t>Birleşik Atık Su Akışlarının Ön Arıtımı</w:t>
            </w:r>
          </w:p>
        </w:tc>
      </w:tr>
      <w:tr w:rsidR="0055515A" w:rsidRPr="0055515A" w14:paraId="3F2FB083"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565484A0" w14:textId="77777777" w:rsidR="0055515A" w:rsidRPr="008679D6" w:rsidRDefault="0055515A" w:rsidP="0055515A">
            <w:pPr>
              <w:rPr>
                <w:b w:val="0"/>
                <w:color w:val="000000"/>
              </w:rPr>
            </w:pPr>
            <w:r w:rsidRPr="008679D6">
              <w:rPr>
                <w:b w:val="0"/>
                <w:bCs/>
                <w:color w:val="000000"/>
              </w:rPr>
              <w:t>h. Fiziksel Ayrıştırma</w:t>
            </w:r>
            <w:r w:rsidRPr="008679D6">
              <w:rPr>
                <w:b w:val="0"/>
                <w:color w:val="000000"/>
              </w:rPr>
              <w:t>(ızgaralar, elekler, kum/yağ ayırıcılar)</w:t>
            </w:r>
          </w:p>
        </w:tc>
        <w:tc>
          <w:tcPr>
            <w:tcW w:w="3685" w:type="dxa"/>
            <w:hideMark/>
          </w:tcPr>
          <w:p w14:paraId="0370CFC3"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Brüt katı maddeler, askıda katı maddeler, yağ/makina yağı</w:t>
            </w:r>
          </w:p>
        </w:tc>
        <w:tc>
          <w:tcPr>
            <w:tcW w:w="2263" w:type="dxa"/>
            <w:hideMark/>
          </w:tcPr>
          <w:p w14:paraId="19DF12F4"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1DE6ED70"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144D49BE"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23936EBA" w14:textId="77777777" w:rsidR="0055515A" w:rsidRPr="008679D6" w:rsidRDefault="0055515A" w:rsidP="0055515A">
            <w:pPr>
              <w:rPr>
                <w:b w:val="0"/>
                <w:color w:val="000000"/>
              </w:rPr>
            </w:pPr>
            <w:r w:rsidRPr="008679D6">
              <w:rPr>
                <w:b w:val="0"/>
                <w:bCs/>
                <w:color w:val="000000"/>
              </w:rPr>
              <w:t>i. Eşitleme</w:t>
            </w:r>
          </w:p>
        </w:tc>
        <w:tc>
          <w:tcPr>
            <w:tcW w:w="3685" w:type="dxa"/>
            <w:hideMark/>
          </w:tcPr>
          <w:p w14:paraId="6A0BA6F1"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Tüm kirleticiler</w:t>
            </w:r>
          </w:p>
        </w:tc>
        <w:tc>
          <w:tcPr>
            <w:tcW w:w="2263" w:type="dxa"/>
            <w:hideMark/>
          </w:tcPr>
          <w:p w14:paraId="5C104F6E"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78C40DAB"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5011E99B"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7412B1CC" w14:textId="77777777" w:rsidR="0055515A" w:rsidRPr="008679D6" w:rsidRDefault="0055515A" w:rsidP="0055515A">
            <w:pPr>
              <w:rPr>
                <w:b w:val="0"/>
                <w:color w:val="000000"/>
              </w:rPr>
            </w:pPr>
            <w:r w:rsidRPr="008679D6">
              <w:rPr>
                <w:b w:val="0"/>
                <w:bCs/>
                <w:color w:val="000000"/>
              </w:rPr>
              <w:lastRenderedPageBreak/>
              <w:t>j. Nötralizasyon</w:t>
            </w:r>
          </w:p>
        </w:tc>
        <w:tc>
          <w:tcPr>
            <w:tcW w:w="3685" w:type="dxa"/>
            <w:hideMark/>
          </w:tcPr>
          <w:p w14:paraId="0C3BCCA8"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Asitler, alkaliler</w:t>
            </w:r>
          </w:p>
        </w:tc>
        <w:tc>
          <w:tcPr>
            <w:tcW w:w="2263" w:type="dxa"/>
            <w:hideMark/>
          </w:tcPr>
          <w:p w14:paraId="6D271215"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0EEDB3A8"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3F7FE0E2" w14:textId="77777777" w:rsidTr="008679D6">
        <w:tc>
          <w:tcPr>
            <w:cnfStyle w:val="001000000000" w:firstRow="0" w:lastRow="0" w:firstColumn="1" w:lastColumn="0" w:oddVBand="0" w:evenVBand="0" w:oddHBand="0" w:evenHBand="0" w:firstRowFirstColumn="0" w:firstRowLastColumn="0" w:lastRowFirstColumn="0" w:lastRowLastColumn="0"/>
            <w:tcW w:w="0" w:type="auto"/>
            <w:gridSpan w:val="3"/>
            <w:hideMark/>
          </w:tcPr>
          <w:p w14:paraId="5A3BB447" w14:textId="77777777" w:rsidR="0055515A" w:rsidRPr="008679D6" w:rsidRDefault="0055515A" w:rsidP="00691C2D">
            <w:pPr>
              <w:rPr>
                <w:b w:val="0"/>
              </w:rPr>
            </w:pPr>
            <w:r w:rsidRPr="008679D6">
              <w:rPr>
                <w:b w:val="0"/>
                <w:bCs/>
                <w:color w:val="000000"/>
              </w:rPr>
              <w:t xml:space="preserve">Birincil </w:t>
            </w:r>
            <w:r w:rsidR="00801807" w:rsidRPr="008679D6">
              <w:rPr>
                <w:b w:val="0"/>
                <w:bCs/>
                <w:color w:val="000000"/>
              </w:rPr>
              <w:t>Arıtma</w:t>
            </w:r>
          </w:p>
        </w:tc>
      </w:tr>
      <w:tr w:rsidR="0055515A" w:rsidRPr="0055515A" w14:paraId="3A9032FE"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27E316D2" w14:textId="77777777" w:rsidR="0055515A" w:rsidRPr="008679D6" w:rsidRDefault="0055515A" w:rsidP="0055515A">
            <w:pPr>
              <w:rPr>
                <w:b w:val="0"/>
                <w:color w:val="000000"/>
              </w:rPr>
            </w:pPr>
            <w:r w:rsidRPr="008679D6">
              <w:rPr>
                <w:b w:val="0"/>
                <w:bCs/>
                <w:color w:val="000000"/>
              </w:rPr>
              <w:t>k. Sedimantasyon</w:t>
            </w:r>
          </w:p>
        </w:tc>
        <w:tc>
          <w:tcPr>
            <w:tcW w:w="3685" w:type="dxa"/>
            <w:hideMark/>
          </w:tcPr>
          <w:p w14:paraId="4DEF2C29"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metaller veya biyolojik olarak parçalanamayan veya engelleyici kirleticiler</w:t>
            </w:r>
          </w:p>
        </w:tc>
        <w:tc>
          <w:tcPr>
            <w:tcW w:w="2263" w:type="dxa"/>
            <w:vMerge w:val="restart"/>
            <w:hideMark/>
          </w:tcPr>
          <w:p w14:paraId="6B7E11BC"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5E7B4844"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3B088B65"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49010F64" w14:textId="77777777" w:rsidR="0055515A" w:rsidRPr="008679D6" w:rsidRDefault="0055515A" w:rsidP="0055515A">
            <w:pPr>
              <w:rPr>
                <w:b w:val="0"/>
                <w:color w:val="000000"/>
              </w:rPr>
            </w:pPr>
            <w:r w:rsidRPr="008679D6">
              <w:rPr>
                <w:b w:val="0"/>
                <w:bCs/>
                <w:color w:val="000000"/>
              </w:rPr>
              <w:t>l. Çöktürme</w:t>
            </w:r>
          </w:p>
        </w:tc>
        <w:tc>
          <w:tcPr>
            <w:tcW w:w="3685" w:type="dxa"/>
            <w:hideMark/>
          </w:tcPr>
          <w:p w14:paraId="48B8565B"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Çökebilen çözünmüş biyolojik olarak parçalanamayan veya engelleyici kirleticiler  (örn. boyar maddelerdeki metaller)</w:t>
            </w:r>
          </w:p>
        </w:tc>
        <w:tc>
          <w:tcPr>
            <w:tcW w:w="2263" w:type="dxa"/>
            <w:vMerge/>
            <w:hideMark/>
          </w:tcPr>
          <w:p w14:paraId="62D5B188"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66E038C7"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51D86520" w14:textId="77777777" w:rsidR="0055515A" w:rsidRPr="008679D6" w:rsidRDefault="0055515A" w:rsidP="0055515A">
            <w:pPr>
              <w:rPr>
                <w:b w:val="0"/>
                <w:color w:val="000000"/>
              </w:rPr>
            </w:pPr>
            <w:r w:rsidRPr="008679D6">
              <w:rPr>
                <w:b w:val="0"/>
                <w:bCs/>
                <w:color w:val="000000"/>
              </w:rPr>
              <w:t>m. Koagülasyon ve Flokülasyon</w:t>
            </w:r>
          </w:p>
        </w:tc>
        <w:tc>
          <w:tcPr>
            <w:tcW w:w="3685" w:type="dxa"/>
            <w:hideMark/>
          </w:tcPr>
          <w:p w14:paraId="75AC68BE"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biyolojik olarak parçalanamayan veya engelleyici kirleticiler  (örn. boyar maddelerdeki metaller)</w:t>
            </w:r>
          </w:p>
        </w:tc>
        <w:tc>
          <w:tcPr>
            <w:tcW w:w="2263" w:type="dxa"/>
            <w:vMerge/>
            <w:hideMark/>
          </w:tcPr>
          <w:p w14:paraId="723B4558"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690DC089" w14:textId="77777777" w:rsidTr="008679D6">
        <w:tc>
          <w:tcPr>
            <w:cnfStyle w:val="001000000000" w:firstRow="0" w:lastRow="0" w:firstColumn="1" w:lastColumn="0" w:oddVBand="0" w:evenVBand="0" w:oddHBand="0" w:evenHBand="0" w:firstRowFirstColumn="0" w:firstRowLastColumn="0" w:lastRowFirstColumn="0" w:lastRowLastColumn="0"/>
            <w:tcW w:w="0" w:type="auto"/>
            <w:gridSpan w:val="3"/>
            <w:hideMark/>
          </w:tcPr>
          <w:p w14:paraId="42EF1537" w14:textId="77777777" w:rsidR="0055515A" w:rsidRPr="008679D6" w:rsidRDefault="0055515A" w:rsidP="00691C2D">
            <w:pPr>
              <w:rPr>
                <w:b w:val="0"/>
              </w:rPr>
            </w:pPr>
            <w:r w:rsidRPr="008679D6">
              <w:rPr>
                <w:b w:val="0"/>
                <w:bCs/>
                <w:color w:val="000000"/>
              </w:rPr>
              <w:t>İkincil Arıtma (Biyolojik Arıtma)</w:t>
            </w:r>
          </w:p>
        </w:tc>
      </w:tr>
      <w:tr w:rsidR="0055515A" w:rsidRPr="0055515A" w14:paraId="44AB32C8"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4FA034A4" w14:textId="77777777" w:rsidR="0055515A" w:rsidRPr="008679D6" w:rsidRDefault="0055515A" w:rsidP="0055515A">
            <w:pPr>
              <w:rPr>
                <w:b w:val="0"/>
                <w:color w:val="000000"/>
              </w:rPr>
            </w:pPr>
            <w:r w:rsidRPr="008679D6">
              <w:rPr>
                <w:b w:val="0"/>
                <w:bCs/>
                <w:color w:val="000000"/>
              </w:rPr>
              <w:t>n. Aktif Çamur Prosesi ve Membran Biyoreaktör</w:t>
            </w:r>
          </w:p>
        </w:tc>
        <w:tc>
          <w:tcPr>
            <w:tcW w:w="3685" w:type="dxa"/>
            <w:hideMark/>
          </w:tcPr>
          <w:p w14:paraId="50104E7F"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Biyolojik olarak parçalanabilen organik bileşikler</w:t>
            </w:r>
          </w:p>
        </w:tc>
        <w:tc>
          <w:tcPr>
            <w:tcW w:w="2263" w:type="dxa"/>
            <w:hideMark/>
          </w:tcPr>
          <w:p w14:paraId="1CA02C97"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47DB5726"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5D866820"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76C804A9" w14:textId="77777777" w:rsidR="0055515A" w:rsidRPr="008679D6" w:rsidRDefault="0055515A" w:rsidP="0055515A">
            <w:pPr>
              <w:rPr>
                <w:b w:val="0"/>
                <w:color w:val="000000"/>
              </w:rPr>
            </w:pPr>
            <w:r w:rsidRPr="008679D6">
              <w:rPr>
                <w:b w:val="0"/>
                <w:bCs/>
                <w:color w:val="000000"/>
              </w:rPr>
              <w:t>o. Nitrifikasyon/Denitrifikasyon</w:t>
            </w:r>
          </w:p>
        </w:tc>
        <w:tc>
          <w:tcPr>
            <w:tcW w:w="3685" w:type="dxa"/>
            <w:hideMark/>
          </w:tcPr>
          <w:p w14:paraId="7267B7B6"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Toplam azot, amonyum/amonyak</w:t>
            </w:r>
          </w:p>
        </w:tc>
        <w:tc>
          <w:tcPr>
            <w:tcW w:w="2263" w:type="dxa"/>
            <w:hideMark/>
          </w:tcPr>
          <w:p w14:paraId="0FFFA5C0"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Nitrifikasyon, yüksek klorür konsantrasyonları (örn. 10 g/l üzeri) durumunda uygulanamayabilir. Ayrıca, atık su sıcaklığı düşük olduğunda (örn. 12 °C’nin altında) nitrifikasyon uygulanamayabilir.</w:t>
            </w:r>
          </w:p>
        </w:tc>
      </w:tr>
      <w:tr w:rsidR="0055515A" w:rsidRPr="0055515A" w14:paraId="545D3179" w14:textId="77777777" w:rsidTr="008679D6">
        <w:tc>
          <w:tcPr>
            <w:cnfStyle w:val="001000000000" w:firstRow="0" w:lastRow="0" w:firstColumn="1" w:lastColumn="0" w:oddVBand="0" w:evenVBand="0" w:oddHBand="0" w:evenHBand="0" w:firstRowFirstColumn="0" w:firstRowLastColumn="0" w:lastRowFirstColumn="0" w:lastRowLastColumn="0"/>
            <w:tcW w:w="0" w:type="auto"/>
            <w:gridSpan w:val="3"/>
            <w:hideMark/>
          </w:tcPr>
          <w:p w14:paraId="0855885E" w14:textId="77777777" w:rsidR="0055515A" w:rsidRPr="008679D6" w:rsidRDefault="0055515A" w:rsidP="00691C2D">
            <w:pPr>
              <w:rPr>
                <w:b w:val="0"/>
              </w:rPr>
            </w:pPr>
            <w:r w:rsidRPr="008679D6">
              <w:rPr>
                <w:b w:val="0"/>
                <w:bCs/>
                <w:color w:val="000000"/>
              </w:rPr>
              <w:t>Üçüncül</w:t>
            </w:r>
            <w:r w:rsidR="00801807" w:rsidRPr="008679D6">
              <w:rPr>
                <w:b w:val="0"/>
                <w:bCs/>
                <w:color w:val="000000"/>
              </w:rPr>
              <w:t xml:space="preserve"> (İleri)</w:t>
            </w:r>
            <w:r w:rsidRPr="008679D6">
              <w:rPr>
                <w:b w:val="0"/>
                <w:bCs/>
                <w:color w:val="000000"/>
              </w:rPr>
              <w:t xml:space="preserve"> </w:t>
            </w:r>
            <w:r w:rsidR="00801807" w:rsidRPr="008679D6">
              <w:rPr>
                <w:b w:val="0"/>
                <w:bCs/>
                <w:color w:val="000000"/>
              </w:rPr>
              <w:t xml:space="preserve"> Arıtma </w:t>
            </w:r>
          </w:p>
        </w:tc>
      </w:tr>
      <w:tr w:rsidR="0055515A" w:rsidRPr="0055515A" w14:paraId="3207E051"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163FD90F" w14:textId="77777777" w:rsidR="0055515A" w:rsidRPr="008679D6" w:rsidRDefault="0055515A" w:rsidP="0055515A">
            <w:pPr>
              <w:rPr>
                <w:b w:val="0"/>
                <w:color w:val="000000"/>
              </w:rPr>
            </w:pPr>
            <w:r w:rsidRPr="008679D6">
              <w:rPr>
                <w:b w:val="0"/>
                <w:bCs/>
                <w:color w:val="000000"/>
              </w:rPr>
              <w:t>p. Koagülasyon ve Flokülasyon</w:t>
            </w:r>
          </w:p>
        </w:tc>
        <w:tc>
          <w:tcPr>
            <w:tcW w:w="3685" w:type="dxa"/>
            <w:hideMark/>
          </w:tcPr>
          <w:p w14:paraId="2A76CFB8"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biyolojik olarak parçalanamayan veya engelleyici kirleticiler  (örn. boyar maddelerdeki metaller)</w:t>
            </w:r>
          </w:p>
        </w:tc>
        <w:tc>
          <w:tcPr>
            <w:tcW w:w="2263" w:type="dxa"/>
            <w:vMerge w:val="restart"/>
            <w:hideMark/>
          </w:tcPr>
          <w:p w14:paraId="2B0B9352"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761F8395"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6744B697"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7335608F" w14:textId="543B3F2F" w:rsidR="0055515A" w:rsidRPr="008679D6" w:rsidRDefault="00E74037" w:rsidP="0055515A">
            <w:pPr>
              <w:rPr>
                <w:b w:val="0"/>
                <w:color w:val="000000"/>
              </w:rPr>
            </w:pPr>
            <w:r>
              <w:rPr>
                <w:b w:val="0"/>
                <w:bCs/>
                <w:color w:val="000000"/>
              </w:rPr>
              <w:t>r</w:t>
            </w:r>
            <w:r w:rsidR="0055515A" w:rsidRPr="008679D6">
              <w:rPr>
                <w:b w:val="0"/>
                <w:bCs/>
                <w:color w:val="000000"/>
              </w:rPr>
              <w:t>. Çöktürme</w:t>
            </w:r>
          </w:p>
        </w:tc>
        <w:tc>
          <w:tcPr>
            <w:tcW w:w="3685" w:type="dxa"/>
            <w:hideMark/>
          </w:tcPr>
          <w:p w14:paraId="61C645AF"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Çökebilen çözünmüş biyolojik olarak parçalanamayan veya engelleyici kirleticiler  (örn. boyar maddelerdeki metaller)</w:t>
            </w:r>
          </w:p>
        </w:tc>
        <w:tc>
          <w:tcPr>
            <w:tcW w:w="2263" w:type="dxa"/>
            <w:vMerge/>
            <w:hideMark/>
          </w:tcPr>
          <w:p w14:paraId="0E6C2E9B"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42970E6A"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521DA73B" w14:textId="46F885CA" w:rsidR="0055515A" w:rsidRPr="008679D6" w:rsidRDefault="00E74037" w:rsidP="0055515A">
            <w:pPr>
              <w:rPr>
                <w:b w:val="0"/>
                <w:color w:val="000000"/>
              </w:rPr>
            </w:pPr>
            <w:r>
              <w:rPr>
                <w:b w:val="0"/>
                <w:bCs/>
                <w:color w:val="000000"/>
              </w:rPr>
              <w:t>s</w:t>
            </w:r>
            <w:r w:rsidR="0055515A" w:rsidRPr="008679D6">
              <w:rPr>
                <w:b w:val="0"/>
                <w:bCs/>
                <w:color w:val="000000"/>
              </w:rPr>
              <w:t>. Kimyasal Oksidasyon</w:t>
            </w:r>
            <w:r w:rsidR="0055515A" w:rsidRPr="008679D6">
              <w:rPr>
                <w:b w:val="0"/>
                <w:color w:val="000000"/>
              </w:rPr>
              <w:t>(ozon, hidrojen peroksit, UV ışığı)</w:t>
            </w:r>
          </w:p>
        </w:tc>
        <w:tc>
          <w:tcPr>
            <w:tcW w:w="3685" w:type="dxa"/>
            <w:hideMark/>
          </w:tcPr>
          <w:p w14:paraId="56A55D3F"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Oksitlenebilir çözünmüş biyolojik olarak parçalanamayan veya engelleyici kirleticiler (örn. optik parlatıcılar ve azo boyar maddeler, sülfür)</w:t>
            </w:r>
          </w:p>
        </w:tc>
        <w:tc>
          <w:tcPr>
            <w:tcW w:w="2263" w:type="dxa"/>
            <w:vMerge/>
            <w:hideMark/>
          </w:tcPr>
          <w:p w14:paraId="20F7196C"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755DAD29"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3810CB9B" w14:textId="512EEF69" w:rsidR="0055515A" w:rsidRPr="008679D6" w:rsidRDefault="00E74037" w:rsidP="0055515A">
            <w:pPr>
              <w:rPr>
                <w:b w:val="0"/>
                <w:color w:val="000000"/>
              </w:rPr>
            </w:pPr>
            <w:r>
              <w:rPr>
                <w:b w:val="0"/>
                <w:bCs/>
                <w:color w:val="000000"/>
              </w:rPr>
              <w:t>t</w:t>
            </w:r>
            <w:r w:rsidR="0055515A" w:rsidRPr="008679D6">
              <w:rPr>
                <w:b w:val="0"/>
                <w:bCs/>
                <w:color w:val="000000"/>
              </w:rPr>
              <w:t>. Yüzdürme ve Filtrasyon</w:t>
            </w:r>
            <w:r w:rsidR="0055515A" w:rsidRPr="008679D6">
              <w:rPr>
                <w:b w:val="0"/>
                <w:color w:val="000000"/>
              </w:rPr>
              <w:t>(kum filtrelemesi)</w:t>
            </w:r>
          </w:p>
        </w:tc>
        <w:tc>
          <w:tcPr>
            <w:tcW w:w="3685" w:type="dxa"/>
            <w:hideMark/>
          </w:tcPr>
          <w:p w14:paraId="775FBDA4"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biyolojik olarak bozunmayan veya engelleyici kirleticiler</w:t>
            </w:r>
          </w:p>
        </w:tc>
        <w:tc>
          <w:tcPr>
            <w:tcW w:w="2263" w:type="dxa"/>
            <w:vMerge/>
            <w:hideMark/>
          </w:tcPr>
          <w:p w14:paraId="2EFB2F98"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2B38F1DD" w14:textId="77777777" w:rsidTr="008679D6">
        <w:tc>
          <w:tcPr>
            <w:cnfStyle w:val="001000000000" w:firstRow="0" w:lastRow="0" w:firstColumn="1" w:lastColumn="0" w:oddVBand="0" w:evenVBand="0" w:oddHBand="0" w:evenHBand="0" w:firstRowFirstColumn="0" w:firstRowLastColumn="0" w:lastRowFirstColumn="0" w:lastRowLastColumn="0"/>
            <w:tcW w:w="0" w:type="auto"/>
            <w:gridSpan w:val="3"/>
            <w:hideMark/>
          </w:tcPr>
          <w:p w14:paraId="25C90105" w14:textId="77777777" w:rsidR="0055515A" w:rsidRPr="008679D6" w:rsidRDefault="0055515A" w:rsidP="00691C2D">
            <w:pPr>
              <w:rPr>
                <w:b w:val="0"/>
              </w:rPr>
            </w:pPr>
            <w:r w:rsidRPr="008679D6">
              <w:rPr>
                <w:b w:val="0"/>
                <w:bCs/>
                <w:color w:val="000000"/>
              </w:rPr>
              <w:t>Atık Suyun Geri Dönüşümü İçin Gelişmiş Arıtma</w:t>
            </w:r>
          </w:p>
        </w:tc>
      </w:tr>
      <w:tr w:rsidR="0055515A" w:rsidRPr="0055515A" w14:paraId="6ADAF485"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42A364FB" w14:textId="67922222" w:rsidR="0055515A" w:rsidRPr="008679D6" w:rsidRDefault="00E74037" w:rsidP="0055515A">
            <w:pPr>
              <w:rPr>
                <w:b w:val="0"/>
                <w:color w:val="000000"/>
              </w:rPr>
            </w:pPr>
            <w:r>
              <w:rPr>
                <w:b w:val="0"/>
                <w:bCs/>
                <w:color w:val="000000"/>
              </w:rPr>
              <w:t>u</w:t>
            </w:r>
            <w:r w:rsidR="0055515A" w:rsidRPr="008679D6">
              <w:rPr>
                <w:b w:val="0"/>
                <w:bCs/>
                <w:color w:val="000000"/>
              </w:rPr>
              <w:t>. Filtrasyon</w:t>
            </w:r>
            <w:r w:rsidR="0055515A" w:rsidRPr="008679D6">
              <w:rPr>
                <w:b w:val="0"/>
                <w:color w:val="000000"/>
              </w:rPr>
              <w:t> (kum/membran filtrasyonu)</w:t>
            </w:r>
          </w:p>
        </w:tc>
        <w:tc>
          <w:tcPr>
            <w:tcW w:w="3685" w:type="dxa"/>
            <w:hideMark/>
          </w:tcPr>
          <w:p w14:paraId="1165C5C8"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Askıda katı maddeler ve partiküllere bağlı biyolojik olarak bozunmayan veya engelleyici kirleticiler</w:t>
            </w:r>
          </w:p>
        </w:tc>
        <w:tc>
          <w:tcPr>
            <w:tcW w:w="2263" w:type="dxa"/>
            <w:hideMark/>
          </w:tcPr>
          <w:p w14:paraId="08613FE8"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15DD6E3E"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r w:rsidR="0055515A" w:rsidRPr="0055515A" w14:paraId="59A14750" w14:textId="77777777" w:rsidTr="00691C2D">
        <w:tc>
          <w:tcPr>
            <w:cnfStyle w:val="001000000000" w:firstRow="0" w:lastRow="0" w:firstColumn="1" w:lastColumn="0" w:oddVBand="0" w:evenVBand="0" w:oddHBand="0" w:evenHBand="0" w:firstRowFirstColumn="0" w:firstRowLastColumn="0" w:lastRowFirstColumn="0" w:lastRowLastColumn="0"/>
            <w:tcW w:w="3114" w:type="dxa"/>
            <w:hideMark/>
          </w:tcPr>
          <w:p w14:paraId="6CE394C4" w14:textId="2DC340D1" w:rsidR="0055515A" w:rsidRPr="008679D6" w:rsidRDefault="00E74037" w:rsidP="0055515A">
            <w:pPr>
              <w:rPr>
                <w:b w:val="0"/>
                <w:color w:val="000000"/>
              </w:rPr>
            </w:pPr>
            <w:r>
              <w:rPr>
                <w:b w:val="0"/>
                <w:bCs/>
                <w:color w:val="000000"/>
              </w:rPr>
              <w:lastRenderedPageBreak/>
              <w:t>v</w:t>
            </w:r>
            <w:r w:rsidR="0055515A" w:rsidRPr="008679D6">
              <w:rPr>
                <w:b w:val="0"/>
                <w:bCs/>
                <w:color w:val="000000"/>
              </w:rPr>
              <w:t>. Buharlaşma</w:t>
            </w:r>
          </w:p>
        </w:tc>
        <w:tc>
          <w:tcPr>
            <w:tcW w:w="3685" w:type="dxa"/>
            <w:hideMark/>
          </w:tcPr>
          <w:p w14:paraId="71CF062E" w14:textId="77777777" w:rsidR="0055515A" w:rsidRPr="0055515A" w:rsidRDefault="0055515A" w:rsidP="00691C2D">
            <w:pPr>
              <w:jc w:val="left"/>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Çözünebilir kirleticiler (örn. tuzlar)</w:t>
            </w:r>
          </w:p>
        </w:tc>
        <w:tc>
          <w:tcPr>
            <w:tcW w:w="2263" w:type="dxa"/>
            <w:hideMark/>
          </w:tcPr>
          <w:p w14:paraId="2E2D10F7"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Genel olarak uygulanabilir.</w:t>
            </w:r>
          </w:p>
          <w:p w14:paraId="11F0B01F"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p>
        </w:tc>
      </w:tr>
    </w:tbl>
    <w:p w14:paraId="1B39AECB" w14:textId="7CEFBE97" w:rsid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p>
    <w:p w14:paraId="146FB12D" w14:textId="77777777" w:rsidR="00691C2D" w:rsidRPr="0055515A" w:rsidRDefault="00691C2D" w:rsidP="0055515A">
      <w:pPr>
        <w:spacing w:after="120" w:line="360" w:lineRule="auto"/>
        <w:jc w:val="both"/>
        <w:rPr>
          <w:rFonts w:ascii="Times New Roman" w:eastAsia="Times New Roman" w:hAnsi="Times New Roman" w:cs="Times New Roman"/>
          <w:kern w:val="0"/>
          <w:sz w:val="24"/>
          <w:szCs w:val="24"/>
          <w:lang w:eastAsia="tr-TR"/>
          <w14:ligatures w14:val="none"/>
        </w:rPr>
      </w:pPr>
    </w:p>
    <w:p w14:paraId="0EF35659" w14:textId="77777777" w:rsidR="0055515A" w:rsidRPr="0055515A" w:rsidRDefault="0055515A" w:rsidP="0055515A">
      <w:pPr>
        <w:spacing w:after="120" w:line="240" w:lineRule="auto"/>
        <w:jc w:val="center"/>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Tablo 1.3</w:t>
      </w:r>
    </w:p>
    <w:p w14:paraId="28445B71" w14:textId="77777777" w:rsidR="0055515A" w:rsidRPr="0055515A" w:rsidRDefault="0055515A" w:rsidP="0055515A">
      <w:pPr>
        <w:spacing w:after="120" w:line="240" w:lineRule="auto"/>
        <w:jc w:val="center"/>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MET’a Dayalı Emisyon Seviyeleri (MET-İES’ler) için Doğrudan Deşarjlar</w:t>
      </w:r>
    </w:p>
    <w:tbl>
      <w:tblPr>
        <w:tblW w:w="9060" w:type="dxa"/>
        <w:tblCellMar>
          <w:left w:w="70" w:type="dxa"/>
          <w:right w:w="70" w:type="dxa"/>
        </w:tblCellMar>
        <w:tblLook w:val="04A0" w:firstRow="1" w:lastRow="0" w:firstColumn="1" w:lastColumn="0" w:noHBand="0" w:noVBand="1"/>
      </w:tblPr>
      <w:tblGrid>
        <w:gridCol w:w="2689"/>
        <w:gridCol w:w="4536"/>
        <w:gridCol w:w="1835"/>
      </w:tblGrid>
      <w:tr w:rsidR="0055515A" w:rsidRPr="00691C2D" w14:paraId="3FA8ED21" w14:textId="77777777" w:rsidTr="0024730D">
        <w:trPr>
          <w:trHeight w:val="320"/>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F620C1" w14:textId="77777777" w:rsidR="0055515A" w:rsidRPr="00691C2D"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691C2D">
              <w:rPr>
                <w:rFonts w:ascii="Times New Roman" w:eastAsia="Times New Roman" w:hAnsi="Times New Roman" w:cs="Times New Roman"/>
                <w:b/>
                <w:bCs/>
                <w:color w:val="000000"/>
                <w:kern w:val="0"/>
                <w:lang w:eastAsia="tr-TR"/>
                <w14:ligatures w14:val="none"/>
              </w:rPr>
              <w:t>Madde/Parametre</w:t>
            </w:r>
          </w:p>
        </w:tc>
        <w:tc>
          <w:tcPr>
            <w:tcW w:w="4536" w:type="dxa"/>
            <w:tcBorders>
              <w:top w:val="single" w:sz="4" w:space="0" w:color="auto"/>
              <w:left w:val="nil"/>
              <w:bottom w:val="single" w:sz="4" w:space="0" w:color="auto"/>
              <w:right w:val="single" w:sz="4" w:space="0" w:color="auto"/>
            </w:tcBorders>
            <w:shd w:val="clear" w:color="auto" w:fill="auto"/>
            <w:noWrap/>
            <w:vAlign w:val="bottom"/>
            <w:hideMark/>
          </w:tcPr>
          <w:p w14:paraId="3B536FC5" w14:textId="77777777" w:rsidR="0055515A" w:rsidRPr="00691C2D"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691C2D">
              <w:rPr>
                <w:rFonts w:ascii="Times New Roman" w:eastAsia="Times New Roman" w:hAnsi="Times New Roman" w:cs="Times New Roman"/>
                <w:b/>
                <w:bCs/>
                <w:color w:val="000000"/>
                <w:kern w:val="0"/>
                <w:lang w:eastAsia="tr-TR"/>
                <w14:ligatures w14:val="none"/>
              </w:rPr>
              <w:t>Faaliyetler/Prosesler</w:t>
            </w:r>
          </w:p>
        </w:tc>
        <w:tc>
          <w:tcPr>
            <w:tcW w:w="1835" w:type="dxa"/>
            <w:tcBorders>
              <w:top w:val="single" w:sz="4" w:space="0" w:color="auto"/>
              <w:left w:val="nil"/>
              <w:bottom w:val="single" w:sz="4" w:space="0" w:color="auto"/>
              <w:right w:val="single" w:sz="4" w:space="0" w:color="auto"/>
            </w:tcBorders>
            <w:shd w:val="clear" w:color="auto" w:fill="auto"/>
            <w:noWrap/>
            <w:vAlign w:val="bottom"/>
            <w:hideMark/>
          </w:tcPr>
          <w:p w14:paraId="0AF3A260" w14:textId="77777777" w:rsidR="0055515A" w:rsidRPr="00691C2D"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691C2D">
              <w:rPr>
                <w:rFonts w:ascii="Times New Roman" w:eastAsia="Times New Roman" w:hAnsi="Times New Roman" w:cs="Times New Roman"/>
                <w:b/>
                <w:bCs/>
                <w:color w:val="000000"/>
                <w:kern w:val="0"/>
                <w:lang w:eastAsia="tr-TR"/>
                <w14:ligatures w14:val="none"/>
              </w:rPr>
              <w:t>MET-İES (mg/L)</w:t>
            </w:r>
          </w:p>
        </w:tc>
      </w:tr>
      <w:tr w:rsidR="0055515A" w:rsidRPr="00691C2D" w14:paraId="10E15A65"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E9DE3ED"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Adsorbe Edilebilir Organik Halojenler (AOX)</w:t>
            </w:r>
          </w:p>
        </w:tc>
        <w:tc>
          <w:tcPr>
            <w:tcW w:w="4536" w:type="dxa"/>
            <w:vMerge w:val="restart"/>
            <w:tcBorders>
              <w:top w:val="nil"/>
              <w:left w:val="nil"/>
              <w:right w:val="single" w:sz="4" w:space="0" w:color="auto"/>
            </w:tcBorders>
            <w:shd w:val="clear" w:color="auto" w:fill="auto"/>
            <w:noWrap/>
            <w:vAlign w:val="bottom"/>
            <w:hideMark/>
          </w:tcPr>
          <w:p w14:paraId="1A3DEC3E"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Tüm faaliyetler/prosesler</w:t>
            </w:r>
          </w:p>
          <w:p w14:paraId="549CC4A3"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 </w:t>
            </w:r>
          </w:p>
          <w:p w14:paraId="1D30914F"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 </w:t>
            </w:r>
          </w:p>
        </w:tc>
        <w:tc>
          <w:tcPr>
            <w:tcW w:w="1835" w:type="dxa"/>
            <w:tcBorders>
              <w:top w:val="nil"/>
              <w:left w:val="nil"/>
              <w:bottom w:val="single" w:sz="4" w:space="0" w:color="auto"/>
              <w:right w:val="single" w:sz="4" w:space="0" w:color="auto"/>
            </w:tcBorders>
            <w:shd w:val="clear" w:color="auto" w:fill="auto"/>
            <w:noWrap/>
            <w:vAlign w:val="bottom"/>
            <w:hideMark/>
          </w:tcPr>
          <w:p w14:paraId="6B435358"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0,1–0,4 (³)</w:t>
            </w:r>
          </w:p>
        </w:tc>
      </w:tr>
      <w:tr w:rsidR="0055515A" w:rsidRPr="00691C2D" w14:paraId="517BFAE4"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0559F3F" w14:textId="77777777" w:rsidR="0055515A" w:rsidRPr="00691C2D" w:rsidRDefault="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Kimyasal Oksijen İhtiyacı (</w:t>
            </w:r>
            <w:r w:rsidR="000815E1" w:rsidRPr="00691C2D">
              <w:rPr>
                <w:rFonts w:ascii="Times New Roman" w:eastAsia="Times New Roman" w:hAnsi="Times New Roman" w:cs="Times New Roman"/>
                <w:bCs/>
                <w:color w:val="000000"/>
                <w:kern w:val="0"/>
                <w:lang w:eastAsia="tr-TR"/>
                <w14:ligatures w14:val="none"/>
              </w:rPr>
              <w:t>KOİ</w:t>
            </w:r>
            <w:r w:rsidRPr="00691C2D">
              <w:rPr>
                <w:rFonts w:ascii="Times New Roman" w:eastAsia="Times New Roman" w:hAnsi="Times New Roman" w:cs="Times New Roman"/>
                <w:bCs/>
                <w:color w:val="000000"/>
                <w:kern w:val="0"/>
                <w:lang w:eastAsia="tr-TR"/>
                <w14:ligatures w14:val="none"/>
              </w:rPr>
              <w:t>)</w:t>
            </w:r>
          </w:p>
        </w:tc>
        <w:tc>
          <w:tcPr>
            <w:tcW w:w="4536" w:type="dxa"/>
            <w:vMerge/>
            <w:tcBorders>
              <w:left w:val="nil"/>
              <w:right w:val="single" w:sz="4" w:space="0" w:color="auto"/>
            </w:tcBorders>
            <w:shd w:val="clear" w:color="auto" w:fill="auto"/>
            <w:noWrap/>
            <w:vAlign w:val="bottom"/>
            <w:hideMark/>
          </w:tcPr>
          <w:p w14:paraId="5FCB0375"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835" w:type="dxa"/>
            <w:tcBorders>
              <w:top w:val="nil"/>
              <w:left w:val="nil"/>
              <w:bottom w:val="single" w:sz="4" w:space="0" w:color="auto"/>
              <w:right w:val="single" w:sz="4" w:space="0" w:color="auto"/>
            </w:tcBorders>
            <w:shd w:val="clear" w:color="auto" w:fill="auto"/>
            <w:noWrap/>
            <w:vAlign w:val="bottom"/>
            <w:hideMark/>
          </w:tcPr>
          <w:p w14:paraId="0A509BF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40–100 (⁵) (⁶)</w:t>
            </w:r>
          </w:p>
        </w:tc>
      </w:tr>
      <w:tr w:rsidR="0055515A" w:rsidRPr="00691C2D" w14:paraId="7D55AA52"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C54E475"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Hidrokarbon Yağ İndeksi (HOI)</w:t>
            </w:r>
          </w:p>
        </w:tc>
        <w:tc>
          <w:tcPr>
            <w:tcW w:w="4536" w:type="dxa"/>
            <w:vMerge/>
            <w:tcBorders>
              <w:left w:val="nil"/>
              <w:bottom w:val="single" w:sz="4" w:space="0" w:color="auto"/>
              <w:right w:val="single" w:sz="4" w:space="0" w:color="auto"/>
            </w:tcBorders>
            <w:shd w:val="clear" w:color="auto" w:fill="auto"/>
            <w:noWrap/>
            <w:vAlign w:val="bottom"/>
            <w:hideMark/>
          </w:tcPr>
          <w:p w14:paraId="7FCD17FE"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835" w:type="dxa"/>
            <w:tcBorders>
              <w:top w:val="nil"/>
              <w:left w:val="nil"/>
              <w:bottom w:val="single" w:sz="4" w:space="0" w:color="auto"/>
              <w:right w:val="single" w:sz="4" w:space="0" w:color="auto"/>
            </w:tcBorders>
            <w:shd w:val="clear" w:color="auto" w:fill="auto"/>
            <w:noWrap/>
            <w:vAlign w:val="bottom"/>
            <w:hideMark/>
          </w:tcPr>
          <w:p w14:paraId="7A1E7404"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1–7</w:t>
            </w:r>
          </w:p>
        </w:tc>
      </w:tr>
      <w:tr w:rsidR="0055515A" w:rsidRPr="00691C2D" w14:paraId="11DDA555" w14:textId="77777777" w:rsidTr="0024730D">
        <w:trPr>
          <w:trHeight w:val="320"/>
        </w:trPr>
        <w:tc>
          <w:tcPr>
            <w:tcW w:w="906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08FA5F0" w14:textId="55A70794" w:rsidR="0055515A" w:rsidRPr="006E2C99"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Metaller/Metaloidler</w:t>
            </w:r>
          </w:p>
        </w:tc>
      </w:tr>
      <w:tr w:rsidR="0055515A" w:rsidRPr="00691C2D" w14:paraId="713410D4"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F1C69BE"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Antimon (Sb)</w:t>
            </w:r>
          </w:p>
        </w:tc>
        <w:tc>
          <w:tcPr>
            <w:tcW w:w="4536" w:type="dxa"/>
            <w:tcBorders>
              <w:top w:val="nil"/>
              <w:left w:val="nil"/>
              <w:bottom w:val="single" w:sz="4" w:space="0" w:color="auto"/>
              <w:right w:val="single" w:sz="4" w:space="0" w:color="auto"/>
            </w:tcBorders>
            <w:shd w:val="clear" w:color="auto" w:fill="auto"/>
            <w:noWrap/>
            <w:vAlign w:val="bottom"/>
            <w:hideMark/>
          </w:tcPr>
          <w:p w14:paraId="0011A340"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Polyester tekstil malzemelerinin ön arıtımı ve/veya boyanması, antimon trioksit içeren alev geciktirici ile bitim işlemi</w:t>
            </w:r>
          </w:p>
        </w:tc>
        <w:tc>
          <w:tcPr>
            <w:tcW w:w="1835" w:type="dxa"/>
            <w:tcBorders>
              <w:top w:val="nil"/>
              <w:left w:val="nil"/>
              <w:bottom w:val="single" w:sz="4" w:space="0" w:color="auto"/>
              <w:right w:val="single" w:sz="4" w:space="0" w:color="auto"/>
            </w:tcBorders>
            <w:shd w:val="clear" w:color="auto" w:fill="auto"/>
            <w:noWrap/>
            <w:vAlign w:val="bottom"/>
            <w:hideMark/>
          </w:tcPr>
          <w:p w14:paraId="3FB0803A"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0,1–0,2 (⁷)</w:t>
            </w:r>
          </w:p>
        </w:tc>
      </w:tr>
      <w:tr w:rsidR="0055515A" w:rsidRPr="00691C2D" w14:paraId="7801BABC"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57681BC"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Krom (Cr)</w:t>
            </w:r>
          </w:p>
        </w:tc>
        <w:tc>
          <w:tcPr>
            <w:tcW w:w="4536" w:type="dxa"/>
            <w:tcBorders>
              <w:top w:val="nil"/>
              <w:left w:val="nil"/>
              <w:bottom w:val="single" w:sz="4" w:space="0" w:color="auto"/>
              <w:right w:val="single" w:sz="4" w:space="0" w:color="auto"/>
            </w:tcBorders>
            <w:shd w:val="clear" w:color="auto" w:fill="auto"/>
            <w:noWrap/>
            <w:vAlign w:val="bottom"/>
            <w:hideMark/>
          </w:tcPr>
          <w:p w14:paraId="5E5BF8B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Krom mordan veya krom içeren boyalarla (örneğin metal kompleks boyalar) boyama</w:t>
            </w:r>
          </w:p>
        </w:tc>
        <w:tc>
          <w:tcPr>
            <w:tcW w:w="1835" w:type="dxa"/>
            <w:tcBorders>
              <w:top w:val="nil"/>
              <w:left w:val="nil"/>
              <w:bottom w:val="single" w:sz="4" w:space="0" w:color="auto"/>
              <w:right w:val="single" w:sz="4" w:space="0" w:color="auto"/>
            </w:tcBorders>
            <w:shd w:val="clear" w:color="auto" w:fill="auto"/>
            <w:noWrap/>
            <w:vAlign w:val="bottom"/>
            <w:hideMark/>
          </w:tcPr>
          <w:p w14:paraId="09616238"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0,01–0,1 (⁸)</w:t>
            </w:r>
          </w:p>
        </w:tc>
      </w:tr>
      <w:tr w:rsidR="0055515A" w:rsidRPr="00691C2D" w14:paraId="7D5BA060"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565A791"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Bakır (Cu)</w:t>
            </w:r>
          </w:p>
        </w:tc>
        <w:tc>
          <w:tcPr>
            <w:tcW w:w="4536" w:type="dxa"/>
            <w:vMerge w:val="restart"/>
            <w:tcBorders>
              <w:top w:val="nil"/>
              <w:left w:val="nil"/>
              <w:right w:val="single" w:sz="4" w:space="0" w:color="auto"/>
            </w:tcBorders>
            <w:shd w:val="clear" w:color="auto" w:fill="auto"/>
            <w:noWrap/>
            <w:vAlign w:val="bottom"/>
            <w:hideMark/>
          </w:tcPr>
          <w:p w14:paraId="57DA6DD2"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Boyama, baskı</w:t>
            </w:r>
          </w:p>
          <w:p w14:paraId="71B3ECC6"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 </w:t>
            </w:r>
          </w:p>
        </w:tc>
        <w:tc>
          <w:tcPr>
            <w:tcW w:w="1835" w:type="dxa"/>
            <w:tcBorders>
              <w:top w:val="nil"/>
              <w:left w:val="nil"/>
              <w:bottom w:val="single" w:sz="4" w:space="0" w:color="auto"/>
              <w:right w:val="single" w:sz="4" w:space="0" w:color="auto"/>
            </w:tcBorders>
            <w:shd w:val="clear" w:color="auto" w:fill="auto"/>
            <w:noWrap/>
            <w:vAlign w:val="bottom"/>
            <w:hideMark/>
          </w:tcPr>
          <w:p w14:paraId="1E8F5FD1"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0,03–0,4</w:t>
            </w:r>
          </w:p>
        </w:tc>
      </w:tr>
      <w:tr w:rsidR="0055515A" w:rsidRPr="00691C2D" w14:paraId="59EA25CC"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F247FB5"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Nikel (Ni)</w:t>
            </w:r>
          </w:p>
        </w:tc>
        <w:tc>
          <w:tcPr>
            <w:tcW w:w="4536" w:type="dxa"/>
            <w:vMerge/>
            <w:tcBorders>
              <w:left w:val="nil"/>
              <w:bottom w:val="single" w:sz="4" w:space="0" w:color="auto"/>
              <w:right w:val="single" w:sz="4" w:space="0" w:color="auto"/>
            </w:tcBorders>
            <w:shd w:val="clear" w:color="auto" w:fill="auto"/>
            <w:noWrap/>
            <w:vAlign w:val="bottom"/>
            <w:hideMark/>
          </w:tcPr>
          <w:p w14:paraId="76440DE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835" w:type="dxa"/>
            <w:tcBorders>
              <w:top w:val="nil"/>
              <w:left w:val="nil"/>
              <w:bottom w:val="single" w:sz="4" w:space="0" w:color="auto"/>
              <w:right w:val="single" w:sz="4" w:space="0" w:color="auto"/>
            </w:tcBorders>
            <w:shd w:val="clear" w:color="auto" w:fill="auto"/>
            <w:noWrap/>
            <w:vAlign w:val="bottom"/>
            <w:hideMark/>
          </w:tcPr>
          <w:p w14:paraId="2BD65E3D"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0,01–0,1 (⁹)</w:t>
            </w:r>
          </w:p>
        </w:tc>
      </w:tr>
      <w:tr w:rsidR="0055515A" w:rsidRPr="00691C2D" w14:paraId="5C0BE38D"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6B8E292"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Çinko (Zn)</w:t>
            </w:r>
          </w:p>
        </w:tc>
        <w:tc>
          <w:tcPr>
            <w:tcW w:w="4536" w:type="dxa"/>
            <w:tcBorders>
              <w:top w:val="nil"/>
              <w:left w:val="nil"/>
              <w:bottom w:val="single" w:sz="4" w:space="0" w:color="auto"/>
              <w:right w:val="single" w:sz="4" w:space="0" w:color="auto"/>
            </w:tcBorders>
            <w:shd w:val="clear" w:color="auto" w:fill="auto"/>
            <w:noWrap/>
            <w:vAlign w:val="bottom"/>
            <w:hideMark/>
          </w:tcPr>
          <w:p w14:paraId="7DD8BE3F"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Tüm faaliyetler/prosesler</w:t>
            </w:r>
          </w:p>
        </w:tc>
        <w:tc>
          <w:tcPr>
            <w:tcW w:w="1835" w:type="dxa"/>
            <w:tcBorders>
              <w:top w:val="nil"/>
              <w:left w:val="nil"/>
              <w:bottom w:val="single" w:sz="4" w:space="0" w:color="auto"/>
              <w:right w:val="single" w:sz="4" w:space="0" w:color="auto"/>
            </w:tcBorders>
            <w:shd w:val="clear" w:color="auto" w:fill="auto"/>
            <w:noWrap/>
            <w:vAlign w:val="bottom"/>
            <w:hideMark/>
          </w:tcPr>
          <w:p w14:paraId="7F07747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0,04–0,5 (¹⁰)</w:t>
            </w:r>
          </w:p>
        </w:tc>
      </w:tr>
      <w:tr w:rsidR="0055515A" w:rsidRPr="00691C2D" w14:paraId="58AD43D9"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F258ED5"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Kolay Salınan Sülfür (S²⁻)</w:t>
            </w:r>
          </w:p>
        </w:tc>
        <w:tc>
          <w:tcPr>
            <w:tcW w:w="4536" w:type="dxa"/>
            <w:tcBorders>
              <w:top w:val="nil"/>
              <w:left w:val="nil"/>
              <w:bottom w:val="single" w:sz="4" w:space="0" w:color="auto"/>
              <w:right w:val="single" w:sz="4" w:space="0" w:color="auto"/>
            </w:tcBorders>
            <w:shd w:val="clear" w:color="auto" w:fill="auto"/>
            <w:noWrap/>
            <w:vAlign w:val="bottom"/>
            <w:hideMark/>
          </w:tcPr>
          <w:p w14:paraId="6EE56FD2"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Sülfür boyaları ile boyama</w:t>
            </w:r>
          </w:p>
        </w:tc>
        <w:tc>
          <w:tcPr>
            <w:tcW w:w="1835" w:type="dxa"/>
            <w:tcBorders>
              <w:top w:val="nil"/>
              <w:left w:val="nil"/>
              <w:bottom w:val="single" w:sz="4" w:space="0" w:color="auto"/>
              <w:right w:val="single" w:sz="4" w:space="0" w:color="auto"/>
            </w:tcBorders>
            <w:shd w:val="clear" w:color="auto" w:fill="auto"/>
            <w:noWrap/>
            <w:vAlign w:val="bottom"/>
            <w:hideMark/>
          </w:tcPr>
          <w:p w14:paraId="72FFC173"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&lt; 1</w:t>
            </w:r>
          </w:p>
        </w:tc>
      </w:tr>
      <w:tr w:rsidR="0055515A" w:rsidRPr="00691C2D" w14:paraId="1AEE32D6"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A10CB67"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Toplam Azot (TN)</w:t>
            </w:r>
          </w:p>
        </w:tc>
        <w:tc>
          <w:tcPr>
            <w:tcW w:w="4536" w:type="dxa"/>
            <w:vMerge w:val="restart"/>
            <w:tcBorders>
              <w:top w:val="nil"/>
              <w:left w:val="nil"/>
              <w:right w:val="single" w:sz="4" w:space="0" w:color="auto"/>
            </w:tcBorders>
            <w:shd w:val="clear" w:color="auto" w:fill="auto"/>
            <w:noWrap/>
            <w:vAlign w:val="bottom"/>
            <w:hideMark/>
          </w:tcPr>
          <w:p w14:paraId="4157F3A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Tüm faaliyetler/prosesler</w:t>
            </w:r>
          </w:p>
          <w:p w14:paraId="662B2136"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 </w:t>
            </w:r>
          </w:p>
          <w:p w14:paraId="1FA602C4"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 </w:t>
            </w:r>
          </w:p>
          <w:p w14:paraId="3EC4CD21"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 </w:t>
            </w:r>
          </w:p>
        </w:tc>
        <w:tc>
          <w:tcPr>
            <w:tcW w:w="1835" w:type="dxa"/>
            <w:tcBorders>
              <w:top w:val="nil"/>
              <w:left w:val="nil"/>
              <w:bottom w:val="single" w:sz="4" w:space="0" w:color="auto"/>
              <w:right w:val="single" w:sz="4" w:space="0" w:color="auto"/>
            </w:tcBorders>
            <w:shd w:val="clear" w:color="auto" w:fill="auto"/>
            <w:noWrap/>
            <w:vAlign w:val="bottom"/>
            <w:hideMark/>
          </w:tcPr>
          <w:p w14:paraId="1EFE401C"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5–15 (¹¹)</w:t>
            </w:r>
          </w:p>
        </w:tc>
      </w:tr>
      <w:tr w:rsidR="0055515A" w:rsidRPr="00691C2D" w14:paraId="143AE62B"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F210C37" w14:textId="77777777" w:rsidR="0055515A" w:rsidRPr="00691C2D" w:rsidRDefault="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Toplam Organik Karbon (</w:t>
            </w:r>
            <w:r w:rsidR="000815E1" w:rsidRPr="00691C2D">
              <w:rPr>
                <w:rFonts w:ascii="Times New Roman" w:eastAsia="Times New Roman" w:hAnsi="Times New Roman" w:cs="Times New Roman"/>
                <w:bCs/>
                <w:color w:val="000000"/>
                <w:kern w:val="0"/>
                <w:lang w:eastAsia="tr-TR"/>
                <w14:ligatures w14:val="none"/>
              </w:rPr>
              <w:t>TOK</w:t>
            </w:r>
            <w:r w:rsidRPr="00691C2D">
              <w:rPr>
                <w:rFonts w:ascii="Times New Roman" w:eastAsia="Times New Roman" w:hAnsi="Times New Roman" w:cs="Times New Roman"/>
                <w:bCs/>
                <w:color w:val="000000"/>
                <w:kern w:val="0"/>
                <w:lang w:eastAsia="tr-TR"/>
                <w14:ligatures w14:val="none"/>
              </w:rPr>
              <w:t>)</w:t>
            </w:r>
          </w:p>
        </w:tc>
        <w:tc>
          <w:tcPr>
            <w:tcW w:w="4536" w:type="dxa"/>
            <w:vMerge/>
            <w:tcBorders>
              <w:left w:val="nil"/>
              <w:right w:val="single" w:sz="4" w:space="0" w:color="auto"/>
            </w:tcBorders>
            <w:shd w:val="clear" w:color="auto" w:fill="auto"/>
            <w:noWrap/>
            <w:vAlign w:val="bottom"/>
            <w:hideMark/>
          </w:tcPr>
          <w:p w14:paraId="71DE76F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835" w:type="dxa"/>
            <w:tcBorders>
              <w:top w:val="nil"/>
              <w:left w:val="nil"/>
              <w:bottom w:val="single" w:sz="4" w:space="0" w:color="auto"/>
              <w:right w:val="single" w:sz="4" w:space="0" w:color="auto"/>
            </w:tcBorders>
            <w:shd w:val="clear" w:color="auto" w:fill="auto"/>
            <w:noWrap/>
            <w:vAlign w:val="bottom"/>
            <w:hideMark/>
          </w:tcPr>
          <w:p w14:paraId="7E86CB87"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13–30 (⁶) (¹²)</w:t>
            </w:r>
          </w:p>
        </w:tc>
      </w:tr>
      <w:tr w:rsidR="0055515A" w:rsidRPr="00691C2D" w14:paraId="4174CE72"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29CB74B" w14:textId="77777777" w:rsidR="0055515A" w:rsidRPr="00691C2D"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Toplam Fosfor (TP)</w:t>
            </w:r>
          </w:p>
        </w:tc>
        <w:tc>
          <w:tcPr>
            <w:tcW w:w="4536" w:type="dxa"/>
            <w:vMerge/>
            <w:tcBorders>
              <w:left w:val="nil"/>
              <w:right w:val="single" w:sz="4" w:space="0" w:color="auto"/>
            </w:tcBorders>
            <w:shd w:val="clear" w:color="auto" w:fill="auto"/>
            <w:noWrap/>
            <w:vAlign w:val="bottom"/>
            <w:hideMark/>
          </w:tcPr>
          <w:p w14:paraId="41309083"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835" w:type="dxa"/>
            <w:tcBorders>
              <w:top w:val="nil"/>
              <w:left w:val="nil"/>
              <w:bottom w:val="single" w:sz="4" w:space="0" w:color="auto"/>
              <w:right w:val="single" w:sz="4" w:space="0" w:color="auto"/>
            </w:tcBorders>
            <w:shd w:val="clear" w:color="auto" w:fill="auto"/>
            <w:noWrap/>
            <w:vAlign w:val="bottom"/>
            <w:hideMark/>
          </w:tcPr>
          <w:p w14:paraId="7F24CA60"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0,4–2</w:t>
            </w:r>
          </w:p>
        </w:tc>
      </w:tr>
      <w:tr w:rsidR="0055515A" w:rsidRPr="00691C2D" w14:paraId="54FD6926" w14:textId="77777777" w:rsidTr="0024730D">
        <w:trPr>
          <w:trHeight w:val="32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920B1C6" w14:textId="77777777" w:rsidR="0055515A" w:rsidRPr="00691C2D" w:rsidRDefault="0055515A">
            <w:pPr>
              <w:spacing w:after="0" w:line="240" w:lineRule="auto"/>
              <w:rPr>
                <w:rFonts w:ascii="Times New Roman" w:eastAsia="Times New Roman" w:hAnsi="Times New Roman" w:cs="Times New Roman"/>
                <w:bCs/>
                <w:color w:val="000000"/>
                <w:kern w:val="0"/>
                <w:lang w:eastAsia="tr-TR"/>
                <w14:ligatures w14:val="none"/>
              </w:rPr>
            </w:pPr>
            <w:r w:rsidRPr="00691C2D">
              <w:rPr>
                <w:rFonts w:ascii="Times New Roman" w:eastAsia="Times New Roman" w:hAnsi="Times New Roman" w:cs="Times New Roman"/>
                <w:bCs/>
                <w:color w:val="000000"/>
                <w:kern w:val="0"/>
                <w:lang w:eastAsia="tr-TR"/>
                <w14:ligatures w14:val="none"/>
              </w:rPr>
              <w:t>Toplam Askıda Katı Maddeler (</w:t>
            </w:r>
            <w:r w:rsidR="00503287" w:rsidRPr="00691C2D">
              <w:rPr>
                <w:rFonts w:ascii="Times New Roman" w:eastAsia="Times New Roman" w:hAnsi="Times New Roman" w:cs="Times New Roman"/>
                <w:bCs/>
                <w:color w:val="000000"/>
                <w:kern w:val="0"/>
                <w:lang w:eastAsia="tr-TR"/>
                <w14:ligatures w14:val="none"/>
              </w:rPr>
              <w:t>TAKM</w:t>
            </w:r>
            <w:r w:rsidRPr="00691C2D">
              <w:rPr>
                <w:rFonts w:ascii="Times New Roman" w:eastAsia="Times New Roman" w:hAnsi="Times New Roman" w:cs="Times New Roman"/>
                <w:bCs/>
                <w:color w:val="000000"/>
                <w:kern w:val="0"/>
                <w:lang w:eastAsia="tr-TR"/>
                <w14:ligatures w14:val="none"/>
              </w:rPr>
              <w:t>)</w:t>
            </w:r>
          </w:p>
        </w:tc>
        <w:tc>
          <w:tcPr>
            <w:tcW w:w="4536" w:type="dxa"/>
            <w:vMerge/>
            <w:tcBorders>
              <w:left w:val="nil"/>
              <w:bottom w:val="single" w:sz="4" w:space="0" w:color="auto"/>
              <w:right w:val="single" w:sz="4" w:space="0" w:color="auto"/>
            </w:tcBorders>
            <w:shd w:val="clear" w:color="auto" w:fill="auto"/>
            <w:noWrap/>
            <w:vAlign w:val="bottom"/>
            <w:hideMark/>
          </w:tcPr>
          <w:p w14:paraId="3650C1E9"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835" w:type="dxa"/>
            <w:tcBorders>
              <w:top w:val="nil"/>
              <w:left w:val="nil"/>
              <w:bottom w:val="single" w:sz="4" w:space="0" w:color="auto"/>
              <w:right w:val="single" w:sz="4" w:space="0" w:color="auto"/>
            </w:tcBorders>
            <w:shd w:val="clear" w:color="auto" w:fill="auto"/>
            <w:noWrap/>
            <w:vAlign w:val="bottom"/>
            <w:hideMark/>
          </w:tcPr>
          <w:p w14:paraId="532BDE56" w14:textId="77777777" w:rsidR="0055515A" w:rsidRPr="00691C2D"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691C2D">
              <w:rPr>
                <w:rFonts w:ascii="Times New Roman" w:eastAsia="Times New Roman" w:hAnsi="Times New Roman" w:cs="Times New Roman"/>
                <w:color w:val="000000"/>
                <w:kern w:val="0"/>
                <w:lang w:eastAsia="tr-TR"/>
                <w14:ligatures w14:val="none"/>
              </w:rPr>
              <w:t>5–30</w:t>
            </w:r>
          </w:p>
        </w:tc>
      </w:tr>
      <w:tr w:rsidR="0055515A" w:rsidRPr="00691C2D" w14:paraId="2BC55FC6" w14:textId="77777777" w:rsidTr="0024730D">
        <w:trPr>
          <w:trHeight w:val="32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18B7C3D4" w14:textId="77777777" w:rsidR="0055515A" w:rsidRPr="00691C2D" w:rsidRDefault="0055515A" w:rsidP="006E2C99">
            <w:pPr>
              <w:spacing w:after="0" w:line="240" w:lineRule="auto"/>
              <w:rPr>
                <w:rFonts w:ascii="Times New Roman" w:eastAsia="Times New Roman" w:hAnsi="Times New Roman" w:cs="Times New Roman"/>
                <w:color w:val="000000"/>
                <w:kern w:val="0"/>
                <w:sz w:val="20"/>
                <w:szCs w:val="20"/>
                <w:lang w:eastAsia="tr-TR"/>
                <w14:ligatures w14:val="none"/>
              </w:rPr>
            </w:pPr>
            <w:r w:rsidRPr="00691C2D">
              <w:rPr>
                <w:rFonts w:ascii="Times New Roman" w:eastAsia="Times New Roman" w:hAnsi="Times New Roman" w:cs="Times New Roman"/>
                <w:color w:val="000000"/>
                <w:kern w:val="0"/>
                <w:sz w:val="20"/>
                <w:szCs w:val="20"/>
                <w:lang w:eastAsia="tr-TR"/>
                <w14:ligatures w14:val="none"/>
              </w:rPr>
              <w:t>(</w:t>
            </w:r>
            <w:r w:rsidRPr="00691C2D">
              <w:rPr>
                <w:rFonts w:ascii="Times New Roman" w:eastAsia="Times New Roman" w:hAnsi="Times New Roman" w:cs="Times New Roman"/>
                <w:color w:val="000000"/>
                <w:kern w:val="0"/>
                <w:sz w:val="20"/>
                <w:szCs w:val="20"/>
                <w:vertAlign w:val="superscript"/>
                <w:lang w:eastAsia="tr-TR"/>
                <w14:ligatures w14:val="none"/>
              </w:rPr>
              <w:t>1</w:t>
            </w:r>
            <w:r w:rsidRPr="00691C2D">
              <w:rPr>
                <w:rFonts w:ascii="Times New Roman" w:eastAsia="Times New Roman" w:hAnsi="Times New Roman" w:cs="Times New Roman"/>
                <w:color w:val="000000"/>
                <w:kern w:val="0"/>
                <w:sz w:val="20"/>
                <w:szCs w:val="20"/>
                <w:lang w:eastAsia="tr-TR"/>
                <w14:ligatures w14:val="none"/>
              </w:rPr>
              <w:t>) Ortalama alma periyotları genel değerlendirmelerde tanımlanmıştır.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2</w:t>
            </w:r>
            <w:r w:rsidRPr="00691C2D">
              <w:rPr>
                <w:rFonts w:ascii="Times New Roman" w:eastAsia="Times New Roman" w:hAnsi="Times New Roman" w:cs="Times New Roman"/>
                <w:color w:val="000000"/>
                <w:kern w:val="0"/>
                <w:sz w:val="20"/>
                <w:szCs w:val="20"/>
                <w:lang w:eastAsia="tr-TR"/>
                <w14:ligatures w14:val="none"/>
              </w:rPr>
              <w:t>) MET-İES'ler, yalnızca ilgili madde/parametre, MET 2’de belirtilen girdiler ve çıktılar envanterine dayanarak atık su akışında belirlenmişse uygulanır.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3</w:t>
            </w:r>
            <w:r w:rsidRPr="00691C2D">
              <w:rPr>
                <w:rFonts w:ascii="Times New Roman" w:eastAsia="Times New Roman" w:hAnsi="Times New Roman" w:cs="Times New Roman"/>
                <w:color w:val="000000"/>
                <w:kern w:val="0"/>
                <w:sz w:val="20"/>
                <w:szCs w:val="20"/>
                <w:lang w:eastAsia="tr-TR"/>
                <w14:ligatures w14:val="none"/>
              </w:rPr>
              <w:t>) AOX: MET-İES aralığının üst sınırı, polyester ve/veya modakrilik liflerin boyanması durumunda 0,8 mg/L'ye kadar çıkabilir.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4</w:t>
            </w:r>
            <w:r w:rsidRPr="00691C2D">
              <w:rPr>
                <w:rFonts w:ascii="Times New Roman" w:eastAsia="Times New Roman" w:hAnsi="Times New Roman" w:cs="Times New Roman"/>
                <w:color w:val="000000"/>
                <w:kern w:val="0"/>
                <w:sz w:val="20"/>
                <w:szCs w:val="20"/>
                <w:lang w:eastAsia="tr-TR"/>
                <w14:ligatures w14:val="none"/>
              </w:rPr>
              <w:t>) </w:t>
            </w:r>
            <w:r w:rsidR="000815E1" w:rsidRPr="00691C2D">
              <w:rPr>
                <w:rFonts w:ascii="Times New Roman" w:eastAsia="Times New Roman" w:hAnsi="Times New Roman" w:cs="Times New Roman"/>
                <w:color w:val="000000"/>
                <w:kern w:val="0"/>
                <w:sz w:val="20"/>
                <w:szCs w:val="20"/>
                <w:lang w:eastAsia="tr-TR"/>
                <w14:ligatures w14:val="none"/>
              </w:rPr>
              <w:t xml:space="preserve">KOİ </w:t>
            </w:r>
            <w:r w:rsidRPr="00691C2D">
              <w:rPr>
                <w:rFonts w:ascii="Times New Roman" w:eastAsia="Times New Roman" w:hAnsi="Times New Roman" w:cs="Times New Roman"/>
                <w:color w:val="000000"/>
                <w:kern w:val="0"/>
                <w:sz w:val="20"/>
                <w:szCs w:val="20"/>
                <w:lang w:eastAsia="tr-TR"/>
                <w14:ligatures w14:val="none"/>
              </w:rPr>
              <w:t xml:space="preserve">ve </w:t>
            </w:r>
            <w:r w:rsidR="000815E1" w:rsidRPr="00691C2D">
              <w:rPr>
                <w:rFonts w:ascii="Times New Roman" w:eastAsia="Times New Roman" w:hAnsi="Times New Roman" w:cs="Times New Roman"/>
                <w:color w:val="000000"/>
                <w:kern w:val="0"/>
                <w:sz w:val="20"/>
                <w:szCs w:val="20"/>
                <w:lang w:eastAsia="tr-TR"/>
                <w14:ligatures w14:val="none"/>
              </w:rPr>
              <w:t>TOK</w:t>
            </w:r>
            <w:r w:rsidRPr="00691C2D">
              <w:rPr>
                <w:rFonts w:ascii="Times New Roman" w:eastAsia="Times New Roman" w:hAnsi="Times New Roman" w:cs="Times New Roman"/>
                <w:color w:val="000000"/>
                <w:kern w:val="0"/>
                <w:sz w:val="20"/>
                <w:szCs w:val="20"/>
                <w:lang w:eastAsia="tr-TR"/>
                <w14:ligatures w14:val="none"/>
              </w:rPr>
              <w:t>: Ya kimyasal oksijen ihtiyacı (</w:t>
            </w:r>
            <w:r w:rsidR="009D570E" w:rsidRPr="00691C2D">
              <w:rPr>
                <w:rFonts w:ascii="Times New Roman" w:eastAsia="Times New Roman" w:hAnsi="Times New Roman" w:cs="Times New Roman"/>
                <w:color w:val="000000"/>
                <w:kern w:val="0"/>
                <w:sz w:val="20"/>
                <w:szCs w:val="20"/>
                <w:lang w:eastAsia="tr-TR"/>
                <w14:ligatures w14:val="none"/>
              </w:rPr>
              <w:t>KOİ</w:t>
            </w:r>
            <w:r w:rsidRPr="00691C2D">
              <w:rPr>
                <w:rFonts w:ascii="Times New Roman" w:eastAsia="Times New Roman" w:hAnsi="Times New Roman" w:cs="Times New Roman"/>
                <w:color w:val="000000"/>
                <w:kern w:val="0"/>
                <w:sz w:val="20"/>
                <w:szCs w:val="20"/>
                <w:lang w:eastAsia="tr-TR"/>
                <w14:ligatures w14:val="none"/>
              </w:rPr>
              <w:t>) için ya da toplam organik karbon (</w:t>
            </w:r>
            <w:r w:rsidR="009D570E" w:rsidRPr="00691C2D">
              <w:rPr>
                <w:rFonts w:ascii="Times New Roman" w:eastAsia="Times New Roman" w:hAnsi="Times New Roman" w:cs="Times New Roman"/>
                <w:color w:val="000000"/>
                <w:kern w:val="0"/>
                <w:sz w:val="20"/>
                <w:szCs w:val="20"/>
                <w:lang w:eastAsia="tr-TR"/>
                <w14:ligatures w14:val="none"/>
              </w:rPr>
              <w:t>TOK</w:t>
            </w:r>
            <w:r w:rsidRPr="00691C2D">
              <w:rPr>
                <w:rFonts w:ascii="Times New Roman" w:eastAsia="Times New Roman" w:hAnsi="Times New Roman" w:cs="Times New Roman"/>
                <w:color w:val="000000"/>
                <w:kern w:val="0"/>
                <w:sz w:val="20"/>
                <w:szCs w:val="20"/>
                <w:lang w:eastAsia="tr-TR"/>
                <w14:ligatures w14:val="none"/>
              </w:rPr>
              <w:t xml:space="preserve">) için MET-İES uygulanır. Tercih edilen seçenek </w:t>
            </w:r>
            <w:r w:rsidR="009D570E" w:rsidRPr="00691C2D">
              <w:rPr>
                <w:rFonts w:ascii="Times New Roman" w:eastAsia="Times New Roman" w:hAnsi="Times New Roman" w:cs="Times New Roman"/>
                <w:color w:val="000000"/>
                <w:kern w:val="0"/>
                <w:sz w:val="20"/>
                <w:szCs w:val="20"/>
                <w:lang w:eastAsia="tr-TR"/>
                <w14:ligatures w14:val="none"/>
              </w:rPr>
              <w:t>TOK</w:t>
            </w:r>
            <w:r w:rsidRPr="00691C2D">
              <w:rPr>
                <w:rFonts w:ascii="Times New Roman" w:eastAsia="Times New Roman" w:hAnsi="Times New Roman" w:cs="Times New Roman"/>
                <w:color w:val="000000"/>
                <w:kern w:val="0"/>
                <w:sz w:val="20"/>
                <w:szCs w:val="20"/>
                <w:lang w:eastAsia="tr-TR"/>
                <w14:ligatures w14:val="none"/>
              </w:rPr>
              <w:t xml:space="preserve">’dir, çünkü </w:t>
            </w:r>
            <w:r w:rsidR="009D570E" w:rsidRPr="00691C2D">
              <w:rPr>
                <w:rFonts w:ascii="Times New Roman" w:eastAsia="Times New Roman" w:hAnsi="Times New Roman" w:cs="Times New Roman"/>
                <w:color w:val="000000"/>
                <w:kern w:val="0"/>
                <w:sz w:val="20"/>
                <w:szCs w:val="20"/>
                <w:lang w:eastAsia="tr-TR"/>
                <w14:ligatures w14:val="none"/>
              </w:rPr>
              <w:t>TOK</w:t>
            </w:r>
            <w:r w:rsidRPr="00691C2D">
              <w:rPr>
                <w:rFonts w:ascii="Times New Roman" w:eastAsia="Times New Roman" w:hAnsi="Times New Roman" w:cs="Times New Roman"/>
                <w:color w:val="000000"/>
                <w:kern w:val="0"/>
                <w:sz w:val="20"/>
                <w:szCs w:val="20"/>
                <w:lang w:eastAsia="tr-TR"/>
                <w14:ligatures w14:val="none"/>
              </w:rPr>
              <w:t xml:space="preserve"> izleme işlemi çok toksik bileşiklerin kullanımına dayanmaz.</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5</w:t>
            </w:r>
            <w:r w:rsidRPr="00691C2D">
              <w:rPr>
                <w:rFonts w:ascii="Times New Roman" w:eastAsia="Times New Roman" w:hAnsi="Times New Roman" w:cs="Times New Roman"/>
                <w:color w:val="000000"/>
                <w:kern w:val="0"/>
                <w:sz w:val="20"/>
                <w:szCs w:val="20"/>
                <w:lang w:eastAsia="tr-TR"/>
                <w14:ligatures w14:val="none"/>
              </w:rPr>
              <w:t>) </w:t>
            </w:r>
            <w:r w:rsidR="000815E1" w:rsidRPr="00691C2D">
              <w:rPr>
                <w:rFonts w:ascii="Times New Roman" w:eastAsia="Times New Roman" w:hAnsi="Times New Roman" w:cs="Times New Roman"/>
                <w:color w:val="000000"/>
                <w:kern w:val="0"/>
                <w:sz w:val="20"/>
                <w:szCs w:val="20"/>
                <w:lang w:eastAsia="tr-TR"/>
                <w14:ligatures w14:val="none"/>
              </w:rPr>
              <w:t>KOİ</w:t>
            </w:r>
            <w:r w:rsidRPr="00691C2D">
              <w:rPr>
                <w:rFonts w:ascii="Times New Roman" w:eastAsia="Times New Roman" w:hAnsi="Times New Roman" w:cs="Times New Roman"/>
                <w:color w:val="000000"/>
                <w:kern w:val="0"/>
                <w:sz w:val="20"/>
                <w:szCs w:val="20"/>
                <w:lang w:eastAsia="tr-TR"/>
                <w14:ligatures w14:val="none"/>
              </w:rPr>
              <w:t>: MET-İES aralığının üst sınırı şu durumlarda 150 mg/L’ye kadar çıkabilir:</w:t>
            </w:r>
          </w:p>
          <w:p w14:paraId="5CE05A81" w14:textId="77777777" w:rsidR="0055515A" w:rsidRPr="00691C2D" w:rsidRDefault="0055515A" w:rsidP="006E2C99">
            <w:pPr>
              <w:numPr>
                <w:ilvl w:val="0"/>
                <w:numId w:val="36"/>
              </w:numPr>
              <w:spacing w:after="0" w:line="240" w:lineRule="auto"/>
              <w:rPr>
                <w:rFonts w:ascii="Times New Roman" w:eastAsia="Times New Roman" w:hAnsi="Times New Roman" w:cs="Times New Roman"/>
                <w:color w:val="000000"/>
                <w:kern w:val="0"/>
                <w:sz w:val="20"/>
                <w:szCs w:val="20"/>
                <w:lang w:eastAsia="tr-TR"/>
                <w14:ligatures w14:val="none"/>
              </w:rPr>
            </w:pPr>
            <w:r w:rsidRPr="00691C2D">
              <w:rPr>
                <w:rFonts w:ascii="Times New Roman" w:eastAsia="Times New Roman" w:hAnsi="Times New Roman" w:cs="Times New Roman"/>
                <w:color w:val="000000"/>
                <w:kern w:val="0"/>
                <w:sz w:val="20"/>
                <w:szCs w:val="20"/>
                <w:lang w:eastAsia="tr-TR"/>
                <w14:ligatures w14:val="none"/>
              </w:rPr>
              <w:t>Arıtılmış tekstil malzemeleri için deşarj edilen spesifik atık su miktarı, yıllık hareketli ortalama olarak 25 m³/t’nin altındaysa,Arıtma verimliliği yıllık hareketli ortalama olarak ≥ %95 ise.</w:t>
            </w:r>
          </w:p>
          <w:p w14:paraId="25FCF370" w14:textId="77777777" w:rsidR="0055515A" w:rsidRPr="00691C2D" w:rsidRDefault="0055515A" w:rsidP="006E2C99">
            <w:pPr>
              <w:spacing w:after="0" w:line="240" w:lineRule="auto"/>
              <w:rPr>
                <w:rFonts w:ascii="Times New Roman" w:eastAsia="Times New Roman" w:hAnsi="Times New Roman" w:cs="Times New Roman"/>
                <w:color w:val="000000"/>
                <w:kern w:val="0"/>
                <w:sz w:val="20"/>
                <w:szCs w:val="20"/>
                <w:lang w:eastAsia="tr-TR"/>
                <w14:ligatures w14:val="none"/>
              </w:rPr>
            </w:pPr>
            <w:r w:rsidRPr="00691C2D">
              <w:rPr>
                <w:rFonts w:ascii="Times New Roman" w:eastAsia="Times New Roman" w:hAnsi="Times New Roman" w:cs="Times New Roman"/>
                <w:color w:val="000000"/>
                <w:kern w:val="0"/>
                <w:sz w:val="20"/>
                <w:szCs w:val="20"/>
                <w:lang w:eastAsia="tr-TR"/>
                <w14:ligatures w14:val="none"/>
              </w:rPr>
              <w:t>(</w:t>
            </w:r>
            <w:r w:rsidRPr="00691C2D">
              <w:rPr>
                <w:rFonts w:ascii="Times New Roman" w:eastAsia="Times New Roman" w:hAnsi="Times New Roman" w:cs="Times New Roman"/>
                <w:color w:val="000000"/>
                <w:kern w:val="0"/>
                <w:sz w:val="20"/>
                <w:szCs w:val="20"/>
                <w:vertAlign w:val="superscript"/>
                <w:lang w:eastAsia="tr-TR"/>
                <w14:ligatures w14:val="none"/>
              </w:rPr>
              <w:t>6</w:t>
            </w:r>
            <w:r w:rsidRPr="00691C2D">
              <w:rPr>
                <w:rFonts w:ascii="Times New Roman" w:eastAsia="Times New Roman" w:hAnsi="Times New Roman" w:cs="Times New Roman"/>
                <w:color w:val="000000"/>
                <w:kern w:val="0"/>
                <w:sz w:val="20"/>
                <w:szCs w:val="20"/>
                <w:lang w:eastAsia="tr-TR"/>
                <w14:ligatures w14:val="none"/>
              </w:rPr>
              <w:t>) </w:t>
            </w:r>
            <w:r w:rsidR="000815E1" w:rsidRPr="00691C2D">
              <w:rPr>
                <w:rFonts w:ascii="Times New Roman" w:eastAsia="Times New Roman" w:hAnsi="Times New Roman" w:cs="Times New Roman"/>
                <w:color w:val="000000"/>
                <w:kern w:val="0"/>
                <w:sz w:val="20"/>
                <w:szCs w:val="20"/>
                <w:lang w:eastAsia="tr-TR"/>
                <w14:ligatures w14:val="none"/>
              </w:rPr>
              <w:t>BOİ</w:t>
            </w:r>
            <w:r w:rsidRPr="00691C2D">
              <w:rPr>
                <w:rFonts w:ascii="Times New Roman" w:eastAsia="Times New Roman" w:hAnsi="Times New Roman" w:cs="Times New Roman"/>
                <w:color w:val="000000"/>
                <w:kern w:val="0"/>
                <w:sz w:val="20"/>
                <w:szCs w:val="20"/>
                <w:lang w:eastAsia="tr-TR"/>
                <w14:ligatures w14:val="none"/>
              </w:rPr>
              <w:t>: Biyokimyasal oksijen ihtiyacı (</w:t>
            </w:r>
            <w:r w:rsidR="000815E1" w:rsidRPr="00691C2D">
              <w:rPr>
                <w:rFonts w:ascii="Times New Roman" w:eastAsia="Times New Roman" w:hAnsi="Times New Roman" w:cs="Times New Roman"/>
                <w:color w:val="000000"/>
                <w:kern w:val="0"/>
                <w:sz w:val="20"/>
                <w:szCs w:val="20"/>
                <w:lang w:eastAsia="tr-TR"/>
                <w14:ligatures w14:val="none"/>
              </w:rPr>
              <w:t>BOİ</w:t>
            </w:r>
            <w:r w:rsidRPr="00691C2D">
              <w:rPr>
                <w:rFonts w:ascii="Times New Roman" w:eastAsia="Times New Roman" w:hAnsi="Times New Roman" w:cs="Times New Roman"/>
                <w:color w:val="000000"/>
                <w:kern w:val="0"/>
                <w:sz w:val="20"/>
                <w:szCs w:val="20"/>
                <w:lang w:eastAsia="tr-TR"/>
                <w14:ligatures w14:val="none"/>
              </w:rPr>
              <w:t xml:space="preserve">) için MET-İES uygulanmaz. Ancak bir biyolojik atık su arıtma tesisinden çıkan atık sudaki yıllık ortalama </w:t>
            </w:r>
            <w:r w:rsidR="000815E1" w:rsidRPr="00691C2D">
              <w:rPr>
                <w:rFonts w:ascii="Times New Roman" w:eastAsia="Times New Roman" w:hAnsi="Times New Roman" w:cs="Times New Roman"/>
                <w:color w:val="000000"/>
                <w:kern w:val="0"/>
                <w:sz w:val="20"/>
                <w:szCs w:val="20"/>
                <w:lang w:eastAsia="tr-TR"/>
                <w14:ligatures w14:val="none"/>
              </w:rPr>
              <w:t>BİO</w:t>
            </w:r>
            <w:r w:rsidRPr="00691C2D">
              <w:rPr>
                <w:rFonts w:ascii="Times New Roman" w:eastAsia="Times New Roman" w:hAnsi="Times New Roman" w:cs="Times New Roman"/>
                <w:color w:val="000000"/>
                <w:kern w:val="0"/>
                <w:sz w:val="20"/>
                <w:szCs w:val="20"/>
                <w:lang w:eastAsia="tr-TR"/>
                <w14:ligatures w14:val="none"/>
              </w:rPr>
              <w:t>₅ seviyesi genellikle ≤ 10 mg/L olacaktır.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7</w:t>
            </w:r>
            <w:r w:rsidRPr="00691C2D">
              <w:rPr>
                <w:rFonts w:ascii="Times New Roman" w:eastAsia="Times New Roman" w:hAnsi="Times New Roman" w:cs="Times New Roman"/>
                <w:color w:val="000000"/>
                <w:kern w:val="0"/>
                <w:sz w:val="20"/>
                <w:szCs w:val="20"/>
                <w:lang w:eastAsia="tr-TR"/>
                <w14:ligatures w14:val="none"/>
              </w:rPr>
              <w:t>) Antimon (Sb): MET-İES aralığının üst sınırı, polyester ve/veya modakrilik liflerin boyanması durumunda 1,2 mg/L’ye kadar çıkabilir.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8</w:t>
            </w:r>
            <w:r w:rsidRPr="00691C2D">
              <w:rPr>
                <w:rFonts w:ascii="Times New Roman" w:eastAsia="Times New Roman" w:hAnsi="Times New Roman" w:cs="Times New Roman"/>
                <w:color w:val="000000"/>
                <w:kern w:val="0"/>
                <w:sz w:val="20"/>
                <w:szCs w:val="20"/>
                <w:lang w:eastAsia="tr-TR"/>
                <w14:ligatures w14:val="none"/>
              </w:rPr>
              <w:t>) Krom (Cr): MET-İES aralığının üst sınırı, poliamid, yün veya ipek liflerinin metal kompleks boyalar kullanılarak boyanması durumunda 0,3 mg/L’ye kadar çıkabilir.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9</w:t>
            </w:r>
            <w:r w:rsidRPr="00691C2D">
              <w:rPr>
                <w:rFonts w:ascii="Times New Roman" w:eastAsia="Times New Roman" w:hAnsi="Times New Roman" w:cs="Times New Roman"/>
                <w:color w:val="000000"/>
                <w:kern w:val="0"/>
                <w:sz w:val="20"/>
                <w:szCs w:val="20"/>
                <w:lang w:eastAsia="tr-TR"/>
                <w14:ligatures w14:val="none"/>
              </w:rPr>
              <w:t>) Nikel (Ni): MET-İES aralığının üst sınırı, nikel içeren reaktif boyalar veya pigmentlerle yapılan boyama veya baskı işlemlerinde 0,2 mg/L’ye kadar çıkabilir.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10</w:t>
            </w:r>
            <w:r w:rsidRPr="00691C2D">
              <w:rPr>
                <w:rFonts w:ascii="Times New Roman" w:eastAsia="Times New Roman" w:hAnsi="Times New Roman" w:cs="Times New Roman"/>
                <w:color w:val="000000"/>
                <w:kern w:val="0"/>
                <w:sz w:val="20"/>
                <w:szCs w:val="20"/>
                <w:lang w:eastAsia="tr-TR"/>
                <w14:ligatures w14:val="none"/>
              </w:rPr>
              <w:t xml:space="preserve">) Çinko (Zn): MET-İES aralığının üst sınırı, viskon liflerin işlenmesi veya çinko içeren katyonik boyalarla </w:t>
            </w:r>
            <w:r w:rsidRPr="00691C2D">
              <w:rPr>
                <w:rFonts w:ascii="Times New Roman" w:eastAsia="Times New Roman" w:hAnsi="Times New Roman" w:cs="Times New Roman"/>
                <w:color w:val="000000"/>
                <w:kern w:val="0"/>
                <w:sz w:val="20"/>
                <w:szCs w:val="20"/>
                <w:lang w:eastAsia="tr-TR"/>
                <w14:ligatures w14:val="none"/>
              </w:rPr>
              <w:lastRenderedPageBreak/>
              <w:t>yapılan boyama işlemlerinde 0,8 mg/L’ye kadar çıkabilir.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11</w:t>
            </w:r>
            <w:r w:rsidRPr="00691C2D">
              <w:rPr>
                <w:rFonts w:ascii="Times New Roman" w:eastAsia="Times New Roman" w:hAnsi="Times New Roman" w:cs="Times New Roman"/>
                <w:color w:val="000000"/>
                <w:kern w:val="0"/>
                <w:sz w:val="20"/>
                <w:szCs w:val="20"/>
                <w:lang w:eastAsia="tr-TR"/>
                <w14:ligatures w14:val="none"/>
              </w:rPr>
              <w:t>) Toplam Azot (TN): MET-İES, atık su sıcaklığı uzun süre boyunca düşük olduğunda (örneğin 12°C’nin altında) uygulanmayabilir.</w:t>
            </w:r>
            <w:r w:rsidRPr="00691C2D">
              <w:rPr>
                <w:rFonts w:ascii="Times New Roman" w:eastAsia="Times New Roman" w:hAnsi="Times New Roman" w:cs="Times New Roman"/>
                <w:color w:val="000000"/>
                <w:kern w:val="0"/>
                <w:sz w:val="20"/>
                <w:szCs w:val="20"/>
                <w:lang w:eastAsia="tr-TR"/>
                <w14:ligatures w14:val="none"/>
              </w:rPr>
              <w:br/>
              <w:t>(</w:t>
            </w:r>
            <w:r w:rsidRPr="00691C2D">
              <w:rPr>
                <w:rFonts w:ascii="Times New Roman" w:eastAsia="Times New Roman" w:hAnsi="Times New Roman" w:cs="Times New Roman"/>
                <w:color w:val="000000"/>
                <w:kern w:val="0"/>
                <w:sz w:val="20"/>
                <w:szCs w:val="20"/>
                <w:vertAlign w:val="superscript"/>
                <w:lang w:eastAsia="tr-TR"/>
                <w14:ligatures w14:val="none"/>
              </w:rPr>
              <w:t>12</w:t>
            </w:r>
            <w:r w:rsidRPr="00691C2D">
              <w:rPr>
                <w:rFonts w:ascii="Times New Roman" w:eastAsia="Times New Roman" w:hAnsi="Times New Roman" w:cs="Times New Roman"/>
                <w:color w:val="000000"/>
                <w:kern w:val="0"/>
                <w:sz w:val="20"/>
                <w:szCs w:val="20"/>
                <w:lang w:eastAsia="tr-TR"/>
                <w14:ligatures w14:val="none"/>
              </w:rPr>
              <w:t>) </w:t>
            </w:r>
            <w:r w:rsidR="000815E1" w:rsidRPr="00691C2D">
              <w:rPr>
                <w:rFonts w:ascii="Times New Roman" w:eastAsia="Times New Roman" w:hAnsi="Times New Roman" w:cs="Times New Roman"/>
                <w:color w:val="000000"/>
                <w:kern w:val="0"/>
                <w:sz w:val="20"/>
                <w:szCs w:val="20"/>
                <w:lang w:eastAsia="tr-TR"/>
                <w14:ligatures w14:val="none"/>
              </w:rPr>
              <w:t>TOK</w:t>
            </w:r>
            <w:r w:rsidRPr="00691C2D">
              <w:rPr>
                <w:rFonts w:ascii="Times New Roman" w:eastAsia="Times New Roman" w:hAnsi="Times New Roman" w:cs="Times New Roman"/>
                <w:color w:val="000000"/>
                <w:kern w:val="0"/>
                <w:sz w:val="20"/>
                <w:szCs w:val="20"/>
                <w:lang w:eastAsia="tr-TR"/>
                <w14:ligatures w14:val="none"/>
              </w:rPr>
              <w:t>: MET-İES aralığının üst sınırı şu durumlarda 50 mg/L’ye kadar çıkabilir:</w:t>
            </w:r>
          </w:p>
          <w:p w14:paraId="7413CABA" w14:textId="77777777" w:rsidR="0055515A" w:rsidRPr="00691C2D" w:rsidRDefault="0055515A" w:rsidP="00887149">
            <w:pPr>
              <w:numPr>
                <w:ilvl w:val="0"/>
                <w:numId w:val="36"/>
              </w:numPr>
              <w:spacing w:before="100" w:beforeAutospacing="1" w:after="100" w:afterAutospacing="1" w:line="240" w:lineRule="auto"/>
              <w:rPr>
                <w:rFonts w:ascii="Times New Roman" w:eastAsia="Times New Roman" w:hAnsi="Times New Roman" w:cs="Times New Roman"/>
                <w:color w:val="000000"/>
                <w:kern w:val="0"/>
                <w:sz w:val="20"/>
                <w:szCs w:val="20"/>
                <w:lang w:eastAsia="tr-TR"/>
                <w14:ligatures w14:val="none"/>
              </w:rPr>
            </w:pPr>
            <w:r w:rsidRPr="00691C2D">
              <w:rPr>
                <w:rFonts w:ascii="Times New Roman" w:eastAsia="Times New Roman" w:hAnsi="Times New Roman" w:cs="Times New Roman"/>
                <w:color w:val="000000"/>
                <w:kern w:val="0"/>
                <w:sz w:val="20"/>
                <w:szCs w:val="20"/>
                <w:lang w:eastAsia="tr-TR"/>
                <w14:ligatures w14:val="none"/>
              </w:rPr>
              <w:t>Arıtılmış tekstil malzemeleri için deşarj edilen spesifik atık su miktarı, yıllık hareketli ortalama olarak 25 m³/t’nin altındaysa,</w:t>
            </w:r>
          </w:p>
          <w:p w14:paraId="008C91E3" w14:textId="57CF9B07" w:rsidR="0055515A" w:rsidRPr="00691C2D" w:rsidRDefault="0055515A" w:rsidP="006E2C99">
            <w:pPr>
              <w:numPr>
                <w:ilvl w:val="0"/>
                <w:numId w:val="36"/>
              </w:numPr>
              <w:spacing w:after="0" w:line="240" w:lineRule="auto"/>
              <w:rPr>
                <w:rFonts w:ascii="Times New Roman" w:eastAsia="Times New Roman" w:hAnsi="Times New Roman" w:cs="Times New Roman"/>
                <w:color w:val="000000"/>
                <w:kern w:val="0"/>
                <w:sz w:val="20"/>
                <w:szCs w:val="20"/>
                <w:lang w:eastAsia="tr-TR"/>
                <w14:ligatures w14:val="none"/>
              </w:rPr>
            </w:pPr>
            <w:r w:rsidRPr="00691C2D">
              <w:rPr>
                <w:rFonts w:ascii="Times New Roman" w:eastAsia="Times New Roman" w:hAnsi="Times New Roman" w:cs="Times New Roman"/>
                <w:color w:val="000000"/>
                <w:kern w:val="0"/>
                <w:sz w:val="20"/>
                <w:szCs w:val="20"/>
                <w:lang w:eastAsia="tr-TR"/>
                <w14:ligatures w14:val="none"/>
              </w:rPr>
              <w:t>Arıtma verimliliği yıllık hareketli ortalama olarak ≥ %95 ise.</w:t>
            </w:r>
          </w:p>
        </w:tc>
      </w:tr>
    </w:tbl>
    <w:p w14:paraId="4DF7EC26"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lastRenderedPageBreak/>
        <w:t>İlgili izleme yöntemi MET 8'de verilmiştir.</w:t>
      </w:r>
    </w:p>
    <w:p w14:paraId="3B2B3C25" w14:textId="77777777" w:rsidR="0055515A" w:rsidRPr="0055515A" w:rsidRDefault="0055515A" w:rsidP="0055515A">
      <w:pPr>
        <w:keepNext/>
        <w:keepLines/>
        <w:spacing w:before="40" w:after="0" w:line="240" w:lineRule="auto"/>
        <w:jc w:val="center"/>
        <w:outlineLvl w:val="2"/>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Tablo 1.4</w:t>
      </w:r>
    </w:p>
    <w:p w14:paraId="04AF1A6E" w14:textId="77777777" w:rsidR="0055515A" w:rsidRPr="0055515A" w:rsidRDefault="0055515A" w:rsidP="0055515A">
      <w:pPr>
        <w:spacing w:before="100" w:beforeAutospacing="1" w:after="100" w:afterAutospacing="1" w:line="240" w:lineRule="auto"/>
        <w:jc w:val="center"/>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Dolaylı Deşarjlar İçin MET ile İlişkili Emisyon Seviyeleri (MET-İES’ler)</w:t>
      </w:r>
    </w:p>
    <w:tbl>
      <w:tblPr>
        <w:tblW w:w="9060" w:type="dxa"/>
        <w:tblCellMar>
          <w:left w:w="70" w:type="dxa"/>
          <w:right w:w="70" w:type="dxa"/>
        </w:tblCellMar>
        <w:tblLook w:val="04A0" w:firstRow="1" w:lastRow="0" w:firstColumn="1" w:lastColumn="0" w:noHBand="0" w:noVBand="1"/>
      </w:tblPr>
      <w:tblGrid>
        <w:gridCol w:w="2966"/>
        <w:gridCol w:w="4826"/>
        <w:gridCol w:w="1268"/>
      </w:tblGrid>
      <w:tr w:rsidR="0055515A" w:rsidRPr="0055515A" w14:paraId="178EEAF0" w14:textId="77777777" w:rsidTr="0024730D">
        <w:trPr>
          <w:trHeight w:val="320"/>
        </w:trPr>
        <w:tc>
          <w:tcPr>
            <w:tcW w:w="29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5B046"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Madde/Parametre</w:t>
            </w:r>
          </w:p>
        </w:tc>
        <w:tc>
          <w:tcPr>
            <w:tcW w:w="4826" w:type="dxa"/>
            <w:tcBorders>
              <w:top w:val="single" w:sz="4" w:space="0" w:color="auto"/>
              <w:left w:val="nil"/>
              <w:bottom w:val="single" w:sz="4" w:space="0" w:color="auto"/>
              <w:right w:val="single" w:sz="4" w:space="0" w:color="auto"/>
            </w:tcBorders>
            <w:shd w:val="clear" w:color="auto" w:fill="auto"/>
            <w:noWrap/>
            <w:vAlign w:val="bottom"/>
            <w:hideMark/>
          </w:tcPr>
          <w:p w14:paraId="25983DC1"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Faaliyetler/İşlemler</w:t>
            </w:r>
          </w:p>
        </w:tc>
        <w:tc>
          <w:tcPr>
            <w:tcW w:w="1268" w:type="dxa"/>
            <w:tcBorders>
              <w:top w:val="single" w:sz="4" w:space="0" w:color="auto"/>
              <w:left w:val="nil"/>
              <w:bottom w:val="single" w:sz="4" w:space="0" w:color="auto"/>
              <w:right w:val="single" w:sz="4" w:space="0" w:color="auto"/>
            </w:tcBorders>
            <w:shd w:val="clear" w:color="auto" w:fill="auto"/>
            <w:noWrap/>
            <w:vAlign w:val="bottom"/>
            <w:hideMark/>
          </w:tcPr>
          <w:p w14:paraId="5C85E429"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MET-İES (mg/L)</w:t>
            </w:r>
          </w:p>
        </w:tc>
      </w:tr>
      <w:tr w:rsidR="0055515A" w:rsidRPr="0055515A" w14:paraId="602587D5" w14:textId="77777777" w:rsidTr="0024730D">
        <w:trPr>
          <w:trHeight w:val="320"/>
        </w:trPr>
        <w:tc>
          <w:tcPr>
            <w:tcW w:w="2966" w:type="dxa"/>
            <w:tcBorders>
              <w:top w:val="nil"/>
              <w:left w:val="single" w:sz="4" w:space="0" w:color="auto"/>
              <w:bottom w:val="single" w:sz="4" w:space="0" w:color="auto"/>
              <w:right w:val="single" w:sz="4" w:space="0" w:color="auto"/>
            </w:tcBorders>
            <w:shd w:val="clear" w:color="auto" w:fill="auto"/>
            <w:noWrap/>
            <w:vAlign w:val="bottom"/>
            <w:hideMark/>
          </w:tcPr>
          <w:p w14:paraId="60D7BE32"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Adsorbe Edilebilir Organik Halojenler (AOX)</w:t>
            </w:r>
            <w:r w:rsidRPr="008679D6">
              <w:rPr>
                <w:rFonts w:ascii="Times New Roman" w:eastAsia="Times New Roman" w:hAnsi="Times New Roman" w:cs="Times New Roman"/>
                <w:color w:val="000000"/>
                <w:kern w:val="0"/>
                <w:lang w:eastAsia="tr-TR"/>
                <w14:ligatures w14:val="none"/>
              </w:rPr>
              <w:t> (³)</w:t>
            </w:r>
          </w:p>
        </w:tc>
        <w:tc>
          <w:tcPr>
            <w:tcW w:w="4826" w:type="dxa"/>
            <w:vMerge w:val="restart"/>
            <w:tcBorders>
              <w:top w:val="nil"/>
              <w:left w:val="nil"/>
              <w:right w:val="single" w:sz="4" w:space="0" w:color="auto"/>
            </w:tcBorders>
            <w:shd w:val="clear" w:color="auto" w:fill="auto"/>
            <w:noWrap/>
            <w:vAlign w:val="bottom"/>
            <w:hideMark/>
          </w:tcPr>
          <w:p w14:paraId="4FA8692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Tüm işlemler</w:t>
            </w:r>
          </w:p>
          <w:p w14:paraId="0AD76AC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268" w:type="dxa"/>
            <w:tcBorders>
              <w:top w:val="nil"/>
              <w:left w:val="nil"/>
              <w:bottom w:val="single" w:sz="4" w:space="0" w:color="auto"/>
              <w:right w:val="single" w:sz="4" w:space="0" w:color="auto"/>
            </w:tcBorders>
            <w:shd w:val="clear" w:color="auto" w:fill="auto"/>
            <w:noWrap/>
            <w:vAlign w:val="bottom"/>
            <w:hideMark/>
          </w:tcPr>
          <w:p w14:paraId="0527BA5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0,1–0,4 (⁴)</w:t>
            </w:r>
          </w:p>
        </w:tc>
      </w:tr>
      <w:tr w:rsidR="0055515A" w:rsidRPr="0055515A" w14:paraId="3161D808" w14:textId="77777777" w:rsidTr="0024730D">
        <w:trPr>
          <w:trHeight w:val="320"/>
        </w:trPr>
        <w:tc>
          <w:tcPr>
            <w:tcW w:w="2966" w:type="dxa"/>
            <w:tcBorders>
              <w:top w:val="nil"/>
              <w:left w:val="single" w:sz="4" w:space="0" w:color="auto"/>
              <w:bottom w:val="single" w:sz="4" w:space="0" w:color="auto"/>
              <w:right w:val="single" w:sz="4" w:space="0" w:color="auto"/>
            </w:tcBorders>
            <w:shd w:val="clear" w:color="auto" w:fill="auto"/>
            <w:noWrap/>
            <w:vAlign w:val="bottom"/>
            <w:hideMark/>
          </w:tcPr>
          <w:p w14:paraId="1AD8CE7F"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Hidrokarbon Yağ İndeksi (HOI)</w:t>
            </w:r>
            <w:r w:rsidRPr="008679D6">
              <w:rPr>
                <w:rFonts w:ascii="Times New Roman" w:eastAsia="Times New Roman" w:hAnsi="Times New Roman" w:cs="Times New Roman"/>
                <w:color w:val="000000"/>
                <w:kern w:val="0"/>
                <w:lang w:eastAsia="tr-TR"/>
                <w14:ligatures w14:val="none"/>
              </w:rPr>
              <w:t> (³)</w:t>
            </w:r>
          </w:p>
        </w:tc>
        <w:tc>
          <w:tcPr>
            <w:tcW w:w="4826" w:type="dxa"/>
            <w:vMerge/>
            <w:tcBorders>
              <w:left w:val="nil"/>
              <w:bottom w:val="single" w:sz="4" w:space="0" w:color="auto"/>
              <w:right w:val="single" w:sz="4" w:space="0" w:color="auto"/>
            </w:tcBorders>
            <w:shd w:val="clear" w:color="auto" w:fill="auto"/>
            <w:noWrap/>
            <w:vAlign w:val="bottom"/>
            <w:hideMark/>
          </w:tcPr>
          <w:p w14:paraId="0A76A8F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1268" w:type="dxa"/>
            <w:tcBorders>
              <w:top w:val="nil"/>
              <w:left w:val="nil"/>
              <w:bottom w:val="single" w:sz="4" w:space="0" w:color="auto"/>
              <w:right w:val="single" w:sz="4" w:space="0" w:color="auto"/>
            </w:tcBorders>
            <w:shd w:val="clear" w:color="auto" w:fill="auto"/>
            <w:noWrap/>
            <w:vAlign w:val="bottom"/>
            <w:hideMark/>
          </w:tcPr>
          <w:p w14:paraId="053DDD5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1–7</w:t>
            </w:r>
          </w:p>
        </w:tc>
      </w:tr>
      <w:tr w:rsidR="0055515A" w:rsidRPr="0055515A" w14:paraId="32679A2A" w14:textId="77777777" w:rsidTr="0024730D">
        <w:trPr>
          <w:trHeight w:val="320"/>
        </w:trPr>
        <w:tc>
          <w:tcPr>
            <w:tcW w:w="906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1A97AEF"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Metaller/Metalloitler</w:t>
            </w:r>
          </w:p>
          <w:p w14:paraId="2DDDD600" w14:textId="77777777" w:rsidR="0055515A" w:rsidRPr="008679D6"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8679D6">
              <w:rPr>
                <w:rFonts w:ascii="Times New Roman" w:eastAsia="Times New Roman" w:hAnsi="Times New Roman" w:cs="Times New Roman"/>
                <w:color w:val="000000"/>
                <w:kern w:val="0"/>
                <w:lang w:eastAsia="tr-TR"/>
                <w14:ligatures w14:val="none"/>
              </w:rPr>
              <w:t> </w:t>
            </w:r>
          </w:p>
        </w:tc>
      </w:tr>
      <w:tr w:rsidR="0055515A" w:rsidRPr="0055515A" w14:paraId="65B0EBA8" w14:textId="77777777" w:rsidTr="0024730D">
        <w:trPr>
          <w:trHeight w:val="1162"/>
        </w:trPr>
        <w:tc>
          <w:tcPr>
            <w:tcW w:w="2966" w:type="dxa"/>
            <w:tcBorders>
              <w:top w:val="nil"/>
              <w:left w:val="single" w:sz="4" w:space="0" w:color="auto"/>
              <w:right w:val="single" w:sz="4" w:space="0" w:color="auto"/>
            </w:tcBorders>
            <w:shd w:val="clear" w:color="auto" w:fill="auto"/>
            <w:noWrap/>
            <w:vAlign w:val="bottom"/>
            <w:hideMark/>
          </w:tcPr>
          <w:p w14:paraId="4B9200C5"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Antimon (Sb)</w:t>
            </w:r>
          </w:p>
          <w:p w14:paraId="3B34524B"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color w:val="000000"/>
                <w:kern w:val="0"/>
                <w:lang w:eastAsia="tr-TR"/>
                <w14:ligatures w14:val="none"/>
              </w:rPr>
              <w:t> </w:t>
            </w:r>
          </w:p>
        </w:tc>
        <w:tc>
          <w:tcPr>
            <w:tcW w:w="4826" w:type="dxa"/>
            <w:tcBorders>
              <w:top w:val="nil"/>
              <w:left w:val="nil"/>
              <w:right w:val="single" w:sz="4" w:space="0" w:color="auto"/>
            </w:tcBorders>
            <w:shd w:val="clear" w:color="auto" w:fill="auto"/>
            <w:noWrap/>
            <w:vAlign w:val="bottom"/>
            <w:hideMark/>
          </w:tcPr>
          <w:p w14:paraId="6145E11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Polyester tekstil malzemelerinin ön işlemi ve/veya boyanması</w:t>
            </w:r>
          </w:p>
          <w:p w14:paraId="50D8DAA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Antimon trioksit içeren alev geciktiricilerle apre işlemi</w:t>
            </w:r>
          </w:p>
        </w:tc>
        <w:tc>
          <w:tcPr>
            <w:tcW w:w="1268" w:type="dxa"/>
            <w:tcBorders>
              <w:top w:val="single" w:sz="4" w:space="0" w:color="auto"/>
              <w:left w:val="nil"/>
              <w:bottom w:val="single" w:sz="4" w:space="0" w:color="auto"/>
              <w:right w:val="single" w:sz="4" w:space="0" w:color="auto"/>
            </w:tcBorders>
            <w:shd w:val="clear" w:color="auto" w:fill="auto"/>
            <w:noWrap/>
            <w:vAlign w:val="bottom"/>
            <w:hideMark/>
          </w:tcPr>
          <w:p w14:paraId="2A49852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0,1–0,2 (⁵)</w:t>
            </w:r>
          </w:p>
          <w:p w14:paraId="6185D10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7B8DE342" w14:textId="77777777" w:rsidTr="0024730D">
        <w:trPr>
          <w:trHeight w:val="320"/>
        </w:trPr>
        <w:tc>
          <w:tcPr>
            <w:tcW w:w="29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4D7E5F"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Krom (Cr)</w:t>
            </w:r>
          </w:p>
        </w:tc>
        <w:tc>
          <w:tcPr>
            <w:tcW w:w="4826" w:type="dxa"/>
            <w:tcBorders>
              <w:top w:val="single" w:sz="4" w:space="0" w:color="auto"/>
              <w:left w:val="nil"/>
              <w:bottom w:val="single" w:sz="4" w:space="0" w:color="auto"/>
              <w:right w:val="single" w:sz="4" w:space="0" w:color="auto"/>
            </w:tcBorders>
            <w:shd w:val="clear" w:color="auto" w:fill="auto"/>
            <w:noWrap/>
            <w:vAlign w:val="bottom"/>
            <w:hideMark/>
          </w:tcPr>
          <w:p w14:paraId="6AF5E36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Krom mordantı veya krom içeren boyalarla (örneğin metal kompleks boyalar) boyama</w:t>
            </w:r>
          </w:p>
        </w:tc>
        <w:tc>
          <w:tcPr>
            <w:tcW w:w="1268" w:type="dxa"/>
            <w:tcBorders>
              <w:top w:val="single" w:sz="4" w:space="0" w:color="auto"/>
              <w:left w:val="nil"/>
              <w:bottom w:val="single" w:sz="4" w:space="0" w:color="auto"/>
              <w:right w:val="single" w:sz="4" w:space="0" w:color="auto"/>
            </w:tcBorders>
            <w:shd w:val="clear" w:color="auto" w:fill="auto"/>
            <w:noWrap/>
            <w:vAlign w:val="bottom"/>
            <w:hideMark/>
          </w:tcPr>
          <w:p w14:paraId="76216E3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0,01–0,1 (⁶)</w:t>
            </w:r>
          </w:p>
        </w:tc>
      </w:tr>
      <w:tr w:rsidR="0055515A" w:rsidRPr="0055515A" w14:paraId="36D1F5CC" w14:textId="77777777" w:rsidTr="0024730D">
        <w:trPr>
          <w:trHeight w:val="320"/>
        </w:trPr>
        <w:tc>
          <w:tcPr>
            <w:tcW w:w="2966" w:type="dxa"/>
            <w:tcBorders>
              <w:top w:val="nil"/>
              <w:left w:val="single" w:sz="4" w:space="0" w:color="auto"/>
              <w:bottom w:val="single" w:sz="4" w:space="0" w:color="auto"/>
              <w:right w:val="single" w:sz="4" w:space="0" w:color="auto"/>
            </w:tcBorders>
            <w:shd w:val="clear" w:color="auto" w:fill="auto"/>
            <w:noWrap/>
            <w:vAlign w:val="bottom"/>
            <w:hideMark/>
          </w:tcPr>
          <w:p w14:paraId="0D544C7F"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Bakır (Cu)</w:t>
            </w:r>
          </w:p>
        </w:tc>
        <w:tc>
          <w:tcPr>
            <w:tcW w:w="4826" w:type="dxa"/>
            <w:tcBorders>
              <w:top w:val="nil"/>
              <w:left w:val="nil"/>
              <w:bottom w:val="single" w:sz="4" w:space="0" w:color="auto"/>
              <w:right w:val="single" w:sz="4" w:space="0" w:color="auto"/>
            </w:tcBorders>
            <w:shd w:val="clear" w:color="auto" w:fill="auto"/>
            <w:noWrap/>
            <w:vAlign w:val="bottom"/>
            <w:hideMark/>
          </w:tcPr>
          <w:p w14:paraId="76075EC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Boyama, boyalarla baskı</w:t>
            </w:r>
          </w:p>
        </w:tc>
        <w:tc>
          <w:tcPr>
            <w:tcW w:w="1268" w:type="dxa"/>
            <w:tcBorders>
              <w:top w:val="nil"/>
              <w:left w:val="nil"/>
              <w:bottom w:val="single" w:sz="4" w:space="0" w:color="auto"/>
              <w:right w:val="single" w:sz="4" w:space="0" w:color="auto"/>
            </w:tcBorders>
            <w:shd w:val="clear" w:color="auto" w:fill="auto"/>
            <w:noWrap/>
            <w:vAlign w:val="bottom"/>
            <w:hideMark/>
          </w:tcPr>
          <w:p w14:paraId="13CCE74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0,03–0,4</w:t>
            </w:r>
          </w:p>
        </w:tc>
      </w:tr>
      <w:tr w:rsidR="0055515A" w:rsidRPr="0055515A" w14:paraId="7F54E424" w14:textId="77777777" w:rsidTr="0024730D">
        <w:trPr>
          <w:trHeight w:val="320"/>
        </w:trPr>
        <w:tc>
          <w:tcPr>
            <w:tcW w:w="2966" w:type="dxa"/>
            <w:tcBorders>
              <w:top w:val="nil"/>
              <w:left w:val="single" w:sz="4" w:space="0" w:color="auto"/>
              <w:bottom w:val="single" w:sz="4" w:space="0" w:color="auto"/>
              <w:right w:val="single" w:sz="4" w:space="0" w:color="auto"/>
            </w:tcBorders>
            <w:shd w:val="clear" w:color="auto" w:fill="auto"/>
            <w:noWrap/>
            <w:vAlign w:val="bottom"/>
            <w:hideMark/>
          </w:tcPr>
          <w:p w14:paraId="2FCF6CE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Nikel (Ni)</w:t>
            </w:r>
          </w:p>
        </w:tc>
        <w:tc>
          <w:tcPr>
            <w:tcW w:w="4826" w:type="dxa"/>
            <w:tcBorders>
              <w:top w:val="nil"/>
              <w:left w:val="nil"/>
              <w:bottom w:val="single" w:sz="4" w:space="0" w:color="auto"/>
              <w:right w:val="single" w:sz="4" w:space="0" w:color="auto"/>
            </w:tcBorders>
            <w:shd w:val="clear" w:color="auto" w:fill="auto"/>
            <w:noWrap/>
            <w:vAlign w:val="bottom"/>
            <w:hideMark/>
          </w:tcPr>
          <w:p w14:paraId="4390981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Boyama, boyalarla baskı</w:t>
            </w:r>
          </w:p>
        </w:tc>
        <w:tc>
          <w:tcPr>
            <w:tcW w:w="1268" w:type="dxa"/>
            <w:tcBorders>
              <w:top w:val="nil"/>
              <w:left w:val="nil"/>
              <w:bottom w:val="single" w:sz="4" w:space="0" w:color="auto"/>
              <w:right w:val="single" w:sz="4" w:space="0" w:color="auto"/>
            </w:tcBorders>
            <w:shd w:val="clear" w:color="auto" w:fill="auto"/>
            <w:noWrap/>
            <w:vAlign w:val="bottom"/>
            <w:hideMark/>
          </w:tcPr>
          <w:p w14:paraId="1D2714C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0,01–0,1 (⁷)</w:t>
            </w:r>
          </w:p>
        </w:tc>
      </w:tr>
      <w:tr w:rsidR="0055515A" w:rsidRPr="0055515A" w14:paraId="3E932125" w14:textId="77777777" w:rsidTr="0024730D">
        <w:trPr>
          <w:trHeight w:val="320"/>
        </w:trPr>
        <w:tc>
          <w:tcPr>
            <w:tcW w:w="2966" w:type="dxa"/>
            <w:tcBorders>
              <w:top w:val="nil"/>
              <w:left w:val="single" w:sz="4" w:space="0" w:color="auto"/>
              <w:bottom w:val="single" w:sz="4" w:space="0" w:color="auto"/>
              <w:right w:val="single" w:sz="4" w:space="0" w:color="auto"/>
            </w:tcBorders>
            <w:shd w:val="clear" w:color="auto" w:fill="auto"/>
            <w:noWrap/>
            <w:vAlign w:val="bottom"/>
            <w:hideMark/>
          </w:tcPr>
          <w:p w14:paraId="76C12EB6"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Çinko (Zn)</w:t>
            </w:r>
            <w:r w:rsidRPr="008679D6">
              <w:rPr>
                <w:rFonts w:ascii="Times New Roman" w:eastAsia="Times New Roman" w:hAnsi="Times New Roman" w:cs="Times New Roman"/>
                <w:color w:val="000000"/>
                <w:kern w:val="0"/>
                <w:lang w:eastAsia="tr-TR"/>
                <w14:ligatures w14:val="none"/>
              </w:rPr>
              <w:t> (³)</w:t>
            </w:r>
          </w:p>
        </w:tc>
        <w:tc>
          <w:tcPr>
            <w:tcW w:w="4826" w:type="dxa"/>
            <w:tcBorders>
              <w:top w:val="nil"/>
              <w:left w:val="nil"/>
              <w:bottom w:val="single" w:sz="4" w:space="0" w:color="auto"/>
              <w:right w:val="single" w:sz="4" w:space="0" w:color="auto"/>
            </w:tcBorders>
            <w:shd w:val="clear" w:color="auto" w:fill="auto"/>
            <w:noWrap/>
            <w:vAlign w:val="bottom"/>
            <w:hideMark/>
          </w:tcPr>
          <w:p w14:paraId="6C2A033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Tüm işlemler</w:t>
            </w:r>
          </w:p>
        </w:tc>
        <w:tc>
          <w:tcPr>
            <w:tcW w:w="1268" w:type="dxa"/>
            <w:tcBorders>
              <w:top w:val="nil"/>
              <w:left w:val="nil"/>
              <w:bottom w:val="single" w:sz="4" w:space="0" w:color="auto"/>
              <w:right w:val="single" w:sz="4" w:space="0" w:color="auto"/>
            </w:tcBorders>
            <w:shd w:val="clear" w:color="auto" w:fill="auto"/>
            <w:noWrap/>
            <w:vAlign w:val="bottom"/>
            <w:hideMark/>
          </w:tcPr>
          <w:p w14:paraId="22CA1BA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0,04–0,5 (⁸)</w:t>
            </w:r>
          </w:p>
        </w:tc>
      </w:tr>
      <w:tr w:rsidR="0055515A" w:rsidRPr="0055515A" w14:paraId="520574BD" w14:textId="77777777" w:rsidTr="0024730D">
        <w:trPr>
          <w:trHeight w:val="320"/>
        </w:trPr>
        <w:tc>
          <w:tcPr>
            <w:tcW w:w="2966" w:type="dxa"/>
            <w:tcBorders>
              <w:top w:val="nil"/>
              <w:left w:val="single" w:sz="4" w:space="0" w:color="auto"/>
              <w:bottom w:val="single" w:sz="4" w:space="0" w:color="auto"/>
              <w:right w:val="single" w:sz="4" w:space="0" w:color="auto"/>
            </w:tcBorders>
            <w:shd w:val="clear" w:color="auto" w:fill="auto"/>
            <w:noWrap/>
            <w:vAlign w:val="bottom"/>
            <w:hideMark/>
          </w:tcPr>
          <w:p w14:paraId="2D6B559E"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Kolayca Salınabilen Sülfür (S²⁻)</w:t>
            </w:r>
          </w:p>
        </w:tc>
        <w:tc>
          <w:tcPr>
            <w:tcW w:w="4826" w:type="dxa"/>
            <w:tcBorders>
              <w:top w:val="nil"/>
              <w:left w:val="nil"/>
              <w:bottom w:val="single" w:sz="4" w:space="0" w:color="auto"/>
              <w:right w:val="single" w:sz="4" w:space="0" w:color="auto"/>
            </w:tcBorders>
            <w:shd w:val="clear" w:color="auto" w:fill="auto"/>
            <w:noWrap/>
            <w:vAlign w:val="bottom"/>
            <w:hideMark/>
          </w:tcPr>
          <w:p w14:paraId="09C06BB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Sülfür boyalarıyla boyama</w:t>
            </w:r>
          </w:p>
        </w:tc>
        <w:tc>
          <w:tcPr>
            <w:tcW w:w="1268" w:type="dxa"/>
            <w:tcBorders>
              <w:top w:val="nil"/>
              <w:left w:val="nil"/>
              <w:bottom w:val="single" w:sz="4" w:space="0" w:color="auto"/>
              <w:right w:val="single" w:sz="4" w:space="0" w:color="auto"/>
            </w:tcBorders>
            <w:shd w:val="clear" w:color="auto" w:fill="auto"/>
            <w:noWrap/>
            <w:vAlign w:val="bottom"/>
            <w:hideMark/>
          </w:tcPr>
          <w:p w14:paraId="35EFF7E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&lt;1</w:t>
            </w:r>
          </w:p>
        </w:tc>
      </w:tr>
      <w:tr w:rsidR="0055515A" w:rsidRPr="0055515A" w14:paraId="0F60A67A" w14:textId="77777777" w:rsidTr="0024730D">
        <w:trPr>
          <w:trHeight w:val="32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365C561F" w14:textId="77777777" w:rsidR="0055515A" w:rsidRPr="00522E3C" w:rsidRDefault="0055515A" w:rsidP="0055515A">
            <w:pPr>
              <w:spacing w:after="0" w:line="240" w:lineRule="auto"/>
              <w:rPr>
                <w:rFonts w:ascii="Times New Roman" w:eastAsia="Times New Roman" w:hAnsi="Times New Roman" w:cs="Times New Roman"/>
                <w:color w:val="000000"/>
                <w:kern w:val="0"/>
                <w:sz w:val="20"/>
                <w:szCs w:val="20"/>
                <w:lang w:eastAsia="tr-TR"/>
                <w14:ligatures w14:val="none"/>
              </w:rPr>
            </w:pPr>
            <w:r w:rsidRPr="00522E3C">
              <w:rPr>
                <w:rFonts w:ascii="Times New Roman" w:eastAsia="Times New Roman" w:hAnsi="Times New Roman" w:cs="Times New Roman"/>
                <w:color w:val="000000"/>
                <w:kern w:val="0"/>
                <w:sz w:val="20"/>
                <w:szCs w:val="20"/>
                <w:lang w:eastAsia="tr-TR"/>
                <w14:ligatures w14:val="none"/>
              </w:rPr>
              <w:t>(</w:t>
            </w:r>
            <w:r w:rsidRPr="00522E3C">
              <w:rPr>
                <w:rFonts w:ascii="Times New Roman" w:eastAsia="Times New Roman" w:hAnsi="Times New Roman" w:cs="Times New Roman"/>
                <w:color w:val="000000"/>
                <w:kern w:val="0"/>
                <w:sz w:val="20"/>
                <w:szCs w:val="20"/>
                <w:vertAlign w:val="superscript"/>
                <w:lang w:eastAsia="tr-TR"/>
                <w14:ligatures w14:val="none"/>
              </w:rPr>
              <w:t>1</w:t>
            </w:r>
            <w:r w:rsidRPr="00522E3C">
              <w:rPr>
                <w:rFonts w:ascii="Times New Roman" w:eastAsia="Times New Roman" w:hAnsi="Times New Roman" w:cs="Times New Roman"/>
                <w:color w:val="000000"/>
                <w:kern w:val="0"/>
                <w:sz w:val="20"/>
                <w:szCs w:val="20"/>
                <w:lang w:eastAsia="tr-TR"/>
                <w14:ligatures w14:val="none"/>
              </w:rPr>
              <w:t>) Ortalama alma süreleri genel hususlarda tanımlanmıştır.</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2</w:t>
            </w:r>
            <w:r w:rsidRPr="00522E3C">
              <w:rPr>
                <w:rFonts w:ascii="Times New Roman" w:eastAsia="Times New Roman" w:hAnsi="Times New Roman" w:cs="Times New Roman"/>
                <w:color w:val="000000"/>
                <w:kern w:val="0"/>
                <w:sz w:val="20"/>
                <w:szCs w:val="20"/>
                <w:lang w:eastAsia="tr-TR"/>
                <w14:ligatures w14:val="none"/>
              </w:rPr>
              <w:t>) MET-İES'ler, aşağı yönde bulunan atık su arıtma tesisi ilgili kirleticileri giderecek şekilde tasarlanmış ve donatılmışsa uygulanmayabilir, ancak bunun çevrede daha yüksek seviyede kirliliğe yol açmaması koşuluyla.</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3</w:t>
            </w:r>
            <w:r w:rsidRPr="00522E3C">
              <w:rPr>
                <w:rFonts w:ascii="Times New Roman" w:eastAsia="Times New Roman" w:hAnsi="Times New Roman" w:cs="Times New Roman"/>
                <w:color w:val="000000"/>
                <w:kern w:val="0"/>
                <w:sz w:val="20"/>
                <w:szCs w:val="20"/>
                <w:lang w:eastAsia="tr-TR"/>
                <w14:ligatures w14:val="none"/>
              </w:rPr>
              <w:t>) MET-İES'ler yalnızca ilgili maddenin/parametrenin, MET 2’de belirtilen girdiler ve çıktılar envanterine göre atık su akışında önemli olduğu belirlendiğinde uygulanır.</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4</w:t>
            </w:r>
            <w:r w:rsidRPr="00522E3C">
              <w:rPr>
                <w:rFonts w:ascii="Times New Roman" w:eastAsia="Times New Roman" w:hAnsi="Times New Roman" w:cs="Times New Roman"/>
                <w:color w:val="000000"/>
                <w:kern w:val="0"/>
                <w:sz w:val="20"/>
                <w:szCs w:val="20"/>
                <w:lang w:eastAsia="tr-TR"/>
                <w14:ligatures w14:val="none"/>
              </w:rPr>
              <w:t>) MET-İES aralığının üst sınırı, polyester ve/veya modakrilik liflerin boyanması durumunda 0,8 mg/l’ye kadar çıkabilir.</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5</w:t>
            </w:r>
            <w:r w:rsidRPr="00522E3C">
              <w:rPr>
                <w:rFonts w:ascii="Times New Roman" w:eastAsia="Times New Roman" w:hAnsi="Times New Roman" w:cs="Times New Roman"/>
                <w:color w:val="000000"/>
                <w:kern w:val="0"/>
                <w:sz w:val="20"/>
                <w:szCs w:val="20"/>
                <w:lang w:eastAsia="tr-TR"/>
                <w14:ligatures w14:val="none"/>
              </w:rPr>
              <w:t>) MET-İES aralığının üst sınırı, polyester ve/veya modakrilik liflerin boyanması durumunda 1,2 mg/l’ye kadar çıkabilir.</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6</w:t>
            </w:r>
            <w:r w:rsidRPr="00522E3C">
              <w:rPr>
                <w:rFonts w:ascii="Times New Roman" w:eastAsia="Times New Roman" w:hAnsi="Times New Roman" w:cs="Times New Roman"/>
                <w:color w:val="000000"/>
                <w:kern w:val="0"/>
                <w:sz w:val="20"/>
                <w:szCs w:val="20"/>
                <w:lang w:eastAsia="tr-TR"/>
                <w14:ligatures w14:val="none"/>
              </w:rPr>
              <w:t>) MET-İES aralığının üst sınırı, poliamid, yün veya ipek liflerinin metal kompleks boyalar ile boyanması durumunda 0,3 mg/l’ye kadar çıkabilir.</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7</w:t>
            </w:r>
            <w:r w:rsidRPr="00522E3C">
              <w:rPr>
                <w:rFonts w:ascii="Times New Roman" w:eastAsia="Times New Roman" w:hAnsi="Times New Roman" w:cs="Times New Roman"/>
                <w:color w:val="000000"/>
                <w:kern w:val="0"/>
                <w:sz w:val="20"/>
                <w:szCs w:val="20"/>
                <w:lang w:eastAsia="tr-TR"/>
                <w14:ligatures w14:val="none"/>
              </w:rPr>
              <w:t>) MET-İES aralığının üst sınırı, nikel içeren reaktif boyalar veya pigmentlerle boyama veya baskı yapılması durumunda 0,2 mg/l’ye kadar çıkabilir.</w:t>
            </w:r>
            <w:r w:rsidRPr="00522E3C">
              <w:rPr>
                <w:rFonts w:ascii="Times New Roman" w:eastAsia="Times New Roman" w:hAnsi="Times New Roman" w:cs="Times New Roman"/>
                <w:color w:val="000000"/>
                <w:kern w:val="0"/>
                <w:sz w:val="20"/>
                <w:szCs w:val="20"/>
                <w:lang w:eastAsia="tr-TR"/>
                <w14:ligatures w14:val="none"/>
              </w:rPr>
              <w:br/>
              <w:t>(</w:t>
            </w:r>
            <w:r w:rsidRPr="00522E3C">
              <w:rPr>
                <w:rFonts w:ascii="Times New Roman" w:eastAsia="Times New Roman" w:hAnsi="Times New Roman" w:cs="Times New Roman"/>
                <w:color w:val="000000"/>
                <w:kern w:val="0"/>
                <w:sz w:val="20"/>
                <w:szCs w:val="20"/>
                <w:vertAlign w:val="superscript"/>
                <w:lang w:eastAsia="tr-TR"/>
                <w14:ligatures w14:val="none"/>
              </w:rPr>
              <w:t>8</w:t>
            </w:r>
            <w:r w:rsidRPr="00522E3C">
              <w:rPr>
                <w:rFonts w:ascii="Times New Roman" w:eastAsia="Times New Roman" w:hAnsi="Times New Roman" w:cs="Times New Roman"/>
                <w:color w:val="000000"/>
                <w:kern w:val="0"/>
                <w:sz w:val="20"/>
                <w:szCs w:val="20"/>
                <w:lang w:eastAsia="tr-TR"/>
                <w14:ligatures w14:val="none"/>
              </w:rPr>
              <w:t>) MET-İES aralığının üst sınırı, viskon liflerin işlenmesi veya çinko içeren katyonik boyalarla boyama yapılması durumunda 0,8 mg/l’ye kadar çıkabilir.</w:t>
            </w:r>
          </w:p>
        </w:tc>
      </w:tr>
    </w:tbl>
    <w:p w14:paraId="55BA4D4E" w14:textId="439D3671" w:rsid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İlgili izleme MET 8'de verilmiştir.</w:t>
      </w:r>
    </w:p>
    <w:p w14:paraId="013E7248" w14:textId="7C857F50" w:rsidR="00691C2D" w:rsidRDefault="00691C2D"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p>
    <w:p w14:paraId="2872242A" w14:textId="3DE21BBA" w:rsidR="006E2C99" w:rsidRDefault="006E2C99"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p>
    <w:p w14:paraId="264E7874" w14:textId="77777777" w:rsidR="006E2C99" w:rsidRDefault="006E2C99"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p>
    <w:p w14:paraId="13B48946" w14:textId="77777777" w:rsidR="00691C2D" w:rsidRPr="0055515A" w:rsidRDefault="00691C2D"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p>
    <w:p w14:paraId="67349FDF" w14:textId="7A0C4418" w:rsidR="0055515A" w:rsidRPr="0055515A" w:rsidRDefault="0055515A" w:rsidP="0055515A">
      <w:pPr>
        <w:keepNext/>
        <w:keepLines/>
        <w:spacing w:before="40" w:after="0" w:line="240" w:lineRule="auto"/>
        <w:outlineLvl w:val="2"/>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1.1.7. Toprak ve Yeraltı Suyuna Emisyonlar</w:t>
      </w:r>
    </w:p>
    <w:p w14:paraId="24C28417" w14:textId="77777777" w:rsidR="00B875CF" w:rsidRDefault="00B875CF"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p>
    <w:p w14:paraId="5DD33054" w14:textId="66820339"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21 - </w:t>
      </w:r>
      <w:r w:rsidRPr="0055515A">
        <w:rPr>
          <w:rFonts w:ascii="Times New Roman" w:eastAsia="Times New Roman" w:hAnsi="Times New Roman" w:cs="Times New Roman"/>
          <w:kern w:val="0"/>
          <w:sz w:val="24"/>
          <w:szCs w:val="24"/>
          <w:lang w:eastAsia="tr-TR"/>
          <w14:ligatures w14:val="none"/>
        </w:rPr>
        <w:t>Toprağa ve yeraltı sularına emisyonları önlemek veya azaltmak ve proses kimyasallarının taşınması ve depolanmasının genel performansını iyileştirmek için MET, aşağıda verilen tekniklerin tümünü kullanmaktadır.</w:t>
      </w:r>
    </w:p>
    <w:tbl>
      <w:tblPr>
        <w:tblW w:w="9061" w:type="dxa"/>
        <w:tblCellMar>
          <w:left w:w="70" w:type="dxa"/>
          <w:right w:w="70" w:type="dxa"/>
        </w:tblCellMar>
        <w:tblLook w:val="04A0" w:firstRow="1" w:lastRow="0" w:firstColumn="1" w:lastColumn="0" w:noHBand="0" w:noVBand="1"/>
      </w:tblPr>
      <w:tblGrid>
        <w:gridCol w:w="2830"/>
        <w:gridCol w:w="4538"/>
        <w:gridCol w:w="1693"/>
      </w:tblGrid>
      <w:tr w:rsidR="0055515A" w:rsidRPr="0055515A" w14:paraId="10F4E2CD" w14:textId="77777777" w:rsidTr="00B875CF">
        <w:trPr>
          <w:trHeight w:val="32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1F124"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4538" w:type="dxa"/>
            <w:tcBorders>
              <w:top w:val="single" w:sz="4" w:space="0" w:color="auto"/>
              <w:left w:val="nil"/>
              <w:bottom w:val="single" w:sz="4" w:space="0" w:color="auto"/>
              <w:right w:val="single" w:sz="4" w:space="0" w:color="auto"/>
            </w:tcBorders>
            <w:shd w:val="clear" w:color="auto" w:fill="auto"/>
            <w:noWrap/>
            <w:vAlign w:val="bottom"/>
            <w:hideMark/>
          </w:tcPr>
          <w:p w14:paraId="21BCB7C3"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1693" w:type="dxa"/>
            <w:tcBorders>
              <w:top w:val="single" w:sz="4" w:space="0" w:color="auto"/>
              <w:left w:val="nil"/>
              <w:bottom w:val="single" w:sz="4" w:space="0" w:color="auto"/>
              <w:right w:val="single" w:sz="4" w:space="0" w:color="auto"/>
            </w:tcBorders>
            <w:shd w:val="clear" w:color="auto" w:fill="auto"/>
            <w:noWrap/>
            <w:vAlign w:val="bottom"/>
            <w:hideMark/>
          </w:tcPr>
          <w:p w14:paraId="5FE28AD4"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344FEA2D" w14:textId="77777777" w:rsidTr="00B875CF">
        <w:trPr>
          <w:trHeight w:val="4678"/>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1DAD88A6"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w:t>
            </w:r>
            <w:r w:rsidRPr="008679D6">
              <w:rPr>
                <w:rFonts w:ascii="Times New Roman" w:eastAsia="Times New Roman" w:hAnsi="Times New Roman" w:cs="Times New Roman"/>
                <w:bCs/>
                <w:kern w:val="0"/>
                <w:lang w:eastAsia="tr-TR"/>
                <w14:ligatures w14:val="none"/>
              </w:rPr>
              <w:t>.</w:t>
            </w:r>
            <w:r w:rsidRPr="008679D6">
              <w:rPr>
                <w:rFonts w:ascii="Times New Roman" w:eastAsia="Times New Roman" w:hAnsi="Times New Roman" w:cs="Times New Roman"/>
                <w:bCs/>
                <w:color w:val="000000"/>
                <w:kern w:val="0"/>
                <w:lang w:eastAsia="tr-TR"/>
                <w14:ligatures w14:val="none"/>
              </w:rPr>
              <w:t>Proses ve depolama tanklarının taşma ve arızalanma olasılığını ve çevresel etkilerini azaltma</w:t>
            </w:r>
          </w:p>
        </w:tc>
        <w:tc>
          <w:tcPr>
            <w:tcW w:w="4538" w:type="dxa"/>
            <w:tcBorders>
              <w:top w:val="nil"/>
              <w:left w:val="nil"/>
              <w:bottom w:val="nil"/>
              <w:right w:val="single" w:sz="4" w:space="0" w:color="auto"/>
            </w:tcBorders>
            <w:shd w:val="clear" w:color="auto" w:fill="auto"/>
            <w:noWrap/>
            <w:vAlign w:val="bottom"/>
            <w:hideMark/>
          </w:tcPr>
          <w:p w14:paraId="2560084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Tekstil malzemelerinin proses sıvısına yavaşça daldırılması ve çekilmesi </w:t>
            </w:r>
          </w:p>
          <w:p w14:paraId="702B03B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Proses sıvısının otomatik seviye ayarı (bkz. MET 4) </w:t>
            </w:r>
          </w:p>
          <w:p w14:paraId="3D3AF8A5" w14:textId="0FC2A294"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 Proses  </w:t>
            </w:r>
            <w:r w:rsidR="00BF08CA" w:rsidRPr="00557323">
              <w:rPr>
                <w:rFonts w:ascii="Times New Roman" w:eastAsia="Times New Roman" w:hAnsi="Times New Roman" w:cs="Times New Roman"/>
                <w:color w:val="000000" w:themeColor="text1"/>
                <w:kern w:val="0"/>
                <w:lang w:eastAsia="tr-TR"/>
                <w14:ligatures w14:val="none"/>
              </w:rPr>
              <w:t xml:space="preserve">banyosu </w:t>
            </w:r>
            <w:r w:rsidRPr="0055515A">
              <w:rPr>
                <w:rFonts w:ascii="Times New Roman" w:eastAsia="Times New Roman" w:hAnsi="Times New Roman" w:cs="Times New Roman"/>
                <w:color w:val="000000"/>
                <w:kern w:val="0"/>
                <w:lang w:eastAsia="tr-TR"/>
                <w14:ligatures w14:val="none"/>
              </w:rPr>
              <w:t>ısıtmak veya soğutmak için doğrudan su enjeksiyonundan kaçınılması </w:t>
            </w:r>
          </w:p>
          <w:p w14:paraId="1A61B85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Aşırı düşük dedektörleri </w:t>
            </w:r>
          </w:p>
          <w:p w14:paraId="31EAD39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Taşmaların başka bir tanka kanalize edilmesi </w:t>
            </w:r>
          </w:p>
          <w:p w14:paraId="18C4928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Sıvılar (proses kimyasalları veya sıvı atıklar) için tankların uygun bir ikincil muhafaza içine yerleştirilmesi, kapasitenin en büyük tankın sıvı kaybını karşılayacak şekilde boyutlandırılması </w:t>
            </w:r>
          </w:p>
          <w:p w14:paraId="4836789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Tankların ve ikincil muhafazanın izolasyonu (örneğin vanaların kapatılması yoluyla) </w:t>
            </w:r>
          </w:p>
          <w:p w14:paraId="6CBC5AF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İşlenme ve depolama alanlarının yüzeylerinin ilgili sıvılar için geçirimsiz olmasının sağlanması</w:t>
            </w:r>
          </w:p>
        </w:tc>
        <w:tc>
          <w:tcPr>
            <w:tcW w:w="1693" w:type="dxa"/>
            <w:vMerge w:val="restart"/>
            <w:tcBorders>
              <w:top w:val="nil"/>
              <w:left w:val="nil"/>
              <w:bottom w:val="nil"/>
              <w:right w:val="single" w:sz="4" w:space="0" w:color="auto"/>
            </w:tcBorders>
            <w:shd w:val="clear" w:color="auto" w:fill="auto"/>
            <w:noWrap/>
            <w:vAlign w:val="bottom"/>
            <w:hideMark/>
          </w:tcPr>
          <w:p w14:paraId="10FAC57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Genel olarak uygulanabilir.</w:t>
            </w:r>
          </w:p>
          <w:p w14:paraId="7F7568D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p w14:paraId="564537A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38742F2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5C42855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7F02836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1E7882C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103DDD2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3059878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75B1B4B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3D6DB1E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136E57F2" w14:textId="77777777" w:rsidTr="00691C2D">
        <w:trPr>
          <w:trHeight w:val="442"/>
        </w:trPr>
        <w:tc>
          <w:tcPr>
            <w:tcW w:w="283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78D79DB5"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w:t>
            </w:r>
            <w:r w:rsidRPr="008679D6">
              <w:rPr>
                <w:rFonts w:ascii="Times New Roman" w:eastAsia="Times New Roman" w:hAnsi="Times New Roman" w:cs="Times New Roman"/>
                <w:bCs/>
                <w:kern w:val="0"/>
                <w:lang w:eastAsia="tr-TR"/>
                <w14:ligatures w14:val="none"/>
              </w:rPr>
              <w:t>.</w:t>
            </w:r>
            <w:r w:rsidRPr="008679D6">
              <w:rPr>
                <w:rFonts w:ascii="Times New Roman" w:eastAsia="Times New Roman" w:hAnsi="Times New Roman" w:cs="Times New Roman"/>
                <w:bCs/>
                <w:color w:val="000000"/>
                <w:kern w:val="0"/>
                <w:lang w:eastAsia="tr-TR"/>
                <w14:ligatures w14:val="none"/>
              </w:rPr>
              <w:t>Tesis ve ekipmanların düzenli denetimi ve bakımı</w:t>
            </w:r>
          </w:p>
        </w:tc>
        <w:tc>
          <w:tcPr>
            <w:tcW w:w="4538" w:type="dxa"/>
            <w:tcBorders>
              <w:top w:val="nil"/>
              <w:left w:val="nil"/>
              <w:bottom w:val="single" w:sz="4" w:space="0" w:color="auto"/>
              <w:right w:val="single" w:sz="4" w:space="0" w:color="auto"/>
            </w:tcBorders>
            <w:shd w:val="clear" w:color="auto" w:fill="auto"/>
            <w:noWrap/>
            <w:vAlign w:val="bottom"/>
            <w:hideMark/>
          </w:tcPr>
          <w:p w14:paraId="02CA0F0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Vanalar, pompalar, borular, tanklar ve muhafazaların/demetlerin bütünlüğü ve/veya sızdırmazlık durumunun kontrol edilmesi </w:t>
            </w:r>
          </w:p>
        </w:tc>
        <w:tc>
          <w:tcPr>
            <w:tcW w:w="1693" w:type="dxa"/>
            <w:vMerge/>
            <w:tcBorders>
              <w:left w:val="nil"/>
              <w:right w:val="single" w:sz="4" w:space="0" w:color="auto"/>
            </w:tcBorders>
            <w:shd w:val="clear" w:color="auto" w:fill="auto"/>
            <w:noWrap/>
            <w:vAlign w:val="bottom"/>
            <w:hideMark/>
          </w:tcPr>
          <w:p w14:paraId="1CAF7D8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18FFD3E3" w14:textId="77777777" w:rsidTr="00B875CF">
        <w:trPr>
          <w:trHeight w:val="320"/>
        </w:trPr>
        <w:tc>
          <w:tcPr>
            <w:tcW w:w="2830" w:type="dxa"/>
            <w:vMerge/>
            <w:tcBorders>
              <w:top w:val="nil"/>
              <w:left w:val="single" w:sz="4" w:space="0" w:color="auto"/>
              <w:bottom w:val="single" w:sz="4" w:space="0" w:color="auto"/>
              <w:right w:val="single" w:sz="4" w:space="0" w:color="auto"/>
            </w:tcBorders>
            <w:vAlign w:val="center"/>
            <w:hideMark/>
          </w:tcPr>
          <w:p w14:paraId="0B308B2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p>
        </w:tc>
        <w:tc>
          <w:tcPr>
            <w:tcW w:w="4538" w:type="dxa"/>
            <w:tcBorders>
              <w:top w:val="nil"/>
              <w:left w:val="nil"/>
              <w:bottom w:val="single" w:sz="4" w:space="0" w:color="auto"/>
              <w:right w:val="single" w:sz="4" w:space="0" w:color="auto"/>
            </w:tcBorders>
            <w:shd w:val="clear" w:color="auto" w:fill="auto"/>
            <w:noWrap/>
            <w:vAlign w:val="bottom"/>
            <w:hideMark/>
          </w:tcPr>
          <w:p w14:paraId="6056048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Uyarı sistemlerinin (örn. taşma dedektörleri) düzgün çalışmasının kontrol edilmesi</w:t>
            </w:r>
          </w:p>
        </w:tc>
        <w:tc>
          <w:tcPr>
            <w:tcW w:w="1693" w:type="dxa"/>
            <w:vMerge/>
            <w:tcBorders>
              <w:left w:val="nil"/>
              <w:bottom w:val="single" w:sz="4" w:space="0" w:color="auto"/>
              <w:right w:val="single" w:sz="4" w:space="0" w:color="auto"/>
            </w:tcBorders>
            <w:shd w:val="clear" w:color="auto" w:fill="auto"/>
            <w:noWrap/>
            <w:vAlign w:val="bottom"/>
            <w:hideMark/>
          </w:tcPr>
          <w:p w14:paraId="5EF931F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07288612" w14:textId="77777777" w:rsidTr="00B875CF">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970738C"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c</w:t>
            </w:r>
            <w:r w:rsidRPr="008679D6">
              <w:rPr>
                <w:rFonts w:ascii="Times New Roman" w:eastAsia="Times New Roman" w:hAnsi="Times New Roman" w:cs="Times New Roman"/>
                <w:bCs/>
                <w:kern w:val="0"/>
                <w:lang w:eastAsia="tr-TR"/>
                <w14:ligatures w14:val="none"/>
              </w:rPr>
              <w:t>.</w:t>
            </w:r>
            <w:r w:rsidRPr="008679D6">
              <w:rPr>
                <w:rFonts w:ascii="Times New Roman" w:eastAsia="Times New Roman" w:hAnsi="Times New Roman" w:cs="Times New Roman"/>
                <w:bCs/>
                <w:color w:val="000000"/>
                <w:kern w:val="0"/>
                <w:lang w:eastAsia="tr-TR"/>
                <w14:ligatures w14:val="none"/>
              </w:rPr>
              <w:t>Proses kimyasallarının optimum depolama konumu</w:t>
            </w:r>
          </w:p>
        </w:tc>
        <w:tc>
          <w:tcPr>
            <w:tcW w:w="4538" w:type="dxa"/>
            <w:tcBorders>
              <w:top w:val="nil"/>
              <w:left w:val="nil"/>
              <w:bottom w:val="single" w:sz="4" w:space="0" w:color="auto"/>
              <w:right w:val="single" w:sz="4" w:space="0" w:color="auto"/>
            </w:tcBorders>
            <w:shd w:val="clear" w:color="auto" w:fill="auto"/>
            <w:noWrap/>
            <w:vAlign w:val="bottom"/>
            <w:hideMark/>
          </w:tcPr>
          <w:p w14:paraId="5A0D91A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Depolama alanlarının, proses kimyasallarının gereksiz taşınmasını ortadan kaldıracak veya en aza indirecek şekilde konumlandırılması</w:t>
            </w:r>
          </w:p>
        </w:tc>
        <w:tc>
          <w:tcPr>
            <w:tcW w:w="1693" w:type="dxa"/>
            <w:tcBorders>
              <w:top w:val="nil"/>
              <w:left w:val="nil"/>
              <w:bottom w:val="single" w:sz="4" w:space="0" w:color="auto"/>
              <w:right w:val="single" w:sz="4" w:space="0" w:color="auto"/>
            </w:tcBorders>
            <w:shd w:val="clear" w:color="auto" w:fill="auto"/>
            <w:noWrap/>
            <w:vAlign w:val="bottom"/>
            <w:hideMark/>
          </w:tcPr>
          <w:p w14:paraId="5599C50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Mevcut tesisler için uygulanabilirlik, alan yetersizliği nedeniyle sınırlı olabilir.</w:t>
            </w:r>
          </w:p>
        </w:tc>
      </w:tr>
      <w:tr w:rsidR="0055515A" w:rsidRPr="0055515A" w14:paraId="2A65AC65" w14:textId="77777777" w:rsidTr="00B875CF">
        <w:trPr>
          <w:trHeight w:val="320"/>
        </w:trPr>
        <w:tc>
          <w:tcPr>
            <w:tcW w:w="283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8AC22ED"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d</w:t>
            </w:r>
            <w:r w:rsidRPr="008679D6">
              <w:rPr>
                <w:rFonts w:ascii="Times New Roman" w:eastAsia="Times New Roman" w:hAnsi="Times New Roman" w:cs="Times New Roman"/>
                <w:bCs/>
                <w:kern w:val="0"/>
                <w:lang w:eastAsia="tr-TR"/>
                <w14:ligatures w14:val="none"/>
              </w:rPr>
              <w:t>.</w:t>
            </w:r>
            <w:r w:rsidR="0071338C" w:rsidRPr="008679D6">
              <w:t xml:space="preserve"> </w:t>
            </w:r>
            <w:r w:rsidR="0071338C" w:rsidRPr="008679D6">
              <w:rPr>
                <w:rFonts w:ascii="Times New Roman" w:eastAsia="Times New Roman" w:hAnsi="Times New Roman" w:cs="Times New Roman"/>
                <w:bCs/>
                <w:color w:val="000000"/>
                <w:kern w:val="0"/>
                <w:lang w:eastAsia="tr-TR"/>
                <w14:ligatures w14:val="none"/>
              </w:rPr>
              <w:t>Zararlı</w:t>
            </w:r>
            <w:r w:rsidRPr="008679D6">
              <w:rPr>
                <w:rFonts w:ascii="Times New Roman" w:eastAsia="Times New Roman" w:hAnsi="Times New Roman" w:cs="Times New Roman"/>
                <w:bCs/>
                <w:color w:val="000000"/>
                <w:kern w:val="0"/>
                <w:lang w:eastAsia="tr-TR"/>
                <w14:ligatures w14:val="none"/>
              </w:rPr>
              <w:t xml:space="preserve"> maddeler içeren proses kimyasallarının boşaltılması için özel alan</w:t>
            </w:r>
          </w:p>
        </w:tc>
        <w:tc>
          <w:tcPr>
            <w:tcW w:w="4538" w:type="dxa"/>
            <w:tcBorders>
              <w:top w:val="nil"/>
              <w:left w:val="nil"/>
              <w:bottom w:val="single" w:sz="4" w:space="0" w:color="auto"/>
              <w:right w:val="single" w:sz="4" w:space="0" w:color="auto"/>
            </w:tcBorders>
            <w:shd w:val="clear" w:color="auto" w:fill="auto"/>
            <w:noWrap/>
            <w:vAlign w:val="bottom"/>
            <w:hideMark/>
          </w:tcPr>
          <w:p w14:paraId="3EC4B56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 </w:t>
            </w:r>
            <w:r w:rsidR="0071338C">
              <w:rPr>
                <w:rFonts w:ascii="Times New Roman" w:eastAsia="Times New Roman" w:hAnsi="Times New Roman" w:cs="Times New Roman"/>
                <w:color w:val="000000"/>
                <w:kern w:val="0"/>
                <w:sz w:val="24"/>
                <w:szCs w:val="24"/>
                <w:lang w:eastAsia="tr-TR"/>
                <w14:ligatures w14:val="none"/>
              </w:rPr>
              <w:t>Zararlı</w:t>
            </w:r>
            <w:r w:rsidRPr="0055515A">
              <w:rPr>
                <w:rFonts w:ascii="Times New Roman" w:eastAsia="Times New Roman" w:hAnsi="Times New Roman" w:cs="Times New Roman"/>
                <w:color w:val="000000"/>
                <w:kern w:val="0"/>
                <w:lang w:eastAsia="tr-TR"/>
                <w14:ligatures w14:val="none"/>
              </w:rPr>
              <w:t xml:space="preserve"> maddeler içeren proses kimyasallarının paketlenmiş bir alanda boşaltılması </w:t>
            </w:r>
          </w:p>
        </w:tc>
        <w:tc>
          <w:tcPr>
            <w:tcW w:w="1693" w:type="dxa"/>
            <w:vMerge w:val="restart"/>
            <w:tcBorders>
              <w:top w:val="nil"/>
              <w:left w:val="nil"/>
              <w:right w:val="single" w:sz="4" w:space="0" w:color="auto"/>
            </w:tcBorders>
            <w:shd w:val="clear" w:color="auto" w:fill="auto"/>
            <w:noWrap/>
            <w:vAlign w:val="bottom"/>
            <w:hideMark/>
          </w:tcPr>
          <w:p w14:paraId="1B6F884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20CB180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24C15CB6" w14:textId="77777777" w:rsidTr="00B875CF">
        <w:trPr>
          <w:trHeight w:val="320"/>
        </w:trPr>
        <w:tc>
          <w:tcPr>
            <w:tcW w:w="2830" w:type="dxa"/>
            <w:vMerge/>
            <w:tcBorders>
              <w:top w:val="nil"/>
              <w:left w:val="single" w:sz="4" w:space="0" w:color="auto"/>
              <w:bottom w:val="single" w:sz="4" w:space="0" w:color="auto"/>
              <w:right w:val="single" w:sz="4" w:space="0" w:color="auto"/>
            </w:tcBorders>
            <w:vAlign w:val="center"/>
            <w:hideMark/>
          </w:tcPr>
          <w:p w14:paraId="19936F18"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p>
        </w:tc>
        <w:tc>
          <w:tcPr>
            <w:tcW w:w="4538" w:type="dxa"/>
            <w:tcBorders>
              <w:top w:val="nil"/>
              <w:left w:val="nil"/>
              <w:bottom w:val="single" w:sz="4" w:space="0" w:color="auto"/>
              <w:right w:val="single" w:sz="4" w:space="0" w:color="auto"/>
            </w:tcBorders>
            <w:shd w:val="clear" w:color="auto" w:fill="auto"/>
            <w:noWrap/>
            <w:vAlign w:val="bottom"/>
            <w:hideMark/>
          </w:tcPr>
          <w:p w14:paraId="48199B5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Ara sıra dökülenlerin toplanarak arıtma için gönderilmesi</w:t>
            </w:r>
          </w:p>
        </w:tc>
        <w:tc>
          <w:tcPr>
            <w:tcW w:w="1693" w:type="dxa"/>
            <w:vMerge/>
            <w:tcBorders>
              <w:left w:val="nil"/>
              <w:right w:val="single" w:sz="4" w:space="0" w:color="auto"/>
            </w:tcBorders>
            <w:shd w:val="clear" w:color="auto" w:fill="auto"/>
            <w:noWrap/>
            <w:vAlign w:val="bottom"/>
            <w:hideMark/>
          </w:tcPr>
          <w:p w14:paraId="196A796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0F83EC41" w14:textId="77777777" w:rsidTr="00B875CF">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90E6D3D"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e</w:t>
            </w:r>
            <w:r w:rsidRPr="008679D6">
              <w:rPr>
                <w:rFonts w:ascii="Times New Roman" w:eastAsia="Times New Roman" w:hAnsi="Times New Roman" w:cs="Times New Roman"/>
                <w:bCs/>
                <w:kern w:val="0"/>
                <w:lang w:eastAsia="tr-TR"/>
                <w14:ligatures w14:val="none"/>
              </w:rPr>
              <w:t>.</w:t>
            </w:r>
            <w:r w:rsidRPr="008679D6">
              <w:rPr>
                <w:rFonts w:ascii="Times New Roman" w:eastAsia="Times New Roman" w:hAnsi="Times New Roman" w:cs="Times New Roman"/>
                <w:bCs/>
                <w:color w:val="000000"/>
                <w:kern w:val="0"/>
                <w:lang w:eastAsia="tr-TR"/>
                <w14:ligatures w14:val="none"/>
              </w:rPr>
              <w:t>Proses kimyasallarının ayrı depolanması</w:t>
            </w:r>
          </w:p>
        </w:tc>
        <w:tc>
          <w:tcPr>
            <w:tcW w:w="4538" w:type="dxa"/>
            <w:tcBorders>
              <w:top w:val="nil"/>
              <w:left w:val="nil"/>
              <w:bottom w:val="single" w:sz="4" w:space="0" w:color="auto"/>
              <w:right w:val="single" w:sz="4" w:space="0" w:color="auto"/>
            </w:tcBorders>
            <w:shd w:val="clear" w:color="auto" w:fill="auto"/>
            <w:noWrap/>
            <w:vAlign w:val="bottom"/>
            <w:hideMark/>
          </w:tcPr>
          <w:p w14:paraId="29817CB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Uyumsuz proses kimyasallarının fiziksel ayrıştırma ve kimyasal envantere dayanarak ayrı tutulması (bkz. MET 15)</w:t>
            </w:r>
          </w:p>
        </w:tc>
        <w:tc>
          <w:tcPr>
            <w:tcW w:w="1693" w:type="dxa"/>
            <w:vMerge/>
            <w:tcBorders>
              <w:left w:val="nil"/>
              <w:right w:val="single" w:sz="4" w:space="0" w:color="auto"/>
            </w:tcBorders>
            <w:shd w:val="clear" w:color="auto" w:fill="auto"/>
            <w:noWrap/>
            <w:vAlign w:val="bottom"/>
            <w:hideMark/>
          </w:tcPr>
          <w:p w14:paraId="6799BA1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35B7511B" w14:textId="77777777" w:rsidTr="00B875CF">
        <w:trPr>
          <w:trHeight w:val="320"/>
        </w:trPr>
        <w:tc>
          <w:tcPr>
            <w:tcW w:w="283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30B376E"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lastRenderedPageBreak/>
              <w:t>f</w:t>
            </w:r>
            <w:r w:rsidRPr="008679D6">
              <w:rPr>
                <w:rFonts w:ascii="Times New Roman" w:eastAsia="Times New Roman" w:hAnsi="Times New Roman" w:cs="Times New Roman"/>
                <w:bCs/>
                <w:kern w:val="0"/>
                <w:lang w:eastAsia="tr-TR"/>
                <w14:ligatures w14:val="none"/>
              </w:rPr>
              <w:t>.</w:t>
            </w:r>
            <w:r w:rsidRPr="008679D6">
              <w:rPr>
                <w:rFonts w:ascii="Times New Roman" w:eastAsia="Times New Roman" w:hAnsi="Times New Roman" w:cs="Times New Roman"/>
                <w:bCs/>
                <w:color w:val="000000"/>
                <w:kern w:val="0"/>
                <w:lang w:eastAsia="tr-TR"/>
                <w14:ligatures w14:val="none"/>
              </w:rPr>
              <w:t>Proses kimyasalları içeren ambalajların taşınması ve depolanması</w:t>
            </w:r>
          </w:p>
        </w:tc>
        <w:tc>
          <w:tcPr>
            <w:tcW w:w="4538" w:type="dxa"/>
            <w:tcBorders>
              <w:top w:val="nil"/>
              <w:left w:val="nil"/>
              <w:bottom w:val="single" w:sz="4" w:space="0" w:color="auto"/>
              <w:right w:val="single" w:sz="4" w:space="0" w:color="auto"/>
            </w:tcBorders>
            <w:shd w:val="clear" w:color="auto" w:fill="auto"/>
            <w:noWrap/>
            <w:vAlign w:val="bottom"/>
            <w:hideMark/>
          </w:tcPr>
          <w:p w14:paraId="705A4B2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Sıvı proses kimyasalları içeren ambalajların su kullanılmadan yerçekimi veya mekanik yollarla (örn. fırçalama, silme) tamamen boşaltılması </w:t>
            </w:r>
          </w:p>
        </w:tc>
        <w:tc>
          <w:tcPr>
            <w:tcW w:w="1693" w:type="dxa"/>
            <w:vMerge/>
            <w:tcBorders>
              <w:left w:val="nil"/>
              <w:right w:val="single" w:sz="4" w:space="0" w:color="auto"/>
            </w:tcBorders>
            <w:shd w:val="clear" w:color="auto" w:fill="auto"/>
            <w:noWrap/>
            <w:vAlign w:val="bottom"/>
            <w:hideMark/>
          </w:tcPr>
          <w:p w14:paraId="530303D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5459080D" w14:textId="77777777" w:rsidTr="00B875CF">
        <w:trPr>
          <w:trHeight w:val="320"/>
        </w:trPr>
        <w:tc>
          <w:tcPr>
            <w:tcW w:w="2830" w:type="dxa"/>
            <w:vMerge/>
            <w:tcBorders>
              <w:top w:val="nil"/>
              <w:left w:val="single" w:sz="4" w:space="0" w:color="auto"/>
              <w:bottom w:val="single" w:sz="4" w:space="0" w:color="auto"/>
              <w:right w:val="single" w:sz="4" w:space="0" w:color="auto"/>
            </w:tcBorders>
            <w:vAlign w:val="center"/>
            <w:hideMark/>
          </w:tcPr>
          <w:p w14:paraId="54AF5844"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p>
        </w:tc>
        <w:tc>
          <w:tcPr>
            <w:tcW w:w="4538" w:type="dxa"/>
            <w:tcBorders>
              <w:top w:val="nil"/>
              <w:left w:val="nil"/>
              <w:bottom w:val="single" w:sz="4" w:space="0" w:color="auto"/>
              <w:right w:val="single" w:sz="4" w:space="0" w:color="auto"/>
            </w:tcBorders>
            <w:shd w:val="clear" w:color="auto" w:fill="auto"/>
            <w:noWrap/>
            <w:vAlign w:val="bottom"/>
            <w:hideMark/>
          </w:tcPr>
          <w:p w14:paraId="65DA124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Toz halindeki proses kimyasalları içeren ambalajların küçük ambalajlar için yerçekimiyle, büyük ambalajlar için emme yöntemiyle boşaltılması </w:t>
            </w:r>
          </w:p>
        </w:tc>
        <w:tc>
          <w:tcPr>
            <w:tcW w:w="1693" w:type="dxa"/>
            <w:vMerge/>
            <w:tcBorders>
              <w:left w:val="nil"/>
              <w:right w:val="single" w:sz="4" w:space="0" w:color="auto"/>
            </w:tcBorders>
            <w:shd w:val="clear" w:color="auto" w:fill="auto"/>
            <w:noWrap/>
            <w:vAlign w:val="bottom"/>
            <w:hideMark/>
          </w:tcPr>
          <w:p w14:paraId="79FC050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50BCE833" w14:textId="77777777" w:rsidTr="00B875CF">
        <w:trPr>
          <w:trHeight w:val="320"/>
        </w:trPr>
        <w:tc>
          <w:tcPr>
            <w:tcW w:w="2830" w:type="dxa"/>
            <w:vMerge/>
            <w:tcBorders>
              <w:top w:val="nil"/>
              <w:left w:val="single" w:sz="4" w:space="0" w:color="auto"/>
              <w:bottom w:val="single" w:sz="4" w:space="0" w:color="auto"/>
              <w:right w:val="single" w:sz="4" w:space="0" w:color="auto"/>
            </w:tcBorders>
            <w:vAlign w:val="center"/>
            <w:hideMark/>
          </w:tcPr>
          <w:p w14:paraId="7696AAF8"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p>
        </w:tc>
        <w:tc>
          <w:tcPr>
            <w:tcW w:w="4538" w:type="dxa"/>
            <w:tcBorders>
              <w:top w:val="nil"/>
              <w:left w:val="nil"/>
              <w:bottom w:val="single" w:sz="4" w:space="0" w:color="auto"/>
              <w:right w:val="single" w:sz="4" w:space="0" w:color="auto"/>
            </w:tcBorders>
            <w:shd w:val="clear" w:color="auto" w:fill="auto"/>
            <w:noWrap/>
            <w:vAlign w:val="bottom"/>
            <w:hideMark/>
          </w:tcPr>
          <w:p w14:paraId="0D29DA8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Boş ambalajların özel bir alanda depolanması</w:t>
            </w:r>
          </w:p>
        </w:tc>
        <w:tc>
          <w:tcPr>
            <w:tcW w:w="1693" w:type="dxa"/>
            <w:vMerge/>
            <w:tcBorders>
              <w:left w:val="nil"/>
              <w:bottom w:val="single" w:sz="4" w:space="0" w:color="auto"/>
              <w:right w:val="single" w:sz="4" w:space="0" w:color="auto"/>
            </w:tcBorders>
            <w:shd w:val="clear" w:color="auto" w:fill="auto"/>
            <w:noWrap/>
            <w:vAlign w:val="bottom"/>
            <w:hideMark/>
          </w:tcPr>
          <w:p w14:paraId="19B1B01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bl>
    <w:p w14:paraId="70D20AB2" w14:textId="77777777" w:rsidR="0055515A" w:rsidRPr="0055515A" w:rsidRDefault="0055515A" w:rsidP="00B875CF">
      <w:pPr>
        <w:spacing w:after="120" w:line="360" w:lineRule="auto"/>
        <w:jc w:val="both"/>
        <w:rPr>
          <w:rFonts w:ascii="Times New Roman" w:eastAsia="Times New Roman" w:hAnsi="Times New Roman" w:cs="Times New Roman"/>
          <w:b/>
          <w:bCs/>
          <w:iCs/>
          <w:kern w:val="0"/>
          <w:sz w:val="24"/>
          <w:szCs w:val="24"/>
          <w:lang w:eastAsia="tr-TR"/>
          <w14:ligatures w14:val="none"/>
        </w:rPr>
      </w:pPr>
      <w:r w:rsidRPr="0055515A">
        <w:rPr>
          <w:rFonts w:ascii="Times New Roman" w:eastAsia="Times New Roman" w:hAnsi="Times New Roman" w:cs="Times New Roman"/>
          <w:b/>
          <w:bCs/>
          <w:iCs/>
          <w:kern w:val="0"/>
          <w:sz w:val="24"/>
          <w:szCs w:val="24"/>
          <w:lang w:eastAsia="tr-TR"/>
          <w14:ligatures w14:val="none"/>
        </w:rPr>
        <w:t>1.1.8. Havaya Emisyonlar</w:t>
      </w:r>
    </w:p>
    <w:p w14:paraId="44F14547"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22 - </w:t>
      </w:r>
      <w:r w:rsidRPr="0055515A">
        <w:rPr>
          <w:rFonts w:ascii="Times New Roman" w:eastAsia="Times New Roman" w:hAnsi="Times New Roman" w:cs="Times New Roman"/>
          <w:bCs/>
          <w:color w:val="000000"/>
          <w:kern w:val="0"/>
          <w:sz w:val="24"/>
          <w:szCs w:val="24"/>
          <w:lang w:eastAsia="tr-TR"/>
          <w14:ligatures w14:val="none"/>
        </w:rPr>
        <w:t>Havaya yayılan emisyonları (örneğin organik çözücülerin kullanımından kaynaklanan uçucu organik bileşikler) azaltmak için MET, yayılan emisyonları toplamak ve atık gazları arıtmaya göndermektedir.</w:t>
      </w:r>
    </w:p>
    <w:p w14:paraId="76FB7CF2" w14:textId="77777777" w:rsidR="0055515A" w:rsidRPr="0055515A" w:rsidRDefault="0055515A" w:rsidP="0055515A">
      <w:pPr>
        <w:spacing w:after="120" w:line="360" w:lineRule="auto"/>
        <w:jc w:val="both"/>
        <w:rPr>
          <w:rFonts w:ascii="Times New Roman" w:eastAsia="Times New Roman" w:hAnsi="Times New Roman" w:cs="Times New Roman"/>
          <w:bCs/>
          <w:i/>
          <w:iCs/>
          <w:color w:val="000000"/>
          <w:kern w:val="0"/>
          <w:sz w:val="24"/>
          <w:szCs w:val="24"/>
          <w:lang w:eastAsia="tr-TR"/>
          <w14:ligatures w14:val="none"/>
        </w:rPr>
      </w:pPr>
      <w:r w:rsidRPr="0055515A">
        <w:rPr>
          <w:rFonts w:ascii="Times New Roman" w:eastAsia="Times New Roman" w:hAnsi="Times New Roman" w:cs="Times New Roman"/>
          <w:bCs/>
          <w:i/>
          <w:iCs/>
          <w:color w:val="000000"/>
          <w:kern w:val="0"/>
          <w:sz w:val="24"/>
          <w:szCs w:val="24"/>
          <w:lang w:eastAsia="tr-TR"/>
          <w14:ligatures w14:val="none"/>
        </w:rPr>
        <w:t xml:space="preserve">Uygulanabilirlik  </w:t>
      </w:r>
    </w:p>
    <w:p w14:paraId="28F54D0C"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Cs/>
          <w:color w:val="000000"/>
          <w:kern w:val="0"/>
          <w:sz w:val="24"/>
          <w:szCs w:val="24"/>
          <w:lang w:eastAsia="tr-TR"/>
          <w14:ligatures w14:val="none"/>
        </w:rPr>
        <w:t>Mevcut tesislerde, uygulanabilirlik, işletme kısıtlamaları veya çıkarılması gereken hava hacminin yüksekliği nedeniyle sınırlı olabilir.</w:t>
      </w:r>
    </w:p>
    <w:p w14:paraId="65998605"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23 - </w:t>
      </w:r>
      <w:r w:rsidRPr="0055515A">
        <w:rPr>
          <w:rFonts w:ascii="Times New Roman" w:eastAsia="Times New Roman" w:hAnsi="Times New Roman" w:cs="Times New Roman"/>
          <w:bCs/>
          <w:color w:val="000000"/>
          <w:kern w:val="0"/>
          <w:sz w:val="24"/>
          <w:szCs w:val="24"/>
          <w:lang w:eastAsia="tr-TR"/>
          <w14:ligatures w14:val="none"/>
        </w:rPr>
        <w:t>Enerjinin geri kazanımını ve havaya yayılan emisyonların azaltılmasını kolaylaştırmak için MET, emisyon noktalarının sayısını sınırlandırmaktadır</w:t>
      </w:r>
      <w:r w:rsidRPr="0055515A">
        <w:rPr>
          <w:rFonts w:ascii="Times New Roman" w:eastAsia="Times New Roman" w:hAnsi="Times New Roman" w:cs="Times New Roman"/>
          <w:b/>
          <w:color w:val="000000"/>
          <w:kern w:val="0"/>
          <w:sz w:val="24"/>
          <w:szCs w:val="24"/>
          <w:lang w:eastAsia="tr-TR"/>
          <w14:ligatures w14:val="none"/>
        </w:rPr>
        <w:t>.</w:t>
      </w:r>
    </w:p>
    <w:p w14:paraId="4DB764A7" w14:textId="77777777" w:rsidR="0055515A" w:rsidRPr="0055515A" w:rsidRDefault="0055515A" w:rsidP="0055515A">
      <w:pPr>
        <w:spacing w:after="120" w:line="360" w:lineRule="auto"/>
        <w:jc w:val="both"/>
        <w:rPr>
          <w:rFonts w:ascii="Times New Roman" w:eastAsia="Times New Roman" w:hAnsi="Times New Roman" w:cs="Times New Roman"/>
          <w:bCs/>
          <w:i/>
          <w:iCs/>
          <w:color w:val="000000"/>
          <w:kern w:val="0"/>
          <w:sz w:val="24"/>
          <w:szCs w:val="24"/>
          <w:lang w:eastAsia="tr-TR"/>
          <w14:ligatures w14:val="none"/>
        </w:rPr>
      </w:pPr>
      <w:r w:rsidRPr="0055515A">
        <w:rPr>
          <w:rFonts w:ascii="Times New Roman" w:eastAsia="Times New Roman" w:hAnsi="Times New Roman" w:cs="Times New Roman"/>
          <w:bCs/>
          <w:i/>
          <w:iCs/>
          <w:color w:val="000000"/>
          <w:kern w:val="0"/>
          <w:sz w:val="24"/>
          <w:szCs w:val="24"/>
          <w:lang w:eastAsia="tr-TR"/>
          <w14:ligatures w14:val="none"/>
        </w:rPr>
        <w:t>Açıklama</w:t>
      </w:r>
    </w:p>
    <w:p w14:paraId="0F9D37A8"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Cs/>
          <w:color w:val="000000"/>
          <w:kern w:val="0"/>
          <w:sz w:val="24"/>
          <w:szCs w:val="24"/>
          <w:lang w:eastAsia="tr-TR"/>
          <w14:ligatures w14:val="none"/>
        </w:rPr>
        <w:t>Benzer özelliklere sahip atık gazların birleşik olarak işlenmesi, bireysel atık gaz akımlarının ayrı ayrı işlenmesine kıyasla daha etkili ve verimli bir işlem sağlar. Emisyon noktalarının sayısının ne kadar sınırlanabileceği, teknik (örneğin, bireysel atık gaz akımlarının uyumluluğu) ve ekonomik faktörlere (örneğin, farklı emisyon noktaları arasındaki mesafe) bağlıdır. Emisyon noktalarının sayısının sınırlanmasının emisyonların seyreltilmesine yol açmaması için özen gösterilir.</w:t>
      </w:r>
    </w:p>
    <w:p w14:paraId="1D6CEB78"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24 - </w:t>
      </w:r>
      <w:r w:rsidRPr="0055515A">
        <w:rPr>
          <w:rFonts w:ascii="Times New Roman" w:eastAsia="Times New Roman" w:hAnsi="Times New Roman" w:cs="Times New Roman"/>
          <w:bCs/>
          <w:color w:val="000000"/>
          <w:kern w:val="0"/>
          <w:sz w:val="24"/>
          <w:szCs w:val="24"/>
          <w:lang w:eastAsia="tr-TR"/>
          <w14:ligatures w14:val="none"/>
        </w:rPr>
        <w:t>Kuru temizleme ve organik çözücü ile ovma işlemlerinden havaya organik bileşik salımını önlemek için MET, aktif karbon ile soğurma işlemiyle arıtmakta (bkz. Bölüm 1.9.2) ve tamamen sirküle etmektedir.</w:t>
      </w:r>
    </w:p>
    <w:p w14:paraId="76922059"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25 - </w:t>
      </w:r>
      <w:r w:rsidRPr="0055515A">
        <w:rPr>
          <w:rFonts w:ascii="Times New Roman" w:eastAsia="Times New Roman" w:hAnsi="Times New Roman" w:cs="Times New Roman"/>
          <w:bCs/>
          <w:color w:val="000000"/>
          <w:kern w:val="0"/>
          <w:sz w:val="24"/>
          <w:szCs w:val="24"/>
          <w:lang w:eastAsia="tr-TR"/>
          <w14:ligatures w14:val="none"/>
        </w:rPr>
        <w:t>Örme sentetik tekstil malzemelerinin ön işleminden kaynaklanan havaya organik bileşik emisyonlarını azaltmak için MET, termofiksaj veya ısıyla sertleştirme öncesinde ürünleri yıkamaktadır.</w:t>
      </w:r>
    </w:p>
    <w:p w14:paraId="5EEFFAA7" w14:textId="77777777" w:rsidR="0055515A" w:rsidRPr="0055515A" w:rsidRDefault="0055515A" w:rsidP="0055515A">
      <w:pPr>
        <w:spacing w:after="120" w:line="360" w:lineRule="auto"/>
        <w:jc w:val="both"/>
        <w:rPr>
          <w:rFonts w:ascii="Times New Roman" w:eastAsia="Times New Roman" w:hAnsi="Times New Roman" w:cs="Times New Roman"/>
          <w:i/>
          <w:iCs/>
          <w:kern w:val="0"/>
          <w:sz w:val="24"/>
          <w:szCs w:val="24"/>
          <w:lang w:eastAsia="tr-TR"/>
          <w14:ligatures w14:val="none"/>
        </w:rPr>
      </w:pPr>
      <w:r w:rsidRPr="0055515A">
        <w:rPr>
          <w:rFonts w:ascii="Times New Roman" w:eastAsia="Times New Roman" w:hAnsi="Times New Roman" w:cs="Times New Roman"/>
          <w:i/>
          <w:iCs/>
          <w:kern w:val="0"/>
          <w:sz w:val="24"/>
          <w:szCs w:val="24"/>
          <w:lang w:eastAsia="tr-TR"/>
          <w14:ligatures w14:val="none"/>
        </w:rPr>
        <w:t xml:space="preserve">Uygulanabilirlik  </w:t>
      </w:r>
    </w:p>
    <w:p w14:paraId="376FD07B"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Uygulanabilirlik, kumaş yapısı ile sınırlı olabilir.</w:t>
      </w:r>
    </w:p>
    <w:p w14:paraId="579DC32B" w14:textId="4C070DCC" w:rsid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lastRenderedPageBreak/>
        <w:t xml:space="preserve">MET 26 - </w:t>
      </w:r>
      <w:r w:rsidRPr="0055515A">
        <w:rPr>
          <w:rFonts w:ascii="Times New Roman" w:eastAsia="Times New Roman" w:hAnsi="Times New Roman" w:cs="Times New Roman"/>
          <w:kern w:val="0"/>
          <w:sz w:val="24"/>
          <w:szCs w:val="24"/>
          <w:lang w:eastAsia="tr-TR"/>
          <w14:ligatures w14:val="none"/>
        </w:rPr>
        <w:t>Yakma, ısıl işlem, kaplama ve laminasyondan kaynaklanan organik bileşiklerin baca gazı emisyonlarını önlemek veya azaltmak için MET, aşağıda verilen tekniklerden birini veya bir kombinasyonunu kullanmaktadır.</w:t>
      </w:r>
    </w:p>
    <w:p w14:paraId="45A936C8" w14:textId="07A7712C" w:rsidR="00691C2D" w:rsidRDefault="00691C2D" w:rsidP="0055515A">
      <w:pPr>
        <w:spacing w:after="120" w:line="360" w:lineRule="auto"/>
        <w:jc w:val="both"/>
        <w:rPr>
          <w:rFonts w:ascii="Times New Roman" w:eastAsia="Times New Roman" w:hAnsi="Times New Roman" w:cs="Times New Roman"/>
          <w:kern w:val="0"/>
          <w:sz w:val="24"/>
          <w:szCs w:val="24"/>
          <w:lang w:eastAsia="tr-TR"/>
          <w14:ligatures w14:val="none"/>
        </w:rPr>
      </w:pPr>
    </w:p>
    <w:p w14:paraId="3DAD68A5" w14:textId="77777777" w:rsidR="00691C2D" w:rsidRPr="0055515A" w:rsidRDefault="00691C2D" w:rsidP="0055515A">
      <w:pPr>
        <w:spacing w:after="120" w:line="360" w:lineRule="auto"/>
        <w:jc w:val="both"/>
        <w:rPr>
          <w:rFonts w:ascii="Times New Roman" w:eastAsia="Times New Roman" w:hAnsi="Times New Roman" w:cs="Times New Roman"/>
          <w:kern w:val="0"/>
          <w:sz w:val="24"/>
          <w:szCs w:val="24"/>
          <w:lang w:eastAsia="tr-TR"/>
          <w14:ligatures w14:val="none"/>
        </w:rPr>
      </w:pPr>
    </w:p>
    <w:tbl>
      <w:tblPr>
        <w:tblW w:w="9060" w:type="dxa"/>
        <w:tblCellMar>
          <w:left w:w="70" w:type="dxa"/>
          <w:right w:w="70" w:type="dxa"/>
        </w:tblCellMar>
        <w:tblLook w:val="04A0" w:firstRow="1" w:lastRow="0" w:firstColumn="1" w:lastColumn="0" w:noHBand="0" w:noVBand="1"/>
      </w:tblPr>
      <w:tblGrid>
        <w:gridCol w:w="2297"/>
        <w:gridCol w:w="2801"/>
        <w:gridCol w:w="3962"/>
      </w:tblGrid>
      <w:tr w:rsidR="0055515A" w:rsidRPr="0055515A" w14:paraId="2D0039EF" w14:textId="77777777" w:rsidTr="00691C2D">
        <w:trPr>
          <w:trHeight w:val="320"/>
        </w:trPr>
        <w:tc>
          <w:tcPr>
            <w:tcW w:w="22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52335"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 xml:space="preserve">Teknik </w:t>
            </w:r>
          </w:p>
        </w:tc>
        <w:tc>
          <w:tcPr>
            <w:tcW w:w="2801" w:type="dxa"/>
            <w:tcBorders>
              <w:top w:val="single" w:sz="4" w:space="0" w:color="auto"/>
              <w:left w:val="nil"/>
              <w:bottom w:val="single" w:sz="4" w:space="0" w:color="auto"/>
              <w:right w:val="single" w:sz="4" w:space="0" w:color="auto"/>
            </w:tcBorders>
            <w:shd w:val="clear" w:color="auto" w:fill="auto"/>
            <w:noWrap/>
            <w:vAlign w:val="bottom"/>
            <w:hideMark/>
          </w:tcPr>
          <w:p w14:paraId="0F349940"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"Tipik hedef kirleticiler"</w:t>
            </w:r>
          </w:p>
        </w:tc>
        <w:tc>
          <w:tcPr>
            <w:tcW w:w="3962" w:type="dxa"/>
            <w:tcBorders>
              <w:top w:val="single" w:sz="4" w:space="0" w:color="auto"/>
              <w:left w:val="nil"/>
              <w:bottom w:val="single" w:sz="4" w:space="0" w:color="auto"/>
              <w:right w:val="single" w:sz="4" w:space="0" w:color="auto"/>
            </w:tcBorders>
            <w:shd w:val="clear" w:color="auto" w:fill="auto"/>
            <w:noWrap/>
            <w:vAlign w:val="bottom"/>
            <w:hideMark/>
          </w:tcPr>
          <w:p w14:paraId="6FE7DC6D"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39B3E10E" w14:textId="77777777" w:rsidTr="0024730D">
        <w:trPr>
          <w:trHeight w:val="320"/>
        </w:trPr>
        <w:tc>
          <w:tcPr>
            <w:tcW w:w="906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BB54D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Önleme Teknikleri</w:t>
            </w:r>
          </w:p>
        </w:tc>
      </w:tr>
      <w:tr w:rsidR="0055515A" w:rsidRPr="0055515A" w14:paraId="6DB35B43" w14:textId="77777777" w:rsidTr="00691C2D">
        <w:trPr>
          <w:trHeight w:val="320"/>
        </w:trPr>
        <w:tc>
          <w:tcPr>
            <w:tcW w:w="2297" w:type="dxa"/>
            <w:tcBorders>
              <w:top w:val="nil"/>
              <w:left w:val="single" w:sz="4" w:space="0" w:color="auto"/>
              <w:bottom w:val="single" w:sz="4" w:space="0" w:color="auto"/>
              <w:right w:val="single" w:sz="4" w:space="0" w:color="auto"/>
            </w:tcBorders>
            <w:shd w:val="clear" w:color="auto" w:fill="auto"/>
            <w:noWrap/>
            <w:vAlign w:val="bottom"/>
            <w:hideMark/>
          </w:tcPr>
          <w:p w14:paraId="44CD9B3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a.Kimyasal karışımların seçimi ve kullanımı</w:t>
            </w:r>
          </w:p>
        </w:tc>
        <w:tc>
          <w:tcPr>
            <w:tcW w:w="2801" w:type="dxa"/>
            <w:tcBorders>
              <w:top w:val="nil"/>
              <w:left w:val="nil"/>
              <w:bottom w:val="single" w:sz="4" w:space="0" w:color="auto"/>
              <w:right w:val="single" w:sz="4" w:space="0" w:color="auto"/>
            </w:tcBorders>
            <w:shd w:val="clear" w:color="auto" w:fill="auto"/>
            <w:noWrap/>
            <w:vAlign w:val="bottom"/>
            <w:hideMark/>
          </w:tcPr>
          <w:p w14:paraId="1EC98C7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Organik bileşikler</w:t>
            </w:r>
          </w:p>
        </w:tc>
        <w:tc>
          <w:tcPr>
            <w:tcW w:w="3962" w:type="dxa"/>
            <w:tcBorders>
              <w:top w:val="nil"/>
              <w:left w:val="nil"/>
              <w:bottom w:val="single" w:sz="4" w:space="0" w:color="auto"/>
              <w:right w:val="single" w:sz="4" w:space="0" w:color="auto"/>
            </w:tcBorders>
            <w:shd w:val="clear" w:color="auto" w:fill="auto"/>
            <w:noWrap/>
            <w:vAlign w:val="bottom"/>
            <w:hideMark/>
          </w:tcPr>
          <w:p w14:paraId="351E7D2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Düşük organik bileşik emisyonlarına sahip karışımlar, ürün spesifikasyonları göz önünde bulundurularak seçilir ve kullanılır (bkz. MET 14, MET 17, MET 50, MET 51). Bir örnek olarak, seçim için emisyon faktörleri kullanılabilir (bkz. Bölüm 1.9.1).</w:t>
            </w:r>
          </w:p>
        </w:tc>
      </w:tr>
      <w:tr w:rsidR="0055515A" w:rsidRPr="0055515A" w14:paraId="4ECFBD50" w14:textId="77777777" w:rsidTr="0024730D">
        <w:trPr>
          <w:trHeight w:val="320"/>
        </w:trPr>
        <w:tc>
          <w:tcPr>
            <w:tcW w:w="906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4C11859"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Azaltma Teknikleri</w:t>
            </w:r>
          </w:p>
        </w:tc>
      </w:tr>
      <w:tr w:rsidR="0055515A" w:rsidRPr="0055515A" w14:paraId="0A99578F" w14:textId="77777777" w:rsidTr="00691C2D">
        <w:trPr>
          <w:trHeight w:val="320"/>
        </w:trPr>
        <w:tc>
          <w:tcPr>
            <w:tcW w:w="2297" w:type="dxa"/>
            <w:tcBorders>
              <w:top w:val="nil"/>
              <w:left w:val="single" w:sz="4" w:space="0" w:color="auto"/>
              <w:bottom w:val="single" w:sz="4" w:space="0" w:color="auto"/>
              <w:right w:val="single" w:sz="4" w:space="0" w:color="auto"/>
            </w:tcBorders>
            <w:shd w:val="clear" w:color="auto" w:fill="auto"/>
            <w:noWrap/>
            <w:vAlign w:val="bottom"/>
            <w:hideMark/>
          </w:tcPr>
          <w:p w14:paraId="129E7BA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b.Yoğunlaşma</w:t>
            </w:r>
          </w:p>
        </w:tc>
        <w:tc>
          <w:tcPr>
            <w:tcW w:w="2801" w:type="dxa"/>
            <w:tcBorders>
              <w:top w:val="nil"/>
              <w:left w:val="nil"/>
              <w:bottom w:val="single" w:sz="4" w:space="0" w:color="auto"/>
              <w:right w:val="single" w:sz="4" w:space="0" w:color="auto"/>
            </w:tcBorders>
            <w:shd w:val="clear" w:color="auto" w:fill="auto"/>
            <w:noWrap/>
            <w:vAlign w:val="bottom"/>
            <w:hideMark/>
          </w:tcPr>
          <w:p w14:paraId="64F9B9F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Formaldehit hariç organik bileşikler</w:t>
            </w:r>
          </w:p>
        </w:tc>
        <w:tc>
          <w:tcPr>
            <w:tcW w:w="3962" w:type="dxa"/>
            <w:vMerge w:val="restart"/>
            <w:tcBorders>
              <w:top w:val="nil"/>
              <w:left w:val="nil"/>
              <w:right w:val="single" w:sz="4" w:space="0" w:color="auto"/>
            </w:tcBorders>
            <w:shd w:val="clear" w:color="auto" w:fill="auto"/>
            <w:noWrap/>
            <w:vAlign w:val="bottom"/>
            <w:hideMark/>
          </w:tcPr>
          <w:p w14:paraId="5B5FF07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Bölüm 1.9.2'ye bkz.</w:t>
            </w:r>
          </w:p>
        </w:tc>
      </w:tr>
      <w:tr w:rsidR="0055515A" w:rsidRPr="0055515A" w14:paraId="066B73BE" w14:textId="77777777" w:rsidTr="00691C2D">
        <w:trPr>
          <w:trHeight w:val="320"/>
        </w:trPr>
        <w:tc>
          <w:tcPr>
            <w:tcW w:w="2297" w:type="dxa"/>
            <w:tcBorders>
              <w:top w:val="nil"/>
              <w:left w:val="single" w:sz="4" w:space="0" w:color="auto"/>
              <w:bottom w:val="single" w:sz="4" w:space="0" w:color="auto"/>
              <w:right w:val="single" w:sz="4" w:space="0" w:color="auto"/>
            </w:tcBorders>
            <w:shd w:val="clear" w:color="auto" w:fill="auto"/>
            <w:noWrap/>
            <w:vAlign w:val="bottom"/>
            <w:hideMark/>
          </w:tcPr>
          <w:p w14:paraId="37C0B74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c.Termal oksidasyon</w:t>
            </w:r>
          </w:p>
        </w:tc>
        <w:tc>
          <w:tcPr>
            <w:tcW w:w="2801" w:type="dxa"/>
            <w:tcBorders>
              <w:top w:val="nil"/>
              <w:left w:val="nil"/>
              <w:bottom w:val="single" w:sz="4" w:space="0" w:color="auto"/>
              <w:right w:val="single" w:sz="4" w:space="0" w:color="auto"/>
            </w:tcBorders>
            <w:shd w:val="clear" w:color="auto" w:fill="auto"/>
            <w:noWrap/>
            <w:vAlign w:val="bottom"/>
            <w:hideMark/>
          </w:tcPr>
          <w:p w14:paraId="77431C3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Organik bileşikler</w:t>
            </w:r>
          </w:p>
        </w:tc>
        <w:tc>
          <w:tcPr>
            <w:tcW w:w="3962" w:type="dxa"/>
            <w:vMerge/>
            <w:tcBorders>
              <w:left w:val="nil"/>
              <w:right w:val="single" w:sz="4" w:space="0" w:color="auto"/>
            </w:tcBorders>
            <w:shd w:val="clear" w:color="auto" w:fill="auto"/>
            <w:noWrap/>
            <w:vAlign w:val="bottom"/>
            <w:hideMark/>
          </w:tcPr>
          <w:p w14:paraId="649D6D0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572BA9A7" w14:textId="77777777" w:rsidTr="00691C2D">
        <w:trPr>
          <w:trHeight w:val="320"/>
        </w:trPr>
        <w:tc>
          <w:tcPr>
            <w:tcW w:w="2297" w:type="dxa"/>
            <w:tcBorders>
              <w:top w:val="nil"/>
              <w:left w:val="single" w:sz="4" w:space="0" w:color="auto"/>
              <w:bottom w:val="single" w:sz="4" w:space="0" w:color="auto"/>
              <w:right w:val="single" w:sz="4" w:space="0" w:color="auto"/>
            </w:tcBorders>
            <w:shd w:val="clear" w:color="auto" w:fill="auto"/>
            <w:noWrap/>
            <w:vAlign w:val="bottom"/>
            <w:hideMark/>
          </w:tcPr>
          <w:p w14:paraId="6343F23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d.Islak yıkama</w:t>
            </w:r>
          </w:p>
        </w:tc>
        <w:tc>
          <w:tcPr>
            <w:tcW w:w="2801" w:type="dxa"/>
            <w:tcBorders>
              <w:top w:val="nil"/>
              <w:left w:val="nil"/>
              <w:bottom w:val="single" w:sz="4" w:space="0" w:color="auto"/>
              <w:right w:val="single" w:sz="4" w:space="0" w:color="auto"/>
            </w:tcBorders>
            <w:shd w:val="clear" w:color="auto" w:fill="auto"/>
            <w:noWrap/>
            <w:vAlign w:val="bottom"/>
            <w:hideMark/>
          </w:tcPr>
          <w:p w14:paraId="40B0695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Organik bileşikler</w:t>
            </w:r>
          </w:p>
        </w:tc>
        <w:tc>
          <w:tcPr>
            <w:tcW w:w="3962" w:type="dxa"/>
            <w:vMerge/>
            <w:tcBorders>
              <w:left w:val="nil"/>
              <w:right w:val="single" w:sz="4" w:space="0" w:color="auto"/>
            </w:tcBorders>
            <w:shd w:val="clear" w:color="auto" w:fill="auto"/>
            <w:noWrap/>
            <w:vAlign w:val="bottom"/>
            <w:hideMark/>
          </w:tcPr>
          <w:p w14:paraId="4AC7343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3A9D2B37" w14:textId="77777777" w:rsidTr="00691C2D">
        <w:trPr>
          <w:trHeight w:val="320"/>
        </w:trPr>
        <w:tc>
          <w:tcPr>
            <w:tcW w:w="2297" w:type="dxa"/>
            <w:tcBorders>
              <w:top w:val="nil"/>
              <w:left w:val="single" w:sz="4" w:space="0" w:color="auto"/>
              <w:bottom w:val="single" w:sz="4" w:space="0" w:color="auto"/>
              <w:right w:val="single" w:sz="4" w:space="0" w:color="auto"/>
            </w:tcBorders>
            <w:shd w:val="clear" w:color="auto" w:fill="auto"/>
            <w:noWrap/>
            <w:vAlign w:val="bottom"/>
            <w:hideMark/>
          </w:tcPr>
          <w:p w14:paraId="41184CED" w14:textId="77777777" w:rsidR="0055515A" w:rsidRPr="0055515A" w:rsidRDefault="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e.</w:t>
            </w:r>
            <w:r w:rsidR="000815E1">
              <w:rPr>
                <w:rFonts w:ascii="Times New Roman" w:eastAsia="Times New Roman" w:hAnsi="Times New Roman" w:cs="Times New Roman"/>
                <w:color w:val="000000"/>
                <w:kern w:val="0"/>
                <w:lang w:eastAsia="tr-TR"/>
                <w14:ligatures w14:val="none"/>
              </w:rPr>
              <w:t>Adsorpsiyon</w:t>
            </w:r>
          </w:p>
        </w:tc>
        <w:tc>
          <w:tcPr>
            <w:tcW w:w="2801" w:type="dxa"/>
            <w:tcBorders>
              <w:top w:val="nil"/>
              <w:left w:val="nil"/>
              <w:bottom w:val="single" w:sz="4" w:space="0" w:color="auto"/>
              <w:right w:val="single" w:sz="4" w:space="0" w:color="auto"/>
            </w:tcBorders>
            <w:shd w:val="clear" w:color="auto" w:fill="auto"/>
            <w:noWrap/>
            <w:vAlign w:val="bottom"/>
            <w:hideMark/>
          </w:tcPr>
          <w:p w14:paraId="5C4BF11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Formaldehit hariç organik bileşikler</w:t>
            </w:r>
          </w:p>
        </w:tc>
        <w:tc>
          <w:tcPr>
            <w:tcW w:w="3962" w:type="dxa"/>
            <w:vMerge/>
            <w:tcBorders>
              <w:left w:val="nil"/>
              <w:bottom w:val="single" w:sz="4" w:space="0" w:color="auto"/>
              <w:right w:val="single" w:sz="4" w:space="0" w:color="auto"/>
            </w:tcBorders>
            <w:shd w:val="clear" w:color="auto" w:fill="auto"/>
            <w:noWrap/>
            <w:vAlign w:val="bottom"/>
            <w:hideMark/>
          </w:tcPr>
          <w:p w14:paraId="686D0D1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bl>
    <w:p w14:paraId="33C7A618" w14:textId="77777777" w:rsidR="0055515A" w:rsidRPr="0055515A" w:rsidRDefault="0055515A" w:rsidP="00EA5A0B">
      <w:pPr>
        <w:spacing w:after="120" w:line="240" w:lineRule="auto"/>
        <w:jc w:val="center"/>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Tablo 1.5</w:t>
      </w:r>
      <w:r w:rsidRPr="0055515A">
        <w:rPr>
          <w:rFonts w:ascii="Times New Roman" w:eastAsia="Times New Roman" w:hAnsi="Times New Roman" w:cs="Times New Roman"/>
          <w:color w:val="000000"/>
          <w:kern w:val="0"/>
          <w:sz w:val="24"/>
          <w:szCs w:val="24"/>
          <w:lang w:eastAsia="tr-TR"/>
          <w14:ligatures w14:val="none"/>
        </w:rPr>
        <w:br/>
      </w:r>
      <w:r w:rsidRPr="0055515A">
        <w:rPr>
          <w:rFonts w:ascii="Times New Roman" w:eastAsia="Times New Roman" w:hAnsi="Times New Roman" w:cs="Times New Roman"/>
          <w:b/>
          <w:bCs/>
          <w:color w:val="000000"/>
          <w:kern w:val="0"/>
          <w:sz w:val="24"/>
          <w:szCs w:val="24"/>
          <w:lang w:eastAsia="tr-TR"/>
          <w14:ligatures w14:val="none"/>
        </w:rPr>
        <w:t>Organik Bileşikler ve Formaldehit için Hava Yolu ile Baca gazı Emisyonlar için MET ile İlişkili Emisyon Seviyeleri (MET-İES'ler)</w:t>
      </w:r>
    </w:p>
    <w:tbl>
      <w:tblPr>
        <w:tblW w:w="8955" w:type="dxa"/>
        <w:tblCellMar>
          <w:left w:w="70" w:type="dxa"/>
          <w:right w:w="70" w:type="dxa"/>
        </w:tblCellMar>
        <w:tblLook w:val="04A0" w:firstRow="1" w:lastRow="0" w:firstColumn="1" w:lastColumn="0" w:noHBand="0" w:noVBand="1"/>
      </w:tblPr>
      <w:tblGrid>
        <w:gridCol w:w="3256"/>
        <w:gridCol w:w="3969"/>
        <w:gridCol w:w="1730"/>
      </w:tblGrid>
      <w:tr w:rsidR="0055515A" w:rsidRPr="00EA5A0B" w14:paraId="4E538838" w14:textId="77777777" w:rsidTr="00EA5A0B">
        <w:trPr>
          <w:trHeight w:val="1071"/>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3BC13C" w14:textId="77777777" w:rsidR="0055515A" w:rsidRPr="00EA5A0B"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EA5A0B">
              <w:rPr>
                <w:rFonts w:ascii="Times New Roman" w:eastAsia="Times New Roman" w:hAnsi="Times New Roman" w:cs="Times New Roman"/>
                <w:b/>
                <w:bCs/>
                <w:color w:val="000000"/>
                <w:kern w:val="0"/>
                <w:lang w:eastAsia="tr-TR"/>
                <w14:ligatures w14:val="none"/>
              </w:rPr>
              <w:t>Madde/Parametre</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4870DE75" w14:textId="77777777" w:rsidR="0055515A" w:rsidRPr="00EA5A0B"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EA5A0B">
              <w:rPr>
                <w:rFonts w:ascii="Times New Roman" w:eastAsia="Times New Roman" w:hAnsi="Times New Roman" w:cs="Times New Roman"/>
                <w:b/>
                <w:bCs/>
                <w:color w:val="000000"/>
                <w:kern w:val="0"/>
                <w:lang w:eastAsia="tr-TR"/>
                <w14:ligatures w14:val="none"/>
              </w:rPr>
              <w:t>Faaliyetler/Prosesler (ilişkili termal işlemler dahil)</w:t>
            </w:r>
          </w:p>
        </w:tc>
        <w:tc>
          <w:tcPr>
            <w:tcW w:w="1730" w:type="dxa"/>
            <w:tcBorders>
              <w:top w:val="single" w:sz="4" w:space="0" w:color="auto"/>
              <w:left w:val="nil"/>
              <w:bottom w:val="single" w:sz="4" w:space="0" w:color="auto"/>
              <w:right w:val="single" w:sz="4" w:space="0" w:color="auto"/>
            </w:tcBorders>
            <w:shd w:val="clear" w:color="auto" w:fill="auto"/>
            <w:noWrap/>
            <w:vAlign w:val="bottom"/>
            <w:hideMark/>
          </w:tcPr>
          <w:p w14:paraId="2D13092B" w14:textId="77777777" w:rsidR="0055515A" w:rsidRPr="00EA5A0B"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EA5A0B">
              <w:rPr>
                <w:rFonts w:ascii="Times New Roman" w:eastAsia="Times New Roman" w:hAnsi="Times New Roman" w:cs="Times New Roman"/>
                <w:b/>
                <w:bCs/>
                <w:color w:val="000000"/>
                <w:kern w:val="0"/>
                <w:lang w:eastAsia="tr-TR"/>
                <w14:ligatures w14:val="none"/>
              </w:rPr>
              <w:t>MET-İES (Numune alma dönemi ortalaması) (mg/Nm³)</w:t>
            </w:r>
          </w:p>
        </w:tc>
      </w:tr>
      <w:tr w:rsidR="0055515A" w:rsidRPr="00EA5A0B" w14:paraId="6303E685" w14:textId="77777777" w:rsidTr="00EA5A0B">
        <w:trPr>
          <w:trHeight w:val="320"/>
        </w:trPr>
        <w:tc>
          <w:tcPr>
            <w:tcW w:w="3256" w:type="dxa"/>
            <w:vMerge w:val="restart"/>
            <w:tcBorders>
              <w:top w:val="nil"/>
              <w:left w:val="single" w:sz="4" w:space="0" w:color="auto"/>
              <w:right w:val="single" w:sz="4" w:space="0" w:color="auto"/>
            </w:tcBorders>
            <w:shd w:val="clear" w:color="auto" w:fill="auto"/>
            <w:noWrap/>
            <w:vAlign w:val="bottom"/>
            <w:hideMark/>
          </w:tcPr>
          <w:p w14:paraId="759D9EC3" w14:textId="77777777" w:rsidR="0055515A" w:rsidRPr="00EA5A0B"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EA5A0B">
              <w:rPr>
                <w:rFonts w:ascii="Times New Roman" w:eastAsia="Times New Roman" w:hAnsi="Times New Roman" w:cs="Times New Roman"/>
                <w:bCs/>
                <w:color w:val="000000"/>
                <w:kern w:val="0"/>
                <w:lang w:eastAsia="tr-TR"/>
                <w14:ligatures w14:val="none"/>
              </w:rPr>
              <w:t>Formaldehit</w:t>
            </w:r>
          </w:p>
          <w:p w14:paraId="3AE0978D"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5522C7AD"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32530E51"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3759046E" w14:textId="77777777" w:rsidR="0055515A" w:rsidRPr="00EA5A0B"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tc>
        <w:tc>
          <w:tcPr>
            <w:tcW w:w="3969" w:type="dxa"/>
            <w:tcBorders>
              <w:top w:val="nil"/>
              <w:left w:val="nil"/>
              <w:bottom w:val="single" w:sz="4" w:space="0" w:color="auto"/>
              <w:right w:val="single" w:sz="4" w:space="0" w:color="auto"/>
            </w:tcBorders>
            <w:shd w:val="clear" w:color="auto" w:fill="auto"/>
            <w:noWrap/>
            <w:vAlign w:val="bottom"/>
            <w:hideMark/>
          </w:tcPr>
          <w:p w14:paraId="6D0BC2FB"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Kaplama (</w:t>
            </w:r>
            <w:r w:rsidRPr="00EA5A0B">
              <w:rPr>
                <w:rFonts w:ascii="Times New Roman" w:eastAsia="Times New Roman" w:hAnsi="Times New Roman" w:cs="Times New Roman"/>
                <w:color w:val="000000"/>
                <w:kern w:val="0"/>
                <w:vertAlign w:val="superscript"/>
                <w:lang w:eastAsia="tr-TR"/>
                <w14:ligatures w14:val="none"/>
              </w:rPr>
              <w:t>1</w:t>
            </w:r>
            <w:r w:rsidRPr="00EA5A0B">
              <w:rPr>
                <w:rFonts w:ascii="Times New Roman" w:eastAsia="Times New Roman" w:hAnsi="Times New Roman" w:cs="Times New Roman"/>
                <w:color w:val="000000"/>
                <w:kern w:val="0"/>
                <w:lang w:eastAsia="tr-TR"/>
                <w14:ligatures w14:val="none"/>
              </w:rPr>
              <w:t>)</w:t>
            </w:r>
          </w:p>
        </w:tc>
        <w:tc>
          <w:tcPr>
            <w:tcW w:w="1730" w:type="dxa"/>
            <w:vMerge w:val="restart"/>
            <w:tcBorders>
              <w:top w:val="nil"/>
              <w:left w:val="nil"/>
              <w:right w:val="single" w:sz="4" w:space="0" w:color="auto"/>
            </w:tcBorders>
            <w:shd w:val="clear" w:color="auto" w:fill="auto"/>
            <w:noWrap/>
            <w:vAlign w:val="bottom"/>
            <w:hideMark/>
          </w:tcPr>
          <w:p w14:paraId="7743FAE9"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1–5 (</w:t>
            </w:r>
            <w:r w:rsidRPr="00EA5A0B">
              <w:rPr>
                <w:rFonts w:ascii="Times New Roman" w:eastAsia="Times New Roman" w:hAnsi="Times New Roman" w:cs="Times New Roman"/>
                <w:color w:val="000000"/>
                <w:kern w:val="0"/>
                <w:vertAlign w:val="superscript"/>
                <w:lang w:eastAsia="tr-TR"/>
                <w14:ligatures w14:val="none"/>
              </w:rPr>
              <w:t>2</w:t>
            </w:r>
            <w:r w:rsidRPr="00EA5A0B">
              <w:rPr>
                <w:rFonts w:ascii="Times New Roman" w:eastAsia="Times New Roman" w:hAnsi="Times New Roman" w:cs="Times New Roman"/>
                <w:color w:val="000000"/>
                <w:kern w:val="0"/>
                <w:lang w:eastAsia="tr-TR"/>
                <w14:ligatures w14:val="none"/>
              </w:rPr>
              <w:t>) (</w:t>
            </w:r>
            <w:r w:rsidRPr="00EA5A0B">
              <w:rPr>
                <w:rFonts w:ascii="Times New Roman" w:eastAsia="Times New Roman" w:hAnsi="Times New Roman" w:cs="Times New Roman"/>
                <w:color w:val="000000"/>
                <w:kern w:val="0"/>
                <w:vertAlign w:val="superscript"/>
                <w:lang w:eastAsia="tr-TR"/>
                <w14:ligatures w14:val="none"/>
              </w:rPr>
              <w:t>3</w:t>
            </w:r>
            <w:r w:rsidRPr="00EA5A0B">
              <w:rPr>
                <w:rFonts w:ascii="Times New Roman" w:eastAsia="Times New Roman" w:hAnsi="Times New Roman" w:cs="Times New Roman"/>
                <w:color w:val="000000"/>
                <w:kern w:val="0"/>
                <w:lang w:eastAsia="tr-TR"/>
                <w14:ligatures w14:val="none"/>
              </w:rPr>
              <w:t>)</w:t>
            </w:r>
          </w:p>
          <w:p w14:paraId="05FDB3DC"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1578D558" w14:textId="66108E05" w:rsidR="00557323" w:rsidRPr="00EA5A0B" w:rsidRDefault="0055515A" w:rsidP="00557323">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70E9B218"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p w14:paraId="5062453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6507458C"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tc>
      </w:tr>
      <w:tr w:rsidR="0055515A" w:rsidRPr="00EA5A0B" w14:paraId="28B71BE5"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27AF7447"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110C9A38"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Alevle lamina</w:t>
            </w:r>
          </w:p>
        </w:tc>
        <w:tc>
          <w:tcPr>
            <w:tcW w:w="1730" w:type="dxa"/>
            <w:vMerge/>
            <w:tcBorders>
              <w:left w:val="nil"/>
              <w:right w:val="single" w:sz="4" w:space="0" w:color="auto"/>
            </w:tcBorders>
            <w:shd w:val="clear" w:color="auto" w:fill="auto"/>
            <w:noWrap/>
            <w:vAlign w:val="bottom"/>
            <w:hideMark/>
          </w:tcPr>
          <w:p w14:paraId="2B850254"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118621C7"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13B5EFB1"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45B9286D"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Baskı (</w:t>
            </w:r>
            <w:r w:rsidRPr="00EA5A0B">
              <w:rPr>
                <w:rFonts w:ascii="Times New Roman" w:eastAsia="Times New Roman" w:hAnsi="Times New Roman" w:cs="Times New Roman"/>
                <w:color w:val="000000"/>
                <w:kern w:val="0"/>
                <w:vertAlign w:val="superscript"/>
                <w:lang w:eastAsia="tr-TR"/>
                <w14:ligatures w14:val="none"/>
              </w:rPr>
              <w:t>1</w:t>
            </w:r>
            <w:r w:rsidRPr="00EA5A0B">
              <w:rPr>
                <w:rFonts w:ascii="Times New Roman" w:eastAsia="Times New Roman" w:hAnsi="Times New Roman" w:cs="Times New Roman"/>
                <w:color w:val="000000"/>
                <w:kern w:val="0"/>
                <w:lang w:eastAsia="tr-TR"/>
                <w14:ligatures w14:val="none"/>
              </w:rPr>
              <w:t>)</w:t>
            </w:r>
          </w:p>
        </w:tc>
        <w:tc>
          <w:tcPr>
            <w:tcW w:w="1730" w:type="dxa"/>
            <w:vMerge/>
            <w:tcBorders>
              <w:left w:val="nil"/>
              <w:right w:val="single" w:sz="4" w:space="0" w:color="auto"/>
            </w:tcBorders>
            <w:shd w:val="clear" w:color="auto" w:fill="auto"/>
            <w:noWrap/>
            <w:vAlign w:val="bottom"/>
            <w:hideMark/>
          </w:tcPr>
          <w:p w14:paraId="6B50B03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7C2B9113"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61CA8E75"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32C7FD11"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Yanma</w:t>
            </w:r>
          </w:p>
        </w:tc>
        <w:tc>
          <w:tcPr>
            <w:tcW w:w="1730" w:type="dxa"/>
            <w:vMerge/>
            <w:tcBorders>
              <w:left w:val="nil"/>
              <w:right w:val="single" w:sz="4" w:space="0" w:color="auto"/>
            </w:tcBorders>
            <w:shd w:val="clear" w:color="auto" w:fill="auto"/>
            <w:noWrap/>
            <w:vAlign w:val="bottom"/>
            <w:hideMark/>
          </w:tcPr>
          <w:p w14:paraId="3D44317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793B7C75" w14:textId="77777777" w:rsidTr="00EA5A0B">
        <w:trPr>
          <w:trHeight w:val="320"/>
        </w:trPr>
        <w:tc>
          <w:tcPr>
            <w:tcW w:w="3256" w:type="dxa"/>
            <w:vMerge/>
            <w:tcBorders>
              <w:left w:val="single" w:sz="4" w:space="0" w:color="auto"/>
              <w:bottom w:val="single" w:sz="4" w:space="0" w:color="auto"/>
              <w:right w:val="single" w:sz="4" w:space="0" w:color="auto"/>
            </w:tcBorders>
            <w:shd w:val="clear" w:color="auto" w:fill="auto"/>
            <w:noWrap/>
            <w:vAlign w:val="bottom"/>
            <w:hideMark/>
          </w:tcPr>
          <w:p w14:paraId="2E699218"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231676D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Bitim işlemi (</w:t>
            </w:r>
            <w:r w:rsidRPr="00EA5A0B">
              <w:rPr>
                <w:rFonts w:ascii="Times New Roman" w:eastAsia="Times New Roman" w:hAnsi="Times New Roman" w:cs="Times New Roman"/>
                <w:color w:val="000000"/>
                <w:kern w:val="0"/>
                <w:vertAlign w:val="superscript"/>
                <w:lang w:eastAsia="tr-TR"/>
                <w14:ligatures w14:val="none"/>
              </w:rPr>
              <w:t>1</w:t>
            </w:r>
            <w:r w:rsidRPr="00EA5A0B">
              <w:rPr>
                <w:rFonts w:ascii="Times New Roman" w:eastAsia="Times New Roman" w:hAnsi="Times New Roman" w:cs="Times New Roman"/>
                <w:color w:val="000000"/>
                <w:kern w:val="0"/>
                <w:lang w:eastAsia="tr-TR"/>
                <w14:ligatures w14:val="none"/>
              </w:rPr>
              <w:t>)</w:t>
            </w:r>
          </w:p>
        </w:tc>
        <w:tc>
          <w:tcPr>
            <w:tcW w:w="1730" w:type="dxa"/>
            <w:vMerge/>
            <w:tcBorders>
              <w:left w:val="nil"/>
              <w:bottom w:val="single" w:sz="4" w:space="0" w:color="auto"/>
              <w:right w:val="single" w:sz="4" w:space="0" w:color="auto"/>
            </w:tcBorders>
            <w:shd w:val="clear" w:color="auto" w:fill="auto"/>
            <w:noWrap/>
            <w:vAlign w:val="bottom"/>
            <w:hideMark/>
          </w:tcPr>
          <w:p w14:paraId="2FDAD573"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6824D17A" w14:textId="77777777" w:rsidTr="00EA5A0B">
        <w:trPr>
          <w:trHeight w:val="320"/>
        </w:trPr>
        <w:tc>
          <w:tcPr>
            <w:tcW w:w="3256" w:type="dxa"/>
            <w:vMerge w:val="restart"/>
            <w:tcBorders>
              <w:top w:val="nil"/>
              <w:left w:val="single" w:sz="4" w:space="0" w:color="auto"/>
              <w:right w:val="single" w:sz="4" w:space="0" w:color="auto"/>
            </w:tcBorders>
            <w:shd w:val="clear" w:color="auto" w:fill="auto"/>
            <w:noWrap/>
            <w:vAlign w:val="bottom"/>
            <w:hideMark/>
          </w:tcPr>
          <w:p w14:paraId="7A2292FB" w14:textId="77777777" w:rsidR="0055515A" w:rsidRPr="00EA5A0B"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EA5A0B">
              <w:rPr>
                <w:rFonts w:ascii="Times New Roman" w:eastAsia="Times New Roman" w:hAnsi="Times New Roman" w:cs="Times New Roman"/>
                <w:bCs/>
                <w:color w:val="000000"/>
                <w:kern w:val="0"/>
                <w:lang w:eastAsia="tr-TR"/>
                <w14:ligatures w14:val="none"/>
              </w:rPr>
              <w:t>Toplam Uçucu Organik Bileşikler (T</w:t>
            </w:r>
            <w:r w:rsidR="009D570E" w:rsidRPr="00EA5A0B">
              <w:rPr>
                <w:rFonts w:ascii="Times New Roman" w:eastAsia="Times New Roman" w:hAnsi="Times New Roman" w:cs="Times New Roman"/>
                <w:bCs/>
                <w:color w:val="000000"/>
                <w:kern w:val="0"/>
                <w:lang w:eastAsia="tr-TR"/>
                <w14:ligatures w14:val="none"/>
              </w:rPr>
              <w:t>UOB</w:t>
            </w:r>
            <w:r w:rsidRPr="00EA5A0B">
              <w:rPr>
                <w:rFonts w:ascii="Times New Roman" w:eastAsia="Times New Roman" w:hAnsi="Times New Roman" w:cs="Times New Roman"/>
                <w:bCs/>
                <w:color w:val="000000"/>
                <w:kern w:val="0"/>
                <w:lang w:eastAsia="tr-TR"/>
                <w14:ligatures w14:val="none"/>
              </w:rPr>
              <w:t>)</w:t>
            </w:r>
          </w:p>
          <w:p w14:paraId="1B6D9867"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567C6C93"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7E5E3657"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7F5799D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5EB6DA00"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27D611AF" w14:textId="77777777" w:rsidR="0055515A" w:rsidRPr="00EA5A0B"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tc>
        <w:tc>
          <w:tcPr>
            <w:tcW w:w="3969" w:type="dxa"/>
            <w:tcBorders>
              <w:top w:val="nil"/>
              <w:left w:val="nil"/>
              <w:bottom w:val="single" w:sz="4" w:space="0" w:color="auto"/>
              <w:right w:val="single" w:sz="4" w:space="0" w:color="auto"/>
            </w:tcBorders>
            <w:shd w:val="clear" w:color="auto" w:fill="auto"/>
            <w:noWrap/>
            <w:vAlign w:val="bottom"/>
            <w:hideMark/>
          </w:tcPr>
          <w:p w14:paraId="5A713EB0"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Kaplama</w:t>
            </w:r>
          </w:p>
        </w:tc>
        <w:tc>
          <w:tcPr>
            <w:tcW w:w="1730" w:type="dxa"/>
            <w:vMerge w:val="restart"/>
            <w:tcBorders>
              <w:top w:val="nil"/>
              <w:left w:val="nil"/>
              <w:right w:val="single" w:sz="4" w:space="0" w:color="auto"/>
            </w:tcBorders>
            <w:shd w:val="clear" w:color="auto" w:fill="auto"/>
            <w:noWrap/>
            <w:vAlign w:val="bottom"/>
            <w:hideMark/>
          </w:tcPr>
          <w:p w14:paraId="457ED727"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3–40 (</w:t>
            </w:r>
            <w:r w:rsidRPr="00EA5A0B">
              <w:rPr>
                <w:rFonts w:ascii="Times New Roman" w:eastAsia="Times New Roman" w:hAnsi="Times New Roman" w:cs="Times New Roman"/>
                <w:color w:val="000000"/>
                <w:kern w:val="0"/>
                <w:vertAlign w:val="superscript"/>
                <w:lang w:eastAsia="tr-TR"/>
                <w14:ligatures w14:val="none"/>
              </w:rPr>
              <w:t>2</w:t>
            </w:r>
            <w:r w:rsidRPr="00EA5A0B">
              <w:rPr>
                <w:rFonts w:ascii="Times New Roman" w:eastAsia="Times New Roman" w:hAnsi="Times New Roman" w:cs="Times New Roman"/>
                <w:color w:val="000000"/>
                <w:kern w:val="0"/>
                <w:lang w:eastAsia="tr-TR"/>
                <w14:ligatures w14:val="none"/>
              </w:rPr>
              <w:t>) (</w:t>
            </w:r>
            <w:r w:rsidRPr="00EA5A0B">
              <w:rPr>
                <w:rFonts w:ascii="Times New Roman" w:eastAsia="Times New Roman" w:hAnsi="Times New Roman" w:cs="Times New Roman"/>
                <w:color w:val="000000"/>
                <w:kern w:val="0"/>
                <w:vertAlign w:val="superscript"/>
                <w:lang w:eastAsia="tr-TR"/>
                <w14:ligatures w14:val="none"/>
              </w:rPr>
              <w:t>4</w:t>
            </w:r>
            <w:r w:rsidRPr="00EA5A0B">
              <w:rPr>
                <w:rFonts w:ascii="Times New Roman" w:eastAsia="Times New Roman" w:hAnsi="Times New Roman" w:cs="Times New Roman"/>
                <w:color w:val="000000"/>
                <w:kern w:val="0"/>
                <w:lang w:eastAsia="tr-TR"/>
                <w14:ligatures w14:val="none"/>
              </w:rPr>
              <w:t>) (</w:t>
            </w:r>
            <w:r w:rsidRPr="00EA5A0B">
              <w:rPr>
                <w:rFonts w:ascii="Times New Roman" w:eastAsia="Times New Roman" w:hAnsi="Times New Roman" w:cs="Times New Roman"/>
                <w:color w:val="000000"/>
                <w:kern w:val="0"/>
                <w:vertAlign w:val="superscript"/>
                <w:lang w:eastAsia="tr-TR"/>
                <w14:ligatures w14:val="none"/>
              </w:rPr>
              <w:t>5</w:t>
            </w:r>
            <w:r w:rsidRPr="00EA5A0B">
              <w:rPr>
                <w:rFonts w:ascii="Times New Roman" w:eastAsia="Times New Roman" w:hAnsi="Times New Roman" w:cs="Times New Roman"/>
                <w:color w:val="000000"/>
                <w:kern w:val="0"/>
                <w:lang w:eastAsia="tr-TR"/>
                <w14:ligatures w14:val="none"/>
              </w:rPr>
              <w:t>)</w:t>
            </w:r>
          </w:p>
          <w:p w14:paraId="2E10DE9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218131C1"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745E6C49"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656D2F0B"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p w14:paraId="28B2A305"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 </w:t>
            </w:r>
          </w:p>
        </w:tc>
      </w:tr>
      <w:tr w:rsidR="0055515A" w:rsidRPr="00EA5A0B" w14:paraId="683F80FC"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67852D47"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7B26F593"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Boyama</w:t>
            </w:r>
          </w:p>
        </w:tc>
        <w:tc>
          <w:tcPr>
            <w:tcW w:w="1730" w:type="dxa"/>
            <w:vMerge/>
            <w:tcBorders>
              <w:left w:val="nil"/>
              <w:right w:val="single" w:sz="4" w:space="0" w:color="auto"/>
            </w:tcBorders>
            <w:shd w:val="clear" w:color="auto" w:fill="auto"/>
            <w:noWrap/>
            <w:vAlign w:val="bottom"/>
            <w:hideMark/>
          </w:tcPr>
          <w:p w14:paraId="20A8011D"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72467539"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67444060"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4066943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Apreleme işlemi</w:t>
            </w:r>
          </w:p>
        </w:tc>
        <w:tc>
          <w:tcPr>
            <w:tcW w:w="1730" w:type="dxa"/>
            <w:vMerge/>
            <w:tcBorders>
              <w:left w:val="nil"/>
              <w:right w:val="single" w:sz="4" w:space="0" w:color="auto"/>
            </w:tcBorders>
            <w:shd w:val="clear" w:color="auto" w:fill="auto"/>
            <w:noWrap/>
            <w:vAlign w:val="bottom"/>
            <w:hideMark/>
          </w:tcPr>
          <w:p w14:paraId="3A51E18B"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2E3D6A66"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140C02D9"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2BD5EB1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Laminasyon</w:t>
            </w:r>
          </w:p>
        </w:tc>
        <w:tc>
          <w:tcPr>
            <w:tcW w:w="1730" w:type="dxa"/>
            <w:vMerge/>
            <w:tcBorders>
              <w:left w:val="nil"/>
              <w:right w:val="single" w:sz="4" w:space="0" w:color="auto"/>
            </w:tcBorders>
            <w:shd w:val="clear" w:color="auto" w:fill="auto"/>
            <w:noWrap/>
            <w:vAlign w:val="bottom"/>
            <w:hideMark/>
          </w:tcPr>
          <w:p w14:paraId="48A99EC9"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77DAD321"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05279BAE"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5B8C26C5"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Baskı</w:t>
            </w:r>
          </w:p>
        </w:tc>
        <w:tc>
          <w:tcPr>
            <w:tcW w:w="1730" w:type="dxa"/>
            <w:vMerge/>
            <w:tcBorders>
              <w:left w:val="nil"/>
              <w:right w:val="single" w:sz="4" w:space="0" w:color="auto"/>
            </w:tcBorders>
            <w:shd w:val="clear" w:color="auto" w:fill="auto"/>
            <w:noWrap/>
            <w:vAlign w:val="bottom"/>
            <w:hideMark/>
          </w:tcPr>
          <w:p w14:paraId="2AB83520"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110B49A7" w14:textId="77777777" w:rsidTr="00EA5A0B">
        <w:trPr>
          <w:trHeight w:val="320"/>
        </w:trPr>
        <w:tc>
          <w:tcPr>
            <w:tcW w:w="3256" w:type="dxa"/>
            <w:vMerge/>
            <w:tcBorders>
              <w:left w:val="single" w:sz="4" w:space="0" w:color="auto"/>
              <w:right w:val="single" w:sz="4" w:space="0" w:color="auto"/>
            </w:tcBorders>
            <w:shd w:val="clear" w:color="auto" w:fill="auto"/>
            <w:noWrap/>
            <w:vAlign w:val="bottom"/>
            <w:hideMark/>
          </w:tcPr>
          <w:p w14:paraId="20E29645"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2FABA385"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Yanma</w:t>
            </w:r>
          </w:p>
        </w:tc>
        <w:tc>
          <w:tcPr>
            <w:tcW w:w="1730" w:type="dxa"/>
            <w:vMerge/>
            <w:tcBorders>
              <w:left w:val="nil"/>
              <w:right w:val="single" w:sz="4" w:space="0" w:color="auto"/>
            </w:tcBorders>
            <w:shd w:val="clear" w:color="auto" w:fill="auto"/>
            <w:noWrap/>
            <w:vAlign w:val="bottom"/>
            <w:hideMark/>
          </w:tcPr>
          <w:p w14:paraId="66ACDF9C"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EA5A0B" w14:paraId="7BEC654B" w14:textId="77777777" w:rsidTr="00EA5A0B">
        <w:trPr>
          <w:trHeight w:val="320"/>
        </w:trPr>
        <w:tc>
          <w:tcPr>
            <w:tcW w:w="3256" w:type="dxa"/>
            <w:vMerge/>
            <w:tcBorders>
              <w:left w:val="single" w:sz="4" w:space="0" w:color="auto"/>
              <w:bottom w:val="single" w:sz="4" w:space="0" w:color="auto"/>
              <w:right w:val="single" w:sz="4" w:space="0" w:color="auto"/>
            </w:tcBorders>
            <w:shd w:val="clear" w:color="auto" w:fill="auto"/>
            <w:noWrap/>
            <w:vAlign w:val="bottom"/>
            <w:hideMark/>
          </w:tcPr>
          <w:p w14:paraId="7915474F"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3969" w:type="dxa"/>
            <w:tcBorders>
              <w:top w:val="nil"/>
              <w:left w:val="nil"/>
              <w:bottom w:val="single" w:sz="4" w:space="0" w:color="auto"/>
              <w:right w:val="single" w:sz="4" w:space="0" w:color="auto"/>
            </w:tcBorders>
            <w:shd w:val="clear" w:color="auto" w:fill="auto"/>
            <w:noWrap/>
            <w:vAlign w:val="bottom"/>
            <w:hideMark/>
          </w:tcPr>
          <w:p w14:paraId="405D9204"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color w:val="000000"/>
                <w:kern w:val="0"/>
                <w:lang w:eastAsia="tr-TR"/>
                <w14:ligatures w14:val="none"/>
              </w:rPr>
              <w:t>Termofiksasyon veya ısı ile sabitleme</w:t>
            </w:r>
          </w:p>
        </w:tc>
        <w:tc>
          <w:tcPr>
            <w:tcW w:w="1730" w:type="dxa"/>
            <w:vMerge/>
            <w:tcBorders>
              <w:left w:val="nil"/>
              <w:bottom w:val="single" w:sz="4" w:space="0" w:color="auto"/>
              <w:right w:val="single" w:sz="4" w:space="0" w:color="auto"/>
            </w:tcBorders>
            <w:shd w:val="clear" w:color="auto" w:fill="auto"/>
            <w:noWrap/>
            <w:vAlign w:val="bottom"/>
            <w:hideMark/>
          </w:tcPr>
          <w:p w14:paraId="60B78815" w14:textId="77777777" w:rsidR="0055515A" w:rsidRPr="00EA5A0B"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3A5B64" w:rsidRPr="00EA5A0B" w14:paraId="030413DC" w14:textId="77777777" w:rsidTr="00EA5A0B">
        <w:trPr>
          <w:trHeight w:val="5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F6DC04" w14:textId="77777777" w:rsidR="003A5B64" w:rsidRPr="00EA5A0B" w:rsidRDefault="003A5B64" w:rsidP="0055515A">
            <w:pPr>
              <w:spacing w:after="0" w:line="240" w:lineRule="auto"/>
              <w:rPr>
                <w:rFonts w:ascii="Times New Roman" w:eastAsia="Times New Roman" w:hAnsi="Times New Roman" w:cs="Times New Roman"/>
                <w:b/>
                <w:bCs/>
                <w:color w:val="000000"/>
                <w:kern w:val="0"/>
                <w:lang w:eastAsia="tr-TR"/>
                <w14:ligatures w14:val="none"/>
              </w:rPr>
            </w:pPr>
            <w:r w:rsidRPr="00EA5A0B">
              <w:rPr>
                <w:rFonts w:ascii="Times New Roman" w:eastAsia="Times New Roman" w:hAnsi="Times New Roman" w:cs="Times New Roman"/>
                <w:b/>
                <w:bCs/>
                <w:color w:val="000000"/>
                <w:kern w:val="0"/>
                <w:lang w:eastAsia="tr-TR"/>
                <w14:ligatures w14:val="none"/>
              </w:rPr>
              <w:t>Yağ Buharı/Aerosol</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14:paraId="37636357" w14:textId="77777777" w:rsidR="003A5B64" w:rsidRPr="00EA5A0B" w:rsidRDefault="003A5B64" w:rsidP="0055515A">
            <w:pPr>
              <w:spacing w:after="0" w:line="240" w:lineRule="auto"/>
              <w:rPr>
                <w:rFonts w:ascii="Times New Roman" w:eastAsia="Times New Roman" w:hAnsi="Times New Roman" w:cs="Times New Roman"/>
                <w:bCs/>
                <w:color w:val="000000"/>
                <w:kern w:val="0"/>
                <w:lang w:eastAsia="tr-TR"/>
                <w14:ligatures w14:val="none"/>
              </w:rPr>
            </w:pPr>
            <w:r w:rsidRPr="00EA5A0B">
              <w:rPr>
                <w:rFonts w:ascii="Times New Roman" w:eastAsia="Times New Roman" w:hAnsi="Times New Roman" w:cs="Times New Roman"/>
                <w:bCs/>
                <w:color w:val="000000"/>
                <w:kern w:val="0"/>
                <w:lang w:eastAsia="tr-TR"/>
                <w14:ligatures w14:val="none"/>
              </w:rPr>
              <w:t>Termofiksasyon veya ısı ile sabitleme</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bottom"/>
          </w:tcPr>
          <w:p w14:paraId="7AE6CAEE" w14:textId="77777777" w:rsidR="003A5B64" w:rsidRPr="00EA5A0B" w:rsidRDefault="003A5B64" w:rsidP="0055515A">
            <w:pPr>
              <w:spacing w:after="0" w:line="240" w:lineRule="auto"/>
              <w:rPr>
                <w:rFonts w:ascii="Times New Roman" w:eastAsia="Times New Roman" w:hAnsi="Times New Roman" w:cs="Times New Roman"/>
                <w:bCs/>
                <w:color w:val="000000"/>
                <w:kern w:val="0"/>
                <w:lang w:eastAsia="tr-TR"/>
                <w14:ligatures w14:val="none"/>
              </w:rPr>
            </w:pPr>
            <w:r w:rsidRPr="00EA5A0B">
              <w:rPr>
                <w:rFonts w:ascii="Times New Roman" w:eastAsia="Times New Roman" w:hAnsi="Times New Roman" w:cs="Times New Roman"/>
                <w:bCs/>
                <w:color w:val="000000"/>
                <w:kern w:val="0"/>
                <w:lang w:eastAsia="tr-TR"/>
                <w14:ligatures w14:val="none"/>
              </w:rPr>
              <w:t>15</w:t>
            </w:r>
          </w:p>
        </w:tc>
      </w:tr>
      <w:tr w:rsidR="0055515A" w:rsidRPr="00EA5A0B" w14:paraId="509C95BA" w14:textId="77777777" w:rsidTr="00EA5A0B">
        <w:trPr>
          <w:trHeight w:val="567"/>
        </w:trPr>
        <w:tc>
          <w:tcPr>
            <w:tcW w:w="895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4E7A9B17" w14:textId="3AB2FF65" w:rsidR="0055515A" w:rsidRPr="00EA5A0B" w:rsidRDefault="0055515A" w:rsidP="00522E3C">
            <w:pPr>
              <w:spacing w:after="0" w:line="240" w:lineRule="auto"/>
              <w:rPr>
                <w:rFonts w:ascii="Times New Roman" w:eastAsia="Times New Roman" w:hAnsi="Times New Roman" w:cs="Times New Roman"/>
                <w:color w:val="000000"/>
                <w:kern w:val="0"/>
                <w:lang w:eastAsia="tr-TR"/>
                <w14:ligatures w14:val="none"/>
              </w:rPr>
            </w:pPr>
            <w:r w:rsidRPr="00EA5A0B">
              <w:rPr>
                <w:rFonts w:ascii="Times New Roman" w:eastAsia="Times New Roman" w:hAnsi="Times New Roman" w:cs="Times New Roman"/>
                <w:b/>
                <w:bCs/>
                <w:color w:val="000000"/>
                <w:kern w:val="0"/>
                <w:lang w:eastAsia="tr-TR"/>
                <w14:ligatures w14:val="none"/>
              </w:rPr>
              <w:t>(</w:t>
            </w:r>
            <w:r w:rsidRPr="00EA5A0B">
              <w:rPr>
                <w:rFonts w:ascii="Times New Roman" w:eastAsia="Times New Roman" w:hAnsi="Times New Roman" w:cs="Times New Roman"/>
                <w:b/>
                <w:bCs/>
                <w:color w:val="000000"/>
                <w:kern w:val="0"/>
                <w:vertAlign w:val="superscript"/>
                <w:lang w:eastAsia="tr-TR"/>
                <w14:ligatures w14:val="none"/>
              </w:rPr>
              <w:t>1</w:t>
            </w:r>
            <w:r w:rsidRPr="00EA5A0B">
              <w:rPr>
                <w:rFonts w:ascii="Times New Roman" w:eastAsia="Times New Roman" w:hAnsi="Times New Roman" w:cs="Times New Roman"/>
                <w:b/>
                <w:bCs/>
                <w:color w:val="000000"/>
                <w:kern w:val="0"/>
                <w:lang w:eastAsia="tr-TR"/>
                <w14:ligatures w14:val="none"/>
              </w:rPr>
              <w:t>)</w:t>
            </w:r>
            <w:r w:rsidRPr="00EA5A0B">
              <w:rPr>
                <w:rFonts w:ascii="Times New Roman" w:eastAsia="Times New Roman" w:hAnsi="Times New Roman" w:cs="Times New Roman"/>
                <w:color w:val="000000"/>
                <w:kern w:val="0"/>
                <w:lang w:eastAsia="tr-TR"/>
                <w14:ligatures w14:val="none"/>
              </w:rPr>
              <w:t> </w:t>
            </w:r>
            <w:r w:rsidRPr="00EA5A0B">
              <w:rPr>
                <w:rFonts w:ascii="Times New Roman" w:eastAsia="Times New Roman" w:hAnsi="Times New Roman" w:cs="Times New Roman"/>
                <w:color w:val="000000"/>
                <w:kern w:val="0"/>
                <w:sz w:val="20"/>
                <w:szCs w:val="20"/>
                <w:lang w:eastAsia="tr-TR"/>
                <w14:ligatures w14:val="none"/>
              </w:rPr>
              <w:t>MET-İES, yalnızca formaldehit, MET 2'de belirtilen giriş ve çıkışların envanterine dayalı olarak atık gaz akışında ilgili olarak belirlenmişse uygulanır.</w:t>
            </w:r>
            <w:r w:rsidRPr="00EA5A0B">
              <w:rPr>
                <w:rFonts w:ascii="Times New Roman" w:eastAsia="Times New Roman" w:hAnsi="Times New Roman" w:cs="Times New Roman"/>
                <w:color w:val="000000"/>
                <w:kern w:val="0"/>
                <w:sz w:val="20"/>
                <w:szCs w:val="20"/>
                <w:lang w:eastAsia="tr-TR"/>
                <w14:ligatures w14:val="none"/>
              </w:rPr>
              <w:br/>
            </w:r>
            <w:r w:rsidRPr="00EA5A0B">
              <w:rPr>
                <w:rFonts w:ascii="Times New Roman" w:eastAsia="Times New Roman" w:hAnsi="Times New Roman" w:cs="Times New Roman"/>
                <w:b/>
                <w:bCs/>
                <w:color w:val="000000"/>
                <w:kern w:val="0"/>
                <w:sz w:val="20"/>
                <w:szCs w:val="20"/>
                <w:lang w:eastAsia="tr-TR"/>
                <w14:ligatures w14:val="none"/>
              </w:rPr>
              <w:lastRenderedPageBreak/>
              <w:t>(</w:t>
            </w:r>
            <w:r w:rsidRPr="00EA5A0B">
              <w:rPr>
                <w:rFonts w:ascii="Times New Roman" w:eastAsia="Times New Roman" w:hAnsi="Times New Roman" w:cs="Times New Roman"/>
                <w:b/>
                <w:bCs/>
                <w:color w:val="000000"/>
                <w:kern w:val="0"/>
                <w:sz w:val="20"/>
                <w:szCs w:val="20"/>
                <w:vertAlign w:val="superscript"/>
                <w:lang w:eastAsia="tr-TR"/>
                <w14:ligatures w14:val="none"/>
              </w:rPr>
              <w:t>2</w:t>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color w:val="000000"/>
                <w:kern w:val="0"/>
                <w:sz w:val="20"/>
                <w:szCs w:val="20"/>
                <w:lang w:eastAsia="tr-TR"/>
                <w14:ligatures w14:val="none"/>
              </w:rPr>
              <w:t> </w:t>
            </w:r>
            <w:r w:rsidR="00522E3C" w:rsidRPr="00EA5A0B">
              <w:rPr>
                <w:rFonts w:ascii="Times New Roman" w:eastAsia="Times New Roman" w:hAnsi="Times New Roman" w:cs="Times New Roman"/>
                <w:color w:val="000000"/>
                <w:kern w:val="0"/>
                <w:sz w:val="20"/>
                <w:szCs w:val="20"/>
                <w:lang w:eastAsia="tr-TR"/>
                <w14:ligatures w14:val="none"/>
              </w:rPr>
              <w:t xml:space="preserve"> EEYY EK-2 nin 3. ve 9. Maddelerinde belirtilen faaliyetler için, MET-İES aralıkları yalnızca, bu Tebliğin Ek-11 Bölüm A ve Bölüm Ddeki emisyon sınır değerlerinden daha düşük emisyon seviyelerine yol açtığı ölçüde uygulanır.</w:t>
            </w:r>
            <w:r w:rsidRPr="00EA5A0B">
              <w:rPr>
                <w:rFonts w:ascii="Times New Roman" w:eastAsia="Times New Roman" w:hAnsi="Times New Roman" w:cs="Times New Roman"/>
                <w:color w:val="000000"/>
                <w:kern w:val="0"/>
                <w:sz w:val="20"/>
                <w:szCs w:val="20"/>
                <w:lang w:eastAsia="tr-TR"/>
                <w14:ligatures w14:val="none"/>
              </w:rPr>
              <w:t>.</w:t>
            </w:r>
            <w:r w:rsidRPr="00EA5A0B">
              <w:rPr>
                <w:rFonts w:ascii="Times New Roman" w:eastAsia="Times New Roman" w:hAnsi="Times New Roman" w:cs="Times New Roman"/>
                <w:color w:val="000000"/>
                <w:kern w:val="0"/>
                <w:sz w:val="20"/>
                <w:szCs w:val="20"/>
                <w:lang w:eastAsia="tr-TR"/>
                <w14:ligatures w14:val="none"/>
              </w:rPr>
              <w:br/>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b/>
                <w:bCs/>
                <w:color w:val="000000"/>
                <w:kern w:val="0"/>
                <w:sz w:val="20"/>
                <w:szCs w:val="20"/>
                <w:vertAlign w:val="superscript"/>
                <w:lang w:eastAsia="tr-TR"/>
                <w14:ligatures w14:val="none"/>
              </w:rPr>
              <w:t>3</w:t>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color w:val="000000"/>
                <w:kern w:val="0"/>
                <w:sz w:val="20"/>
                <w:szCs w:val="20"/>
                <w:lang w:eastAsia="tr-TR"/>
                <w14:ligatures w14:val="none"/>
              </w:rPr>
              <w:t> Kolay bakım ajanları, su-/yağ-/kir-itici maddeler ve/veya alev geciktiriciler içeren bitim işlemleri için, MET-İES aralığının üst ucu daha yüksek olabilir ve 10 mg/Nm³'ye kadar çıkabilir.</w:t>
            </w:r>
            <w:r w:rsidRPr="00EA5A0B">
              <w:rPr>
                <w:rFonts w:ascii="Times New Roman" w:eastAsia="Times New Roman" w:hAnsi="Times New Roman" w:cs="Times New Roman"/>
                <w:color w:val="000000"/>
                <w:kern w:val="0"/>
                <w:sz w:val="20"/>
                <w:szCs w:val="20"/>
                <w:lang w:eastAsia="tr-TR"/>
                <w14:ligatures w14:val="none"/>
              </w:rPr>
              <w:br/>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b/>
                <w:bCs/>
                <w:color w:val="000000"/>
                <w:kern w:val="0"/>
                <w:sz w:val="20"/>
                <w:szCs w:val="20"/>
                <w:vertAlign w:val="superscript"/>
                <w:lang w:eastAsia="tr-TR"/>
                <w14:ligatures w14:val="none"/>
              </w:rPr>
              <w:t>4</w:t>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color w:val="000000"/>
                <w:kern w:val="0"/>
                <w:sz w:val="20"/>
                <w:szCs w:val="20"/>
                <w:lang w:eastAsia="tr-TR"/>
                <w14:ligatures w14:val="none"/>
              </w:rPr>
              <w:t> MET-İES aralığının alt ucu, genellikle termal oksidasyon kullanılarak elde edilir.</w:t>
            </w:r>
            <w:r w:rsidRPr="00EA5A0B">
              <w:rPr>
                <w:rFonts w:ascii="Times New Roman" w:eastAsia="Times New Roman" w:hAnsi="Times New Roman" w:cs="Times New Roman"/>
                <w:color w:val="000000"/>
                <w:kern w:val="0"/>
                <w:sz w:val="20"/>
                <w:szCs w:val="20"/>
                <w:lang w:eastAsia="tr-TR"/>
                <w14:ligatures w14:val="none"/>
              </w:rPr>
              <w:br/>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b/>
                <w:bCs/>
                <w:color w:val="000000"/>
                <w:kern w:val="0"/>
                <w:sz w:val="20"/>
                <w:szCs w:val="20"/>
                <w:vertAlign w:val="superscript"/>
                <w:lang w:eastAsia="tr-TR"/>
                <w14:ligatures w14:val="none"/>
              </w:rPr>
              <w:t>5</w:t>
            </w:r>
            <w:r w:rsidRPr="00EA5A0B">
              <w:rPr>
                <w:rFonts w:ascii="Times New Roman" w:eastAsia="Times New Roman" w:hAnsi="Times New Roman" w:cs="Times New Roman"/>
                <w:b/>
                <w:bCs/>
                <w:color w:val="000000"/>
                <w:kern w:val="0"/>
                <w:sz w:val="20"/>
                <w:szCs w:val="20"/>
                <w:lang w:eastAsia="tr-TR"/>
                <w14:ligatures w14:val="none"/>
              </w:rPr>
              <w:t>)</w:t>
            </w:r>
            <w:r w:rsidRPr="00EA5A0B">
              <w:rPr>
                <w:rFonts w:ascii="Times New Roman" w:eastAsia="Times New Roman" w:hAnsi="Times New Roman" w:cs="Times New Roman"/>
                <w:color w:val="000000"/>
                <w:kern w:val="0"/>
                <w:sz w:val="20"/>
                <w:szCs w:val="20"/>
                <w:lang w:eastAsia="tr-TR"/>
                <w14:ligatures w14:val="none"/>
              </w:rPr>
              <w:t> T</w:t>
            </w:r>
            <w:r w:rsidR="009D570E" w:rsidRPr="00EA5A0B">
              <w:rPr>
                <w:rFonts w:ascii="Times New Roman" w:eastAsia="Times New Roman" w:hAnsi="Times New Roman" w:cs="Times New Roman"/>
                <w:color w:val="000000"/>
                <w:kern w:val="0"/>
                <w:sz w:val="20"/>
                <w:szCs w:val="20"/>
                <w:lang w:eastAsia="tr-TR"/>
                <w14:ligatures w14:val="none"/>
              </w:rPr>
              <w:t>UOB</w:t>
            </w:r>
            <w:r w:rsidRPr="00EA5A0B">
              <w:rPr>
                <w:rFonts w:ascii="Times New Roman" w:eastAsia="Times New Roman" w:hAnsi="Times New Roman" w:cs="Times New Roman"/>
                <w:color w:val="000000"/>
                <w:kern w:val="0"/>
                <w:sz w:val="20"/>
                <w:szCs w:val="20"/>
                <w:lang w:eastAsia="tr-TR"/>
                <w14:ligatures w14:val="none"/>
              </w:rPr>
              <w:t xml:space="preserve"> kütle akışı 200 g/saatin altında olan emisyon noktaları için MET-İES uygulanmaz, bu durumlarda:</w:t>
            </w:r>
            <w:r w:rsidRPr="00EA5A0B">
              <w:rPr>
                <w:rFonts w:ascii="Times New Roman" w:eastAsia="Times New Roman" w:hAnsi="Times New Roman" w:cs="Times New Roman"/>
                <w:color w:val="000000"/>
                <w:kern w:val="0"/>
                <w:sz w:val="20"/>
                <w:szCs w:val="20"/>
                <w:lang w:eastAsia="tr-TR"/>
                <w14:ligatures w14:val="none"/>
              </w:rPr>
              <w:br/>
              <w:t>— Azaltma teknikleri kullanılmaz, ve</w:t>
            </w:r>
            <w:r w:rsidRPr="00EA5A0B">
              <w:rPr>
                <w:rFonts w:ascii="Times New Roman" w:eastAsia="Times New Roman" w:hAnsi="Times New Roman" w:cs="Times New Roman"/>
                <w:color w:val="000000"/>
                <w:kern w:val="0"/>
                <w:sz w:val="20"/>
                <w:szCs w:val="20"/>
                <w:lang w:eastAsia="tr-TR"/>
                <w14:ligatures w14:val="none"/>
              </w:rPr>
              <w:br/>
              <w:t>— CMR maddeleri, MET 2'de belirtilen giriş ve çıkışların envanterine dayalı olarak atık gaz akışında ilgili olarak belirlenmemiştir.</w:t>
            </w:r>
          </w:p>
        </w:tc>
      </w:tr>
    </w:tbl>
    <w:p w14:paraId="340315B0" w14:textId="77777777" w:rsidR="00EA5A0B" w:rsidRDefault="00EA5A0B" w:rsidP="0055515A">
      <w:pPr>
        <w:spacing w:after="120" w:line="360" w:lineRule="auto"/>
        <w:rPr>
          <w:rFonts w:ascii="Times New Roman" w:eastAsia="Times New Roman" w:hAnsi="Times New Roman" w:cs="Times New Roman"/>
          <w:kern w:val="0"/>
          <w:sz w:val="24"/>
          <w:szCs w:val="24"/>
          <w:lang w:eastAsia="tr-TR"/>
          <w14:ligatures w14:val="none"/>
        </w:rPr>
      </w:pPr>
    </w:p>
    <w:p w14:paraId="150A976A" w14:textId="6CC09AE4" w:rsidR="0055515A" w:rsidRPr="0055515A" w:rsidRDefault="0055515A" w:rsidP="0055515A">
      <w:pPr>
        <w:spacing w:after="120" w:line="360" w:lineRule="auto"/>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İlgili izleme, MET 9'da belirtilmiştir.</w:t>
      </w:r>
    </w:p>
    <w:p w14:paraId="525F7135"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27 - </w:t>
      </w:r>
      <w:r w:rsidRPr="0055515A">
        <w:rPr>
          <w:rFonts w:ascii="Times New Roman" w:eastAsia="Times New Roman" w:hAnsi="Times New Roman" w:cs="Times New Roman"/>
          <w:color w:val="000000"/>
          <w:kern w:val="0"/>
          <w:sz w:val="24"/>
          <w:szCs w:val="24"/>
          <w:lang w:eastAsia="tr-TR"/>
          <w14:ligatures w14:val="none"/>
        </w:rPr>
        <w:t xml:space="preserve">Termofiksasyon </w:t>
      </w:r>
      <w:r w:rsidRPr="0055515A">
        <w:rPr>
          <w:rFonts w:ascii="Times New Roman" w:eastAsia="Times New Roman" w:hAnsi="Times New Roman" w:cs="Times New Roman"/>
          <w:kern w:val="0"/>
          <w:sz w:val="24"/>
          <w:szCs w:val="24"/>
          <w:lang w:eastAsia="tr-TR"/>
          <w14:ligatures w14:val="none"/>
        </w:rPr>
        <w:t>ve ısıyla sertleştirme hariç olmak üzere, yakma ve ısıl işlemlerden kaynaklanan havaya yayılan toz emisyonlarını azaltmak için MET, aşağıda verilen tekniklerden birini veya bir arada kullanmaktadır.</w:t>
      </w:r>
    </w:p>
    <w:tbl>
      <w:tblPr>
        <w:tblW w:w="9060" w:type="dxa"/>
        <w:tblCellMar>
          <w:left w:w="0" w:type="dxa"/>
          <w:right w:w="0" w:type="dxa"/>
        </w:tblCellMar>
        <w:tblLook w:val="04A0" w:firstRow="1" w:lastRow="0" w:firstColumn="1" w:lastColumn="0" w:noHBand="0" w:noVBand="1"/>
      </w:tblPr>
      <w:tblGrid>
        <w:gridCol w:w="1759"/>
        <w:gridCol w:w="7303"/>
      </w:tblGrid>
      <w:tr w:rsidR="0055515A" w:rsidRPr="0055515A" w14:paraId="7BE84121" w14:textId="77777777" w:rsidTr="0024730D">
        <w:trPr>
          <w:trHeight w:val="320"/>
        </w:trPr>
        <w:tc>
          <w:tcPr>
            <w:tcW w:w="175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86E4D5"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730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058C67"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25655B15" w14:textId="77777777" w:rsidTr="0024730D">
        <w:trPr>
          <w:trHeight w:val="32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17769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 Siklon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2E46F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Bölüm 1.9.2'ye bakın. Siklonlar, genellikle daha ileri toz giderme işlemlerinden önce (örneğin, kaba tozlar için) ön arıtma olarak kullanılır.</w:t>
            </w:r>
          </w:p>
        </w:tc>
      </w:tr>
      <w:tr w:rsidR="0055515A" w:rsidRPr="0055515A" w14:paraId="003C9F6E" w14:textId="77777777" w:rsidTr="0024730D">
        <w:trPr>
          <w:trHeight w:val="32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63F6F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 Elektrostatik Çöktürücü (ESP)</w:t>
            </w:r>
          </w:p>
        </w:tc>
        <w:tc>
          <w:tcPr>
            <w:tcW w:w="0" w:type="auto"/>
            <w:vMerge w:val="restart"/>
            <w:tcBorders>
              <w:top w:val="nil"/>
              <w:left w:val="nil"/>
              <w:right w:val="single" w:sz="4" w:space="0" w:color="auto"/>
            </w:tcBorders>
            <w:shd w:val="clear" w:color="auto" w:fill="auto"/>
            <w:noWrap/>
            <w:tcMar>
              <w:top w:w="15" w:type="dxa"/>
              <w:left w:w="15" w:type="dxa"/>
              <w:bottom w:w="0" w:type="dxa"/>
              <w:right w:w="15" w:type="dxa"/>
            </w:tcMar>
            <w:vAlign w:val="bottom"/>
            <w:hideMark/>
          </w:tcPr>
          <w:p w14:paraId="62054BD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Bölüm 1.9.2'ye bakın.</w:t>
            </w:r>
          </w:p>
        </w:tc>
      </w:tr>
      <w:tr w:rsidR="0055515A" w:rsidRPr="0055515A" w14:paraId="40BF77DD" w14:textId="77777777" w:rsidTr="0024730D">
        <w:trPr>
          <w:trHeight w:val="32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BCE447" w14:textId="77777777" w:rsidR="0055515A" w:rsidRPr="0055515A" w:rsidRDefault="0055515A" w:rsidP="0055515A">
            <w:pPr>
              <w:spacing w:after="0"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c</w:t>
            </w:r>
            <w:r w:rsidRPr="0055515A">
              <w:rPr>
                <w:rFonts w:ascii="Times New Roman" w:eastAsia="Times New Roman" w:hAnsi="Times New Roman" w:cs="Times New Roman"/>
                <w:color w:val="000000"/>
                <w:kern w:val="0"/>
                <w:lang w:eastAsia="tr-TR"/>
                <w14:ligatures w14:val="none"/>
              </w:rPr>
              <w:t>. Islak Yıkama</w:t>
            </w:r>
          </w:p>
        </w:tc>
        <w:tc>
          <w:tcPr>
            <w:tcW w:w="0" w:type="auto"/>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8E3CCD" w14:textId="77777777" w:rsidR="0055515A" w:rsidRPr="0055515A" w:rsidRDefault="0055515A" w:rsidP="0055515A">
            <w:pPr>
              <w:spacing w:after="0" w:line="240" w:lineRule="auto"/>
              <w:rPr>
                <w:rFonts w:ascii="Times New Roman" w:eastAsia="Times New Roman" w:hAnsi="Times New Roman" w:cs="Times New Roman"/>
                <w:color w:val="000000"/>
                <w:kern w:val="0"/>
                <w:sz w:val="24"/>
                <w:szCs w:val="24"/>
                <w:lang w:eastAsia="tr-TR"/>
                <w14:ligatures w14:val="none"/>
              </w:rPr>
            </w:pPr>
          </w:p>
        </w:tc>
      </w:tr>
    </w:tbl>
    <w:p w14:paraId="0C6628A3" w14:textId="77777777" w:rsidR="0055515A" w:rsidRPr="0055515A" w:rsidRDefault="0055515A" w:rsidP="0055515A">
      <w:pPr>
        <w:spacing w:after="120" w:line="360" w:lineRule="auto"/>
        <w:ind w:left="720"/>
        <w:jc w:val="center"/>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 xml:space="preserve"> </w:t>
      </w:r>
    </w:p>
    <w:p w14:paraId="4631B667" w14:textId="77777777" w:rsidR="0055515A" w:rsidRPr="0055515A" w:rsidRDefault="0055515A" w:rsidP="0055515A">
      <w:pPr>
        <w:spacing w:after="120" w:line="360" w:lineRule="auto"/>
        <w:ind w:left="720"/>
        <w:jc w:val="center"/>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Tablo 1.6</w:t>
      </w:r>
    </w:p>
    <w:p w14:paraId="7C2F684D" w14:textId="77777777" w:rsidR="0055515A" w:rsidRPr="0055515A" w:rsidRDefault="0055515A" w:rsidP="0055515A">
      <w:pPr>
        <w:spacing w:after="0" w:line="276"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Termofiksaj ve ısıyla sertleştirme hariç, yakma ve ısıl işlemlerden kaynaklanan havaya yayılan toz emisyonları için MET- İlişkili emisyon seviyesi (MET-İES)</w:t>
      </w:r>
    </w:p>
    <w:tbl>
      <w:tblPr>
        <w:tblW w:w="9069" w:type="dxa"/>
        <w:tblBorders>
          <w:top w:val="nil"/>
          <w:left w:val="nil"/>
          <w:bottom w:val="nil"/>
          <w:right w:val="nil"/>
          <w:insideH w:val="nil"/>
          <w:insideV w:val="nil"/>
        </w:tblBorders>
        <w:tblLayout w:type="fixed"/>
        <w:tblLook w:val="0600" w:firstRow="0" w:lastRow="0" w:firstColumn="0" w:lastColumn="0" w:noHBand="1" w:noVBand="1"/>
      </w:tblPr>
      <w:tblGrid>
        <w:gridCol w:w="4550"/>
        <w:gridCol w:w="4519"/>
      </w:tblGrid>
      <w:tr w:rsidR="0055515A" w:rsidRPr="0055515A" w14:paraId="2B9EF0C0" w14:textId="77777777" w:rsidTr="0024730D">
        <w:trPr>
          <w:trHeight w:val="1170"/>
        </w:trPr>
        <w:tc>
          <w:tcPr>
            <w:tcW w:w="45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1C15ED7" w14:textId="77777777" w:rsidR="0055515A" w:rsidRPr="0055515A" w:rsidRDefault="0055515A" w:rsidP="0055515A">
            <w:pPr>
              <w:spacing w:after="0" w:line="276"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Madde/Parametre</w:t>
            </w:r>
          </w:p>
        </w:tc>
        <w:tc>
          <w:tcPr>
            <w:tcW w:w="451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60242A" w14:textId="77777777" w:rsidR="0055515A" w:rsidRPr="0055515A" w:rsidRDefault="0055515A" w:rsidP="0055515A">
            <w:pPr>
              <w:spacing w:after="0" w:line="276"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MET- İlişkili Emisyon levelı (Örnekleme dönemi boyunca ortalama) (mg/Nm³)</w:t>
            </w:r>
          </w:p>
          <w:p w14:paraId="2D5832BB" w14:textId="77777777" w:rsidR="0055515A" w:rsidRPr="0055515A" w:rsidRDefault="0055515A" w:rsidP="0055515A">
            <w:pPr>
              <w:spacing w:after="0" w:line="276"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 xml:space="preserve"> </w:t>
            </w:r>
          </w:p>
        </w:tc>
      </w:tr>
      <w:tr w:rsidR="0055515A" w:rsidRPr="0055515A" w14:paraId="788C78BD" w14:textId="77777777" w:rsidTr="0024730D">
        <w:trPr>
          <w:trHeight w:val="630"/>
        </w:trPr>
        <w:tc>
          <w:tcPr>
            <w:tcW w:w="4550"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14:paraId="0B86ADCD" w14:textId="77777777" w:rsidR="0055515A" w:rsidRPr="0055515A" w:rsidRDefault="0055515A" w:rsidP="0055515A">
            <w:pPr>
              <w:spacing w:after="0" w:line="276"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Toz</w:t>
            </w:r>
          </w:p>
        </w:tc>
        <w:tc>
          <w:tcPr>
            <w:tcW w:w="4519" w:type="dxa"/>
            <w:tcBorders>
              <w:top w:val="nil"/>
              <w:left w:val="nil"/>
              <w:bottom w:val="single" w:sz="4" w:space="0" w:color="auto"/>
              <w:right w:val="single" w:sz="6" w:space="0" w:color="000000"/>
            </w:tcBorders>
            <w:tcMar>
              <w:top w:w="0" w:type="dxa"/>
              <w:left w:w="100" w:type="dxa"/>
              <w:bottom w:w="0" w:type="dxa"/>
              <w:right w:w="100" w:type="dxa"/>
            </w:tcMar>
          </w:tcPr>
          <w:p w14:paraId="48C63FDA" w14:textId="42292BA0" w:rsidR="0055515A" w:rsidRPr="0055515A" w:rsidRDefault="0055515A" w:rsidP="0055515A">
            <w:pPr>
              <w:spacing w:after="0" w:line="276" w:lineRule="auto"/>
              <w:jc w:val="both"/>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&lt; 2-10</w:t>
            </w:r>
            <w:r w:rsidRPr="00557323">
              <w:rPr>
                <w:rFonts w:ascii="Times New Roman" w:eastAsia="Times New Roman" w:hAnsi="Times New Roman" w:cs="Times New Roman"/>
                <w:b/>
                <w:bCs/>
                <w:color w:val="000000"/>
                <w:kern w:val="0"/>
                <w:lang w:eastAsia="tr-TR"/>
                <w14:ligatures w14:val="none"/>
              </w:rPr>
              <w:t>(</w:t>
            </w:r>
            <w:r w:rsidRPr="00557323">
              <w:rPr>
                <w:rFonts w:ascii="Times New Roman" w:eastAsia="Times New Roman" w:hAnsi="Times New Roman" w:cs="Times New Roman"/>
                <w:color w:val="000000"/>
                <w:kern w:val="0"/>
                <w:vertAlign w:val="superscript"/>
                <w:lang w:eastAsia="tr-TR"/>
                <w14:ligatures w14:val="none"/>
              </w:rPr>
              <w:t>1</w:t>
            </w:r>
            <w:r w:rsidRPr="00557323">
              <w:rPr>
                <w:rFonts w:ascii="Times New Roman" w:eastAsia="Times New Roman" w:hAnsi="Times New Roman" w:cs="Times New Roman"/>
                <w:b/>
                <w:bCs/>
                <w:color w:val="000000"/>
                <w:kern w:val="0"/>
                <w:lang w:eastAsia="tr-TR"/>
                <w14:ligatures w14:val="none"/>
              </w:rPr>
              <w:t>)</w:t>
            </w:r>
            <w:r w:rsidRPr="00557323">
              <w:rPr>
                <w:rFonts w:ascii="Times New Roman" w:eastAsia="Times New Roman" w:hAnsi="Times New Roman" w:cs="Times New Roman"/>
                <w:color w:val="000000"/>
                <w:kern w:val="0"/>
                <w:lang w:eastAsia="tr-TR"/>
                <w14:ligatures w14:val="none"/>
              </w:rPr>
              <w:t> </w:t>
            </w:r>
          </w:p>
        </w:tc>
      </w:tr>
      <w:tr w:rsidR="0055515A" w:rsidRPr="0055515A" w14:paraId="273D79C1" w14:textId="77777777" w:rsidTr="00EA5A0B">
        <w:trPr>
          <w:trHeight w:val="1334"/>
        </w:trPr>
        <w:tc>
          <w:tcPr>
            <w:tcW w:w="9069" w:type="dxa"/>
            <w:gridSpan w:val="2"/>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00F61A"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w:t>
            </w:r>
            <w:r w:rsidRPr="0055515A">
              <w:rPr>
                <w:rFonts w:ascii="Times New Roman" w:eastAsia="Times New Roman" w:hAnsi="Times New Roman" w:cs="Times New Roman"/>
                <w:color w:val="000000"/>
                <w:kern w:val="0"/>
                <w:vertAlign w:val="superscript"/>
                <w:lang w:eastAsia="tr-TR"/>
                <w14:ligatures w14:val="none"/>
              </w:rPr>
              <w:t>1</w:t>
            </w:r>
            <w:r w:rsidRPr="0055515A">
              <w:rPr>
                <w:rFonts w:ascii="Times New Roman" w:eastAsia="Times New Roman" w:hAnsi="Times New Roman" w:cs="Times New Roman"/>
                <w:b/>
                <w:bCs/>
                <w:color w:val="000000"/>
                <w:kern w:val="0"/>
                <w:lang w:eastAsia="tr-TR"/>
                <w14:ligatures w14:val="none"/>
              </w:rPr>
              <w:t>)</w:t>
            </w:r>
            <w:r w:rsidRPr="0055515A">
              <w:rPr>
                <w:rFonts w:ascii="Times New Roman" w:eastAsia="Times New Roman" w:hAnsi="Times New Roman" w:cs="Times New Roman"/>
                <w:color w:val="000000"/>
                <w:kern w:val="0"/>
                <w:lang w:eastAsia="tr-TR"/>
                <w14:ligatures w14:val="none"/>
              </w:rPr>
              <w:t> MET-İES, aşağıdaki koşullarda toz kütle akışı 50 g/saatin altında olduğunda uygulanmaz:</w:t>
            </w:r>
          </w:p>
          <w:p w14:paraId="7FEE1EA1" w14:textId="77777777" w:rsidR="0055515A" w:rsidRPr="0055515A" w:rsidRDefault="0055515A" w:rsidP="00887149">
            <w:pPr>
              <w:numPr>
                <w:ilvl w:val="0"/>
                <w:numId w:val="37"/>
              </w:numPr>
              <w:spacing w:before="100" w:beforeAutospacing="1" w:after="100" w:afterAutospacing="1"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Azaltma teknikleri kullanılmıyorsa ve</w:t>
            </w:r>
          </w:p>
          <w:p w14:paraId="1AD2E23A" w14:textId="4718E2A5" w:rsidR="0055515A" w:rsidRPr="00EA5A0B" w:rsidRDefault="0055515A" w:rsidP="00EA5A0B">
            <w:pPr>
              <w:numPr>
                <w:ilvl w:val="0"/>
                <w:numId w:val="37"/>
              </w:numPr>
              <w:spacing w:before="100" w:beforeAutospacing="1" w:after="100" w:afterAutospacing="1"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MET 2'de belirtilen giriş ve çıkış envanterine dayalı olarak atık gaz akışında CMR maddeleri (kanserojen, mutajen, veya üreme toksik maddeler) tespit edilmemişse.</w:t>
            </w:r>
          </w:p>
        </w:tc>
      </w:tr>
    </w:tbl>
    <w:p w14:paraId="5CA490B4" w14:textId="77777777" w:rsidR="00EA5A0B" w:rsidRDefault="00EA5A0B"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p>
    <w:p w14:paraId="2063CBCC" w14:textId="20BBB893"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İlgili izleme, MET 9'da verilmiştir.</w:t>
      </w:r>
    </w:p>
    <w:p w14:paraId="2F8E076F" w14:textId="77777777" w:rsidR="0055515A" w:rsidRPr="0055515A" w:rsidRDefault="0055515A" w:rsidP="0055515A">
      <w:pPr>
        <w:spacing w:after="120" w:line="36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28 - </w:t>
      </w:r>
      <w:r w:rsidRPr="0055515A">
        <w:rPr>
          <w:rFonts w:ascii="Times New Roman" w:eastAsia="Times New Roman" w:hAnsi="Times New Roman" w:cs="Times New Roman"/>
          <w:color w:val="000000"/>
          <w:kern w:val="0"/>
          <w:sz w:val="24"/>
          <w:szCs w:val="24"/>
          <w:lang w:eastAsia="tr-TR"/>
          <w14:ligatures w14:val="none"/>
        </w:rPr>
        <w:t xml:space="preserve">Bu </w:t>
      </w:r>
      <w:r w:rsidRPr="0055515A">
        <w:rPr>
          <w:rFonts w:ascii="Times New Roman" w:eastAsia="Times New Roman" w:hAnsi="Times New Roman" w:cs="Times New Roman"/>
          <w:kern w:val="0"/>
          <w:sz w:val="24"/>
          <w:szCs w:val="24"/>
          <w:lang w:eastAsia="tr-TR"/>
          <w14:ligatures w14:val="none"/>
        </w:rPr>
        <w:t>süreçlerle ilişkili ısıl işlemler de dahil olmak üzere kaplama, baskı ve son işlemlerden kaynaklanan havaya karışan amonyak emisyonlarını önlemek veya azaltmak için MET, aşağıda verilen tekniklerden birini veya birkaçı kullanılır.</w:t>
      </w:r>
    </w:p>
    <w:tbl>
      <w:tblPr>
        <w:tblW w:w="9060" w:type="dxa"/>
        <w:tblCellMar>
          <w:left w:w="70" w:type="dxa"/>
          <w:right w:w="70" w:type="dxa"/>
        </w:tblCellMar>
        <w:tblLook w:val="04A0" w:firstRow="1" w:lastRow="0" w:firstColumn="1" w:lastColumn="0" w:noHBand="0" w:noVBand="1"/>
      </w:tblPr>
      <w:tblGrid>
        <w:gridCol w:w="3170"/>
        <w:gridCol w:w="5890"/>
      </w:tblGrid>
      <w:tr w:rsidR="0055515A" w:rsidRPr="0055515A" w14:paraId="047E6A50" w14:textId="77777777" w:rsidTr="0024730D">
        <w:trPr>
          <w:trHeight w:val="320"/>
        </w:trPr>
        <w:tc>
          <w:tcPr>
            <w:tcW w:w="3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FFB3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lastRenderedPageBreak/>
              <w:t>Teknik</w:t>
            </w:r>
          </w:p>
        </w:tc>
        <w:tc>
          <w:tcPr>
            <w:tcW w:w="5890" w:type="dxa"/>
            <w:tcBorders>
              <w:top w:val="single" w:sz="4" w:space="0" w:color="auto"/>
              <w:left w:val="nil"/>
              <w:bottom w:val="single" w:sz="4" w:space="0" w:color="auto"/>
              <w:right w:val="single" w:sz="4" w:space="0" w:color="auto"/>
            </w:tcBorders>
            <w:shd w:val="clear" w:color="auto" w:fill="auto"/>
            <w:noWrap/>
            <w:vAlign w:val="bottom"/>
            <w:hideMark/>
          </w:tcPr>
          <w:p w14:paraId="3E169C7E"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109CB436" w14:textId="77777777" w:rsidTr="0024730D">
        <w:trPr>
          <w:trHeight w:val="320"/>
        </w:trPr>
        <w:tc>
          <w:tcPr>
            <w:tcW w:w="9060" w:type="dxa"/>
            <w:gridSpan w:val="2"/>
            <w:tcBorders>
              <w:top w:val="nil"/>
              <w:left w:val="single" w:sz="4" w:space="0" w:color="auto"/>
              <w:bottom w:val="single" w:sz="4" w:space="0" w:color="auto"/>
              <w:right w:val="single" w:sz="4" w:space="0" w:color="auto"/>
            </w:tcBorders>
            <w:shd w:val="clear" w:color="auto" w:fill="auto"/>
            <w:noWrap/>
            <w:vAlign w:val="bottom"/>
          </w:tcPr>
          <w:p w14:paraId="00C13F0E" w14:textId="77777777" w:rsidR="0055515A" w:rsidRPr="0055515A" w:rsidRDefault="0055515A" w:rsidP="0055515A">
            <w:pPr>
              <w:spacing w:after="0" w:line="240" w:lineRule="auto"/>
              <w:rPr>
                <w:rFonts w:ascii="Times New Roman" w:eastAsia="Times New Roman" w:hAnsi="Times New Roman" w:cs="Times New Roman"/>
                <w:i/>
                <w:iCs/>
                <w:color w:val="000000"/>
                <w:kern w:val="0"/>
                <w:lang w:eastAsia="tr-TR"/>
                <w14:ligatures w14:val="none"/>
              </w:rPr>
            </w:pPr>
            <w:r w:rsidRPr="0055515A">
              <w:rPr>
                <w:rFonts w:ascii="Times New Roman" w:eastAsia="Times New Roman" w:hAnsi="Times New Roman" w:cs="Times New Roman"/>
                <w:i/>
                <w:iCs/>
                <w:color w:val="000000"/>
                <w:kern w:val="0"/>
                <w:lang w:eastAsia="tr-TR"/>
                <w14:ligatures w14:val="none"/>
              </w:rPr>
              <w:t>Önleme Teknikleri</w:t>
            </w:r>
          </w:p>
        </w:tc>
      </w:tr>
      <w:tr w:rsidR="0055515A" w:rsidRPr="0055515A" w14:paraId="5449D22B" w14:textId="77777777" w:rsidTr="0024730D">
        <w:trPr>
          <w:trHeight w:val="320"/>
        </w:trPr>
        <w:tc>
          <w:tcPr>
            <w:tcW w:w="3170" w:type="dxa"/>
            <w:tcBorders>
              <w:top w:val="nil"/>
              <w:left w:val="single" w:sz="4" w:space="0" w:color="auto"/>
              <w:bottom w:val="single" w:sz="4" w:space="0" w:color="auto"/>
              <w:right w:val="single" w:sz="4" w:space="0" w:color="auto"/>
            </w:tcBorders>
            <w:shd w:val="clear" w:color="auto" w:fill="auto"/>
            <w:noWrap/>
            <w:vAlign w:val="bottom"/>
            <w:hideMark/>
          </w:tcPr>
          <w:p w14:paraId="66BA30F7" w14:textId="77777777" w:rsidR="0055515A" w:rsidRPr="008679D6" w:rsidRDefault="000D536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w:t>
            </w:r>
            <w:r w:rsidR="0055515A" w:rsidRPr="008679D6">
              <w:rPr>
                <w:rFonts w:ascii="Times New Roman" w:eastAsia="Times New Roman" w:hAnsi="Times New Roman" w:cs="Times New Roman"/>
                <w:bCs/>
                <w:color w:val="000000"/>
                <w:kern w:val="0"/>
                <w:lang w:eastAsia="tr-TR"/>
                <w14:ligatures w14:val="none"/>
              </w:rPr>
              <w:t>Düşük amonyak emisyonlarına yol açan kimyasal karışımların ('reçeteler') seçimi ve kullanımı (Önleme teknikleri)</w:t>
            </w:r>
          </w:p>
        </w:tc>
        <w:tc>
          <w:tcPr>
            <w:tcW w:w="5890" w:type="dxa"/>
            <w:tcBorders>
              <w:top w:val="nil"/>
              <w:left w:val="nil"/>
              <w:bottom w:val="single" w:sz="4" w:space="0" w:color="auto"/>
              <w:right w:val="single" w:sz="4" w:space="0" w:color="auto"/>
            </w:tcBorders>
            <w:shd w:val="clear" w:color="auto" w:fill="auto"/>
            <w:noWrap/>
            <w:vAlign w:val="bottom"/>
            <w:hideMark/>
          </w:tcPr>
          <w:p w14:paraId="0FF565A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Düşük amonyak emisyonlu karışımlar, ürün özellikleri dikkate alınarak seçilir ve kullanılır (bkz. MET 14, MET 17, MET 46, MET 47, MET 50, MET 51). Örnek olarak, seçim için emisyon faktörleri kullanılabilir (bkz. Bölüm 1.9.1).</w:t>
            </w:r>
          </w:p>
        </w:tc>
      </w:tr>
      <w:tr w:rsidR="0055515A" w:rsidRPr="0055515A" w14:paraId="2D61BD97" w14:textId="77777777" w:rsidTr="0024730D">
        <w:trPr>
          <w:trHeight w:val="320"/>
        </w:trPr>
        <w:tc>
          <w:tcPr>
            <w:tcW w:w="9060" w:type="dxa"/>
            <w:gridSpan w:val="2"/>
            <w:tcBorders>
              <w:top w:val="nil"/>
              <w:left w:val="single" w:sz="4" w:space="0" w:color="auto"/>
              <w:bottom w:val="single" w:sz="4" w:space="0" w:color="auto"/>
              <w:right w:val="single" w:sz="4" w:space="0" w:color="auto"/>
            </w:tcBorders>
            <w:shd w:val="clear" w:color="auto" w:fill="auto"/>
            <w:noWrap/>
            <w:vAlign w:val="bottom"/>
          </w:tcPr>
          <w:p w14:paraId="2F10AA4B" w14:textId="77777777" w:rsidR="0055515A" w:rsidRPr="008679D6" w:rsidRDefault="0055515A" w:rsidP="0055515A">
            <w:pPr>
              <w:spacing w:after="0" w:line="240" w:lineRule="auto"/>
              <w:rPr>
                <w:rFonts w:ascii="Times New Roman" w:eastAsia="Times New Roman" w:hAnsi="Times New Roman" w:cs="Times New Roman"/>
                <w:i/>
                <w:iCs/>
                <w:color w:val="000000"/>
                <w:kern w:val="0"/>
                <w:lang w:eastAsia="tr-TR"/>
                <w14:ligatures w14:val="none"/>
              </w:rPr>
            </w:pPr>
            <w:r w:rsidRPr="008679D6">
              <w:rPr>
                <w:rFonts w:ascii="Times New Roman" w:eastAsia="Times New Roman" w:hAnsi="Times New Roman" w:cs="Times New Roman"/>
                <w:i/>
                <w:iCs/>
                <w:color w:val="000000"/>
                <w:kern w:val="0"/>
                <w:lang w:eastAsia="tr-TR"/>
                <w14:ligatures w14:val="none"/>
              </w:rPr>
              <w:t>Azaltma teknikleri</w:t>
            </w:r>
          </w:p>
        </w:tc>
      </w:tr>
      <w:tr w:rsidR="0055515A" w:rsidRPr="0055515A" w14:paraId="656AAE9D" w14:textId="77777777" w:rsidTr="0024730D">
        <w:trPr>
          <w:trHeight w:val="320"/>
        </w:trPr>
        <w:tc>
          <w:tcPr>
            <w:tcW w:w="3170" w:type="dxa"/>
            <w:tcBorders>
              <w:top w:val="nil"/>
              <w:left w:val="single" w:sz="4" w:space="0" w:color="auto"/>
              <w:bottom w:val="single" w:sz="4" w:space="0" w:color="auto"/>
              <w:right w:val="single" w:sz="4" w:space="0" w:color="auto"/>
            </w:tcBorders>
            <w:shd w:val="clear" w:color="auto" w:fill="auto"/>
            <w:noWrap/>
            <w:vAlign w:val="bottom"/>
            <w:hideMark/>
          </w:tcPr>
          <w:p w14:paraId="19B30221" w14:textId="77777777" w:rsidR="0055515A" w:rsidRPr="008679D6" w:rsidRDefault="000D536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w:t>
            </w:r>
            <w:r w:rsidR="0055515A" w:rsidRPr="008679D6">
              <w:rPr>
                <w:rFonts w:ascii="Times New Roman" w:eastAsia="Times New Roman" w:hAnsi="Times New Roman" w:cs="Times New Roman"/>
                <w:bCs/>
                <w:color w:val="000000"/>
                <w:kern w:val="0"/>
                <w:lang w:eastAsia="tr-TR"/>
                <w14:ligatures w14:val="none"/>
              </w:rPr>
              <w:t>Islak yıkama(Azaltma teknikleri)</w:t>
            </w:r>
          </w:p>
        </w:tc>
        <w:tc>
          <w:tcPr>
            <w:tcW w:w="5890" w:type="dxa"/>
            <w:tcBorders>
              <w:top w:val="nil"/>
              <w:left w:val="nil"/>
              <w:bottom w:val="single" w:sz="4" w:space="0" w:color="auto"/>
              <w:right w:val="single" w:sz="4" w:space="0" w:color="auto"/>
            </w:tcBorders>
            <w:shd w:val="clear" w:color="auto" w:fill="auto"/>
            <w:noWrap/>
            <w:vAlign w:val="bottom"/>
            <w:hideMark/>
          </w:tcPr>
          <w:p w14:paraId="03656F4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Bkz. Bölüm 1.9.2.</w:t>
            </w:r>
          </w:p>
        </w:tc>
      </w:tr>
    </w:tbl>
    <w:p w14:paraId="48B9A33D" w14:textId="77777777" w:rsidR="0055515A" w:rsidRPr="0055515A" w:rsidRDefault="0055515A" w:rsidP="0055515A">
      <w:pPr>
        <w:spacing w:after="120" w:line="360" w:lineRule="auto"/>
        <w:rPr>
          <w:rFonts w:ascii="Times New Roman" w:eastAsia="Times New Roman" w:hAnsi="Times New Roman" w:cs="Times New Roman"/>
          <w:kern w:val="0"/>
          <w:sz w:val="24"/>
          <w:szCs w:val="24"/>
          <w:lang w:eastAsia="tr-TR"/>
          <w14:ligatures w14:val="none"/>
        </w:rPr>
      </w:pPr>
    </w:p>
    <w:p w14:paraId="14B82BB6" w14:textId="77777777" w:rsidR="0055515A" w:rsidRPr="0055515A" w:rsidRDefault="0055515A" w:rsidP="0055515A">
      <w:pPr>
        <w:spacing w:after="120" w:line="360" w:lineRule="auto"/>
        <w:jc w:val="center"/>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Tablo 1.7</w:t>
      </w:r>
    </w:p>
    <w:p w14:paraId="7871A2B5" w14:textId="77777777" w:rsidR="0055515A" w:rsidRPr="0055515A" w:rsidRDefault="0055515A" w:rsidP="0055515A">
      <w:pPr>
        <w:spacing w:after="0" w:line="276" w:lineRule="auto"/>
        <w:jc w:val="center"/>
        <w:rPr>
          <w:rFonts w:ascii="Times New Roman" w:eastAsia="Times New Roman" w:hAnsi="Times New Roman" w:cs="Times New Roman"/>
          <w:b/>
          <w:bCs/>
          <w:kern w:val="0"/>
          <w:sz w:val="24"/>
          <w:szCs w:val="24"/>
          <w:lang w:eastAsia="tr-TR"/>
          <w14:ligatures w14:val="none"/>
        </w:rPr>
      </w:pPr>
      <w:r w:rsidRPr="0055515A">
        <w:rPr>
          <w:rFonts w:ascii="Times New Roman" w:eastAsia="Times New Roman" w:hAnsi="Times New Roman" w:cs="Times New Roman"/>
          <w:b/>
          <w:bCs/>
          <w:kern w:val="0"/>
          <w:sz w:val="24"/>
          <w:szCs w:val="24"/>
          <w:lang w:eastAsia="tr-TR"/>
          <w14:ligatures w14:val="none"/>
        </w:rPr>
        <w:t>Bu süreçlerle ilişkili ısıl işlemler de dahil olmak üzere kaplama, baskı ve son işlemlerden kaynaklanan baca gazı amonyak emisyonları için MET-ilişkili emisyon seviyesi (MET-İES)</w:t>
      </w:r>
    </w:p>
    <w:tbl>
      <w:tblPr>
        <w:tblW w:w="9069" w:type="dxa"/>
        <w:tblBorders>
          <w:top w:val="nil"/>
          <w:left w:val="nil"/>
          <w:bottom w:val="nil"/>
          <w:right w:val="nil"/>
          <w:insideH w:val="nil"/>
          <w:insideV w:val="nil"/>
        </w:tblBorders>
        <w:tblLayout w:type="fixed"/>
        <w:tblLook w:val="0600" w:firstRow="0" w:lastRow="0" w:firstColumn="0" w:lastColumn="0" w:noHBand="1" w:noVBand="1"/>
      </w:tblPr>
      <w:tblGrid>
        <w:gridCol w:w="4550"/>
        <w:gridCol w:w="4519"/>
      </w:tblGrid>
      <w:tr w:rsidR="0055515A" w:rsidRPr="0055515A" w14:paraId="358F077F" w14:textId="77777777" w:rsidTr="00EA5A0B">
        <w:trPr>
          <w:trHeight w:val="625"/>
        </w:trPr>
        <w:tc>
          <w:tcPr>
            <w:tcW w:w="45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A7BDF6F" w14:textId="77777777" w:rsidR="0055515A" w:rsidRPr="008679D6" w:rsidRDefault="0055515A" w:rsidP="0055515A">
            <w:pPr>
              <w:spacing w:after="0" w:line="276" w:lineRule="auto"/>
              <w:jc w:val="center"/>
              <w:rPr>
                <w:rFonts w:ascii="Times New Roman" w:eastAsia="Times New Roman" w:hAnsi="Times New Roman" w:cs="Times New Roman"/>
                <w:b/>
                <w:kern w:val="0"/>
                <w:lang w:eastAsia="tr-TR"/>
                <w14:ligatures w14:val="none"/>
              </w:rPr>
            </w:pPr>
            <w:r w:rsidRPr="008679D6">
              <w:rPr>
                <w:rFonts w:ascii="Times New Roman" w:eastAsia="Times New Roman" w:hAnsi="Times New Roman" w:cs="Times New Roman"/>
                <w:b/>
                <w:kern w:val="0"/>
                <w:lang w:eastAsia="tr-TR"/>
                <w14:ligatures w14:val="none"/>
              </w:rPr>
              <w:t>Madde/Parametre</w:t>
            </w:r>
          </w:p>
        </w:tc>
        <w:tc>
          <w:tcPr>
            <w:tcW w:w="451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D376B88" w14:textId="77777777" w:rsidR="0055515A" w:rsidRPr="008679D6" w:rsidRDefault="0055515A" w:rsidP="0055515A">
            <w:pPr>
              <w:spacing w:after="0" w:line="276" w:lineRule="auto"/>
              <w:jc w:val="center"/>
              <w:rPr>
                <w:rFonts w:ascii="Times New Roman" w:eastAsia="Times New Roman" w:hAnsi="Times New Roman" w:cs="Times New Roman"/>
                <w:b/>
                <w:kern w:val="0"/>
                <w:lang w:eastAsia="tr-TR"/>
                <w14:ligatures w14:val="none"/>
              </w:rPr>
            </w:pPr>
            <w:r w:rsidRPr="008679D6">
              <w:rPr>
                <w:rFonts w:ascii="Times New Roman" w:eastAsia="Times New Roman" w:hAnsi="Times New Roman" w:cs="Times New Roman"/>
                <w:b/>
                <w:kern w:val="0"/>
                <w:lang w:eastAsia="tr-TR"/>
                <w14:ligatures w14:val="none"/>
              </w:rPr>
              <w:t xml:space="preserve">MET- </w:t>
            </w:r>
            <w:r w:rsidR="000D536A" w:rsidRPr="008679D6">
              <w:rPr>
                <w:rFonts w:ascii="Times New Roman" w:eastAsia="Times New Roman" w:hAnsi="Times New Roman" w:cs="Times New Roman"/>
                <w:b/>
                <w:kern w:val="0"/>
                <w:lang w:eastAsia="tr-TR"/>
                <w14:ligatures w14:val="none"/>
              </w:rPr>
              <w:t>İES</w:t>
            </w:r>
            <w:r w:rsidRPr="008679D6">
              <w:rPr>
                <w:rFonts w:ascii="Times New Roman" w:eastAsia="Times New Roman" w:hAnsi="Times New Roman" w:cs="Times New Roman"/>
                <w:b/>
                <w:kern w:val="0"/>
                <w:lang w:eastAsia="tr-TR"/>
                <w14:ligatures w14:val="none"/>
              </w:rPr>
              <w:t xml:space="preserve"> (</w:t>
            </w:r>
            <w:r w:rsidRPr="008679D6">
              <w:rPr>
                <w:rFonts w:ascii="Times New Roman" w:eastAsia="Times New Roman" w:hAnsi="Times New Roman" w:cs="Times New Roman"/>
                <w:b/>
                <w:kern w:val="0"/>
                <w:vertAlign w:val="superscript"/>
                <w:lang w:eastAsia="tr-TR"/>
                <w14:ligatures w14:val="none"/>
              </w:rPr>
              <w:t>1</w:t>
            </w:r>
            <w:r w:rsidRPr="008679D6">
              <w:rPr>
                <w:rFonts w:ascii="Times New Roman" w:eastAsia="Times New Roman" w:hAnsi="Times New Roman" w:cs="Times New Roman"/>
                <w:b/>
                <w:kern w:val="0"/>
                <w:lang w:eastAsia="tr-TR"/>
                <w14:ligatures w14:val="none"/>
              </w:rPr>
              <w:t>)(Örnekleme dönemi boyunca ortalama) (mg/Nm³)</w:t>
            </w:r>
          </w:p>
          <w:p w14:paraId="122521D1" w14:textId="77777777" w:rsidR="0055515A" w:rsidRPr="008679D6" w:rsidRDefault="0055515A" w:rsidP="0055515A">
            <w:pPr>
              <w:spacing w:after="0" w:line="276" w:lineRule="auto"/>
              <w:jc w:val="center"/>
              <w:rPr>
                <w:rFonts w:ascii="Times New Roman" w:eastAsia="Times New Roman" w:hAnsi="Times New Roman" w:cs="Times New Roman"/>
                <w:b/>
                <w:kern w:val="0"/>
                <w:lang w:eastAsia="tr-TR"/>
                <w14:ligatures w14:val="none"/>
              </w:rPr>
            </w:pPr>
            <w:r w:rsidRPr="008679D6">
              <w:rPr>
                <w:rFonts w:ascii="Times New Roman" w:eastAsia="Times New Roman" w:hAnsi="Times New Roman" w:cs="Times New Roman"/>
                <w:b/>
                <w:kern w:val="0"/>
                <w:lang w:eastAsia="tr-TR"/>
                <w14:ligatures w14:val="none"/>
              </w:rPr>
              <w:t xml:space="preserve"> </w:t>
            </w:r>
          </w:p>
        </w:tc>
      </w:tr>
      <w:tr w:rsidR="0055515A" w:rsidRPr="0055515A" w14:paraId="4B030D66" w14:textId="77777777" w:rsidTr="00EA5A0B">
        <w:trPr>
          <w:trHeight w:val="439"/>
        </w:trPr>
        <w:tc>
          <w:tcPr>
            <w:tcW w:w="4550"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14:paraId="4B1F724C" w14:textId="77777777" w:rsidR="0055515A" w:rsidRPr="0055515A" w:rsidRDefault="0055515A" w:rsidP="0055515A">
            <w:pPr>
              <w:spacing w:after="0" w:line="276"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NH</w:t>
            </w:r>
            <w:r w:rsidRPr="0055515A">
              <w:rPr>
                <w:rFonts w:ascii="Times New Roman" w:eastAsia="Times New Roman" w:hAnsi="Times New Roman" w:cs="Times New Roman"/>
                <w:kern w:val="0"/>
                <w:vertAlign w:val="subscript"/>
                <w:lang w:eastAsia="tr-TR"/>
                <w14:ligatures w14:val="none"/>
              </w:rPr>
              <w:t>3</w:t>
            </w:r>
          </w:p>
        </w:tc>
        <w:tc>
          <w:tcPr>
            <w:tcW w:w="4519" w:type="dxa"/>
            <w:tcBorders>
              <w:top w:val="nil"/>
              <w:left w:val="nil"/>
              <w:bottom w:val="single" w:sz="4" w:space="0" w:color="auto"/>
              <w:right w:val="single" w:sz="6" w:space="0" w:color="000000"/>
            </w:tcBorders>
            <w:tcMar>
              <w:top w:w="0" w:type="dxa"/>
              <w:left w:w="100" w:type="dxa"/>
              <w:bottom w:w="0" w:type="dxa"/>
              <w:right w:w="100" w:type="dxa"/>
            </w:tcMar>
          </w:tcPr>
          <w:p w14:paraId="10709B50" w14:textId="77777777" w:rsidR="0055515A" w:rsidRPr="0055515A" w:rsidRDefault="0055515A" w:rsidP="0055515A">
            <w:pPr>
              <w:spacing w:after="0" w:line="276" w:lineRule="auto"/>
              <w:jc w:val="center"/>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3–10(</w:t>
            </w:r>
            <w:r w:rsidRPr="0055515A">
              <w:rPr>
                <w:rFonts w:ascii="Times New Roman" w:eastAsia="Times New Roman" w:hAnsi="Times New Roman" w:cs="Times New Roman"/>
                <w:kern w:val="0"/>
                <w:vertAlign w:val="superscript"/>
                <w:lang w:eastAsia="tr-TR"/>
                <w14:ligatures w14:val="none"/>
              </w:rPr>
              <w:t>2</w:t>
            </w:r>
            <w:r w:rsidRPr="0055515A">
              <w:rPr>
                <w:rFonts w:ascii="Times New Roman" w:eastAsia="Times New Roman" w:hAnsi="Times New Roman" w:cs="Times New Roman"/>
                <w:kern w:val="0"/>
                <w:lang w:eastAsia="tr-TR"/>
                <w14:ligatures w14:val="none"/>
              </w:rPr>
              <w:t>)</w:t>
            </w:r>
          </w:p>
        </w:tc>
      </w:tr>
      <w:tr w:rsidR="0055515A" w:rsidRPr="0055515A" w14:paraId="1DC3FECF" w14:textId="77777777" w:rsidTr="0024730D">
        <w:trPr>
          <w:trHeight w:val="630"/>
        </w:trPr>
        <w:tc>
          <w:tcPr>
            <w:tcW w:w="9069" w:type="dxa"/>
            <w:gridSpan w:val="2"/>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E1DDE2E" w14:textId="77777777" w:rsidR="00EA5A0B" w:rsidRDefault="0055515A" w:rsidP="00EA5A0B">
            <w:pPr>
              <w:spacing w:before="100" w:beforeAutospacing="1" w:after="0" w:line="240" w:lineRule="auto"/>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1</w:t>
            </w:r>
            <w:r w:rsidRPr="0055515A">
              <w:rPr>
                <w:rFonts w:ascii="Times New Roman" w:eastAsia="Times New Roman" w:hAnsi="Times New Roman" w:cs="Times New Roman"/>
                <w:color w:val="000000"/>
                <w:kern w:val="0"/>
                <w:sz w:val="20"/>
                <w:szCs w:val="20"/>
                <w:lang w:eastAsia="tr-TR"/>
                <w14:ligatures w14:val="none"/>
              </w:rPr>
              <w:t>) MET-İES yalnızca NH3, MET 2'de belirtilen giriş ve çıkış envanterine dayanarak atık gaz akışında ilgili olarak tanımlandığında geçerlidir.</w:t>
            </w:r>
          </w:p>
          <w:p w14:paraId="7CB097FF" w14:textId="18A99DF7" w:rsidR="0055515A" w:rsidRPr="0055515A" w:rsidRDefault="0055515A" w:rsidP="00EA5A0B">
            <w:pPr>
              <w:spacing w:before="100" w:beforeAutospacing="1" w:after="100" w:afterAutospacing="1"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w:t>
            </w:r>
            <w:r w:rsidRPr="0055515A">
              <w:rPr>
                <w:rFonts w:ascii="Times New Roman" w:eastAsia="Times New Roman" w:hAnsi="Times New Roman" w:cs="Times New Roman"/>
                <w:color w:val="000000"/>
                <w:kern w:val="0"/>
                <w:sz w:val="20"/>
                <w:szCs w:val="20"/>
                <w:vertAlign w:val="superscript"/>
                <w:lang w:eastAsia="tr-TR"/>
                <w14:ligatures w14:val="none"/>
              </w:rPr>
              <w:t>2</w:t>
            </w:r>
            <w:r w:rsidRPr="0055515A">
              <w:rPr>
                <w:rFonts w:ascii="Times New Roman" w:eastAsia="Times New Roman" w:hAnsi="Times New Roman" w:cs="Times New Roman"/>
                <w:color w:val="000000"/>
                <w:kern w:val="0"/>
                <w:sz w:val="20"/>
                <w:szCs w:val="20"/>
                <w:lang w:eastAsia="tr-TR"/>
                <w14:ligatures w14:val="none"/>
              </w:rPr>
              <w:t>) MET-İES aralığının üst sınırı, amonyum sülfamat bir alev geciktirici olarak kullanıldığında veya amonyak kürleme için kullanıldığında daha yüksek olabilir ve 20 mg/Nm3'ye kadar çıkabilir (bkz. MET 50).</w:t>
            </w:r>
          </w:p>
        </w:tc>
      </w:tr>
    </w:tbl>
    <w:p w14:paraId="0E811954" w14:textId="77777777" w:rsidR="0055515A" w:rsidRPr="0055515A" w:rsidRDefault="0055515A" w:rsidP="0055515A">
      <w:pPr>
        <w:spacing w:after="120" w:line="36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Cs/>
          <w:color w:val="000000"/>
          <w:kern w:val="0"/>
          <w:sz w:val="24"/>
          <w:szCs w:val="24"/>
          <w:lang w:eastAsia="tr-TR"/>
          <w14:ligatures w14:val="none"/>
        </w:rPr>
        <w:t xml:space="preserve">İlgili izleme, MET 9'da verilmiştir.  </w:t>
      </w:r>
    </w:p>
    <w:p w14:paraId="09B56331" w14:textId="77777777" w:rsidR="0055515A" w:rsidRPr="0055515A" w:rsidRDefault="0055515A" w:rsidP="0055515A">
      <w:pPr>
        <w:spacing w:after="120" w:line="360" w:lineRule="auto"/>
        <w:jc w:val="both"/>
        <w:rPr>
          <w:rFonts w:ascii="Times New Roman" w:eastAsia="Times New Roman" w:hAnsi="Times New Roman" w:cs="Times New Roman"/>
          <w:b/>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1.1.9. Atık</w:t>
      </w:r>
    </w:p>
    <w:p w14:paraId="0EAB17B6" w14:textId="77777777"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color w:val="000000"/>
          <w:kern w:val="0"/>
          <w:sz w:val="24"/>
          <w:szCs w:val="24"/>
          <w:lang w:eastAsia="tr-TR"/>
          <w14:ligatures w14:val="none"/>
        </w:rPr>
        <w:t xml:space="preserve">MET 29 - </w:t>
      </w:r>
      <w:r w:rsidRPr="0055515A">
        <w:rPr>
          <w:rFonts w:ascii="Times New Roman" w:eastAsia="Times New Roman" w:hAnsi="Times New Roman" w:cs="Times New Roman"/>
          <w:color w:val="000000"/>
          <w:kern w:val="0"/>
          <w:sz w:val="24"/>
          <w:szCs w:val="24"/>
          <w:lang w:eastAsia="tr-TR"/>
          <w14:ligatures w14:val="none"/>
        </w:rPr>
        <w:t>Atık oluşumunu önlemek veya azaltmak ve bertaraf</w:t>
      </w:r>
      <w:r w:rsidR="00D27F8E">
        <w:rPr>
          <w:rFonts w:ascii="Times New Roman" w:eastAsia="Times New Roman" w:hAnsi="Times New Roman" w:cs="Times New Roman"/>
          <w:color w:val="000000"/>
          <w:kern w:val="0"/>
          <w:sz w:val="24"/>
          <w:szCs w:val="24"/>
          <w:lang w:eastAsia="tr-TR"/>
          <w14:ligatures w14:val="none"/>
        </w:rPr>
        <w:t>a</w:t>
      </w:r>
      <w:r w:rsidRPr="0055515A">
        <w:rPr>
          <w:rFonts w:ascii="Times New Roman" w:eastAsia="Times New Roman" w:hAnsi="Times New Roman" w:cs="Times New Roman"/>
          <w:color w:val="000000"/>
          <w:kern w:val="0"/>
          <w:sz w:val="24"/>
          <w:szCs w:val="24"/>
          <w:lang w:eastAsia="tr-TR"/>
          <w14:ligatures w14:val="none"/>
        </w:rPr>
        <w:t xml:space="preserve"> gönderilen atık miktarını azaltmak için MET, aşağıda verilen tekniklerin tümünü kullanmaktadır.</w:t>
      </w:r>
    </w:p>
    <w:tbl>
      <w:tblPr>
        <w:tblW w:w="9634" w:type="dxa"/>
        <w:tblCellMar>
          <w:left w:w="70" w:type="dxa"/>
          <w:right w:w="70" w:type="dxa"/>
        </w:tblCellMar>
        <w:tblLook w:val="04A0" w:firstRow="1" w:lastRow="0" w:firstColumn="1" w:lastColumn="0" w:noHBand="0" w:noVBand="1"/>
      </w:tblPr>
      <w:tblGrid>
        <w:gridCol w:w="1689"/>
        <w:gridCol w:w="5966"/>
        <w:gridCol w:w="1979"/>
      </w:tblGrid>
      <w:tr w:rsidR="0055515A" w:rsidRPr="0055515A" w14:paraId="63EC5732" w14:textId="77777777" w:rsidTr="0024730D">
        <w:trPr>
          <w:trHeight w:val="320"/>
        </w:trPr>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94A7A"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5966" w:type="dxa"/>
            <w:tcBorders>
              <w:top w:val="single" w:sz="4" w:space="0" w:color="auto"/>
              <w:left w:val="nil"/>
              <w:bottom w:val="single" w:sz="4" w:space="0" w:color="auto"/>
              <w:right w:val="single" w:sz="4" w:space="0" w:color="auto"/>
            </w:tcBorders>
            <w:shd w:val="clear" w:color="auto" w:fill="auto"/>
            <w:noWrap/>
            <w:vAlign w:val="bottom"/>
            <w:hideMark/>
          </w:tcPr>
          <w:p w14:paraId="636B0E59"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1979" w:type="dxa"/>
            <w:tcBorders>
              <w:top w:val="single" w:sz="4" w:space="0" w:color="auto"/>
              <w:left w:val="nil"/>
              <w:bottom w:val="single" w:sz="4" w:space="0" w:color="auto"/>
              <w:right w:val="single" w:sz="4" w:space="0" w:color="auto"/>
            </w:tcBorders>
          </w:tcPr>
          <w:p w14:paraId="1D1258FB"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0CFDB521" w14:textId="77777777" w:rsidTr="0024730D">
        <w:trPr>
          <w:trHeight w:val="320"/>
        </w:trPr>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7CD9F3F9"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Atık Yönetim Planı</w:t>
            </w:r>
          </w:p>
        </w:tc>
        <w:tc>
          <w:tcPr>
            <w:tcW w:w="5966" w:type="dxa"/>
            <w:tcBorders>
              <w:top w:val="nil"/>
              <w:left w:val="nil"/>
              <w:bottom w:val="single" w:sz="4" w:space="0" w:color="auto"/>
              <w:right w:val="single" w:sz="4" w:space="0" w:color="auto"/>
            </w:tcBorders>
            <w:shd w:val="clear" w:color="auto" w:fill="auto"/>
            <w:noWrap/>
            <w:vAlign w:val="bottom"/>
            <w:hideMark/>
          </w:tcPr>
          <w:p w14:paraId="50719D5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oluşumunu en aza indirmek, yeniden kullanım</w:t>
            </w:r>
            <w:r w:rsidR="00D27F8E">
              <w:rPr>
                <w:rFonts w:ascii="Times New Roman" w:eastAsia="Times New Roman" w:hAnsi="Times New Roman" w:cs="Times New Roman"/>
                <w:color w:val="000000"/>
                <w:kern w:val="0"/>
                <w:lang w:eastAsia="tr-TR"/>
                <w14:ligatures w14:val="none"/>
              </w:rPr>
              <w:t xml:space="preserve"> </w:t>
            </w:r>
            <w:r w:rsidRPr="0055515A">
              <w:rPr>
                <w:rFonts w:ascii="Times New Roman" w:eastAsia="Times New Roman" w:hAnsi="Times New Roman" w:cs="Times New Roman"/>
                <w:color w:val="000000"/>
                <w:kern w:val="0"/>
                <w:lang w:eastAsia="tr-TR"/>
                <w14:ligatures w14:val="none"/>
              </w:rPr>
              <w:t>ve geri dönüşümün optimize edilmesi ve/veya atıkların geri kazanımı ile atıkların uygun şekilde bertaraf edilmesini sağlamak amacıyla bir dizi özellikten oluşur.</w:t>
            </w:r>
          </w:p>
        </w:tc>
        <w:tc>
          <w:tcPr>
            <w:tcW w:w="1979" w:type="dxa"/>
            <w:tcBorders>
              <w:top w:val="nil"/>
              <w:left w:val="nil"/>
              <w:bottom w:val="single" w:sz="4" w:space="0" w:color="auto"/>
              <w:right w:val="single" w:sz="4" w:space="0" w:color="auto"/>
            </w:tcBorders>
          </w:tcPr>
          <w:p w14:paraId="31AE765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yönetim planının detay seviyesi, genellikle tesisin niteliği, ölçeği ve karmaşıklığı ile ilişkili olacaktır.</w:t>
            </w:r>
          </w:p>
        </w:tc>
      </w:tr>
      <w:tr w:rsidR="0055515A" w:rsidRPr="0055515A" w14:paraId="2A4ADB95" w14:textId="77777777" w:rsidTr="0024730D">
        <w:trPr>
          <w:trHeight w:val="320"/>
        </w:trPr>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7C1A7333"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Proses Kimyasallarının Zamanında Kullanılması</w:t>
            </w:r>
          </w:p>
        </w:tc>
        <w:tc>
          <w:tcPr>
            <w:tcW w:w="5966" w:type="dxa"/>
            <w:tcBorders>
              <w:top w:val="nil"/>
              <w:left w:val="nil"/>
              <w:bottom w:val="single" w:sz="4" w:space="0" w:color="auto"/>
              <w:right w:val="single" w:sz="4" w:space="0" w:color="auto"/>
            </w:tcBorders>
            <w:shd w:val="clear" w:color="auto" w:fill="auto"/>
            <w:noWrap/>
            <w:vAlign w:val="bottom"/>
            <w:hideMark/>
          </w:tcPr>
          <w:p w14:paraId="1DC25EE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Proses kimyasallarının maksimum depolama süresi ile ilgili kriterler belirlenir ve kimyasalların bozulmasını önlemek için ilgili parametreler izlenir.</w:t>
            </w:r>
          </w:p>
        </w:tc>
        <w:tc>
          <w:tcPr>
            <w:tcW w:w="1979" w:type="dxa"/>
            <w:tcBorders>
              <w:top w:val="nil"/>
              <w:left w:val="nil"/>
              <w:bottom w:val="single" w:sz="4" w:space="0" w:color="auto"/>
              <w:right w:val="single" w:sz="4" w:space="0" w:color="auto"/>
            </w:tcBorders>
          </w:tcPr>
          <w:p w14:paraId="44C02CB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1B80766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032BCD9B" w14:textId="77777777" w:rsidTr="0024730D">
        <w:trPr>
          <w:trHeight w:val="320"/>
        </w:trPr>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14D6A345"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Ambalajların Yeniden Kullanımı/Geri Dönüşümü</w:t>
            </w:r>
          </w:p>
        </w:tc>
        <w:tc>
          <w:tcPr>
            <w:tcW w:w="5966" w:type="dxa"/>
            <w:tcBorders>
              <w:top w:val="nil"/>
              <w:left w:val="nil"/>
              <w:bottom w:val="single" w:sz="4" w:space="0" w:color="auto"/>
              <w:right w:val="single" w:sz="4" w:space="0" w:color="auto"/>
            </w:tcBorders>
            <w:shd w:val="clear" w:color="auto" w:fill="auto"/>
            <w:noWrap/>
            <w:vAlign w:val="bottom"/>
            <w:hideMark/>
          </w:tcPr>
          <w:p w14:paraId="0942542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Proses kimyasalları ambalajı, tamamen boşaltılmasını kolaylaştıracak şekilde seçilir. Boşaltma işleminden sonra ambalaj yeniden kullanılır, tedarikçiye iade edilir veya malzeme geri dönüşümüne gönderilir.</w:t>
            </w:r>
          </w:p>
        </w:tc>
        <w:tc>
          <w:tcPr>
            <w:tcW w:w="1979" w:type="dxa"/>
            <w:tcBorders>
              <w:top w:val="nil"/>
              <w:left w:val="nil"/>
              <w:bottom w:val="single" w:sz="4" w:space="0" w:color="auto"/>
              <w:right w:val="single" w:sz="4" w:space="0" w:color="auto"/>
            </w:tcBorders>
          </w:tcPr>
          <w:p w14:paraId="50A2231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772936E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1EC5DF37" w14:textId="77777777" w:rsidTr="0024730D">
        <w:trPr>
          <w:trHeight w:val="320"/>
        </w:trPr>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427B61B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 xml:space="preserve">Kullanılmayan Proses </w:t>
            </w:r>
            <w:r w:rsidRPr="008679D6">
              <w:rPr>
                <w:rFonts w:ascii="Times New Roman" w:eastAsia="Times New Roman" w:hAnsi="Times New Roman" w:cs="Times New Roman"/>
                <w:bCs/>
                <w:color w:val="000000"/>
                <w:kern w:val="0"/>
                <w:lang w:eastAsia="tr-TR"/>
                <w14:ligatures w14:val="none"/>
              </w:rPr>
              <w:lastRenderedPageBreak/>
              <w:t>Kimyasallarının İadesi</w:t>
            </w:r>
          </w:p>
        </w:tc>
        <w:tc>
          <w:tcPr>
            <w:tcW w:w="5966" w:type="dxa"/>
            <w:tcBorders>
              <w:top w:val="nil"/>
              <w:left w:val="nil"/>
              <w:bottom w:val="single" w:sz="4" w:space="0" w:color="auto"/>
              <w:right w:val="single" w:sz="4" w:space="0" w:color="auto"/>
            </w:tcBorders>
            <w:shd w:val="clear" w:color="auto" w:fill="auto"/>
            <w:noWrap/>
            <w:vAlign w:val="bottom"/>
            <w:hideMark/>
          </w:tcPr>
          <w:p w14:paraId="125F877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lastRenderedPageBreak/>
              <w:t>Kullanılmayan proses kimyasalları (orijinal kaplarında kalanlar) tedarikçilerine iade edilir.</w:t>
            </w:r>
          </w:p>
        </w:tc>
        <w:tc>
          <w:tcPr>
            <w:tcW w:w="1979" w:type="dxa"/>
            <w:tcBorders>
              <w:top w:val="nil"/>
              <w:left w:val="nil"/>
              <w:bottom w:val="single" w:sz="4" w:space="0" w:color="auto"/>
              <w:right w:val="single" w:sz="4" w:space="0" w:color="auto"/>
            </w:tcBorders>
          </w:tcPr>
          <w:p w14:paraId="75DD9C2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51BB700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bl>
    <w:p w14:paraId="5E0C409A" w14:textId="77777777" w:rsidR="0055515A" w:rsidRPr="0055515A" w:rsidRDefault="0055515A"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lastRenderedPageBreak/>
        <w:t xml:space="preserve">MET 30 - </w:t>
      </w:r>
      <w:r w:rsidRPr="008679D6">
        <w:rPr>
          <w:rFonts w:ascii="Times New Roman" w:eastAsia="Times New Roman" w:hAnsi="Times New Roman" w:cs="Times New Roman"/>
          <w:bCs/>
          <w:color w:val="000000"/>
          <w:kern w:val="0"/>
          <w:sz w:val="24"/>
          <w:szCs w:val="24"/>
          <w:lang w:eastAsia="tr-TR"/>
          <w14:ligatures w14:val="none"/>
        </w:rPr>
        <w:t>Atıkların işlenmesinin genel çevresel performansını iyileştirmek, özellikle de çevreye salınan emisyonları önlemek veya azaltmak için MET, atıklar bertarafa gönderilmeden önce aşağıda verilen tekniği</w:t>
      </w:r>
      <w:r w:rsidR="00D27F8E" w:rsidRPr="008679D6">
        <w:rPr>
          <w:rFonts w:ascii="Times New Roman" w:eastAsia="Times New Roman" w:hAnsi="Times New Roman" w:cs="Times New Roman"/>
          <w:bCs/>
          <w:color w:val="000000"/>
          <w:kern w:val="0"/>
          <w:sz w:val="24"/>
          <w:szCs w:val="24"/>
          <w:lang w:eastAsia="tr-TR"/>
          <w14:ligatures w14:val="none"/>
        </w:rPr>
        <w:t>n kullanılmasıdır.</w:t>
      </w:r>
    </w:p>
    <w:p w14:paraId="719A2ECA" w14:textId="77777777" w:rsidR="00DF4F17" w:rsidRPr="006B15F1" w:rsidRDefault="00DF4F17" w:rsidP="0055515A">
      <w:pPr>
        <w:spacing w:after="120" w:line="240" w:lineRule="auto"/>
        <w:jc w:val="both"/>
        <w:rPr>
          <w:rFonts w:ascii="Times New Roman" w:eastAsia="Times New Roman" w:hAnsi="Times New Roman" w:cs="Times New Roman"/>
          <w:b/>
          <w:i/>
          <w:iCs/>
          <w:color w:val="000000"/>
          <w:kern w:val="0"/>
          <w:sz w:val="24"/>
          <w:szCs w:val="24"/>
          <w:lang w:eastAsia="tr-TR"/>
          <w14:ligatures w14:val="none"/>
        </w:rPr>
      </w:pPr>
      <w:r w:rsidRPr="006B15F1">
        <w:rPr>
          <w:rFonts w:ascii="Times New Roman" w:eastAsia="Times New Roman" w:hAnsi="Times New Roman" w:cs="Times New Roman"/>
          <w:b/>
          <w:i/>
          <w:iCs/>
          <w:color w:val="000000"/>
          <w:kern w:val="0"/>
          <w:sz w:val="24"/>
          <w:szCs w:val="24"/>
          <w:lang w:eastAsia="tr-TR"/>
          <w14:ligatures w14:val="none"/>
        </w:rPr>
        <w:t>Teknik</w:t>
      </w:r>
    </w:p>
    <w:p w14:paraId="4301EDF3" w14:textId="77777777" w:rsidR="00DF4F17" w:rsidRDefault="0071338C"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71338C">
        <w:rPr>
          <w:rFonts w:ascii="Times New Roman" w:eastAsia="Times New Roman" w:hAnsi="Times New Roman" w:cs="Times New Roman"/>
          <w:i/>
          <w:iCs/>
          <w:color w:val="000000"/>
          <w:kern w:val="0"/>
          <w:sz w:val="24"/>
          <w:szCs w:val="24"/>
          <w:lang w:eastAsia="tr-TR"/>
          <w14:ligatures w14:val="none"/>
        </w:rPr>
        <w:t>Zararlı</w:t>
      </w:r>
      <w:r w:rsidR="0055515A" w:rsidRPr="0055515A">
        <w:rPr>
          <w:rFonts w:ascii="Times New Roman" w:eastAsia="Times New Roman" w:hAnsi="Times New Roman" w:cs="Times New Roman"/>
          <w:i/>
          <w:iCs/>
          <w:color w:val="000000"/>
          <w:kern w:val="0"/>
          <w:sz w:val="24"/>
          <w:szCs w:val="24"/>
          <w:lang w:eastAsia="tr-TR"/>
          <w14:ligatures w14:val="none"/>
        </w:rPr>
        <w:t xml:space="preserve"> maddeler ve/veya çok yüksek önem arz eden maddelerle kirlenmiş atıkların ayrı toplanması ve depolanması:</w:t>
      </w:r>
      <w:r w:rsidR="0055515A" w:rsidRPr="0055515A">
        <w:rPr>
          <w:rFonts w:ascii="Times New Roman" w:eastAsia="Times New Roman" w:hAnsi="Times New Roman" w:cs="Times New Roman"/>
          <w:color w:val="000000"/>
          <w:kern w:val="0"/>
          <w:sz w:val="24"/>
          <w:szCs w:val="24"/>
          <w:lang w:eastAsia="tr-TR"/>
          <w14:ligatures w14:val="none"/>
        </w:rPr>
        <w:t xml:space="preserve"> </w:t>
      </w:r>
    </w:p>
    <w:p w14:paraId="41FF55E7" w14:textId="77777777" w:rsidR="00541520" w:rsidRDefault="00541520" w:rsidP="0055515A">
      <w:pPr>
        <w:spacing w:after="120" w:line="240" w:lineRule="auto"/>
        <w:jc w:val="both"/>
        <w:rPr>
          <w:rFonts w:ascii="Times New Roman" w:eastAsia="Times New Roman" w:hAnsi="Times New Roman" w:cs="Times New Roman"/>
          <w:b/>
          <w:i/>
          <w:color w:val="000000"/>
          <w:kern w:val="0"/>
          <w:sz w:val="24"/>
          <w:szCs w:val="24"/>
          <w:lang w:eastAsia="tr-TR"/>
          <w14:ligatures w14:val="none"/>
        </w:rPr>
      </w:pPr>
    </w:p>
    <w:p w14:paraId="466F2F16" w14:textId="77777777" w:rsidR="00541520" w:rsidRDefault="00541520" w:rsidP="0055515A">
      <w:pPr>
        <w:spacing w:after="120" w:line="240" w:lineRule="auto"/>
        <w:jc w:val="both"/>
        <w:rPr>
          <w:rFonts w:ascii="Times New Roman" w:eastAsia="Times New Roman" w:hAnsi="Times New Roman" w:cs="Times New Roman"/>
          <w:b/>
          <w:i/>
          <w:color w:val="000000"/>
          <w:kern w:val="0"/>
          <w:sz w:val="24"/>
          <w:szCs w:val="24"/>
          <w:lang w:eastAsia="tr-TR"/>
          <w14:ligatures w14:val="none"/>
        </w:rPr>
      </w:pPr>
    </w:p>
    <w:p w14:paraId="3C1252C7" w14:textId="7B8F6052" w:rsidR="00DF4F17" w:rsidRPr="006B15F1" w:rsidRDefault="00DF4F17" w:rsidP="0055515A">
      <w:pPr>
        <w:spacing w:after="120" w:line="240" w:lineRule="auto"/>
        <w:jc w:val="both"/>
        <w:rPr>
          <w:rFonts w:ascii="Times New Roman" w:eastAsia="Times New Roman" w:hAnsi="Times New Roman" w:cs="Times New Roman"/>
          <w:b/>
          <w:i/>
          <w:color w:val="000000"/>
          <w:kern w:val="0"/>
          <w:sz w:val="24"/>
          <w:szCs w:val="24"/>
          <w:lang w:eastAsia="tr-TR"/>
          <w14:ligatures w14:val="none"/>
        </w:rPr>
      </w:pPr>
      <w:r w:rsidRPr="006B15F1">
        <w:rPr>
          <w:rFonts w:ascii="Times New Roman" w:eastAsia="Times New Roman" w:hAnsi="Times New Roman" w:cs="Times New Roman"/>
          <w:b/>
          <w:i/>
          <w:color w:val="000000"/>
          <w:kern w:val="0"/>
          <w:sz w:val="24"/>
          <w:szCs w:val="24"/>
          <w:lang w:eastAsia="tr-TR"/>
          <w14:ligatures w14:val="none"/>
        </w:rPr>
        <w:t>Açıklama</w:t>
      </w:r>
    </w:p>
    <w:p w14:paraId="25FE6B6B" w14:textId="77777777" w:rsidR="0055515A" w:rsidRPr="0055515A" w:rsidRDefault="0071338C" w:rsidP="0055515A">
      <w:pPr>
        <w:spacing w:after="12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Zararlı</w:t>
      </w:r>
      <w:r w:rsidR="0055515A" w:rsidRPr="0055515A">
        <w:rPr>
          <w:rFonts w:ascii="Times New Roman" w:eastAsia="Times New Roman" w:hAnsi="Times New Roman" w:cs="Times New Roman"/>
          <w:color w:val="000000"/>
          <w:kern w:val="0"/>
          <w:sz w:val="24"/>
          <w:szCs w:val="24"/>
          <w:lang w:eastAsia="tr-TR"/>
          <w14:ligatures w14:val="none"/>
        </w:rPr>
        <w:t xml:space="preserve"> maddeler ve/veya çok yüksek önem arz eden maddelerle (örneğin alev geciktiriciler, yağ, su ve toprak iticiler gibi apre kimyasalları) kirlenmiş atıklar ayrı olarak toplanır ve depolanır. Bu atıklar organofosfor ve bromlu alev geciktiriciler, PFAS, fitalatlar ve krom-(VI)-içeren bileşikler (bkz. MET 18) gibi yüksek miktarda kirletici içerebilir ve özellikle şunları içerir:</w:t>
      </w:r>
    </w:p>
    <w:p w14:paraId="2C6BBA85" w14:textId="0D2A081A"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 sıvı </w:t>
      </w:r>
      <w:r w:rsidR="00D27F8E">
        <w:rPr>
          <w:rFonts w:ascii="Times New Roman" w:eastAsia="Times New Roman" w:hAnsi="Times New Roman" w:cs="Times New Roman"/>
          <w:color w:val="000000"/>
          <w:kern w:val="0"/>
          <w:sz w:val="24"/>
          <w:szCs w:val="24"/>
          <w:lang w:eastAsia="tr-TR"/>
          <w14:ligatures w14:val="none"/>
        </w:rPr>
        <w:t>formdaki</w:t>
      </w:r>
      <w:r w:rsidRPr="0055515A">
        <w:rPr>
          <w:rFonts w:ascii="Times New Roman" w:eastAsia="Times New Roman" w:hAnsi="Times New Roman" w:cs="Times New Roman"/>
          <w:color w:val="000000"/>
          <w:kern w:val="0"/>
          <w:sz w:val="24"/>
          <w:szCs w:val="24"/>
          <w:lang w:eastAsia="tr-TR"/>
          <w14:ligatures w14:val="none"/>
        </w:rPr>
        <w:t xml:space="preserve"> (örn. ilk durulama suyu- alev geciktirici cila), </w:t>
      </w:r>
      <w:r w:rsidR="00DC03D3" w:rsidRPr="00557323">
        <w:rPr>
          <w:rFonts w:ascii="Times New Roman" w:eastAsia="Times New Roman" w:hAnsi="Times New Roman" w:cs="Times New Roman"/>
          <w:color w:val="000000" w:themeColor="text1"/>
          <w:kern w:val="0"/>
          <w:sz w:val="24"/>
          <w:szCs w:val="24"/>
          <w:lang w:eastAsia="tr-TR"/>
          <w14:ligatures w14:val="none"/>
        </w:rPr>
        <w:t>baskı patları(</w:t>
      </w:r>
      <w:r w:rsidRPr="00557323">
        <w:rPr>
          <w:rFonts w:ascii="Times New Roman" w:eastAsia="Times New Roman" w:hAnsi="Times New Roman" w:cs="Times New Roman"/>
          <w:color w:val="000000" w:themeColor="text1"/>
          <w:kern w:val="0"/>
          <w:sz w:val="24"/>
          <w:szCs w:val="24"/>
          <w:lang w:eastAsia="tr-TR"/>
          <w14:ligatures w14:val="none"/>
        </w:rPr>
        <w:t>kaplama ve baskı</w:t>
      </w:r>
      <w:r w:rsidR="00DC03D3" w:rsidRPr="00557323">
        <w:rPr>
          <w:rFonts w:ascii="Times New Roman" w:eastAsia="Times New Roman" w:hAnsi="Times New Roman" w:cs="Times New Roman"/>
          <w:color w:val="000000" w:themeColor="text1"/>
          <w:kern w:val="0"/>
          <w:sz w:val="24"/>
          <w:szCs w:val="24"/>
          <w:lang w:eastAsia="tr-TR"/>
          <w14:ligatures w14:val="none"/>
        </w:rPr>
        <w:t>)</w:t>
      </w:r>
      <w:r w:rsidRPr="00557323">
        <w:rPr>
          <w:rFonts w:ascii="Times New Roman" w:eastAsia="Times New Roman" w:hAnsi="Times New Roman" w:cs="Times New Roman"/>
          <w:color w:val="000000" w:themeColor="text1"/>
          <w:kern w:val="0"/>
          <w:sz w:val="24"/>
          <w:szCs w:val="24"/>
          <w:lang w:eastAsia="tr-TR"/>
          <w14:ligatures w14:val="none"/>
        </w:rPr>
        <w:t xml:space="preserve"> </w:t>
      </w:r>
    </w:p>
    <w:p w14:paraId="3BDF4134"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atık kağıtlar, bezler, emici malzemeler;</w:t>
      </w:r>
    </w:p>
    <w:p w14:paraId="7ED54D44"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laboratuvar atıkları;</w:t>
      </w:r>
    </w:p>
    <w:p w14:paraId="580220B0"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atık su arıtımından kaynaklanan çamur.</w:t>
      </w:r>
    </w:p>
    <w:p w14:paraId="64ACEADC"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1.2. Ham Yün Elyafının Yıkanarak Ön İşlenmesine Yönelik MET Sonuçları</w:t>
      </w:r>
    </w:p>
    <w:p w14:paraId="58BADB7A"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1382C432"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 bölümdeki MET sonuçları, ham yün elyafının yıkanarak ön işlenmesine uygulanır ve Bölüm 1.1'deki genel MET sonuçlarına ek olarak geçerlidir.</w:t>
      </w:r>
    </w:p>
    <w:p w14:paraId="1AAD62B8"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 31 - Kaynakları verimli kullanmanın yanı sıra su tüketimini ve atık su oluşumunu azaltmak için MET, yün yağını geri kazanmak ve atık suyu geri dönüştürmektir.</w:t>
      </w:r>
    </w:p>
    <w:p w14:paraId="08B0FB4C" w14:textId="77777777" w:rsidR="0055515A" w:rsidRPr="0055515A" w:rsidRDefault="0055515A" w:rsidP="0055515A">
      <w:pPr>
        <w:spacing w:before="100" w:beforeAutospacing="1" w:after="100" w:afterAutospacing="1" w:line="240" w:lineRule="auto"/>
        <w:outlineLvl w:val="2"/>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08A54CE8"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Yün yıkamadan kaynaklanan atık su, gres, kir ve suyun ayrılması için (örneğin santrifüjleme ve çökeltme kombinasyonu ile) arıtılır. Gres geri kazanılır, su kısmen yıkama işlemi için yeniden kullanılır ve kir, ileri işlem için gönderilir.</w:t>
      </w:r>
    </w:p>
    <w:p w14:paraId="48841FE5" w14:textId="326E3E3A" w:rsidR="0055515A" w:rsidRDefault="0055515A" w:rsidP="0055515A">
      <w:pPr>
        <w:spacing w:before="100" w:beforeAutospacing="1" w:after="100" w:afterAutospacing="1" w:line="240" w:lineRule="auto"/>
        <w:jc w:val="center"/>
        <w:outlineLvl w:val="2"/>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Tablo 1.8</w:t>
      </w:r>
    </w:p>
    <w:p w14:paraId="4A560BBD" w14:textId="77777777" w:rsidR="00541520" w:rsidRPr="0055515A" w:rsidRDefault="00541520" w:rsidP="0055515A">
      <w:pPr>
        <w:spacing w:before="100" w:beforeAutospacing="1" w:after="100" w:afterAutospacing="1" w:line="240" w:lineRule="auto"/>
        <w:jc w:val="center"/>
        <w:outlineLvl w:val="2"/>
        <w:rPr>
          <w:rFonts w:ascii="Times New Roman" w:eastAsia="Times New Roman" w:hAnsi="Times New Roman" w:cs="Times New Roman"/>
          <w:color w:val="000000"/>
          <w:kern w:val="0"/>
          <w:sz w:val="24"/>
          <w:szCs w:val="24"/>
          <w:lang w:eastAsia="tr-TR"/>
          <w14:ligatures w14:val="none"/>
        </w:rPr>
      </w:pPr>
    </w:p>
    <w:p w14:paraId="0FC87633"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Ham Yün Elyafının Yıkanarak Ön İşlenmesinden Kaynaklanan Yün Yağının Geri Kazanımına İlişkin MET-</w:t>
      </w:r>
      <w:r w:rsidR="00BD37CB">
        <w:rPr>
          <w:rFonts w:ascii="Times New Roman" w:eastAsia="Times New Roman" w:hAnsi="Times New Roman" w:cs="Times New Roman"/>
          <w:b/>
          <w:bCs/>
          <w:color w:val="000000"/>
          <w:kern w:val="0"/>
          <w:sz w:val="24"/>
          <w:szCs w:val="24"/>
          <w:lang w:eastAsia="tr-TR"/>
          <w14:ligatures w14:val="none"/>
        </w:rPr>
        <w:t>İÇPS</w:t>
      </w:r>
      <w:r w:rsidRPr="0055515A">
        <w:rPr>
          <w:rFonts w:ascii="Times New Roman" w:eastAsia="Times New Roman" w:hAnsi="Times New Roman" w:cs="Times New Roman"/>
          <w:b/>
          <w:bCs/>
          <w:color w:val="000000"/>
          <w:kern w:val="0"/>
          <w:sz w:val="24"/>
          <w:szCs w:val="24"/>
          <w:lang w:eastAsia="tr-TR"/>
          <w14:ligatures w14:val="none"/>
        </w:rPr>
        <w:t xml:space="preserve"> (MET-AEPL'ler)</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86"/>
        <w:gridCol w:w="2730"/>
        <w:gridCol w:w="2544"/>
      </w:tblGrid>
      <w:tr w:rsidR="0055515A" w:rsidRPr="0055515A" w14:paraId="7EB70E72" w14:textId="77777777" w:rsidTr="00541520">
        <w:trPr>
          <w:trHeight w:val="320"/>
        </w:trPr>
        <w:tc>
          <w:tcPr>
            <w:tcW w:w="3786" w:type="dxa"/>
            <w:shd w:val="clear" w:color="auto" w:fill="auto"/>
            <w:noWrap/>
            <w:vAlign w:val="bottom"/>
            <w:hideMark/>
          </w:tcPr>
          <w:p w14:paraId="186B4C7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Yün Türü</w:t>
            </w:r>
          </w:p>
        </w:tc>
        <w:tc>
          <w:tcPr>
            <w:tcW w:w="2730" w:type="dxa"/>
            <w:shd w:val="clear" w:color="auto" w:fill="auto"/>
            <w:noWrap/>
            <w:vAlign w:val="bottom"/>
            <w:hideMark/>
          </w:tcPr>
          <w:p w14:paraId="6761EF3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Birim</w:t>
            </w:r>
          </w:p>
        </w:tc>
        <w:tc>
          <w:tcPr>
            <w:tcW w:w="2544" w:type="dxa"/>
            <w:shd w:val="clear" w:color="auto" w:fill="auto"/>
            <w:noWrap/>
            <w:vAlign w:val="bottom"/>
            <w:hideMark/>
          </w:tcPr>
          <w:p w14:paraId="3323C7D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MET-</w:t>
            </w:r>
            <w:r w:rsidR="00BD37CB">
              <w:rPr>
                <w:rFonts w:ascii="Times New Roman" w:eastAsia="Times New Roman" w:hAnsi="Times New Roman" w:cs="Times New Roman"/>
                <w:b/>
                <w:bCs/>
                <w:color w:val="000000"/>
                <w:kern w:val="0"/>
                <w:lang w:eastAsia="tr-TR"/>
                <w14:ligatures w14:val="none"/>
              </w:rPr>
              <w:t>İÇPS</w:t>
            </w:r>
            <w:r w:rsidR="00BD37CB" w:rsidRPr="0055515A">
              <w:rPr>
                <w:rFonts w:ascii="Times New Roman" w:eastAsia="Times New Roman" w:hAnsi="Times New Roman" w:cs="Times New Roman"/>
                <w:b/>
                <w:bCs/>
                <w:color w:val="000000"/>
                <w:kern w:val="0"/>
                <w:lang w:eastAsia="tr-TR"/>
                <w14:ligatures w14:val="none"/>
              </w:rPr>
              <w:t xml:space="preserve"> </w:t>
            </w:r>
            <w:r w:rsidRPr="0055515A">
              <w:rPr>
                <w:rFonts w:ascii="Times New Roman" w:eastAsia="Times New Roman" w:hAnsi="Times New Roman" w:cs="Times New Roman"/>
                <w:b/>
                <w:bCs/>
                <w:color w:val="000000"/>
                <w:kern w:val="0"/>
                <w:lang w:eastAsia="tr-TR"/>
                <w14:ligatures w14:val="none"/>
              </w:rPr>
              <w:t>(Yıllık Ortalama)</w:t>
            </w:r>
          </w:p>
        </w:tc>
      </w:tr>
      <w:tr w:rsidR="0055515A" w:rsidRPr="0055515A" w14:paraId="348B459C" w14:textId="77777777" w:rsidTr="00541520">
        <w:trPr>
          <w:trHeight w:val="320"/>
        </w:trPr>
        <w:tc>
          <w:tcPr>
            <w:tcW w:w="3786" w:type="dxa"/>
            <w:shd w:val="clear" w:color="auto" w:fill="auto"/>
            <w:noWrap/>
            <w:vAlign w:val="bottom"/>
            <w:hideMark/>
          </w:tcPr>
          <w:p w14:paraId="4FB22F3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lastRenderedPageBreak/>
              <w:t>Kalın yün (örneğin, elyaf çapı genellikle 35 μm’den büyük olan yün)</w:t>
            </w:r>
          </w:p>
        </w:tc>
        <w:tc>
          <w:tcPr>
            <w:tcW w:w="2730" w:type="dxa"/>
            <w:vMerge w:val="restart"/>
            <w:shd w:val="clear" w:color="auto" w:fill="auto"/>
            <w:noWrap/>
            <w:vAlign w:val="bottom"/>
            <w:hideMark/>
          </w:tcPr>
          <w:p w14:paraId="01CA17F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Ham yün elyafının yıkama ile ön işlenmesi sonucu geri kazanılan gresin kg/ton cinsinden miktarı</w:t>
            </w:r>
          </w:p>
          <w:p w14:paraId="41052C8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c>
          <w:tcPr>
            <w:tcW w:w="2544" w:type="dxa"/>
            <w:shd w:val="clear" w:color="auto" w:fill="auto"/>
            <w:noWrap/>
            <w:vAlign w:val="bottom"/>
            <w:hideMark/>
          </w:tcPr>
          <w:p w14:paraId="7E8AF94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10–15</w:t>
            </w:r>
          </w:p>
        </w:tc>
      </w:tr>
      <w:tr w:rsidR="0055515A" w:rsidRPr="0055515A" w14:paraId="007CDC80" w14:textId="77777777" w:rsidTr="00541520">
        <w:trPr>
          <w:trHeight w:val="320"/>
        </w:trPr>
        <w:tc>
          <w:tcPr>
            <w:tcW w:w="3786" w:type="dxa"/>
            <w:shd w:val="clear" w:color="auto" w:fill="auto"/>
            <w:noWrap/>
            <w:vAlign w:val="bottom"/>
            <w:hideMark/>
          </w:tcPr>
          <w:p w14:paraId="5DFA398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Ekstra ince ve süper ince yün (örneğin, elyaf çapı genellikle 20 μm’den küçük olan yün)</w:t>
            </w:r>
          </w:p>
        </w:tc>
        <w:tc>
          <w:tcPr>
            <w:tcW w:w="2730" w:type="dxa"/>
            <w:vMerge/>
            <w:shd w:val="clear" w:color="auto" w:fill="auto"/>
            <w:noWrap/>
            <w:vAlign w:val="bottom"/>
            <w:hideMark/>
          </w:tcPr>
          <w:p w14:paraId="637DD14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c>
          <w:tcPr>
            <w:tcW w:w="2544" w:type="dxa"/>
            <w:shd w:val="clear" w:color="auto" w:fill="auto"/>
            <w:noWrap/>
            <w:vAlign w:val="bottom"/>
            <w:hideMark/>
          </w:tcPr>
          <w:p w14:paraId="6CD347F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50–60</w:t>
            </w:r>
          </w:p>
        </w:tc>
      </w:tr>
    </w:tbl>
    <w:p w14:paraId="63B357BC" w14:textId="77777777"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İlgili izleme MET 6'da verilmiştir.</w:t>
      </w:r>
    </w:p>
    <w:p w14:paraId="4A1F4F97" w14:textId="77777777" w:rsidR="00EA5A0B" w:rsidRDefault="00EA5A0B"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7CACF038" w14:textId="77777777" w:rsidR="00EA5A0B" w:rsidRDefault="00EA5A0B"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402D6B3B" w14:textId="77777777" w:rsidR="00EA5A0B" w:rsidRDefault="00EA5A0B"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68825AA5" w14:textId="77777777" w:rsidR="00EA5A0B" w:rsidRDefault="00EA5A0B"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016D01C8" w14:textId="77777777" w:rsidR="00EA5A0B" w:rsidRDefault="00EA5A0B"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7239BE6E" w14:textId="6BDC671F" w:rsidR="0055515A" w:rsidRPr="0055515A" w:rsidRDefault="0055515A"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32 - </w:t>
      </w:r>
      <w:r w:rsidRPr="008679D6">
        <w:rPr>
          <w:rFonts w:ascii="Times New Roman" w:eastAsia="Times New Roman" w:hAnsi="Times New Roman" w:cs="Times New Roman"/>
          <w:bCs/>
          <w:color w:val="000000"/>
          <w:kern w:val="0"/>
          <w:sz w:val="24"/>
          <w:szCs w:val="24"/>
          <w:lang w:eastAsia="tr-TR"/>
          <w14:ligatures w14:val="none"/>
        </w:rPr>
        <w:t>MET, enerjiyi verimli kullanmak için aşağıda verilen tekniklerin tümünü kullanmalıdır.</w:t>
      </w:r>
    </w:p>
    <w:tbl>
      <w:tblPr>
        <w:tblW w:w="9062" w:type="dxa"/>
        <w:tblCellMar>
          <w:left w:w="70" w:type="dxa"/>
          <w:right w:w="70" w:type="dxa"/>
        </w:tblCellMar>
        <w:tblLook w:val="04A0" w:firstRow="1" w:lastRow="0" w:firstColumn="1" w:lastColumn="0" w:noHBand="0" w:noVBand="1"/>
      </w:tblPr>
      <w:tblGrid>
        <w:gridCol w:w="1721"/>
        <w:gridCol w:w="5078"/>
        <w:gridCol w:w="2263"/>
      </w:tblGrid>
      <w:tr w:rsidR="00DF4F17" w:rsidRPr="0055515A" w14:paraId="1D054C71" w14:textId="77777777" w:rsidTr="006B15F1">
        <w:trPr>
          <w:trHeight w:val="32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B7AD2" w14:textId="77777777" w:rsidR="00DF4F17" w:rsidRPr="0055515A" w:rsidRDefault="00DF4F17"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5078" w:type="dxa"/>
            <w:tcBorders>
              <w:top w:val="single" w:sz="4" w:space="0" w:color="auto"/>
              <w:left w:val="nil"/>
              <w:bottom w:val="single" w:sz="4" w:space="0" w:color="auto"/>
              <w:right w:val="single" w:sz="4" w:space="0" w:color="auto"/>
            </w:tcBorders>
            <w:shd w:val="clear" w:color="auto" w:fill="auto"/>
            <w:noWrap/>
            <w:vAlign w:val="bottom"/>
            <w:hideMark/>
          </w:tcPr>
          <w:p w14:paraId="66B3A3AD" w14:textId="77777777" w:rsidR="00DF4F17" w:rsidRPr="0055515A" w:rsidRDefault="00DF4F17"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2263" w:type="dxa"/>
            <w:tcBorders>
              <w:top w:val="single" w:sz="4" w:space="0" w:color="auto"/>
              <w:left w:val="nil"/>
              <w:bottom w:val="single" w:sz="4" w:space="0" w:color="auto"/>
              <w:right w:val="single" w:sz="4" w:space="0" w:color="auto"/>
            </w:tcBorders>
            <w:shd w:val="clear" w:color="auto" w:fill="auto"/>
            <w:vAlign w:val="bottom"/>
          </w:tcPr>
          <w:p w14:paraId="149B1870" w14:textId="77777777" w:rsidR="00DF4F17" w:rsidRPr="0055515A" w:rsidRDefault="00DF4F17" w:rsidP="00DF4F17">
            <w:pPr>
              <w:spacing w:after="0" w:line="240" w:lineRule="auto"/>
              <w:rPr>
                <w:rFonts w:ascii="Times New Roman" w:eastAsia="Times New Roman" w:hAnsi="Times New Roman" w:cs="Times New Roman"/>
                <w:b/>
                <w:bCs/>
                <w:color w:val="000000"/>
                <w:kern w:val="0"/>
                <w:lang w:eastAsia="tr-TR"/>
                <w14:ligatures w14:val="none"/>
              </w:rPr>
            </w:pPr>
            <w:r>
              <w:rPr>
                <w:rFonts w:ascii="Times New Roman" w:eastAsia="Times New Roman" w:hAnsi="Times New Roman" w:cs="Times New Roman"/>
                <w:b/>
                <w:bCs/>
                <w:color w:val="000000"/>
                <w:kern w:val="0"/>
                <w:lang w:eastAsia="tr-TR"/>
                <w14:ligatures w14:val="none"/>
              </w:rPr>
              <w:t>Uygulanabilirlik</w:t>
            </w:r>
          </w:p>
        </w:tc>
      </w:tr>
      <w:tr w:rsidR="00DF4F17" w:rsidRPr="0055515A" w14:paraId="57643E69" w14:textId="77777777" w:rsidTr="006B15F1">
        <w:trPr>
          <w:trHeight w:val="320"/>
        </w:trPr>
        <w:tc>
          <w:tcPr>
            <w:tcW w:w="1721" w:type="dxa"/>
            <w:tcBorders>
              <w:top w:val="nil"/>
              <w:left w:val="single" w:sz="4" w:space="0" w:color="auto"/>
              <w:bottom w:val="single" w:sz="4" w:space="0" w:color="auto"/>
              <w:right w:val="single" w:sz="4" w:space="0" w:color="auto"/>
            </w:tcBorders>
            <w:shd w:val="clear" w:color="auto" w:fill="auto"/>
            <w:noWrap/>
            <w:vAlign w:val="bottom"/>
            <w:hideMark/>
          </w:tcPr>
          <w:p w14:paraId="6F525707" w14:textId="77777777" w:rsidR="00DF4F17" w:rsidRPr="008679D6" w:rsidRDefault="00DF4F17"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Kapaklı ovma kapları</w:t>
            </w:r>
          </w:p>
        </w:tc>
        <w:tc>
          <w:tcPr>
            <w:tcW w:w="5078" w:type="dxa"/>
            <w:tcBorders>
              <w:top w:val="nil"/>
              <w:left w:val="nil"/>
              <w:bottom w:val="single" w:sz="4" w:space="0" w:color="auto"/>
              <w:right w:val="single" w:sz="4" w:space="0" w:color="auto"/>
            </w:tcBorders>
            <w:shd w:val="clear" w:color="auto" w:fill="auto"/>
            <w:noWrap/>
            <w:vAlign w:val="bottom"/>
            <w:hideMark/>
          </w:tcPr>
          <w:p w14:paraId="44E1886D" w14:textId="77777777" w:rsidR="00DF4F17" w:rsidRPr="0055515A" w:rsidRDefault="00DF4F17"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Ovma kapları, konveksiyon veya buharlaşma yoluyla oluşan ısı kayıplarını önlemek için kapaklarla donatılmıştır (bkz. MET 11 (c)).</w:t>
            </w:r>
          </w:p>
        </w:tc>
        <w:tc>
          <w:tcPr>
            <w:tcW w:w="2263" w:type="dxa"/>
            <w:tcBorders>
              <w:top w:val="nil"/>
              <w:left w:val="nil"/>
              <w:bottom w:val="single" w:sz="4" w:space="0" w:color="auto"/>
              <w:right w:val="single" w:sz="4" w:space="0" w:color="auto"/>
            </w:tcBorders>
            <w:shd w:val="clear" w:color="auto" w:fill="auto"/>
            <w:vAlign w:val="bottom"/>
          </w:tcPr>
          <w:p w14:paraId="1B3B9232" w14:textId="77777777" w:rsidR="00DF4F17" w:rsidRPr="0055515A" w:rsidRDefault="00DF4F17"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Sa</w:t>
            </w:r>
            <w:r w:rsidR="005C0E3F">
              <w:rPr>
                <w:rFonts w:ascii="Times New Roman" w:eastAsia="Times New Roman" w:hAnsi="Times New Roman" w:cs="Times New Roman"/>
                <w:color w:val="000000"/>
                <w:kern w:val="0"/>
                <w:lang w:eastAsia="tr-TR"/>
                <w14:ligatures w14:val="none"/>
              </w:rPr>
              <w:t>dece yeni tesislerde veya büyük tesis yenilemelerinde</w:t>
            </w:r>
          </w:p>
        </w:tc>
      </w:tr>
      <w:tr w:rsidR="00DF4F17" w:rsidRPr="0055515A" w14:paraId="68E71C3D" w14:textId="77777777" w:rsidTr="006B15F1">
        <w:trPr>
          <w:trHeight w:val="320"/>
        </w:trPr>
        <w:tc>
          <w:tcPr>
            <w:tcW w:w="1721" w:type="dxa"/>
            <w:tcBorders>
              <w:top w:val="nil"/>
              <w:left w:val="single" w:sz="4" w:space="0" w:color="auto"/>
              <w:bottom w:val="single" w:sz="4" w:space="0" w:color="auto"/>
              <w:right w:val="single" w:sz="4" w:space="0" w:color="auto"/>
            </w:tcBorders>
            <w:shd w:val="clear" w:color="auto" w:fill="auto"/>
            <w:noWrap/>
            <w:vAlign w:val="bottom"/>
            <w:hideMark/>
          </w:tcPr>
          <w:p w14:paraId="3BBB2F77" w14:textId="77777777" w:rsidR="00DF4F17" w:rsidRPr="008679D6" w:rsidRDefault="00DF4F17"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Son ovma kabının optimum sıcaklığı</w:t>
            </w:r>
          </w:p>
        </w:tc>
        <w:tc>
          <w:tcPr>
            <w:tcW w:w="5078" w:type="dxa"/>
            <w:tcBorders>
              <w:top w:val="nil"/>
              <w:left w:val="nil"/>
              <w:bottom w:val="single" w:sz="4" w:space="0" w:color="auto"/>
              <w:right w:val="single" w:sz="4" w:space="0" w:color="auto"/>
            </w:tcBorders>
            <w:shd w:val="clear" w:color="auto" w:fill="auto"/>
            <w:noWrap/>
            <w:vAlign w:val="bottom"/>
            <w:hideMark/>
          </w:tcPr>
          <w:p w14:paraId="1718C299" w14:textId="77777777" w:rsidR="00DF4F17" w:rsidRPr="0055515A" w:rsidRDefault="00DF4F17"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Son ovma kabının sıcaklığı, sonraki mekanik yün su giderme (bkz. MET 13 (a)) ve kurutma işlemlerinin verimliliğini artırmak için optimize edilir.</w:t>
            </w:r>
          </w:p>
        </w:tc>
        <w:tc>
          <w:tcPr>
            <w:tcW w:w="2263" w:type="dxa"/>
            <w:tcBorders>
              <w:top w:val="nil"/>
              <w:left w:val="nil"/>
              <w:bottom w:val="single" w:sz="4" w:space="0" w:color="auto"/>
              <w:right w:val="single" w:sz="4" w:space="0" w:color="auto"/>
            </w:tcBorders>
            <w:shd w:val="clear" w:color="auto" w:fill="auto"/>
            <w:vAlign w:val="bottom"/>
          </w:tcPr>
          <w:p w14:paraId="2BEE1D4F" w14:textId="77777777" w:rsidR="00DF4F17" w:rsidRPr="0055515A" w:rsidRDefault="005C0E3F"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Genel olarak uygulanabillir</w:t>
            </w:r>
          </w:p>
        </w:tc>
      </w:tr>
      <w:tr w:rsidR="00DF4F17" w:rsidRPr="0055515A" w14:paraId="13D7DD16" w14:textId="77777777" w:rsidTr="006B15F1">
        <w:trPr>
          <w:trHeight w:val="320"/>
        </w:trPr>
        <w:tc>
          <w:tcPr>
            <w:tcW w:w="1721" w:type="dxa"/>
            <w:tcBorders>
              <w:top w:val="nil"/>
              <w:left w:val="single" w:sz="4" w:space="0" w:color="auto"/>
              <w:bottom w:val="single" w:sz="4" w:space="0" w:color="auto"/>
              <w:right w:val="single" w:sz="4" w:space="0" w:color="auto"/>
            </w:tcBorders>
            <w:shd w:val="clear" w:color="auto" w:fill="auto"/>
            <w:noWrap/>
            <w:vAlign w:val="bottom"/>
            <w:hideMark/>
          </w:tcPr>
          <w:p w14:paraId="05334760" w14:textId="77777777" w:rsidR="00DF4F17" w:rsidRPr="008679D6" w:rsidRDefault="00DF4F17"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Doğrudan ısıtma</w:t>
            </w:r>
          </w:p>
        </w:tc>
        <w:tc>
          <w:tcPr>
            <w:tcW w:w="5078" w:type="dxa"/>
            <w:tcBorders>
              <w:top w:val="nil"/>
              <w:left w:val="nil"/>
              <w:bottom w:val="single" w:sz="4" w:space="0" w:color="auto"/>
              <w:right w:val="single" w:sz="4" w:space="0" w:color="auto"/>
            </w:tcBorders>
            <w:shd w:val="clear" w:color="auto" w:fill="auto"/>
            <w:noWrap/>
            <w:vAlign w:val="bottom"/>
            <w:hideMark/>
          </w:tcPr>
          <w:p w14:paraId="1B45E0FB" w14:textId="77777777" w:rsidR="00DF4F17" w:rsidRPr="0055515A" w:rsidRDefault="00DF4F17"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Buhar üretimi ve dağıtımında meydana gelen ısı kayıplarını önlemek için ovma kazanları ve kurutucular doğrudan ısıtılır.</w:t>
            </w:r>
          </w:p>
        </w:tc>
        <w:tc>
          <w:tcPr>
            <w:tcW w:w="2263" w:type="dxa"/>
            <w:tcBorders>
              <w:top w:val="nil"/>
              <w:left w:val="nil"/>
              <w:bottom w:val="single" w:sz="4" w:space="0" w:color="auto"/>
              <w:right w:val="single" w:sz="4" w:space="0" w:color="auto"/>
            </w:tcBorders>
            <w:shd w:val="clear" w:color="auto" w:fill="auto"/>
            <w:vAlign w:val="bottom"/>
          </w:tcPr>
          <w:p w14:paraId="62D4AC03" w14:textId="77777777" w:rsidR="00DF4F17" w:rsidRPr="0055515A" w:rsidRDefault="005C0E3F" w:rsidP="0055515A">
            <w:pPr>
              <w:spacing w:after="0" w:line="240" w:lineRule="auto"/>
              <w:rPr>
                <w:rFonts w:ascii="Times New Roman" w:eastAsia="Times New Roman" w:hAnsi="Times New Roman" w:cs="Times New Roman"/>
                <w:color w:val="000000"/>
                <w:kern w:val="0"/>
                <w:lang w:eastAsia="tr-TR"/>
                <w14:ligatures w14:val="none"/>
              </w:rPr>
            </w:pPr>
            <w:r w:rsidRPr="005C0E3F">
              <w:rPr>
                <w:rFonts w:ascii="Times New Roman" w:eastAsia="Times New Roman" w:hAnsi="Times New Roman" w:cs="Times New Roman"/>
                <w:color w:val="000000"/>
                <w:kern w:val="0"/>
                <w:lang w:eastAsia="tr-TR"/>
                <w14:ligatures w14:val="none"/>
              </w:rPr>
              <w:t>Sadece yeni tesislerde veya büyük tesis yenilemelerinde</w:t>
            </w:r>
          </w:p>
        </w:tc>
      </w:tr>
    </w:tbl>
    <w:p w14:paraId="2781229C" w14:textId="77777777" w:rsidR="00EA5A0B" w:rsidRDefault="00EA5A0B"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29284A55" w14:textId="4DEA1053" w:rsidR="0055515A" w:rsidRPr="0055515A" w:rsidRDefault="0055515A"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33 - </w:t>
      </w:r>
      <w:r w:rsidRPr="008679D6">
        <w:rPr>
          <w:rFonts w:ascii="Times New Roman" w:eastAsia="Times New Roman" w:hAnsi="Times New Roman" w:cs="Times New Roman"/>
          <w:bCs/>
          <w:color w:val="000000"/>
          <w:kern w:val="0"/>
          <w:sz w:val="24"/>
          <w:szCs w:val="24"/>
          <w:lang w:eastAsia="tr-TR"/>
          <w14:ligatures w14:val="none"/>
        </w:rPr>
        <w:t>Kaynakları verimli kullanmak ve bertaraf</w:t>
      </w:r>
      <w:r w:rsidR="00866447" w:rsidRPr="008679D6">
        <w:rPr>
          <w:rFonts w:ascii="Times New Roman" w:eastAsia="Times New Roman" w:hAnsi="Times New Roman" w:cs="Times New Roman"/>
          <w:bCs/>
          <w:color w:val="000000"/>
          <w:kern w:val="0"/>
          <w:sz w:val="24"/>
          <w:szCs w:val="24"/>
          <w:lang w:eastAsia="tr-TR"/>
          <w14:ligatures w14:val="none"/>
        </w:rPr>
        <w:t>a</w:t>
      </w:r>
      <w:r w:rsidRPr="008679D6">
        <w:rPr>
          <w:rFonts w:ascii="Times New Roman" w:eastAsia="Times New Roman" w:hAnsi="Times New Roman" w:cs="Times New Roman"/>
          <w:bCs/>
          <w:color w:val="000000"/>
          <w:kern w:val="0"/>
          <w:sz w:val="24"/>
          <w:szCs w:val="24"/>
          <w:lang w:eastAsia="tr-TR"/>
          <w14:ligatures w14:val="none"/>
        </w:rPr>
        <w:t xml:space="preserve"> gönderilen atık miktarını azaltmak amacıyla MET, ham yün liflerinin ovma yoluyla ön işleminden kaynaklanan </w:t>
      </w:r>
      <w:r w:rsidR="00866447" w:rsidRPr="008679D6">
        <w:rPr>
          <w:rFonts w:ascii="Times New Roman" w:eastAsia="Times New Roman" w:hAnsi="Times New Roman" w:cs="Times New Roman"/>
          <w:bCs/>
          <w:color w:val="000000"/>
          <w:kern w:val="0"/>
          <w:sz w:val="24"/>
          <w:szCs w:val="24"/>
          <w:lang w:eastAsia="tr-TR"/>
          <w14:ligatures w14:val="none"/>
        </w:rPr>
        <w:t>biobozunur atıkları</w:t>
      </w:r>
      <w:r w:rsidR="00880A1A" w:rsidRPr="008679D6">
        <w:rPr>
          <w:rFonts w:ascii="Times New Roman" w:eastAsia="Times New Roman" w:hAnsi="Times New Roman" w:cs="Times New Roman"/>
          <w:bCs/>
          <w:color w:val="000000"/>
          <w:kern w:val="0"/>
          <w:sz w:val="24"/>
          <w:szCs w:val="24"/>
          <w:lang w:eastAsia="tr-TR"/>
          <w14:ligatures w14:val="none"/>
        </w:rPr>
        <w:t xml:space="preserve"> </w:t>
      </w:r>
      <w:r w:rsidRPr="008679D6">
        <w:rPr>
          <w:rFonts w:ascii="Times New Roman" w:eastAsia="Times New Roman" w:hAnsi="Times New Roman" w:cs="Times New Roman"/>
          <w:bCs/>
          <w:color w:val="000000"/>
          <w:kern w:val="0"/>
          <w:sz w:val="24"/>
          <w:szCs w:val="24"/>
          <w:lang w:eastAsia="tr-TR"/>
          <w14:ligatures w14:val="none"/>
        </w:rPr>
        <w:t xml:space="preserve">biyolojik olarak </w:t>
      </w:r>
      <w:r w:rsidR="00880A1A" w:rsidRPr="008679D6">
        <w:rPr>
          <w:rFonts w:ascii="Times New Roman" w:eastAsia="Times New Roman" w:hAnsi="Times New Roman" w:cs="Times New Roman"/>
          <w:bCs/>
          <w:color w:val="000000"/>
          <w:kern w:val="0"/>
          <w:sz w:val="24"/>
          <w:szCs w:val="24"/>
          <w:lang w:eastAsia="tr-TR"/>
          <w14:ligatures w14:val="none"/>
        </w:rPr>
        <w:t>işlemektir.</w:t>
      </w:r>
    </w:p>
    <w:p w14:paraId="09B85ECC"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r w:rsidRPr="0055515A">
        <w:rPr>
          <w:rFonts w:ascii="Times New Roman" w:eastAsia="Times New Roman" w:hAnsi="Times New Roman" w:cs="Times New Roman"/>
          <w:color w:val="000000"/>
          <w:kern w:val="0"/>
          <w:sz w:val="24"/>
          <w:szCs w:val="24"/>
          <w:lang w:eastAsia="tr-TR"/>
          <w14:ligatures w14:val="none"/>
        </w:rPr>
        <w:br/>
      </w:r>
      <w:r w:rsidR="006E05E8">
        <w:rPr>
          <w:rFonts w:ascii="Times New Roman" w:eastAsia="Times New Roman" w:hAnsi="Times New Roman" w:cs="Times New Roman"/>
          <w:color w:val="000000"/>
          <w:kern w:val="0"/>
          <w:sz w:val="24"/>
          <w:szCs w:val="24"/>
          <w:lang w:eastAsia="tr-TR"/>
          <w14:ligatures w14:val="none"/>
        </w:rPr>
        <w:t>Biobozunur atıklar</w:t>
      </w:r>
      <w:r w:rsidRPr="0055515A">
        <w:rPr>
          <w:rFonts w:ascii="Times New Roman" w:eastAsia="Times New Roman" w:hAnsi="Times New Roman" w:cs="Times New Roman"/>
          <w:color w:val="000000"/>
          <w:kern w:val="0"/>
          <w:sz w:val="24"/>
          <w:szCs w:val="24"/>
          <w:lang w:eastAsia="tr-TR"/>
          <w14:ligatures w14:val="none"/>
        </w:rPr>
        <w:t xml:space="preserve">, </w:t>
      </w:r>
      <w:r w:rsidR="006E05E8">
        <w:rPr>
          <w:rFonts w:ascii="Times New Roman" w:eastAsia="Times New Roman" w:hAnsi="Times New Roman" w:cs="Times New Roman"/>
          <w:color w:val="000000"/>
          <w:kern w:val="0"/>
          <w:sz w:val="24"/>
          <w:szCs w:val="24"/>
          <w:lang w:eastAsia="tr-TR"/>
          <w14:ligatures w14:val="none"/>
        </w:rPr>
        <w:t>(</w:t>
      </w:r>
      <w:r w:rsidRPr="0055515A">
        <w:rPr>
          <w:rFonts w:ascii="Times New Roman" w:eastAsia="Times New Roman" w:hAnsi="Times New Roman" w:cs="Times New Roman"/>
          <w:color w:val="000000"/>
          <w:kern w:val="0"/>
          <w:sz w:val="24"/>
          <w:szCs w:val="24"/>
          <w:lang w:eastAsia="tr-TR"/>
          <w14:ligatures w14:val="none"/>
        </w:rPr>
        <w:t>örneğin kompostlama</w:t>
      </w:r>
      <w:r w:rsidR="006E05E8">
        <w:rPr>
          <w:rFonts w:ascii="Times New Roman" w:eastAsia="Times New Roman" w:hAnsi="Times New Roman" w:cs="Times New Roman"/>
          <w:color w:val="000000"/>
          <w:kern w:val="0"/>
          <w:sz w:val="24"/>
          <w:szCs w:val="24"/>
          <w:lang w:eastAsia="tr-TR"/>
          <w14:ligatures w14:val="none"/>
        </w:rPr>
        <w:t>)</w:t>
      </w:r>
      <w:r w:rsidRPr="0055515A">
        <w:rPr>
          <w:rFonts w:ascii="Times New Roman" w:eastAsia="Times New Roman" w:hAnsi="Times New Roman" w:cs="Times New Roman"/>
          <w:color w:val="000000"/>
          <w:kern w:val="0"/>
          <w:sz w:val="24"/>
          <w:szCs w:val="24"/>
          <w:lang w:eastAsia="tr-TR"/>
          <w14:ligatures w14:val="none"/>
        </w:rPr>
        <w:t xml:space="preserve"> yoluyla işlenir.</w:t>
      </w:r>
      <w:r w:rsidR="00D27F8E">
        <w:rPr>
          <w:rFonts w:ascii="Times New Roman" w:eastAsia="Times New Roman" w:hAnsi="Times New Roman" w:cs="Times New Roman"/>
          <w:color w:val="000000"/>
          <w:kern w:val="0"/>
          <w:sz w:val="24"/>
          <w:szCs w:val="24"/>
          <w:lang w:eastAsia="tr-TR"/>
          <w14:ligatures w14:val="none"/>
        </w:rPr>
        <w:t xml:space="preserve"> Kompost tesislerine göndermeye uygun bazı atıklar kompost tesislerinde işlenir.</w:t>
      </w:r>
    </w:p>
    <w:p w14:paraId="01196944"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1.3. Elyaf Eğirme (Yapay Elyaflar Hariç) ve Kumaş Üretimi İçin MET Sonuçları</w:t>
      </w:r>
    </w:p>
    <w:p w14:paraId="46E80F2C" w14:textId="5ABDAC09"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 bölümde sunulan MET sonuçları, yapay olmayan elyafların eğrilmesi ve kumaş üretimi için geçerlidir ve Bölüm 1.1'de belirtilen genel MET sonuçlarına ek olarak uygulanır.</w:t>
      </w:r>
    </w:p>
    <w:p w14:paraId="4F9AF10A"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34 - </w:t>
      </w:r>
      <w:r w:rsidRPr="008679D6">
        <w:rPr>
          <w:rFonts w:ascii="Times New Roman" w:eastAsia="Times New Roman" w:hAnsi="Times New Roman" w:cs="Times New Roman"/>
          <w:bCs/>
          <w:color w:val="000000"/>
          <w:kern w:val="0"/>
          <w:sz w:val="24"/>
          <w:szCs w:val="24"/>
          <w:lang w:eastAsia="tr-TR"/>
          <w14:ligatures w14:val="none"/>
        </w:rPr>
        <w:t>Boyutlandırma kimyasallarının kullanımından kaynaklanan su emisyonlarını azaltmak için MET, aşağıda verilen tekniklerin tümünü kullanmaktadır.</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06"/>
        <w:gridCol w:w="3618"/>
        <w:gridCol w:w="3536"/>
      </w:tblGrid>
      <w:tr w:rsidR="0055515A" w:rsidRPr="0055515A" w14:paraId="6CBF1420" w14:textId="77777777" w:rsidTr="00541520">
        <w:trPr>
          <w:trHeight w:val="320"/>
        </w:trPr>
        <w:tc>
          <w:tcPr>
            <w:tcW w:w="1906" w:type="dxa"/>
            <w:shd w:val="clear" w:color="auto" w:fill="auto"/>
            <w:noWrap/>
            <w:vAlign w:val="bottom"/>
            <w:hideMark/>
          </w:tcPr>
          <w:p w14:paraId="061DDAB6"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3618" w:type="dxa"/>
            <w:shd w:val="clear" w:color="auto" w:fill="auto"/>
            <w:noWrap/>
            <w:vAlign w:val="bottom"/>
            <w:hideMark/>
          </w:tcPr>
          <w:p w14:paraId="425C35E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3536" w:type="dxa"/>
          </w:tcPr>
          <w:p w14:paraId="668DE60B"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4C48CA6E" w14:textId="77777777" w:rsidTr="00541520">
        <w:trPr>
          <w:trHeight w:val="320"/>
        </w:trPr>
        <w:tc>
          <w:tcPr>
            <w:tcW w:w="1906" w:type="dxa"/>
            <w:shd w:val="clear" w:color="auto" w:fill="auto"/>
            <w:noWrap/>
            <w:vAlign w:val="bottom"/>
            <w:hideMark/>
          </w:tcPr>
          <w:p w14:paraId="7974118C"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lastRenderedPageBreak/>
              <w:t>Boyutlandırma Kimyasallarının Seçimi</w:t>
            </w:r>
          </w:p>
        </w:tc>
        <w:tc>
          <w:tcPr>
            <w:tcW w:w="3618" w:type="dxa"/>
            <w:shd w:val="clear" w:color="auto" w:fill="auto"/>
            <w:noWrap/>
            <w:vAlign w:val="bottom"/>
            <w:hideMark/>
          </w:tcPr>
          <w:p w14:paraId="74D226D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Gelişmiş çevresel performansa sahip haşıl kimyasalları (örn. modifiye nişastalar, bazı galaktomannanlar ve karboksimetil selüloz) seçilir ve kullanılır.</w:t>
            </w:r>
          </w:p>
        </w:tc>
        <w:tc>
          <w:tcPr>
            <w:tcW w:w="3536" w:type="dxa"/>
          </w:tcPr>
          <w:p w14:paraId="3D29C1A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05F6132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740A9B02" w14:textId="77777777" w:rsidTr="00541520">
        <w:trPr>
          <w:trHeight w:val="320"/>
        </w:trPr>
        <w:tc>
          <w:tcPr>
            <w:tcW w:w="1906" w:type="dxa"/>
            <w:shd w:val="clear" w:color="auto" w:fill="auto"/>
            <w:noWrap/>
            <w:vAlign w:val="bottom"/>
            <w:hideMark/>
          </w:tcPr>
          <w:p w14:paraId="1F8AB7F4"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Pamuk İpliklerinde Ön Islatma İşlemi</w:t>
            </w:r>
          </w:p>
        </w:tc>
        <w:tc>
          <w:tcPr>
            <w:tcW w:w="3618" w:type="dxa"/>
            <w:shd w:val="clear" w:color="auto" w:fill="auto"/>
            <w:noWrap/>
            <w:vAlign w:val="bottom"/>
            <w:hideMark/>
          </w:tcPr>
          <w:p w14:paraId="27BFC4E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Pamuk iplikleri haşıllama öncesinde sıcak suya daldırılarak kullanılan haşıl kimyasallarının miktarı azaltılır.</w:t>
            </w:r>
          </w:p>
        </w:tc>
        <w:tc>
          <w:tcPr>
            <w:tcW w:w="3536" w:type="dxa"/>
          </w:tcPr>
          <w:p w14:paraId="02F1099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Uygulanabilirlik, ürün spesifikasyonları tarafından sınırlanabilir (örneğin, dokuma sırasında lif üzerinde yüksek gerilim gerektiğinde).</w:t>
            </w:r>
          </w:p>
        </w:tc>
      </w:tr>
      <w:tr w:rsidR="0055515A" w:rsidRPr="0055515A" w14:paraId="4F19DAA7" w14:textId="77777777" w:rsidTr="00541520">
        <w:trPr>
          <w:trHeight w:val="1584"/>
        </w:trPr>
        <w:tc>
          <w:tcPr>
            <w:tcW w:w="1906" w:type="dxa"/>
            <w:shd w:val="clear" w:color="auto" w:fill="auto"/>
            <w:noWrap/>
            <w:vAlign w:val="bottom"/>
            <w:hideMark/>
          </w:tcPr>
          <w:p w14:paraId="55E986CD"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Sıkıştırılmış Eğirme</w:t>
            </w:r>
          </w:p>
        </w:tc>
        <w:tc>
          <w:tcPr>
            <w:tcW w:w="3618" w:type="dxa"/>
            <w:shd w:val="clear" w:color="auto" w:fill="auto"/>
            <w:noWrap/>
            <w:vAlign w:val="bottom"/>
            <w:hideMark/>
          </w:tcPr>
          <w:p w14:paraId="7AE5469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Elyaf telleri emme, mekanik veya manyetik sıkıştırma ile sıkıştırılarak haşıl kimyasallarının kullanım miktarı azaltılır.</w:t>
            </w:r>
          </w:p>
        </w:tc>
        <w:tc>
          <w:tcPr>
            <w:tcW w:w="3536" w:type="dxa"/>
          </w:tcPr>
          <w:p w14:paraId="48D283D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Uygulanabilirlik, ürün spesifikasyonları tarafından sınırlanabilir (örneğin, tüylenme seviyesi veya ipliğin teknik özellikleri).</w:t>
            </w:r>
          </w:p>
        </w:tc>
      </w:tr>
    </w:tbl>
    <w:p w14:paraId="26127294" w14:textId="77777777" w:rsidR="00B875CF" w:rsidRDefault="00B875CF" w:rsidP="00557323">
      <w:pPr>
        <w:spacing w:after="120" w:line="240" w:lineRule="auto"/>
        <w:jc w:val="both"/>
        <w:rPr>
          <w:rFonts w:ascii="Times New Roman" w:eastAsia="Times New Roman" w:hAnsi="Times New Roman" w:cs="Times New Roman"/>
          <w:b/>
          <w:bCs/>
          <w:color w:val="000000"/>
          <w:kern w:val="0"/>
          <w:sz w:val="24"/>
          <w:szCs w:val="24"/>
          <w:lang w:eastAsia="tr-TR"/>
          <w14:ligatures w14:val="none"/>
        </w:rPr>
      </w:pPr>
    </w:p>
    <w:p w14:paraId="3F14219F" w14:textId="23888F03" w:rsidR="00557323" w:rsidRDefault="0055515A" w:rsidP="00557323">
      <w:pPr>
        <w:spacing w:after="120" w:line="24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35 - </w:t>
      </w:r>
      <w:r w:rsidRPr="008679D6">
        <w:rPr>
          <w:rFonts w:ascii="Times New Roman" w:eastAsia="Times New Roman" w:hAnsi="Times New Roman" w:cs="Times New Roman"/>
          <w:bCs/>
          <w:color w:val="000000"/>
          <w:kern w:val="0"/>
          <w:sz w:val="24"/>
          <w:szCs w:val="24"/>
          <w:lang w:eastAsia="tr-TR"/>
          <w14:ligatures w14:val="none"/>
        </w:rPr>
        <w:t>Eğirme ve örmenin genel çevresel performansını iyileştirmek için MET, mineral yağların kullanımından kaçınmaktadır.</w:t>
      </w:r>
      <w:r w:rsidR="00557323" w:rsidRPr="008679D6">
        <w:rPr>
          <w:rFonts w:ascii="Times New Roman" w:eastAsia="Times New Roman" w:hAnsi="Times New Roman" w:cs="Times New Roman"/>
          <w:bCs/>
          <w:color w:val="000000"/>
          <w:kern w:val="0"/>
          <w:sz w:val="24"/>
          <w:szCs w:val="24"/>
          <w:lang w:eastAsia="tr-TR"/>
          <w14:ligatures w14:val="none"/>
        </w:rPr>
        <w:t xml:space="preserve"> </w:t>
      </w:r>
    </w:p>
    <w:p w14:paraId="48E3337E" w14:textId="77777777" w:rsidR="00541520" w:rsidRPr="0056588F" w:rsidRDefault="00541520" w:rsidP="00557323">
      <w:pPr>
        <w:spacing w:after="120" w:line="240" w:lineRule="auto"/>
        <w:jc w:val="both"/>
        <w:rPr>
          <w:rFonts w:ascii="Times New Roman" w:eastAsia="Times New Roman" w:hAnsi="Times New Roman" w:cs="Times New Roman"/>
          <w:b/>
          <w:bCs/>
          <w:color w:val="000000"/>
          <w:kern w:val="0"/>
          <w:sz w:val="24"/>
          <w:szCs w:val="24"/>
          <w:lang w:eastAsia="tr-TR"/>
          <w14:ligatures w14:val="none"/>
        </w:rPr>
      </w:pPr>
    </w:p>
    <w:p w14:paraId="4D59D39D" w14:textId="77777777" w:rsidR="0055515A" w:rsidRPr="0055515A" w:rsidRDefault="0055515A" w:rsidP="0055515A">
      <w:pPr>
        <w:spacing w:after="120" w:line="24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0A180BC6" w14:textId="4F3B349A" w:rsid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Mineral yağlar, yıkanabilirlik ve biyolojik olarak bertaraf edilebilirlik/biyolojik olarak parçalanabilirlik açısından daha iyi çevresel performansa sahip sentetik yağlar ve/veya ester yağları ile ikame edilebilir.</w:t>
      </w:r>
    </w:p>
    <w:p w14:paraId="2D5DCAE4" w14:textId="77777777" w:rsidR="00541520" w:rsidRPr="0055515A" w:rsidRDefault="00541520"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p>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3969"/>
        <w:gridCol w:w="3526"/>
      </w:tblGrid>
      <w:tr w:rsidR="0055515A" w:rsidRPr="0055515A" w14:paraId="4DC99BC3" w14:textId="77777777" w:rsidTr="0082590D">
        <w:trPr>
          <w:trHeight w:val="354"/>
        </w:trPr>
        <w:tc>
          <w:tcPr>
            <w:tcW w:w="1980" w:type="dxa"/>
            <w:shd w:val="clear" w:color="auto" w:fill="auto"/>
            <w:noWrap/>
            <w:vAlign w:val="bottom"/>
            <w:hideMark/>
          </w:tcPr>
          <w:p w14:paraId="57886752"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Kategori</w:t>
            </w:r>
          </w:p>
        </w:tc>
        <w:tc>
          <w:tcPr>
            <w:tcW w:w="3969" w:type="dxa"/>
            <w:shd w:val="clear" w:color="auto" w:fill="auto"/>
            <w:noWrap/>
            <w:vAlign w:val="bottom"/>
            <w:hideMark/>
          </w:tcPr>
          <w:p w14:paraId="26F09E11"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3526" w:type="dxa"/>
          </w:tcPr>
          <w:p w14:paraId="77ECAD84"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5BCC7CF0" w14:textId="77777777" w:rsidTr="0082590D">
        <w:trPr>
          <w:trHeight w:val="1307"/>
        </w:trPr>
        <w:tc>
          <w:tcPr>
            <w:tcW w:w="1980" w:type="dxa"/>
            <w:shd w:val="clear" w:color="auto" w:fill="auto"/>
            <w:noWrap/>
            <w:vAlign w:val="bottom"/>
            <w:hideMark/>
          </w:tcPr>
          <w:p w14:paraId="4A695697" w14:textId="77777777" w:rsidR="0055515A" w:rsidRPr="0055515A" w:rsidRDefault="007C5F1A" w:rsidP="0055515A">
            <w:pPr>
              <w:spacing w:after="0" w:line="240" w:lineRule="auto"/>
              <w:rPr>
                <w:rFonts w:ascii="Times New Roman" w:eastAsia="Times New Roman" w:hAnsi="Times New Roman" w:cs="Times New Roman"/>
                <w:b/>
                <w:bCs/>
                <w:color w:val="000000"/>
                <w:kern w:val="0"/>
                <w:lang w:eastAsia="tr-TR"/>
                <w14:ligatures w14:val="none"/>
              </w:rPr>
            </w:pPr>
            <w:r>
              <w:rPr>
                <w:rFonts w:ascii="Times New Roman" w:eastAsia="Times New Roman" w:hAnsi="Times New Roman" w:cs="Times New Roman"/>
                <w:b/>
                <w:bCs/>
                <w:color w:val="000000"/>
                <w:kern w:val="0"/>
                <w:lang w:eastAsia="tr-TR"/>
                <w14:ligatures w14:val="none"/>
              </w:rPr>
              <w:t xml:space="preserve">Eğirme ve dokuma için </w:t>
            </w:r>
            <w:r w:rsidR="0055515A" w:rsidRPr="0055515A">
              <w:rPr>
                <w:rFonts w:ascii="Times New Roman" w:eastAsia="Times New Roman" w:hAnsi="Times New Roman" w:cs="Times New Roman"/>
                <w:b/>
                <w:bCs/>
                <w:color w:val="000000"/>
                <w:kern w:val="0"/>
                <w:lang w:eastAsia="tr-TR"/>
                <w14:ligatures w14:val="none"/>
              </w:rPr>
              <w:t>Genel Enerji Tasarrufu Teknikleri</w:t>
            </w:r>
          </w:p>
        </w:tc>
        <w:tc>
          <w:tcPr>
            <w:tcW w:w="3969" w:type="dxa"/>
            <w:shd w:val="clear" w:color="auto" w:fill="auto"/>
            <w:noWrap/>
            <w:vAlign w:val="bottom"/>
            <w:hideMark/>
          </w:tcPr>
          <w:p w14:paraId="462BB50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Üretim alanının hacmini azaltarak ortam havasını nemlendirmek için gereken enerji miktarını düşürmek (örneğin asma tavan kurarak). </w:t>
            </w:r>
          </w:p>
          <w:p w14:paraId="15CC7CA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İplik kopuşlarını tespit eden gelişmiş sensörler kullanarak iplik eğirme veya dokuma makinelerini durdurmak.</w:t>
            </w:r>
          </w:p>
        </w:tc>
        <w:tc>
          <w:tcPr>
            <w:tcW w:w="3526" w:type="dxa"/>
          </w:tcPr>
          <w:p w14:paraId="60D7B5F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4E6D8D2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7AD2F192" w14:textId="77777777" w:rsidTr="0082590D">
        <w:trPr>
          <w:trHeight w:val="3133"/>
        </w:trPr>
        <w:tc>
          <w:tcPr>
            <w:tcW w:w="1980" w:type="dxa"/>
            <w:shd w:val="clear" w:color="auto" w:fill="auto"/>
            <w:noWrap/>
            <w:vAlign w:val="bottom"/>
            <w:hideMark/>
          </w:tcPr>
          <w:p w14:paraId="4EE1DB61"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Eğirme İçin Enerji Tasarrufu Teknikleri</w:t>
            </w:r>
          </w:p>
        </w:tc>
        <w:tc>
          <w:tcPr>
            <w:tcW w:w="3969" w:type="dxa"/>
            <w:shd w:val="clear" w:color="auto" w:fill="auto"/>
            <w:noWrap/>
            <w:vAlign w:val="bottom"/>
            <w:hideMark/>
          </w:tcPr>
          <w:p w14:paraId="49A9EA0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Halka çerçevelerde daha hafif iğler ve bobinler kullanmak. </w:t>
            </w:r>
          </w:p>
          <w:p w14:paraId="168528C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Optimum viskoziteye sahip iğ yağı kullanmak. </w:t>
            </w:r>
          </w:p>
          <w:p w14:paraId="0D7A204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İpliğin optimum yağlama seviyesini korumak. </w:t>
            </w:r>
          </w:p>
          <w:p w14:paraId="2135104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Halka çapının, halka çerçevelerindeki iplik çapına göre optimize edilmesi. </w:t>
            </w:r>
          </w:p>
          <w:p w14:paraId="0BBEF88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Bilezikli iplik eğirme makinelerinin kademeli olarak çalıştırılması. </w:t>
            </w:r>
          </w:p>
          <w:p w14:paraId="3851CA8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Vorteks eğirme kullanımı. </w:t>
            </w:r>
          </w:p>
          <w:p w14:paraId="34D39BA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Konik sarım makinelerinde boş bobin konveyörlerinin hareketinin optimize edilmesi.</w:t>
            </w:r>
          </w:p>
        </w:tc>
        <w:tc>
          <w:tcPr>
            <w:tcW w:w="3526" w:type="dxa"/>
          </w:tcPr>
          <w:p w14:paraId="3507EE4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0C4CD6A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06AE97B3" w14:textId="77777777" w:rsidTr="0082590D">
        <w:trPr>
          <w:trHeight w:val="719"/>
        </w:trPr>
        <w:tc>
          <w:tcPr>
            <w:tcW w:w="1980" w:type="dxa"/>
            <w:shd w:val="clear" w:color="auto" w:fill="auto"/>
            <w:noWrap/>
            <w:vAlign w:val="bottom"/>
            <w:hideMark/>
          </w:tcPr>
          <w:p w14:paraId="098A5D63"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Dokuma İçin Enerji Tasarrufu Teknikleri</w:t>
            </w:r>
          </w:p>
        </w:tc>
        <w:tc>
          <w:tcPr>
            <w:tcW w:w="3969" w:type="dxa"/>
            <w:shd w:val="clear" w:color="auto" w:fill="auto"/>
            <w:noWrap/>
            <w:vAlign w:val="bottom"/>
            <w:hideMark/>
          </w:tcPr>
          <w:p w14:paraId="1C2D4F7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Hava jetli dokuma için aşırı hava basıncından kaçınmak. </w:t>
            </w:r>
          </w:p>
          <w:p w14:paraId="114D8FE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lastRenderedPageBreak/>
              <w:t>- Büyük hacimli dokumalar için çift genişlikli tezgah kullanımı.</w:t>
            </w:r>
          </w:p>
        </w:tc>
        <w:tc>
          <w:tcPr>
            <w:tcW w:w="3526" w:type="dxa"/>
          </w:tcPr>
          <w:p w14:paraId="679628F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lastRenderedPageBreak/>
              <w:t>Çift genişlikli tezgah yalnızca yeni tesislerde veya büyük tesis yenilemelerinde uygulanabilir.</w:t>
            </w:r>
          </w:p>
        </w:tc>
      </w:tr>
    </w:tbl>
    <w:p w14:paraId="72FE6D30"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p>
    <w:p w14:paraId="25AFCF5D"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1.4. Ham yün lifleri dışındaki tekstil malzemelerinin ön işlemine ilişkin MET sonuçları</w:t>
      </w:r>
      <w:r w:rsidRPr="0055515A">
        <w:rPr>
          <w:rFonts w:ascii="Times New Roman" w:eastAsia="Times New Roman" w:hAnsi="Times New Roman" w:cs="Times New Roman"/>
          <w:color w:val="000000"/>
          <w:kern w:val="0"/>
          <w:sz w:val="24"/>
          <w:szCs w:val="24"/>
          <w:lang w:eastAsia="tr-TR"/>
          <w14:ligatures w14:val="none"/>
        </w:rPr>
        <w:br/>
      </w:r>
    </w:p>
    <w:p w14:paraId="64B2DF40"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 bölümdeki MET sonuçları, ham yün lifleri dışındaki tekstil malzemelerinin ön işlemesine uygulanır ve Bölüm 1.1'deki genel MET sonuçlarına ek olarak uygulanır.</w:t>
      </w:r>
    </w:p>
    <w:p w14:paraId="3D2B8A7E"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p>
    <w:p w14:paraId="4A6CE15C" w14:textId="023D6998" w:rsidR="0055515A" w:rsidRDefault="0055515A" w:rsidP="0055515A">
      <w:pPr>
        <w:spacing w:after="120" w:line="240" w:lineRule="auto"/>
        <w:jc w:val="both"/>
        <w:rPr>
          <w:rFonts w:ascii="Times New Roman" w:eastAsia="Times New Roman" w:hAnsi="Times New Roman" w:cs="Times New Roman"/>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37 - </w:t>
      </w:r>
      <w:r w:rsidRPr="008679D6">
        <w:rPr>
          <w:rFonts w:ascii="Times New Roman" w:eastAsia="Times New Roman" w:hAnsi="Times New Roman" w:cs="Times New Roman"/>
          <w:bCs/>
          <w:color w:val="000000"/>
          <w:kern w:val="0"/>
          <w:sz w:val="24"/>
          <w:szCs w:val="24"/>
          <w:lang w:eastAsia="tr-TR"/>
          <w14:ligatures w14:val="none"/>
        </w:rPr>
        <w:t>Kaynakları ve enerjiyi verimli kullanmanın yanı sıra su tüketimini ve atık su oluşumunu azaltmak için MET, aşağıda verilen (a) ve (b) tekniklerinin her ikisini de (c) tekniği ile birlikte veya (d) tekniği ile birlikte kullanmaktadır.</w:t>
      </w:r>
    </w:p>
    <w:p w14:paraId="09089AC1" w14:textId="2A2589E0" w:rsidR="00541520" w:rsidRDefault="00541520" w:rsidP="0055515A">
      <w:pPr>
        <w:spacing w:after="120" w:line="240" w:lineRule="auto"/>
        <w:jc w:val="both"/>
        <w:rPr>
          <w:rFonts w:ascii="Times New Roman" w:eastAsia="Times New Roman" w:hAnsi="Times New Roman" w:cs="Times New Roman"/>
          <w:bCs/>
          <w:color w:val="000000"/>
          <w:kern w:val="0"/>
          <w:sz w:val="24"/>
          <w:szCs w:val="24"/>
          <w:lang w:eastAsia="tr-TR"/>
          <w14:ligatures w14:val="none"/>
        </w:rPr>
      </w:pPr>
    </w:p>
    <w:tbl>
      <w:tblPr>
        <w:tblW w:w="9060" w:type="dxa"/>
        <w:tblCellMar>
          <w:left w:w="70" w:type="dxa"/>
          <w:right w:w="70" w:type="dxa"/>
        </w:tblCellMar>
        <w:tblLook w:val="04A0" w:firstRow="1" w:lastRow="0" w:firstColumn="1" w:lastColumn="0" w:noHBand="0" w:noVBand="1"/>
      </w:tblPr>
      <w:tblGrid>
        <w:gridCol w:w="1928"/>
        <w:gridCol w:w="3879"/>
        <w:gridCol w:w="3253"/>
      </w:tblGrid>
      <w:tr w:rsidR="0055515A" w:rsidRPr="0055515A" w14:paraId="58937CAD" w14:textId="77777777" w:rsidTr="0024730D">
        <w:trPr>
          <w:trHeight w:val="320"/>
        </w:trPr>
        <w:tc>
          <w:tcPr>
            <w:tcW w:w="1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F24AE"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3879" w:type="dxa"/>
            <w:tcBorders>
              <w:top w:val="single" w:sz="4" w:space="0" w:color="auto"/>
              <w:left w:val="nil"/>
              <w:bottom w:val="single" w:sz="4" w:space="0" w:color="auto"/>
              <w:right w:val="single" w:sz="4" w:space="0" w:color="auto"/>
            </w:tcBorders>
            <w:shd w:val="clear" w:color="auto" w:fill="auto"/>
            <w:noWrap/>
            <w:vAlign w:val="bottom"/>
            <w:hideMark/>
          </w:tcPr>
          <w:p w14:paraId="00BEE1C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3253" w:type="dxa"/>
            <w:tcBorders>
              <w:top w:val="single" w:sz="4" w:space="0" w:color="auto"/>
              <w:left w:val="nil"/>
              <w:bottom w:val="single" w:sz="4" w:space="0" w:color="auto"/>
              <w:right w:val="single" w:sz="4" w:space="0" w:color="auto"/>
            </w:tcBorders>
          </w:tcPr>
          <w:p w14:paraId="35E97753"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280650FF" w14:textId="77777777" w:rsidTr="0024730D">
        <w:trPr>
          <w:trHeight w:val="320"/>
        </w:trPr>
        <w:tc>
          <w:tcPr>
            <w:tcW w:w="1928" w:type="dxa"/>
            <w:tcBorders>
              <w:top w:val="nil"/>
              <w:left w:val="single" w:sz="4" w:space="0" w:color="auto"/>
              <w:bottom w:val="single" w:sz="4" w:space="0" w:color="auto"/>
              <w:right w:val="single" w:sz="4" w:space="0" w:color="auto"/>
            </w:tcBorders>
            <w:shd w:val="clear" w:color="auto" w:fill="auto"/>
            <w:noWrap/>
            <w:vAlign w:val="bottom"/>
            <w:hideMark/>
          </w:tcPr>
          <w:p w14:paraId="2D22CFC4"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 Pamuklu tekstillerin kombine ön işlemi</w:t>
            </w:r>
          </w:p>
        </w:tc>
        <w:tc>
          <w:tcPr>
            <w:tcW w:w="3879" w:type="dxa"/>
            <w:tcBorders>
              <w:top w:val="nil"/>
              <w:left w:val="nil"/>
              <w:bottom w:val="single" w:sz="4" w:space="0" w:color="auto"/>
              <w:right w:val="single" w:sz="4" w:space="0" w:color="auto"/>
            </w:tcBorders>
            <w:shd w:val="clear" w:color="auto" w:fill="auto"/>
            <w:noWrap/>
            <w:vAlign w:val="bottom"/>
            <w:hideMark/>
          </w:tcPr>
          <w:p w14:paraId="2B8960A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Pamuklu tekstillerin çeşitli ön işlemleri (örneğin yıkama, haşıl sökme, ovma ve ağartma) aynı anda gerçekleştirilir.</w:t>
            </w:r>
          </w:p>
        </w:tc>
        <w:tc>
          <w:tcPr>
            <w:tcW w:w="3253" w:type="dxa"/>
            <w:tcBorders>
              <w:top w:val="nil"/>
              <w:left w:val="nil"/>
              <w:bottom w:val="single" w:sz="4" w:space="0" w:color="auto"/>
              <w:right w:val="single" w:sz="4" w:space="0" w:color="auto"/>
            </w:tcBorders>
          </w:tcPr>
          <w:p w14:paraId="504DC75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52E4A12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304B8E13" w14:textId="77777777" w:rsidTr="0024730D">
        <w:trPr>
          <w:trHeight w:val="320"/>
        </w:trPr>
        <w:tc>
          <w:tcPr>
            <w:tcW w:w="1928" w:type="dxa"/>
            <w:tcBorders>
              <w:top w:val="nil"/>
              <w:left w:val="single" w:sz="4" w:space="0" w:color="auto"/>
              <w:bottom w:val="single" w:sz="4" w:space="0" w:color="auto"/>
              <w:right w:val="single" w:sz="4" w:space="0" w:color="auto"/>
            </w:tcBorders>
            <w:shd w:val="clear" w:color="auto" w:fill="auto"/>
            <w:noWrap/>
            <w:vAlign w:val="bottom"/>
            <w:hideMark/>
          </w:tcPr>
          <w:p w14:paraId="155E1098"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 Pamuklu tekstillerin soğuk boyama işlemi</w:t>
            </w:r>
          </w:p>
        </w:tc>
        <w:tc>
          <w:tcPr>
            <w:tcW w:w="3879" w:type="dxa"/>
            <w:tcBorders>
              <w:top w:val="nil"/>
              <w:left w:val="nil"/>
              <w:bottom w:val="single" w:sz="4" w:space="0" w:color="auto"/>
              <w:right w:val="single" w:sz="4" w:space="0" w:color="auto"/>
            </w:tcBorders>
            <w:shd w:val="clear" w:color="auto" w:fill="auto"/>
            <w:noWrap/>
            <w:vAlign w:val="bottom"/>
            <w:hideMark/>
          </w:tcPr>
          <w:p w14:paraId="54AF556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Haşıl sökme ve/veya ağartma işlemi soğuk boyama tekniği ile gerçekleştirilir (bkz. Bölüm 1.9.4).</w:t>
            </w:r>
          </w:p>
        </w:tc>
        <w:tc>
          <w:tcPr>
            <w:tcW w:w="3253" w:type="dxa"/>
            <w:tcBorders>
              <w:top w:val="nil"/>
              <w:left w:val="nil"/>
              <w:bottom w:val="single" w:sz="4" w:space="0" w:color="auto"/>
              <w:right w:val="single" w:sz="4" w:space="0" w:color="auto"/>
            </w:tcBorders>
          </w:tcPr>
          <w:p w14:paraId="656C6DD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0BBEC30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39154B76" w14:textId="77777777" w:rsidTr="0024730D">
        <w:trPr>
          <w:trHeight w:val="320"/>
        </w:trPr>
        <w:tc>
          <w:tcPr>
            <w:tcW w:w="1928" w:type="dxa"/>
            <w:tcBorders>
              <w:top w:val="nil"/>
              <w:left w:val="single" w:sz="4" w:space="0" w:color="auto"/>
              <w:bottom w:val="single" w:sz="4" w:space="0" w:color="auto"/>
              <w:right w:val="single" w:sz="4" w:space="0" w:color="auto"/>
            </w:tcBorders>
            <w:shd w:val="clear" w:color="auto" w:fill="auto"/>
            <w:noWrap/>
            <w:vAlign w:val="bottom"/>
            <w:hideMark/>
          </w:tcPr>
          <w:p w14:paraId="5D9635C8"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c. Tek veya sınırlı sayıda haşıl sökme sıvısı</w:t>
            </w:r>
          </w:p>
        </w:tc>
        <w:tc>
          <w:tcPr>
            <w:tcW w:w="3879" w:type="dxa"/>
            <w:tcBorders>
              <w:top w:val="nil"/>
              <w:left w:val="nil"/>
              <w:bottom w:val="single" w:sz="4" w:space="0" w:color="auto"/>
              <w:right w:val="single" w:sz="4" w:space="0" w:color="auto"/>
            </w:tcBorders>
            <w:shd w:val="clear" w:color="auto" w:fill="auto"/>
            <w:noWrap/>
            <w:vAlign w:val="bottom"/>
            <w:hideMark/>
          </w:tcPr>
          <w:p w14:paraId="669A336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Farklı tipteki haşıl sökücü kimyasalların giderilmesi için haşıl sökücü çözeltilerin sayısı sınırlıdır. Bazı durumlarda, örneğin çeşitli selülozik malzemeler için, tek bir oksidatif haşıl sökme sıvısı kullanılabilir.</w:t>
            </w:r>
          </w:p>
        </w:tc>
        <w:tc>
          <w:tcPr>
            <w:tcW w:w="3253" w:type="dxa"/>
            <w:tcBorders>
              <w:top w:val="nil"/>
              <w:left w:val="nil"/>
              <w:bottom w:val="single" w:sz="4" w:space="0" w:color="auto"/>
              <w:right w:val="single" w:sz="4" w:space="0" w:color="auto"/>
            </w:tcBorders>
          </w:tcPr>
          <w:p w14:paraId="44B349B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2D1FD40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4F2DC4AE" w14:textId="77777777" w:rsidTr="0024730D">
        <w:trPr>
          <w:trHeight w:val="320"/>
        </w:trPr>
        <w:tc>
          <w:tcPr>
            <w:tcW w:w="1928" w:type="dxa"/>
            <w:tcBorders>
              <w:top w:val="nil"/>
              <w:left w:val="single" w:sz="4" w:space="0" w:color="auto"/>
              <w:bottom w:val="single" w:sz="4" w:space="0" w:color="auto"/>
              <w:right w:val="single" w:sz="4" w:space="0" w:color="auto"/>
            </w:tcBorders>
            <w:shd w:val="clear" w:color="auto" w:fill="auto"/>
            <w:noWrap/>
            <w:vAlign w:val="bottom"/>
            <w:hideMark/>
          </w:tcPr>
          <w:p w14:paraId="00FCB594"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d. Suda çözünen haşıl kimyasallarının geri kazanımı ve yeniden kullanımı</w:t>
            </w:r>
          </w:p>
        </w:tc>
        <w:tc>
          <w:tcPr>
            <w:tcW w:w="3879" w:type="dxa"/>
            <w:tcBorders>
              <w:top w:val="nil"/>
              <w:left w:val="nil"/>
              <w:bottom w:val="single" w:sz="4" w:space="0" w:color="auto"/>
              <w:right w:val="single" w:sz="4" w:space="0" w:color="auto"/>
            </w:tcBorders>
            <w:shd w:val="clear" w:color="auto" w:fill="auto"/>
            <w:noWrap/>
            <w:vAlign w:val="bottom"/>
            <w:hideMark/>
          </w:tcPr>
          <w:p w14:paraId="79CE9BB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Haşıl sökme işlemi sıcak suyla yıkanarak gerçekleştirildiğinde, suda çözünen haşıl kimyasalları (örn. polivinil alkol ve karboksimetil selüloz) ultrafiltrasyon yoluyla yıkama suyundan geri kazanılır. Konsantre haşıllama için tekrar kullanılırken, süzülen su yıkama için tekrar kullanılır.</w:t>
            </w:r>
          </w:p>
        </w:tc>
        <w:tc>
          <w:tcPr>
            <w:tcW w:w="3253" w:type="dxa"/>
            <w:tcBorders>
              <w:top w:val="nil"/>
              <w:left w:val="nil"/>
              <w:bottom w:val="single" w:sz="4" w:space="0" w:color="auto"/>
              <w:right w:val="single" w:sz="4" w:space="0" w:color="auto"/>
            </w:tcBorders>
          </w:tcPr>
          <w:p w14:paraId="0638E17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Sadece haşıl uygulaması ve haşıl sökme işlemleri aynı tesiste gerçekleştirildiğinde uygulanabilir. Sentetik haşıl kimyasalları (örneğin polyester poliol, poliakrilatlar veya polivinil asetat içerenler) için uygulanamayabilir.</w:t>
            </w:r>
          </w:p>
        </w:tc>
      </w:tr>
    </w:tbl>
    <w:p w14:paraId="29DF2120" w14:textId="77777777" w:rsidR="0055515A" w:rsidRPr="0055515A" w:rsidRDefault="0055515A"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p>
    <w:p w14:paraId="7006A143" w14:textId="77777777" w:rsidR="0055515A" w:rsidRPr="0055515A" w:rsidRDefault="0055515A"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38 - </w:t>
      </w:r>
      <w:r w:rsidRPr="008679D6">
        <w:rPr>
          <w:rFonts w:ascii="Times New Roman" w:eastAsia="Times New Roman" w:hAnsi="Times New Roman" w:cs="Times New Roman"/>
          <w:bCs/>
          <w:color w:val="000000"/>
          <w:kern w:val="0"/>
          <w:sz w:val="24"/>
          <w:szCs w:val="24"/>
          <w:lang w:eastAsia="tr-TR"/>
          <w14:ligatures w14:val="none"/>
        </w:rPr>
        <w:t>Klor içeren bileşiklerin ve kompleks yapıcı maddelerin suya emisyonlarını önlemek veya azaltmak için MET, aşağıda verilen tekniklerden birini veya her ikisini kullanmaktadır.</w:t>
      </w:r>
    </w:p>
    <w:tbl>
      <w:tblPr>
        <w:tblStyle w:val="TabloKlavuzu8"/>
        <w:tblW w:w="0" w:type="auto"/>
        <w:tblLook w:val="04A0" w:firstRow="1" w:lastRow="0" w:firstColumn="1" w:lastColumn="0" w:noHBand="0" w:noVBand="1"/>
      </w:tblPr>
      <w:tblGrid>
        <w:gridCol w:w="1980"/>
        <w:gridCol w:w="5245"/>
        <w:gridCol w:w="1835"/>
      </w:tblGrid>
      <w:tr w:rsidR="0055515A" w:rsidRPr="0055515A" w14:paraId="65FC30BA" w14:textId="77777777" w:rsidTr="0082590D">
        <w:tc>
          <w:tcPr>
            <w:tcW w:w="1980" w:type="dxa"/>
          </w:tcPr>
          <w:p w14:paraId="496582F9" w14:textId="77777777" w:rsidR="0055515A" w:rsidRPr="0055515A" w:rsidRDefault="0055515A" w:rsidP="0055515A">
            <w:pPr>
              <w:spacing w:after="120" w:line="360" w:lineRule="auto"/>
              <w:jc w:val="both"/>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Teknik</w:t>
            </w:r>
          </w:p>
        </w:tc>
        <w:tc>
          <w:tcPr>
            <w:tcW w:w="5245" w:type="dxa"/>
          </w:tcPr>
          <w:p w14:paraId="565E5935" w14:textId="77777777" w:rsidR="0055515A" w:rsidRPr="0055515A" w:rsidRDefault="0055515A" w:rsidP="0055515A">
            <w:pPr>
              <w:spacing w:after="120" w:line="360" w:lineRule="auto"/>
              <w:jc w:val="both"/>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Açıklama</w:t>
            </w:r>
          </w:p>
        </w:tc>
        <w:tc>
          <w:tcPr>
            <w:tcW w:w="1835" w:type="dxa"/>
          </w:tcPr>
          <w:p w14:paraId="7C911C6B" w14:textId="77777777" w:rsidR="0055515A" w:rsidRPr="0055515A" w:rsidRDefault="0055515A" w:rsidP="0055515A">
            <w:pPr>
              <w:spacing w:after="120" w:line="360" w:lineRule="auto"/>
              <w:jc w:val="both"/>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Uygulanabilirlik</w:t>
            </w:r>
          </w:p>
        </w:tc>
      </w:tr>
      <w:tr w:rsidR="0055515A" w:rsidRPr="0055515A" w14:paraId="0432BA65" w14:textId="77777777" w:rsidTr="0082590D">
        <w:tc>
          <w:tcPr>
            <w:tcW w:w="1980" w:type="dxa"/>
          </w:tcPr>
          <w:p w14:paraId="16E63327" w14:textId="77777777" w:rsidR="0055515A" w:rsidRPr="008679D6" w:rsidRDefault="0055515A" w:rsidP="0055515A">
            <w:pPr>
              <w:spacing w:after="120" w:line="360" w:lineRule="auto"/>
              <w:jc w:val="both"/>
              <w:rPr>
                <w:rFonts w:ascii="Times New Roman" w:eastAsia="Times New Roman" w:hAnsi="Times New Roman" w:cs="Times New Roman"/>
                <w:bCs/>
                <w:color w:val="000000"/>
              </w:rPr>
            </w:pPr>
            <w:r w:rsidRPr="008679D6">
              <w:rPr>
                <w:rFonts w:ascii="Times New Roman" w:eastAsia="Times New Roman" w:hAnsi="Times New Roman" w:cs="Times New Roman"/>
                <w:bCs/>
                <w:color w:val="000000"/>
              </w:rPr>
              <w:t>a.Klorsuz ağartma</w:t>
            </w:r>
          </w:p>
        </w:tc>
        <w:tc>
          <w:tcPr>
            <w:tcW w:w="5245" w:type="dxa"/>
          </w:tcPr>
          <w:p w14:paraId="18452202" w14:textId="77777777" w:rsidR="0055515A" w:rsidRPr="0055515A" w:rsidRDefault="0055515A" w:rsidP="0055515A">
            <w:pPr>
              <w:jc w:val="both"/>
              <w:textAlignment w:val="baseline"/>
              <w:rPr>
                <w:rFonts w:ascii="Times New Roman" w:eastAsia="Times New Roman" w:hAnsi="Times New Roman" w:cs="Times New Roman"/>
                <w:color w:val="000000"/>
              </w:rPr>
            </w:pPr>
            <w:r w:rsidRPr="0055515A">
              <w:rPr>
                <w:rFonts w:ascii="Times New Roman" w:eastAsia="Times New Roman" w:hAnsi="Times New Roman" w:cs="Times New Roman"/>
                <w:color w:val="000000"/>
              </w:rPr>
              <w:t>Ağartma işlemi klorsuz ağartma kimyasalları (örneğin hidrojen peroksit, perasetik asit veya ozon) ile gerçekleştirilir ve genellikle enzimlerle ön işlemle birleştirilir (bkz. MET 16 (c)).</w:t>
            </w:r>
          </w:p>
          <w:p w14:paraId="2F365B1A" w14:textId="77777777" w:rsidR="0055515A" w:rsidRPr="0055515A" w:rsidRDefault="0055515A" w:rsidP="0055515A">
            <w:pPr>
              <w:spacing w:after="120" w:line="360" w:lineRule="auto"/>
              <w:jc w:val="both"/>
              <w:rPr>
                <w:rFonts w:ascii="Times New Roman" w:eastAsia="Times New Roman" w:hAnsi="Times New Roman" w:cs="Times New Roman"/>
                <w:b/>
                <w:bCs/>
                <w:color w:val="000000"/>
              </w:rPr>
            </w:pPr>
          </w:p>
        </w:tc>
        <w:tc>
          <w:tcPr>
            <w:tcW w:w="1835" w:type="dxa"/>
          </w:tcPr>
          <w:p w14:paraId="5351CD02" w14:textId="77777777" w:rsidR="0055515A" w:rsidRPr="0055515A" w:rsidRDefault="0055515A" w:rsidP="0055515A">
            <w:pPr>
              <w:spacing w:after="120"/>
              <w:jc w:val="both"/>
              <w:rPr>
                <w:rFonts w:ascii="Times New Roman" w:eastAsia="Times New Roman" w:hAnsi="Times New Roman" w:cs="Times New Roman"/>
                <w:color w:val="000000"/>
              </w:rPr>
            </w:pPr>
            <w:r w:rsidRPr="0055515A">
              <w:rPr>
                <w:rFonts w:ascii="Times New Roman" w:eastAsia="Times New Roman" w:hAnsi="Times New Roman" w:cs="Times New Roman"/>
                <w:color w:val="000000"/>
              </w:rPr>
              <w:t>Liflerin ve diğer bast dokularının aydınlatılmasında uygulanabilir olmayabilir.</w:t>
            </w:r>
          </w:p>
        </w:tc>
      </w:tr>
      <w:tr w:rsidR="0055515A" w:rsidRPr="0055515A" w14:paraId="2E35B291" w14:textId="77777777" w:rsidTr="0082590D">
        <w:tc>
          <w:tcPr>
            <w:tcW w:w="1980" w:type="dxa"/>
          </w:tcPr>
          <w:p w14:paraId="2925610D" w14:textId="77777777" w:rsidR="0055515A" w:rsidRPr="008679D6" w:rsidRDefault="0055515A" w:rsidP="0055515A">
            <w:pPr>
              <w:spacing w:after="120" w:line="360" w:lineRule="auto"/>
              <w:jc w:val="both"/>
              <w:rPr>
                <w:rFonts w:ascii="Times New Roman" w:eastAsia="Times New Roman" w:hAnsi="Times New Roman" w:cs="Times New Roman"/>
                <w:bCs/>
                <w:color w:val="000000"/>
              </w:rPr>
            </w:pPr>
            <w:r w:rsidRPr="008679D6">
              <w:rPr>
                <w:rFonts w:ascii="Times New Roman" w:eastAsia="Times New Roman" w:hAnsi="Times New Roman" w:cs="Times New Roman"/>
                <w:bCs/>
                <w:color w:val="000000"/>
              </w:rPr>
              <w:lastRenderedPageBreak/>
              <w:t>b.Optimize edilmiş hidrojen peroksit ağartma</w:t>
            </w:r>
          </w:p>
        </w:tc>
        <w:tc>
          <w:tcPr>
            <w:tcW w:w="5245" w:type="dxa"/>
          </w:tcPr>
          <w:p w14:paraId="1A08F795" w14:textId="77777777" w:rsidR="0055515A" w:rsidRPr="0055515A" w:rsidRDefault="0055515A" w:rsidP="0055515A">
            <w:pPr>
              <w:spacing w:after="120"/>
              <w:jc w:val="both"/>
              <w:textAlignment w:val="baseline"/>
              <w:rPr>
                <w:rFonts w:ascii="Times New Roman" w:eastAsia="Times New Roman" w:hAnsi="Times New Roman" w:cs="Times New Roman"/>
                <w:color w:val="000000"/>
              </w:rPr>
            </w:pPr>
            <w:r w:rsidRPr="0055515A">
              <w:rPr>
                <w:rFonts w:ascii="Times New Roman" w:eastAsia="Times New Roman" w:hAnsi="Times New Roman" w:cs="Times New Roman"/>
                <w:color w:val="000000"/>
              </w:rPr>
              <w:t>Ağartma sırasında hidroksil radikallerinin konsantrasyonu azaltılarak kompleks yapıcı maddelerin kullanımı tamamen önlenebilir veya en aza indirilebilir. Bu şu şekilde sağlanır:</w:t>
            </w:r>
          </w:p>
          <w:p w14:paraId="650ECA05" w14:textId="77777777" w:rsidR="0055515A" w:rsidRPr="0055515A" w:rsidRDefault="0055515A" w:rsidP="0055515A">
            <w:pPr>
              <w:spacing w:after="120"/>
              <w:ind w:left="720"/>
              <w:jc w:val="both"/>
              <w:rPr>
                <w:rFonts w:ascii="Times New Roman" w:eastAsia="Times New Roman" w:hAnsi="Times New Roman" w:cs="Times New Roman"/>
              </w:rPr>
            </w:pPr>
            <w:r w:rsidRPr="0055515A">
              <w:rPr>
                <w:rFonts w:ascii="Times New Roman" w:eastAsia="Times New Roman" w:hAnsi="Times New Roman" w:cs="Times New Roman"/>
                <w:color w:val="000000"/>
              </w:rPr>
              <w:t>-yumuşak/yumuşatılmış su kullanarak;</w:t>
            </w:r>
          </w:p>
          <w:p w14:paraId="0369192E" w14:textId="77777777" w:rsidR="0055515A" w:rsidRPr="0055515A" w:rsidRDefault="0055515A" w:rsidP="0055515A">
            <w:pPr>
              <w:spacing w:after="120"/>
              <w:ind w:left="720"/>
              <w:jc w:val="both"/>
              <w:rPr>
                <w:rFonts w:ascii="Times New Roman" w:eastAsia="Times New Roman" w:hAnsi="Times New Roman" w:cs="Times New Roman"/>
              </w:rPr>
            </w:pPr>
            <w:r w:rsidRPr="0055515A">
              <w:rPr>
                <w:rFonts w:ascii="Times New Roman" w:eastAsia="Times New Roman" w:hAnsi="Times New Roman" w:cs="Times New Roman"/>
                <w:color w:val="000000"/>
              </w:rPr>
              <w:t>- metal kirliliklerinin tekstil malzemelerinden önceden uzaklaştırılması (örneğin manyetik ayırma, kimyasal işlem veya ön yıkama ile);</w:t>
            </w:r>
          </w:p>
          <w:p w14:paraId="71F7BABF" w14:textId="77777777" w:rsidR="0055515A" w:rsidRPr="0055515A" w:rsidRDefault="0055515A" w:rsidP="0055515A">
            <w:pPr>
              <w:spacing w:after="120"/>
              <w:ind w:left="720"/>
              <w:jc w:val="both"/>
              <w:rPr>
                <w:rFonts w:ascii="Times New Roman" w:eastAsia="Times New Roman" w:hAnsi="Times New Roman" w:cs="Times New Roman"/>
              </w:rPr>
            </w:pPr>
            <w:r w:rsidRPr="0055515A">
              <w:rPr>
                <w:rFonts w:ascii="Times New Roman" w:eastAsia="Times New Roman" w:hAnsi="Times New Roman" w:cs="Times New Roman"/>
                <w:color w:val="000000"/>
              </w:rPr>
              <w:t>- ağartma sırasında pH ve hidrojen peroksit konsantrasyonunun kontrol edilmesi.</w:t>
            </w:r>
          </w:p>
          <w:p w14:paraId="47C424B4" w14:textId="77777777" w:rsidR="0055515A" w:rsidRPr="0055515A" w:rsidRDefault="0055515A" w:rsidP="0055515A">
            <w:pPr>
              <w:spacing w:after="120" w:line="360" w:lineRule="auto"/>
              <w:jc w:val="both"/>
              <w:rPr>
                <w:rFonts w:ascii="Times New Roman" w:eastAsia="Times New Roman" w:hAnsi="Times New Roman" w:cs="Times New Roman"/>
                <w:b/>
                <w:bCs/>
                <w:color w:val="000000"/>
              </w:rPr>
            </w:pPr>
          </w:p>
        </w:tc>
        <w:tc>
          <w:tcPr>
            <w:tcW w:w="1835" w:type="dxa"/>
          </w:tcPr>
          <w:p w14:paraId="4AC0D5D9" w14:textId="77777777" w:rsidR="0055515A" w:rsidRPr="0055515A" w:rsidRDefault="0055515A" w:rsidP="0055515A">
            <w:pPr>
              <w:rPr>
                <w:rFonts w:ascii="Times New Roman" w:eastAsia="Times New Roman" w:hAnsi="Times New Roman" w:cs="Times New Roman"/>
                <w:color w:val="000000"/>
              </w:rPr>
            </w:pPr>
            <w:r w:rsidRPr="0055515A">
              <w:rPr>
                <w:rFonts w:ascii="Times New Roman" w:eastAsia="Times New Roman" w:hAnsi="Times New Roman" w:cs="Times New Roman"/>
                <w:color w:val="000000"/>
              </w:rPr>
              <w:t>Genel olarak uygulanabilir.</w:t>
            </w:r>
          </w:p>
          <w:p w14:paraId="62D8B21B" w14:textId="77777777" w:rsidR="0055515A" w:rsidRPr="0055515A" w:rsidRDefault="0055515A" w:rsidP="0055515A">
            <w:pPr>
              <w:spacing w:after="120" w:line="360" w:lineRule="auto"/>
              <w:jc w:val="both"/>
              <w:rPr>
                <w:rFonts w:ascii="Times New Roman" w:eastAsia="Times New Roman" w:hAnsi="Times New Roman" w:cs="Times New Roman"/>
                <w:b/>
                <w:bCs/>
                <w:color w:val="000000"/>
              </w:rPr>
            </w:pPr>
          </w:p>
        </w:tc>
      </w:tr>
    </w:tbl>
    <w:p w14:paraId="4FF6A542" w14:textId="7092BFC7" w:rsidR="0055515A" w:rsidRPr="0055515A" w:rsidRDefault="0055515A" w:rsidP="0055515A">
      <w:pPr>
        <w:spacing w:after="120" w:line="36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39 - </w:t>
      </w:r>
      <w:r w:rsidRPr="008679D6">
        <w:rPr>
          <w:rFonts w:ascii="Times New Roman" w:eastAsia="Times New Roman" w:hAnsi="Times New Roman" w:cs="Times New Roman"/>
          <w:bCs/>
          <w:color w:val="000000"/>
          <w:kern w:val="0"/>
          <w:sz w:val="24"/>
          <w:szCs w:val="24"/>
          <w:lang w:eastAsia="tr-TR"/>
          <w14:ligatures w14:val="none"/>
        </w:rPr>
        <w:t>Kaynakları verimli kullanmak ve atık su arıtımına deşarj edilen alkali miktarını azaltmak için MET, merserizasyon için kullanılan kostik sodayı geri kazanmaktadır</w:t>
      </w:r>
      <w:r w:rsidRPr="00557323">
        <w:rPr>
          <w:rFonts w:ascii="Times New Roman" w:eastAsia="Times New Roman" w:hAnsi="Times New Roman" w:cs="Times New Roman"/>
          <w:b/>
          <w:bCs/>
          <w:color w:val="000000"/>
          <w:kern w:val="0"/>
          <w:sz w:val="24"/>
          <w:szCs w:val="24"/>
          <w:lang w:eastAsia="tr-TR"/>
          <w14:ligatures w14:val="none"/>
        </w:rPr>
        <w:t xml:space="preserve">. </w:t>
      </w:r>
    </w:p>
    <w:p w14:paraId="442EB855" w14:textId="5422265D" w:rsidR="0055515A" w:rsidRPr="0055515A" w:rsidRDefault="0055515A" w:rsidP="0055515A">
      <w:pPr>
        <w:spacing w:after="120" w:line="36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4F62692C" w14:textId="77777777"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Kostik soda durulama suyundan buharlaştırma yoluyla geri kazanılır ve gerekirse daha da saflaştırılır.</w:t>
      </w:r>
    </w:p>
    <w:p w14:paraId="0D69A417" w14:textId="77777777" w:rsidR="0055515A" w:rsidRPr="0055515A" w:rsidRDefault="0055515A" w:rsidP="0055515A">
      <w:pPr>
        <w:spacing w:after="120" w:line="36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 xml:space="preserve">Uygulanabilirlik </w:t>
      </w:r>
    </w:p>
    <w:p w14:paraId="28C8B76F" w14:textId="77777777" w:rsidR="0055515A" w:rsidRPr="0055515A" w:rsidRDefault="0055515A" w:rsidP="0055515A">
      <w:pPr>
        <w:spacing w:after="120" w:line="36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Buharlaştırmadan önce, durulama suyundaki kirlilikler örneğin elekler ve/veya mikrofiltrasyon kullanılarak giderilir.</w:t>
      </w:r>
    </w:p>
    <w:p w14:paraId="3731F631" w14:textId="77777777" w:rsidR="0055515A" w:rsidRPr="0055515A" w:rsidRDefault="0055515A" w:rsidP="0055515A">
      <w:pPr>
        <w:spacing w:before="100" w:beforeAutospacing="1" w:after="100" w:afterAutospacing="1" w:line="240" w:lineRule="auto"/>
        <w:jc w:val="center"/>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Tablo 1.9</w:t>
      </w:r>
    </w:p>
    <w:p w14:paraId="12BE799D"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Merserizasyon için kullanılan kostik sodanın geri kazanımı için MET ile ilişkili çevresel performans düzeyi (MET-AEPL)</w:t>
      </w:r>
    </w:p>
    <w:tbl>
      <w:tblPr>
        <w:tblStyle w:val="EIPPCBTable"/>
        <w:tblW w:w="0" w:type="auto"/>
        <w:tblLook w:val="04A0" w:firstRow="1" w:lastRow="0" w:firstColumn="1" w:lastColumn="0" w:noHBand="0" w:noVBand="1"/>
      </w:tblPr>
      <w:tblGrid>
        <w:gridCol w:w="3584"/>
        <w:gridCol w:w="3265"/>
      </w:tblGrid>
      <w:tr w:rsidR="0055515A" w:rsidRPr="0055515A" w14:paraId="5EA60E30" w14:textId="77777777" w:rsidTr="008679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4C3E46" w14:textId="77777777" w:rsidR="0055515A" w:rsidRPr="0055515A" w:rsidRDefault="0055515A" w:rsidP="0055515A">
            <w:pPr>
              <w:rPr>
                <w:b w:val="0"/>
                <w:bCs/>
                <w:color w:val="000000"/>
              </w:rPr>
            </w:pPr>
            <w:r w:rsidRPr="0055515A">
              <w:rPr>
                <w:bCs/>
                <w:color w:val="000000"/>
              </w:rPr>
              <w:t>Birim</w:t>
            </w:r>
          </w:p>
        </w:tc>
        <w:tc>
          <w:tcPr>
            <w:tcW w:w="3265" w:type="dxa"/>
            <w:hideMark/>
          </w:tcPr>
          <w:p w14:paraId="77FDCCC8" w14:textId="77777777" w:rsidR="0055515A" w:rsidRPr="0055515A" w:rsidRDefault="0055515A" w:rsidP="0055515A">
            <w:pPr>
              <w:cnfStyle w:val="100000000000" w:firstRow="1" w:lastRow="0" w:firstColumn="0" w:lastColumn="0" w:oddVBand="0" w:evenVBand="0" w:oddHBand="0" w:evenHBand="0" w:firstRowFirstColumn="0" w:firstRowLastColumn="0" w:lastRowFirstColumn="0" w:lastRowLastColumn="0"/>
              <w:rPr>
                <w:b w:val="0"/>
                <w:bCs/>
                <w:color w:val="000000"/>
              </w:rPr>
            </w:pPr>
            <w:r w:rsidRPr="0055515A">
              <w:rPr>
                <w:bCs/>
                <w:color w:val="000000"/>
              </w:rPr>
              <w:t>MET-AEPL (Yıllık Ortalama)</w:t>
            </w:r>
          </w:p>
        </w:tc>
      </w:tr>
      <w:tr w:rsidR="0055515A" w:rsidRPr="0055515A" w14:paraId="281075A2" w14:textId="77777777" w:rsidTr="008679D6">
        <w:tc>
          <w:tcPr>
            <w:cnfStyle w:val="001000000000" w:firstRow="0" w:lastRow="0" w:firstColumn="1" w:lastColumn="0" w:oddVBand="0" w:evenVBand="0" w:oddHBand="0" w:evenHBand="0" w:firstRowFirstColumn="0" w:firstRowLastColumn="0" w:lastRowFirstColumn="0" w:lastRowLastColumn="0"/>
            <w:tcW w:w="0" w:type="auto"/>
            <w:hideMark/>
          </w:tcPr>
          <w:p w14:paraId="237B3941" w14:textId="77777777" w:rsidR="0055515A" w:rsidRPr="0055515A" w:rsidRDefault="0055515A" w:rsidP="0055515A">
            <w:pPr>
              <w:rPr>
                <w:color w:val="000000"/>
              </w:rPr>
            </w:pPr>
            <w:r w:rsidRPr="0055515A">
              <w:rPr>
                <w:color w:val="000000"/>
              </w:rPr>
              <w:t>Kostik soda geri kazanım oranı (%)</w:t>
            </w:r>
          </w:p>
        </w:tc>
        <w:tc>
          <w:tcPr>
            <w:tcW w:w="3265" w:type="dxa"/>
            <w:hideMark/>
          </w:tcPr>
          <w:p w14:paraId="49504915" w14:textId="77777777" w:rsidR="0055515A" w:rsidRPr="0055515A" w:rsidRDefault="0055515A" w:rsidP="0055515A">
            <w:pPr>
              <w:cnfStyle w:val="000000000000" w:firstRow="0" w:lastRow="0" w:firstColumn="0" w:lastColumn="0" w:oddVBand="0" w:evenVBand="0" w:oddHBand="0" w:evenHBand="0" w:firstRowFirstColumn="0" w:firstRowLastColumn="0" w:lastRowFirstColumn="0" w:lastRowLastColumn="0"/>
              <w:rPr>
                <w:color w:val="000000"/>
              </w:rPr>
            </w:pPr>
            <w:r w:rsidRPr="0055515A">
              <w:rPr>
                <w:color w:val="000000"/>
              </w:rPr>
              <w:t>%75–95</w:t>
            </w:r>
          </w:p>
        </w:tc>
      </w:tr>
    </w:tbl>
    <w:p w14:paraId="1A7D9AE0"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İlgili izleme, MET 6'da verilmiştir.</w:t>
      </w:r>
    </w:p>
    <w:p w14:paraId="5FAB40BD" w14:textId="1F84098D" w:rsidR="0055515A" w:rsidRDefault="0055515A" w:rsidP="0055515A">
      <w:pPr>
        <w:spacing w:after="120" w:line="36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1.5. Boyama için MET sonuçları</w:t>
      </w:r>
      <w:r w:rsidRPr="0055515A">
        <w:rPr>
          <w:rFonts w:ascii="Times New Roman" w:eastAsia="Times New Roman" w:hAnsi="Times New Roman" w:cs="Times New Roman"/>
          <w:color w:val="000000"/>
          <w:kern w:val="0"/>
          <w:sz w:val="24"/>
          <w:szCs w:val="24"/>
          <w:lang w:eastAsia="tr-TR"/>
          <w14:ligatures w14:val="none"/>
        </w:rPr>
        <w:br/>
        <w:t>Bu bölümdeki MET sonuçları, boyama işlemleri için geçerlidir ve Bölüm 1.1'deki genel MET sonuçlarına ek olarak uygulanır.</w:t>
      </w:r>
    </w:p>
    <w:p w14:paraId="47DF89CC" w14:textId="0DF816C4" w:rsidR="0055515A" w:rsidRDefault="0055515A" w:rsidP="0055515A">
      <w:pPr>
        <w:spacing w:after="120" w:line="36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40 - </w:t>
      </w:r>
      <w:r w:rsidRPr="0055515A">
        <w:rPr>
          <w:rFonts w:ascii="Times New Roman" w:eastAsia="Times New Roman" w:hAnsi="Times New Roman" w:cs="Times New Roman"/>
          <w:color w:val="000000"/>
          <w:kern w:val="0"/>
          <w:sz w:val="24"/>
          <w:szCs w:val="24"/>
          <w:lang w:eastAsia="tr-TR"/>
          <w14:ligatures w14:val="none"/>
        </w:rPr>
        <w:t>Kaynakları verimli kullanmak ve boyama işlemlerinden kaynaklanan suya emisyonları azaltmak için, MET aşağıda verilen tekniklerden birini veya bir kombinasyonunu kullanmaktır.</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53"/>
        <w:gridCol w:w="6307"/>
      </w:tblGrid>
      <w:tr w:rsidR="0055515A" w:rsidRPr="0055515A" w14:paraId="415CD962" w14:textId="77777777" w:rsidTr="00541520">
        <w:trPr>
          <w:trHeight w:val="320"/>
        </w:trPr>
        <w:tc>
          <w:tcPr>
            <w:tcW w:w="2753" w:type="dxa"/>
            <w:shd w:val="clear" w:color="auto" w:fill="auto"/>
            <w:noWrap/>
            <w:vAlign w:val="bottom"/>
            <w:hideMark/>
          </w:tcPr>
          <w:p w14:paraId="65B6299A"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6307" w:type="dxa"/>
            <w:shd w:val="clear" w:color="auto" w:fill="auto"/>
            <w:noWrap/>
            <w:vAlign w:val="bottom"/>
            <w:hideMark/>
          </w:tcPr>
          <w:p w14:paraId="1866F8A0"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13FE1D24" w14:textId="77777777" w:rsidTr="00541520">
        <w:trPr>
          <w:trHeight w:val="320"/>
        </w:trPr>
        <w:tc>
          <w:tcPr>
            <w:tcW w:w="9060" w:type="dxa"/>
            <w:gridSpan w:val="2"/>
            <w:shd w:val="clear" w:color="auto" w:fill="auto"/>
            <w:noWrap/>
            <w:vAlign w:val="bottom"/>
            <w:hideMark/>
          </w:tcPr>
          <w:p w14:paraId="220C547A"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Kesikli ve sürekli boyama teknikleri</w:t>
            </w:r>
          </w:p>
          <w:p w14:paraId="4E1197E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3CD79D10" w14:textId="77777777" w:rsidTr="00541520">
        <w:trPr>
          <w:trHeight w:val="320"/>
        </w:trPr>
        <w:tc>
          <w:tcPr>
            <w:tcW w:w="2753" w:type="dxa"/>
            <w:shd w:val="clear" w:color="auto" w:fill="auto"/>
            <w:noWrap/>
            <w:vAlign w:val="bottom"/>
            <w:hideMark/>
          </w:tcPr>
          <w:p w14:paraId="16B0B0D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lastRenderedPageBreak/>
              <w:t>a. Boya seçimi</w:t>
            </w:r>
          </w:p>
        </w:tc>
        <w:tc>
          <w:tcPr>
            <w:tcW w:w="6307" w:type="dxa"/>
            <w:shd w:val="clear" w:color="auto" w:fill="auto"/>
            <w:noWrap/>
            <w:vAlign w:val="bottom"/>
            <w:hideMark/>
          </w:tcPr>
          <w:p w14:paraId="137CFBE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Biyolojik olarak parçalanabilen (örneğin yağ asidi esteri bazlı) dağıtıcı maddelere sahip boyalar seçilir.</w:t>
            </w:r>
          </w:p>
        </w:tc>
      </w:tr>
      <w:tr w:rsidR="0055515A" w:rsidRPr="0055515A" w14:paraId="23871E62" w14:textId="77777777" w:rsidTr="00541520">
        <w:trPr>
          <w:trHeight w:val="320"/>
        </w:trPr>
        <w:tc>
          <w:tcPr>
            <w:tcW w:w="2753" w:type="dxa"/>
            <w:shd w:val="clear" w:color="auto" w:fill="auto"/>
            <w:noWrap/>
            <w:vAlign w:val="bottom"/>
            <w:hideMark/>
          </w:tcPr>
          <w:p w14:paraId="36B13CB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 Geri dönüştürülmüş bitkisel yağdan yapılan dengeleyici maddelerle boyama</w:t>
            </w:r>
          </w:p>
        </w:tc>
        <w:tc>
          <w:tcPr>
            <w:tcW w:w="6307" w:type="dxa"/>
            <w:shd w:val="clear" w:color="auto" w:fill="auto"/>
            <w:noWrap/>
            <w:vAlign w:val="bottom"/>
            <w:hideMark/>
          </w:tcPr>
          <w:p w14:paraId="4873F4E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Geri dönüştürülmüş bitkisel yağdan yapılan dengeleyici maddeler, polyesterin yüksek sıcaklıkta boyanmasında ve protein ile poliamid elyafların boyanmasında kullanılır.</w:t>
            </w:r>
          </w:p>
        </w:tc>
      </w:tr>
      <w:tr w:rsidR="0055515A" w:rsidRPr="0055515A" w14:paraId="01D54D7D" w14:textId="77777777" w:rsidTr="00541520">
        <w:trPr>
          <w:trHeight w:val="320"/>
        </w:trPr>
        <w:tc>
          <w:tcPr>
            <w:tcW w:w="9060" w:type="dxa"/>
            <w:gridSpan w:val="2"/>
            <w:shd w:val="clear" w:color="auto" w:fill="auto"/>
            <w:noWrap/>
            <w:vAlign w:val="bottom"/>
            <w:hideMark/>
          </w:tcPr>
          <w:p w14:paraId="11A54EA0"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Kesikli boyama teknikleri</w:t>
            </w:r>
          </w:p>
          <w:p w14:paraId="0DC60C5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4232BA9A" w14:textId="77777777" w:rsidTr="00541520">
        <w:trPr>
          <w:trHeight w:val="320"/>
        </w:trPr>
        <w:tc>
          <w:tcPr>
            <w:tcW w:w="2753" w:type="dxa"/>
            <w:shd w:val="clear" w:color="auto" w:fill="auto"/>
            <w:noWrap/>
            <w:vAlign w:val="bottom"/>
            <w:hideMark/>
          </w:tcPr>
          <w:p w14:paraId="6F0A77F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c. pH kontrollü boyama</w:t>
            </w:r>
          </w:p>
        </w:tc>
        <w:tc>
          <w:tcPr>
            <w:tcW w:w="6307" w:type="dxa"/>
            <w:shd w:val="clear" w:color="auto" w:fill="auto"/>
            <w:noWrap/>
            <w:vAlign w:val="bottom"/>
            <w:hideMark/>
          </w:tcPr>
          <w:p w14:paraId="7FAA455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Zwitteriyonik özelliklere sahip tekstil materyalleri için boyama, sabit sıcaklıkta gerçekleştirilir ve boyama sıvısının pH'ı tekstil materyallerinin izoelektrik noktasının altına kademeli olarak düşürülerek kontrol edilir.</w:t>
            </w:r>
          </w:p>
        </w:tc>
      </w:tr>
      <w:tr w:rsidR="0055515A" w:rsidRPr="0055515A" w14:paraId="3E3F9F2F" w14:textId="77777777" w:rsidTr="00541520">
        <w:trPr>
          <w:trHeight w:val="320"/>
        </w:trPr>
        <w:tc>
          <w:tcPr>
            <w:tcW w:w="2753" w:type="dxa"/>
            <w:shd w:val="clear" w:color="auto" w:fill="auto"/>
            <w:noWrap/>
            <w:vAlign w:val="bottom"/>
            <w:hideMark/>
          </w:tcPr>
          <w:p w14:paraId="2F2D6F0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d. Reaktif boyama sırasında çözünmemiş boyarmaddenin optimum şekilde uzaklaştırılması</w:t>
            </w:r>
          </w:p>
        </w:tc>
        <w:tc>
          <w:tcPr>
            <w:tcW w:w="6307" w:type="dxa"/>
            <w:shd w:val="clear" w:color="auto" w:fill="auto"/>
            <w:noWrap/>
            <w:vAlign w:val="bottom"/>
            <w:hideMark/>
          </w:tcPr>
          <w:p w14:paraId="7D0830A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Çözünmemiş boyarmadde, enzimler (örneğin lakkaz, lipaz) ve/veya vinil polimerler kullanılarak tekstil materyallerinden uzaklaştırılır. Bu sayede durulama adımlarının sayısı azaltılır.</w:t>
            </w:r>
          </w:p>
        </w:tc>
      </w:tr>
      <w:tr w:rsidR="0055515A" w:rsidRPr="0055515A" w14:paraId="6CBCBCEF" w14:textId="77777777" w:rsidTr="00541520">
        <w:trPr>
          <w:trHeight w:val="320"/>
        </w:trPr>
        <w:tc>
          <w:tcPr>
            <w:tcW w:w="9060" w:type="dxa"/>
            <w:gridSpan w:val="2"/>
            <w:shd w:val="clear" w:color="auto" w:fill="auto"/>
            <w:noWrap/>
            <w:vAlign w:val="bottom"/>
            <w:hideMark/>
          </w:tcPr>
          <w:p w14:paraId="29CA952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Kesikli boyama teknikleri</w:t>
            </w:r>
          </w:p>
          <w:p w14:paraId="5BC9EE0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387DA9C5" w14:textId="77777777" w:rsidTr="00541520">
        <w:trPr>
          <w:trHeight w:val="320"/>
        </w:trPr>
        <w:tc>
          <w:tcPr>
            <w:tcW w:w="2753" w:type="dxa"/>
            <w:shd w:val="clear" w:color="auto" w:fill="auto"/>
            <w:noWrap/>
            <w:vAlign w:val="bottom"/>
            <w:hideMark/>
          </w:tcPr>
          <w:p w14:paraId="1FA9007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e. Düşük sıvı oranlı sistemler</w:t>
            </w:r>
          </w:p>
        </w:tc>
        <w:tc>
          <w:tcPr>
            <w:tcW w:w="6307" w:type="dxa"/>
            <w:shd w:val="clear" w:color="auto" w:fill="auto"/>
            <w:noWrap/>
            <w:vAlign w:val="bottom"/>
            <w:hideMark/>
          </w:tcPr>
          <w:p w14:paraId="318438A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Bkz. Bölüm 1.9.4.</w:t>
            </w:r>
          </w:p>
        </w:tc>
      </w:tr>
      <w:tr w:rsidR="0055515A" w:rsidRPr="0055515A" w14:paraId="2D0F13DF" w14:textId="77777777" w:rsidTr="00541520">
        <w:trPr>
          <w:trHeight w:val="320"/>
        </w:trPr>
        <w:tc>
          <w:tcPr>
            <w:tcW w:w="9060" w:type="dxa"/>
            <w:gridSpan w:val="2"/>
            <w:shd w:val="clear" w:color="auto" w:fill="auto"/>
            <w:noWrap/>
            <w:vAlign w:val="bottom"/>
            <w:hideMark/>
          </w:tcPr>
          <w:p w14:paraId="47E6BB44"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Sürekli boyama teknikleri</w:t>
            </w:r>
          </w:p>
          <w:p w14:paraId="79AAEB3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3A76B097" w14:textId="77777777" w:rsidTr="00541520">
        <w:trPr>
          <w:trHeight w:val="320"/>
        </w:trPr>
        <w:tc>
          <w:tcPr>
            <w:tcW w:w="2753" w:type="dxa"/>
            <w:shd w:val="clear" w:color="auto" w:fill="auto"/>
            <w:noWrap/>
            <w:vAlign w:val="bottom"/>
            <w:hideMark/>
          </w:tcPr>
          <w:p w14:paraId="367A18F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f. Düşük hacimli uygulama sistemleri</w:t>
            </w:r>
          </w:p>
        </w:tc>
        <w:tc>
          <w:tcPr>
            <w:tcW w:w="6307" w:type="dxa"/>
            <w:shd w:val="clear" w:color="auto" w:fill="auto"/>
            <w:noWrap/>
            <w:vAlign w:val="bottom"/>
            <w:hideMark/>
          </w:tcPr>
          <w:p w14:paraId="051CBC7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Bkz. Bölüm 1.9.4.</w:t>
            </w:r>
          </w:p>
        </w:tc>
      </w:tr>
    </w:tbl>
    <w:p w14:paraId="13A2D0B1" w14:textId="77777777" w:rsidR="0055515A" w:rsidRPr="0055515A" w:rsidRDefault="0055515A" w:rsidP="0055515A">
      <w:pPr>
        <w:spacing w:after="120"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 41 -</w:t>
      </w:r>
      <w:r w:rsidRPr="0055515A">
        <w:rPr>
          <w:rFonts w:ascii="Times New Roman" w:eastAsia="Times New Roman" w:hAnsi="Times New Roman" w:cs="Times New Roman"/>
          <w:color w:val="000000"/>
          <w:kern w:val="0"/>
          <w:sz w:val="24"/>
          <w:szCs w:val="24"/>
          <w:lang w:eastAsia="tr-TR"/>
          <w14:ligatures w14:val="none"/>
        </w:rPr>
        <w:t xml:space="preserve"> Kaynakları verimli kullanmak ve selülozik malzemelerin boyanmasından kaynaklanan suya emisyonları azaltmak için, MET aşağıda verilen tekniklerden birini veya bir kombinasyonunu kullanmaktır.</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4242"/>
        <w:gridCol w:w="2696"/>
      </w:tblGrid>
      <w:tr w:rsidR="0055515A" w:rsidRPr="0055515A" w14:paraId="728463AC" w14:textId="77777777" w:rsidTr="00541520">
        <w:trPr>
          <w:trHeight w:val="320"/>
        </w:trPr>
        <w:tc>
          <w:tcPr>
            <w:tcW w:w="2122" w:type="dxa"/>
            <w:shd w:val="clear" w:color="auto" w:fill="auto"/>
            <w:noWrap/>
            <w:vAlign w:val="bottom"/>
            <w:hideMark/>
          </w:tcPr>
          <w:p w14:paraId="682CC97A"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4242" w:type="dxa"/>
            <w:shd w:val="clear" w:color="auto" w:fill="auto"/>
            <w:noWrap/>
            <w:vAlign w:val="bottom"/>
            <w:hideMark/>
          </w:tcPr>
          <w:p w14:paraId="193A297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2696" w:type="dxa"/>
            <w:shd w:val="clear" w:color="auto" w:fill="auto"/>
            <w:noWrap/>
            <w:vAlign w:val="bottom"/>
            <w:hideMark/>
          </w:tcPr>
          <w:p w14:paraId="67563D8E"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Uygulama Alanı</w:t>
            </w:r>
          </w:p>
        </w:tc>
      </w:tr>
      <w:tr w:rsidR="0055515A" w:rsidRPr="0055515A" w14:paraId="3C68D9EE" w14:textId="77777777" w:rsidTr="00541520">
        <w:trPr>
          <w:trHeight w:val="277"/>
        </w:trPr>
        <w:tc>
          <w:tcPr>
            <w:tcW w:w="9060" w:type="dxa"/>
            <w:gridSpan w:val="3"/>
            <w:shd w:val="clear" w:color="auto" w:fill="auto"/>
            <w:noWrap/>
            <w:vAlign w:val="bottom"/>
            <w:hideMark/>
          </w:tcPr>
          <w:p w14:paraId="5BF0BDA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Kükürt ve vat</w:t>
            </w:r>
            <w:r w:rsidR="00F83572">
              <w:rPr>
                <w:rFonts w:ascii="Times New Roman" w:eastAsia="Times New Roman" w:hAnsi="Times New Roman" w:cs="Times New Roman"/>
                <w:b/>
                <w:bCs/>
                <w:color w:val="000000"/>
                <w:kern w:val="0"/>
                <w:lang w:eastAsia="tr-TR"/>
                <w14:ligatures w14:val="none"/>
              </w:rPr>
              <w:t>(Suda Çözünmeyen boyalar)</w:t>
            </w:r>
            <w:r w:rsidRPr="0055515A">
              <w:rPr>
                <w:rFonts w:ascii="Times New Roman" w:eastAsia="Times New Roman" w:hAnsi="Times New Roman" w:cs="Times New Roman"/>
                <w:b/>
                <w:bCs/>
                <w:color w:val="000000"/>
                <w:kern w:val="0"/>
                <w:lang w:eastAsia="tr-TR"/>
                <w14:ligatures w14:val="none"/>
              </w:rPr>
              <w:t xml:space="preserve"> boyaları ile boyama tekniği</w:t>
            </w:r>
          </w:p>
          <w:p w14:paraId="3DA9DAA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38374BE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324DCD26" w14:textId="77777777" w:rsidTr="00541520">
        <w:trPr>
          <w:trHeight w:val="320"/>
        </w:trPr>
        <w:tc>
          <w:tcPr>
            <w:tcW w:w="2122" w:type="dxa"/>
            <w:shd w:val="clear" w:color="auto" w:fill="auto"/>
            <w:noWrap/>
            <w:vAlign w:val="bottom"/>
            <w:hideMark/>
          </w:tcPr>
          <w:p w14:paraId="1D7D4B97"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 Kükürt bazlı indirgeme ajanlarının minimizasyonu</w:t>
            </w:r>
          </w:p>
        </w:tc>
        <w:tc>
          <w:tcPr>
            <w:tcW w:w="4242" w:type="dxa"/>
            <w:shd w:val="clear" w:color="auto" w:fill="auto"/>
            <w:noWrap/>
            <w:vAlign w:val="bottom"/>
            <w:hideMark/>
          </w:tcPr>
          <w:p w14:paraId="6AC9A84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Boyama, sodyum sülfür veya hidro sülfat gibi indirgeme ajanları kullanılmadan gerçekleştirilir. Bu mümkün değilse, kısmen kimyasal olarak önceden indirgenmiş boyalar (örneğin, indigo boyaları) kullanılarak boyama için daha az sodyum sülfür veya hidro sülfat eklenir.</w:t>
            </w:r>
          </w:p>
        </w:tc>
        <w:tc>
          <w:tcPr>
            <w:tcW w:w="2696" w:type="dxa"/>
            <w:shd w:val="clear" w:color="auto" w:fill="auto"/>
            <w:noWrap/>
            <w:vAlign w:val="bottom"/>
            <w:hideMark/>
          </w:tcPr>
          <w:p w14:paraId="554AD15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Uygulama, ürün spesifikasyonları ile sınırlı olabilir (örneğin ton).</w:t>
            </w:r>
          </w:p>
        </w:tc>
      </w:tr>
      <w:tr w:rsidR="0055515A" w:rsidRPr="0055515A" w14:paraId="54573567" w14:textId="77777777" w:rsidTr="00541520">
        <w:trPr>
          <w:trHeight w:val="320"/>
        </w:trPr>
        <w:tc>
          <w:tcPr>
            <w:tcW w:w="9060" w:type="dxa"/>
            <w:gridSpan w:val="3"/>
            <w:shd w:val="clear" w:color="auto" w:fill="auto"/>
            <w:noWrap/>
            <w:vAlign w:val="bottom"/>
            <w:hideMark/>
          </w:tcPr>
          <w:p w14:paraId="6DC3FCC6"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Vat</w:t>
            </w:r>
            <w:r w:rsidR="00F83572">
              <w:rPr>
                <w:rFonts w:ascii="Times New Roman" w:eastAsia="Times New Roman" w:hAnsi="Times New Roman" w:cs="Times New Roman"/>
                <w:b/>
                <w:bCs/>
                <w:color w:val="000000"/>
                <w:kern w:val="0"/>
                <w:lang w:eastAsia="tr-TR"/>
                <w14:ligatures w14:val="none"/>
              </w:rPr>
              <w:t xml:space="preserve"> </w:t>
            </w:r>
            <w:r w:rsidRPr="0055515A">
              <w:rPr>
                <w:rFonts w:ascii="Times New Roman" w:eastAsia="Times New Roman" w:hAnsi="Times New Roman" w:cs="Times New Roman"/>
                <w:b/>
                <w:bCs/>
                <w:color w:val="000000"/>
                <w:kern w:val="0"/>
                <w:lang w:eastAsia="tr-TR"/>
                <w14:ligatures w14:val="none"/>
              </w:rPr>
              <w:t>boyaları ile sürekli boyama tekniği</w:t>
            </w:r>
          </w:p>
          <w:p w14:paraId="12C52D3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316394F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16EBCFED" w14:textId="77777777" w:rsidTr="00541520">
        <w:trPr>
          <w:trHeight w:val="320"/>
        </w:trPr>
        <w:tc>
          <w:tcPr>
            <w:tcW w:w="2122" w:type="dxa"/>
            <w:shd w:val="clear" w:color="auto" w:fill="auto"/>
            <w:noWrap/>
            <w:vAlign w:val="bottom"/>
            <w:hideMark/>
          </w:tcPr>
          <w:p w14:paraId="30A8908D"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b</w:t>
            </w:r>
            <w:r w:rsidRPr="008679D6">
              <w:rPr>
                <w:rFonts w:ascii="Times New Roman" w:eastAsia="Times New Roman" w:hAnsi="Times New Roman" w:cs="Times New Roman"/>
                <w:bCs/>
                <w:color w:val="000000"/>
                <w:kern w:val="0"/>
                <w:lang w:eastAsia="tr-TR"/>
                <w14:ligatures w14:val="none"/>
              </w:rPr>
              <w:t xml:space="preserve">. </w:t>
            </w:r>
            <w:r w:rsidR="006D7656" w:rsidRPr="008679D6">
              <w:rPr>
                <w:rFonts w:ascii="Times New Roman" w:eastAsia="Times New Roman" w:hAnsi="Times New Roman" w:cs="Times New Roman"/>
                <w:bCs/>
                <w:color w:val="000000"/>
                <w:kern w:val="0"/>
                <w:lang w:eastAsia="tr-TR"/>
                <w14:ligatures w14:val="none"/>
              </w:rPr>
              <w:t xml:space="preserve">vat  </w:t>
            </w:r>
            <w:r w:rsidRPr="008679D6">
              <w:rPr>
                <w:rFonts w:ascii="Times New Roman" w:eastAsia="Times New Roman" w:hAnsi="Times New Roman" w:cs="Times New Roman"/>
                <w:bCs/>
                <w:color w:val="000000"/>
                <w:kern w:val="0"/>
                <w:lang w:eastAsia="tr-TR"/>
                <w14:ligatures w14:val="none"/>
              </w:rPr>
              <w:t>boya maddesinin seçimi</w:t>
            </w:r>
          </w:p>
        </w:tc>
        <w:tc>
          <w:tcPr>
            <w:tcW w:w="4242" w:type="dxa"/>
            <w:shd w:val="clear" w:color="auto" w:fill="auto"/>
            <w:noWrap/>
            <w:vAlign w:val="bottom"/>
            <w:hideMark/>
          </w:tcPr>
          <w:p w14:paraId="4DBE4CC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Tekstil kullanım aşamasında emisyona neden olmayan vat boyaları seçilir. Boyama işleminde daha az veya hiç buharlaştırma, oksidasyon ve yıkama gerektirmeyen yardımcılar (örneğin poligliseroller) kullanılır ve uygun renk dayanıklılığı sağlanır.</w:t>
            </w:r>
          </w:p>
        </w:tc>
        <w:tc>
          <w:tcPr>
            <w:tcW w:w="2696" w:type="dxa"/>
            <w:shd w:val="clear" w:color="auto" w:fill="auto"/>
            <w:noWrap/>
            <w:vAlign w:val="bottom"/>
            <w:hideMark/>
          </w:tcPr>
          <w:p w14:paraId="1894938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Koyu tonlarda boyama için uygulanamayabilir.</w:t>
            </w:r>
          </w:p>
        </w:tc>
      </w:tr>
      <w:tr w:rsidR="0055515A" w:rsidRPr="0055515A" w14:paraId="2E98601A" w14:textId="77777777" w:rsidTr="00541520">
        <w:trPr>
          <w:trHeight w:val="320"/>
        </w:trPr>
        <w:tc>
          <w:tcPr>
            <w:tcW w:w="9060" w:type="dxa"/>
            <w:gridSpan w:val="3"/>
            <w:shd w:val="clear" w:color="auto" w:fill="auto"/>
            <w:noWrap/>
            <w:vAlign w:val="bottom"/>
            <w:hideMark/>
          </w:tcPr>
          <w:p w14:paraId="6F946793"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Reaktif boyalarla boyama teknikleri</w:t>
            </w:r>
          </w:p>
          <w:p w14:paraId="2B56604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p w14:paraId="2BB735D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78D9C95A" w14:textId="77777777" w:rsidTr="00541520">
        <w:trPr>
          <w:trHeight w:val="320"/>
        </w:trPr>
        <w:tc>
          <w:tcPr>
            <w:tcW w:w="2122" w:type="dxa"/>
            <w:shd w:val="clear" w:color="auto" w:fill="auto"/>
            <w:noWrap/>
            <w:vAlign w:val="bottom"/>
            <w:hideMark/>
          </w:tcPr>
          <w:p w14:paraId="26ABA2BC"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c. Poli-fonksiyonel reaktif boyaların kullanımı</w:t>
            </w:r>
          </w:p>
        </w:tc>
        <w:tc>
          <w:tcPr>
            <w:tcW w:w="4242" w:type="dxa"/>
            <w:shd w:val="clear" w:color="auto" w:fill="auto"/>
            <w:noWrap/>
            <w:vAlign w:val="bottom"/>
            <w:hideMark/>
          </w:tcPr>
          <w:p w14:paraId="218EBF3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Birden fazla reaktif fonksiyonel gruba sahip poli-fonksiyonel reaktif boyalar, egzoz boyamada yüksek seviyede fikse sağlamak için kullanılır.</w:t>
            </w:r>
          </w:p>
        </w:tc>
        <w:tc>
          <w:tcPr>
            <w:tcW w:w="2696" w:type="dxa"/>
            <w:shd w:val="clear" w:color="auto" w:fill="auto"/>
            <w:noWrap/>
            <w:vAlign w:val="bottom"/>
            <w:hideMark/>
          </w:tcPr>
          <w:p w14:paraId="7C4B892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Genelde uygulanabilir.</w:t>
            </w:r>
          </w:p>
        </w:tc>
      </w:tr>
      <w:tr w:rsidR="0055515A" w:rsidRPr="0055515A" w14:paraId="435BE228" w14:textId="77777777" w:rsidTr="00541520">
        <w:trPr>
          <w:trHeight w:val="320"/>
        </w:trPr>
        <w:tc>
          <w:tcPr>
            <w:tcW w:w="2122" w:type="dxa"/>
            <w:shd w:val="clear" w:color="auto" w:fill="auto"/>
            <w:noWrap/>
            <w:vAlign w:val="bottom"/>
            <w:hideMark/>
          </w:tcPr>
          <w:p w14:paraId="560E6B6B"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lastRenderedPageBreak/>
              <w:t xml:space="preserve">d. Soğuk  </w:t>
            </w:r>
            <w:r w:rsidR="00A5568B" w:rsidRPr="008679D6">
              <w:rPr>
                <w:rFonts w:ascii="Times New Roman" w:eastAsia="Times New Roman" w:hAnsi="Times New Roman" w:cs="Times New Roman"/>
                <w:bCs/>
                <w:color w:val="000000"/>
                <w:kern w:val="0"/>
                <w:lang w:eastAsia="tr-TR"/>
                <w14:ligatures w14:val="none"/>
              </w:rPr>
              <w:t>pad-ba</w:t>
            </w:r>
            <w:r w:rsidR="008A0C89" w:rsidRPr="008679D6">
              <w:rPr>
                <w:rFonts w:ascii="Times New Roman" w:eastAsia="Times New Roman" w:hAnsi="Times New Roman" w:cs="Times New Roman"/>
                <w:bCs/>
                <w:color w:val="000000"/>
                <w:kern w:val="0"/>
                <w:lang w:eastAsia="tr-TR"/>
                <w14:ligatures w14:val="none"/>
              </w:rPr>
              <w:t xml:space="preserve">tch </w:t>
            </w:r>
            <w:r w:rsidRPr="008679D6">
              <w:rPr>
                <w:rFonts w:ascii="Times New Roman" w:eastAsia="Times New Roman" w:hAnsi="Times New Roman" w:cs="Times New Roman"/>
                <w:bCs/>
                <w:color w:val="000000"/>
                <w:kern w:val="0"/>
                <w:lang w:eastAsia="tr-TR"/>
                <w14:ligatures w14:val="none"/>
              </w:rPr>
              <w:t>boyama</w:t>
            </w:r>
          </w:p>
        </w:tc>
        <w:tc>
          <w:tcPr>
            <w:tcW w:w="4242" w:type="dxa"/>
            <w:shd w:val="clear" w:color="auto" w:fill="auto"/>
            <w:noWrap/>
            <w:vAlign w:val="bottom"/>
            <w:hideMark/>
          </w:tcPr>
          <w:p w14:paraId="023BCD1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Boyama, soğuk boyama tekniği ile yapılır (Bkz. Bölüm 1.9.4).</w:t>
            </w:r>
          </w:p>
        </w:tc>
        <w:tc>
          <w:tcPr>
            <w:tcW w:w="2696" w:type="dxa"/>
            <w:shd w:val="clear" w:color="auto" w:fill="auto"/>
            <w:noWrap/>
            <w:vAlign w:val="bottom"/>
            <w:hideMark/>
          </w:tcPr>
          <w:p w14:paraId="4B38212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Genelde uygulanabilir.</w:t>
            </w:r>
          </w:p>
        </w:tc>
      </w:tr>
      <w:tr w:rsidR="0055515A" w:rsidRPr="0055515A" w14:paraId="257118BF" w14:textId="77777777" w:rsidTr="00541520">
        <w:trPr>
          <w:trHeight w:val="320"/>
        </w:trPr>
        <w:tc>
          <w:tcPr>
            <w:tcW w:w="2122" w:type="dxa"/>
            <w:shd w:val="clear" w:color="auto" w:fill="auto"/>
            <w:noWrap/>
            <w:vAlign w:val="bottom"/>
            <w:hideMark/>
          </w:tcPr>
          <w:p w14:paraId="36FFE9FB"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e. Optimize edilmiş durulama</w:t>
            </w:r>
          </w:p>
        </w:tc>
        <w:tc>
          <w:tcPr>
            <w:tcW w:w="4242" w:type="dxa"/>
            <w:shd w:val="clear" w:color="auto" w:fill="auto"/>
            <w:noWrap/>
            <w:vAlign w:val="bottom"/>
            <w:hideMark/>
          </w:tcPr>
          <w:p w14:paraId="12C006A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Reaktif boyalarla boyamadan sonra durulama, yüksek sıcaklıkta (örneğin, 95 °C'ye kadar) ve deterjan kullanılmadan yapılır. Durulama suyunun ısısı geri kazanılır (Bkz. MET 11 (i)).</w:t>
            </w:r>
          </w:p>
        </w:tc>
        <w:tc>
          <w:tcPr>
            <w:tcW w:w="2696" w:type="dxa"/>
            <w:shd w:val="clear" w:color="auto" w:fill="auto"/>
            <w:noWrap/>
            <w:vAlign w:val="bottom"/>
            <w:hideMark/>
          </w:tcPr>
          <w:p w14:paraId="6BCCA8B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Genelde uygulanabilir.</w:t>
            </w:r>
          </w:p>
        </w:tc>
      </w:tr>
      <w:tr w:rsidR="0055515A" w:rsidRPr="0055515A" w14:paraId="4605D260" w14:textId="77777777" w:rsidTr="00541520">
        <w:trPr>
          <w:trHeight w:val="459"/>
        </w:trPr>
        <w:tc>
          <w:tcPr>
            <w:tcW w:w="9060" w:type="dxa"/>
            <w:gridSpan w:val="3"/>
            <w:shd w:val="clear" w:color="auto" w:fill="auto"/>
            <w:noWrap/>
            <w:vAlign w:val="bottom"/>
            <w:hideMark/>
          </w:tcPr>
          <w:p w14:paraId="7ECF2DED"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Reaktif boyalarla sürekli boyama teknikleri</w:t>
            </w:r>
          </w:p>
          <w:p w14:paraId="6D21D56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1A2CEF22" w14:textId="77777777" w:rsidTr="00541520">
        <w:trPr>
          <w:trHeight w:val="320"/>
        </w:trPr>
        <w:tc>
          <w:tcPr>
            <w:tcW w:w="2122" w:type="dxa"/>
            <w:shd w:val="clear" w:color="auto" w:fill="auto"/>
            <w:noWrap/>
            <w:vAlign w:val="bottom"/>
            <w:hideMark/>
          </w:tcPr>
          <w:p w14:paraId="686478A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f. Konsantre alkali çözeltisi kullanımı</w:t>
            </w:r>
          </w:p>
        </w:tc>
        <w:tc>
          <w:tcPr>
            <w:tcW w:w="4242" w:type="dxa"/>
            <w:shd w:val="clear" w:color="auto" w:fill="auto"/>
            <w:noWrap/>
            <w:vAlign w:val="bottom"/>
            <w:hideMark/>
          </w:tcPr>
          <w:p w14:paraId="71748476"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Soğuk boyamada (Bkz. Bölüm 1.9.4), boyaların fikse edilmesi için sodyum silikat içermeyen konsantre alkali çözeltileri kullanılır.</w:t>
            </w:r>
          </w:p>
        </w:tc>
        <w:tc>
          <w:tcPr>
            <w:tcW w:w="2696" w:type="dxa"/>
            <w:shd w:val="clear" w:color="auto" w:fill="auto"/>
            <w:noWrap/>
            <w:vAlign w:val="bottom"/>
            <w:hideMark/>
          </w:tcPr>
          <w:p w14:paraId="1E0AAA1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Koyu tonlarda boyama için uygulanamayabilir.</w:t>
            </w:r>
          </w:p>
        </w:tc>
      </w:tr>
      <w:tr w:rsidR="0055515A" w:rsidRPr="0055515A" w14:paraId="015F8D3F" w14:textId="77777777" w:rsidTr="00541520">
        <w:trPr>
          <w:trHeight w:val="320"/>
        </w:trPr>
        <w:tc>
          <w:tcPr>
            <w:tcW w:w="2122" w:type="dxa"/>
            <w:shd w:val="clear" w:color="auto" w:fill="auto"/>
            <w:noWrap/>
            <w:vAlign w:val="bottom"/>
            <w:hideMark/>
          </w:tcPr>
          <w:p w14:paraId="48DEA199"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g. Reaktif boyaların buharla fikse edilmesi</w:t>
            </w:r>
          </w:p>
        </w:tc>
        <w:tc>
          <w:tcPr>
            <w:tcW w:w="4242" w:type="dxa"/>
            <w:shd w:val="clear" w:color="auto" w:fill="auto"/>
            <w:noWrap/>
            <w:vAlign w:val="bottom"/>
            <w:hideMark/>
          </w:tcPr>
          <w:p w14:paraId="1FEA57E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Reaktif boyalar, kimyasal kullanımı önleyerek buharla fikse edilir.</w:t>
            </w:r>
          </w:p>
        </w:tc>
        <w:tc>
          <w:tcPr>
            <w:tcW w:w="2696" w:type="dxa"/>
            <w:shd w:val="clear" w:color="auto" w:fill="auto"/>
            <w:noWrap/>
            <w:vAlign w:val="bottom"/>
            <w:hideMark/>
          </w:tcPr>
          <w:p w14:paraId="7C3B134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Uygulama, tekstil malzemelerinin özellikleri ve ürün spesifikasyonları (örneğin polyester/penye karışımlarının yüksek kaliteli boyaması) ile sınırlı olabilir.</w:t>
            </w:r>
          </w:p>
        </w:tc>
      </w:tr>
    </w:tbl>
    <w:p w14:paraId="49BA6681" w14:textId="77777777" w:rsidR="0055515A" w:rsidRPr="0055515A" w:rsidRDefault="0055515A" w:rsidP="0055515A">
      <w:pPr>
        <w:spacing w:after="120" w:line="360" w:lineRule="auto"/>
        <w:rPr>
          <w:rFonts w:ascii="Times New Roman" w:eastAsia="Times New Roman" w:hAnsi="Times New Roman" w:cs="Times New Roman"/>
          <w:b/>
          <w:bCs/>
          <w:color w:val="000000"/>
          <w:kern w:val="0"/>
          <w:sz w:val="24"/>
          <w:szCs w:val="24"/>
          <w:lang w:eastAsia="tr-TR"/>
          <w14:ligatures w14:val="none"/>
        </w:rPr>
      </w:pPr>
    </w:p>
    <w:p w14:paraId="0EFB3AAF" w14:textId="77777777" w:rsidR="0055515A" w:rsidRPr="0055515A" w:rsidRDefault="0055515A" w:rsidP="0055515A">
      <w:pPr>
        <w:spacing w:after="120" w:line="36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42 - </w:t>
      </w:r>
      <w:r w:rsidRPr="0055515A">
        <w:rPr>
          <w:rFonts w:ascii="Times New Roman" w:eastAsia="Times New Roman" w:hAnsi="Times New Roman" w:cs="Times New Roman"/>
          <w:color w:val="000000"/>
          <w:kern w:val="0"/>
          <w:sz w:val="24"/>
          <w:szCs w:val="24"/>
          <w:lang w:eastAsia="tr-TR"/>
          <w14:ligatures w14:val="none"/>
        </w:rPr>
        <w:t>Yün boyamasından suya yapılan emisyonları azaltmak için, aşağıdaki tekniklerden biri, öncelik sırasına göre kullanılmalıdır:</w:t>
      </w:r>
    </w:p>
    <w:tbl>
      <w:tblPr>
        <w:tblW w:w="9062" w:type="dxa"/>
        <w:tblCellMar>
          <w:left w:w="70" w:type="dxa"/>
          <w:right w:w="70" w:type="dxa"/>
        </w:tblCellMar>
        <w:tblLook w:val="04A0" w:firstRow="1" w:lastRow="0" w:firstColumn="1" w:lastColumn="0" w:noHBand="0" w:noVBand="1"/>
      </w:tblPr>
      <w:tblGrid>
        <w:gridCol w:w="2112"/>
        <w:gridCol w:w="5588"/>
        <w:gridCol w:w="1362"/>
      </w:tblGrid>
      <w:tr w:rsidR="0055515A" w:rsidRPr="0055515A" w14:paraId="070281B7" w14:textId="77777777" w:rsidTr="0082590D">
        <w:trPr>
          <w:trHeight w:val="32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070604"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5617" w:type="dxa"/>
            <w:tcBorders>
              <w:top w:val="single" w:sz="4" w:space="0" w:color="auto"/>
              <w:left w:val="nil"/>
              <w:bottom w:val="single" w:sz="4" w:space="0" w:color="auto"/>
              <w:right w:val="single" w:sz="4" w:space="0" w:color="auto"/>
            </w:tcBorders>
            <w:shd w:val="clear" w:color="auto" w:fill="auto"/>
            <w:noWrap/>
            <w:vAlign w:val="bottom"/>
            <w:hideMark/>
          </w:tcPr>
          <w:p w14:paraId="437EBB5E"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14:paraId="6FE6DEE9"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Uygulama Alanı</w:t>
            </w:r>
          </w:p>
        </w:tc>
      </w:tr>
      <w:tr w:rsidR="0055515A" w:rsidRPr="0055515A" w14:paraId="09B63E87" w14:textId="77777777" w:rsidTr="0082590D">
        <w:trPr>
          <w:trHeight w:val="32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63700B5"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 Optimize edilmiş reaktif boyama</w:t>
            </w:r>
          </w:p>
        </w:tc>
        <w:tc>
          <w:tcPr>
            <w:tcW w:w="5617" w:type="dxa"/>
            <w:tcBorders>
              <w:top w:val="nil"/>
              <w:left w:val="nil"/>
              <w:bottom w:val="single" w:sz="4" w:space="0" w:color="auto"/>
              <w:right w:val="single" w:sz="4" w:space="0" w:color="auto"/>
            </w:tcBorders>
            <w:shd w:val="clear" w:color="auto" w:fill="auto"/>
            <w:noWrap/>
            <w:vAlign w:val="bottom"/>
            <w:hideMark/>
          </w:tcPr>
          <w:p w14:paraId="0722CE3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Yün boyama, krom mordantı kullanılmadan reaktif boyalarla yapılır.</w:t>
            </w:r>
          </w:p>
        </w:tc>
        <w:tc>
          <w:tcPr>
            <w:tcW w:w="1323" w:type="dxa"/>
            <w:tcBorders>
              <w:top w:val="nil"/>
              <w:left w:val="nil"/>
              <w:bottom w:val="single" w:sz="4" w:space="0" w:color="auto"/>
              <w:right w:val="single" w:sz="4" w:space="0" w:color="auto"/>
            </w:tcBorders>
            <w:shd w:val="clear" w:color="auto" w:fill="auto"/>
            <w:noWrap/>
            <w:vAlign w:val="bottom"/>
            <w:hideMark/>
          </w:tcPr>
          <w:p w14:paraId="5D4DB8C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Genelde uygulanabilir.</w:t>
            </w:r>
          </w:p>
        </w:tc>
      </w:tr>
      <w:tr w:rsidR="0055515A" w:rsidRPr="0055515A" w14:paraId="35124EA9" w14:textId="77777777" w:rsidTr="0082590D">
        <w:trPr>
          <w:trHeight w:val="32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F89762B"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 Optimize edilmiş metal-kompleks boyama</w:t>
            </w:r>
          </w:p>
        </w:tc>
        <w:tc>
          <w:tcPr>
            <w:tcW w:w="5617" w:type="dxa"/>
            <w:tcBorders>
              <w:top w:val="nil"/>
              <w:left w:val="nil"/>
              <w:bottom w:val="single" w:sz="4" w:space="0" w:color="auto"/>
              <w:right w:val="single" w:sz="4" w:space="0" w:color="auto"/>
            </w:tcBorders>
            <w:shd w:val="clear" w:color="auto" w:fill="auto"/>
            <w:noWrap/>
            <w:vAlign w:val="bottom"/>
            <w:hideMark/>
          </w:tcPr>
          <w:p w14:paraId="4787212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Boyama, metal-kompleks boyalarla, boyama sıvısının tükenmesi ve boyaların fiksasyonunun artırılması amacıyla pH, yardımcı maddeler ve asit açısından optimize edilmiş koşullarda yapılır.</w:t>
            </w:r>
          </w:p>
        </w:tc>
        <w:tc>
          <w:tcPr>
            <w:tcW w:w="1323" w:type="dxa"/>
            <w:tcBorders>
              <w:top w:val="nil"/>
              <w:left w:val="nil"/>
              <w:bottom w:val="single" w:sz="4" w:space="0" w:color="auto"/>
              <w:right w:val="single" w:sz="4" w:space="0" w:color="auto"/>
            </w:tcBorders>
            <w:shd w:val="clear" w:color="auto" w:fill="auto"/>
            <w:noWrap/>
            <w:vAlign w:val="bottom"/>
            <w:hideMark/>
          </w:tcPr>
          <w:p w14:paraId="260F53E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Koyu tonlarla boyama için uygun olmayabilir.</w:t>
            </w:r>
          </w:p>
        </w:tc>
      </w:tr>
      <w:tr w:rsidR="0055515A" w:rsidRPr="0055515A" w14:paraId="2E04A3A0" w14:textId="77777777" w:rsidTr="0082590D">
        <w:trPr>
          <w:trHeight w:val="32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A607466"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c. Kromatların minimize edilmesi</w:t>
            </w:r>
          </w:p>
        </w:tc>
        <w:tc>
          <w:tcPr>
            <w:tcW w:w="5617" w:type="dxa"/>
            <w:tcBorders>
              <w:top w:val="nil"/>
              <w:left w:val="nil"/>
              <w:bottom w:val="single" w:sz="4" w:space="0" w:color="auto"/>
              <w:right w:val="single" w:sz="4" w:space="0" w:color="auto"/>
            </w:tcBorders>
            <w:shd w:val="clear" w:color="auto" w:fill="auto"/>
            <w:noWrap/>
            <w:vAlign w:val="bottom"/>
            <w:hideMark/>
          </w:tcPr>
          <w:p w14:paraId="015E401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Sodyum veya potasyum dikromatın mordant olarak kullanılmasına izin verildiğinde, dikromatlar, yünün aldığı boya miktarına göre dozlanır. Boyama parametreleri (örneğin pH ve boyama sıvısının sıcaklığı), boyama sıvısının mümkün olduğunca tükenmesini sağlamak için optimize edilir.</w:t>
            </w:r>
          </w:p>
        </w:tc>
        <w:tc>
          <w:tcPr>
            <w:tcW w:w="1323" w:type="dxa"/>
            <w:tcBorders>
              <w:top w:val="nil"/>
              <w:left w:val="nil"/>
              <w:bottom w:val="single" w:sz="4" w:space="0" w:color="auto"/>
              <w:right w:val="single" w:sz="4" w:space="0" w:color="auto"/>
            </w:tcBorders>
            <w:shd w:val="clear" w:color="auto" w:fill="auto"/>
            <w:noWrap/>
            <w:vAlign w:val="bottom"/>
            <w:hideMark/>
          </w:tcPr>
          <w:p w14:paraId="17CCFCA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Genelde uygulanabilir.</w:t>
            </w:r>
          </w:p>
        </w:tc>
      </w:tr>
    </w:tbl>
    <w:p w14:paraId="03060F20" w14:textId="77777777" w:rsidR="0055515A" w:rsidRPr="0055515A" w:rsidRDefault="0055515A" w:rsidP="0055515A">
      <w:pPr>
        <w:spacing w:after="120" w:line="360" w:lineRule="auto"/>
        <w:rPr>
          <w:rFonts w:ascii="Times New Roman" w:eastAsia="Times New Roman" w:hAnsi="Times New Roman" w:cs="Times New Roman"/>
          <w:b/>
          <w:bCs/>
          <w:color w:val="000000"/>
          <w:kern w:val="0"/>
          <w:sz w:val="24"/>
          <w:szCs w:val="24"/>
          <w:lang w:eastAsia="tr-TR"/>
          <w14:ligatures w14:val="none"/>
        </w:rPr>
      </w:pPr>
    </w:p>
    <w:p w14:paraId="1A7F003A" w14:textId="77777777" w:rsidR="0055515A" w:rsidRPr="0055515A" w:rsidRDefault="0055515A" w:rsidP="0055515A">
      <w:pPr>
        <w:spacing w:after="120" w:line="36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 43.</w:t>
      </w:r>
      <w:r w:rsidRPr="0055515A">
        <w:rPr>
          <w:rFonts w:ascii="Times New Roman" w:eastAsia="Times New Roman" w:hAnsi="Times New Roman" w:cs="Times New Roman"/>
          <w:color w:val="000000"/>
          <w:kern w:val="0"/>
          <w:sz w:val="24"/>
          <w:szCs w:val="24"/>
          <w:lang w:eastAsia="tr-TR"/>
          <w14:ligatures w14:val="none"/>
        </w:rPr>
        <w:t> Dispers boyalarla polyester boyama işlemlerinde suya emisyonları azaltmak için, aşağıdaki tekniklerden biri veya bir kombinasyonu kullanılmalıdır.</w:t>
      </w:r>
    </w:p>
    <w:tbl>
      <w:tblPr>
        <w:tblW w:w="9060" w:type="dxa"/>
        <w:tblCellMar>
          <w:left w:w="70" w:type="dxa"/>
          <w:right w:w="70" w:type="dxa"/>
        </w:tblCellMar>
        <w:tblLook w:val="04A0" w:firstRow="1" w:lastRow="0" w:firstColumn="1" w:lastColumn="0" w:noHBand="0" w:noVBand="1"/>
      </w:tblPr>
      <w:tblGrid>
        <w:gridCol w:w="2062"/>
        <w:gridCol w:w="3707"/>
        <w:gridCol w:w="3291"/>
      </w:tblGrid>
      <w:tr w:rsidR="0055515A" w:rsidRPr="0055515A" w14:paraId="357FFD6A" w14:textId="77777777" w:rsidTr="0024730D">
        <w:trPr>
          <w:trHeight w:val="320"/>
        </w:trPr>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878B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3707" w:type="dxa"/>
            <w:tcBorders>
              <w:top w:val="single" w:sz="4" w:space="0" w:color="auto"/>
              <w:left w:val="nil"/>
              <w:bottom w:val="single" w:sz="4" w:space="0" w:color="auto"/>
              <w:right w:val="single" w:sz="4" w:space="0" w:color="auto"/>
            </w:tcBorders>
            <w:shd w:val="clear" w:color="auto" w:fill="auto"/>
            <w:noWrap/>
            <w:vAlign w:val="bottom"/>
            <w:hideMark/>
          </w:tcPr>
          <w:p w14:paraId="327CE4A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3291" w:type="dxa"/>
            <w:tcBorders>
              <w:top w:val="single" w:sz="4" w:space="0" w:color="auto"/>
              <w:left w:val="nil"/>
              <w:bottom w:val="single" w:sz="4" w:space="0" w:color="auto"/>
              <w:right w:val="single" w:sz="4" w:space="0" w:color="auto"/>
            </w:tcBorders>
            <w:shd w:val="clear" w:color="auto" w:fill="auto"/>
            <w:noWrap/>
            <w:vAlign w:val="bottom"/>
            <w:hideMark/>
          </w:tcPr>
          <w:p w14:paraId="7C5DCC9F"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77908D4D" w14:textId="77777777" w:rsidTr="0024730D">
        <w:trPr>
          <w:trHeight w:val="320"/>
        </w:trPr>
        <w:tc>
          <w:tcPr>
            <w:tcW w:w="2062" w:type="dxa"/>
            <w:tcBorders>
              <w:top w:val="nil"/>
              <w:left w:val="single" w:sz="4" w:space="0" w:color="auto"/>
              <w:bottom w:val="single" w:sz="4" w:space="0" w:color="auto"/>
              <w:right w:val="single" w:sz="4" w:space="0" w:color="auto"/>
            </w:tcBorders>
            <w:shd w:val="clear" w:color="auto" w:fill="auto"/>
            <w:noWrap/>
            <w:vAlign w:val="bottom"/>
            <w:hideMark/>
          </w:tcPr>
          <w:p w14:paraId="0A29A14E"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 Boya taşıyıcıları olmadan kesikli boyama</w:t>
            </w:r>
          </w:p>
        </w:tc>
        <w:tc>
          <w:tcPr>
            <w:tcW w:w="3707" w:type="dxa"/>
            <w:tcBorders>
              <w:top w:val="nil"/>
              <w:left w:val="nil"/>
              <w:bottom w:val="single" w:sz="4" w:space="0" w:color="auto"/>
              <w:right w:val="single" w:sz="4" w:space="0" w:color="auto"/>
            </w:tcBorders>
            <w:shd w:val="clear" w:color="auto" w:fill="auto"/>
            <w:noWrap/>
            <w:vAlign w:val="bottom"/>
            <w:hideMark/>
          </w:tcPr>
          <w:p w14:paraId="7A1DDFF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Polyester ve yün içermeyen polyester karışımlarının kesikli boyaması, yüksek sıcaklıkta (örneğin 130 °C) boya taşıyıcıları kullanılmadan yapılır.</w:t>
            </w:r>
          </w:p>
        </w:tc>
        <w:tc>
          <w:tcPr>
            <w:tcW w:w="3291" w:type="dxa"/>
            <w:vMerge w:val="restart"/>
            <w:tcBorders>
              <w:top w:val="nil"/>
              <w:left w:val="nil"/>
              <w:right w:val="single" w:sz="4" w:space="0" w:color="auto"/>
            </w:tcBorders>
            <w:shd w:val="clear" w:color="auto" w:fill="auto"/>
            <w:noWrap/>
            <w:vAlign w:val="bottom"/>
            <w:hideMark/>
          </w:tcPr>
          <w:p w14:paraId="6726BEA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 olarak uygulanabilir.</w:t>
            </w:r>
          </w:p>
          <w:p w14:paraId="546D137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w:t>
            </w:r>
          </w:p>
        </w:tc>
      </w:tr>
      <w:tr w:rsidR="0055515A" w:rsidRPr="0055515A" w14:paraId="4BC6ECFB" w14:textId="77777777" w:rsidTr="0024730D">
        <w:trPr>
          <w:trHeight w:val="320"/>
        </w:trPr>
        <w:tc>
          <w:tcPr>
            <w:tcW w:w="2062" w:type="dxa"/>
            <w:tcBorders>
              <w:top w:val="nil"/>
              <w:left w:val="single" w:sz="4" w:space="0" w:color="auto"/>
              <w:bottom w:val="single" w:sz="4" w:space="0" w:color="auto"/>
              <w:right w:val="single" w:sz="4" w:space="0" w:color="auto"/>
            </w:tcBorders>
            <w:shd w:val="clear" w:color="auto" w:fill="auto"/>
            <w:noWrap/>
            <w:vAlign w:val="bottom"/>
            <w:hideMark/>
          </w:tcPr>
          <w:p w14:paraId="7F89B157"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 Çevre dostu boya taşıyıcıları kullanımı</w:t>
            </w:r>
          </w:p>
        </w:tc>
        <w:tc>
          <w:tcPr>
            <w:tcW w:w="3707" w:type="dxa"/>
            <w:tcBorders>
              <w:top w:val="nil"/>
              <w:left w:val="nil"/>
              <w:bottom w:val="single" w:sz="4" w:space="0" w:color="auto"/>
              <w:right w:val="single" w:sz="4" w:space="0" w:color="auto"/>
            </w:tcBorders>
            <w:shd w:val="clear" w:color="auto" w:fill="auto"/>
            <w:noWrap/>
            <w:vAlign w:val="bottom"/>
            <w:hideMark/>
          </w:tcPr>
          <w:p w14:paraId="606545D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Polyester-yün karışımlarının kesikli boyaması, klor içermeyen ve biyolojik olarak çözünebilen boya taşıyıcılarıyla yapılır.</w:t>
            </w:r>
          </w:p>
        </w:tc>
        <w:tc>
          <w:tcPr>
            <w:tcW w:w="3291" w:type="dxa"/>
            <w:vMerge/>
            <w:tcBorders>
              <w:left w:val="nil"/>
              <w:bottom w:val="single" w:sz="4" w:space="0" w:color="auto"/>
              <w:right w:val="single" w:sz="4" w:space="0" w:color="auto"/>
            </w:tcBorders>
            <w:shd w:val="clear" w:color="auto" w:fill="auto"/>
            <w:noWrap/>
            <w:vAlign w:val="bottom"/>
            <w:hideMark/>
          </w:tcPr>
          <w:p w14:paraId="2836722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4BE8524F" w14:textId="77777777" w:rsidTr="0024730D">
        <w:trPr>
          <w:trHeight w:val="320"/>
        </w:trPr>
        <w:tc>
          <w:tcPr>
            <w:tcW w:w="2062" w:type="dxa"/>
            <w:tcBorders>
              <w:top w:val="nil"/>
              <w:left w:val="single" w:sz="4" w:space="0" w:color="auto"/>
              <w:bottom w:val="single" w:sz="4" w:space="0" w:color="auto"/>
              <w:right w:val="single" w:sz="4" w:space="0" w:color="auto"/>
            </w:tcBorders>
            <w:shd w:val="clear" w:color="auto" w:fill="auto"/>
            <w:noWrap/>
            <w:vAlign w:val="bottom"/>
            <w:hideMark/>
          </w:tcPr>
          <w:p w14:paraId="297E41B6"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lastRenderedPageBreak/>
              <w:t>c. Kesikli boyamada sabitlenmemiş boyanın optimize edilmiş desorpsiyonu</w:t>
            </w:r>
          </w:p>
        </w:tc>
        <w:tc>
          <w:tcPr>
            <w:tcW w:w="3707" w:type="dxa"/>
            <w:tcBorders>
              <w:top w:val="nil"/>
              <w:left w:val="nil"/>
              <w:bottom w:val="single" w:sz="4" w:space="0" w:color="auto"/>
              <w:right w:val="single" w:sz="4" w:space="0" w:color="auto"/>
            </w:tcBorders>
            <w:shd w:val="clear" w:color="auto" w:fill="auto"/>
            <w:noWrap/>
            <w:vAlign w:val="bottom"/>
            <w:hideMark/>
          </w:tcPr>
          <w:p w14:paraId="6BABA58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Bu, aşağıdakileri içerir: </w:t>
            </w:r>
          </w:p>
          <w:p w14:paraId="32F91D28" w14:textId="77777777" w:rsidR="0055515A" w:rsidRPr="0055515A" w:rsidRDefault="0055515A" w:rsidP="006B15F1">
            <w:pPr>
              <w:numPr>
                <w:ilvl w:val="0"/>
                <w:numId w:val="39"/>
              </w:numPr>
              <w:spacing w:after="200" w:line="276" w:lineRule="auto"/>
              <w:contextualSpacing/>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Karboksilik asit türevlerine dayalı bir desorpsiyon hızlandırıcı kullanmak;</w:t>
            </w:r>
          </w:p>
          <w:p w14:paraId="19E0528A" w14:textId="77777777" w:rsidR="0055515A" w:rsidRPr="0055515A" w:rsidRDefault="0055515A" w:rsidP="006B15F1">
            <w:pPr>
              <w:numPr>
                <w:ilvl w:val="0"/>
                <w:numId w:val="39"/>
              </w:numPr>
              <w:spacing w:after="200" w:line="276" w:lineRule="auto"/>
              <w:contextualSpacing/>
              <w:rPr>
                <w:rFonts w:ascii="Times New Roman" w:eastAsia="Times New Roman" w:hAnsi="Times New Roman" w:cs="Times New Roman"/>
                <w:kern w:val="0"/>
                <w:lang w:eastAsia="tr-TR"/>
                <w14:ligatures w14:val="none"/>
              </w:rPr>
            </w:pPr>
            <w:r w:rsidRPr="0055515A">
              <w:rPr>
                <w:rFonts w:ascii="Times New Roman" w:eastAsia="Times New Roman" w:hAnsi="Times New Roman" w:cs="Times New Roman"/>
                <w:kern w:val="0"/>
                <w:lang w:eastAsia="tr-TR"/>
                <w14:ligatures w14:val="none"/>
              </w:rPr>
              <w:t>Kullanılmış boyama sıvısının asidik koşullarında kullanılabilecek bir indirgeme ajanı kullanmak;</w:t>
            </w:r>
          </w:p>
          <w:p w14:paraId="4DCB24CA" w14:textId="77777777" w:rsidR="0055515A" w:rsidRPr="0055515A" w:rsidRDefault="0055515A" w:rsidP="006B15F1">
            <w:pPr>
              <w:numPr>
                <w:ilvl w:val="0"/>
                <w:numId w:val="39"/>
              </w:numPr>
              <w:spacing w:after="200" w:line="276" w:lineRule="auto"/>
              <w:contextualSpacing/>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kern w:val="0"/>
                <w:lang w:eastAsia="tr-TR"/>
                <w14:ligatures w14:val="none"/>
              </w:rPr>
              <w:t>Alkalin koşullarda hidroloz yoluyla desorbe edilebilen dispers boyalar kullanmak.</w:t>
            </w:r>
          </w:p>
        </w:tc>
        <w:tc>
          <w:tcPr>
            <w:tcW w:w="3291" w:type="dxa"/>
            <w:tcBorders>
              <w:top w:val="nil"/>
              <w:left w:val="nil"/>
              <w:bottom w:val="single" w:sz="4" w:space="0" w:color="auto"/>
              <w:right w:val="single" w:sz="4" w:space="0" w:color="auto"/>
            </w:tcBorders>
            <w:shd w:val="clear" w:color="auto" w:fill="auto"/>
            <w:noWrap/>
            <w:vAlign w:val="bottom"/>
            <w:hideMark/>
          </w:tcPr>
          <w:p w14:paraId="054F3D1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Asidik koşullarda kullanılabilecek bir indirgeme ajanının kullanımı, polyester-elastan karışımları için uygulanabilir olmayabilir. </w:t>
            </w:r>
          </w:p>
        </w:tc>
      </w:tr>
    </w:tbl>
    <w:p w14:paraId="2AAA7332" w14:textId="77777777" w:rsidR="0055515A" w:rsidRPr="0055515A" w:rsidRDefault="0055515A" w:rsidP="0055515A">
      <w:pPr>
        <w:spacing w:after="120" w:line="360" w:lineRule="auto"/>
        <w:rPr>
          <w:rFonts w:ascii="Times New Roman" w:eastAsia="Times New Roman" w:hAnsi="Times New Roman" w:cs="Times New Roman"/>
          <w:b/>
          <w:bCs/>
          <w:color w:val="000000"/>
          <w:kern w:val="0"/>
          <w:sz w:val="24"/>
          <w:szCs w:val="24"/>
          <w:lang w:eastAsia="tr-TR"/>
          <w14:ligatures w14:val="none"/>
        </w:rPr>
      </w:pPr>
    </w:p>
    <w:p w14:paraId="68121E7A" w14:textId="77777777" w:rsidR="0055515A" w:rsidRPr="0055515A" w:rsidRDefault="0055515A" w:rsidP="0055515A">
      <w:pPr>
        <w:spacing w:after="120" w:line="36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1.6. Baskı İçin MET Sonuçları  </w:t>
      </w:r>
    </w:p>
    <w:p w14:paraId="1A281BF1" w14:textId="103DD8F2" w:rsidR="0055515A" w:rsidRPr="0055515A" w:rsidRDefault="0055515A" w:rsidP="0055515A">
      <w:pPr>
        <w:spacing w:after="120" w:line="36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 bölümdeki MET sonuçları, baskı işlemlerine uygulanır ve Bölüm 1.1'deki genel MET s</w:t>
      </w:r>
      <w:r w:rsidR="00EA5A0B">
        <w:rPr>
          <w:rFonts w:ascii="Times New Roman" w:eastAsia="Times New Roman" w:hAnsi="Times New Roman" w:cs="Times New Roman"/>
          <w:color w:val="000000"/>
          <w:kern w:val="0"/>
          <w:sz w:val="24"/>
          <w:szCs w:val="24"/>
          <w:lang w:eastAsia="tr-TR"/>
          <w14:ligatures w14:val="none"/>
        </w:rPr>
        <w:t>o</w:t>
      </w:r>
      <w:r w:rsidRPr="0055515A">
        <w:rPr>
          <w:rFonts w:ascii="Times New Roman" w:eastAsia="Times New Roman" w:hAnsi="Times New Roman" w:cs="Times New Roman"/>
          <w:color w:val="000000"/>
          <w:kern w:val="0"/>
          <w:sz w:val="24"/>
          <w:szCs w:val="24"/>
          <w:lang w:eastAsia="tr-TR"/>
          <w14:ligatures w14:val="none"/>
        </w:rPr>
        <w:t>nuçlarına ek olarak uygulanır.</w:t>
      </w:r>
    </w:p>
    <w:p w14:paraId="097D6D34" w14:textId="77777777" w:rsidR="0055515A" w:rsidRPr="0055515A" w:rsidRDefault="0055515A"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44 - </w:t>
      </w:r>
      <w:r w:rsidRPr="008679D6">
        <w:rPr>
          <w:rFonts w:ascii="Times New Roman" w:eastAsia="Times New Roman" w:hAnsi="Times New Roman" w:cs="Times New Roman"/>
          <w:bCs/>
          <w:color w:val="000000"/>
          <w:kern w:val="0"/>
          <w:sz w:val="24"/>
          <w:szCs w:val="24"/>
          <w:lang w:eastAsia="tr-TR"/>
          <w14:ligatures w14:val="none"/>
        </w:rPr>
        <w:t>Su tüketimini ve atık su oluşumunu azaltmak için MET, baskı (printing) ekipmanının temizliğini optimize etmektir.</w:t>
      </w:r>
      <w:r w:rsidRPr="0055515A">
        <w:rPr>
          <w:rFonts w:ascii="Times New Roman" w:eastAsia="Times New Roman" w:hAnsi="Times New Roman" w:cs="Times New Roman"/>
          <w:b/>
          <w:bCs/>
          <w:color w:val="000000"/>
          <w:kern w:val="0"/>
          <w:sz w:val="24"/>
          <w:szCs w:val="24"/>
          <w:lang w:eastAsia="tr-TR"/>
          <w14:ligatures w14:val="none"/>
        </w:rPr>
        <w:t xml:space="preserve"> </w:t>
      </w:r>
    </w:p>
    <w:p w14:paraId="2BD321EF" w14:textId="77777777" w:rsidR="0055515A" w:rsidRPr="0055515A" w:rsidRDefault="0055515A" w:rsidP="0055515A">
      <w:pPr>
        <w:spacing w:after="120" w:line="24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5DC99095"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Buna şunlar dahildir:</w:t>
      </w:r>
    </w:p>
    <w:p w14:paraId="18BC9E44" w14:textId="77777777" w:rsidR="0055515A" w:rsidRPr="0055515A" w:rsidRDefault="0055515A" w:rsidP="0055515A">
      <w:pPr>
        <w:spacing w:after="120"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baskı patının mekanik olarak çıkarılması;</w:t>
      </w:r>
    </w:p>
    <w:p w14:paraId="17104D07" w14:textId="77777777" w:rsidR="0055515A" w:rsidRPr="0055515A" w:rsidRDefault="0055515A" w:rsidP="0055515A">
      <w:pPr>
        <w:spacing w:after="120"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temizleme suyu kaynağının otomatik olarak başlatılması ve durdurulması; </w:t>
      </w:r>
    </w:p>
    <w:p w14:paraId="6767D377" w14:textId="77777777" w:rsidR="0055515A" w:rsidRPr="0055515A" w:rsidRDefault="0055515A" w:rsidP="0055515A">
      <w:pPr>
        <w:spacing w:after="120" w:line="240" w:lineRule="auto"/>
        <w:ind w:left="720"/>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temizleme suyunun yeniden kullanımı ve/veya geri dönüşümü (bkz. MET 10 (i)).</w:t>
      </w:r>
    </w:p>
    <w:p w14:paraId="4CB08634" w14:textId="0DA04BBD" w:rsidR="0055515A" w:rsidRPr="0055515A" w:rsidRDefault="0055515A" w:rsidP="0055515A">
      <w:pPr>
        <w:spacing w:after="120" w:line="36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45 – </w:t>
      </w:r>
      <w:r w:rsidRPr="008679D6">
        <w:rPr>
          <w:rFonts w:ascii="Times New Roman" w:eastAsia="Times New Roman" w:hAnsi="Times New Roman" w:cs="Times New Roman"/>
          <w:bCs/>
          <w:color w:val="000000"/>
          <w:kern w:val="0"/>
          <w:sz w:val="24"/>
          <w:szCs w:val="24"/>
          <w:lang w:eastAsia="tr-TR"/>
          <w14:ligatures w14:val="none"/>
        </w:rPr>
        <w:t>MET, kaynakları verimli bir şekilde kullanmak için aşağıda verilen tekniklerin bir kombinasyonunu kullanılır.</w:t>
      </w:r>
    </w:p>
    <w:tbl>
      <w:tblPr>
        <w:tblW w:w="9060" w:type="dxa"/>
        <w:tblCellMar>
          <w:left w:w="70" w:type="dxa"/>
          <w:right w:w="70" w:type="dxa"/>
        </w:tblCellMar>
        <w:tblLook w:val="04A0" w:firstRow="1" w:lastRow="0" w:firstColumn="1" w:lastColumn="0" w:noHBand="0" w:noVBand="1"/>
      </w:tblPr>
      <w:tblGrid>
        <w:gridCol w:w="2200"/>
        <w:gridCol w:w="5162"/>
        <w:gridCol w:w="1698"/>
      </w:tblGrid>
      <w:tr w:rsidR="0055515A" w:rsidRPr="0055515A" w14:paraId="5E7E2041" w14:textId="77777777" w:rsidTr="0024730D">
        <w:trPr>
          <w:trHeight w:val="320"/>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95847"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5162" w:type="dxa"/>
            <w:tcBorders>
              <w:top w:val="single" w:sz="4" w:space="0" w:color="auto"/>
              <w:left w:val="nil"/>
              <w:bottom w:val="single" w:sz="4" w:space="0" w:color="auto"/>
              <w:right w:val="single" w:sz="4" w:space="0" w:color="auto"/>
            </w:tcBorders>
            <w:shd w:val="clear" w:color="auto" w:fill="auto"/>
            <w:noWrap/>
            <w:vAlign w:val="bottom"/>
            <w:hideMark/>
          </w:tcPr>
          <w:p w14:paraId="065C580A"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c>
          <w:tcPr>
            <w:tcW w:w="1698" w:type="dxa"/>
            <w:tcBorders>
              <w:top w:val="single" w:sz="4" w:space="0" w:color="auto"/>
              <w:left w:val="nil"/>
              <w:bottom w:val="single" w:sz="4" w:space="0" w:color="auto"/>
              <w:right w:val="single" w:sz="4" w:space="0" w:color="auto"/>
            </w:tcBorders>
            <w:shd w:val="clear" w:color="auto" w:fill="auto"/>
            <w:noWrap/>
            <w:vAlign w:val="bottom"/>
            <w:hideMark/>
          </w:tcPr>
          <w:p w14:paraId="1FAA2C9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Uygulanabilirlik</w:t>
            </w:r>
          </w:p>
        </w:tc>
      </w:tr>
      <w:tr w:rsidR="0055515A" w:rsidRPr="0055515A" w14:paraId="00383735" w14:textId="77777777" w:rsidTr="0024730D">
        <w:trPr>
          <w:trHeight w:val="320"/>
        </w:trPr>
        <w:tc>
          <w:tcPr>
            <w:tcW w:w="906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A857A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Baskı Teknolojisi Seçimi</w:t>
            </w:r>
          </w:p>
        </w:tc>
      </w:tr>
      <w:tr w:rsidR="0055515A" w:rsidRPr="0055515A" w14:paraId="5F946852" w14:textId="77777777" w:rsidTr="0024730D">
        <w:trPr>
          <w:trHeight w:val="32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07AA97F1" w14:textId="77777777" w:rsidR="0055515A" w:rsidRPr="0055515A" w:rsidRDefault="00D046E8"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a-</w:t>
            </w:r>
            <w:r w:rsidR="0055515A" w:rsidRPr="0055515A">
              <w:rPr>
                <w:rFonts w:ascii="Times New Roman" w:eastAsia="Times New Roman" w:hAnsi="Times New Roman" w:cs="Times New Roman"/>
                <w:color w:val="000000"/>
                <w:kern w:val="0"/>
                <w:lang w:eastAsia="tr-TR"/>
                <w14:ligatures w14:val="none"/>
              </w:rPr>
              <w:t>Dijital jet baskı</w:t>
            </w:r>
          </w:p>
        </w:tc>
        <w:tc>
          <w:tcPr>
            <w:tcW w:w="5162" w:type="dxa"/>
            <w:tcBorders>
              <w:top w:val="nil"/>
              <w:left w:val="nil"/>
              <w:bottom w:val="single" w:sz="4" w:space="0" w:color="auto"/>
              <w:right w:val="single" w:sz="4" w:space="0" w:color="auto"/>
            </w:tcBorders>
            <w:shd w:val="clear" w:color="auto" w:fill="auto"/>
            <w:noWrap/>
            <w:vAlign w:val="bottom"/>
            <w:hideMark/>
          </w:tcPr>
          <w:p w14:paraId="3693A80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Tekstil malzemeleri üzerine bilgisayar kontrollü boya enjeksiyonu.</w:t>
            </w:r>
          </w:p>
        </w:tc>
        <w:tc>
          <w:tcPr>
            <w:tcW w:w="1698" w:type="dxa"/>
            <w:vMerge w:val="restart"/>
            <w:tcBorders>
              <w:top w:val="nil"/>
              <w:left w:val="nil"/>
              <w:right w:val="single" w:sz="4" w:space="0" w:color="auto"/>
            </w:tcBorders>
            <w:shd w:val="clear" w:color="auto" w:fill="auto"/>
            <w:noWrap/>
            <w:vAlign w:val="bottom"/>
            <w:hideMark/>
          </w:tcPr>
          <w:p w14:paraId="59A30F7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Sadece yeni tesisler veya büyük tesis yenilemeleri için geçerlidir.</w:t>
            </w:r>
          </w:p>
        </w:tc>
      </w:tr>
      <w:tr w:rsidR="0055515A" w:rsidRPr="0055515A" w14:paraId="7584D1A6" w14:textId="77777777" w:rsidTr="0024730D">
        <w:trPr>
          <w:trHeight w:val="32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5B72FECF" w14:textId="77777777" w:rsidR="0055515A" w:rsidRPr="0055515A" w:rsidRDefault="00D046E8"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b-</w:t>
            </w:r>
            <w:r w:rsidR="0055515A" w:rsidRPr="0055515A">
              <w:rPr>
                <w:rFonts w:ascii="Times New Roman" w:eastAsia="Times New Roman" w:hAnsi="Times New Roman" w:cs="Times New Roman"/>
                <w:color w:val="000000"/>
                <w:kern w:val="0"/>
                <w:lang w:eastAsia="tr-TR"/>
                <w14:ligatures w14:val="none"/>
              </w:rPr>
              <w:t>Sentetik tekstil malzemeleri üzerine transfer baskı</w:t>
            </w:r>
          </w:p>
        </w:tc>
        <w:tc>
          <w:tcPr>
            <w:tcW w:w="5162" w:type="dxa"/>
            <w:tcBorders>
              <w:top w:val="nil"/>
              <w:left w:val="nil"/>
              <w:bottom w:val="single" w:sz="4" w:space="0" w:color="auto"/>
              <w:right w:val="single" w:sz="4" w:space="0" w:color="auto"/>
            </w:tcBorders>
            <w:shd w:val="clear" w:color="auto" w:fill="auto"/>
            <w:noWrap/>
            <w:vAlign w:val="bottom"/>
            <w:hideMark/>
          </w:tcPr>
          <w:p w14:paraId="65A6300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Tasarım önce seçilen dispers boyalar kullanılarak bir ara yüzeye (örneğin kağıt) basılır ve daha sonra yüksek sıcaklık ve basınç uygulanarak kumaşa aktarılır.</w:t>
            </w:r>
          </w:p>
        </w:tc>
        <w:tc>
          <w:tcPr>
            <w:tcW w:w="1698" w:type="dxa"/>
            <w:vMerge/>
            <w:tcBorders>
              <w:left w:val="nil"/>
              <w:bottom w:val="single" w:sz="4" w:space="0" w:color="auto"/>
              <w:right w:val="single" w:sz="4" w:space="0" w:color="auto"/>
            </w:tcBorders>
            <w:shd w:val="clear" w:color="auto" w:fill="auto"/>
            <w:noWrap/>
            <w:vAlign w:val="bottom"/>
            <w:hideMark/>
          </w:tcPr>
          <w:p w14:paraId="338E4F4B"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5A7B3D2E" w14:textId="77777777" w:rsidTr="0024730D">
        <w:trPr>
          <w:trHeight w:val="320"/>
        </w:trPr>
        <w:tc>
          <w:tcPr>
            <w:tcW w:w="906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36BD29B"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Tasarım ve Operasyon Tekniği</w:t>
            </w:r>
          </w:p>
        </w:tc>
      </w:tr>
      <w:tr w:rsidR="0055515A" w:rsidRPr="0055515A" w14:paraId="629EF326" w14:textId="77777777" w:rsidTr="0024730D">
        <w:trPr>
          <w:trHeight w:val="2657"/>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44E6E261" w14:textId="77777777" w:rsidR="0055515A" w:rsidRPr="0055515A" w:rsidRDefault="00D046E8"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c-</w:t>
            </w:r>
            <w:r w:rsidR="0055515A" w:rsidRPr="0055515A">
              <w:rPr>
                <w:rFonts w:ascii="Times New Roman" w:eastAsia="Times New Roman" w:hAnsi="Times New Roman" w:cs="Times New Roman"/>
                <w:color w:val="000000"/>
                <w:kern w:val="0"/>
                <w:lang w:eastAsia="tr-TR"/>
                <w14:ligatures w14:val="none"/>
              </w:rPr>
              <w:t>Optimize edilmiş baskı patı kullanımı</w:t>
            </w:r>
          </w:p>
        </w:tc>
        <w:tc>
          <w:tcPr>
            <w:tcW w:w="5162" w:type="dxa"/>
            <w:tcBorders>
              <w:top w:val="single" w:sz="4" w:space="0" w:color="auto"/>
              <w:left w:val="nil"/>
              <w:bottom w:val="single" w:sz="4" w:space="0" w:color="auto"/>
              <w:right w:val="single" w:sz="4" w:space="0" w:color="auto"/>
            </w:tcBorders>
            <w:shd w:val="clear" w:color="auto" w:fill="auto"/>
            <w:noWrap/>
            <w:vAlign w:val="bottom"/>
            <w:hideMark/>
          </w:tcPr>
          <w:p w14:paraId="688786D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Baskı patı tedarik sisteminin hacminin en aza indirilmesi (örn. boru uzunluklarının ve çaplarının en aza indirilmesi);</w:t>
            </w:r>
          </w:p>
          <w:p w14:paraId="324BE92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Baskı makinesinin tüm genişliği boyunca eşit bir baskı patı dağılımının sağlanması;</w:t>
            </w:r>
          </w:p>
          <w:p w14:paraId="253B4B5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Baskı bitiminden kısa bir süre önce baskı patı tedariğinin durdurulması;</w:t>
            </w:r>
          </w:p>
          <w:p w14:paraId="6EC7075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Küçük ölçekli kullanım için baskı patının elle eklenmesi.</w:t>
            </w:r>
          </w:p>
        </w:tc>
        <w:tc>
          <w:tcPr>
            <w:tcW w:w="16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1D5F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Genel olarak uygulanabilir.</w:t>
            </w:r>
          </w:p>
          <w:p w14:paraId="7E2B6A6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r w:rsidR="0055515A" w:rsidRPr="0055515A" w14:paraId="47364FEC" w14:textId="77777777" w:rsidTr="0024730D">
        <w:trPr>
          <w:trHeight w:val="32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2D5F2"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lastRenderedPageBreak/>
              <w:t>Baskı Patının Geri Kazanımı ve Yeniden Kullanımı</w:t>
            </w:r>
          </w:p>
        </w:tc>
      </w:tr>
      <w:tr w:rsidR="0055515A" w:rsidRPr="0055515A" w14:paraId="52C3A3A4" w14:textId="77777777" w:rsidTr="0024730D">
        <w:trPr>
          <w:trHeight w:val="32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09A4F49E" w14:textId="77777777" w:rsidR="0055515A" w:rsidRPr="0055515A" w:rsidRDefault="00D046E8"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d-</w:t>
            </w:r>
            <w:r w:rsidR="0055515A" w:rsidRPr="0055515A">
              <w:rPr>
                <w:rFonts w:ascii="Times New Roman" w:eastAsia="Times New Roman" w:hAnsi="Times New Roman" w:cs="Times New Roman"/>
                <w:color w:val="000000"/>
                <w:kern w:val="0"/>
                <w:lang w:eastAsia="tr-TR"/>
                <w14:ligatures w14:val="none"/>
              </w:rPr>
              <w:t>Rotasyon serigrafi baskıda artık baskı patının geri kazanımı</w:t>
            </w:r>
          </w:p>
        </w:tc>
        <w:tc>
          <w:tcPr>
            <w:tcW w:w="5162" w:type="dxa"/>
            <w:tcBorders>
              <w:top w:val="nil"/>
              <w:left w:val="nil"/>
              <w:bottom w:val="single" w:sz="4" w:space="0" w:color="auto"/>
              <w:right w:val="single" w:sz="4" w:space="0" w:color="auto"/>
            </w:tcBorders>
            <w:shd w:val="clear" w:color="auto" w:fill="auto"/>
            <w:noWrap/>
            <w:vAlign w:val="bottom"/>
            <w:hideMark/>
          </w:tcPr>
          <w:p w14:paraId="184909B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Tedarik sistemindeki kalıntı baskı patı orijinal kabına geri gönderilir.</w:t>
            </w:r>
          </w:p>
        </w:tc>
        <w:tc>
          <w:tcPr>
            <w:tcW w:w="1698" w:type="dxa"/>
            <w:tcBorders>
              <w:top w:val="nil"/>
              <w:left w:val="nil"/>
              <w:bottom w:val="single" w:sz="4" w:space="0" w:color="auto"/>
              <w:right w:val="single" w:sz="4" w:space="0" w:color="auto"/>
            </w:tcBorders>
            <w:shd w:val="clear" w:color="auto" w:fill="auto"/>
            <w:noWrap/>
            <w:vAlign w:val="bottom"/>
            <w:hideMark/>
          </w:tcPr>
          <w:p w14:paraId="4507AEA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Mevcut tesislerde uygulanabilirlik, ekipmanla sınırlı olabilir.</w:t>
            </w:r>
          </w:p>
        </w:tc>
      </w:tr>
      <w:tr w:rsidR="0055515A" w:rsidRPr="0055515A" w14:paraId="3F699BC8" w14:textId="77777777" w:rsidTr="0024730D">
        <w:trPr>
          <w:trHeight w:val="32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14:paraId="3669B128" w14:textId="77777777" w:rsidR="0055515A" w:rsidRPr="0055515A" w:rsidRDefault="00D046E8" w:rsidP="0055515A">
            <w:pPr>
              <w:spacing w:after="0" w:line="240" w:lineRule="auto"/>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e-</w:t>
            </w:r>
            <w:r w:rsidR="0055515A" w:rsidRPr="0055515A">
              <w:rPr>
                <w:rFonts w:ascii="Times New Roman" w:eastAsia="Times New Roman" w:hAnsi="Times New Roman" w:cs="Times New Roman"/>
                <w:color w:val="000000"/>
                <w:kern w:val="0"/>
                <w:lang w:eastAsia="tr-TR"/>
                <w14:ligatures w14:val="none"/>
              </w:rPr>
              <w:t>Artık baskı patının yeniden kullanımı</w:t>
            </w:r>
          </w:p>
        </w:tc>
        <w:tc>
          <w:tcPr>
            <w:tcW w:w="5162" w:type="dxa"/>
            <w:tcBorders>
              <w:top w:val="nil"/>
              <w:left w:val="nil"/>
              <w:bottom w:val="single" w:sz="4" w:space="0" w:color="auto"/>
              <w:right w:val="single" w:sz="4" w:space="0" w:color="auto"/>
            </w:tcBorders>
            <w:shd w:val="clear" w:color="auto" w:fill="auto"/>
            <w:noWrap/>
            <w:vAlign w:val="bottom"/>
            <w:hideMark/>
          </w:tcPr>
          <w:p w14:paraId="0FBE189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Artık baskı patı toplanır, türüne göre ayrılır, depolanır ve yeniden kullanılır. Baskı patının yeniden kullanım derecesi dayanıklılığı ile bağlantılıdır.</w:t>
            </w:r>
          </w:p>
        </w:tc>
        <w:tc>
          <w:tcPr>
            <w:tcW w:w="1698" w:type="dxa"/>
            <w:tcBorders>
              <w:top w:val="nil"/>
              <w:left w:val="nil"/>
              <w:bottom w:val="single" w:sz="4" w:space="0" w:color="auto"/>
              <w:right w:val="single" w:sz="4" w:space="0" w:color="auto"/>
            </w:tcBorders>
            <w:shd w:val="clear" w:color="auto" w:fill="auto"/>
            <w:noWrap/>
            <w:vAlign w:val="bottom"/>
            <w:hideMark/>
          </w:tcPr>
          <w:p w14:paraId="0AC0F54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Genel olarak uygulanabilir.</w:t>
            </w:r>
          </w:p>
          <w:p w14:paraId="278F4C2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p>
        </w:tc>
      </w:tr>
    </w:tbl>
    <w:p w14:paraId="518A2E28" w14:textId="77777777" w:rsidR="0055515A" w:rsidRPr="0055515A" w:rsidRDefault="0055515A" w:rsidP="0055515A">
      <w:pPr>
        <w:spacing w:after="120" w:line="360" w:lineRule="auto"/>
        <w:rPr>
          <w:rFonts w:ascii="Times New Roman" w:eastAsia="Times New Roman" w:hAnsi="Times New Roman" w:cs="Times New Roman"/>
          <w:color w:val="000000"/>
          <w:kern w:val="0"/>
          <w:lang w:eastAsia="tr-TR"/>
          <w14:ligatures w14:val="none"/>
        </w:rPr>
      </w:pPr>
    </w:p>
    <w:p w14:paraId="2472F416" w14:textId="77777777" w:rsidR="00541520"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46 - </w:t>
      </w:r>
      <w:r w:rsidRPr="0055515A">
        <w:rPr>
          <w:rFonts w:ascii="Times New Roman" w:eastAsia="Times New Roman" w:hAnsi="Times New Roman" w:cs="Times New Roman"/>
          <w:color w:val="000000"/>
          <w:kern w:val="0"/>
          <w:sz w:val="24"/>
          <w:szCs w:val="24"/>
          <w:lang w:eastAsia="tr-TR"/>
          <w14:ligatures w14:val="none"/>
        </w:rPr>
        <w:t>Havaya amonyak salınımını önlemek ve selülozik malzemeler üzerine reaktif boyalarla baskı yapılırken üre içeren atık su oluşumunu engellemek için, MET aşağıda verilen tekniklerden birini kullanmaktadır.</w:t>
      </w:r>
    </w:p>
    <w:p w14:paraId="3D19A0F4" w14:textId="0742B052"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br/>
      </w:r>
    </w:p>
    <w:tbl>
      <w:tblPr>
        <w:tblStyle w:val="TabloKlavuzu8"/>
        <w:tblW w:w="0" w:type="auto"/>
        <w:tblLook w:val="04A0" w:firstRow="1" w:lastRow="0" w:firstColumn="1" w:lastColumn="0" w:noHBand="0" w:noVBand="1"/>
      </w:tblPr>
      <w:tblGrid>
        <w:gridCol w:w="4530"/>
        <w:gridCol w:w="4530"/>
      </w:tblGrid>
      <w:tr w:rsidR="0055515A" w:rsidRPr="0055515A" w14:paraId="7D21EDBD" w14:textId="77777777" w:rsidTr="0024730D">
        <w:tc>
          <w:tcPr>
            <w:tcW w:w="4530" w:type="dxa"/>
          </w:tcPr>
          <w:p w14:paraId="1B40841D" w14:textId="77777777" w:rsidR="0055515A" w:rsidRPr="0055515A" w:rsidRDefault="0055515A" w:rsidP="00EA5A0B">
            <w:pPr>
              <w:spacing w:after="120"/>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Teknik</w:t>
            </w:r>
          </w:p>
        </w:tc>
        <w:tc>
          <w:tcPr>
            <w:tcW w:w="4530" w:type="dxa"/>
          </w:tcPr>
          <w:p w14:paraId="15190D5A" w14:textId="77777777" w:rsidR="0055515A" w:rsidRPr="0055515A" w:rsidRDefault="0055515A" w:rsidP="00EA5A0B">
            <w:pPr>
              <w:spacing w:after="120"/>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Açıklama</w:t>
            </w:r>
          </w:p>
        </w:tc>
      </w:tr>
      <w:tr w:rsidR="0055515A" w:rsidRPr="0055515A" w14:paraId="4E7725B3" w14:textId="77777777" w:rsidTr="0024730D">
        <w:trPr>
          <w:trHeight w:val="505"/>
        </w:trPr>
        <w:tc>
          <w:tcPr>
            <w:tcW w:w="4530" w:type="dxa"/>
          </w:tcPr>
          <w:p w14:paraId="19AA66C5" w14:textId="77777777" w:rsidR="0055515A" w:rsidRPr="0055515A" w:rsidRDefault="0055515A" w:rsidP="00EA5A0B">
            <w:pPr>
              <w:spacing w:after="120"/>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a.Baskı patlarındaki üre içeriğinin azaltılması</w:t>
            </w:r>
          </w:p>
        </w:tc>
        <w:tc>
          <w:tcPr>
            <w:tcW w:w="4530" w:type="dxa"/>
          </w:tcPr>
          <w:p w14:paraId="393557D4" w14:textId="77777777" w:rsidR="0055515A" w:rsidRPr="0055515A" w:rsidRDefault="0055515A" w:rsidP="00EA5A0B">
            <w:pPr>
              <w:spacing w:after="120"/>
              <w:rPr>
                <w:rFonts w:ascii="Times New Roman" w:eastAsia="Times New Roman" w:hAnsi="Times New Roman" w:cs="Times New Roman"/>
                <w:b/>
                <w:bCs/>
                <w:color w:val="000000"/>
              </w:rPr>
            </w:pPr>
            <w:r w:rsidRPr="0055515A">
              <w:rPr>
                <w:rFonts w:ascii="Times New Roman" w:eastAsia="Times New Roman" w:hAnsi="Times New Roman" w:cs="Times New Roman"/>
                <w:color w:val="000000"/>
              </w:rPr>
              <w:t>Baskı, baskı patlarındaki üre miktarı azaltılarak ve tekstil malzemelerinin nem içeriği kontrol edilerek gerçekleştirilir.</w:t>
            </w:r>
          </w:p>
        </w:tc>
      </w:tr>
      <w:tr w:rsidR="0055515A" w:rsidRPr="0055515A" w14:paraId="00052E56" w14:textId="77777777" w:rsidTr="0024730D">
        <w:trPr>
          <w:trHeight w:val="505"/>
        </w:trPr>
        <w:tc>
          <w:tcPr>
            <w:tcW w:w="4530" w:type="dxa"/>
          </w:tcPr>
          <w:p w14:paraId="4BEE1B05" w14:textId="77777777" w:rsidR="0055515A" w:rsidRPr="0055515A" w:rsidRDefault="0055515A" w:rsidP="00EA5A0B">
            <w:pPr>
              <w:spacing w:after="120"/>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b.İki aşamalı baskı</w:t>
            </w:r>
          </w:p>
        </w:tc>
        <w:tc>
          <w:tcPr>
            <w:tcW w:w="4530" w:type="dxa"/>
          </w:tcPr>
          <w:p w14:paraId="088F643D" w14:textId="77777777" w:rsidR="0055515A" w:rsidRPr="0055515A" w:rsidRDefault="0055515A" w:rsidP="00EA5A0B">
            <w:pPr>
              <w:spacing w:after="120"/>
              <w:rPr>
                <w:rFonts w:ascii="Times New Roman" w:eastAsia="Times New Roman" w:hAnsi="Times New Roman" w:cs="Times New Roman"/>
                <w:b/>
                <w:bCs/>
                <w:color w:val="000000"/>
              </w:rPr>
            </w:pPr>
            <w:r w:rsidRPr="0055515A">
              <w:rPr>
                <w:rFonts w:ascii="Times New Roman" w:eastAsia="Times New Roman" w:hAnsi="Times New Roman" w:cs="Times New Roman"/>
                <w:color w:val="000000"/>
              </w:rPr>
              <w:t>Baskı, ara kurutma ve fiksaj maddelerinin (örneğin sodyum silikat) eklenmesi ile iki dolgu aşamasıyla üre olmadan gerçekleştirilir.</w:t>
            </w:r>
          </w:p>
        </w:tc>
      </w:tr>
    </w:tbl>
    <w:p w14:paraId="59FFAF50" w14:textId="77777777" w:rsidR="00541520" w:rsidRDefault="00541520"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p>
    <w:p w14:paraId="6A9F0AEB" w14:textId="690AAF9B" w:rsidR="0055515A" w:rsidRPr="0055515A" w:rsidRDefault="0055515A"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MET 47 - Pigmentlerle baskıdan kaynaklanan organik bileşik (ör. formaldehit) ve amonyak</w:t>
      </w:r>
      <w:r w:rsidR="001B19C3">
        <w:rPr>
          <w:rFonts w:ascii="Times New Roman" w:eastAsia="Times New Roman" w:hAnsi="Times New Roman" w:cs="Times New Roman"/>
          <w:b/>
          <w:bCs/>
          <w:color w:val="000000"/>
          <w:kern w:val="0"/>
          <w:sz w:val="24"/>
          <w:szCs w:val="24"/>
          <w:lang w:eastAsia="tr-TR"/>
          <w14:ligatures w14:val="none"/>
        </w:rPr>
        <w:t>ın havaya</w:t>
      </w:r>
      <w:r w:rsidRPr="0055515A">
        <w:rPr>
          <w:rFonts w:ascii="Times New Roman" w:eastAsia="Times New Roman" w:hAnsi="Times New Roman" w:cs="Times New Roman"/>
          <w:b/>
          <w:bCs/>
          <w:color w:val="000000"/>
          <w:kern w:val="0"/>
          <w:sz w:val="24"/>
          <w:szCs w:val="24"/>
          <w:lang w:eastAsia="tr-TR"/>
          <w14:ligatures w14:val="none"/>
        </w:rPr>
        <w:t xml:space="preserve"> emisyonlarını azaltmak için MET, çevresel performansı iyileştirilmiş baskı kimyasalları kullanmaktadır. </w:t>
      </w:r>
    </w:p>
    <w:p w14:paraId="7272C2F1"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Buna şunlar dahildir:</w:t>
      </w:r>
    </w:p>
    <w:p w14:paraId="37AD9522"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uçucu organik bileşik içermeyen veya düşük miktarda içeren kıvamlaştırıcılar;</w:t>
      </w:r>
    </w:p>
    <w:p w14:paraId="193EFD50"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formaldehit salınımı için düşük potansiyele sahip sabitleme maddeleri;</w:t>
      </w:r>
    </w:p>
    <w:p w14:paraId="2088B63D" w14:textId="77777777" w:rsidR="0055515A" w:rsidRPr="0055515A" w:rsidRDefault="0055515A" w:rsidP="0055515A">
      <w:pPr>
        <w:spacing w:after="120" w:line="240" w:lineRule="auto"/>
        <w:jc w:val="both"/>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düşük amonyak içeriğine ve düşük formaldehit salınım potansiyeline sahip bağlayıcılar.</w:t>
      </w:r>
    </w:p>
    <w:p w14:paraId="37C40346" w14:textId="1C054856"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1.7. A</w:t>
      </w:r>
      <w:r w:rsidR="00B875CF">
        <w:rPr>
          <w:rFonts w:ascii="Times New Roman" w:eastAsia="Times New Roman" w:hAnsi="Times New Roman" w:cs="Times New Roman"/>
          <w:b/>
          <w:bCs/>
          <w:color w:val="000000"/>
          <w:kern w:val="0"/>
          <w:sz w:val="24"/>
          <w:szCs w:val="24"/>
          <w:lang w:eastAsia="tr-TR"/>
          <w14:ligatures w14:val="none"/>
        </w:rPr>
        <w:t>preleme</w:t>
      </w:r>
      <w:r w:rsidRPr="0055515A">
        <w:rPr>
          <w:rFonts w:ascii="Times New Roman" w:eastAsia="Times New Roman" w:hAnsi="Times New Roman" w:cs="Times New Roman"/>
          <w:b/>
          <w:bCs/>
          <w:color w:val="000000"/>
          <w:kern w:val="0"/>
          <w:sz w:val="24"/>
          <w:szCs w:val="24"/>
          <w:lang w:eastAsia="tr-TR"/>
          <w14:ligatures w14:val="none"/>
        </w:rPr>
        <w:t xml:space="preserve"> için MET sonuçları</w:t>
      </w:r>
      <w:r w:rsidRPr="0055515A">
        <w:rPr>
          <w:rFonts w:ascii="Times New Roman" w:eastAsia="Times New Roman" w:hAnsi="Times New Roman" w:cs="Times New Roman"/>
          <w:color w:val="000000"/>
          <w:kern w:val="0"/>
          <w:sz w:val="24"/>
          <w:szCs w:val="24"/>
          <w:lang w:eastAsia="tr-TR"/>
          <w14:ligatures w14:val="none"/>
        </w:rPr>
        <w:br/>
        <w:t>Bu bölümdeki MET sonuçları, apreleme işlemleri için geçerlidir ve Bölüm 1.1'deki genel MET sonuçlarına ek olarak uygulanır.</w:t>
      </w:r>
    </w:p>
    <w:p w14:paraId="75BE6859"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1.7.1. Kolay bakım apreleme işlemleri</w:t>
      </w:r>
    </w:p>
    <w:p w14:paraId="24B608F5"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48 - </w:t>
      </w:r>
      <w:r w:rsidRPr="0055515A">
        <w:rPr>
          <w:rFonts w:ascii="Times New Roman" w:eastAsia="Times New Roman" w:hAnsi="Times New Roman" w:cs="Times New Roman"/>
          <w:color w:val="000000"/>
          <w:kern w:val="0"/>
          <w:sz w:val="24"/>
          <w:szCs w:val="24"/>
          <w:lang w:eastAsia="tr-TR"/>
          <w14:ligatures w14:val="none"/>
        </w:rPr>
        <w:t>Selülozik elyaflardan ve/veya selülozik ve sentetik elyaf karışımlarından yapılan ve bakımı kolay tekstil ürünlerinin formaldehit</w:t>
      </w:r>
      <w:r w:rsidR="003077A3">
        <w:rPr>
          <w:rFonts w:ascii="Times New Roman" w:eastAsia="Times New Roman" w:hAnsi="Times New Roman" w:cs="Times New Roman"/>
          <w:color w:val="000000"/>
          <w:kern w:val="0"/>
          <w:sz w:val="24"/>
          <w:szCs w:val="24"/>
          <w:lang w:eastAsia="tr-TR"/>
          <w14:ligatures w14:val="none"/>
        </w:rPr>
        <w:t>in havaya</w:t>
      </w:r>
      <w:r w:rsidRPr="0055515A">
        <w:rPr>
          <w:rFonts w:ascii="Times New Roman" w:eastAsia="Times New Roman" w:hAnsi="Times New Roman" w:cs="Times New Roman"/>
          <w:color w:val="000000"/>
          <w:kern w:val="0"/>
          <w:sz w:val="24"/>
          <w:szCs w:val="24"/>
          <w:lang w:eastAsia="tr-TR"/>
          <w14:ligatures w14:val="none"/>
        </w:rPr>
        <w:t xml:space="preserve"> salınımını azaltmak için MET, formaldehit salınımı potansiyeli olmayan veya düşük olan çapraz bağlayıcı maddeler kullanmaktadır.</w:t>
      </w:r>
    </w:p>
    <w:p w14:paraId="768264C2" w14:textId="77777777" w:rsidR="0055515A" w:rsidRPr="0055515A" w:rsidRDefault="0055515A"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1.7.2. Yumuşatma</w:t>
      </w:r>
    </w:p>
    <w:p w14:paraId="03606ACE"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49. </w:t>
      </w:r>
      <w:r w:rsidRPr="0055515A">
        <w:rPr>
          <w:rFonts w:ascii="Times New Roman" w:eastAsia="Times New Roman" w:hAnsi="Times New Roman" w:cs="Times New Roman"/>
          <w:color w:val="000000"/>
          <w:kern w:val="0"/>
          <w:sz w:val="24"/>
          <w:szCs w:val="24"/>
          <w:lang w:eastAsia="tr-TR"/>
          <w14:ligatures w14:val="none"/>
        </w:rPr>
        <w:t>Yumuşatma işleminin genel çevresel performansını iyileştirmek için, aşağıda verilen tekniklerden biri kullanılır.</w:t>
      </w:r>
    </w:p>
    <w:tbl>
      <w:tblPr>
        <w:tblW w:w="9060" w:type="dxa"/>
        <w:tblCellMar>
          <w:left w:w="70" w:type="dxa"/>
          <w:right w:w="70" w:type="dxa"/>
        </w:tblCellMar>
        <w:tblLook w:val="04A0" w:firstRow="1" w:lastRow="0" w:firstColumn="1" w:lastColumn="0" w:noHBand="0" w:noVBand="1"/>
      </w:tblPr>
      <w:tblGrid>
        <w:gridCol w:w="2343"/>
        <w:gridCol w:w="6717"/>
      </w:tblGrid>
      <w:tr w:rsidR="0055515A" w:rsidRPr="0055515A" w14:paraId="12A33BEF" w14:textId="77777777" w:rsidTr="0024730D">
        <w:trPr>
          <w:trHeight w:val="320"/>
        </w:trPr>
        <w:tc>
          <w:tcPr>
            <w:tcW w:w="23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E0BE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lastRenderedPageBreak/>
              <w:t>Teknik</w:t>
            </w:r>
          </w:p>
        </w:tc>
        <w:tc>
          <w:tcPr>
            <w:tcW w:w="6717" w:type="dxa"/>
            <w:tcBorders>
              <w:top w:val="single" w:sz="4" w:space="0" w:color="auto"/>
              <w:left w:val="nil"/>
              <w:bottom w:val="single" w:sz="4" w:space="0" w:color="auto"/>
              <w:right w:val="single" w:sz="4" w:space="0" w:color="auto"/>
            </w:tcBorders>
            <w:shd w:val="clear" w:color="auto" w:fill="auto"/>
            <w:noWrap/>
            <w:vAlign w:val="bottom"/>
            <w:hideMark/>
          </w:tcPr>
          <w:p w14:paraId="5B4C2138"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56523D8B" w14:textId="77777777" w:rsidTr="0024730D">
        <w:trPr>
          <w:trHeight w:val="320"/>
        </w:trPr>
        <w:tc>
          <w:tcPr>
            <w:tcW w:w="2343" w:type="dxa"/>
            <w:tcBorders>
              <w:top w:val="nil"/>
              <w:left w:val="single" w:sz="4" w:space="0" w:color="auto"/>
              <w:bottom w:val="single" w:sz="4" w:space="0" w:color="auto"/>
              <w:right w:val="single" w:sz="4" w:space="0" w:color="auto"/>
            </w:tcBorders>
            <w:shd w:val="clear" w:color="auto" w:fill="auto"/>
            <w:noWrap/>
            <w:vAlign w:val="bottom"/>
            <w:hideMark/>
          </w:tcPr>
          <w:p w14:paraId="1B3F0A7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 Yumuşatıcı maddelerin düşük hacimli uygulanması</w:t>
            </w:r>
          </w:p>
        </w:tc>
        <w:tc>
          <w:tcPr>
            <w:tcW w:w="6717" w:type="dxa"/>
            <w:tcBorders>
              <w:top w:val="nil"/>
              <w:left w:val="nil"/>
              <w:bottom w:val="single" w:sz="4" w:space="0" w:color="auto"/>
              <w:right w:val="single" w:sz="4" w:space="0" w:color="auto"/>
            </w:tcBorders>
            <w:shd w:val="clear" w:color="auto" w:fill="auto"/>
            <w:noWrap/>
            <w:vAlign w:val="bottom"/>
            <w:hideMark/>
          </w:tcPr>
          <w:p w14:paraId="5C80DAA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Bölüm 1.9.4'e bakınız. Yumuşatıcı maddeler, boyama sıvısına eklenmez, ancak ayrı bir işlem adımında, baskılama, sprey ile püskürtme veya köpürme yöntemleriyle uygulanır.</w:t>
            </w:r>
          </w:p>
        </w:tc>
      </w:tr>
      <w:tr w:rsidR="0055515A" w:rsidRPr="0055515A" w14:paraId="20148162" w14:textId="77777777" w:rsidTr="0024730D">
        <w:trPr>
          <w:trHeight w:val="320"/>
        </w:trPr>
        <w:tc>
          <w:tcPr>
            <w:tcW w:w="2343" w:type="dxa"/>
            <w:tcBorders>
              <w:top w:val="nil"/>
              <w:left w:val="single" w:sz="4" w:space="0" w:color="auto"/>
              <w:bottom w:val="single" w:sz="4" w:space="0" w:color="auto"/>
              <w:right w:val="single" w:sz="4" w:space="0" w:color="auto"/>
            </w:tcBorders>
            <w:shd w:val="clear" w:color="auto" w:fill="auto"/>
            <w:noWrap/>
            <w:vAlign w:val="bottom"/>
            <w:hideMark/>
          </w:tcPr>
          <w:p w14:paraId="2C0FF2C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 Pamuklu tekstil materyallerinin enzimlerle yumuşatılması</w:t>
            </w:r>
          </w:p>
        </w:tc>
        <w:tc>
          <w:tcPr>
            <w:tcW w:w="6717" w:type="dxa"/>
            <w:tcBorders>
              <w:top w:val="nil"/>
              <w:left w:val="nil"/>
              <w:bottom w:val="single" w:sz="4" w:space="0" w:color="auto"/>
              <w:right w:val="single" w:sz="4" w:space="0" w:color="auto"/>
            </w:tcBorders>
            <w:shd w:val="clear" w:color="auto" w:fill="auto"/>
            <w:noWrap/>
            <w:vAlign w:val="bottom"/>
            <w:hideMark/>
          </w:tcPr>
          <w:p w14:paraId="7AE0E094"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MET 16 (c)'ye bakınız. Enzimler, yumuşatma için kullanılır ve muhtemelen yıkama veya boyama ile kombinasyon halinde uygulanır.</w:t>
            </w:r>
          </w:p>
        </w:tc>
      </w:tr>
    </w:tbl>
    <w:p w14:paraId="254AEDCB" w14:textId="77777777" w:rsidR="00541520" w:rsidRDefault="00541520"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p>
    <w:p w14:paraId="5087C1F1" w14:textId="77777777" w:rsidR="00541520" w:rsidRDefault="00541520"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p>
    <w:p w14:paraId="189D7ED6" w14:textId="46915572" w:rsidR="0055515A" w:rsidRPr="0055515A" w:rsidRDefault="0055515A"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1.7.3. Alev geciktirici apreleme işlemi</w:t>
      </w:r>
    </w:p>
    <w:p w14:paraId="3AF9F861" w14:textId="77777777" w:rsidR="0055515A" w:rsidRPr="0055515A" w:rsidRDefault="0055515A" w:rsidP="0055515A">
      <w:pPr>
        <w:spacing w:after="120" w:line="36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50 - </w:t>
      </w:r>
      <w:r w:rsidRPr="0055515A">
        <w:rPr>
          <w:rFonts w:ascii="Times New Roman" w:eastAsia="Times New Roman" w:hAnsi="Times New Roman" w:cs="Times New Roman"/>
          <w:color w:val="000000"/>
          <w:kern w:val="0"/>
          <w:sz w:val="24"/>
          <w:szCs w:val="24"/>
          <w:lang w:eastAsia="tr-TR"/>
          <w14:ligatures w14:val="none"/>
        </w:rPr>
        <w:t>Alev geciktirici apre işleminin genel çevresel performansını iyileştirmek, özellikle çevreye verilen emisyonları ve atıkları önlemek veya azaltmak için, MET, aşağıda verilen tekniklerden birini veya her ikisini kullanmaktadır; (a) tekniğine öncelik verilir.</w:t>
      </w:r>
    </w:p>
    <w:tbl>
      <w:tblPr>
        <w:tblW w:w="9060" w:type="dxa"/>
        <w:tblCellMar>
          <w:left w:w="70" w:type="dxa"/>
          <w:right w:w="70" w:type="dxa"/>
        </w:tblCellMar>
        <w:tblLook w:val="04A0" w:firstRow="1" w:lastRow="0" w:firstColumn="1" w:lastColumn="0" w:noHBand="0" w:noVBand="1"/>
      </w:tblPr>
      <w:tblGrid>
        <w:gridCol w:w="1696"/>
        <w:gridCol w:w="4962"/>
        <w:gridCol w:w="2402"/>
      </w:tblGrid>
      <w:tr w:rsidR="0055515A" w:rsidRPr="0055515A" w14:paraId="24122C48" w14:textId="77777777" w:rsidTr="0024730D">
        <w:trPr>
          <w:trHeight w:val="320"/>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BA72B0" w14:textId="77777777" w:rsidR="0055515A" w:rsidRPr="0055515A" w:rsidRDefault="0055515A" w:rsidP="0055515A">
            <w:pPr>
              <w:spacing w:after="0" w:line="240" w:lineRule="auto"/>
              <w:rPr>
                <w:rFonts w:ascii="Times New Roman" w:eastAsia="Times New Roman" w:hAnsi="Times New Roman" w:cs="Times New Roman"/>
                <w:b/>
                <w:bCs/>
                <w:color w:val="000000"/>
                <w:kern w:val="0"/>
                <w:sz w:val="20"/>
                <w:szCs w:val="20"/>
                <w:lang w:eastAsia="tr-TR"/>
                <w14:ligatures w14:val="none"/>
              </w:rPr>
            </w:pPr>
            <w:r w:rsidRPr="0055515A">
              <w:rPr>
                <w:rFonts w:ascii="Times New Roman" w:eastAsia="Times New Roman" w:hAnsi="Times New Roman" w:cs="Times New Roman"/>
                <w:b/>
                <w:bCs/>
                <w:color w:val="000000"/>
                <w:kern w:val="0"/>
                <w:sz w:val="20"/>
                <w:szCs w:val="20"/>
                <w:lang w:eastAsia="tr-TR"/>
                <w14:ligatures w14:val="none"/>
              </w:rPr>
              <w:t>Teknik</w:t>
            </w: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14:paraId="65CE8E6C" w14:textId="77777777" w:rsidR="0055515A" w:rsidRPr="0055515A" w:rsidRDefault="0055515A" w:rsidP="0055515A">
            <w:pPr>
              <w:spacing w:after="0" w:line="240" w:lineRule="auto"/>
              <w:rPr>
                <w:rFonts w:ascii="Times New Roman" w:eastAsia="Times New Roman" w:hAnsi="Times New Roman" w:cs="Times New Roman"/>
                <w:b/>
                <w:bCs/>
                <w:color w:val="000000"/>
                <w:kern w:val="0"/>
                <w:sz w:val="20"/>
                <w:szCs w:val="20"/>
                <w:lang w:eastAsia="tr-TR"/>
                <w14:ligatures w14:val="none"/>
              </w:rPr>
            </w:pPr>
            <w:r w:rsidRPr="0055515A">
              <w:rPr>
                <w:rFonts w:ascii="Times New Roman" w:eastAsia="Times New Roman" w:hAnsi="Times New Roman" w:cs="Times New Roman"/>
                <w:b/>
                <w:bCs/>
                <w:color w:val="000000"/>
                <w:kern w:val="0"/>
                <w:sz w:val="20"/>
                <w:szCs w:val="20"/>
                <w:lang w:eastAsia="tr-TR"/>
                <w14:ligatures w14:val="none"/>
              </w:rPr>
              <w:t>Açıklama</w:t>
            </w:r>
          </w:p>
        </w:tc>
        <w:tc>
          <w:tcPr>
            <w:tcW w:w="2402" w:type="dxa"/>
            <w:tcBorders>
              <w:top w:val="single" w:sz="4" w:space="0" w:color="auto"/>
              <w:left w:val="nil"/>
              <w:bottom w:val="single" w:sz="4" w:space="0" w:color="auto"/>
              <w:right w:val="single" w:sz="4" w:space="0" w:color="auto"/>
            </w:tcBorders>
            <w:shd w:val="clear" w:color="auto" w:fill="auto"/>
            <w:noWrap/>
            <w:vAlign w:val="bottom"/>
            <w:hideMark/>
          </w:tcPr>
          <w:p w14:paraId="403A9FD3" w14:textId="77777777" w:rsidR="0055515A" w:rsidRPr="0055515A" w:rsidRDefault="0055515A" w:rsidP="0055515A">
            <w:pPr>
              <w:spacing w:after="0" w:line="240" w:lineRule="auto"/>
              <w:rPr>
                <w:rFonts w:ascii="Times New Roman" w:eastAsia="Times New Roman" w:hAnsi="Times New Roman" w:cs="Times New Roman"/>
                <w:b/>
                <w:bCs/>
                <w:color w:val="000000"/>
                <w:kern w:val="0"/>
                <w:sz w:val="20"/>
                <w:szCs w:val="20"/>
                <w:lang w:eastAsia="tr-TR"/>
                <w14:ligatures w14:val="none"/>
              </w:rPr>
            </w:pPr>
            <w:r w:rsidRPr="0055515A">
              <w:rPr>
                <w:rFonts w:ascii="Times New Roman" w:eastAsia="Times New Roman" w:hAnsi="Times New Roman" w:cs="Times New Roman"/>
                <w:b/>
                <w:bCs/>
                <w:color w:val="000000"/>
                <w:kern w:val="0"/>
                <w:sz w:val="20"/>
                <w:szCs w:val="20"/>
                <w:lang w:eastAsia="tr-TR"/>
                <w14:ligatures w14:val="none"/>
              </w:rPr>
              <w:t>Uygulama Alanı</w:t>
            </w:r>
          </w:p>
        </w:tc>
      </w:tr>
      <w:tr w:rsidR="0055515A" w:rsidRPr="0055515A" w14:paraId="265BCAA9" w14:textId="77777777" w:rsidTr="0024730D">
        <w:trPr>
          <w:trHeight w:val="81"/>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399CB2" w14:textId="77777777" w:rsidR="0055515A" w:rsidRPr="008679D6" w:rsidRDefault="0055515A" w:rsidP="0055515A">
            <w:pPr>
              <w:spacing w:after="0" w:line="240" w:lineRule="auto"/>
              <w:rPr>
                <w:rFonts w:ascii="Times New Roman" w:eastAsia="Times New Roman" w:hAnsi="Times New Roman" w:cs="Times New Roman"/>
                <w:bCs/>
                <w:color w:val="000000"/>
                <w:kern w:val="0"/>
                <w:sz w:val="20"/>
                <w:szCs w:val="20"/>
                <w:lang w:eastAsia="tr-TR"/>
                <w14:ligatures w14:val="none"/>
              </w:rPr>
            </w:pPr>
            <w:r w:rsidRPr="008679D6">
              <w:rPr>
                <w:rFonts w:ascii="Times New Roman" w:eastAsia="Times New Roman" w:hAnsi="Times New Roman" w:cs="Times New Roman"/>
                <w:bCs/>
                <w:color w:val="000000"/>
                <w:kern w:val="0"/>
                <w:sz w:val="20"/>
                <w:szCs w:val="20"/>
                <w:lang w:eastAsia="tr-TR"/>
                <w14:ligatures w14:val="none"/>
              </w:rPr>
              <w:t>Alev geciktirici özelliklere sahip tekstil malzemelerinin kullanımı</w:t>
            </w:r>
          </w:p>
        </w:tc>
        <w:tc>
          <w:tcPr>
            <w:tcW w:w="4962" w:type="dxa"/>
            <w:tcBorders>
              <w:top w:val="nil"/>
              <w:left w:val="nil"/>
              <w:bottom w:val="single" w:sz="4" w:space="0" w:color="auto"/>
              <w:right w:val="single" w:sz="4" w:space="0" w:color="auto"/>
            </w:tcBorders>
            <w:shd w:val="clear" w:color="auto" w:fill="auto"/>
            <w:noWrap/>
            <w:vAlign w:val="bottom"/>
            <w:hideMark/>
          </w:tcPr>
          <w:p w14:paraId="053D5101" w14:textId="77777777" w:rsidR="0055515A" w:rsidRPr="0055515A" w:rsidRDefault="0055515A" w:rsidP="0055515A">
            <w:pPr>
              <w:spacing w:after="0" w:line="240" w:lineRule="auto"/>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Alev geciktirici işlem gerektirmeyen tekstil malzemeleri kullanılır.</w:t>
            </w:r>
          </w:p>
        </w:tc>
        <w:tc>
          <w:tcPr>
            <w:tcW w:w="2402" w:type="dxa"/>
            <w:tcBorders>
              <w:top w:val="nil"/>
              <w:left w:val="nil"/>
              <w:bottom w:val="single" w:sz="4" w:space="0" w:color="auto"/>
              <w:right w:val="single" w:sz="4" w:space="0" w:color="auto"/>
            </w:tcBorders>
            <w:shd w:val="clear" w:color="auto" w:fill="auto"/>
            <w:noWrap/>
            <w:vAlign w:val="bottom"/>
            <w:hideMark/>
          </w:tcPr>
          <w:p w14:paraId="1C593BE7" w14:textId="77777777" w:rsidR="0055515A" w:rsidRPr="0055515A" w:rsidRDefault="0055515A" w:rsidP="0055515A">
            <w:pPr>
              <w:spacing w:after="0" w:line="240" w:lineRule="auto"/>
              <w:rPr>
                <w:rFonts w:ascii="Times New Roman" w:eastAsia="Times New Roman" w:hAnsi="Times New Roman" w:cs="Times New Roman"/>
                <w:color w:val="000000"/>
                <w:kern w:val="0"/>
                <w:sz w:val="20"/>
                <w:szCs w:val="20"/>
                <w:lang w:eastAsia="tr-TR"/>
                <w14:ligatures w14:val="none"/>
              </w:rPr>
            </w:pPr>
            <w:r w:rsidRPr="0055515A">
              <w:rPr>
                <w:rFonts w:ascii="Times New Roman" w:eastAsia="Times New Roman" w:hAnsi="Times New Roman" w:cs="Times New Roman"/>
                <w:color w:val="000000"/>
                <w:kern w:val="0"/>
                <w:sz w:val="20"/>
                <w:szCs w:val="20"/>
                <w:lang w:eastAsia="tr-TR"/>
                <w14:ligatures w14:val="none"/>
              </w:rPr>
              <w:t>Uygulama, ürün spesifikasyonlarına (örneğin, alev geciktirici özellik) bağlı olarak sınırlı olabilir.</w:t>
            </w:r>
          </w:p>
        </w:tc>
      </w:tr>
      <w:tr w:rsidR="00455A1D" w:rsidRPr="0055515A" w14:paraId="5AB9AB28" w14:textId="77777777" w:rsidTr="0024730D">
        <w:trPr>
          <w:trHeight w:val="81"/>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2A7A82A6" w14:textId="77777777" w:rsidR="00455A1D" w:rsidRPr="008679D6" w:rsidRDefault="00455A1D" w:rsidP="0055515A">
            <w:pPr>
              <w:spacing w:after="0" w:line="240" w:lineRule="auto"/>
              <w:rPr>
                <w:rFonts w:ascii="Times New Roman" w:eastAsia="Times New Roman" w:hAnsi="Times New Roman" w:cs="Times New Roman"/>
                <w:bCs/>
                <w:color w:val="000000"/>
                <w:kern w:val="0"/>
                <w:sz w:val="20"/>
                <w:szCs w:val="20"/>
                <w:lang w:eastAsia="tr-TR"/>
                <w14:ligatures w14:val="none"/>
              </w:rPr>
            </w:pPr>
            <w:r w:rsidRPr="008679D6">
              <w:rPr>
                <w:rFonts w:ascii="Times New Roman" w:eastAsia="Times New Roman" w:hAnsi="Times New Roman" w:cs="Times New Roman"/>
                <w:bCs/>
                <w:color w:val="000000"/>
                <w:kern w:val="0"/>
                <w:sz w:val="20"/>
                <w:szCs w:val="20"/>
                <w:lang w:eastAsia="tr-TR"/>
                <w14:ligatures w14:val="none"/>
              </w:rPr>
              <w:t>Alev geciktirici maddelerin seçimi</w:t>
            </w:r>
          </w:p>
        </w:tc>
        <w:tc>
          <w:tcPr>
            <w:tcW w:w="4962" w:type="dxa"/>
            <w:tcBorders>
              <w:top w:val="nil"/>
              <w:left w:val="nil"/>
              <w:bottom w:val="single" w:sz="4" w:space="0" w:color="auto"/>
              <w:right w:val="single" w:sz="4" w:space="0" w:color="auto"/>
            </w:tcBorders>
            <w:shd w:val="clear" w:color="auto" w:fill="auto"/>
            <w:noWrap/>
            <w:vAlign w:val="bottom"/>
          </w:tcPr>
          <w:p w14:paraId="38F2D832" w14:textId="77777777" w:rsidR="00455A1D" w:rsidRPr="00455A1D" w:rsidRDefault="00455A1D" w:rsidP="00455A1D">
            <w:pPr>
              <w:spacing w:after="0" w:line="240" w:lineRule="auto"/>
              <w:rPr>
                <w:rFonts w:ascii="Times New Roman" w:eastAsia="Times New Roman" w:hAnsi="Times New Roman" w:cs="Times New Roman"/>
                <w:color w:val="000000"/>
                <w:kern w:val="0"/>
                <w:sz w:val="20"/>
                <w:szCs w:val="20"/>
                <w:lang w:eastAsia="tr-TR"/>
                <w14:ligatures w14:val="none"/>
              </w:rPr>
            </w:pPr>
            <w:r w:rsidRPr="00455A1D">
              <w:rPr>
                <w:rFonts w:ascii="Times New Roman" w:eastAsia="Times New Roman" w:hAnsi="Times New Roman" w:cs="Times New Roman"/>
                <w:color w:val="000000"/>
                <w:kern w:val="0"/>
                <w:sz w:val="20"/>
                <w:szCs w:val="20"/>
                <w:lang w:eastAsia="tr-TR"/>
                <w14:ligatures w14:val="none"/>
              </w:rPr>
              <w:t>Alev geciktiriciler aşağıdaki unsurlar göz önünde bulundurularak seçilir:</w:t>
            </w:r>
          </w:p>
          <w:p w14:paraId="575CD15A" w14:textId="77777777" w:rsidR="00455A1D" w:rsidRPr="00455A1D" w:rsidRDefault="00455A1D" w:rsidP="00455A1D">
            <w:pPr>
              <w:spacing w:after="0" w:line="240" w:lineRule="auto"/>
              <w:rPr>
                <w:rFonts w:ascii="Times New Roman" w:eastAsia="Times New Roman" w:hAnsi="Times New Roman" w:cs="Times New Roman"/>
                <w:color w:val="000000"/>
                <w:kern w:val="0"/>
                <w:sz w:val="20"/>
                <w:szCs w:val="20"/>
                <w:lang w:eastAsia="tr-TR"/>
                <w14:ligatures w14:val="none"/>
              </w:rPr>
            </w:pPr>
            <w:r w:rsidRPr="00455A1D">
              <w:rPr>
                <w:rFonts w:ascii="Times New Roman" w:eastAsia="Times New Roman" w:hAnsi="Times New Roman" w:cs="Times New Roman"/>
                <w:color w:val="000000"/>
                <w:kern w:val="0"/>
                <w:sz w:val="20"/>
                <w:szCs w:val="20"/>
                <w:lang w:eastAsia="tr-TR"/>
                <w14:ligatures w14:val="none"/>
              </w:rPr>
              <w:t>— Özellikle kalıcılık ve toksisite açısından taşıdıkları riskler, ikame potansiyeli dahil (örneğin, bromlanmış alev geciktiriciler, bkz. MET 14, madde I.(d))</w:t>
            </w:r>
          </w:p>
          <w:p w14:paraId="1ED845B6" w14:textId="77777777" w:rsidR="00455A1D" w:rsidRPr="00455A1D" w:rsidRDefault="00455A1D" w:rsidP="00455A1D">
            <w:pPr>
              <w:spacing w:after="0" w:line="240" w:lineRule="auto"/>
              <w:rPr>
                <w:rFonts w:ascii="Times New Roman" w:eastAsia="Times New Roman" w:hAnsi="Times New Roman" w:cs="Times New Roman"/>
                <w:color w:val="000000"/>
                <w:kern w:val="0"/>
                <w:sz w:val="20"/>
                <w:szCs w:val="20"/>
                <w:lang w:eastAsia="tr-TR"/>
                <w14:ligatures w14:val="none"/>
              </w:rPr>
            </w:pPr>
            <w:r w:rsidRPr="00455A1D">
              <w:rPr>
                <w:rFonts w:ascii="Times New Roman" w:eastAsia="Times New Roman" w:hAnsi="Times New Roman" w:cs="Times New Roman"/>
                <w:color w:val="000000"/>
                <w:kern w:val="0"/>
                <w:sz w:val="20"/>
                <w:szCs w:val="20"/>
                <w:lang w:eastAsia="tr-TR"/>
                <w14:ligatures w14:val="none"/>
              </w:rPr>
              <w:t>— İşlenecek tekstil malzemelerinin bileşimi ve formu</w:t>
            </w:r>
          </w:p>
          <w:p w14:paraId="69F70CB0" w14:textId="77777777" w:rsidR="00455A1D" w:rsidRPr="0055515A" w:rsidRDefault="00455A1D" w:rsidP="00455A1D">
            <w:pPr>
              <w:spacing w:after="0" w:line="240" w:lineRule="auto"/>
              <w:rPr>
                <w:rFonts w:ascii="Times New Roman" w:eastAsia="Times New Roman" w:hAnsi="Times New Roman" w:cs="Times New Roman"/>
                <w:color w:val="000000"/>
                <w:kern w:val="0"/>
                <w:sz w:val="20"/>
                <w:szCs w:val="20"/>
                <w:lang w:eastAsia="tr-TR"/>
                <w14:ligatures w14:val="none"/>
              </w:rPr>
            </w:pPr>
            <w:r w:rsidRPr="00455A1D">
              <w:rPr>
                <w:rFonts w:ascii="Times New Roman" w:eastAsia="Times New Roman" w:hAnsi="Times New Roman" w:cs="Times New Roman"/>
                <w:color w:val="000000"/>
                <w:kern w:val="0"/>
                <w:sz w:val="20"/>
                <w:szCs w:val="20"/>
                <w:lang w:eastAsia="tr-TR"/>
                <w14:ligatures w14:val="none"/>
              </w:rPr>
              <w:t>— Ürün spesifikasyonları (örneğin, birleşik alev geciktirici özellik ve yağ-/su-/kir itici özellikler, yıkama dayanıklılığı)</w:t>
            </w:r>
          </w:p>
        </w:tc>
        <w:tc>
          <w:tcPr>
            <w:tcW w:w="2402" w:type="dxa"/>
            <w:tcBorders>
              <w:top w:val="nil"/>
              <w:left w:val="nil"/>
              <w:bottom w:val="single" w:sz="4" w:space="0" w:color="auto"/>
              <w:right w:val="single" w:sz="4" w:space="0" w:color="auto"/>
            </w:tcBorders>
            <w:shd w:val="clear" w:color="auto" w:fill="auto"/>
            <w:noWrap/>
            <w:vAlign w:val="bottom"/>
          </w:tcPr>
          <w:p w14:paraId="45AEB745" w14:textId="77777777" w:rsidR="00455A1D" w:rsidRPr="0055515A" w:rsidRDefault="00455A1D" w:rsidP="0055515A">
            <w:pPr>
              <w:spacing w:after="0" w:line="240" w:lineRule="auto"/>
              <w:rPr>
                <w:rFonts w:ascii="Times New Roman" w:eastAsia="Times New Roman" w:hAnsi="Times New Roman" w:cs="Times New Roman"/>
                <w:color w:val="000000"/>
                <w:kern w:val="0"/>
                <w:sz w:val="20"/>
                <w:szCs w:val="20"/>
                <w:lang w:eastAsia="tr-TR"/>
                <w14:ligatures w14:val="none"/>
              </w:rPr>
            </w:pPr>
            <w:r w:rsidRPr="00455A1D">
              <w:rPr>
                <w:rFonts w:ascii="Times New Roman" w:eastAsia="Times New Roman" w:hAnsi="Times New Roman" w:cs="Times New Roman"/>
                <w:color w:val="000000"/>
                <w:kern w:val="0"/>
                <w:sz w:val="20"/>
                <w:szCs w:val="20"/>
                <w:lang w:eastAsia="tr-TR"/>
                <w14:ligatures w14:val="none"/>
              </w:rPr>
              <w:t>Genel olarak uygulanabilir</w:t>
            </w:r>
          </w:p>
        </w:tc>
      </w:tr>
    </w:tbl>
    <w:p w14:paraId="20DEAB20" w14:textId="53C63C82" w:rsidR="0055515A" w:rsidRPr="0055515A" w:rsidRDefault="0055515A" w:rsidP="0055515A">
      <w:pPr>
        <w:spacing w:after="0"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kern w:val="0"/>
          <w:sz w:val="24"/>
          <w:szCs w:val="24"/>
          <w:lang w:eastAsia="tr-TR"/>
          <w14:ligatures w14:val="none"/>
        </w:rPr>
        <w:t xml:space="preserve">1.7.4. </w:t>
      </w:r>
      <w:r w:rsidRPr="0055515A">
        <w:rPr>
          <w:rFonts w:ascii="Times New Roman" w:eastAsia="Times New Roman" w:hAnsi="Times New Roman" w:cs="Times New Roman"/>
          <w:b/>
          <w:bCs/>
          <w:color w:val="000000"/>
          <w:kern w:val="0"/>
          <w:sz w:val="24"/>
          <w:szCs w:val="24"/>
          <w:lang w:eastAsia="tr-TR"/>
          <w14:ligatures w14:val="none"/>
        </w:rPr>
        <w:t>Yağ, su ve kir</w:t>
      </w:r>
      <w:r w:rsidR="00EA5A0B">
        <w:rPr>
          <w:rFonts w:ascii="Times New Roman" w:eastAsia="Times New Roman" w:hAnsi="Times New Roman" w:cs="Times New Roman"/>
          <w:b/>
          <w:bCs/>
          <w:color w:val="000000"/>
          <w:kern w:val="0"/>
          <w:sz w:val="24"/>
          <w:szCs w:val="24"/>
          <w:lang w:eastAsia="tr-TR"/>
          <w14:ligatures w14:val="none"/>
        </w:rPr>
        <w:t xml:space="preserve"> </w:t>
      </w:r>
      <w:r w:rsidRPr="0055515A">
        <w:rPr>
          <w:rFonts w:ascii="Times New Roman" w:eastAsia="Times New Roman" w:hAnsi="Times New Roman" w:cs="Times New Roman"/>
          <w:b/>
          <w:bCs/>
          <w:color w:val="000000"/>
          <w:kern w:val="0"/>
          <w:sz w:val="24"/>
          <w:szCs w:val="24"/>
          <w:lang w:eastAsia="tr-TR"/>
          <w14:ligatures w14:val="none"/>
        </w:rPr>
        <w:t>itici apreleme</w:t>
      </w:r>
    </w:p>
    <w:p w14:paraId="1957B51B" w14:textId="77777777" w:rsidR="0055515A" w:rsidRPr="0055515A" w:rsidRDefault="0055515A" w:rsidP="0055515A">
      <w:pPr>
        <w:spacing w:after="0" w:line="240" w:lineRule="auto"/>
        <w:rPr>
          <w:rFonts w:ascii="Times New Roman" w:eastAsia="Times New Roman" w:hAnsi="Times New Roman" w:cs="Times New Roman"/>
          <w:color w:val="000000"/>
          <w:kern w:val="0"/>
          <w:sz w:val="24"/>
          <w:szCs w:val="24"/>
          <w:lang w:eastAsia="tr-TR"/>
          <w14:ligatures w14:val="none"/>
        </w:rPr>
      </w:pPr>
    </w:p>
    <w:p w14:paraId="54CB956A" w14:textId="77777777" w:rsidR="0055515A" w:rsidRPr="0055515A" w:rsidRDefault="0055515A" w:rsidP="0055515A">
      <w:pPr>
        <w:spacing w:after="0"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51 - </w:t>
      </w:r>
      <w:r w:rsidRPr="0055515A">
        <w:rPr>
          <w:rFonts w:ascii="Times New Roman" w:eastAsia="Times New Roman" w:hAnsi="Times New Roman" w:cs="Times New Roman"/>
          <w:color w:val="000000"/>
          <w:kern w:val="0"/>
          <w:sz w:val="24"/>
          <w:szCs w:val="24"/>
          <w:lang w:eastAsia="tr-TR"/>
          <w14:ligatures w14:val="none"/>
        </w:rPr>
        <w:t>Yağ, su ve toprak itici aprelerin genel çevresel performansını iyileştirmek, özellikle de çevreye ve atıklara yönelik emisyonları önlemek veya azaltmak için MET, çevresel performansı iyileştirilmiş yağ, su ve toprak itici maddeler kullanmaktır.</w:t>
      </w:r>
    </w:p>
    <w:p w14:paraId="212FDDB9"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4459D05B"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 Yağ-, su- ve kir-itici maddeler aşağıdaki faktörler göz önünde bulundurularak seçilir:</w:t>
      </w:r>
    </w:p>
    <w:p w14:paraId="449B1E35" w14:textId="77777777" w:rsidR="0055515A" w:rsidRPr="0055515A" w:rsidRDefault="0055515A" w:rsidP="006B15F1">
      <w:pPr>
        <w:numPr>
          <w:ilvl w:val="0"/>
          <w:numId w:val="38"/>
        </w:num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Bunlarla ilgili riskler, özellikle kalıcılık ve toksisite açısından, yerine geçebilecek maddeler de dahil olmak üzere (örneğin PFAS, bkz. MET 14, madde I.(d));</w:t>
      </w:r>
    </w:p>
    <w:p w14:paraId="0DE2A75B" w14:textId="77777777" w:rsidR="0055515A" w:rsidRPr="0055515A" w:rsidRDefault="0055515A" w:rsidP="006B15F1">
      <w:pPr>
        <w:numPr>
          <w:ilvl w:val="0"/>
          <w:numId w:val="38"/>
        </w:num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İşlem görecek tekstil malzemelerinin bileşimi ve formu;</w:t>
      </w:r>
    </w:p>
    <w:p w14:paraId="4B3B0834" w14:textId="77777777" w:rsidR="0055515A" w:rsidRPr="0055515A" w:rsidRDefault="0055515A" w:rsidP="006B15F1">
      <w:pPr>
        <w:numPr>
          <w:ilvl w:val="0"/>
          <w:numId w:val="38"/>
        </w:num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Ürün özellikleri (örneğin, birleşik yağ-, su-, kir-itici özellik ve alev geciktirici özellik).</w:t>
      </w:r>
    </w:p>
    <w:p w14:paraId="32B68AEF"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1.7.5. Yünlü kumaşların kırışmaya karşı işlemi</w:t>
      </w:r>
    </w:p>
    <w:p w14:paraId="1FFCB6B6" w14:textId="77777777" w:rsidR="0055515A" w:rsidRPr="0055515A" w:rsidRDefault="0055515A" w:rsidP="0055515A">
      <w:pPr>
        <w:spacing w:after="0" w:line="240" w:lineRule="auto"/>
        <w:rPr>
          <w:rFonts w:ascii="Times New Roman" w:eastAsia="Times New Roman" w:hAnsi="Times New Roman" w:cs="Times New Roman"/>
          <w:kern w:val="0"/>
          <w:sz w:val="24"/>
          <w:szCs w:val="24"/>
          <w:lang w:eastAsia="tr-TR"/>
          <w14:ligatures w14:val="none"/>
        </w:rPr>
      </w:pPr>
    </w:p>
    <w:p w14:paraId="3CFA2D53"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52 - </w:t>
      </w:r>
      <w:r w:rsidRPr="0055515A">
        <w:rPr>
          <w:rFonts w:ascii="Times New Roman" w:eastAsia="Times New Roman" w:hAnsi="Times New Roman" w:cs="Times New Roman"/>
          <w:color w:val="000000"/>
          <w:kern w:val="0"/>
          <w:sz w:val="24"/>
          <w:szCs w:val="24"/>
          <w:lang w:eastAsia="tr-TR"/>
          <w14:ligatures w14:val="none"/>
        </w:rPr>
        <w:t>Yünün çekmezlik apresinden kaynaklanan su emisyonlarını azaltmak için MET, klor içermeyen keçeleşme önleyici kimyasalları kullanılmaktadır. </w:t>
      </w:r>
    </w:p>
    <w:p w14:paraId="64A98E62" w14:textId="77777777" w:rsidR="0055515A" w:rsidRPr="0055515A" w:rsidRDefault="0055515A" w:rsidP="0055515A">
      <w:pPr>
        <w:spacing w:after="120" w:line="240" w:lineRule="auto"/>
        <w:jc w:val="both"/>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Açıklama</w:t>
      </w:r>
    </w:p>
    <w:p w14:paraId="57C83F82" w14:textId="77777777" w:rsidR="0055515A" w:rsidRPr="0055515A" w:rsidRDefault="0055515A" w:rsidP="0055515A">
      <w:pPr>
        <w:spacing w:after="120" w:line="240" w:lineRule="auto"/>
        <w:jc w:val="both"/>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lastRenderedPageBreak/>
        <w:t>Peroksimonosülfürik asidin inorganik tuzları yünün çekmezlik apresi için kullanılır.</w:t>
      </w:r>
    </w:p>
    <w:p w14:paraId="38394C5F" w14:textId="77777777" w:rsidR="0055515A" w:rsidRPr="0055515A" w:rsidRDefault="0055515A" w:rsidP="0055515A">
      <w:pPr>
        <w:spacing w:after="0" w:line="240" w:lineRule="auto"/>
        <w:rPr>
          <w:rFonts w:ascii="Times New Roman" w:eastAsia="Times New Roman" w:hAnsi="Times New Roman" w:cs="Times New Roman"/>
          <w:i/>
          <w:iCs/>
          <w:kern w:val="0"/>
          <w:sz w:val="24"/>
          <w:szCs w:val="24"/>
          <w:lang w:eastAsia="tr-TR"/>
          <w14:ligatures w14:val="none"/>
        </w:rPr>
      </w:pPr>
      <w:r w:rsidRPr="0055515A">
        <w:rPr>
          <w:rFonts w:ascii="Times New Roman" w:eastAsia="Times New Roman" w:hAnsi="Times New Roman" w:cs="Times New Roman"/>
          <w:i/>
          <w:iCs/>
          <w:kern w:val="0"/>
          <w:sz w:val="24"/>
          <w:szCs w:val="24"/>
          <w:lang w:eastAsia="tr-TR"/>
          <w14:ligatures w14:val="none"/>
        </w:rPr>
        <w:t>Uygulanabilirlik</w:t>
      </w:r>
    </w:p>
    <w:p w14:paraId="0933B2CE" w14:textId="77777777" w:rsidR="0055515A" w:rsidRPr="0055515A" w:rsidRDefault="0055515A" w:rsidP="0055515A">
      <w:pPr>
        <w:spacing w:after="0" w:line="240" w:lineRule="auto"/>
        <w:rPr>
          <w:rFonts w:ascii="Times New Roman" w:eastAsia="Times New Roman" w:hAnsi="Times New Roman" w:cs="Times New Roman"/>
          <w:kern w:val="0"/>
          <w:sz w:val="24"/>
          <w:szCs w:val="24"/>
          <w:lang w:eastAsia="tr-TR"/>
          <w14:ligatures w14:val="none"/>
        </w:rPr>
      </w:pPr>
      <w:r w:rsidRPr="0055515A">
        <w:rPr>
          <w:rFonts w:ascii="Times New Roman" w:eastAsia="Times New Roman" w:hAnsi="Times New Roman" w:cs="Times New Roman"/>
          <w:kern w:val="0"/>
          <w:sz w:val="24"/>
          <w:szCs w:val="24"/>
          <w:lang w:eastAsia="tr-TR"/>
          <w14:ligatures w14:val="none"/>
        </w:rPr>
        <w:t>Uygulama, ürün spesifikasyonlarıyla sınırlı olabilir (örneğin, çekme).</w:t>
      </w:r>
    </w:p>
    <w:p w14:paraId="1F5F3798"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1.7.6. Güveye karşı dayanıklılık (Mothproofing)</w:t>
      </w:r>
    </w:p>
    <w:p w14:paraId="22E482E2" w14:textId="032817FE" w:rsidR="0055515A" w:rsidRDefault="0055515A" w:rsidP="0055515A">
      <w:pPr>
        <w:spacing w:after="120" w:line="240" w:lineRule="auto"/>
        <w:jc w:val="both"/>
        <w:rPr>
          <w:rFonts w:ascii="Times New Roman" w:eastAsia="Times New Roman" w:hAnsi="Times New Roman" w:cs="Times New Roman"/>
          <w:i/>
          <w:iCs/>
          <w:color w:val="000000"/>
          <w:kern w:val="0"/>
          <w:sz w:val="24"/>
          <w:szCs w:val="24"/>
          <w:u w:val="single"/>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53 - </w:t>
      </w:r>
      <w:r w:rsidRPr="0055515A">
        <w:rPr>
          <w:rFonts w:ascii="Times New Roman" w:eastAsia="Times New Roman" w:hAnsi="Times New Roman" w:cs="Times New Roman"/>
          <w:color w:val="000000"/>
          <w:kern w:val="0"/>
          <w:sz w:val="24"/>
          <w:szCs w:val="24"/>
          <w:lang w:eastAsia="tr-TR"/>
          <w14:ligatures w14:val="none"/>
        </w:rPr>
        <w:t>Güveye karşı dayanıklı maddelerinin tüketimini azaltmak için MET aşağıda verilen tekniklerden birini veya bir kombinasyonunu kullanmalıdır.</w:t>
      </w:r>
      <w:r w:rsidRPr="0055515A">
        <w:rPr>
          <w:rFonts w:ascii="Times New Roman" w:eastAsia="Times New Roman" w:hAnsi="Times New Roman" w:cs="Times New Roman"/>
          <w:i/>
          <w:iCs/>
          <w:color w:val="000000"/>
          <w:kern w:val="0"/>
          <w:sz w:val="24"/>
          <w:szCs w:val="24"/>
          <w:u w:val="single"/>
          <w:lang w:eastAsia="tr-TR"/>
          <w14:ligatures w14:val="none"/>
        </w:rPr>
        <w:t xml:space="preserve"> </w:t>
      </w:r>
    </w:p>
    <w:p w14:paraId="342D0BCB" w14:textId="77777777" w:rsidR="00541520" w:rsidRPr="0055515A" w:rsidRDefault="00541520" w:rsidP="0055515A">
      <w:pPr>
        <w:spacing w:after="120" w:line="240" w:lineRule="auto"/>
        <w:jc w:val="both"/>
        <w:rPr>
          <w:rFonts w:ascii="Times New Roman" w:eastAsia="Times New Roman" w:hAnsi="Times New Roman" w:cs="Times New Roman"/>
          <w:b/>
          <w:bCs/>
          <w:color w:val="000000"/>
          <w:kern w:val="0"/>
          <w:sz w:val="24"/>
          <w:szCs w:val="24"/>
          <w:lang w:eastAsia="tr-TR"/>
          <w14:ligatures w14:val="none"/>
        </w:rPr>
      </w:pPr>
    </w:p>
    <w:tbl>
      <w:tblPr>
        <w:tblStyle w:val="TabloKlavuzu8"/>
        <w:tblW w:w="0" w:type="auto"/>
        <w:tblLook w:val="04A0" w:firstRow="1" w:lastRow="0" w:firstColumn="1" w:lastColumn="0" w:noHBand="0" w:noVBand="1"/>
      </w:tblPr>
      <w:tblGrid>
        <w:gridCol w:w="3020"/>
        <w:gridCol w:w="3020"/>
        <w:gridCol w:w="3020"/>
      </w:tblGrid>
      <w:tr w:rsidR="0055515A" w:rsidRPr="0055515A" w14:paraId="560713F6" w14:textId="77777777" w:rsidTr="0024730D">
        <w:tc>
          <w:tcPr>
            <w:tcW w:w="3020" w:type="dxa"/>
          </w:tcPr>
          <w:p w14:paraId="337DE893" w14:textId="77777777" w:rsidR="0055515A" w:rsidRPr="0055515A" w:rsidRDefault="0055515A" w:rsidP="0055515A">
            <w:pPr>
              <w:spacing w:before="100" w:beforeAutospacing="1" w:after="100" w:afterAutospacing="1"/>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Teknik</w:t>
            </w:r>
          </w:p>
        </w:tc>
        <w:tc>
          <w:tcPr>
            <w:tcW w:w="3020" w:type="dxa"/>
          </w:tcPr>
          <w:p w14:paraId="00502C64" w14:textId="77777777" w:rsidR="0055515A" w:rsidRPr="0055515A" w:rsidRDefault="0055515A" w:rsidP="0055515A">
            <w:pPr>
              <w:spacing w:before="100" w:beforeAutospacing="1" w:after="100" w:afterAutospacing="1"/>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Açıklama</w:t>
            </w:r>
          </w:p>
        </w:tc>
        <w:tc>
          <w:tcPr>
            <w:tcW w:w="3020" w:type="dxa"/>
          </w:tcPr>
          <w:p w14:paraId="1EC3BBC4" w14:textId="77777777" w:rsidR="0055515A" w:rsidRPr="0055515A" w:rsidRDefault="0055515A" w:rsidP="0055515A">
            <w:pPr>
              <w:spacing w:before="100" w:beforeAutospacing="1" w:after="100" w:afterAutospacing="1"/>
              <w:rPr>
                <w:rFonts w:ascii="Times New Roman" w:eastAsia="Times New Roman" w:hAnsi="Times New Roman" w:cs="Times New Roman"/>
                <w:b/>
                <w:bCs/>
                <w:color w:val="000000"/>
              </w:rPr>
            </w:pPr>
            <w:r w:rsidRPr="0055515A">
              <w:rPr>
                <w:rFonts w:ascii="Times New Roman" w:eastAsia="Times New Roman" w:hAnsi="Times New Roman" w:cs="Times New Roman"/>
                <w:b/>
                <w:bCs/>
                <w:color w:val="000000"/>
              </w:rPr>
              <w:t>Uygulanabilirlik</w:t>
            </w:r>
          </w:p>
        </w:tc>
      </w:tr>
      <w:tr w:rsidR="0055515A" w:rsidRPr="0055515A" w14:paraId="55031CB8" w14:textId="77777777" w:rsidTr="0024730D">
        <w:tc>
          <w:tcPr>
            <w:tcW w:w="3020" w:type="dxa"/>
          </w:tcPr>
          <w:p w14:paraId="6895B0B6" w14:textId="77777777" w:rsidR="0055515A" w:rsidRPr="008679D6" w:rsidRDefault="00A40A60" w:rsidP="0055515A">
            <w:pPr>
              <w:spacing w:before="100" w:beforeAutospacing="1" w:after="100" w:afterAutospacing="1"/>
              <w:rPr>
                <w:rFonts w:ascii="Times New Roman" w:eastAsia="Times New Roman" w:hAnsi="Times New Roman" w:cs="Times New Roman"/>
                <w:bCs/>
                <w:color w:val="000000"/>
              </w:rPr>
            </w:pPr>
            <w:r w:rsidRPr="008679D6">
              <w:rPr>
                <w:rFonts w:ascii="Times New Roman" w:eastAsia="Times New Roman" w:hAnsi="Times New Roman" w:cs="Times New Roman"/>
                <w:bCs/>
                <w:color w:val="000000"/>
              </w:rPr>
              <w:t>a-</w:t>
            </w:r>
            <w:r w:rsidR="0055515A" w:rsidRPr="008679D6">
              <w:rPr>
                <w:rFonts w:ascii="Times New Roman" w:eastAsia="Times New Roman" w:hAnsi="Times New Roman" w:cs="Times New Roman"/>
                <w:bCs/>
                <w:color w:val="000000"/>
              </w:rPr>
              <w:t>Boyama yardımcılarının seçimi</w:t>
            </w:r>
          </w:p>
        </w:tc>
        <w:tc>
          <w:tcPr>
            <w:tcW w:w="3020" w:type="dxa"/>
          </w:tcPr>
          <w:p w14:paraId="51A928FB" w14:textId="65636530" w:rsidR="0055515A" w:rsidRPr="0055515A" w:rsidRDefault="0055515A" w:rsidP="00D121FC">
            <w:pPr>
              <w:spacing w:before="100" w:beforeAutospacing="1" w:after="100" w:afterAutospacing="1"/>
              <w:rPr>
                <w:rFonts w:ascii="Times New Roman" w:eastAsia="Times New Roman" w:hAnsi="Times New Roman" w:cs="Times New Roman"/>
                <w:sz w:val="24"/>
                <w:szCs w:val="24"/>
              </w:rPr>
            </w:pPr>
            <w:r w:rsidRPr="0055515A">
              <w:rPr>
                <w:rFonts w:ascii="Times New Roman" w:eastAsia="Times New Roman" w:hAnsi="Times New Roman" w:cs="Times New Roman"/>
                <w:color w:val="000000"/>
              </w:rPr>
              <w:t>Güve yemezlik maddeleri doğrudan boyama</w:t>
            </w:r>
            <w:r w:rsidRPr="00D121FC">
              <w:rPr>
                <w:rFonts w:ascii="Times New Roman" w:eastAsia="Times New Roman" w:hAnsi="Times New Roman" w:cs="Times New Roman"/>
                <w:color w:val="000000" w:themeColor="text1"/>
              </w:rPr>
              <w:t xml:space="preserve"> </w:t>
            </w:r>
            <w:r w:rsidR="00BF08CA" w:rsidRPr="00D121FC">
              <w:rPr>
                <w:rFonts w:ascii="Times New Roman" w:eastAsia="Times New Roman" w:hAnsi="Times New Roman" w:cs="Times New Roman"/>
                <w:color w:val="000000" w:themeColor="text1"/>
              </w:rPr>
              <w:t xml:space="preserve">banyosuna </w:t>
            </w:r>
            <w:r w:rsidRPr="0055515A">
              <w:rPr>
                <w:rFonts w:ascii="Times New Roman" w:eastAsia="Times New Roman" w:hAnsi="Times New Roman" w:cs="Times New Roman"/>
                <w:color w:val="000000"/>
              </w:rPr>
              <w:t>eklendiğinde, güve yemezlik maddelerinin alımını engellemeyen boyama yardımcıları (örn. tesviye maddeleri) seçilir.</w:t>
            </w:r>
          </w:p>
        </w:tc>
        <w:tc>
          <w:tcPr>
            <w:tcW w:w="3020" w:type="dxa"/>
          </w:tcPr>
          <w:p w14:paraId="6196107B" w14:textId="77777777" w:rsidR="0055515A" w:rsidRPr="0055515A" w:rsidRDefault="0055515A" w:rsidP="0055515A">
            <w:pPr>
              <w:spacing w:before="100" w:beforeAutospacing="1" w:after="100" w:afterAutospacing="1"/>
              <w:rPr>
                <w:rFonts w:ascii="Times New Roman" w:eastAsia="Times New Roman" w:hAnsi="Times New Roman" w:cs="Times New Roman"/>
                <w:b/>
                <w:bCs/>
                <w:color w:val="000000"/>
              </w:rPr>
            </w:pPr>
            <w:r w:rsidRPr="0055515A">
              <w:rPr>
                <w:rFonts w:ascii="Times New Roman" w:eastAsia="Times New Roman" w:hAnsi="Times New Roman" w:cs="Times New Roman"/>
                <w:color w:val="000000"/>
              </w:rPr>
              <w:t>Genel olarak uygulanabilir.</w:t>
            </w:r>
          </w:p>
        </w:tc>
      </w:tr>
      <w:tr w:rsidR="0055515A" w:rsidRPr="0055515A" w14:paraId="1DAB3AA2" w14:textId="77777777" w:rsidTr="0024730D">
        <w:tc>
          <w:tcPr>
            <w:tcW w:w="3020" w:type="dxa"/>
          </w:tcPr>
          <w:p w14:paraId="7371971B" w14:textId="77777777" w:rsidR="0055515A" w:rsidRPr="008679D6" w:rsidRDefault="00A40A60" w:rsidP="0055515A">
            <w:pPr>
              <w:spacing w:before="100" w:beforeAutospacing="1" w:after="100" w:afterAutospacing="1"/>
              <w:rPr>
                <w:rFonts w:ascii="Times New Roman" w:eastAsia="Times New Roman" w:hAnsi="Times New Roman" w:cs="Times New Roman"/>
                <w:bCs/>
                <w:color w:val="000000"/>
              </w:rPr>
            </w:pPr>
            <w:r w:rsidRPr="008679D6">
              <w:rPr>
                <w:rFonts w:ascii="Times New Roman" w:eastAsia="Times New Roman" w:hAnsi="Times New Roman" w:cs="Times New Roman"/>
                <w:bCs/>
                <w:color w:val="000000"/>
              </w:rPr>
              <w:t>b-</w:t>
            </w:r>
            <w:r w:rsidR="0055515A" w:rsidRPr="008679D6">
              <w:rPr>
                <w:rFonts w:ascii="Times New Roman" w:eastAsia="Times New Roman" w:hAnsi="Times New Roman" w:cs="Times New Roman"/>
                <w:bCs/>
                <w:color w:val="000000"/>
              </w:rPr>
              <w:t>Güve yemezlik maddelerin düşük hacimli uygulaması</w:t>
            </w:r>
          </w:p>
        </w:tc>
        <w:tc>
          <w:tcPr>
            <w:tcW w:w="3020" w:type="dxa"/>
          </w:tcPr>
          <w:p w14:paraId="67BEE5F6" w14:textId="77777777" w:rsidR="0055515A" w:rsidRPr="0055515A" w:rsidRDefault="0055515A" w:rsidP="0055515A">
            <w:pPr>
              <w:spacing w:before="100" w:beforeAutospacing="1" w:after="100" w:afterAutospacing="1"/>
              <w:rPr>
                <w:rFonts w:ascii="Times New Roman" w:eastAsia="Times New Roman" w:hAnsi="Times New Roman" w:cs="Times New Roman"/>
                <w:b/>
                <w:bCs/>
                <w:color w:val="000000"/>
              </w:rPr>
            </w:pPr>
            <w:r w:rsidRPr="0055515A">
              <w:rPr>
                <w:rFonts w:ascii="Times New Roman" w:eastAsia="Times New Roman" w:hAnsi="Times New Roman" w:cs="Times New Roman"/>
                <w:color w:val="000000"/>
              </w:rPr>
              <w:t>Püskürtme durumunda, fazla güve önleyici çözelti santrifüjleme yoluyla tekstil materyallerinden geri kazanılır ve yeniden kullanılır.</w:t>
            </w:r>
          </w:p>
        </w:tc>
        <w:tc>
          <w:tcPr>
            <w:tcW w:w="3020" w:type="dxa"/>
          </w:tcPr>
          <w:p w14:paraId="2188F1A6" w14:textId="77777777" w:rsidR="0055515A" w:rsidRPr="0055515A" w:rsidRDefault="0055515A" w:rsidP="0055515A">
            <w:pPr>
              <w:spacing w:before="100" w:beforeAutospacing="1" w:after="100" w:afterAutospacing="1"/>
              <w:rPr>
                <w:rFonts w:ascii="Times New Roman" w:eastAsia="Times New Roman" w:hAnsi="Times New Roman" w:cs="Times New Roman"/>
                <w:b/>
                <w:bCs/>
                <w:color w:val="000000"/>
              </w:rPr>
            </w:pPr>
            <w:r w:rsidRPr="0055515A">
              <w:rPr>
                <w:rFonts w:ascii="Times New Roman" w:eastAsia="Times New Roman" w:hAnsi="Times New Roman" w:cs="Times New Roman"/>
                <w:color w:val="000000"/>
              </w:rPr>
              <w:t>Genel olarak uygulanabilir.</w:t>
            </w:r>
          </w:p>
        </w:tc>
      </w:tr>
    </w:tbl>
    <w:p w14:paraId="4CF51DB6" w14:textId="10F34074"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1.8. Laminasyon için MET sonuçları  </w:t>
      </w:r>
    </w:p>
    <w:p w14:paraId="7281A62E"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Bu bölümde sunulan MET sonucu, laminasyon işlemi için geçerlidir ve Bölüm 1.1'deki genel MET sonuçlarına ek olarak uygulanır.  </w:t>
      </w:r>
    </w:p>
    <w:p w14:paraId="72D13575"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MET 54. </w:t>
      </w:r>
      <w:r w:rsidRPr="0055515A">
        <w:rPr>
          <w:rFonts w:ascii="Times New Roman" w:eastAsia="Times New Roman" w:hAnsi="Times New Roman" w:cs="Times New Roman"/>
          <w:color w:val="000000"/>
          <w:kern w:val="0"/>
          <w:sz w:val="24"/>
          <w:szCs w:val="24"/>
          <w:lang w:eastAsia="tr-TR"/>
          <w14:ligatures w14:val="none"/>
        </w:rPr>
        <w:t xml:space="preserve">Organik bileşiklerin hava emisyonlarını laminasyondan azaltmak için, MET, alevli laminasyon yerine sıcak eriyik laminasyonu kullanmaktır.  </w:t>
      </w:r>
    </w:p>
    <w:p w14:paraId="5EFCC85B"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 xml:space="preserve">Açıklama  </w:t>
      </w:r>
    </w:p>
    <w:p w14:paraId="229F38D5"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Erimiş polimerler, alev kullanmadan tekstillere uygulanır.  </w:t>
      </w:r>
    </w:p>
    <w:p w14:paraId="5153FAD3"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i/>
          <w:iCs/>
          <w:color w:val="000000"/>
          <w:kern w:val="0"/>
          <w:sz w:val="24"/>
          <w:szCs w:val="24"/>
          <w:lang w:eastAsia="tr-TR"/>
          <w14:ligatures w14:val="none"/>
        </w:rPr>
      </w:pPr>
      <w:r w:rsidRPr="0055515A">
        <w:rPr>
          <w:rFonts w:ascii="Times New Roman" w:eastAsia="Times New Roman" w:hAnsi="Times New Roman" w:cs="Times New Roman"/>
          <w:i/>
          <w:iCs/>
          <w:color w:val="000000"/>
          <w:kern w:val="0"/>
          <w:sz w:val="24"/>
          <w:szCs w:val="24"/>
          <w:lang w:eastAsia="tr-TR"/>
          <w14:ligatures w14:val="none"/>
        </w:rPr>
        <w:t>Uygulanabilirlik</w:t>
      </w:r>
    </w:p>
    <w:p w14:paraId="1DCA5A61"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color w:val="000000"/>
          <w:kern w:val="0"/>
          <w:sz w:val="24"/>
          <w:szCs w:val="24"/>
          <w:lang w:eastAsia="tr-TR"/>
          <w14:ligatures w14:val="none"/>
        </w:rPr>
        <w:t xml:space="preserve">İnce tekstiller için uygulanabilir olmayabilir ve lamina ile tekstil malzemeleri arasındaki bağın gücü ile sınırlı olabilir.  </w:t>
      </w:r>
    </w:p>
    <w:p w14:paraId="76F9FA06"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 xml:space="preserve">1.9. Tekniklerin Tanımlanması  </w:t>
      </w:r>
    </w:p>
    <w:p w14:paraId="6EF9C09F"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1.9.1. Süreç kimyasallarını seçmek, hava emisyonlarını önlemek veya azaltmak için teknik</w:t>
      </w:r>
    </w:p>
    <w:tbl>
      <w:tblPr>
        <w:tblW w:w="9062" w:type="dxa"/>
        <w:tblCellMar>
          <w:left w:w="70" w:type="dxa"/>
          <w:right w:w="70" w:type="dxa"/>
        </w:tblCellMar>
        <w:tblLook w:val="04A0" w:firstRow="1" w:lastRow="0" w:firstColumn="1" w:lastColumn="0" w:noHBand="0" w:noVBand="1"/>
      </w:tblPr>
      <w:tblGrid>
        <w:gridCol w:w="3114"/>
        <w:gridCol w:w="5948"/>
      </w:tblGrid>
      <w:tr w:rsidR="0055515A" w:rsidRPr="0055515A" w14:paraId="02F425A9" w14:textId="77777777" w:rsidTr="0082590D">
        <w:trPr>
          <w:trHeight w:val="320"/>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5F8B1E"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5948" w:type="dxa"/>
            <w:tcBorders>
              <w:top w:val="single" w:sz="4" w:space="0" w:color="auto"/>
              <w:left w:val="nil"/>
              <w:bottom w:val="single" w:sz="4" w:space="0" w:color="auto"/>
              <w:right w:val="single" w:sz="4" w:space="0" w:color="auto"/>
            </w:tcBorders>
            <w:shd w:val="clear" w:color="auto" w:fill="auto"/>
            <w:noWrap/>
            <w:vAlign w:val="bottom"/>
            <w:hideMark/>
          </w:tcPr>
          <w:p w14:paraId="32690BBD"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002DBC4B" w14:textId="77777777" w:rsidTr="0082590D">
        <w:trPr>
          <w:trHeight w:val="32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B556942"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Emisyon Faktörleri</w:t>
            </w:r>
          </w:p>
        </w:tc>
        <w:tc>
          <w:tcPr>
            <w:tcW w:w="5948" w:type="dxa"/>
            <w:tcBorders>
              <w:top w:val="nil"/>
              <w:left w:val="nil"/>
              <w:bottom w:val="single" w:sz="4" w:space="0" w:color="auto"/>
              <w:right w:val="single" w:sz="4" w:space="0" w:color="auto"/>
            </w:tcBorders>
            <w:shd w:val="clear" w:color="auto" w:fill="auto"/>
            <w:noWrap/>
            <w:vAlign w:val="bottom"/>
            <w:hideMark/>
          </w:tcPr>
          <w:p w14:paraId="46B3F0E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Emisyon faktörleri, bir maddenin emisyonunu ilişkilendirmeye yönelik temsilci değerlere dayanır ve bu maddeye bağlı olarak gerçekleşen bir süreçle ilişkilendirilir. Emisyon faktörleri, emisyon ölçümlerinden türetilir, önceden tanımlanmış bir </w:t>
            </w:r>
            <w:r w:rsidRPr="0055515A">
              <w:rPr>
                <w:rFonts w:ascii="Times New Roman" w:eastAsia="Times New Roman" w:hAnsi="Times New Roman" w:cs="Times New Roman"/>
                <w:color w:val="000000"/>
                <w:kern w:val="0"/>
                <w:lang w:eastAsia="tr-TR"/>
                <w14:ligatures w14:val="none"/>
              </w:rPr>
              <w:lastRenderedPageBreak/>
              <w:t>protokole göre tekstil malzemeleri ve referans işleme koşulları dikkate alınarak yapılır (örneğin kürleme süresi ve sıcaklık). Emisyon faktörleri, bir maddenin emisyon miktarını, referans işleme koşullarında işlenen tekstil malzemelerinin kütlesine bölen bir oran olarak ifade edilir (örneğin, 20 m3/h'lik bir atık gaz akışında işlenen tekstil malzemesi başına gram organik karbon emisyonu). Süreç kimyasallarının karışımının miktarı, tehlikeli özellikleri ve bileşimi ile tekstil malzemesi tarafından alınması dikkate alınır.</w:t>
            </w:r>
          </w:p>
        </w:tc>
      </w:tr>
    </w:tbl>
    <w:p w14:paraId="529EE24A" w14:textId="77777777" w:rsidR="00541520" w:rsidRDefault="00541520"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p>
    <w:p w14:paraId="759D2BB6" w14:textId="3F2A3E25"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1.9.2. Hava Emisyonlarını Azaltma Teknikleri</w:t>
      </w:r>
    </w:p>
    <w:tbl>
      <w:tblPr>
        <w:tblW w:w="9062" w:type="dxa"/>
        <w:tblCellMar>
          <w:left w:w="70" w:type="dxa"/>
          <w:right w:w="70" w:type="dxa"/>
        </w:tblCellMar>
        <w:tblLook w:val="04A0" w:firstRow="1" w:lastRow="0" w:firstColumn="1" w:lastColumn="0" w:noHBand="0" w:noVBand="1"/>
      </w:tblPr>
      <w:tblGrid>
        <w:gridCol w:w="2830"/>
        <w:gridCol w:w="6232"/>
      </w:tblGrid>
      <w:tr w:rsidR="0055515A" w:rsidRPr="0055515A" w14:paraId="47AA9C3A" w14:textId="77777777" w:rsidTr="0082590D">
        <w:trPr>
          <w:trHeight w:val="32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2D43D"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6232" w:type="dxa"/>
            <w:tcBorders>
              <w:top w:val="single" w:sz="4" w:space="0" w:color="auto"/>
              <w:left w:val="nil"/>
              <w:bottom w:val="single" w:sz="4" w:space="0" w:color="auto"/>
              <w:right w:val="single" w:sz="4" w:space="0" w:color="auto"/>
            </w:tcBorders>
            <w:shd w:val="clear" w:color="auto" w:fill="auto"/>
            <w:noWrap/>
            <w:vAlign w:val="bottom"/>
            <w:hideMark/>
          </w:tcPr>
          <w:p w14:paraId="66B4F868"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3D7D4178"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77382CDE"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Adsorpsiyon</w:t>
            </w:r>
          </w:p>
        </w:tc>
        <w:tc>
          <w:tcPr>
            <w:tcW w:w="6232" w:type="dxa"/>
            <w:tcBorders>
              <w:top w:val="nil"/>
              <w:left w:val="nil"/>
              <w:bottom w:val="single" w:sz="4" w:space="0" w:color="auto"/>
              <w:right w:val="single" w:sz="4" w:space="0" w:color="auto"/>
            </w:tcBorders>
            <w:shd w:val="clear" w:color="auto" w:fill="auto"/>
            <w:noWrap/>
            <w:vAlign w:val="bottom"/>
            <w:hideMark/>
          </w:tcPr>
          <w:p w14:paraId="411E2BA5"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gaz akışından kirleticilerin, katı bir yüzeye (genellikle aktif karbon kullanılır) tutulmasıyla uzaklaştırılması. Adsorpsiyon, yenilenebilir veya yenilenemez olabilir. Yenilenemez adsorpsiyonda, harcanan adsorban yenilenmeden atılır. Yenilenebilir adsorpsiyonda ise adsorban, örneğin buharla (genellikle yerinde) desorbe edilir, yeniden kullanılır veya atılır. Sürekli operasyon için tipik olarak iki veya daha fazla adsorban paralel olarak çalıştırılır, bir tanesi desorpsiyon modundadır.</w:t>
            </w:r>
          </w:p>
        </w:tc>
      </w:tr>
      <w:tr w:rsidR="0055515A" w:rsidRPr="0055515A" w14:paraId="1A90E140"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9455AFC"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Yoğunlaşma</w:t>
            </w:r>
          </w:p>
        </w:tc>
        <w:tc>
          <w:tcPr>
            <w:tcW w:w="6232" w:type="dxa"/>
            <w:tcBorders>
              <w:top w:val="nil"/>
              <w:left w:val="nil"/>
              <w:bottom w:val="single" w:sz="4" w:space="0" w:color="auto"/>
              <w:right w:val="single" w:sz="4" w:space="0" w:color="auto"/>
            </w:tcBorders>
            <w:shd w:val="clear" w:color="auto" w:fill="auto"/>
            <w:noWrap/>
            <w:vAlign w:val="bottom"/>
            <w:hideMark/>
          </w:tcPr>
          <w:p w14:paraId="44C0267A"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Yoğunlaşma, bir atık gaz akışındaki organik ve inorganik bileşiklerin buharlarını, sıcaklıklarını çiğlenme noktasının altına düşürerek uzaklaştırma tekniğidir.</w:t>
            </w:r>
          </w:p>
        </w:tc>
      </w:tr>
      <w:tr w:rsidR="0055515A" w:rsidRPr="0055515A" w14:paraId="641A9C0C"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31E204D"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Siklone</w:t>
            </w:r>
          </w:p>
        </w:tc>
        <w:tc>
          <w:tcPr>
            <w:tcW w:w="6232" w:type="dxa"/>
            <w:tcBorders>
              <w:top w:val="nil"/>
              <w:left w:val="nil"/>
              <w:bottom w:val="single" w:sz="4" w:space="0" w:color="auto"/>
              <w:right w:val="single" w:sz="4" w:space="0" w:color="auto"/>
            </w:tcBorders>
            <w:shd w:val="clear" w:color="auto" w:fill="auto"/>
            <w:noWrap/>
            <w:vAlign w:val="bottom"/>
            <w:hideMark/>
          </w:tcPr>
          <w:p w14:paraId="75CA11D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gaz akışından tozları, genellikle konik bir odada santrifüj kuvvetleri uygulayarak uzaklaştıran ekipman.</w:t>
            </w:r>
          </w:p>
        </w:tc>
      </w:tr>
      <w:tr w:rsidR="0055515A" w:rsidRPr="0055515A" w14:paraId="398DD767"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BE174D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Elektrostatik Çöktürücü (ESP)</w:t>
            </w:r>
          </w:p>
        </w:tc>
        <w:tc>
          <w:tcPr>
            <w:tcW w:w="6232" w:type="dxa"/>
            <w:tcBorders>
              <w:top w:val="nil"/>
              <w:left w:val="nil"/>
              <w:bottom w:val="single" w:sz="4" w:space="0" w:color="auto"/>
              <w:right w:val="single" w:sz="4" w:space="0" w:color="auto"/>
            </w:tcBorders>
            <w:shd w:val="clear" w:color="auto" w:fill="auto"/>
            <w:noWrap/>
            <w:vAlign w:val="bottom"/>
            <w:hideMark/>
          </w:tcPr>
          <w:p w14:paraId="434B447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Elektrostatik çöktürücüler (ESP'ler), parçacıkların elektriksel alan etkisi altında yüklenip ayrılmasını sağlayacak şekilde çalışır. Elektrostatik çöktürücüler, geniş bir koşul yelpazesinde çalışabilir. Azaltma verimliliği, alan sayısına, oturma süresine (boyut) ve amontajdaki partikül giderme cihazlarına bağlı olabilir. Genellikle iki ile beş alan arasında içerirler. Elektrostatik çöktürücüler, tozu elektrotlardan toplama tekniğine göre kuru veya ıslak tipte olabilirler.</w:t>
            </w:r>
          </w:p>
        </w:tc>
      </w:tr>
      <w:tr w:rsidR="0055515A" w:rsidRPr="0055515A" w14:paraId="2F8940FF"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118D6C47"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Termal Oksidasyon</w:t>
            </w:r>
          </w:p>
        </w:tc>
        <w:tc>
          <w:tcPr>
            <w:tcW w:w="6232" w:type="dxa"/>
            <w:tcBorders>
              <w:top w:val="nil"/>
              <w:left w:val="nil"/>
              <w:bottom w:val="single" w:sz="4" w:space="0" w:color="auto"/>
              <w:right w:val="single" w:sz="4" w:space="0" w:color="auto"/>
            </w:tcBorders>
            <w:shd w:val="clear" w:color="auto" w:fill="auto"/>
            <w:noWrap/>
            <w:vAlign w:val="bottom"/>
            <w:hideMark/>
          </w:tcPr>
          <w:p w14:paraId="797F9BC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gaz akışındaki yanıcı gazların ve kokuların, hava veya oksijen ile karışımının, bir yanma odasında kendiliğinden tutuşma noktasının üzerinde bir sıcaklıkta ısıtılarak oksitlenmesi ve bu karışımın yüksek sıcaklıkta yeterince uzun süre tutulmasıyla karbondioksite ve suya tamamen yakılmasıdır.</w:t>
            </w:r>
          </w:p>
        </w:tc>
      </w:tr>
      <w:tr w:rsidR="0055515A" w:rsidRPr="0055515A" w14:paraId="1C7C3519"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F8F4696"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Islak Yıkama</w:t>
            </w:r>
          </w:p>
        </w:tc>
        <w:tc>
          <w:tcPr>
            <w:tcW w:w="6232" w:type="dxa"/>
            <w:tcBorders>
              <w:top w:val="nil"/>
              <w:left w:val="nil"/>
              <w:bottom w:val="single" w:sz="4" w:space="0" w:color="auto"/>
              <w:right w:val="single" w:sz="4" w:space="0" w:color="auto"/>
            </w:tcBorders>
            <w:shd w:val="clear" w:color="auto" w:fill="auto"/>
            <w:noWrap/>
            <w:vAlign w:val="bottom"/>
            <w:hideMark/>
          </w:tcPr>
          <w:p w14:paraId="7693BB0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gaz akışından gaz halindeki veya partiküler kirleticilerin, suya veya sulu bir çözücüyü kullanarak kütle transferiyle uzaklaştırılmasıdır. Kimyasal bir reaksiyon (örneğin asidik veya alkali bir yıkama cihazında) içerebilir.</w:t>
            </w:r>
          </w:p>
        </w:tc>
      </w:tr>
    </w:tbl>
    <w:p w14:paraId="7F09EB76"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1.9.3. Suya Emisyonları Azaltma Teknikleri</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6232"/>
      </w:tblGrid>
      <w:tr w:rsidR="0055515A" w:rsidRPr="0055515A" w14:paraId="6415FACD" w14:textId="77777777" w:rsidTr="00541520">
        <w:trPr>
          <w:trHeight w:val="320"/>
        </w:trPr>
        <w:tc>
          <w:tcPr>
            <w:tcW w:w="2830" w:type="dxa"/>
            <w:shd w:val="clear" w:color="auto" w:fill="auto"/>
            <w:noWrap/>
            <w:vAlign w:val="bottom"/>
            <w:hideMark/>
          </w:tcPr>
          <w:p w14:paraId="3A9AF831"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6232" w:type="dxa"/>
            <w:shd w:val="clear" w:color="auto" w:fill="auto"/>
            <w:noWrap/>
            <w:vAlign w:val="bottom"/>
            <w:hideMark/>
          </w:tcPr>
          <w:p w14:paraId="6630400C"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1175BA5C" w14:textId="77777777" w:rsidTr="00541520">
        <w:trPr>
          <w:trHeight w:val="320"/>
        </w:trPr>
        <w:tc>
          <w:tcPr>
            <w:tcW w:w="2830" w:type="dxa"/>
            <w:shd w:val="clear" w:color="auto" w:fill="auto"/>
            <w:noWrap/>
            <w:vAlign w:val="bottom"/>
            <w:hideMark/>
          </w:tcPr>
          <w:p w14:paraId="3A4380A3"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Aktif çamur prosesi</w:t>
            </w:r>
          </w:p>
        </w:tc>
        <w:tc>
          <w:tcPr>
            <w:tcW w:w="6232" w:type="dxa"/>
            <w:shd w:val="clear" w:color="auto" w:fill="auto"/>
            <w:noWrap/>
            <w:vAlign w:val="bottom"/>
            <w:hideMark/>
          </w:tcPr>
          <w:p w14:paraId="4AAAB1D9" w14:textId="77777777" w:rsidR="0055515A" w:rsidRPr="0055515A" w:rsidRDefault="004D053D" w:rsidP="004D053D">
            <w:pPr>
              <w:spacing w:after="0" w:line="240" w:lineRule="auto"/>
              <w:jc w:val="both"/>
              <w:rPr>
                <w:rFonts w:ascii="Times New Roman" w:eastAsia="Times New Roman" w:hAnsi="Times New Roman" w:cs="Times New Roman"/>
                <w:color w:val="000000"/>
                <w:kern w:val="0"/>
                <w:lang w:eastAsia="tr-TR"/>
                <w14:ligatures w14:val="none"/>
              </w:rPr>
            </w:pPr>
            <w:r w:rsidRPr="004D053D">
              <w:rPr>
                <w:rFonts w:ascii="Times New Roman" w:eastAsia="Times New Roman" w:hAnsi="Times New Roman" w:cs="Times New Roman"/>
                <w:color w:val="000000"/>
                <w:kern w:val="0"/>
                <w:lang w:eastAsia="tr-TR"/>
                <w14:ligatures w14:val="none"/>
              </w:rPr>
              <w:t xml:space="preserve">Mikroorganizmaların metabolik faaliyetleri kullanılarak, çözünmüş organik maddelerin oksijen ile biyolojik oksidasyonu. Çözünmüş oksijen (hava veya saf oksijen olarak enjekte edilen) varlığında organik bileşenler, karbon dioksit veya suya mineralleştirilir veya </w:t>
            </w:r>
            <w:r w:rsidRPr="004D053D">
              <w:rPr>
                <w:rFonts w:ascii="Times New Roman" w:eastAsia="Times New Roman" w:hAnsi="Times New Roman" w:cs="Times New Roman"/>
                <w:color w:val="000000"/>
                <w:kern w:val="0"/>
                <w:lang w:eastAsia="tr-TR"/>
                <w14:ligatures w14:val="none"/>
              </w:rPr>
              <w:lastRenderedPageBreak/>
              <w:t xml:space="preserve">diğer metabolitlere ve biyokütleye (aktif çamur) dönüştürülür. Mikroorganizmalar, atık suda asılı bir şekilde tutulur ve tüm karışım, mekanik olarak havalandırılır. Aktif çamur karışımı, çöktürme havuzundan havalandırma tankına geri devir yaptırılır.  </w:t>
            </w:r>
          </w:p>
        </w:tc>
      </w:tr>
      <w:tr w:rsidR="0055515A" w:rsidRPr="0055515A" w14:paraId="30C95DC7" w14:textId="77777777" w:rsidTr="00541520">
        <w:trPr>
          <w:trHeight w:val="320"/>
        </w:trPr>
        <w:tc>
          <w:tcPr>
            <w:tcW w:w="2830" w:type="dxa"/>
            <w:shd w:val="clear" w:color="auto" w:fill="auto"/>
            <w:noWrap/>
            <w:vAlign w:val="bottom"/>
            <w:hideMark/>
          </w:tcPr>
          <w:p w14:paraId="6C7B1DCE"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lastRenderedPageBreak/>
              <w:t>Adsorpsiyon</w:t>
            </w:r>
          </w:p>
        </w:tc>
        <w:tc>
          <w:tcPr>
            <w:tcW w:w="6232" w:type="dxa"/>
            <w:shd w:val="clear" w:color="auto" w:fill="auto"/>
            <w:noWrap/>
            <w:vAlign w:val="bottom"/>
            <w:hideMark/>
          </w:tcPr>
          <w:p w14:paraId="4A33657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Bir sıvıdaki (örneğin atık su) bileşiklerin, genellikle aktif karbon olan bir katı yüzeye tutulmasıyla yapılan ayırma işlemidir.</w:t>
            </w:r>
          </w:p>
        </w:tc>
      </w:tr>
      <w:tr w:rsidR="0055515A" w:rsidRPr="0055515A" w14:paraId="6FAA8949" w14:textId="77777777" w:rsidTr="00541520">
        <w:trPr>
          <w:trHeight w:val="320"/>
        </w:trPr>
        <w:tc>
          <w:tcPr>
            <w:tcW w:w="2830" w:type="dxa"/>
            <w:shd w:val="clear" w:color="auto" w:fill="auto"/>
            <w:noWrap/>
            <w:vAlign w:val="bottom"/>
            <w:hideMark/>
          </w:tcPr>
          <w:p w14:paraId="381F6E5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Anaerobik arıtma</w:t>
            </w:r>
          </w:p>
        </w:tc>
        <w:tc>
          <w:tcPr>
            <w:tcW w:w="6232" w:type="dxa"/>
            <w:shd w:val="clear" w:color="auto" w:fill="auto"/>
            <w:noWrap/>
            <w:vAlign w:val="bottom"/>
            <w:hideMark/>
          </w:tcPr>
          <w:p w14:paraId="28D7D6CB" w14:textId="77777777" w:rsid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Çözünebilen organik ve inorganik kirleticilerin, oksijen olmadan mikroorganizmaların metabolizmasıyla biyolojik dönüşümü. Dönüşüm ürünleri metan, karbondioksit ve sülfür içerir. İşlem, havasız bir karıştırıcı reaktörde yapılır.</w:t>
            </w:r>
          </w:p>
          <w:p w14:paraId="7B57FA84" w14:textId="77777777" w:rsidR="00583525" w:rsidRPr="00583525" w:rsidRDefault="00583525" w:rsidP="00583525">
            <w:pPr>
              <w:spacing w:after="0" w:line="240" w:lineRule="auto"/>
              <w:rPr>
                <w:rFonts w:ascii="Times New Roman" w:eastAsia="Times New Roman" w:hAnsi="Times New Roman" w:cs="Times New Roman"/>
                <w:color w:val="000000"/>
                <w:kern w:val="0"/>
                <w:lang w:eastAsia="tr-TR"/>
                <w14:ligatures w14:val="none"/>
              </w:rPr>
            </w:pPr>
            <w:r w:rsidRPr="00583525">
              <w:rPr>
                <w:rFonts w:ascii="Times New Roman" w:eastAsia="Times New Roman" w:hAnsi="Times New Roman" w:cs="Times New Roman"/>
                <w:color w:val="000000"/>
                <w:kern w:val="0"/>
                <w:lang w:eastAsia="tr-TR"/>
                <w14:ligatures w14:val="none"/>
              </w:rPr>
              <w:t>En yaygın kullanılan reaktör tipleri şunlardır:</w:t>
            </w:r>
          </w:p>
          <w:p w14:paraId="793292CF" w14:textId="77777777" w:rsidR="00583525" w:rsidRPr="00583525" w:rsidRDefault="00583525" w:rsidP="00583525">
            <w:pPr>
              <w:spacing w:after="0" w:line="240" w:lineRule="auto"/>
              <w:rPr>
                <w:rFonts w:ascii="Times New Roman" w:eastAsia="Times New Roman" w:hAnsi="Times New Roman" w:cs="Times New Roman"/>
                <w:color w:val="000000"/>
                <w:kern w:val="0"/>
                <w:lang w:eastAsia="tr-TR"/>
                <w14:ligatures w14:val="none"/>
              </w:rPr>
            </w:pPr>
            <w:r w:rsidRPr="00583525">
              <w:rPr>
                <w:rFonts w:ascii="Times New Roman" w:eastAsia="Times New Roman" w:hAnsi="Times New Roman" w:cs="Times New Roman"/>
                <w:color w:val="000000"/>
                <w:kern w:val="0"/>
                <w:lang w:eastAsia="tr-TR"/>
                <w14:ligatures w14:val="none"/>
              </w:rPr>
              <w:t xml:space="preserve"> - anaerobik temas reaktörü;</w:t>
            </w:r>
          </w:p>
          <w:p w14:paraId="24370EF4" w14:textId="77777777" w:rsidR="00583525" w:rsidRPr="00583525" w:rsidRDefault="00583525" w:rsidP="00583525">
            <w:pPr>
              <w:spacing w:after="0" w:line="240" w:lineRule="auto"/>
              <w:rPr>
                <w:rFonts w:ascii="Times New Roman" w:eastAsia="Times New Roman" w:hAnsi="Times New Roman" w:cs="Times New Roman"/>
                <w:color w:val="000000"/>
                <w:kern w:val="0"/>
                <w:lang w:eastAsia="tr-TR"/>
                <w14:ligatures w14:val="none"/>
              </w:rPr>
            </w:pPr>
            <w:r w:rsidRPr="00583525">
              <w:rPr>
                <w:rFonts w:ascii="Times New Roman" w:eastAsia="Times New Roman" w:hAnsi="Times New Roman" w:cs="Times New Roman"/>
                <w:color w:val="000000"/>
                <w:kern w:val="0"/>
                <w:lang w:eastAsia="tr-TR"/>
                <w14:ligatures w14:val="none"/>
              </w:rPr>
              <w:t xml:space="preserve"> - yukarı akışlı anaerobik çamur örtüsü;</w:t>
            </w:r>
          </w:p>
          <w:p w14:paraId="6F4574F0" w14:textId="77777777" w:rsidR="00583525" w:rsidRPr="00583525" w:rsidRDefault="00583525" w:rsidP="00583525">
            <w:pPr>
              <w:spacing w:after="0" w:line="240" w:lineRule="auto"/>
              <w:rPr>
                <w:rFonts w:ascii="Times New Roman" w:eastAsia="Times New Roman" w:hAnsi="Times New Roman" w:cs="Times New Roman"/>
                <w:color w:val="000000"/>
                <w:kern w:val="0"/>
                <w:lang w:eastAsia="tr-TR"/>
                <w14:ligatures w14:val="none"/>
              </w:rPr>
            </w:pPr>
            <w:r w:rsidRPr="00583525">
              <w:rPr>
                <w:rFonts w:ascii="Times New Roman" w:eastAsia="Times New Roman" w:hAnsi="Times New Roman" w:cs="Times New Roman"/>
                <w:color w:val="000000"/>
                <w:kern w:val="0"/>
                <w:lang w:eastAsia="tr-TR"/>
                <w14:ligatures w14:val="none"/>
              </w:rPr>
              <w:t xml:space="preserve"> - sabit yataklı reaktör;</w:t>
            </w:r>
          </w:p>
          <w:p w14:paraId="56A41445" w14:textId="77777777" w:rsidR="00583525" w:rsidRPr="0055515A" w:rsidRDefault="00583525" w:rsidP="00583525">
            <w:pPr>
              <w:spacing w:after="0" w:line="240" w:lineRule="auto"/>
              <w:rPr>
                <w:rFonts w:ascii="Times New Roman" w:eastAsia="Times New Roman" w:hAnsi="Times New Roman" w:cs="Times New Roman"/>
                <w:color w:val="000000"/>
                <w:kern w:val="0"/>
                <w:lang w:eastAsia="tr-TR"/>
                <w14:ligatures w14:val="none"/>
              </w:rPr>
            </w:pPr>
            <w:r w:rsidRPr="00583525">
              <w:rPr>
                <w:rFonts w:ascii="Times New Roman" w:eastAsia="Times New Roman" w:hAnsi="Times New Roman" w:cs="Times New Roman"/>
                <w:color w:val="000000"/>
                <w:kern w:val="0"/>
                <w:lang w:eastAsia="tr-TR"/>
                <w14:ligatures w14:val="none"/>
              </w:rPr>
              <w:t xml:space="preserve"> - genişletilmiş yataklı reaktör.</w:t>
            </w:r>
          </w:p>
        </w:tc>
      </w:tr>
      <w:tr w:rsidR="0055515A" w:rsidRPr="0055515A" w14:paraId="6C29BB19" w14:textId="77777777" w:rsidTr="00541520">
        <w:trPr>
          <w:trHeight w:val="320"/>
        </w:trPr>
        <w:tc>
          <w:tcPr>
            <w:tcW w:w="2830" w:type="dxa"/>
            <w:shd w:val="clear" w:color="auto" w:fill="auto"/>
            <w:noWrap/>
            <w:vAlign w:val="bottom"/>
            <w:hideMark/>
          </w:tcPr>
          <w:p w14:paraId="7C6196C6"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Kimyasal oksidasyon</w:t>
            </w:r>
          </w:p>
        </w:tc>
        <w:tc>
          <w:tcPr>
            <w:tcW w:w="6232" w:type="dxa"/>
            <w:shd w:val="clear" w:color="auto" w:fill="auto"/>
            <w:noWrap/>
            <w:vAlign w:val="bottom"/>
            <w:hideMark/>
          </w:tcPr>
          <w:p w14:paraId="46E2217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Organik bileşiklerin, daha zararsız ve daha kolay biyolojik olarak çözünebilen bileşiklere oksitlenmesidir. Teknikler arasında ıslak oksidasyon veya ozonla veya hidrojen peroksit ile oksidasyon yer alır, genellikle katalizörler veya UV ışınları destek olarak kullanılır. Kimyasal oksidasyon, koku, tat ve renk kirliliğine neden olan organik bileşiklerin bozulmasında ve dezenfeksiyon amaçlarıyla da kullanılır.</w:t>
            </w:r>
          </w:p>
        </w:tc>
      </w:tr>
      <w:tr w:rsidR="0055515A" w:rsidRPr="0055515A" w14:paraId="059CDB9A" w14:textId="77777777" w:rsidTr="00541520">
        <w:trPr>
          <w:trHeight w:val="320"/>
        </w:trPr>
        <w:tc>
          <w:tcPr>
            <w:tcW w:w="2830" w:type="dxa"/>
            <w:shd w:val="clear" w:color="auto" w:fill="auto"/>
            <w:noWrap/>
            <w:vAlign w:val="bottom"/>
            <w:hideMark/>
          </w:tcPr>
          <w:p w14:paraId="17FBA02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Kimyasal indirgeme</w:t>
            </w:r>
          </w:p>
        </w:tc>
        <w:tc>
          <w:tcPr>
            <w:tcW w:w="6232" w:type="dxa"/>
            <w:shd w:val="clear" w:color="auto" w:fill="auto"/>
            <w:noWrap/>
            <w:vAlign w:val="bottom"/>
            <w:hideMark/>
          </w:tcPr>
          <w:p w14:paraId="2B3AB0C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Kirleticilerin, kimyasal indirgeme ajanları kullanılarak daha zararsız bileşiklere dönüştürülmesidir.</w:t>
            </w:r>
          </w:p>
        </w:tc>
      </w:tr>
      <w:tr w:rsidR="0055515A" w:rsidRPr="0055515A" w14:paraId="7DBA3401" w14:textId="77777777" w:rsidTr="00541520">
        <w:trPr>
          <w:trHeight w:val="320"/>
        </w:trPr>
        <w:tc>
          <w:tcPr>
            <w:tcW w:w="2830" w:type="dxa"/>
            <w:shd w:val="clear" w:color="auto" w:fill="auto"/>
            <w:noWrap/>
            <w:vAlign w:val="bottom"/>
            <w:hideMark/>
          </w:tcPr>
          <w:p w14:paraId="6DA1487B"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Koagülasyon ve flokülasyon</w:t>
            </w:r>
          </w:p>
        </w:tc>
        <w:tc>
          <w:tcPr>
            <w:tcW w:w="6232" w:type="dxa"/>
            <w:shd w:val="clear" w:color="auto" w:fill="auto"/>
            <w:noWrap/>
            <w:vAlign w:val="bottom"/>
            <w:hideMark/>
          </w:tcPr>
          <w:p w14:paraId="5F6696F6" w14:textId="77777777" w:rsidR="0055515A" w:rsidRPr="0055515A" w:rsidRDefault="004D053D" w:rsidP="004D053D">
            <w:pPr>
              <w:spacing w:after="0" w:line="240" w:lineRule="auto"/>
              <w:jc w:val="both"/>
              <w:rPr>
                <w:rFonts w:ascii="Times New Roman" w:eastAsia="Times New Roman" w:hAnsi="Times New Roman" w:cs="Times New Roman"/>
                <w:color w:val="000000"/>
                <w:kern w:val="0"/>
                <w:lang w:eastAsia="tr-TR"/>
                <w14:ligatures w14:val="none"/>
              </w:rPr>
            </w:pPr>
            <w:r w:rsidRPr="004D053D">
              <w:rPr>
                <w:rFonts w:ascii="Times New Roman" w:eastAsia="Times New Roman" w:hAnsi="Times New Roman" w:cs="Times New Roman"/>
                <w:color w:val="000000"/>
                <w:kern w:val="0"/>
                <w:lang w:eastAsia="tr-TR"/>
                <w14:ligatures w14:val="none"/>
              </w:rPr>
              <w:t>Koagülasyon ve flokülasyon, askıda katı maddeleri atık sudan ayırmak için kullanılır ve çoğu kez art arda gerçekleştirilir. Koagülasyon işlemi, askıda katı maddelere göre zıt yüklü koagülanların eklenmesiyle gerçekleştirilir. Flokülasyon işlemi, mikroflok partiküllerin bir araya gelmesi ve daha büyük floklar üretebilmesi için, polimer eklenmesiyle gerçekleştirilir.</w:t>
            </w:r>
          </w:p>
        </w:tc>
      </w:tr>
      <w:tr w:rsidR="0055515A" w:rsidRPr="0055515A" w14:paraId="66516A35" w14:textId="77777777" w:rsidTr="00541520">
        <w:trPr>
          <w:trHeight w:val="320"/>
        </w:trPr>
        <w:tc>
          <w:tcPr>
            <w:tcW w:w="2830" w:type="dxa"/>
            <w:shd w:val="clear" w:color="auto" w:fill="auto"/>
            <w:noWrap/>
            <w:vAlign w:val="bottom"/>
            <w:hideMark/>
          </w:tcPr>
          <w:p w14:paraId="6B6A05FE"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Eşitleme</w:t>
            </w:r>
          </w:p>
        </w:tc>
        <w:tc>
          <w:tcPr>
            <w:tcW w:w="6232" w:type="dxa"/>
            <w:shd w:val="clear" w:color="auto" w:fill="auto"/>
            <w:noWrap/>
            <w:vAlign w:val="bottom"/>
            <w:hideMark/>
          </w:tcPr>
          <w:p w14:paraId="5D74D663"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Tanklar veya diğer yönetim teknikleri kullanılarak akışların ve kirletici yüklerin dengelemesi.</w:t>
            </w:r>
          </w:p>
        </w:tc>
      </w:tr>
      <w:tr w:rsidR="0055515A" w:rsidRPr="0055515A" w14:paraId="7E0846E3" w14:textId="77777777" w:rsidTr="00541520">
        <w:trPr>
          <w:trHeight w:val="320"/>
        </w:trPr>
        <w:tc>
          <w:tcPr>
            <w:tcW w:w="2830" w:type="dxa"/>
            <w:shd w:val="clear" w:color="auto" w:fill="auto"/>
            <w:noWrap/>
            <w:vAlign w:val="bottom"/>
            <w:hideMark/>
          </w:tcPr>
          <w:p w14:paraId="5C644FB7"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Buharlaştırma</w:t>
            </w:r>
          </w:p>
        </w:tc>
        <w:tc>
          <w:tcPr>
            <w:tcW w:w="6232" w:type="dxa"/>
            <w:shd w:val="clear" w:color="auto" w:fill="auto"/>
            <w:noWrap/>
            <w:vAlign w:val="bottom"/>
            <w:hideMark/>
          </w:tcPr>
          <w:p w14:paraId="0F52FED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Yüksek kaynama noktasına sahip maddelerin suyun buhar fazına geçirilmesiyle, suyun buharlaştırılarak yoğunlaştırılması ve ardından yeniden kullanım, işleme veya atık su arıtma amacıyla distilasyonun kullanılmasıdır. Tipik olarak, enerji talebini azaltmak için arttırılan vakumlarla çok aşamalı ünitelerde yapılır. Su buharları yoğunlaştırılır, yeniden kullanılır veya atık su olarak deşarj edilir.</w:t>
            </w:r>
          </w:p>
        </w:tc>
      </w:tr>
      <w:tr w:rsidR="0055515A" w:rsidRPr="0055515A" w14:paraId="7322F9D1" w14:textId="77777777" w:rsidTr="00541520">
        <w:trPr>
          <w:trHeight w:val="320"/>
        </w:trPr>
        <w:tc>
          <w:tcPr>
            <w:tcW w:w="2830" w:type="dxa"/>
            <w:shd w:val="clear" w:color="auto" w:fill="auto"/>
            <w:noWrap/>
            <w:vAlign w:val="bottom"/>
            <w:hideMark/>
          </w:tcPr>
          <w:p w14:paraId="1E94742B"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Filtrasyon</w:t>
            </w:r>
          </w:p>
        </w:tc>
        <w:tc>
          <w:tcPr>
            <w:tcW w:w="6232" w:type="dxa"/>
            <w:shd w:val="clear" w:color="auto" w:fill="auto"/>
            <w:noWrap/>
            <w:vAlign w:val="bottom"/>
            <w:hideMark/>
          </w:tcPr>
          <w:p w14:paraId="40395948"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Katıların, suyun içinden geçirilen gözenekli bir ortam (örneğin kum veya membran filtrasyonu) aracılığıyla atık sudan ayrılması işlemidir.</w:t>
            </w:r>
          </w:p>
        </w:tc>
      </w:tr>
      <w:tr w:rsidR="0055515A" w:rsidRPr="0055515A" w14:paraId="3ADAA2AF" w14:textId="77777777" w:rsidTr="00541520">
        <w:trPr>
          <w:trHeight w:val="320"/>
        </w:trPr>
        <w:tc>
          <w:tcPr>
            <w:tcW w:w="2830" w:type="dxa"/>
            <w:shd w:val="clear" w:color="auto" w:fill="auto"/>
            <w:noWrap/>
            <w:vAlign w:val="bottom"/>
            <w:hideMark/>
          </w:tcPr>
          <w:p w14:paraId="1FD6BEE3"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Flotasyon</w:t>
            </w:r>
          </w:p>
        </w:tc>
        <w:tc>
          <w:tcPr>
            <w:tcW w:w="6232" w:type="dxa"/>
            <w:shd w:val="clear" w:color="auto" w:fill="auto"/>
            <w:noWrap/>
            <w:vAlign w:val="bottom"/>
            <w:hideMark/>
          </w:tcPr>
          <w:p w14:paraId="0C65DCF7"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Katı veya sıvı partiküllerin, ince gaz kabarcıkları, genellikle hava ile atık sudan ayrılmasını sağlar. Yüzeyde toplanan yüzen partiküller, kepçeler kullanılarak toplanır.</w:t>
            </w:r>
          </w:p>
        </w:tc>
      </w:tr>
      <w:tr w:rsidR="0055515A" w:rsidRPr="0055515A" w14:paraId="358CA25E" w14:textId="77777777" w:rsidTr="00541520">
        <w:trPr>
          <w:trHeight w:val="320"/>
        </w:trPr>
        <w:tc>
          <w:tcPr>
            <w:tcW w:w="2830" w:type="dxa"/>
            <w:shd w:val="clear" w:color="auto" w:fill="auto"/>
            <w:noWrap/>
            <w:vAlign w:val="bottom"/>
            <w:hideMark/>
          </w:tcPr>
          <w:p w14:paraId="709FDAD4"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Membran biyoreaktörü</w:t>
            </w:r>
          </w:p>
        </w:tc>
        <w:tc>
          <w:tcPr>
            <w:tcW w:w="6232" w:type="dxa"/>
            <w:shd w:val="clear" w:color="auto" w:fill="auto"/>
            <w:noWrap/>
            <w:vAlign w:val="bottom"/>
            <w:hideMark/>
          </w:tcPr>
          <w:p w14:paraId="3F9AED41"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Aktif çamur arıtma ve membran filtrasyonunun birleşimi. İki varyantı kullanılır: a) aktif çamur tankı ile membran modülü arasında harici bir geri sirkülasyon döngüsü; ve b) membran modülünün havalandırılmış aktif çamur tankına daldırılması, burada çıkış suyu, boşluklu elyaf membranı aracılığıyla filtrelenir ve biyomass tankta kalır.</w:t>
            </w:r>
          </w:p>
        </w:tc>
      </w:tr>
      <w:tr w:rsidR="0055515A" w:rsidRPr="0055515A" w14:paraId="3F5867D2" w14:textId="77777777" w:rsidTr="00541520">
        <w:trPr>
          <w:trHeight w:val="320"/>
        </w:trPr>
        <w:tc>
          <w:tcPr>
            <w:tcW w:w="2830" w:type="dxa"/>
            <w:shd w:val="clear" w:color="auto" w:fill="auto"/>
            <w:noWrap/>
            <w:vAlign w:val="bottom"/>
            <w:hideMark/>
          </w:tcPr>
          <w:p w14:paraId="6F3DBC20"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Membran filtrasyonu</w:t>
            </w:r>
          </w:p>
        </w:tc>
        <w:tc>
          <w:tcPr>
            <w:tcW w:w="6232" w:type="dxa"/>
            <w:shd w:val="clear" w:color="auto" w:fill="auto"/>
            <w:noWrap/>
            <w:vAlign w:val="bottom"/>
            <w:hideMark/>
          </w:tcPr>
          <w:p w14:paraId="2E66F88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 xml:space="preserve">Mikrofiltirasyon, ultrafiltrasyon, nanofiltrasyon ve ters ozmoz, atık sularda bulunan askıda ve kolloidal partikülleri membranın bir tarafında tutan ve yoğunlaştıran membran filtrasyon prosesleridir. </w:t>
            </w:r>
            <w:r w:rsidRPr="0055515A">
              <w:rPr>
                <w:rFonts w:ascii="Times New Roman" w:eastAsia="Times New Roman" w:hAnsi="Times New Roman" w:cs="Times New Roman"/>
                <w:color w:val="000000"/>
                <w:kern w:val="0"/>
                <w:lang w:eastAsia="tr-TR"/>
                <w14:ligatures w14:val="none"/>
              </w:rPr>
              <w:lastRenderedPageBreak/>
              <w:t>Bu işlemler, membran gözenek boyutları ve hidrostatik basınca göre farklılık gösterir.</w:t>
            </w:r>
          </w:p>
        </w:tc>
      </w:tr>
      <w:tr w:rsidR="0055515A" w:rsidRPr="0055515A" w14:paraId="7241B6BC" w14:textId="77777777" w:rsidTr="00541520">
        <w:trPr>
          <w:trHeight w:val="320"/>
        </w:trPr>
        <w:tc>
          <w:tcPr>
            <w:tcW w:w="2830" w:type="dxa"/>
            <w:shd w:val="clear" w:color="auto" w:fill="auto"/>
            <w:noWrap/>
            <w:vAlign w:val="bottom"/>
            <w:hideMark/>
          </w:tcPr>
          <w:p w14:paraId="3D93BFE7"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lastRenderedPageBreak/>
              <w:t>Nötralizasyon</w:t>
            </w:r>
          </w:p>
        </w:tc>
        <w:tc>
          <w:tcPr>
            <w:tcW w:w="6232" w:type="dxa"/>
            <w:shd w:val="clear" w:color="auto" w:fill="auto"/>
            <w:noWrap/>
            <w:vAlign w:val="bottom"/>
            <w:hideMark/>
          </w:tcPr>
          <w:p w14:paraId="6835C7D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Atık suyun pH seviyesinin nötr bir seviyeye (yaklaşık 7) kimyasallar eklenerek ayarlanmasıdır. pH artırmak için sodyum hidroksit (NaOH) veya kalsiyum hidroksit (Ca(OH)2), pH'ı düşürmek için ise sülfürik asit (H2SO4), hidroklorik asit (HCl) veya karbondioksit (CO2) kullanılabilir. Bazı kirleticiler nötralizasyon sırasında çözünmeyen bileşikler olarak çökeltilir.</w:t>
            </w:r>
          </w:p>
        </w:tc>
      </w:tr>
      <w:tr w:rsidR="0055515A" w:rsidRPr="0055515A" w14:paraId="423ED3F7" w14:textId="77777777" w:rsidTr="00541520">
        <w:trPr>
          <w:trHeight w:val="320"/>
        </w:trPr>
        <w:tc>
          <w:tcPr>
            <w:tcW w:w="2830" w:type="dxa"/>
            <w:shd w:val="clear" w:color="auto" w:fill="auto"/>
            <w:noWrap/>
            <w:vAlign w:val="bottom"/>
            <w:hideMark/>
          </w:tcPr>
          <w:p w14:paraId="5E0C4CBF"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Nitrifikasyon/denitrifikasyon</w:t>
            </w:r>
          </w:p>
        </w:tc>
        <w:tc>
          <w:tcPr>
            <w:tcW w:w="6232" w:type="dxa"/>
            <w:shd w:val="clear" w:color="auto" w:fill="auto"/>
            <w:noWrap/>
            <w:vAlign w:val="bottom"/>
            <w:hideMark/>
          </w:tcPr>
          <w:p w14:paraId="18E91E5F"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Genellikle biyolojik atık su arıtma tesislerinde kullanılan iki aşamalı bir süreçtir. İlk aşama aerobik nitrifikasyondur; burada mikroorganizmalar amonyumu (NH4+) nitrit (NO2-) dönüşümüne oksitler, ardından nitrat (NO3-) dönüşümüne oksitlenir. Sonraki anoksik denitrifikasyon aşamasında, mikroorganizmalar nitratı azot gazına indirger.</w:t>
            </w:r>
          </w:p>
        </w:tc>
      </w:tr>
      <w:tr w:rsidR="0055515A" w:rsidRPr="0055515A" w14:paraId="1B0F9C38" w14:textId="77777777" w:rsidTr="00541520">
        <w:trPr>
          <w:trHeight w:val="320"/>
        </w:trPr>
        <w:tc>
          <w:tcPr>
            <w:tcW w:w="2830" w:type="dxa"/>
            <w:shd w:val="clear" w:color="auto" w:fill="auto"/>
            <w:noWrap/>
            <w:vAlign w:val="bottom"/>
            <w:hideMark/>
          </w:tcPr>
          <w:p w14:paraId="7F568012"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Yağ-su ayırma</w:t>
            </w:r>
          </w:p>
        </w:tc>
        <w:tc>
          <w:tcPr>
            <w:tcW w:w="6232" w:type="dxa"/>
            <w:shd w:val="clear" w:color="auto" w:fill="auto"/>
            <w:noWrap/>
            <w:vAlign w:val="bottom"/>
            <w:hideMark/>
          </w:tcPr>
          <w:p w14:paraId="347C2E7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Yağ ve suyun ayrılması, ardından serbest yağın yerçekimiyle ayrılması veya emülsiyon kırma (emetik kırıcı kimyasallar kullanarak, örneğin metal tuzları, mineral asitler, adsorbanlar ve organik polimerler) işlemidir.</w:t>
            </w:r>
          </w:p>
        </w:tc>
      </w:tr>
      <w:tr w:rsidR="0055515A" w:rsidRPr="0055515A" w14:paraId="05ACDA31" w14:textId="77777777" w:rsidTr="00541520">
        <w:trPr>
          <w:trHeight w:val="320"/>
        </w:trPr>
        <w:tc>
          <w:tcPr>
            <w:tcW w:w="2830" w:type="dxa"/>
            <w:shd w:val="clear" w:color="auto" w:fill="auto"/>
            <w:noWrap/>
            <w:vAlign w:val="bottom"/>
            <w:hideMark/>
          </w:tcPr>
          <w:p w14:paraId="40E8D607"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Eleme ve kum ayırma</w:t>
            </w:r>
          </w:p>
        </w:tc>
        <w:tc>
          <w:tcPr>
            <w:tcW w:w="6232" w:type="dxa"/>
            <w:shd w:val="clear" w:color="auto" w:fill="auto"/>
            <w:noWrap/>
            <w:vAlign w:val="bottom"/>
            <w:hideMark/>
          </w:tcPr>
          <w:p w14:paraId="3F67A189"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Tekstil atık suyundan suyu ve çözünmeyen kirleticileri (kum, elyaf, lifi vb.) ayırmak için ekranlar aracılığıyla filtreleme veya kum odalarındaki yerçekimi ile ayrılma işlemidir.</w:t>
            </w:r>
          </w:p>
        </w:tc>
      </w:tr>
      <w:tr w:rsidR="0055515A" w:rsidRPr="0055515A" w14:paraId="0874F8B0" w14:textId="77777777" w:rsidTr="00541520">
        <w:trPr>
          <w:trHeight w:val="320"/>
        </w:trPr>
        <w:tc>
          <w:tcPr>
            <w:tcW w:w="2830" w:type="dxa"/>
            <w:shd w:val="clear" w:color="auto" w:fill="auto"/>
            <w:noWrap/>
            <w:vAlign w:val="bottom"/>
            <w:hideMark/>
          </w:tcPr>
          <w:p w14:paraId="533B3FF9"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Çökelme</w:t>
            </w:r>
          </w:p>
        </w:tc>
        <w:tc>
          <w:tcPr>
            <w:tcW w:w="6232" w:type="dxa"/>
            <w:shd w:val="clear" w:color="auto" w:fill="auto"/>
            <w:noWrap/>
            <w:vAlign w:val="bottom"/>
            <w:hideMark/>
          </w:tcPr>
          <w:p w14:paraId="231219D0"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Çözünmüş kirleticilerin, çökeltiler eklenerek çözünmeyen bileşiklere dönüştürülmesidir. Oluşan katı çökeltiler, ardından sedimantasyon, hava flotasyonu veya filtrasyonla ayrılır.</w:t>
            </w:r>
          </w:p>
        </w:tc>
      </w:tr>
      <w:tr w:rsidR="0055515A" w:rsidRPr="0055515A" w14:paraId="47D73C5E" w14:textId="77777777" w:rsidTr="00541520">
        <w:trPr>
          <w:trHeight w:val="320"/>
        </w:trPr>
        <w:tc>
          <w:tcPr>
            <w:tcW w:w="2830" w:type="dxa"/>
            <w:shd w:val="clear" w:color="auto" w:fill="auto"/>
            <w:noWrap/>
            <w:vAlign w:val="bottom"/>
            <w:hideMark/>
          </w:tcPr>
          <w:p w14:paraId="0A752D4A"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Sedimantasyon</w:t>
            </w:r>
          </w:p>
        </w:tc>
        <w:tc>
          <w:tcPr>
            <w:tcW w:w="6232" w:type="dxa"/>
            <w:shd w:val="clear" w:color="auto" w:fill="auto"/>
            <w:noWrap/>
            <w:vAlign w:val="bottom"/>
            <w:hideMark/>
          </w:tcPr>
          <w:p w14:paraId="4C572FF2"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Askıda bulunan parçacıkların yerçekimiyle çökeltilmesi işlemidir.</w:t>
            </w:r>
          </w:p>
        </w:tc>
      </w:tr>
    </w:tbl>
    <w:p w14:paraId="2733B9BE" w14:textId="11C95BEF" w:rsidR="0055515A" w:rsidRPr="0055515A" w:rsidRDefault="0055515A" w:rsidP="0055515A">
      <w:pPr>
        <w:spacing w:before="100" w:beforeAutospacing="1" w:after="100" w:afterAutospacing="1" w:line="240" w:lineRule="auto"/>
        <w:rPr>
          <w:rFonts w:ascii="Times New Roman" w:eastAsia="Times New Roman" w:hAnsi="Times New Roman" w:cs="Times New Roman"/>
          <w:color w:val="000000"/>
          <w:kern w:val="0"/>
          <w:sz w:val="24"/>
          <w:szCs w:val="24"/>
          <w:lang w:eastAsia="tr-TR"/>
          <w14:ligatures w14:val="none"/>
        </w:rPr>
      </w:pPr>
      <w:r w:rsidRPr="0055515A">
        <w:rPr>
          <w:rFonts w:ascii="Times New Roman" w:eastAsia="Times New Roman" w:hAnsi="Times New Roman" w:cs="Times New Roman"/>
          <w:b/>
          <w:bCs/>
          <w:color w:val="000000"/>
          <w:kern w:val="0"/>
          <w:sz w:val="24"/>
          <w:szCs w:val="24"/>
          <w:lang w:eastAsia="tr-TR"/>
          <w14:ligatures w14:val="none"/>
        </w:rPr>
        <w:t>1.9.4.</w:t>
      </w:r>
      <w:r w:rsidRPr="0055515A">
        <w:rPr>
          <w:rFonts w:ascii="Times New Roman" w:eastAsia="Times New Roman" w:hAnsi="Times New Roman" w:cs="Times New Roman"/>
          <w:color w:val="000000"/>
          <w:kern w:val="0"/>
          <w:sz w:val="24"/>
          <w:szCs w:val="24"/>
          <w:lang w:eastAsia="tr-TR"/>
          <w14:ligatures w14:val="none"/>
        </w:rPr>
        <w:t xml:space="preserve"> </w:t>
      </w:r>
      <w:r w:rsidRPr="0055515A">
        <w:rPr>
          <w:rFonts w:ascii="Times New Roman" w:eastAsia="Times New Roman" w:hAnsi="Times New Roman" w:cs="Times New Roman"/>
          <w:b/>
          <w:bCs/>
          <w:color w:val="000000"/>
          <w:kern w:val="0"/>
          <w:sz w:val="24"/>
          <w:szCs w:val="24"/>
          <w:lang w:eastAsia="tr-TR"/>
          <w14:ligatures w14:val="none"/>
        </w:rPr>
        <w:t>Su, enerji ve kimyasal tüketimini azaltma teknikleri</w:t>
      </w:r>
    </w:p>
    <w:tbl>
      <w:tblPr>
        <w:tblW w:w="9060" w:type="dxa"/>
        <w:tblCellMar>
          <w:left w:w="70" w:type="dxa"/>
          <w:right w:w="70" w:type="dxa"/>
        </w:tblCellMar>
        <w:tblLook w:val="04A0" w:firstRow="1" w:lastRow="0" w:firstColumn="1" w:lastColumn="0" w:noHBand="0" w:noVBand="1"/>
      </w:tblPr>
      <w:tblGrid>
        <w:gridCol w:w="2830"/>
        <w:gridCol w:w="6230"/>
      </w:tblGrid>
      <w:tr w:rsidR="0055515A" w:rsidRPr="0055515A" w14:paraId="6FA32975" w14:textId="77777777" w:rsidTr="0082590D">
        <w:trPr>
          <w:trHeight w:val="32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696E77"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Teknik</w:t>
            </w:r>
          </w:p>
        </w:tc>
        <w:tc>
          <w:tcPr>
            <w:tcW w:w="6230" w:type="dxa"/>
            <w:tcBorders>
              <w:top w:val="single" w:sz="4" w:space="0" w:color="auto"/>
              <w:left w:val="nil"/>
              <w:bottom w:val="single" w:sz="4" w:space="0" w:color="auto"/>
              <w:right w:val="single" w:sz="4" w:space="0" w:color="auto"/>
            </w:tcBorders>
            <w:shd w:val="clear" w:color="auto" w:fill="auto"/>
            <w:noWrap/>
            <w:vAlign w:val="bottom"/>
            <w:hideMark/>
          </w:tcPr>
          <w:p w14:paraId="15BF86CD" w14:textId="77777777" w:rsidR="0055515A" w:rsidRPr="0055515A" w:rsidRDefault="0055515A" w:rsidP="0055515A">
            <w:pPr>
              <w:spacing w:after="0" w:line="240" w:lineRule="auto"/>
              <w:rPr>
                <w:rFonts w:ascii="Times New Roman" w:eastAsia="Times New Roman" w:hAnsi="Times New Roman" w:cs="Times New Roman"/>
                <w:b/>
                <w:bCs/>
                <w:color w:val="000000"/>
                <w:kern w:val="0"/>
                <w:lang w:eastAsia="tr-TR"/>
                <w14:ligatures w14:val="none"/>
              </w:rPr>
            </w:pPr>
            <w:r w:rsidRPr="0055515A">
              <w:rPr>
                <w:rFonts w:ascii="Times New Roman" w:eastAsia="Times New Roman" w:hAnsi="Times New Roman" w:cs="Times New Roman"/>
                <w:b/>
                <w:bCs/>
                <w:color w:val="000000"/>
                <w:kern w:val="0"/>
                <w:lang w:eastAsia="tr-TR"/>
                <w14:ligatures w14:val="none"/>
              </w:rPr>
              <w:t>Açıklama</w:t>
            </w:r>
          </w:p>
        </w:tc>
      </w:tr>
      <w:tr w:rsidR="0055515A" w:rsidRPr="0055515A" w14:paraId="62A34F30"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17A562D"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Soğuk boyama işlemi</w:t>
            </w:r>
          </w:p>
        </w:tc>
        <w:tc>
          <w:tcPr>
            <w:tcW w:w="6230" w:type="dxa"/>
            <w:tcBorders>
              <w:top w:val="nil"/>
              <w:left w:val="nil"/>
              <w:bottom w:val="single" w:sz="4" w:space="0" w:color="auto"/>
              <w:right w:val="single" w:sz="4" w:space="0" w:color="auto"/>
            </w:tcBorders>
            <w:shd w:val="clear" w:color="auto" w:fill="auto"/>
            <w:noWrap/>
            <w:vAlign w:val="bottom"/>
            <w:hideMark/>
          </w:tcPr>
          <w:p w14:paraId="2D48F31C"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Soğuk boyama işleminde, işlem sıvısı (örneğin foulard ile) ile uygulama yapılır ve emdirilen kumaş, oda sıcaklığında uzun bir süre boyunca yavaşça döndürülür. Bu teknik, kimyasalların tüketimini azaltır ve ısıl sabitleme gibi son işlemleri gerektirmediğinden enerji tüketimini de düşürür.</w:t>
            </w:r>
          </w:p>
        </w:tc>
      </w:tr>
      <w:tr w:rsidR="0055515A" w:rsidRPr="0055515A" w14:paraId="437D3851"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E21D25C"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Düşük sıvı oranlı sistemler (</w:t>
            </w:r>
            <w:r w:rsidR="001F0B70" w:rsidRPr="008679D6">
              <w:rPr>
                <w:rFonts w:ascii="Times New Roman" w:eastAsia="Times New Roman" w:hAnsi="Times New Roman" w:cs="Times New Roman"/>
                <w:bCs/>
                <w:color w:val="000000"/>
                <w:kern w:val="0"/>
                <w:lang w:eastAsia="tr-TR"/>
                <w14:ligatures w14:val="none"/>
              </w:rPr>
              <w:t xml:space="preserve">kesikli </w:t>
            </w:r>
            <w:r w:rsidRPr="008679D6">
              <w:rPr>
                <w:rFonts w:ascii="Times New Roman" w:eastAsia="Times New Roman" w:hAnsi="Times New Roman" w:cs="Times New Roman"/>
                <w:bCs/>
                <w:color w:val="000000"/>
                <w:kern w:val="0"/>
                <w:lang w:eastAsia="tr-TR"/>
                <w14:ligatures w14:val="none"/>
              </w:rPr>
              <w:t>işlemleri için)</w:t>
            </w:r>
          </w:p>
        </w:tc>
        <w:tc>
          <w:tcPr>
            <w:tcW w:w="6230" w:type="dxa"/>
            <w:tcBorders>
              <w:top w:val="nil"/>
              <w:left w:val="nil"/>
              <w:bottom w:val="single" w:sz="4" w:space="0" w:color="auto"/>
              <w:right w:val="single" w:sz="4" w:space="0" w:color="auto"/>
            </w:tcBorders>
            <w:shd w:val="clear" w:color="auto" w:fill="auto"/>
            <w:noWrap/>
            <w:vAlign w:val="bottom"/>
            <w:hideMark/>
          </w:tcPr>
          <w:p w14:paraId="628FD8CE"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Düşük sıvı oranı, tekstil malzemeleri ile işlem sıvısı arasındaki teması iyileştirerek (örneğin işlem sıvısında türbülans yaratmak), gelişmiş işlem izleme, işlem sıvısının daha iyi dozajı ve uygulanması (örneğin, jetler veya spreyler ile) ve işlem sıvısının yıkama veya durulama suyu ile karışmasının önlenmesiyle elde edilebilir.</w:t>
            </w:r>
          </w:p>
        </w:tc>
      </w:tr>
      <w:tr w:rsidR="0055515A" w:rsidRPr="0055515A" w14:paraId="00A54BAA" w14:textId="77777777" w:rsidTr="0082590D">
        <w:trPr>
          <w:trHeight w:val="32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5E66154" w14:textId="77777777" w:rsidR="0055515A" w:rsidRPr="008679D6" w:rsidRDefault="0055515A" w:rsidP="0055515A">
            <w:pPr>
              <w:spacing w:after="0" w:line="240" w:lineRule="auto"/>
              <w:rPr>
                <w:rFonts w:ascii="Times New Roman" w:eastAsia="Times New Roman" w:hAnsi="Times New Roman" w:cs="Times New Roman"/>
                <w:bCs/>
                <w:color w:val="000000"/>
                <w:kern w:val="0"/>
                <w:lang w:eastAsia="tr-TR"/>
                <w14:ligatures w14:val="none"/>
              </w:rPr>
            </w:pPr>
            <w:r w:rsidRPr="008679D6">
              <w:rPr>
                <w:rFonts w:ascii="Times New Roman" w:eastAsia="Times New Roman" w:hAnsi="Times New Roman" w:cs="Times New Roman"/>
                <w:bCs/>
                <w:color w:val="000000"/>
                <w:kern w:val="0"/>
                <w:lang w:eastAsia="tr-TR"/>
                <w14:ligatures w14:val="none"/>
              </w:rPr>
              <w:t>Düşük hacimli uygulama sistemleri (sürekli işlemler için)</w:t>
            </w:r>
          </w:p>
        </w:tc>
        <w:tc>
          <w:tcPr>
            <w:tcW w:w="6230" w:type="dxa"/>
            <w:tcBorders>
              <w:top w:val="nil"/>
              <w:left w:val="nil"/>
              <w:bottom w:val="single" w:sz="4" w:space="0" w:color="auto"/>
              <w:right w:val="single" w:sz="4" w:space="0" w:color="auto"/>
            </w:tcBorders>
            <w:shd w:val="clear" w:color="auto" w:fill="auto"/>
            <w:noWrap/>
            <w:vAlign w:val="bottom"/>
            <w:hideMark/>
          </w:tcPr>
          <w:p w14:paraId="6230AE8D" w14:textId="77777777" w:rsidR="0055515A" w:rsidRPr="0055515A" w:rsidRDefault="0055515A" w:rsidP="0055515A">
            <w:pPr>
              <w:spacing w:after="0" w:line="240" w:lineRule="auto"/>
              <w:rPr>
                <w:rFonts w:ascii="Times New Roman" w:eastAsia="Times New Roman" w:hAnsi="Times New Roman" w:cs="Times New Roman"/>
                <w:color w:val="000000"/>
                <w:kern w:val="0"/>
                <w:lang w:eastAsia="tr-TR"/>
                <w14:ligatures w14:val="none"/>
              </w:rPr>
            </w:pPr>
            <w:r w:rsidRPr="0055515A">
              <w:rPr>
                <w:rFonts w:ascii="Times New Roman" w:eastAsia="Times New Roman" w:hAnsi="Times New Roman" w:cs="Times New Roman"/>
                <w:color w:val="000000"/>
                <w:kern w:val="0"/>
                <w:lang w:eastAsia="tr-TR"/>
                <w14:ligatures w14:val="none"/>
              </w:rPr>
              <w:t>Kumaş, işlem sıvısı ile spreyleme, kumaş yoluyla vakum emişi, köpükleme, dolgu ve niplerde (iki silindirin arasındaki boşlukta işlem sıvısı) veya azaltılmış hacimli tanklarda daldırma gibi yöntemlerle emdirilir.</w:t>
            </w:r>
          </w:p>
        </w:tc>
      </w:tr>
    </w:tbl>
    <w:p w14:paraId="60547692" w14:textId="77777777" w:rsidR="0055515A" w:rsidRPr="0055515A" w:rsidRDefault="0055515A" w:rsidP="0055515A">
      <w:pPr>
        <w:spacing w:before="100" w:beforeAutospacing="1" w:after="100" w:afterAutospacing="1" w:line="240" w:lineRule="auto"/>
        <w:rPr>
          <w:rFonts w:ascii="Times New Roman" w:eastAsia="Times New Roman" w:hAnsi="Times New Roman" w:cs="Times New Roman"/>
          <w:b/>
          <w:bCs/>
          <w:color w:val="000000"/>
          <w:kern w:val="0"/>
          <w:lang w:eastAsia="tr-TR"/>
          <w14:ligatures w14:val="none"/>
        </w:rPr>
      </w:pPr>
    </w:p>
    <w:p w14:paraId="2355B9A0" w14:textId="77777777" w:rsidR="0055515A" w:rsidRDefault="0055515A" w:rsidP="00B97F8E">
      <w:pPr>
        <w:spacing w:after="120" w:line="276" w:lineRule="auto"/>
        <w:jc w:val="both"/>
        <w:rPr>
          <w:rFonts w:ascii="Times New Roman" w:hAnsi="Times New Roman" w:cs="Times New Roman"/>
          <w:sz w:val="24"/>
          <w:szCs w:val="24"/>
        </w:rPr>
      </w:pPr>
    </w:p>
    <w:p w14:paraId="2ABEF45C" w14:textId="77777777" w:rsidR="00BF3865" w:rsidRDefault="00BF3865" w:rsidP="00B97F8E">
      <w:pPr>
        <w:spacing w:after="120" w:line="276" w:lineRule="auto"/>
        <w:jc w:val="both"/>
        <w:rPr>
          <w:rFonts w:ascii="Times New Roman" w:hAnsi="Times New Roman" w:cs="Times New Roman"/>
          <w:sz w:val="24"/>
          <w:szCs w:val="24"/>
        </w:rPr>
      </w:pPr>
    </w:p>
    <w:p w14:paraId="7AB140F7" w14:textId="77777777" w:rsidR="00BF3865" w:rsidRDefault="00BF3865" w:rsidP="00B97F8E">
      <w:pPr>
        <w:spacing w:after="120" w:line="276" w:lineRule="auto"/>
        <w:jc w:val="both"/>
        <w:rPr>
          <w:rFonts w:ascii="Times New Roman" w:hAnsi="Times New Roman" w:cs="Times New Roman"/>
          <w:sz w:val="24"/>
          <w:szCs w:val="24"/>
        </w:rPr>
        <w:sectPr w:rsidR="00BF3865">
          <w:pgSz w:w="11906" w:h="16838"/>
          <w:pgMar w:top="1417" w:right="1417" w:bottom="1417" w:left="1417" w:header="708" w:footer="708" w:gutter="0"/>
          <w:cols w:space="708"/>
          <w:docGrid w:linePitch="360"/>
        </w:sectPr>
      </w:pPr>
    </w:p>
    <w:p w14:paraId="7D1631DF" w14:textId="77777777" w:rsidR="003B6528" w:rsidRPr="007F1D69" w:rsidRDefault="003B6528" w:rsidP="003B6528">
      <w:pPr>
        <w:pStyle w:val="Balk1"/>
        <w:spacing w:before="0" w:after="120" w:line="276" w:lineRule="auto"/>
        <w:jc w:val="right"/>
        <w:rPr>
          <w:rFonts w:cs="Times New Roman"/>
          <w:b w:val="0"/>
          <w:bCs/>
          <w:szCs w:val="24"/>
        </w:rPr>
      </w:pPr>
      <w:r>
        <w:rPr>
          <w:rFonts w:cs="Times New Roman"/>
          <w:bCs/>
          <w:szCs w:val="24"/>
        </w:rPr>
        <w:lastRenderedPageBreak/>
        <w:t>EK-5</w:t>
      </w:r>
    </w:p>
    <w:p w14:paraId="578438D0" w14:textId="77777777" w:rsidR="003B6528" w:rsidRPr="007F1D69" w:rsidRDefault="00972AE3" w:rsidP="003B6528">
      <w:pPr>
        <w:pStyle w:val="Balk1"/>
        <w:spacing w:before="0" w:after="120" w:line="276" w:lineRule="auto"/>
        <w:jc w:val="center"/>
        <w:rPr>
          <w:rFonts w:cs="Times New Roman"/>
          <w:b w:val="0"/>
          <w:bCs/>
          <w:szCs w:val="24"/>
        </w:rPr>
      </w:pPr>
      <w:r>
        <w:rPr>
          <w:rFonts w:cs="Times New Roman"/>
          <w:bCs/>
          <w:szCs w:val="24"/>
        </w:rPr>
        <w:t>DERİ VE POST İŞLEME</w:t>
      </w:r>
      <w:r w:rsidR="003B6528">
        <w:rPr>
          <w:rFonts w:cs="Times New Roman"/>
          <w:bCs/>
          <w:szCs w:val="24"/>
        </w:rPr>
        <w:t xml:space="preserve"> SEKTÖRÜ İÇİN MEVCUT EN İYİ TEKNİKLER</w:t>
      </w:r>
    </w:p>
    <w:p w14:paraId="068466B2" w14:textId="77777777" w:rsidR="003B6528" w:rsidRDefault="003B6528" w:rsidP="003B652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Ek-1’inde yer alan aşağıdaki endüstriyel faaliyetleri kapsar:</w:t>
      </w:r>
    </w:p>
    <w:p w14:paraId="20647A0E" w14:textId="77777777" w:rsidR="003B6528" w:rsidRDefault="003B6528" w:rsidP="00F0199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w:t>
      </w:r>
      <w:r w:rsidR="00F01990">
        <w:rPr>
          <w:rFonts w:ascii="Times New Roman" w:hAnsi="Times New Roman" w:cs="Times New Roman"/>
          <w:sz w:val="24"/>
          <w:szCs w:val="24"/>
        </w:rPr>
        <w:t>3. Nihai ürün işleme kapasitesi 12 ton/gün ve daha fazla olan hayvan derisi ve postu tabaklama tesisleri.</w:t>
      </w:r>
    </w:p>
    <w:p w14:paraId="49AB3830" w14:textId="77777777" w:rsidR="00F01990" w:rsidRDefault="00F01990" w:rsidP="00F01990">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6.11. Endüstriyel Emisyonların Yönetimi Yönetmeliği kapsamında olan bir tesis tarafından deşarj edilen, Kentsel Atıksu Arıtımı Yönetmeliği kapsamında bulunmayan ve bağımsız işletilen atık su arıtma tesisleri.</w:t>
      </w:r>
    </w:p>
    <w:p w14:paraId="48975FC1" w14:textId="77777777" w:rsidR="00AC1DBA" w:rsidRDefault="00AC1DBA" w:rsidP="00AC1DBA">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sonuçlarında listelenen ve açıklanan teknikler, yerleşik ya da geniş kapsamlı ve ayrıntılı değildir. En azından eş değer nitelikte çevresel koruma sağlamak için diğer teknikler de kullanılabilir.</w:t>
      </w:r>
    </w:p>
    <w:p w14:paraId="7241528A" w14:textId="77777777" w:rsidR="00AC1DBA" w:rsidRDefault="00AC1DBA" w:rsidP="00AC1DBA">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Aksi belirtilmedikçe, </w:t>
      </w:r>
      <w:r w:rsidR="005C4813">
        <w:rPr>
          <w:rFonts w:ascii="Times New Roman" w:hAnsi="Times New Roman" w:cs="Times New Roman"/>
          <w:sz w:val="24"/>
          <w:szCs w:val="24"/>
        </w:rPr>
        <w:t>bu bölümde</w:t>
      </w:r>
      <w:r>
        <w:rPr>
          <w:rFonts w:ascii="Times New Roman" w:hAnsi="Times New Roman" w:cs="Times New Roman"/>
          <w:sz w:val="24"/>
          <w:szCs w:val="24"/>
        </w:rPr>
        <w:t xml:space="preserve"> sunulan MET sonuçları genellikle uygulanabilir.</w:t>
      </w:r>
    </w:p>
    <w:p w14:paraId="1333EA9C"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Bu MET sonuçlarının kapsadığı faaliyetlerle ilişkili olan diğer başvuru belgeleri aşağıdakilerdir:</w:t>
      </w:r>
    </w:p>
    <w:p w14:paraId="49BC2210" w14:textId="6DD88E62"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 xml:space="preserve">Enerji Verimliliği </w:t>
      </w:r>
    </w:p>
    <w:p w14:paraId="51738CEA" w14:textId="27DB461B"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 xml:space="preserve">Ekonomi ve Çapraz-Medya Etkileri </w:t>
      </w:r>
    </w:p>
    <w:p w14:paraId="58F1C353" w14:textId="221D4111"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 xml:space="preserve">Denetimin Genel Prensipleri </w:t>
      </w:r>
    </w:p>
    <w:p w14:paraId="4DDF2A95" w14:textId="5755F90C"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 xml:space="preserve">Depolamadan emisyonlar </w:t>
      </w:r>
    </w:p>
    <w:p w14:paraId="05717165" w14:textId="18403354"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 xml:space="preserve">Atık Yakma </w:t>
      </w:r>
    </w:p>
    <w:p w14:paraId="6C17EC4E" w14:textId="71FDDB8E" w:rsidR="00E74C18" w:rsidRPr="007421ED"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 xml:space="preserve">Atık Arıtma Endüstrileri </w:t>
      </w:r>
    </w:p>
    <w:p w14:paraId="6CD16A83" w14:textId="77777777" w:rsidR="003B6528" w:rsidRPr="009C5B1E" w:rsidRDefault="003B6528" w:rsidP="003B6528">
      <w:pPr>
        <w:pStyle w:val="Balk2"/>
        <w:spacing w:before="0" w:after="120" w:line="276" w:lineRule="auto"/>
        <w:jc w:val="both"/>
        <w:rPr>
          <w:rFonts w:cs="Times New Roman"/>
          <w:b/>
          <w:bCs/>
          <w:szCs w:val="24"/>
        </w:rPr>
      </w:pPr>
      <w:r>
        <w:rPr>
          <w:rFonts w:cs="Times New Roman"/>
          <w:b/>
          <w:bCs/>
          <w:szCs w:val="24"/>
        </w:rPr>
        <w:t>(1) Genel MET</w:t>
      </w:r>
    </w:p>
    <w:p w14:paraId="38F01F4C" w14:textId="77777777" w:rsidR="003B6528" w:rsidRPr="00687ECE" w:rsidRDefault="003B6528" w:rsidP="003B6528">
      <w:pPr>
        <w:pStyle w:val="Balk3"/>
        <w:spacing w:before="0" w:after="120" w:line="276" w:lineRule="auto"/>
        <w:jc w:val="both"/>
        <w:rPr>
          <w:rFonts w:cs="Times New Roman"/>
          <w:b w:val="0"/>
          <w:bCs/>
          <w:szCs w:val="24"/>
        </w:rPr>
      </w:pPr>
      <w:r>
        <w:rPr>
          <w:rFonts w:cs="Times New Roman"/>
          <w:bCs/>
          <w:szCs w:val="24"/>
        </w:rPr>
        <w:t>(1.1) Çevre Yönetim Sistemi</w:t>
      </w:r>
    </w:p>
    <w:p w14:paraId="6EED7C40" w14:textId="77777777" w:rsidR="002F19C7" w:rsidRDefault="00CA5B94" w:rsidP="002F19C7">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w:t>
      </w:r>
      <w:r>
        <w:rPr>
          <w:rFonts w:ascii="Times New Roman" w:hAnsi="Times New Roman" w:cs="Times New Roman"/>
          <w:sz w:val="24"/>
          <w:szCs w:val="24"/>
        </w:rPr>
        <w:t xml:space="preserve"> </w:t>
      </w:r>
      <w:r w:rsidR="00357302">
        <w:rPr>
          <w:rFonts w:ascii="Times New Roman" w:hAnsi="Times New Roman" w:cs="Times New Roman"/>
          <w:sz w:val="24"/>
          <w:szCs w:val="24"/>
        </w:rPr>
        <w:t xml:space="preserve">Tabakhanenin genel çevresel performansını iyileştirmek için, </w:t>
      </w:r>
      <w:r w:rsidR="002F19C7">
        <w:rPr>
          <w:rFonts w:ascii="Times New Roman" w:hAnsi="Times New Roman" w:cs="Times New Roman"/>
          <w:sz w:val="24"/>
          <w:szCs w:val="24"/>
        </w:rPr>
        <w:t>aşağıdaki özelliklerin tümünü içeren bir Çevre Yönetim Sistemi (ÇYS) uygulanır ve bu sisteme bağlı kalınır:</w:t>
      </w:r>
    </w:p>
    <w:p w14:paraId="27C494B1" w14:textId="77777777" w:rsidR="002F19C7" w:rsidRDefault="00A17518" w:rsidP="006B15F1">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Ü</w:t>
      </w:r>
      <w:r w:rsidR="002F19C7" w:rsidRPr="002F19C7">
        <w:rPr>
          <w:rFonts w:ascii="Times New Roman" w:hAnsi="Times New Roman" w:cs="Times New Roman"/>
          <w:sz w:val="24"/>
          <w:szCs w:val="24"/>
        </w:rPr>
        <w:t>st yönetim de dahil olmak üzere, yönetimin taahhüdü;</w:t>
      </w:r>
    </w:p>
    <w:p w14:paraId="3B892471" w14:textId="77777777" w:rsidR="002F19C7" w:rsidRDefault="00A17518" w:rsidP="006B15F1">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w:t>
      </w:r>
      <w:r w:rsidR="002F19C7" w:rsidRPr="002F19C7">
        <w:rPr>
          <w:rFonts w:ascii="Times New Roman" w:hAnsi="Times New Roman" w:cs="Times New Roman"/>
          <w:sz w:val="24"/>
          <w:szCs w:val="24"/>
        </w:rPr>
        <w:t>önetim tarafından, tesisin sürekli iyileştirilmesini içeren bir çevre politikasının tanımlanması;</w:t>
      </w:r>
    </w:p>
    <w:p w14:paraId="1747CA3C" w14:textId="77777777" w:rsidR="002F19C7" w:rsidRDefault="00A17518" w:rsidP="006B15F1">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F</w:t>
      </w:r>
      <w:r w:rsidR="002F19C7" w:rsidRPr="002F19C7">
        <w:rPr>
          <w:rFonts w:ascii="Times New Roman" w:hAnsi="Times New Roman" w:cs="Times New Roman"/>
          <w:sz w:val="24"/>
          <w:szCs w:val="24"/>
        </w:rPr>
        <w:t>inansal planlama ve yatırım ile bağlantılı olarak gerekli prosedürlerin, amaçların ve hedeflerin planlanması ve oluşturulması;</w:t>
      </w:r>
    </w:p>
    <w:p w14:paraId="382628B4" w14:textId="77777777" w:rsidR="002F19C7" w:rsidRPr="002F19C7" w:rsidRDefault="00A17518" w:rsidP="006B15F1">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w:t>
      </w:r>
      <w:r w:rsidR="002F19C7" w:rsidRPr="002F19C7">
        <w:rPr>
          <w:rFonts w:ascii="Times New Roman" w:hAnsi="Times New Roman" w:cs="Times New Roman"/>
          <w:sz w:val="24"/>
          <w:szCs w:val="24"/>
        </w:rPr>
        <w:t>şağıdakilere özellikle dikkat edilerek prosedürlerin uygulanması:</w:t>
      </w:r>
    </w:p>
    <w:p w14:paraId="2AF4511E"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w:t>
      </w:r>
      <w:r w:rsidR="002F19C7" w:rsidRPr="00A002BA">
        <w:rPr>
          <w:rFonts w:ascii="Times New Roman" w:hAnsi="Times New Roman" w:cs="Times New Roman"/>
          <w:sz w:val="24"/>
          <w:szCs w:val="24"/>
        </w:rPr>
        <w:t>apı ve sorumluluk</w:t>
      </w:r>
    </w:p>
    <w:p w14:paraId="79D8A990"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Eğitim</w:t>
      </w:r>
      <w:r w:rsidR="002F19C7" w:rsidRPr="006D7836">
        <w:rPr>
          <w:rFonts w:ascii="Times New Roman" w:hAnsi="Times New Roman" w:cs="Times New Roman"/>
          <w:sz w:val="24"/>
          <w:szCs w:val="24"/>
        </w:rPr>
        <w:t>, farkındalık ve yetkinlik</w:t>
      </w:r>
    </w:p>
    <w:p w14:paraId="07EDE5F6"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İletişim</w:t>
      </w:r>
    </w:p>
    <w:p w14:paraId="4C9BD087"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 xml:space="preserve">Çalışan </w:t>
      </w:r>
      <w:r w:rsidR="002F19C7" w:rsidRPr="006D7836">
        <w:rPr>
          <w:rFonts w:ascii="Times New Roman" w:hAnsi="Times New Roman" w:cs="Times New Roman"/>
          <w:sz w:val="24"/>
          <w:szCs w:val="24"/>
        </w:rPr>
        <w:t>katılımı</w:t>
      </w:r>
    </w:p>
    <w:p w14:paraId="109BB3CC"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Dokümantasyon</w:t>
      </w:r>
    </w:p>
    <w:p w14:paraId="404D4A0A"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lastRenderedPageBreak/>
        <w:t xml:space="preserve">Etkin </w:t>
      </w:r>
      <w:r w:rsidR="002F19C7" w:rsidRPr="006D7836">
        <w:rPr>
          <w:rFonts w:ascii="Times New Roman" w:hAnsi="Times New Roman" w:cs="Times New Roman"/>
          <w:sz w:val="24"/>
          <w:szCs w:val="24"/>
        </w:rPr>
        <w:t>proses kontrolü</w:t>
      </w:r>
    </w:p>
    <w:p w14:paraId="701E2C8F"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 xml:space="preserve">Bakım </w:t>
      </w:r>
      <w:r w:rsidR="002F19C7" w:rsidRPr="006D7836">
        <w:rPr>
          <w:rFonts w:ascii="Times New Roman" w:hAnsi="Times New Roman" w:cs="Times New Roman"/>
          <w:sz w:val="24"/>
          <w:szCs w:val="24"/>
        </w:rPr>
        <w:t>programları</w:t>
      </w:r>
    </w:p>
    <w:p w14:paraId="50A05C5D" w14:textId="77777777" w:rsidR="002F19C7"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 xml:space="preserve">Acil </w:t>
      </w:r>
      <w:r w:rsidR="002F19C7" w:rsidRPr="006D7836">
        <w:rPr>
          <w:rFonts w:ascii="Times New Roman" w:hAnsi="Times New Roman" w:cs="Times New Roman"/>
          <w:sz w:val="24"/>
          <w:szCs w:val="24"/>
        </w:rPr>
        <w:t>durum hazırlığı ve müdahalesi</w:t>
      </w:r>
    </w:p>
    <w:p w14:paraId="330443B6" w14:textId="77777777" w:rsidR="002F19C7" w:rsidRPr="006D7836" w:rsidRDefault="00A17518" w:rsidP="001D5FDD">
      <w:pPr>
        <w:pStyle w:val="ListeParagraf"/>
        <w:numPr>
          <w:ilvl w:val="0"/>
          <w:numId w:val="4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 xml:space="preserve">Çevre </w:t>
      </w:r>
      <w:r w:rsidR="002F19C7" w:rsidRPr="006D7836">
        <w:rPr>
          <w:rFonts w:ascii="Times New Roman" w:hAnsi="Times New Roman" w:cs="Times New Roman"/>
          <w:sz w:val="24"/>
          <w:szCs w:val="24"/>
        </w:rPr>
        <w:t>mevzuatına uyum sağlanması;</w:t>
      </w:r>
    </w:p>
    <w:p w14:paraId="45A6747C" w14:textId="77777777" w:rsidR="002F19C7" w:rsidRPr="006D7836" w:rsidRDefault="002F19C7" w:rsidP="00313D18">
      <w:pPr>
        <w:pStyle w:val="ListeParagraf"/>
        <w:numPr>
          <w:ilvl w:val="0"/>
          <w:numId w:val="40"/>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aşağıdakilere özellikle dikkat edilerek performans kontrolü yapılması ve düzeltici eylemlerin alınması:</w:t>
      </w:r>
    </w:p>
    <w:p w14:paraId="1DCF8AF2" w14:textId="77777777" w:rsidR="002F19C7" w:rsidRDefault="00A17518" w:rsidP="001D5FDD">
      <w:pPr>
        <w:pStyle w:val="ListeParagraf"/>
        <w:numPr>
          <w:ilvl w:val="0"/>
          <w:numId w:val="4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İzleme ve ölçüm</w:t>
      </w:r>
    </w:p>
    <w:p w14:paraId="3E122DD8" w14:textId="77777777" w:rsidR="002F19C7" w:rsidRDefault="00A17518" w:rsidP="001D5FDD">
      <w:pPr>
        <w:pStyle w:val="ListeParagraf"/>
        <w:numPr>
          <w:ilvl w:val="0"/>
          <w:numId w:val="4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Düze</w:t>
      </w:r>
      <w:r w:rsidR="002F19C7">
        <w:rPr>
          <w:rFonts w:ascii="Times New Roman" w:hAnsi="Times New Roman" w:cs="Times New Roman"/>
          <w:sz w:val="24"/>
          <w:szCs w:val="24"/>
        </w:rPr>
        <w:t>ltici ve önleyici eylem</w:t>
      </w:r>
    </w:p>
    <w:p w14:paraId="5A759FB1" w14:textId="77777777" w:rsidR="002F19C7" w:rsidRDefault="00A17518" w:rsidP="001D5FDD">
      <w:pPr>
        <w:pStyle w:val="ListeParagraf"/>
        <w:numPr>
          <w:ilvl w:val="0"/>
          <w:numId w:val="4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Kayıtların tutulması</w:t>
      </w:r>
    </w:p>
    <w:p w14:paraId="6D7C3C8A" w14:textId="77777777" w:rsidR="002F19C7" w:rsidRDefault="002F19C7" w:rsidP="001D5FDD">
      <w:pPr>
        <w:pStyle w:val="ListeParagraf"/>
        <w:numPr>
          <w:ilvl w:val="0"/>
          <w:numId w:val="4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ÇYS’nin planlanan düzenlemelere uygun olup olmadığını ve doğru bir şekilde uygulanıp uygulanmadığını, sürdürülüp sürdürülmediğini belirlemek için, bağımsız (uygulanabilir olduğu durumlarda) iç ve dış denetimlerin yapılması;</w:t>
      </w:r>
    </w:p>
    <w:p w14:paraId="522B61E8" w14:textId="77777777" w:rsidR="002F19C7" w:rsidRPr="00313D18" w:rsidRDefault="002F19C7" w:rsidP="00313D18">
      <w:pPr>
        <w:pStyle w:val="ListeParagraf"/>
        <w:numPr>
          <w:ilvl w:val="0"/>
          <w:numId w:val="40"/>
        </w:numPr>
        <w:spacing w:after="120" w:line="276" w:lineRule="auto"/>
        <w:jc w:val="both"/>
        <w:rPr>
          <w:rFonts w:ascii="Times New Roman" w:hAnsi="Times New Roman" w:cs="Times New Roman"/>
          <w:sz w:val="24"/>
          <w:szCs w:val="24"/>
        </w:rPr>
      </w:pPr>
      <w:r w:rsidRPr="00313D18">
        <w:rPr>
          <w:rFonts w:ascii="Times New Roman" w:hAnsi="Times New Roman" w:cs="Times New Roman"/>
          <w:sz w:val="24"/>
          <w:szCs w:val="24"/>
        </w:rPr>
        <w:t>ÇYS’nin ve devam eden uygunluğunun, yeterliliğinin ve etkinliğinin üst yönetim tarafından değerlendirilmesi;</w:t>
      </w:r>
    </w:p>
    <w:p w14:paraId="6557F126" w14:textId="77777777" w:rsidR="002F19C7" w:rsidRPr="00313D18" w:rsidRDefault="00A17518" w:rsidP="00313D18">
      <w:pPr>
        <w:pStyle w:val="ListeParagraf"/>
        <w:numPr>
          <w:ilvl w:val="0"/>
          <w:numId w:val="40"/>
        </w:numPr>
        <w:spacing w:after="120" w:line="276" w:lineRule="auto"/>
        <w:jc w:val="both"/>
        <w:rPr>
          <w:rFonts w:ascii="Times New Roman" w:hAnsi="Times New Roman" w:cs="Times New Roman"/>
          <w:sz w:val="24"/>
          <w:szCs w:val="24"/>
        </w:rPr>
      </w:pPr>
      <w:r w:rsidRPr="00313D18">
        <w:rPr>
          <w:rFonts w:ascii="Times New Roman" w:hAnsi="Times New Roman" w:cs="Times New Roman"/>
          <w:sz w:val="24"/>
          <w:szCs w:val="24"/>
        </w:rPr>
        <w:t>Daha temiz teknolojilere yönelik gelişmelerin takip edilmesi;</w:t>
      </w:r>
    </w:p>
    <w:p w14:paraId="79CB1FE9" w14:textId="77777777" w:rsidR="002F19C7" w:rsidRDefault="00A17518" w:rsidP="00313D18">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Yeni bir </w:t>
      </w:r>
      <w:r w:rsidR="002F19C7">
        <w:rPr>
          <w:rFonts w:ascii="Times New Roman" w:hAnsi="Times New Roman" w:cs="Times New Roman"/>
          <w:sz w:val="24"/>
          <w:szCs w:val="24"/>
        </w:rPr>
        <w:t>tesisin tasarım aşamasında ve tüm kullanım ömrü boyunca, tesisin nihai olarak kapatılmasından kaynaklanacak çevresel etkilerin dikkate alınması;</w:t>
      </w:r>
    </w:p>
    <w:p w14:paraId="00941713" w14:textId="77777777" w:rsidR="002F19C7" w:rsidRDefault="00A17518" w:rsidP="00313D18">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Düzenli </w:t>
      </w:r>
      <w:r w:rsidR="002F19C7">
        <w:rPr>
          <w:rFonts w:ascii="Times New Roman" w:hAnsi="Times New Roman" w:cs="Times New Roman"/>
          <w:sz w:val="24"/>
          <w:szCs w:val="24"/>
        </w:rPr>
        <w:t>aralıklarla sektörel kıyaslamanın uygulanması.</w:t>
      </w:r>
    </w:p>
    <w:p w14:paraId="4C45D6E5" w14:textId="77777777" w:rsidR="002A1BB0" w:rsidRDefault="002A1BB0" w:rsidP="002F19C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Özellikle post ve derilerin tabaklama işlemi için, ÇYS’nin aşağıdaki potansiyel özelliklerini göz önünde bulundurmak da önemlidir:</w:t>
      </w:r>
    </w:p>
    <w:p w14:paraId="2E51E25D" w14:textId="77777777" w:rsidR="00D40B9F" w:rsidRDefault="00A17518" w:rsidP="00313D18">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Kapatma işlemlerini kolaylaştırmak için, saha içindeki özel proses adımlarının gerçekle</w:t>
      </w:r>
      <w:r w:rsidR="00CA40A7">
        <w:rPr>
          <w:rFonts w:ascii="Times New Roman" w:hAnsi="Times New Roman" w:cs="Times New Roman"/>
          <w:sz w:val="24"/>
          <w:szCs w:val="24"/>
        </w:rPr>
        <w:t>ştirildiği noktalara yönelik kayıtların sürdürülmesi;</w:t>
      </w:r>
    </w:p>
    <w:p w14:paraId="1665E08E" w14:textId="77777777" w:rsidR="00313D18" w:rsidRDefault="00313D18" w:rsidP="00313D18">
      <w:pPr>
        <w:pStyle w:val="ListeParagraf"/>
        <w:numPr>
          <w:ilvl w:val="0"/>
          <w:numId w:val="4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 2’de listelenen diğer maddeler.</w:t>
      </w:r>
    </w:p>
    <w:p w14:paraId="5D646819" w14:textId="77777777" w:rsidR="00313D18" w:rsidRDefault="00313D18" w:rsidP="00313D18">
      <w:pPr>
        <w:pStyle w:val="ListeParagraf"/>
        <w:spacing w:after="120" w:line="276" w:lineRule="auto"/>
        <w:jc w:val="both"/>
        <w:rPr>
          <w:rFonts w:ascii="Times New Roman" w:hAnsi="Times New Roman" w:cs="Times New Roman"/>
          <w:sz w:val="24"/>
          <w:szCs w:val="24"/>
        </w:rPr>
      </w:pPr>
    </w:p>
    <w:p w14:paraId="75A6D569" w14:textId="77777777" w:rsidR="002B58B8" w:rsidRDefault="002B58B8" w:rsidP="001D5FDD">
      <w:pPr>
        <w:pStyle w:val="ListeParagraf"/>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1C560645" w14:textId="77777777" w:rsidR="002F19C7" w:rsidRDefault="002F19C7" w:rsidP="00D40B9F">
      <w:pPr>
        <w:spacing w:after="120" w:line="276" w:lineRule="auto"/>
        <w:jc w:val="both"/>
        <w:rPr>
          <w:rFonts w:ascii="Times New Roman" w:hAnsi="Times New Roman" w:cs="Times New Roman"/>
          <w:sz w:val="24"/>
          <w:szCs w:val="24"/>
        </w:rPr>
      </w:pPr>
      <w:r w:rsidRPr="00D40B9F">
        <w:rPr>
          <w:rFonts w:ascii="Times New Roman" w:hAnsi="Times New Roman" w:cs="Times New Roman"/>
          <w:sz w:val="24"/>
          <w:szCs w:val="24"/>
        </w:rPr>
        <w:t>ÇYS’nin kapsamı (örn. ayrıntı düzeyleri) ve yapısı (örn. standart veya standart olmayan); genellikle tesisin yapısı, ölçeği ve karmaşıklık düzeyi ve neden olabileceği çevresel etkilerin çeşitliliği ile ilişkili olacaktır.</w:t>
      </w:r>
    </w:p>
    <w:p w14:paraId="2B3B58EA" w14:textId="77777777" w:rsidR="005C0A65" w:rsidRPr="00687ECE" w:rsidRDefault="005C0A65" w:rsidP="005C0A65">
      <w:pPr>
        <w:pStyle w:val="Balk3"/>
        <w:spacing w:before="0" w:after="120" w:line="276" w:lineRule="auto"/>
        <w:jc w:val="both"/>
        <w:rPr>
          <w:rFonts w:cs="Times New Roman"/>
          <w:b w:val="0"/>
          <w:bCs/>
          <w:szCs w:val="24"/>
        </w:rPr>
      </w:pPr>
      <w:r>
        <w:rPr>
          <w:rFonts w:cs="Times New Roman"/>
          <w:bCs/>
          <w:szCs w:val="24"/>
        </w:rPr>
        <w:t>(1.2) İyi Bakım ve Temizlik</w:t>
      </w:r>
    </w:p>
    <w:p w14:paraId="1ECEC64D" w14:textId="77777777" w:rsidR="005C0A65" w:rsidRDefault="00CF5898" w:rsidP="00D40B9F">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w:t>
      </w:r>
      <w:r>
        <w:rPr>
          <w:rFonts w:ascii="Times New Roman" w:hAnsi="Times New Roman" w:cs="Times New Roman"/>
          <w:sz w:val="24"/>
          <w:szCs w:val="24"/>
        </w:rPr>
        <w:t xml:space="preserve"> </w:t>
      </w:r>
      <w:r w:rsidR="0099121E">
        <w:rPr>
          <w:rFonts w:ascii="Times New Roman" w:hAnsi="Times New Roman" w:cs="Times New Roman"/>
          <w:sz w:val="24"/>
          <w:szCs w:val="24"/>
        </w:rPr>
        <w:t>Üretim prosesinden kaynaklanan çevresel etkiyi en aza indirmek için, aşağıdaki teknikler kombinasyon halinde kullanılarak iyi bakım ve temizlik ilkeleri uygulanır:</w:t>
      </w:r>
    </w:p>
    <w:p w14:paraId="7D9A41C6" w14:textId="77777777" w:rsidR="0099121E"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Malzeme ve hammaddelerin dikkatli seçimi ve kontrolü (örn. Post kalitesi, kimyasal kalitesi);</w:t>
      </w:r>
    </w:p>
    <w:p w14:paraId="21DA45EA" w14:textId="77777777" w:rsidR="000770E4"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Miktar ve toksikolojik özellikleri de </w:t>
      </w:r>
      <w:r w:rsidR="000770E4">
        <w:rPr>
          <w:rFonts w:ascii="Times New Roman" w:hAnsi="Times New Roman" w:cs="Times New Roman"/>
          <w:sz w:val="24"/>
          <w:szCs w:val="24"/>
        </w:rPr>
        <w:t>içeren, kimyasal envanterli bir girdi-çıktı analizi;</w:t>
      </w:r>
    </w:p>
    <w:p w14:paraId="4DB8D495" w14:textId="77777777" w:rsidR="000770E4"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Kimyasal kullanımının, nihai ürüne yönelik kalite gereksinimlerinin izin verdiği minimum düzeye indirilmesi;</w:t>
      </w:r>
    </w:p>
    <w:p w14:paraId="46C04945" w14:textId="77777777" w:rsidR="005C5846"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Döküntüleri, kazaları ve su israfını azaltmak için, hammadde ve nihai ürünün dikkatli taşınmas</w:t>
      </w:r>
      <w:r w:rsidR="005C5846">
        <w:rPr>
          <w:rFonts w:ascii="Times New Roman" w:hAnsi="Times New Roman" w:cs="Times New Roman"/>
          <w:sz w:val="24"/>
          <w:szCs w:val="24"/>
        </w:rPr>
        <w:t>ı ve depolanması;</w:t>
      </w:r>
    </w:p>
    <w:p w14:paraId="59C7C08B" w14:textId="77777777" w:rsidR="005C5846"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Belirli atık </w:t>
      </w:r>
      <w:r w:rsidR="006E05E8">
        <w:rPr>
          <w:rFonts w:ascii="Times New Roman" w:hAnsi="Times New Roman" w:cs="Times New Roman"/>
          <w:sz w:val="24"/>
          <w:szCs w:val="24"/>
        </w:rPr>
        <w:t>türlerinin</w:t>
      </w:r>
      <w:r>
        <w:rPr>
          <w:rFonts w:ascii="Times New Roman" w:hAnsi="Times New Roman" w:cs="Times New Roman"/>
          <w:sz w:val="24"/>
          <w:szCs w:val="24"/>
        </w:rPr>
        <w:t xml:space="preserve"> geri dönüşümünü mümkün kılmak için, uygulanabilir olduğu durumlarda atık kollarının ayrımı;</w:t>
      </w:r>
    </w:p>
    <w:p w14:paraId="5F328496" w14:textId="77777777" w:rsidR="005C5846"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Üretim prosesinin stabilitesini sağlamak için, kritik proses parametrelerinin izlenmesi;</w:t>
      </w:r>
    </w:p>
    <w:p w14:paraId="30156481" w14:textId="77777777" w:rsidR="00B85ACE"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Atık suların arıtma sistemlerinin</w:t>
      </w:r>
      <w:r w:rsidR="00B85ACE">
        <w:rPr>
          <w:rFonts w:ascii="Times New Roman" w:hAnsi="Times New Roman" w:cs="Times New Roman"/>
          <w:sz w:val="24"/>
          <w:szCs w:val="24"/>
        </w:rPr>
        <w:t xml:space="preserve"> düzenli bakımı;</w:t>
      </w:r>
    </w:p>
    <w:p w14:paraId="3FBD85ED" w14:textId="77777777" w:rsidR="00B85ACE"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Proses/yıkama suyunun yeniden kullanılması için seçeneklerin değerlendirilmesi;</w:t>
      </w:r>
    </w:p>
    <w:p w14:paraId="64C79F80" w14:textId="77777777" w:rsidR="00B85ACE" w:rsidRDefault="00A17518" w:rsidP="001D5FDD">
      <w:pPr>
        <w:pStyle w:val="ListeParagraf"/>
        <w:numPr>
          <w:ilvl w:val="0"/>
          <w:numId w:val="4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Atık bertaraf seçeneklerinin </w:t>
      </w:r>
      <w:r w:rsidR="00B85ACE">
        <w:rPr>
          <w:rFonts w:ascii="Times New Roman" w:hAnsi="Times New Roman" w:cs="Times New Roman"/>
          <w:sz w:val="24"/>
          <w:szCs w:val="24"/>
        </w:rPr>
        <w:t>değerlendirilmesi.</w:t>
      </w:r>
    </w:p>
    <w:p w14:paraId="593ED980" w14:textId="77777777" w:rsidR="00B85ACE" w:rsidRPr="009C5B1E" w:rsidRDefault="00B85ACE" w:rsidP="00B85ACE">
      <w:pPr>
        <w:pStyle w:val="Balk2"/>
        <w:spacing w:before="0" w:after="120" w:line="276" w:lineRule="auto"/>
        <w:jc w:val="both"/>
        <w:rPr>
          <w:rFonts w:cs="Times New Roman"/>
          <w:b/>
          <w:bCs/>
          <w:szCs w:val="24"/>
        </w:rPr>
      </w:pPr>
      <w:r>
        <w:rPr>
          <w:rFonts w:cs="Times New Roman"/>
          <w:b/>
          <w:bCs/>
          <w:szCs w:val="24"/>
        </w:rPr>
        <w:t>(2) İzleme</w:t>
      </w:r>
    </w:p>
    <w:p w14:paraId="5B2AE1D5" w14:textId="77777777" w:rsidR="00AA59D7" w:rsidRDefault="00E22E69" w:rsidP="00A87F2B">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3:</w:t>
      </w:r>
      <w:r>
        <w:rPr>
          <w:rFonts w:ascii="Times New Roman" w:hAnsi="Times New Roman" w:cs="Times New Roman"/>
          <w:sz w:val="24"/>
          <w:szCs w:val="24"/>
        </w:rPr>
        <w:t xml:space="preserve"> </w:t>
      </w:r>
      <w:r w:rsidR="00AA59D7">
        <w:rPr>
          <w:rFonts w:ascii="Times New Roman" w:hAnsi="Times New Roman" w:cs="Times New Roman"/>
          <w:sz w:val="24"/>
          <w:szCs w:val="24"/>
        </w:rPr>
        <w:t>Aşağıda belirtilenler de dahil olmak üzere emisyonlar ve diğer ilişkili parametreler, verilen sıklıkta</w:t>
      </w:r>
      <w:r w:rsidR="00F5576B">
        <w:rPr>
          <w:rFonts w:ascii="Times New Roman" w:hAnsi="Times New Roman" w:cs="Times New Roman"/>
          <w:sz w:val="24"/>
          <w:szCs w:val="24"/>
        </w:rPr>
        <w:t xml:space="preserve">; emisyonlar ise TS EN standartlarına uygun olarak izlenir. </w:t>
      </w:r>
      <w:r w:rsidR="00AA59D7">
        <w:rPr>
          <w:rFonts w:ascii="Times New Roman" w:hAnsi="Times New Roman" w:cs="Times New Roman"/>
          <w:sz w:val="24"/>
          <w:szCs w:val="24"/>
        </w:rPr>
        <w:t>TS EN standardı mevcut değilse, eş değer bilimsel nitelikte veri elde edilmesini sağlayan ISO, ulusal veya uluslararası standartlar kullanılır.</w:t>
      </w:r>
    </w:p>
    <w:tbl>
      <w:tblPr>
        <w:tblStyle w:val="TabloKlavuzu"/>
        <w:tblW w:w="0" w:type="auto"/>
        <w:jc w:val="center"/>
        <w:tblLook w:val="04A0" w:firstRow="1" w:lastRow="0" w:firstColumn="1" w:lastColumn="0" w:noHBand="0" w:noVBand="1"/>
      </w:tblPr>
      <w:tblGrid>
        <w:gridCol w:w="562"/>
        <w:gridCol w:w="3261"/>
        <w:gridCol w:w="2551"/>
        <w:gridCol w:w="2688"/>
      </w:tblGrid>
      <w:tr w:rsidR="00393115" w:rsidRPr="00393115" w14:paraId="59737DDD" w14:textId="77777777" w:rsidTr="007B4DC6">
        <w:trPr>
          <w:tblHeader/>
          <w:jc w:val="center"/>
        </w:trPr>
        <w:tc>
          <w:tcPr>
            <w:tcW w:w="3823" w:type="dxa"/>
            <w:gridSpan w:val="2"/>
            <w:vAlign w:val="center"/>
          </w:tcPr>
          <w:p w14:paraId="17269C85" w14:textId="77777777" w:rsidR="00393115" w:rsidRPr="00393115" w:rsidRDefault="00393115" w:rsidP="00393115">
            <w:pPr>
              <w:jc w:val="center"/>
              <w:rPr>
                <w:rFonts w:ascii="Times New Roman" w:hAnsi="Times New Roman" w:cs="Times New Roman"/>
                <w:b/>
                <w:bCs/>
              </w:rPr>
            </w:pPr>
            <w:r>
              <w:rPr>
                <w:rFonts w:ascii="Times New Roman" w:hAnsi="Times New Roman" w:cs="Times New Roman"/>
                <w:b/>
                <w:bCs/>
              </w:rPr>
              <w:t>Parametre</w:t>
            </w:r>
          </w:p>
        </w:tc>
        <w:tc>
          <w:tcPr>
            <w:tcW w:w="2551" w:type="dxa"/>
            <w:vAlign w:val="center"/>
          </w:tcPr>
          <w:p w14:paraId="3F4F629F" w14:textId="77777777" w:rsidR="00393115" w:rsidRPr="00393115" w:rsidRDefault="00393115" w:rsidP="00393115">
            <w:pPr>
              <w:jc w:val="center"/>
              <w:rPr>
                <w:rFonts w:ascii="Times New Roman" w:hAnsi="Times New Roman" w:cs="Times New Roman"/>
                <w:b/>
                <w:bCs/>
              </w:rPr>
            </w:pPr>
            <w:r>
              <w:rPr>
                <w:rFonts w:ascii="Times New Roman" w:hAnsi="Times New Roman" w:cs="Times New Roman"/>
                <w:b/>
                <w:bCs/>
              </w:rPr>
              <w:t>Sıklık</w:t>
            </w:r>
          </w:p>
        </w:tc>
        <w:tc>
          <w:tcPr>
            <w:tcW w:w="2688" w:type="dxa"/>
            <w:vAlign w:val="center"/>
          </w:tcPr>
          <w:p w14:paraId="63875277" w14:textId="77777777" w:rsidR="00393115" w:rsidRPr="00393115" w:rsidRDefault="00393115" w:rsidP="00393115">
            <w:pPr>
              <w:jc w:val="center"/>
              <w:rPr>
                <w:rFonts w:ascii="Times New Roman" w:hAnsi="Times New Roman" w:cs="Times New Roman"/>
                <w:b/>
                <w:bCs/>
              </w:rPr>
            </w:pPr>
            <w:r>
              <w:rPr>
                <w:rFonts w:ascii="Times New Roman" w:hAnsi="Times New Roman" w:cs="Times New Roman"/>
                <w:b/>
                <w:bCs/>
              </w:rPr>
              <w:t>Uygulanabilirlik</w:t>
            </w:r>
          </w:p>
        </w:tc>
      </w:tr>
      <w:tr w:rsidR="00393115" w:rsidRPr="00393115" w14:paraId="6FF8FCAE" w14:textId="77777777" w:rsidTr="007B4DC6">
        <w:trPr>
          <w:jc w:val="center"/>
        </w:trPr>
        <w:tc>
          <w:tcPr>
            <w:tcW w:w="562" w:type="dxa"/>
            <w:vAlign w:val="center"/>
          </w:tcPr>
          <w:p w14:paraId="3EB070EF" w14:textId="77777777" w:rsidR="00393115" w:rsidRPr="00393115" w:rsidRDefault="00393115" w:rsidP="00393115">
            <w:pPr>
              <w:jc w:val="center"/>
              <w:rPr>
                <w:rFonts w:ascii="Times New Roman" w:hAnsi="Times New Roman" w:cs="Times New Roman"/>
              </w:rPr>
            </w:pPr>
            <w:r>
              <w:rPr>
                <w:rFonts w:ascii="Times New Roman" w:hAnsi="Times New Roman" w:cs="Times New Roman"/>
              </w:rPr>
              <w:t>a</w:t>
            </w:r>
          </w:p>
        </w:tc>
        <w:tc>
          <w:tcPr>
            <w:tcW w:w="3261" w:type="dxa"/>
            <w:vAlign w:val="center"/>
          </w:tcPr>
          <w:p w14:paraId="11E95F03" w14:textId="77777777" w:rsidR="00393115" w:rsidRPr="00393115" w:rsidRDefault="00351562" w:rsidP="00393115">
            <w:pPr>
              <w:jc w:val="both"/>
              <w:rPr>
                <w:rFonts w:ascii="Times New Roman" w:hAnsi="Times New Roman" w:cs="Times New Roman"/>
              </w:rPr>
            </w:pPr>
            <w:r>
              <w:rPr>
                <w:rFonts w:ascii="Times New Roman" w:hAnsi="Times New Roman" w:cs="Times New Roman"/>
              </w:rPr>
              <w:t>İki proses aşamasında su tüketiminin ölçümü: tabaklamaya kadar olan aşama ile tabaklama sonrası aşama; ve aynı sürede üretimin kayıt altına alınması.</w:t>
            </w:r>
          </w:p>
        </w:tc>
        <w:tc>
          <w:tcPr>
            <w:tcW w:w="2551" w:type="dxa"/>
            <w:vAlign w:val="center"/>
          </w:tcPr>
          <w:p w14:paraId="40EEB5EE" w14:textId="77777777" w:rsidR="00393115" w:rsidRPr="00393115" w:rsidRDefault="00351562" w:rsidP="00393115">
            <w:pPr>
              <w:jc w:val="center"/>
              <w:rPr>
                <w:rFonts w:ascii="Times New Roman" w:hAnsi="Times New Roman" w:cs="Times New Roman"/>
              </w:rPr>
            </w:pPr>
            <w:r>
              <w:rPr>
                <w:rFonts w:ascii="Times New Roman" w:hAnsi="Times New Roman" w:cs="Times New Roman"/>
              </w:rPr>
              <w:t>en azından aylık olarak</w:t>
            </w:r>
          </w:p>
        </w:tc>
        <w:tc>
          <w:tcPr>
            <w:tcW w:w="2688" w:type="dxa"/>
            <w:vAlign w:val="center"/>
          </w:tcPr>
          <w:p w14:paraId="20C63C03" w14:textId="77777777" w:rsidR="00393115" w:rsidRPr="00393115" w:rsidRDefault="00553AE9" w:rsidP="00393115">
            <w:pPr>
              <w:jc w:val="both"/>
              <w:rPr>
                <w:rFonts w:ascii="Times New Roman" w:hAnsi="Times New Roman" w:cs="Times New Roman"/>
              </w:rPr>
            </w:pPr>
            <w:r>
              <w:rPr>
                <w:rFonts w:ascii="Times New Roman" w:hAnsi="Times New Roman" w:cs="Times New Roman"/>
              </w:rPr>
              <w:t>Yaş</w:t>
            </w:r>
            <w:r w:rsidR="00351562">
              <w:rPr>
                <w:rFonts w:ascii="Times New Roman" w:hAnsi="Times New Roman" w:cs="Times New Roman"/>
              </w:rPr>
              <w:t xml:space="preserve"> işleme gerçekleştiren tesislere uygulanabilir.</w:t>
            </w:r>
          </w:p>
        </w:tc>
      </w:tr>
      <w:tr w:rsidR="00393115" w:rsidRPr="00393115" w14:paraId="39BEB0D2" w14:textId="77777777" w:rsidTr="007B4DC6">
        <w:trPr>
          <w:jc w:val="center"/>
        </w:trPr>
        <w:tc>
          <w:tcPr>
            <w:tcW w:w="562" w:type="dxa"/>
            <w:vAlign w:val="center"/>
          </w:tcPr>
          <w:p w14:paraId="3E0284E4" w14:textId="77777777" w:rsidR="00393115" w:rsidRPr="00393115" w:rsidRDefault="00351562" w:rsidP="00393115">
            <w:pPr>
              <w:jc w:val="center"/>
              <w:rPr>
                <w:rFonts w:ascii="Times New Roman" w:hAnsi="Times New Roman" w:cs="Times New Roman"/>
              </w:rPr>
            </w:pPr>
            <w:r>
              <w:rPr>
                <w:rFonts w:ascii="Times New Roman" w:hAnsi="Times New Roman" w:cs="Times New Roman"/>
              </w:rPr>
              <w:t>b</w:t>
            </w:r>
          </w:p>
        </w:tc>
        <w:tc>
          <w:tcPr>
            <w:tcW w:w="3261" w:type="dxa"/>
            <w:vAlign w:val="center"/>
          </w:tcPr>
          <w:p w14:paraId="01B0E50A" w14:textId="77777777" w:rsidR="00393115" w:rsidRPr="00393115" w:rsidRDefault="00351562" w:rsidP="00393115">
            <w:pPr>
              <w:jc w:val="both"/>
              <w:rPr>
                <w:rFonts w:ascii="Times New Roman" w:hAnsi="Times New Roman" w:cs="Times New Roman"/>
              </w:rPr>
            </w:pPr>
            <w:r>
              <w:rPr>
                <w:rFonts w:ascii="Times New Roman" w:hAnsi="Times New Roman" w:cs="Times New Roman"/>
              </w:rPr>
              <w:t>Her bir proses adımında kullanılan proses kimyasallarının miktarlarının ve aynı sürede üretimin kayıt altına alınması.</w:t>
            </w:r>
          </w:p>
        </w:tc>
        <w:tc>
          <w:tcPr>
            <w:tcW w:w="2551" w:type="dxa"/>
            <w:vAlign w:val="center"/>
          </w:tcPr>
          <w:p w14:paraId="7A4F6BAC" w14:textId="77777777" w:rsidR="00393115" w:rsidRPr="00393115" w:rsidRDefault="00C6108D" w:rsidP="00393115">
            <w:pPr>
              <w:jc w:val="center"/>
              <w:rPr>
                <w:rFonts w:ascii="Times New Roman" w:hAnsi="Times New Roman" w:cs="Times New Roman"/>
              </w:rPr>
            </w:pPr>
            <w:r>
              <w:rPr>
                <w:rFonts w:ascii="Times New Roman" w:hAnsi="Times New Roman" w:cs="Times New Roman"/>
              </w:rPr>
              <w:t>en azından yıllık olarak</w:t>
            </w:r>
          </w:p>
        </w:tc>
        <w:tc>
          <w:tcPr>
            <w:tcW w:w="2688" w:type="dxa"/>
            <w:vAlign w:val="center"/>
          </w:tcPr>
          <w:p w14:paraId="53E2AAC9" w14:textId="77777777" w:rsidR="00393115" w:rsidRPr="00393115" w:rsidRDefault="00C6108D" w:rsidP="00393115">
            <w:pPr>
              <w:jc w:val="both"/>
              <w:rPr>
                <w:rFonts w:ascii="Times New Roman" w:hAnsi="Times New Roman" w:cs="Times New Roman"/>
              </w:rPr>
            </w:pPr>
            <w:r>
              <w:rPr>
                <w:rFonts w:ascii="Times New Roman" w:hAnsi="Times New Roman" w:cs="Times New Roman"/>
              </w:rPr>
              <w:t>Genellikle uygulanabilir.</w:t>
            </w:r>
          </w:p>
        </w:tc>
      </w:tr>
      <w:tr w:rsidR="00393115" w:rsidRPr="00393115" w14:paraId="19FE509D" w14:textId="77777777" w:rsidTr="007B4DC6">
        <w:trPr>
          <w:jc w:val="center"/>
        </w:trPr>
        <w:tc>
          <w:tcPr>
            <w:tcW w:w="562" w:type="dxa"/>
            <w:vAlign w:val="center"/>
          </w:tcPr>
          <w:p w14:paraId="63922CEC" w14:textId="77777777" w:rsidR="00393115" w:rsidRPr="00393115" w:rsidRDefault="00C6108D" w:rsidP="00393115">
            <w:pPr>
              <w:jc w:val="center"/>
              <w:rPr>
                <w:rFonts w:ascii="Times New Roman" w:hAnsi="Times New Roman" w:cs="Times New Roman"/>
              </w:rPr>
            </w:pPr>
            <w:r>
              <w:rPr>
                <w:rFonts w:ascii="Times New Roman" w:hAnsi="Times New Roman" w:cs="Times New Roman"/>
              </w:rPr>
              <w:t>c</w:t>
            </w:r>
          </w:p>
        </w:tc>
        <w:tc>
          <w:tcPr>
            <w:tcW w:w="3261" w:type="dxa"/>
            <w:vAlign w:val="center"/>
          </w:tcPr>
          <w:p w14:paraId="79D24242" w14:textId="77777777" w:rsidR="00393115" w:rsidRDefault="00BE4639" w:rsidP="00393115">
            <w:pPr>
              <w:jc w:val="both"/>
              <w:rPr>
                <w:rFonts w:ascii="Times New Roman" w:hAnsi="Times New Roman" w:cs="Times New Roman"/>
              </w:rPr>
            </w:pPr>
            <w:r>
              <w:rPr>
                <w:rFonts w:ascii="Times New Roman" w:hAnsi="Times New Roman" w:cs="Times New Roman"/>
              </w:rPr>
              <w:t>Son atık sudaki sülfit ve toplam krom konsantrasyonlarının</w:t>
            </w:r>
            <w:r w:rsidR="00F91A97">
              <w:rPr>
                <w:rFonts w:ascii="Times New Roman" w:hAnsi="Times New Roman" w:cs="Times New Roman"/>
              </w:rPr>
              <w:t xml:space="preserve"> alıcı su ortamına doğrudan deşarjı için</w:t>
            </w:r>
            <w:r w:rsidR="00D80BB7">
              <w:rPr>
                <w:rFonts w:ascii="Times New Roman" w:hAnsi="Times New Roman" w:cs="Times New Roman"/>
              </w:rPr>
              <w:t xml:space="preserve"> arıtmadan sonra</w:t>
            </w:r>
            <w:r>
              <w:rPr>
                <w:rFonts w:ascii="Times New Roman" w:hAnsi="Times New Roman" w:cs="Times New Roman"/>
              </w:rPr>
              <w:t>, akış orantılı 24 saatlik kompozit örnekler kullanılarak</w:t>
            </w:r>
            <w:r w:rsidR="0077795E">
              <w:rPr>
                <w:rFonts w:ascii="Times New Roman" w:hAnsi="Times New Roman" w:cs="Times New Roman"/>
              </w:rPr>
              <w:t xml:space="preserve"> izlenmesi.</w:t>
            </w:r>
          </w:p>
          <w:p w14:paraId="1244C6BB" w14:textId="77777777" w:rsidR="0077795E" w:rsidRDefault="0077795E" w:rsidP="00393115">
            <w:pPr>
              <w:jc w:val="both"/>
              <w:rPr>
                <w:rFonts w:ascii="Times New Roman" w:hAnsi="Times New Roman" w:cs="Times New Roman"/>
              </w:rPr>
            </w:pPr>
          </w:p>
          <w:p w14:paraId="7388A502" w14:textId="77777777" w:rsidR="0077795E" w:rsidRPr="00393115" w:rsidRDefault="00D80BB7" w:rsidP="00393115">
            <w:pPr>
              <w:jc w:val="both"/>
              <w:rPr>
                <w:rFonts w:ascii="Times New Roman" w:hAnsi="Times New Roman" w:cs="Times New Roman"/>
              </w:rPr>
            </w:pPr>
            <w:r>
              <w:rPr>
                <w:rFonts w:ascii="Times New Roman" w:hAnsi="Times New Roman" w:cs="Times New Roman"/>
              </w:rPr>
              <w:t>Sül</w:t>
            </w:r>
            <w:r w:rsidR="00DF0A97">
              <w:rPr>
                <w:rFonts w:ascii="Times New Roman" w:hAnsi="Times New Roman" w:cs="Times New Roman"/>
              </w:rPr>
              <w:t>für</w:t>
            </w:r>
            <w:r>
              <w:rPr>
                <w:rFonts w:ascii="Times New Roman" w:hAnsi="Times New Roman" w:cs="Times New Roman"/>
              </w:rPr>
              <w:t xml:space="preserve"> ve toplam krom konsantrasyonlarının dolaylı deşarj için krom çökelmesinden sonra, akış orantılı 24 saatlik kompozit örnekler kullanılarak izlenmesi.</w:t>
            </w:r>
          </w:p>
        </w:tc>
        <w:tc>
          <w:tcPr>
            <w:tcW w:w="2551" w:type="dxa"/>
            <w:vAlign w:val="center"/>
          </w:tcPr>
          <w:p w14:paraId="5C2F3CF4" w14:textId="77777777" w:rsidR="00393115" w:rsidRPr="00393115" w:rsidRDefault="00D80BB7" w:rsidP="00393115">
            <w:pPr>
              <w:jc w:val="center"/>
              <w:rPr>
                <w:rFonts w:ascii="Times New Roman" w:hAnsi="Times New Roman" w:cs="Times New Roman"/>
              </w:rPr>
            </w:pPr>
            <w:r>
              <w:rPr>
                <w:rFonts w:ascii="Times New Roman" w:hAnsi="Times New Roman" w:cs="Times New Roman"/>
              </w:rPr>
              <w:t>haftalık veya aylık olarak</w:t>
            </w:r>
          </w:p>
        </w:tc>
        <w:tc>
          <w:tcPr>
            <w:tcW w:w="2688" w:type="dxa"/>
            <w:vAlign w:val="center"/>
          </w:tcPr>
          <w:p w14:paraId="1B4246F7" w14:textId="77777777" w:rsidR="00393115" w:rsidRDefault="002D7E4C" w:rsidP="00393115">
            <w:pPr>
              <w:jc w:val="both"/>
              <w:rPr>
                <w:rFonts w:ascii="Times New Roman" w:hAnsi="Times New Roman" w:cs="Times New Roman"/>
              </w:rPr>
            </w:pPr>
            <w:r>
              <w:rPr>
                <w:rFonts w:ascii="Times New Roman" w:hAnsi="Times New Roman" w:cs="Times New Roman"/>
              </w:rPr>
              <w:t>Krom konsantrasyonunun izlenmesi, krom çökelmesini yürüten saha içi veya dışındaki tesislere uygulanabilir.</w:t>
            </w:r>
          </w:p>
          <w:p w14:paraId="58A941E7" w14:textId="77777777" w:rsidR="00EB31C1" w:rsidRDefault="00EB31C1" w:rsidP="00393115">
            <w:pPr>
              <w:jc w:val="both"/>
              <w:rPr>
                <w:rFonts w:ascii="Times New Roman" w:hAnsi="Times New Roman" w:cs="Times New Roman"/>
              </w:rPr>
            </w:pPr>
          </w:p>
          <w:p w14:paraId="70522264" w14:textId="77777777" w:rsidR="00EB31C1" w:rsidRPr="00393115" w:rsidRDefault="00795620" w:rsidP="00393115">
            <w:pPr>
              <w:jc w:val="both"/>
              <w:rPr>
                <w:rFonts w:ascii="Times New Roman" w:hAnsi="Times New Roman" w:cs="Times New Roman"/>
              </w:rPr>
            </w:pPr>
            <w:r>
              <w:rPr>
                <w:rFonts w:ascii="Times New Roman" w:hAnsi="Times New Roman" w:cs="Times New Roman"/>
              </w:rPr>
              <w:t>Ekonomik olarak uygun olduğu durumlarda,</w:t>
            </w:r>
            <w:r w:rsidR="00EB31C1">
              <w:rPr>
                <w:rFonts w:ascii="Times New Roman" w:hAnsi="Times New Roman" w:cs="Times New Roman"/>
              </w:rPr>
              <w:t xml:space="preserve"> sülf</w:t>
            </w:r>
            <w:r w:rsidR="00DF0A97">
              <w:rPr>
                <w:rFonts w:ascii="Times New Roman" w:hAnsi="Times New Roman" w:cs="Times New Roman"/>
              </w:rPr>
              <w:t>ür</w:t>
            </w:r>
            <w:r w:rsidR="00EB31C1">
              <w:rPr>
                <w:rFonts w:ascii="Times New Roman" w:hAnsi="Times New Roman" w:cs="Times New Roman"/>
              </w:rPr>
              <w:t xml:space="preserve"> konsantrasyonunun izlenmesi, </w:t>
            </w:r>
            <w:r w:rsidR="007B4DC6">
              <w:rPr>
                <w:rFonts w:ascii="Times New Roman" w:hAnsi="Times New Roman" w:cs="Times New Roman"/>
              </w:rPr>
              <w:t>tabakhanelerden gelen atık suyun arıtımı için saha içi veya dışı atık su arıtımının bir bölümünü yürüten tesislere uygulanabilir.</w:t>
            </w:r>
          </w:p>
        </w:tc>
      </w:tr>
      <w:tr w:rsidR="00393115" w:rsidRPr="00393115" w14:paraId="3AFF8BBA" w14:textId="77777777" w:rsidTr="007B4DC6">
        <w:trPr>
          <w:jc w:val="center"/>
        </w:trPr>
        <w:tc>
          <w:tcPr>
            <w:tcW w:w="562" w:type="dxa"/>
            <w:vAlign w:val="center"/>
          </w:tcPr>
          <w:p w14:paraId="4C675B4B" w14:textId="77777777" w:rsidR="00393115" w:rsidRPr="00393115" w:rsidRDefault="00160A66" w:rsidP="00393115">
            <w:pPr>
              <w:jc w:val="center"/>
              <w:rPr>
                <w:rFonts w:ascii="Times New Roman" w:hAnsi="Times New Roman" w:cs="Times New Roman"/>
              </w:rPr>
            </w:pPr>
            <w:r>
              <w:rPr>
                <w:rFonts w:ascii="Times New Roman" w:hAnsi="Times New Roman" w:cs="Times New Roman"/>
              </w:rPr>
              <w:t>d</w:t>
            </w:r>
          </w:p>
        </w:tc>
        <w:tc>
          <w:tcPr>
            <w:tcW w:w="3261" w:type="dxa"/>
            <w:vAlign w:val="center"/>
          </w:tcPr>
          <w:p w14:paraId="3426384B" w14:textId="77777777" w:rsidR="00393115" w:rsidRDefault="009B32A0" w:rsidP="00393115">
            <w:pPr>
              <w:jc w:val="both"/>
              <w:rPr>
                <w:rFonts w:ascii="Times New Roman" w:hAnsi="Times New Roman" w:cs="Times New Roman"/>
              </w:rPr>
            </w:pPr>
            <w:r>
              <w:rPr>
                <w:rFonts w:ascii="Times New Roman" w:hAnsi="Times New Roman" w:cs="Times New Roman"/>
              </w:rPr>
              <w:t>Kimyasal oksijen ihtiyacı (</w:t>
            </w:r>
            <w:r w:rsidR="004670F7">
              <w:rPr>
                <w:rFonts w:ascii="Times New Roman" w:hAnsi="Times New Roman" w:cs="Times New Roman"/>
              </w:rPr>
              <w:t>KOİ</w:t>
            </w:r>
            <w:r>
              <w:rPr>
                <w:rFonts w:ascii="Times New Roman" w:hAnsi="Times New Roman" w:cs="Times New Roman"/>
              </w:rPr>
              <w:t>), biyokimyasal oksijen ihtiyacı (</w:t>
            </w:r>
            <w:r w:rsidR="004670F7">
              <w:rPr>
                <w:rFonts w:ascii="Times New Roman" w:hAnsi="Times New Roman" w:cs="Times New Roman"/>
              </w:rPr>
              <w:t>BOİ</w:t>
            </w:r>
            <w:r>
              <w:rPr>
                <w:rFonts w:ascii="Times New Roman" w:hAnsi="Times New Roman" w:cs="Times New Roman"/>
              </w:rPr>
              <w:t>) ve amonyaklı azotun alıcı su ortamına doğrudan deşarjı için saha içi veya dışı atık su arıtımından sonra, akış orantılı 24 saatlik kompozit örnekler kullanılarak izlenmesi.</w:t>
            </w:r>
          </w:p>
          <w:p w14:paraId="394A6C3D" w14:textId="77777777" w:rsidR="00B64E27" w:rsidRDefault="00B64E27" w:rsidP="00393115">
            <w:pPr>
              <w:jc w:val="both"/>
              <w:rPr>
                <w:rFonts w:ascii="Times New Roman" w:hAnsi="Times New Roman" w:cs="Times New Roman"/>
              </w:rPr>
            </w:pPr>
          </w:p>
          <w:p w14:paraId="77273593" w14:textId="77777777" w:rsidR="00B64E27" w:rsidRPr="00393115" w:rsidRDefault="00B64E27" w:rsidP="00393115">
            <w:pPr>
              <w:jc w:val="both"/>
              <w:rPr>
                <w:rFonts w:ascii="Times New Roman" w:hAnsi="Times New Roman" w:cs="Times New Roman"/>
              </w:rPr>
            </w:pPr>
            <w:r>
              <w:rPr>
                <w:rFonts w:ascii="Times New Roman" w:hAnsi="Times New Roman" w:cs="Times New Roman"/>
              </w:rPr>
              <w:t>Toplam askıda katı maddenin alıcı su ortamına doğrudan deşarjı için saha içi veya dışı atık su arıtımından sonra izlenmesi.</w:t>
            </w:r>
          </w:p>
        </w:tc>
        <w:tc>
          <w:tcPr>
            <w:tcW w:w="2551" w:type="dxa"/>
            <w:vAlign w:val="center"/>
          </w:tcPr>
          <w:p w14:paraId="363F4B4E" w14:textId="77777777" w:rsidR="00393115" w:rsidRDefault="009B32A0" w:rsidP="00393115">
            <w:pPr>
              <w:jc w:val="center"/>
              <w:rPr>
                <w:rFonts w:ascii="Times New Roman" w:hAnsi="Times New Roman" w:cs="Times New Roman"/>
              </w:rPr>
            </w:pPr>
            <w:r>
              <w:rPr>
                <w:rFonts w:ascii="Times New Roman" w:hAnsi="Times New Roman" w:cs="Times New Roman"/>
              </w:rPr>
              <w:t>haftalık veya aylık olarak</w:t>
            </w:r>
          </w:p>
          <w:p w14:paraId="3538AF67" w14:textId="77777777" w:rsidR="009B32A0" w:rsidRDefault="009B32A0" w:rsidP="00393115">
            <w:pPr>
              <w:jc w:val="center"/>
              <w:rPr>
                <w:rFonts w:ascii="Times New Roman" w:hAnsi="Times New Roman" w:cs="Times New Roman"/>
              </w:rPr>
            </w:pPr>
          </w:p>
          <w:p w14:paraId="5AADC182" w14:textId="77777777" w:rsidR="009B32A0" w:rsidRPr="00393115" w:rsidRDefault="009B32A0" w:rsidP="00393115">
            <w:pPr>
              <w:jc w:val="center"/>
              <w:rPr>
                <w:rFonts w:ascii="Times New Roman" w:hAnsi="Times New Roman" w:cs="Times New Roman"/>
              </w:rPr>
            </w:pPr>
            <w:r>
              <w:rPr>
                <w:rFonts w:ascii="Times New Roman" w:hAnsi="Times New Roman" w:cs="Times New Roman"/>
              </w:rPr>
              <w:t>Proses değişiklikleri durumunda, daha sık ölçümler gereklidir.</w:t>
            </w:r>
          </w:p>
        </w:tc>
        <w:tc>
          <w:tcPr>
            <w:tcW w:w="2688" w:type="dxa"/>
            <w:vAlign w:val="center"/>
          </w:tcPr>
          <w:p w14:paraId="56E56FD1" w14:textId="77777777" w:rsidR="00393115" w:rsidRPr="00393115" w:rsidRDefault="00724194" w:rsidP="00393115">
            <w:pPr>
              <w:jc w:val="both"/>
              <w:rPr>
                <w:rFonts w:ascii="Times New Roman" w:hAnsi="Times New Roman" w:cs="Times New Roman"/>
              </w:rPr>
            </w:pPr>
            <w:r>
              <w:rPr>
                <w:rFonts w:ascii="Times New Roman" w:hAnsi="Times New Roman" w:cs="Times New Roman"/>
              </w:rPr>
              <w:t>Tabakhanelerden gelen atık suyun arıtımı için saha içi veya dışı atık su arıtımının bir bölümünü yürüten tesislere uygulanabilir.</w:t>
            </w:r>
          </w:p>
        </w:tc>
      </w:tr>
      <w:tr w:rsidR="00393115" w:rsidRPr="00393115" w14:paraId="53DC4B34" w14:textId="77777777" w:rsidTr="007B4DC6">
        <w:trPr>
          <w:jc w:val="center"/>
        </w:trPr>
        <w:tc>
          <w:tcPr>
            <w:tcW w:w="562" w:type="dxa"/>
            <w:vAlign w:val="center"/>
          </w:tcPr>
          <w:p w14:paraId="78A04080" w14:textId="77777777" w:rsidR="00393115" w:rsidRPr="00393115" w:rsidRDefault="00724194" w:rsidP="00393115">
            <w:pPr>
              <w:jc w:val="center"/>
              <w:rPr>
                <w:rFonts w:ascii="Times New Roman" w:hAnsi="Times New Roman" w:cs="Times New Roman"/>
              </w:rPr>
            </w:pPr>
            <w:r>
              <w:rPr>
                <w:rFonts w:ascii="Times New Roman" w:hAnsi="Times New Roman" w:cs="Times New Roman"/>
              </w:rPr>
              <w:t>e</w:t>
            </w:r>
          </w:p>
        </w:tc>
        <w:tc>
          <w:tcPr>
            <w:tcW w:w="3261" w:type="dxa"/>
            <w:vAlign w:val="center"/>
          </w:tcPr>
          <w:p w14:paraId="36D757DA" w14:textId="77777777" w:rsidR="00393115" w:rsidRPr="00393115" w:rsidRDefault="00034255" w:rsidP="00393115">
            <w:pPr>
              <w:jc w:val="both"/>
              <w:rPr>
                <w:rFonts w:ascii="Times New Roman" w:hAnsi="Times New Roman" w:cs="Times New Roman"/>
              </w:rPr>
            </w:pPr>
            <w:r>
              <w:rPr>
                <w:rFonts w:ascii="Times New Roman" w:hAnsi="Times New Roman" w:cs="Times New Roman"/>
              </w:rPr>
              <w:t>Halojenli organik bileşiklerin</w:t>
            </w:r>
            <w:r w:rsidR="00B64E27">
              <w:rPr>
                <w:rFonts w:ascii="Times New Roman" w:hAnsi="Times New Roman" w:cs="Times New Roman"/>
              </w:rPr>
              <w:t xml:space="preserve"> alıcı su ortamına doğrudan deşarjı için saha içi veya dışı atık su arıtımından sonra izlenmesi.</w:t>
            </w:r>
          </w:p>
        </w:tc>
        <w:tc>
          <w:tcPr>
            <w:tcW w:w="2551" w:type="dxa"/>
            <w:vAlign w:val="center"/>
          </w:tcPr>
          <w:p w14:paraId="7E5208A7" w14:textId="77777777" w:rsidR="00393115" w:rsidRPr="00393115" w:rsidRDefault="00175ADF" w:rsidP="00393115">
            <w:pPr>
              <w:jc w:val="center"/>
              <w:rPr>
                <w:rFonts w:ascii="Times New Roman" w:hAnsi="Times New Roman" w:cs="Times New Roman"/>
              </w:rPr>
            </w:pPr>
            <w:r>
              <w:rPr>
                <w:rFonts w:ascii="Times New Roman" w:hAnsi="Times New Roman" w:cs="Times New Roman"/>
              </w:rPr>
              <w:t>düzenli aralıklarla</w:t>
            </w:r>
          </w:p>
        </w:tc>
        <w:tc>
          <w:tcPr>
            <w:tcW w:w="2688" w:type="dxa"/>
            <w:vAlign w:val="center"/>
          </w:tcPr>
          <w:p w14:paraId="2C22F34B" w14:textId="77777777" w:rsidR="00393115" w:rsidRPr="00393115" w:rsidRDefault="00175ADF" w:rsidP="00393115">
            <w:pPr>
              <w:jc w:val="both"/>
              <w:rPr>
                <w:rFonts w:ascii="Times New Roman" w:hAnsi="Times New Roman" w:cs="Times New Roman"/>
              </w:rPr>
            </w:pPr>
            <w:r>
              <w:rPr>
                <w:rFonts w:ascii="Times New Roman" w:hAnsi="Times New Roman" w:cs="Times New Roman"/>
              </w:rPr>
              <w:t xml:space="preserve">Halojenli organik bileşiklerin üretim prosesinde kullanıldığı ve alıcı su ortamına kolayca </w:t>
            </w:r>
            <w:r>
              <w:rPr>
                <w:rFonts w:ascii="Times New Roman" w:hAnsi="Times New Roman" w:cs="Times New Roman"/>
              </w:rPr>
              <w:lastRenderedPageBreak/>
              <w:t>salındığı tesislere uygulanabilir.</w:t>
            </w:r>
          </w:p>
        </w:tc>
      </w:tr>
      <w:tr w:rsidR="00DE5D9F" w:rsidRPr="00393115" w14:paraId="29CDD158" w14:textId="77777777" w:rsidTr="007B4DC6">
        <w:trPr>
          <w:jc w:val="center"/>
        </w:trPr>
        <w:tc>
          <w:tcPr>
            <w:tcW w:w="562" w:type="dxa"/>
            <w:vAlign w:val="center"/>
          </w:tcPr>
          <w:p w14:paraId="453DE441" w14:textId="77777777" w:rsidR="00DE5D9F" w:rsidRDefault="00DE5D9F" w:rsidP="00393115">
            <w:pPr>
              <w:jc w:val="center"/>
              <w:rPr>
                <w:rFonts w:ascii="Times New Roman" w:hAnsi="Times New Roman" w:cs="Times New Roman"/>
              </w:rPr>
            </w:pPr>
            <w:r>
              <w:rPr>
                <w:rFonts w:ascii="Times New Roman" w:hAnsi="Times New Roman" w:cs="Times New Roman"/>
              </w:rPr>
              <w:lastRenderedPageBreak/>
              <w:t>f</w:t>
            </w:r>
          </w:p>
        </w:tc>
        <w:tc>
          <w:tcPr>
            <w:tcW w:w="3261" w:type="dxa"/>
            <w:vAlign w:val="center"/>
          </w:tcPr>
          <w:p w14:paraId="726A6DB3" w14:textId="77777777" w:rsidR="00DF0A97" w:rsidRPr="00DF0A97" w:rsidRDefault="00DF0A97" w:rsidP="00DF0A97">
            <w:pPr>
              <w:rPr>
                <w:rFonts w:ascii="Times New Roman" w:eastAsia="Times New Roman" w:hAnsi="Times New Roman" w:cs="Times New Roman"/>
                <w:color w:val="000000" w:themeColor="text1"/>
                <w:kern w:val="0"/>
                <w:sz w:val="24"/>
                <w:szCs w:val="24"/>
                <w:lang w:eastAsia="tr-TR"/>
                <w14:ligatures w14:val="none"/>
              </w:rPr>
            </w:pPr>
            <w:r w:rsidRPr="00DF0A97">
              <w:rPr>
                <w:rFonts w:ascii="Times New Roman" w:eastAsia="Times New Roman" w:hAnsi="Times New Roman" w:cs="Times New Roman"/>
                <w:color w:val="000000" w:themeColor="text1"/>
                <w:kern w:val="0"/>
                <w:sz w:val="24"/>
                <w:szCs w:val="24"/>
                <w:lang w:eastAsia="tr-TR"/>
                <w14:ligatures w14:val="none"/>
              </w:rPr>
              <w:t>Islak gaz yıkayıcılarının  çıkış noktalarında pH ve redoks potansiyelinin ölçümü.</w:t>
            </w:r>
          </w:p>
          <w:p w14:paraId="77FF4EEE" w14:textId="77777777" w:rsidR="00DE5D9F" w:rsidRDefault="000A6900" w:rsidP="00393115">
            <w:pPr>
              <w:jc w:val="both"/>
              <w:rPr>
                <w:rFonts w:ascii="Times New Roman" w:hAnsi="Times New Roman" w:cs="Times New Roman"/>
              </w:rPr>
            </w:pPr>
            <w:r>
              <w:rPr>
                <w:rFonts w:ascii="Times New Roman" w:hAnsi="Times New Roman" w:cs="Times New Roman"/>
              </w:rPr>
              <w:t>.</w:t>
            </w:r>
          </w:p>
        </w:tc>
        <w:tc>
          <w:tcPr>
            <w:tcW w:w="2551" w:type="dxa"/>
            <w:vAlign w:val="center"/>
          </w:tcPr>
          <w:p w14:paraId="1883F7AD" w14:textId="77777777" w:rsidR="00DE5D9F" w:rsidRDefault="000A6900" w:rsidP="00393115">
            <w:pPr>
              <w:jc w:val="center"/>
              <w:rPr>
                <w:rFonts w:ascii="Times New Roman" w:hAnsi="Times New Roman" w:cs="Times New Roman"/>
              </w:rPr>
            </w:pPr>
            <w:r>
              <w:rPr>
                <w:rFonts w:ascii="Times New Roman" w:hAnsi="Times New Roman" w:cs="Times New Roman"/>
              </w:rPr>
              <w:t>sürekli</w:t>
            </w:r>
          </w:p>
        </w:tc>
        <w:tc>
          <w:tcPr>
            <w:tcW w:w="2688" w:type="dxa"/>
            <w:vAlign w:val="center"/>
          </w:tcPr>
          <w:p w14:paraId="19C15B07" w14:textId="77777777" w:rsidR="00DE5D9F" w:rsidRDefault="000A6900" w:rsidP="00393115">
            <w:pPr>
              <w:jc w:val="both"/>
              <w:rPr>
                <w:rFonts w:ascii="Times New Roman" w:hAnsi="Times New Roman" w:cs="Times New Roman"/>
              </w:rPr>
            </w:pPr>
            <w:r>
              <w:rPr>
                <w:rFonts w:ascii="Times New Roman" w:hAnsi="Times New Roman" w:cs="Times New Roman"/>
              </w:rPr>
              <w:t>Havaya olan hidrojen sülf</w:t>
            </w:r>
            <w:r w:rsidR="00DF0A97">
              <w:rPr>
                <w:rFonts w:ascii="Times New Roman" w:hAnsi="Times New Roman" w:cs="Times New Roman"/>
              </w:rPr>
              <w:t>a</w:t>
            </w:r>
            <w:r>
              <w:rPr>
                <w:rFonts w:ascii="Times New Roman" w:hAnsi="Times New Roman" w:cs="Times New Roman"/>
              </w:rPr>
              <w:t>t veya amonyak emisyonlarını azaltmak için ıslak yıkayıcı kullanan tesislere uygulanabilir.</w:t>
            </w:r>
          </w:p>
        </w:tc>
      </w:tr>
      <w:tr w:rsidR="00DE5D9F" w:rsidRPr="00393115" w14:paraId="73B479BC" w14:textId="77777777" w:rsidTr="007B4DC6">
        <w:trPr>
          <w:jc w:val="center"/>
        </w:trPr>
        <w:tc>
          <w:tcPr>
            <w:tcW w:w="562" w:type="dxa"/>
            <w:vAlign w:val="center"/>
          </w:tcPr>
          <w:p w14:paraId="57E4E07A" w14:textId="77777777" w:rsidR="00DE5D9F" w:rsidRDefault="00DE5D9F" w:rsidP="00393115">
            <w:pPr>
              <w:jc w:val="center"/>
              <w:rPr>
                <w:rFonts w:ascii="Times New Roman" w:hAnsi="Times New Roman" w:cs="Times New Roman"/>
              </w:rPr>
            </w:pPr>
            <w:r>
              <w:rPr>
                <w:rFonts w:ascii="Times New Roman" w:hAnsi="Times New Roman" w:cs="Times New Roman"/>
              </w:rPr>
              <w:t>g</w:t>
            </w:r>
          </w:p>
        </w:tc>
        <w:tc>
          <w:tcPr>
            <w:tcW w:w="3261" w:type="dxa"/>
            <w:vAlign w:val="center"/>
          </w:tcPr>
          <w:p w14:paraId="02849B6A" w14:textId="77777777" w:rsidR="00DE5D9F" w:rsidRDefault="00473E8F" w:rsidP="00393115">
            <w:pPr>
              <w:jc w:val="both"/>
              <w:rPr>
                <w:rFonts w:ascii="Times New Roman" w:hAnsi="Times New Roman" w:cs="Times New Roman"/>
              </w:rPr>
            </w:pPr>
            <w:r>
              <w:rPr>
                <w:rFonts w:ascii="Times New Roman" w:hAnsi="Times New Roman" w:cs="Times New Roman"/>
              </w:rPr>
              <w:t>Yıllık bazda solvent envanterinin tutulması ve aynı sürede üretimin kayıt altına alınması.</w:t>
            </w:r>
          </w:p>
        </w:tc>
        <w:tc>
          <w:tcPr>
            <w:tcW w:w="2551" w:type="dxa"/>
            <w:vAlign w:val="center"/>
          </w:tcPr>
          <w:p w14:paraId="344AE4FC" w14:textId="77777777" w:rsidR="00DE5D9F" w:rsidRDefault="00473E8F" w:rsidP="00393115">
            <w:pPr>
              <w:jc w:val="center"/>
              <w:rPr>
                <w:rFonts w:ascii="Times New Roman" w:hAnsi="Times New Roman" w:cs="Times New Roman"/>
              </w:rPr>
            </w:pPr>
            <w:r>
              <w:rPr>
                <w:rFonts w:ascii="Times New Roman" w:hAnsi="Times New Roman" w:cs="Times New Roman"/>
              </w:rPr>
              <w:t>yıllık olarak</w:t>
            </w:r>
          </w:p>
        </w:tc>
        <w:tc>
          <w:tcPr>
            <w:tcW w:w="2688" w:type="dxa"/>
            <w:vAlign w:val="center"/>
          </w:tcPr>
          <w:p w14:paraId="383F6939" w14:textId="77777777" w:rsidR="00DE5D9F" w:rsidRDefault="00473E8F" w:rsidP="00393115">
            <w:pPr>
              <w:jc w:val="both"/>
              <w:rPr>
                <w:rFonts w:ascii="Times New Roman" w:hAnsi="Times New Roman" w:cs="Times New Roman"/>
              </w:rPr>
            </w:pPr>
            <w:r>
              <w:rPr>
                <w:rFonts w:ascii="Times New Roman" w:hAnsi="Times New Roman" w:cs="Times New Roman"/>
              </w:rPr>
              <w:t xml:space="preserve">Solvent kullanarak </w:t>
            </w:r>
            <w:r w:rsidR="00DF0A97">
              <w:rPr>
                <w:rFonts w:ascii="Times New Roman" w:hAnsi="Times New Roman" w:cs="Times New Roman"/>
              </w:rPr>
              <w:t xml:space="preserve">finisaj </w:t>
            </w:r>
            <w:r>
              <w:rPr>
                <w:rFonts w:ascii="Times New Roman" w:hAnsi="Times New Roman" w:cs="Times New Roman"/>
              </w:rPr>
              <w:t>işlemini gerçekleştiren ve solvent girdisini sınırlandırmak için su esaslı kaplamalar veya benzer materyaller kullanan tesislere uygulanabilir.</w:t>
            </w:r>
          </w:p>
        </w:tc>
      </w:tr>
      <w:tr w:rsidR="00DE5D9F" w:rsidRPr="00393115" w14:paraId="5EF69051" w14:textId="77777777" w:rsidTr="007B4DC6">
        <w:trPr>
          <w:jc w:val="center"/>
        </w:trPr>
        <w:tc>
          <w:tcPr>
            <w:tcW w:w="562" w:type="dxa"/>
            <w:vAlign w:val="center"/>
          </w:tcPr>
          <w:p w14:paraId="6DAF0CD1" w14:textId="77777777" w:rsidR="00DE5D9F" w:rsidRDefault="00DE5D9F" w:rsidP="00393115">
            <w:pPr>
              <w:jc w:val="center"/>
              <w:rPr>
                <w:rFonts w:ascii="Times New Roman" w:hAnsi="Times New Roman" w:cs="Times New Roman"/>
              </w:rPr>
            </w:pPr>
            <w:r>
              <w:rPr>
                <w:rFonts w:ascii="Times New Roman" w:hAnsi="Times New Roman" w:cs="Times New Roman"/>
              </w:rPr>
              <w:t>h</w:t>
            </w:r>
          </w:p>
        </w:tc>
        <w:tc>
          <w:tcPr>
            <w:tcW w:w="3261" w:type="dxa"/>
            <w:vAlign w:val="center"/>
          </w:tcPr>
          <w:p w14:paraId="6F8BA0F0" w14:textId="77777777" w:rsidR="00DE5D9F" w:rsidRPr="00DF0A97" w:rsidRDefault="00DF0A97" w:rsidP="00DF0A97">
            <w:pPr>
              <w:rPr>
                <w:rFonts w:ascii="Times New Roman" w:eastAsia="Times New Roman" w:hAnsi="Times New Roman" w:cs="Times New Roman"/>
                <w:color w:val="000000" w:themeColor="text1"/>
                <w:kern w:val="0"/>
                <w:sz w:val="24"/>
                <w:szCs w:val="24"/>
                <w:lang w:eastAsia="tr-TR"/>
                <w14:ligatures w14:val="none"/>
              </w:rPr>
            </w:pPr>
            <w:r w:rsidRPr="00DF0A97">
              <w:rPr>
                <w:rFonts w:ascii="Times New Roman" w:eastAsia="Times New Roman" w:hAnsi="Times New Roman" w:cs="Times New Roman"/>
                <w:color w:val="000000" w:themeColor="text1"/>
                <w:kern w:val="0"/>
                <w:sz w:val="24"/>
                <w:szCs w:val="24"/>
                <w:lang w:eastAsia="tr-TR"/>
                <w14:ligatures w14:val="none"/>
              </w:rPr>
              <w:t>Emisyon azaltım ekipmanının çıkış noktasında uçucu organik bileşik (VOC) emisyonlarının izlenmesi ve üretim miktarının kaydedilmesi.</w:t>
            </w:r>
          </w:p>
        </w:tc>
        <w:tc>
          <w:tcPr>
            <w:tcW w:w="2551" w:type="dxa"/>
            <w:vAlign w:val="center"/>
          </w:tcPr>
          <w:p w14:paraId="5AAA107F" w14:textId="77777777" w:rsidR="00DE5D9F" w:rsidRDefault="003429DE" w:rsidP="00393115">
            <w:pPr>
              <w:jc w:val="center"/>
              <w:rPr>
                <w:rFonts w:ascii="Times New Roman" w:hAnsi="Times New Roman" w:cs="Times New Roman"/>
              </w:rPr>
            </w:pPr>
            <w:r>
              <w:rPr>
                <w:rFonts w:ascii="Times New Roman" w:hAnsi="Times New Roman" w:cs="Times New Roman"/>
              </w:rPr>
              <w:t>sürekli veya periyodik</w:t>
            </w:r>
          </w:p>
        </w:tc>
        <w:tc>
          <w:tcPr>
            <w:tcW w:w="2688" w:type="dxa"/>
            <w:vAlign w:val="center"/>
          </w:tcPr>
          <w:p w14:paraId="4947B4F9" w14:textId="77777777" w:rsidR="00DE5D9F" w:rsidRDefault="003429DE" w:rsidP="00393115">
            <w:pPr>
              <w:jc w:val="both"/>
              <w:rPr>
                <w:rFonts w:ascii="Times New Roman" w:hAnsi="Times New Roman" w:cs="Times New Roman"/>
              </w:rPr>
            </w:pPr>
            <w:r>
              <w:rPr>
                <w:rFonts w:ascii="Times New Roman" w:hAnsi="Times New Roman" w:cs="Times New Roman"/>
              </w:rPr>
              <w:t xml:space="preserve">Solvent kullanarak </w:t>
            </w:r>
            <w:r w:rsidR="00DF0A97">
              <w:rPr>
                <w:rFonts w:ascii="Times New Roman" w:hAnsi="Times New Roman" w:cs="Times New Roman"/>
              </w:rPr>
              <w:t>finisaj</w:t>
            </w:r>
            <w:r>
              <w:rPr>
                <w:rFonts w:ascii="Times New Roman" w:hAnsi="Times New Roman" w:cs="Times New Roman"/>
              </w:rPr>
              <w:t xml:space="preserve"> işlemini gerçekleştiren ve azaltımı benim</w:t>
            </w:r>
            <w:r w:rsidR="00C668B3">
              <w:rPr>
                <w:rFonts w:ascii="Times New Roman" w:hAnsi="Times New Roman" w:cs="Times New Roman"/>
              </w:rPr>
              <w:t>seyen tesislere uygulanabilir.</w:t>
            </w:r>
          </w:p>
        </w:tc>
      </w:tr>
      <w:tr w:rsidR="00DE5D9F" w:rsidRPr="00393115" w14:paraId="7E8E8FD6" w14:textId="77777777" w:rsidTr="007B4DC6">
        <w:trPr>
          <w:jc w:val="center"/>
        </w:trPr>
        <w:tc>
          <w:tcPr>
            <w:tcW w:w="562" w:type="dxa"/>
            <w:vAlign w:val="center"/>
          </w:tcPr>
          <w:p w14:paraId="340B67CA" w14:textId="77777777" w:rsidR="00DE5D9F" w:rsidRDefault="00DE5D9F" w:rsidP="00393115">
            <w:pPr>
              <w:jc w:val="center"/>
              <w:rPr>
                <w:rFonts w:ascii="Times New Roman" w:hAnsi="Times New Roman" w:cs="Times New Roman"/>
              </w:rPr>
            </w:pPr>
            <w:r>
              <w:rPr>
                <w:rFonts w:ascii="Times New Roman" w:hAnsi="Times New Roman" w:cs="Times New Roman"/>
              </w:rPr>
              <w:t>i</w:t>
            </w:r>
          </w:p>
        </w:tc>
        <w:tc>
          <w:tcPr>
            <w:tcW w:w="3261" w:type="dxa"/>
            <w:vAlign w:val="center"/>
          </w:tcPr>
          <w:p w14:paraId="34998D98" w14:textId="77777777" w:rsidR="00DE5D9F" w:rsidRDefault="00FA034B" w:rsidP="00393115">
            <w:pPr>
              <w:jc w:val="both"/>
              <w:rPr>
                <w:rFonts w:ascii="Times New Roman" w:hAnsi="Times New Roman" w:cs="Times New Roman"/>
              </w:rPr>
            </w:pPr>
            <w:r>
              <w:rPr>
                <w:rFonts w:ascii="Times New Roman" w:hAnsi="Times New Roman" w:cs="Times New Roman"/>
              </w:rPr>
              <w:t>Torba filtreler üzerindeki basınç düşmesinin belirleyici izlenmesi.</w:t>
            </w:r>
          </w:p>
        </w:tc>
        <w:tc>
          <w:tcPr>
            <w:tcW w:w="2551" w:type="dxa"/>
            <w:vAlign w:val="center"/>
          </w:tcPr>
          <w:p w14:paraId="01D9D890" w14:textId="77777777" w:rsidR="00DE5D9F" w:rsidRDefault="00F15A32" w:rsidP="00393115">
            <w:pPr>
              <w:jc w:val="center"/>
              <w:rPr>
                <w:rFonts w:ascii="Times New Roman" w:hAnsi="Times New Roman" w:cs="Times New Roman"/>
              </w:rPr>
            </w:pPr>
            <w:r>
              <w:rPr>
                <w:rFonts w:ascii="Times New Roman" w:hAnsi="Times New Roman" w:cs="Times New Roman"/>
              </w:rPr>
              <w:t>düzenli aralıklarla</w:t>
            </w:r>
          </w:p>
        </w:tc>
        <w:tc>
          <w:tcPr>
            <w:tcW w:w="2688" w:type="dxa"/>
            <w:vAlign w:val="center"/>
          </w:tcPr>
          <w:p w14:paraId="1D55C5B6" w14:textId="77777777" w:rsidR="00DE5D9F" w:rsidRDefault="00190916" w:rsidP="00393115">
            <w:pPr>
              <w:jc w:val="both"/>
              <w:rPr>
                <w:rFonts w:ascii="Times New Roman" w:hAnsi="Times New Roman" w:cs="Times New Roman"/>
              </w:rPr>
            </w:pPr>
            <w:r>
              <w:rPr>
                <w:rFonts w:ascii="Times New Roman" w:hAnsi="Times New Roman" w:cs="Times New Roman"/>
              </w:rPr>
              <w:t>Atmosfere doğrudan bir deşarj olduğu durumlarda, partikül madde emisyonlarını azaltmak için torba filtre kullanan tesislere uygulanabilir.</w:t>
            </w:r>
          </w:p>
        </w:tc>
      </w:tr>
      <w:tr w:rsidR="00DE5D9F" w:rsidRPr="00393115" w14:paraId="42948566" w14:textId="77777777" w:rsidTr="007B4DC6">
        <w:trPr>
          <w:jc w:val="center"/>
        </w:trPr>
        <w:tc>
          <w:tcPr>
            <w:tcW w:w="562" w:type="dxa"/>
            <w:vAlign w:val="center"/>
          </w:tcPr>
          <w:p w14:paraId="3E3108D7" w14:textId="77777777" w:rsidR="00DE5D9F" w:rsidRDefault="00DE5D9F" w:rsidP="00393115">
            <w:pPr>
              <w:jc w:val="center"/>
              <w:rPr>
                <w:rFonts w:ascii="Times New Roman" w:hAnsi="Times New Roman" w:cs="Times New Roman"/>
              </w:rPr>
            </w:pPr>
            <w:r>
              <w:rPr>
                <w:rFonts w:ascii="Times New Roman" w:hAnsi="Times New Roman" w:cs="Times New Roman"/>
              </w:rPr>
              <w:t>j</w:t>
            </w:r>
          </w:p>
        </w:tc>
        <w:tc>
          <w:tcPr>
            <w:tcW w:w="3261" w:type="dxa"/>
            <w:vAlign w:val="center"/>
          </w:tcPr>
          <w:p w14:paraId="7A2D02EF" w14:textId="77777777" w:rsidR="00DE5D9F" w:rsidRDefault="00535A06" w:rsidP="00393115">
            <w:pPr>
              <w:jc w:val="both"/>
              <w:rPr>
                <w:rFonts w:ascii="Times New Roman" w:hAnsi="Times New Roman" w:cs="Times New Roman"/>
              </w:rPr>
            </w:pPr>
            <w:r>
              <w:rPr>
                <w:rFonts w:ascii="Times New Roman" w:hAnsi="Times New Roman" w:cs="Times New Roman"/>
              </w:rPr>
              <w:t>Islak yıkama sistemlerinin yakalama verimliliğinin test edilmesi.</w:t>
            </w:r>
          </w:p>
        </w:tc>
        <w:tc>
          <w:tcPr>
            <w:tcW w:w="2551" w:type="dxa"/>
            <w:vAlign w:val="center"/>
          </w:tcPr>
          <w:p w14:paraId="2BD67B12" w14:textId="77777777" w:rsidR="00DE5D9F" w:rsidRDefault="00535A06" w:rsidP="00393115">
            <w:pPr>
              <w:jc w:val="center"/>
              <w:rPr>
                <w:rFonts w:ascii="Times New Roman" w:hAnsi="Times New Roman" w:cs="Times New Roman"/>
              </w:rPr>
            </w:pPr>
            <w:r>
              <w:rPr>
                <w:rFonts w:ascii="Times New Roman" w:hAnsi="Times New Roman" w:cs="Times New Roman"/>
              </w:rPr>
              <w:t>yıllık olarak</w:t>
            </w:r>
          </w:p>
        </w:tc>
        <w:tc>
          <w:tcPr>
            <w:tcW w:w="2688" w:type="dxa"/>
            <w:vAlign w:val="center"/>
          </w:tcPr>
          <w:p w14:paraId="5E3C18E9" w14:textId="77777777" w:rsidR="00DE5D9F" w:rsidRDefault="00535A06" w:rsidP="00393115">
            <w:pPr>
              <w:jc w:val="both"/>
              <w:rPr>
                <w:rFonts w:ascii="Times New Roman" w:hAnsi="Times New Roman" w:cs="Times New Roman"/>
              </w:rPr>
            </w:pPr>
            <w:r>
              <w:rPr>
                <w:rFonts w:ascii="Times New Roman" w:hAnsi="Times New Roman" w:cs="Times New Roman"/>
              </w:rPr>
              <w:t>Atmosfere doğrudan bir deşarj olduğu durumlarda, partikül madde emisyonlarını azaltmak için ıslak yıkama kullanan tesislere uygulanabilir.</w:t>
            </w:r>
          </w:p>
        </w:tc>
      </w:tr>
      <w:tr w:rsidR="00DE5D9F" w:rsidRPr="00393115" w14:paraId="4C0F5DAB" w14:textId="77777777" w:rsidTr="007B4DC6">
        <w:trPr>
          <w:jc w:val="center"/>
        </w:trPr>
        <w:tc>
          <w:tcPr>
            <w:tcW w:w="562" w:type="dxa"/>
            <w:vAlign w:val="center"/>
          </w:tcPr>
          <w:p w14:paraId="56CE8354" w14:textId="77777777" w:rsidR="00DE5D9F" w:rsidRDefault="00DE5D9F" w:rsidP="00393115">
            <w:pPr>
              <w:jc w:val="center"/>
              <w:rPr>
                <w:rFonts w:ascii="Times New Roman" w:hAnsi="Times New Roman" w:cs="Times New Roman"/>
              </w:rPr>
            </w:pPr>
            <w:r>
              <w:rPr>
                <w:rFonts w:ascii="Times New Roman" w:hAnsi="Times New Roman" w:cs="Times New Roman"/>
              </w:rPr>
              <w:t>k</w:t>
            </w:r>
          </w:p>
        </w:tc>
        <w:tc>
          <w:tcPr>
            <w:tcW w:w="3261" w:type="dxa"/>
            <w:vAlign w:val="center"/>
          </w:tcPr>
          <w:p w14:paraId="4B910F39" w14:textId="77777777" w:rsidR="00DE5D9F" w:rsidRDefault="00407621" w:rsidP="00393115">
            <w:pPr>
              <w:jc w:val="both"/>
              <w:rPr>
                <w:rFonts w:ascii="Times New Roman" w:hAnsi="Times New Roman" w:cs="Times New Roman"/>
              </w:rPr>
            </w:pPr>
            <w:r>
              <w:rPr>
                <w:rFonts w:ascii="Times New Roman" w:hAnsi="Times New Roman" w:cs="Times New Roman"/>
              </w:rPr>
              <w:t>Geri kazanıma, yeniden kullanıma, geri dönüşüme ve bertarafa gönderilen proses artıkları miktarlarının kayıt altına alınması.</w:t>
            </w:r>
          </w:p>
        </w:tc>
        <w:tc>
          <w:tcPr>
            <w:tcW w:w="2551" w:type="dxa"/>
            <w:vAlign w:val="center"/>
          </w:tcPr>
          <w:p w14:paraId="1701D227" w14:textId="77777777" w:rsidR="00DE5D9F" w:rsidRDefault="00407621" w:rsidP="00393115">
            <w:pPr>
              <w:jc w:val="center"/>
              <w:rPr>
                <w:rFonts w:ascii="Times New Roman" w:hAnsi="Times New Roman" w:cs="Times New Roman"/>
              </w:rPr>
            </w:pPr>
            <w:r>
              <w:rPr>
                <w:rFonts w:ascii="Times New Roman" w:hAnsi="Times New Roman" w:cs="Times New Roman"/>
              </w:rPr>
              <w:t>düzenli aralıklarla</w:t>
            </w:r>
          </w:p>
        </w:tc>
        <w:tc>
          <w:tcPr>
            <w:tcW w:w="2688" w:type="dxa"/>
            <w:vAlign w:val="center"/>
          </w:tcPr>
          <w:p w14:paraId="3BE7F0D8" w14:textId="77777777" w:rsidR="00DE5D9F" w:rsidRDefault="00407621" w:rsidP="00393115">
            <w:pPr>
              <w:jc w:val="both"/>
              <w:rPr>
                <w:rFonts w:ascii="Times New Roman" w:hAnsi="Times New Roman" w:cs="Times New Roman"/>
              </w:rPr>
            </w:pPr>
            <w:r>
              <w:rPr>
                <w:rFonts w:ascii="Times New Roman" w:hAnsi="Times New Roman" w:cs="Times New Roman"/>
              </w:rPr>
              <w:t>Genellikle uygulanabilir.</w:t>
            </w:r>
          </w:p>
        </w:tc>
      </w:tr>
      <w:tr w:rsidR="00DE5D9F" w:rsidRPr="00393115" w14:paraId="64326D6D" w14:textId="77777777" w:rsidTr="007B4DC6">
        <w:trPr>
          <w:jc w:val="center"/>
        </w:trPr>
        <w:tc>
          <w:tcPr>
            <w:tcW w:w="562" w:type="dxa"/>
            <w:vAlign w:val="center"/>
          </w:tcPr>
          <w:p w14:paraId="048942BD" w14:textId="77777777" w:rsidR="00DE5D9F" w:rsidRDefault="00DE5D9F" w:rsidP="00393115">
            <w:pPr>
              <w:jc w:val="center"/>
              <w:rPr>
                <w:rFonts w:ascii="Times New Roman" w:hAnsi="Times New Roman" w:cs="Times New Roman"/>
              </w:rPr>
            </w:pPr>
            <w:r>
              <w:rPr>
                <w:rFonts w:ascii="Times New Roman" w:hAnsi="Times New Roman" w:cs="Times New Roman"/>
              </w:rPr>
              <w:t>l</w:t>
            </w:r>
          </w:p>
        </w:tc>
        <w:tc>
          <w:tcPr>
            <w:tcW w:w="3261" w:type="dxa"/>
            <w:vAlign w:val="center"/>
          </w:tcPr>
          <w:p w14:paraId="20D2096E" w14:textId="77777777" w:rsidR="00DE5D9F" w:rsidRDefault="00DA5F98" w:rsidP="00393115">
            <w:pPr>
              <w:jc w:val="both"/>
              <w:rPr>
                <w:rFonts w:ascii="Times New Roman" w:hAnsi="Times New Roman" w:cs="Times New Roman"/>
              </w:rPr>
            </w:pPr>
            <w:r>
              <w:rPr>
                <w:rFonts w:ascii="Times New Roman" w:hAnsi="Times New Roman" w:cs="Times New Roman"/>
              </w:rPr>
              <w:t>Her türdeki enerji kullanımının ve aynı sürede üretiminde kayıt altına alınması.</w:t>
            </w:r>
          </w:p>
        </w:tc>
        <w:tc>
          <w:tcPr>
            <w:tcW w:w="2551" w:type="dxa"/>
            <w:vAlign w:val="center"/>
          </w:tcPr>
          <w:p w14:paraId="34C0805A" w14:textId="77777777" w:rsidR="00DE5D9F" w:rsidRDefault="00DA5F98" w:rsidP="00393115">
            <w:pPr>
              <w:jc w:val="center"/>
              <w:rPr>
                <w:rFonts w:ascii="Times New Roman" w:hAnsi="Times New Roman" w:cs="Times New Roman"/>
              </w:rPr>
            </w:pPr>
            <w:r>
              <w:rPr>
                <w:rFonts w:ascii="Times New Roman" w:hAnsi="Times New Roman" w:cs="Times New Roman"/>
              </w:rPr>
              <w:t>düzenli aralıklarla</w:t>
            </w:r>
          </w:p>
        </w:tc>
        <w:tc>
          <w:tcPr>
            <w:tcW w:w="2688" w:type="dxa"/>
            <w:vAlign w:val="center"/>
          </w:tcPr>
          <w:p w14:paraId="5808C9CC" w14:textId="77777777" w:rsidR="00DE5D9F" w:rsidRDefault="00DA5F98" w:rsidP="00393115">
            <w:pPr>
              <w:jc w:val="both"/>
              <w:rPr>
                <w:rFonts w:ascii="Times New Roman" w:hAnsi="Times New Roman" w:cs="Times New Roman"/>
              </w:rPr>
            </w:pPr>
            <w:r>
              <w:rPr>
                <w:rFonts w:ascii="Times New Roman" w:hAnsi="Times New Roman" w:cs="Times New Roman"/>
              </w:rPr>
              <w:t>Genellikle uygulanabilir.</w:t>
            </w:r>
          </w:p>
        </w:tc>
      </w:tr>
    </w:tbl>
    <w:p w14:paraId="7D9CD206" w14:textId="77777777" w:rsidR="00A87F2B" w:rsidRDefault="00A87F2B" w:rsidP="00393115">
      <w:pPr>
        <w:spacing w:after="120" w:line="276" w:lineRule="auto"/>
        <w:jc w:val="both"/>
        <w:rPr>
          <w:rFonts w:ascii="Times New Roman" w:hAnsi="Times New Roman" w:cs="Times New Roman"/>
          <w:sz w:val="24"/>
          <w:szCs w:val="24"/>
        </w:rPr>
      </w:pPr>
    </w:p>
    <w:p w14:paraId="043231CF" w14:textId="77777777" w:rsidR="001305F4" w:rsidRPr="009C5B1E" w:rsidRDefault="001305F4" w:rsidP="001305F4">
      <w:pPr>
        <w:pStyle w:val="Balk2"/>
        <w:spacing w:before="0" w:after="120" w:line="276" w:lineRule="auto"/>
        <w:jc w:val="both"/>
        <w:rPr>
          <w:rFonts w:cs="Times New Roman"/>
          <w:b/>
          <w:bCs/>
          <w:szCs w:val="24"/>
        </w:rPr>
      </w:pPr>
      <w:r>
        <w:rPr>
          <w:rFonts w:cs="Times New Roman"/>
          <w:b/>
          <w:bCs/>
          <w:szCs w:val="24"/>
        </w:rPr>
        <w:t xml:space="preserve">(3) </w:t>
      </w:r>
      <w:r w:rsidR="00736D84">
        <w:rPr>
          <w:rFonts w:cs="Times New Roman"/>
          <w:b/>
          <w:bCs/>
          <w:szCs w:val="24"/>
        </w:rPr>
        <w:t>Su Tüketiminin Minimizasyonu</w:t>
      </w:r>
    </w:p>
    <w:p w14:paraId="14AD8EF8" w14:textId="77777777" w:rsidR="00DA5F98" w:rsidRDefault="00736D84" w:rsidP="0039311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4:</w:t>
      </w:r>
      <w:r>
        <w:rPr>
          <w:rFonts w:ascii="Times New Roman" w:hAnsi="Times New Roman" w:cs="Times New Roman"/>
          <w:sz w:val="24"/>
          <w:szCs w:val="24"/>
        </w:rPr>
        <w:t xml:space="preserve"> </w:t>
      </w:r>
      <w:r w:rsidR="00855E6D">
        <w:rPr>
          <w:rFonts w:ascii="Times New Roman" w:hAnsi="Times New Roman" w:cs="Times New Roman"/>
          <w:sz w:val="24"/>
          <w:szCs w:val="24"/>
        </w:rPr>
        <w:t>Su tüketimini en aza indirmek için, aşağıdaki tekniklerin biri veya ikisi kullanılır.</w:t>
      </w:r>
    </w:p>
    <w:tbl>
      <w:tblPr>
        <w:tblStyle w:val="TabloKlavuzu"/>
        <w:tblW w:w="0" w:type="auto"/>
        <w:jc w:val="center"/>
        <w:tblLook w:val="04A0" w:firstRow="1" w:lastRow="0" w:firstColumn="1" w:lastColumn="0" w:noHBand="0" w:noVBand="1"/>
      </w:tblPr>
      <w:tblGrid>
        <w:gridCol w:w="421"/>
        <w:gridCol w:w="2976"/>
        <w:gridCol w:w="2977"/>
        <w:gridCol w:w="2688"/>
      </w:tblGrid>
      <w:tr w:rsidR="003B2D41" w:rsidRPr="00393115" w14:paraId="4CCF5DB1" w14:textId="77777777" w:rsidTr="003B2D41">
        <w:trPr>
          <w:tblHeader/>
          <w:jc w:val="center"/>
        </w:trPr>
        <w:tc>
          <w:tcPr>
            <w:tcW w:w="3397" w:type="dxa"/>
            <w:gridSpan w:val="2"/>
            <w:vAlign w:val="center"/>
          </w:tcPr>
          <w:p w14:paraId="61527F7B" w14:textId="77777777" w:rsidR="003B2D41" w:rsidRPr="00393115" w:rsidRDefault="003B2D41" w:rsidP="0024730D">
            <w:pPr>
              <w:jc w:val="center"/>
              <w:rPr>
                <w:rFonts w:ascii="Times New Roman" w:hAnsi="Times New Roman" w:cs="Times New Roman"/>
                <w:b/>
                <w:bCs/>
              </w:rPr>
            </w:pPr>
            <w:r>
              <w:rPr>
                <w:rFonts w:ascii="Times New Roman" w:hAnsi="Times New Roman" w:cs="Times New Roman"/>
                <w:b/>
                <w:bCs/>
              </w:rPr>
              <w:t>Teknik</w:t>
            </w:r>
          </w:p>
        </w:tc>
        <w:tc>
          <w:tcPr>
            <w:tcW w:w="2977" w:type="dxa"/>
            <w:vAlign w:val="center"/>
          </w:tcPr>
          <w:p w14:paraId="34F18526" w14:textId="77777777" w:rsidR="003B2D41" w:rsidRPr="00393115" w:rsidRDefault="003B2D41" w:rsidP="0024730D">
            <w:pPr>
              <w:jc w:val="center"/>
              <w:rPr>
                <w:rFonts w:ascii="Times New Roman" w:hAnsi="Times New Roman" w:cs="Times New Roman"/>
                <w:b/>
                <w:bCs/>
              </w:rPr>
            </w:pPr>
            <w:r>
              <w:rPr>
                <w:rFonts w:ascii="Times New Roman" w:hAnsi="Times New Roman" w:cs="Times New Roman"/>
                <w:b/>
                <w:bCs/>
              </w:rPr>
              <w:t>Açıklama</w:t>
            </w:r>
          </w:p>
        </w:tc>
        <w:tc>
          <w:tcPr>
            <w:tcW w:w="2688" w:type="dxa"/>
            <w:vAlign w:val="center"/>
          </w:tcPr>
          <w:p w14:paraId="308DD920" w14:textId="77777777" w:rsidR="003B2D41" w:rsidRPr="00393115" w:rsidRDefault="003B2D41" w:rsidP="0024730D">
            <w:pPr>
              <w:jc w:val="center"/>
              <w:rPr>
                <w:rFonts w:ascii="Times New Roman" w:hAnsi="Times New Roman" w:cs="Times New Roman"/>
                <w:b/>
                <w:bCs/>
              </w:rPr>
            </w:pPr>
            <w:r>
              <w:rPr>
                <w:rFonts w:ascii="Times New Roman" w:hAnsi="Times New Roman" w:cs="Times New Roman"/>
                <w:b/>
                <w:bCs/>
              </w:rPr>
              <w:t>Uygulanabilirlik</w:t>
            </w:r>
          </w:p>
        </w:tc>
      </w:tr>
      <w:tr w:rsidR="003B2D41" w:rsidRPr="00393115" w14:paraId="31DD5D2D" w14:textId="77777777" w:rsidTr="003B2D41">
        <w:trPr>
          <w:jc w:val="center"/>
        </w:trPr>
        <w:tc>
          <w:tcPr>
            <w:tcW w:w="421" w:type="dxa"/>
            <w:vAlign w:val="center"/>
          </w:tcPr>
          <w:p w14:paraId="4A4A2A90" w14:textId="77777777" w:rsidR="003B2D41" w:rsidRPr="00393115" w:rsidRDefault="003B2D41" w:rsidP="0024730D">
            <w:pPr>
              <w:jc w:val="center"/>
              <w:rPr>
                <w:rFonts w:ascii="Times New Roman" w:hAnsi="Times New Roman" w:cs="Times New Roman"/>
              </w:rPr>
            </w:pPr>
            <w:r>
              <w:rPr>
                <w:rFonts w:ascii="Times New Roman" w:hAnsi="Times New Roman" w:cs="Times New Roman"/>
              </w:rPr>
              <w:t>a</w:t>
            </w:r>
          </w:p>
        </w:tc>
        <w:tc>
          <w:tcPr>
            <w:tcW w:w="2976" w:type="dxa"/>
            <w:vAlign w:val="center"/>
          </w:tcPr>
          <w:p w14:paraId="1A4FB94C" w14:textId="77777777" w:rsidR="003B2D41" w:rsidRPr="00393115" w:rsidRDefault="00A80B27" w:rsidP="0024730D">
            <w:pPr>
              <w:jc w:val="both"/>
              <w:rPr>
                <w:rFonts w:ascii="Times New Roman" w:hAnsi="Times New Roman" w:cs="Times New Roman"/>
              </w:rPr>
            </w:pPr>
            <w:r w:rsidRPr="00A80B27">
              <w:rPr>
                <w:rFonts w:ascii="Times New Roman" w:hAnsi="Times New Roman" w:cs="Times New Roman"/>
              </w:rPr>
              <w:t>Yaş işlemlerde yıkama proseslerinde dolap kapağı ve giderler açık yıkamaların yerine, tüm kapakların kapalı yıkamalar yapılarak proses adımlarında su kullanımının optimizasyonu.</w:t>
            </w:r>
          </w:p>
        </w:tc>
        <w:tc>
          <w:tcPr>
            <w:tcW w:w="2977" w:type="dxa"/>
            <w:vAlign w:val="center"/>
          </w:tcPr>
          <w:p w14:paraId="7F844A0F" w14:textId="77777777" w:rsidR="003B2D41" w:rsidRPr="00393115" w:rsidRDefault="007757B2" w:rsidP="003B2D41">
            <w:pPr>
              <w:jc w:val="both"/>
              <w:rPr>
                <w:rFonts w:ascii="Times New Roman" w:hAnsi="Times New Roman" w:cs="Times New Roman"/>
              </w:rPr>
            </w:pPr>
            <w:r w:rsidRPr="007757B2">
              <w:rPr>
                <w:rFonts w:ascii="Times New Roman" w:hAnsi="Times New Roman" w:cs="Times New Roman"/>
              </w:rPr>
              <w:t xml:space="preserve">Su kullanımının optimizasyonu, her bir proses adımı için gerekli olan su miktarının belirlenmesi ve bu miktarın ölçüm ekipmanları kullanılarak prosese doğru şekilde verilmesiyle sağlanır. Kapalı sistem yıkama, dolap kapağı ve gider vanalarının </w:t>
            </w:r>
            <w:r w:rsidRPr="007757B2">
              <w:rPr>
                <w:rFonts w:ascii="Times New Roman" w:hAnsi="Times New Roman" w:cs="Times New Roman"/>
              </w:rPr>
              <w:lastRenderedPageBreak/>
              <w:t>kapalı şekilde tutulup derilerin dolap içindeki mekanik hareketler karıştırılıp yıkanmasına dayanır. Yıkama işlemi bittiğinde proses flottesi boşaltılır. Bu yöntem, büyük miktarda suyun sürekli giriş-çıkış yaptığı akan suyla yıkama yöntemine alternatif olarak uygulanır</w:t>
            </w:r>
          </w:p>
        </w:tc>
        <w:tc>
          <w:tcPr>
            <w:tcW w:w="2688" w:type="dxa"/>
            <w:vAlign w:val="center"/>
          </w:tcPr>
          <w:p w14:paraId="111A1D29" w14:textId="77777777" w:rsidR="003B2D41" w:rsidRPr="00393115" w:rsidRDefault="007757B2" w:rsidP="0024730D">
            <w:pPr>
              <w:jc w:val="both"/>
              <w:rPr>
                <w:rFonts w:ascii="Times New Roman" w:hAnsi="Times New Roman" w:cs="Times New Roman"/>
              </w:rPr>
            </w:pPr>
            <w:r w:rsidRPr="007757B2">
              <w:rPr>
                <w:rFonts w:ascii="Times New Roman" w:hAnsi="Times New Roman" w:cs="Times New Roman"/>
              </w:rPr>
              <w:lastRenderedPageBreak/>
              <w:t>Yaş işlemleri gerçekleştiren tüm tesisler için uygundur.</w:t>
            </w:r>
          </w:p>
        </w:tc>
      </w:tr>
      <w:tr w:rsidR="003B2D41" w:rsidRPr="00393115" w14:paraId="1B21E47F" w14:textId="77777777" w:rsidTr="003B2D41">
        <w:trPr>
          <w:jc w:val="center"/>
        </w:trPr>
        <w:tc>
          <w:tcPr>
            <w:tcW w:w="421" w:type="dxa"/>
            <w:vAlign w:val="center"/>
          </w:tcPr>
          <w:p w14:paraId="144C526E" w14:textId="77777777" w:rsidR="003B2D41" w:rsidRPr="00393115" w:rsidRDefault="003B2D41" w:rsidP="0024730D">
            <w:pPr>
              <w:jc w:val="center"/>
              <w:rPr>
                <w:rFonts w:ascii="Times New Roman" w:hAnsi="Times New Roman" w:cs="Times New Roman"/>
              </w:rPr>
            </w:pPr>
            <w:r>
              <w:rPr>
                <w:rFonts w:ascii="Times New Roman" w:hAnsi="Times New Roman" w:cs="Times New Roman"/>
              </w:rPr>
              <w:t>b</w:t>
            </w:r>
          </w:p>
        </w:tc>
        <w:tc>
          <w:tcPr>
            <w:tcW w:w="2976" w:type="dxa"/>
            <w:vAlign w:val="center"/>
          </w:tcPr>
          <w:p w14:paraId="4F02F996" w14:textId="77777777" w:rsidR="003B2D41" w:rsidRPr="00393115" w:rsidRDefault="009D521E" w:rsidP="0024730D">
            <w:pPr>
              <w:jc w:val="both"/>
              <w:rPr>
                <w:rFonts w:ascii="Times New Roman" w:hAnsi="Times New Roman" w:cs="Times New Roman"/>
              </w:rPr>
            </w:pPr>
            <w:r>
              <w:rPr>
                <w:rFonts w:ascii="Times New Roman" w:hAnsi="Times New Roman" w:cs="Times New Roman"/>
              </w:rPr>
              <w:t xml:space="preserve">Kısa </w:t>
            </w:r>
            <w:r w:rsidR="00581BFF">
              <w:rPr>
                <w:rFonts w:ascii="Times New Roman" w:hAnsi="Times New Roman" w:cs="Times New Roman"/>
              </w:rPr>
              <w:t xml:space="preserve">flotte </w:t>
            </w:r>
            <w:r>
              <w:rPr>
                <w:rFonts w:ascii="Times New Roman" w:hAnsi="Times New Roman" w:cs="Times New Roman"/>
              </w:rPr>
              <w:t>(düşük su içerikli) kullanımı</w:t>
            </w:r>
          </w:p>
        </w:tc>
        <w:tc>
          <w:tcPr>
            <w:tcW w:w="2977" w:type="dxa"/>
            <w:vAlign w:val="center"/>
          </w:tcPr>
          <w:p w14:paraId="402DCF1A" w14:textId="77777777" w:rsidR="003B2D41" w:rsidRPr="00393115" w:rsidRDefault="00A57458" w:rsidP="003B2D41">
            <w:pPr>
              <w:jc w:val="both"/>
              <w:rPr>
                <w:rFonts w:ascii="Times New Roman" w:hAnsi="Times New Roman" w:cs="Times New Roman"/>
              </w:rPr>
            </w:pPr>
            <w:r>
              <w:rPr>
                <w:rFonts w:ascii="Times New Roman" w:hAnsi="Times New Roman" w:cs="Times New Roman"/>
              </w:rPr>
              <w:t xml:space="preserve">Kısa </w:t>
            </w:r>
            <w:r w:rsidR="00581BFF">
              <w:rPr>
                <w:rFonts w:ascii="Times New Roman" w:hAnsi="Times New Roman" w:cs="Times New Roman"/>
              </w:rPr>
              <w:t>flotte</w:t>
            </w:r>
            <w:r>
              <w:rPr>
                <w:rFonts w:ascii="Times New Roman" w:hAnsi="Times New Roman" w:cs="Times New Roman"/>
              </w:rPr>
              <w:t xml:space="preserve">, </w:t>
            </w:r>
            <w:r w:rsidR="00362813">
              <w:rPr>
                <w:rFonts w:ascii="Times New Roman" w:hAnsi="Times New Roman" w:cs="Times New Roman"/>
              </w:rPr>
              <w:t>geleneksel uygulamalara kıyasla, işlenen deri veya post miktarına oranla azaltılmış proses suyu miktarı</w:t>
            </w:r>
            <w:r w:rsidR="00C3732A">
              <w:rPr>
                <w:rFonts w:ascii="Times New Roman" w:hAnsi="Times New Roman" w:cs="Times New Roman"/>
              </w:rPr>
              <w:t xml:space="preserve">dır. </w:t>
            </w:r>
            <w:r w:rsidR="00BE4F16">
              <w:rPr>
                <w:rFonts w:ascii="Times New Roman" w:hAnsi="Times New Roman" w:cs="Times New Roman"/>
              </w:rPr>
              <w:t xml:space="preserve">Bahse konu azaltmaya ilişkin bir alt sınır bulunur; çünkü su aynı zamanda, </w:t>
            </w:r>
            <w:r w:rsidR="00F67BCC">
              <w:rPr>
                <w:rFonts w:ascii="Times New Roman" w:hAnsi="Times New Roman" w:cs="Times New Roman"/>
              </w:rPr>
              <w:t xml:space="preserve">işleme sırasında deri ve veya postlar için bir kayganlaştırıcı veya soğutucu işlevi görür. </w:t>
            </w:r>
            <w:r w:rsidR="00C42D2F">
              <w:rPr>
                <w:rFonts w:ascii="Times New Roman" w:hAnsi="Times New Roman" w:cs="Times New Roman"/>
              </w:rPr>
              <w:t>Sınırlı miktarda su içeren işleme teknelerinin dönmesi, dönen kütle eşit olmadığı için, daha sağlam dişli çekişler gerektirir.</w:t>
            </w:r>
          </w:p>
        </w:tc>
        <w:tc>
          <w:tcPr>
            <w:tcW w:w="2688" w:type="dxa"/>
            <w:vAlign w:val="center"/>
          </w:tcPr>
          <w:p w14:paraId="386EE998" w14:textId="77777777" w:rsidR="007757B2" w:rsidRPr="007757B2" w:rsidRDefault="007757B2" w:rsidP="007757B2">
            <w:pPr>
              <w:jc w:val="both"/>
              <w:rPr>
                <w:rFonts w:ascii="Times New Roman" w:hAnsi="Times New Roman" w:cs="Times New Roman"/>
              </w:rPr>
            </w:pPr>
            <w:r w:rsidRPr="007757B2">
              <w:rPr>
                <w:rFonts w:ascii="Times New Roman" w:hAnsi="Times New Roman" w:cs="Times New Roman"/>
              </w:rPr>
              <w:t>Bu teknik, bazı boyama proseslerinde ve hassas dana derisi için uygulanamaz.</w:t>
            </w:r>
          </w:p>
          <w:p w14:paraId="12043B32" w14:textId="77777777" w:rsidR="007757B2" w:rsidRPr="007757B2" w:rsidRDefault="007757B2" w:rsidP="007757B2">
            <w:pPr>
              <w:jc w:val="both"/>
              <w:rPr>
                <w:rFonts w:ascii="Times New Roman" w:hAnsi="Times New Roman" w:cs="Times New Roman"/>
              </w:rPr>
            </w:pPr>
            <w:r w:rsidRPr="007757B2">
              <w:rPr>
                <w:rFonts w:ascii="Times New Roman" w:hAnsi="Times New Roman" w:cs="Times New Roman"/>
              </w:rPr>
              <w:t>Uygulanabilirlik, ayrıca aşağıdakilerle kısıtlıdır:</w:t>
            </w:r>
          </w:p>
          <w:p w14:paraId="475FB1E0" w14:textId="77777777" w:rsidR="007757B2" w:rsidRPr="007757B2" w:rsidRDefault="007757B2" w:rsidP="007757B2">
            <w:pPr>
              <w:jc w:val="both"/>
              <w:rPr>
                <w:rFonts w:ascii="Times New Roman" w:hAnsi="Times New Roman" w:cs="Times New Roman"/>
              </w:rPr>
            </w:pPr>
            <w:r w:rsidRPr="007757B2">
              <w:rPr>
                <w:rFonts w:ascii="Times New Roman" w:hAnsi="Times New Roman" w:cs="Times New Roman"/>
              </w:rPr>
              <w:t>-- yeni dolaplar,</w:t>
            </w:r>
          </w:p>
          <w:p w14:paraId="3D37A781" w14:textId="77777777" w:rsidR="000A4324" w:rsidRPr="00393115" w:rsidRDefault="007757B2" w:rsidP="007757B2">
            <w:pPr>
              <w:jc w:val="both"/>
              <w:rPr>
                <w:rFonts w:ascii="Times New Roman" w:hAnsi="Times New Roman" w:cs="Times New Roman"/>
              </w:rPr>
            </w:pPr>
            <w:r w:rsidRPr="007757B2">
              <w:rPr>
                <w:rFonts w:ascii="Times New Roman" w:hAnsi="Times New Roman" w:cs="Times New Roman"/>
              </w:rPr>
              <w:t>-- kısa flotörlerin kullanımına olanak tanıyan veya kullanımı için modifiye edilebilen mevcut dolaplar.</w:t>
            </w:r>
          </w:p>
        </w:tc>
      </w:tr>
    </w:tbl>
    <w:p w14:paraId="7E478D70" w14:textId="77777777" w:rsidR="00855E6D" w:rsidRDefault="00855E6D" w:rsidP="00393115">
      <w:pPr>
        <w:spacing w:after="120" w:line="276" w:lineRule="auto"/>
        <w:jc w:val="both"/>
        <w:rPr>
          <w:rFonts w:ascii="Times New Roman" w:hAnsi="Times New Roman" w:cs="Times New Roman"/>
          <w:sz w:val="24"/>
          <w:szCs w:val="24"/>
        </w:rPr>
      </w:pPr>
    </w:p>
    <w:p w14:paraId="1A09EF76" w14:textId="77777777" w:rsidR="00B722DE" w:rsidRDefault="001965A3" w:rsidP="0039311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Proses/yıkama suyunun yeniden kullanımına yönelik seçeneklerin değerlendirilmesi, ÇYS’nin (bkz. MET 1) ve iyi bakım ve temizlik ilkelerinin bir parçasıdır (bkz. MET 2).</w:t>
      </w:r>
    </w:p>
    <w:p w14:paraId="0A343965" w14:textId="77777777" w:rsidR="001965A3" w:rsidRDefault="001965A3" w:rsidP="00393115">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Su</w:t>
      </w:r>
      <w:r w:rsidR="005511F7">
        <w:rPr>
          <w:rFonts w:ascii="Times New Roman" w:hAnsi="Times New Roman" w:cs="Times New Roman"/>
          <w:b/>
          <w:bCs/>
          <w:sz w:val="24"/>
          <w:szCs w:val="24"/>
        </w:rPr>
        <w:t>ya Yönelik</w:t>
      </w:r>
      <w:r>
        <w:rPr>
          <w:rFonts w:ascii="Times New Roman" w:hAnsi="Times New Roman" w:cs="Times New Roman"/>
          <w:b/>
          <w:bCs/>
          <w:sz w:val="24"/>
          <w:szCs w:val="24"/>
        </w:rPr>
        <w:t xml:space="preserve"> MET ile İlişkili Tüketim Seviyeleri</w:t>
      </w:r>
    </w:p>
    <w:p w14:paraId="108A7BA9" w14:textId="77777777" w:rsidR="001965A3" w:rsidRDefault="001965A3" w:rsidP="0039311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Tablo 1’e (sığır postları için) ve Tablo 2’ye (koyun derileri için) bakınız.</w:t>
      </w:r>
    </w:p>
    <w:p w14:paraId="2BB6BD11" w14:textId="77777777" w:rsidR="001965A3" w:rsidRDefault="001965A3" w:rsidP="001965A3">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1</w:t>
      </w:r>
    </w:p>
    <w:p w14:paraId="1C7FF145" w14:textId="77777777" w:rsidR="001965A3" w:rsidRPr="001965A3" w:rsidRDefault="005511F7" w:rsidP="001965A3">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Sığır postlarının işlenmesi için suya yönelik MET ile ilişkili tüketim seviyeleri</w:t>
      </w:r>
    </w:p>
    <w:tbl>
      <w:tblPr>
        <w:tblStyle w:val="TabloKlavuzu"/>
        <w:tblW w:w="0" w:type="auto"/>
        <w:jc w:val="center"/>
        <w:tblLook w:val="04A0" w:firstRow="1" w:lastRow="0" w:firstColumn="1" w:lastColumn="0" w:noHBand="0" w:noVBand="1"/>
      </w:tblPr>
      <w:tblGrid>
        <w:gridCol w:w="3020"/>
        <w:gridCol w:w="3021"/>
        <w:gridCol w:w="3021"/>
      </w:tblGrid>
      <w:tr w:rsidR="00461B74" w:rsidRPr="00461B74" w14:paraId="65FD2F78" w14:textId="77777777" w:rsidTr="0024730D">
        <w:trPr>
          <w:jc w:val="center"/>
        </w:trPr>
        <w:tc>
          <w:tcPr>
            <w:tcW w:w="3020" w:type="dxa"/>
            <w:vMerge w:val="restart"/>
            <w:vAlign w:val="center"/>
          </w:tcPr>
          <w:p w14:paraId="7357B177" w14:textId="77777777" w:rsidR="00461B74" w:rsidRPr="00461B74" w:rsidRDefault="00461B74" w:rsidP="00461B74">
            <w:pPr>
              <w:jc w:val="center"/>
              <w:rPr>
                <w:rFonts w:ascii="Times New Roman" w:hAnsi="Times New Roman" w:cs="Times New Roman"/>
                <w:b/>
                <w:bCs/>
              </w:rPr>
            </w:pPr>
            <w:r>
              <w:rPr>
                <w:rFonts w:ascii="Times New Roman" w:hAnsi="Times New Roman" w:cs="Times New Roman"/>
                <w:b/>
                <w:bCs/>
              </w:rPr>
              <w:t>Proses Aşamaları</w:t>
            </w:r>
          </w:p>
        </w:tc>
        <w:tc>
          <w:tcPr>
            <w:tcW w:w="6042" w:type="dxa"/>
            <w:gridSpan w:val="2"/>
            <w:vAlign w:val="center"/>
          </w:tcPr>
          <w:p w14:paraId="0640146D" w14:textId="77777777" w:rsidR="00461B74" w:rsidRDefault="00461B74" w:rsidP="00461B74">
            <w:pPr>
              <w:jc w:val="center"/>
              <w:rPr>
                <w:rFonts w:ascii="Times New Roman" w:hAnsi="Times New Roman" w:cs="Times New Roman"/>
                <w:b/>
                <w:bCs/>
              </w:rPr>
            </w:pPr>
            <w:r>
              <w:rPr>
                <w:rFonts w:ascii="Times New Roman" w:hAnsi="Times New Roman" w:cs="Times New Roman"/>
                <w:b/>
                <w:bCs/>
              </w:rPr>
              <w:t xml:space="preserve">ham </w:t>
            </w:r>
            <w:r w:rsidR="00235B2C">
              <w:rPr>
                <w:rFonts w:ascii="Times New Roman" w:hAnsi="Times New Roman" w:cs="Times New Roman"/>
                <w:b/>
                <w:bCs/>
              </w:rPr>
              <w:t>deri t</w:t>
            </w:r>
            <w:r>
              <w:rPr>
                <w:rFonts w:ascii="Times New Roman" w:hAnsi="Times New Roman" w:cs="Times New Roman"/>
                <w:b/>
                <w:bCs/>
              </w:rPr>
              <w:t>onu başına su tüketimi (</w:t>
            </w:r>
            <w:r w:rsidRPr="00461B74">
              <w:rPr>
                <w:rFonts w:ascii="Times New Roman" w:hAnsi="Times New Roman" w:cs="Times New Roman"/>
                <w:b/>
                <w:bCs/>
                <w:vertAlign w:val="superscript"/>
              </w:rPr>
              <w:t>1</w:t>
            </w:r>
            <w:r>
              <w:rPr>
                <w:rFonts w:ascii="Times New Roman" w:hAnsi="Times New Roman" w:cs="Times New Roman"/>
                <w:b/>
                <w:bCs/>
              </w:rPr>
              <w:t>)</w:t>
            </w:r>
          </w:p>
          <w:p w14:paraId="635C462E" w14:textId="77777777" w:rsidR="00461B74" w:rsidRPr="00461B74" w:rsidRDefault="00461B74" w:rsidP="00461B74">
            <w:pPr>
              <w:jc w:val="center"/>
              <w:rPr>
                <w:rFonts w:ascii="Times New Roman" w:hAnsi="Times New Roman" w:cs="Times New Roman"/>
                <w:b/>
                <w:bCs/>
              </w:rPr>
            </w:pPr>
            <w:r>
              <w:rPr>
                <w:rFonts w:ascii="Times New Roman" w:hAnsi="Times New Roman" w:cs="Times New Roman"/>
                <w:b/>
                <w:bCs/>
              </w:rPr>
              <w:t>(m</w:t>
            </w:r>
            <w:r>
              <w:rPr>
                <w:rFonts w:ascii="Times New Roman" w:hAnsi="Times New Roman" w:cs="Times New Roman"/>
                <w:b/>
                <w:bCs/>
                <w:vertAlign w:val="superscript"/>
              </w:rPr>
              <w:t>3</w:t>
            </w:r>
            <w:r>
              <w:rPr>
                <w:rFonts w:ascii="Times New Roman" w:hAnsi="Times New Roman" w:cs="Times New Roman"/>
                <w:b/>
                <w:bCs/>
              </w:rPr>
              <w:t>/t)</w:t>
            </w:r>
          </w:p>
        </w:tc>
      </w:tr>
      <w:tr w:rsidR="00461B74" w:rsidRPr="00461B74" w14:paraId="53933833" w14:textId="77777777" w:rsidTr="00461B74">
        <w:trPr>
          <w:jc w:val="center"/>
        </w:trPr>
        <w:tc>
          <w:tcPr>
            <w:tcW w:w="3020" w:type="dxa"/>
            <w:vMerge/>
            <w:vAlign w:val="center"/>
          </w:tcPr>
          <w:p w14:paraId="3D1309DA" w14:textId="77777777" w:rsidR="00461B74" w:rsidRPr="00461B74" w:rsidRDefault="00461B74" w:rsidP="00461B74">
            <w:pPr>
              <w:jc w:val="center"/>
              <w:rPr>
                <w:rFonts w:ascii="Times New Roman" w:hAnsi="Times New Roman" w:cs="Times New Roman"/>
                <w:b/>
                <w:bCs/>
              </w:rPr>
            </w:pPr>
          </w:p>
        </w:tc>
        <w:tc>
          <w:tcPr>
            <w:tcW w:w="3021" w:type="dxa"/>
            <w:vAlign w:val="center"/>
          </w:tcPr>
          <w:p w14:paraId="1E6DC252" w14:textId="77777777" w:rsidR="00461B74" w:rsidRPr="00461B74" w:rsidRDefault="00461B74" w:rsidP="00461B74">
            <w:pPr>
              <w:jc w:val="center"/>
              <w:rPr>
                <w:rFonts w:ascii="Times New Roman" w:hAnsi="Times New Roman" w:cs="Times New Roman"/>
                <w:b/>
                <w:bCs/>
              </w:rPr>
            </w:pPr>
            <w:r>
              <w:rPr>
                <w:rFonts w:ascii="Times New Roman" w:hAnsi="Times New Roman" w:cs="Times New Roman"/>
                <w:b/>
                <w:bCs/>
              </w:rPr>
              <w:t xml:space="preserve">tuzlanmamış </w:t>
            </w:r>
            <w:r w:rsidR="00235B2C">
              <w:rPr>
                <w:rFonts w:ascii="Times New Roman" w:hAnsi="Times New Roman" w:cs="Times New Roman"/>
                <w:b/>
                <w:bCs/>
              </w:rPr>
              <w:t>ham deri</w:t>
            </w:r>
          </w:p>
        </w:tc>
        <w:tc>
          <w:tcPr>
            <w:tcW w:w="3021" w:type="dxa"/>
            <w:vAlign w:val="center"/>
          </w:tcPr>
          <w:p w14:paraId="73C47A42" w14:textId="77777777" w:rsidR="00461B74" w:rsidRPr="00461B74" w:rsidRDefault="00461B74" w:rsidP="00461B74">
            <w:pPr>
              <w:jc w:val="center"/>
              <w:rPr>
                <w:rFonts w:ascii="Times New Roman" w:hAnsi="Times New Roman" w:cs="Times New Roman"/>
                <w:b/>
                <w:bCs/>
              </w:rPr>
            </w:pPr>
            <w:r>
              <w:rPr>
                <w:rFonts w:ascii="Times New Roman" w:hAnsi="Times New Roman" w:cs="Times New Roman"/>
                <w:b/>
                <w:bCs/>
              </w:rPr>
              <w:t xml:space="preserve">tuzlanmış </w:t>
            </w:r>
            <w:r w:rsidR="00235B2C">
              <w:rPr>
                <w:rFonts w:ascii="Times New Roman" w:hAnsi="Times New Roman" w:cs="Times New Roman"/>
                <w:b/>
                <w:bCs/>
              </w:rPr>
              <w:t>ham deri</w:t>
            </w:r>
          </w:p>
        </w:tc>
      </w:tr>
      <w:tr w:rsidR="00461B74" w:rsidRPr="00461B74" w14:paraId="7C9F639E" w14:textId="77777777" w:rsidTr="00461B74">
        <w:trPr>
          <w:jc w:val="center"/>
        </w:trPr>
        <w:tc>
          <w:tcPr>
            <w:tcW w:w="3020" w:type="dxa"/>
            <w:vAlign w:val="center"/>
          </w:tcPr>
          <w:p w14:paraId="51DFF10A" w14:textId="77777777" w:rsidR="00461B74" w:rsidRPr="00461B74" w:rsidRDefault="00235B2C" w:rsidP="00461B74">
            <w:pPr>
              <w:jc w:val="both"/>
              <w:rPr>
                <w:rFonts w:ascii="Times New Roman" w:hAnsi="Times New Roman" w:cs="Times New Roman"/>
              </w:rPr>
            </w:pPr>
            <w:r w:rsidRPr="00235B2C">
              <w:rPr>
                <w:rFonts w:ascii="Times New Roman" w:hAnsi="Times New Roman" w:cs="Times New Roman"/>
              </w:rPr>
              <w:t>Ham deriden wet-blue/wet-white aşamasına</w:t>
            </w:r>
          </w:p>
        </w:tc>
        <w:tc>
          <w:tcPr>
            <w:tcW w:w="3021" w:type="dxa"/>
            <w:vAlign w:val="center"/>
          </w:tcPr>
          <w:p w14:paraId="172EF7C8" w14:textId="77777777" w:rsidR="00461B74" w:rsidRPr="00461B74" w:rsidRDefault="00461B74" w:rsidP="00461B74">
            <w:pPr>
              <w:jc w:val="center"/>
              <w:rPr>
                <w:rFonts w:ascii="Times New Roman" w:hAnsi="Times New Roman" w:cs="Times New Roman"/>
              </w:rPr>
            </w:pPr>
            <w:r>
              <w:rPr>
                <w:rFonts w:ascii="Times New Roman" w:hAnsi="Times New Roman" w:cs="Times New Roman"/>
              </w:rPr>
              <w:t>10-15</w:t>
            </w:r>
          </w:p>
        </w:tc>
        <w:tc>
          <w:tcPr>
            <w:tcW w:w="3021" w:type="dxa"/>
            <w:vAlign w:val="center"/>
          </w:tcPr>
          <w:p w14:paraId="7FE483C0" w14:textId="77777777" w:rsidR="00461B74" w:rsidRPr="00461B74" w:rsidRDefault="00461B74" w:rsidP="00461B74">
            <w:pPr>
              <w:jc w:val="center"/>
              <w:rPr>
                <w:rFonts w:ascii="Times New Roman" w:hAnsi="Times New Roman" w:cs="Times New Roman"/>
              </w:rPr>
            </w:pPr>
            <w:r>
              <w:rPr>
                <w:rFonts w:ascii="Times New Roman" w:hAnsi="Times New Roman" w:cs="Times New Roman"/>
              </w:rPr>
              <w:t>13-18</w:t>
            </w:r>
          </w:p>
        </w:tc>
      </w:tr>
      <w:tr w:rsidR="00461B74" w:rsidRPr="00461B74" w14:paraId="3186A7A2" w14:textId="77777777" w:rsidTr="00461B74">
        <w:trPr>
          <w:jc w:val="center"/>
        </w:trPr>
        <w:tc>
          <w:tcPr>
            <w:tcW w:w="3020" w:type="dxa"/>
            <w:vAlign w:val="center"/>
          </w:tcPr>
          <w:p w14:paraId="09BDA2CE" w14:textId="77777777" w:rsidR="00461B74" w:rsidRPr="00461B74" w:rsidRDefault="00461B74" w:rsidP="00461B74">
            <w:pPr>
              <w:jc w:val="both"/>
              <w:rPr>
                <w:rFonts w:ascii="Times New Roman" w:hAnsi="Times New Roman" w:cs="Times New Roman"/>
              </w:rPr>
            </w:pPr>
            <w:r>
              <w:rPr>
                <w:rFonts w:ascii="Times New Roman" w:hAnsi="Times New Roman" w:cs="Times New Roman"/>
              </w:rPr>
              <w:t xml:space="preserve">Tabaklama sonrası aşamalar ve </w:t>
            </w:r>
            <w:r w:rsidR="00235B2C">
              <w:rPr>
                <w:rFonts w:ascii="Times New Roman" w:hAnsi="Times New Roman" w:cs="Times New Roman"/>
              </w:rPr>
              <w:t>finisaj</w:t>
            </w:r>
          </w:p>
        </w:tc>
        <w:tc>
          <w:tcPr>
            <w:tcW w:w="3021" w:type="dxa"/>
            <w:vAlign w:val="center"/>
          </w:tcPr>
          <w:p w14:paraId="4B1B7CCC" w14:textId="77777777" w:rsidR="00461B74" w:rsidRPr="00461B74" w:rsidRDefault="00461B74" w:rsidP="00461B74">
            <w:pPr>
              <w:jc w:val="center"/>
              <w:rPr>
                <w:rFonts w:ascii="Times New Roman" w:hAnsi="Times New Roman" w:cs="Times New Roman"/>
              </w:rPr>
            </w:pPr>
            <w:r>
              <w:rPr>
                <w:rFonts w:ascii="Times New Roman" w:hAnsi="Times New Roman" w:cs="Times New Roman"/>
              </w:rPr>
              <w:t>6-10</w:t>
            </w:r>
          </w:p>
        </w:tc>
        <w:tc>
          <w:tcPr>
            <w:tcW w:w="3021" w:type="dxa"/>
            <w:vAlign w:val="center"/>
          </w:tcPr>
          <w:p w14:paraId="788F6E48" w14:textId="77777777" w:rsidR="00461B74" w:rsidRPr="00461B74" w:rsidRDefault="00461B74" w:rsidP="00461B74">
            <w:pPr>
              <w:jc w:val="center"/>
              <w:rPr>
                <w:rFonts w:ascii="Times New Roman" w:hAnsi="Times New Roman" w:cs="Times New Roman"/>
              </w:rPr>
            </w:pPr>
            <w:r>
              <w:rPr>
                <w:rFonts w:ascii="Times New Roman" w:hAnsi="Times New Roman" w:cs="Times New Roman"/>
              </w:rPr>
              <w:t>6-10</w:t>
            </w:r>
          </w:p>
        </w:tc>
      </w:tr>
      <w:tr w:rsidR="00461B74" w:rsidRPr="00461B74" w14:paraId="18330E3F" w14:textId="77777777" w:rsidTr="00461B74">
        <w:trPr>
          <w:jc w:val="center"/>
        </w:trPr>
        <w:tc>
          <w:tcPr>
            <w:tcW w:w="3020" w:type="dxa"/>
            <w:tcBorders>
              <w:bottom w:val="single" w:sz="4" w:space="0" w:color="auto"/>
            </w:tcBorders>
            <w:vAlign w:val="center"/>
          </w:tcPr>
          <w:p w14:paraId="15D9C5D9" w14:textId="77777777" w:rsidR="00461B74" w:rsidRPr="00461B74" w:rsidRDefault="00461B74" w:rsidP="00461B74">
            <w:pPr>
              <w:jc w:val="both"/>
              <w:rPr>
                <w:rFonts w:ascii="Times New Roman" w:hAnsi="Times New Roman" w:cs="Times New Roman"/>
              </w:rPr>
            </w:pPr>
            <w:r>
              <w:rPr>
                <w:rFonts w:ascii="Times New Roman" w:hAnsi="Times New Roman" w:cs="Times New Roman"/>
              </w:rPr>
              <w:t>Toplam tüketim</w:t>
            </w:r>
          </w:p>
        </w:tc>
        <w:tc>
          <w:tcPr>
            <w:tcW w:w="3021" w:type="dxa"/>
            <w:tcBorders>
              <w:bottom w:val="single" w:sz="4" w:space="0" w:color="auto"/>
            </w:tcBorders>
            <w:vAlign w:val="center"/>
          </w:tcPr>
          <w:p w14:paraId="5E87E10F" w14:textId="77777777" w:rsidR="00461B74" w:rsidRPr="00461B74" w:rsidRDefault="00461B74" w:rsidP="00461B74">
            <w:pPr>
              <w:jc w:val="center"/>
              <w:rPr>
                <w:rFonts w:ascii="Times New Roman" w:hAnsi="Times New Roman" w:cs="Times New Roman"/>
              </w:rPr>
            </w:pPr>
            <w:r>
              <w:rPr>
                <w:rFonts w:ascii="Times New Roman" w:hAnsi="Times New Roman" w:cs="Times New Roman"/>
              </w:rPr>
              <w:t>16-25</w:t>
            </w:r>
          </w:p>
        </w:tc>
        <w:tc>
          <w:tcPr>
            <w:tcW w:w="3021" w:type="dxa"/>
            <w:tcBorders>
              <w:bottom w:val="single" w:sz="4" w:space="0" w:color="auto"/>
            </w:tcBorders>
            <w:vAlign w:val="center"/>
          </w:tcPr>
          <w:p w14:paraId="1DD1E461" w14:textId="77777777" w:rsidR="00461B74" w:rsidRPr="00461B74" w:rsidRDefault="00461B74" w:rsidP="00461B74">
            <w:pPr>
              <w:jc w:val="center"/>
              <w:rPr>
                <w:rFonts w:ascii="Times New Roman" w:hAnsi="Times New Roman" w:cs="Times New Roman"/>
              </w:rPr>
            </w:pPr>
            <w:r>
              <w:rPr>
                <w:rFonts w:ascii="Times New Roman" w:hAnsi="Times New Roman" w:cs="Times New Roman"/>
              </w:rPr>
              <w:t>19-28</w:t>
            </w:r>
          </w:p>
        </w:tc>
      </w:tr>
      <w:tr w:rsidR="00461B74" w:rsidRPr="00461B74" w14:paraId="5DB9212A" w14:textId="77777777" w:rsidTr="00461B74">
        <w:trPr>
          <w:jc w:val="center"/>
        </w:trPr>
        <w:tc>
          <w:tcPr>
            <w:tcW w:w="9062" w:type="dxa"/>
            <w:gridSpan w:val="3"/>
            <w:tcBorders>
              <w:top w:val="single" w:sz="4" w:space="0" w:color="auto"/>
              <w:left w:val="nil"/>
              <w:bottom w:val="nil"/>
              <w:right w:val="nil"/>
            </w:tcBorders>
            <w:vAlign w:val="center"/>
          </w:tcPr>
          <w:p w14:paraId="79B6326B" w14:textId="77777777" w:rsidR="00461B74" w:rsidRPr="00461B74" w:rsidRDefault="00461B74" w:rsidP="00461B74">
            <w:pPr>
              <w:jc w:val="both"/>
              <w:rPr>
                <w:rFonts w:ascii="Times New Roman" w:hAnsi="Times New Roman" w:cs="Times New Roman"/>
                <w:i/>
                <w:iCs/>
                <w:sz w:val="20"/>
                <w:szCs w:val="20"/>
              </w:rPr>
            </w:pPr>
            <w:r>
              <w:rPr>
                <w:rFonts w:ascii="Times New Roman" w:hAnsi="Times New Roman" w:cs="Times New Roman"/>
                <w:i/>
                <w:iCs/>
                <w:sz w:val="20"/>
                <w:szCs w:val="20"/>
              </w:rPr>
              <w:t>(</w:t>
            </w:r>
            <w:r w:rsidRPr="00461B74">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00E93D7D">
              <w:rPr>
                <w:rFonts w:ascii="Times New Roman" w:hAnsi="Times New Roman" w:cs="Times New Roman"/>
                <w:i/>
                <w:iCs/>
                <w:sz w:val="20"/>
                <w:szCs w:val="20"/>
              </w:rPr>
              <w:t xml:space="preserve">Aylık ortalama değerler. </w:t>
            </w:r>
            <w:r w:rsidR="00AA74AF">
              <w:rPr>
                <w:rFonts w:ascii="Times New Roman" w:hAnsi="Times New Roman" w:cs="Times New Roman"/>
                <w:i/>
                <w:iCs/>
                <w:sz w:val="20"/>
                <w:szCs w:val="20"/>
              </w:rPr>
              <w:t>Dana derisi işleme ve bitkisel tabaklama, daha yüksek miktarda su gerektirebilir.</w:t>
            </w:r>
          </w:p>
        </w:tc>
      </w:tr>
    </w:tbl>
    <w:p w14:paraId="223A307C" w14:textId="36C25E2D" w:rsidR="00B85ACE" w:rsidRDefault="00B85ACE" w:rsidP="00B85ACE">
      <w:pPr>
        <w:spacing w:after="120" w:line="276" w:lineRule="auto"/>
        <w:jc w:val="both"/>
        <w:rPr>
          <w:rFonts w:ascii="Times New Roman" w:hAnsi="Times New Roman" w:cs="Times New Roman"/>
          <w:sz w:val="24"/>
          <w:szCs w:val="24"/>
        </w:rPr>
      </w:pPr>
    </w:p>
    <w:p w14:paraId="59A3B27F" w14:textId="78039D48" w:rsidR="00B875CF" w:rsidRDefault="00B875CF" w:rsidP="00B85ACE">
      <w:pPr>
        <w:spacing w:after="120" w:line="276" w:lineRule="auto"/>
        <w:jc w:val="both"/>
        <w:rPr>
          <w:rFonts w:ascii="Times New Roman" w:hAnsi="Times New Roman" w:cs="Times New Roman"/>
          <w:sz w:val="24"/>
          <w:szCs w:val="24"/>
        </w:rPr>
      </w:pPr>
    </w:p>
    <w:p w14:paraId="3DB5C99E" w14:textId="020492FC" w:rsidR="00B875CF" w:rsidRDefault="00B875CF" w:rsidP="00B85ACE">
      <w:pPr>
        <w:spacing w:after="120" w:line="276" w:lineRule="auto"/>
        <w:jc w:val="both"/>
        <w:rPr>
          <w:rFonts w:ascii="Times New Roman" w:hAnsi="Times New Roman" w:cs="Times New Roman"/>
          <w:sz w:val="24"/>
          <w:szCs w:val="24"/>
        </w:rPr>
      </w:pPr>
    </w:p>
    <w:p w14:paraId="04878632" w14:textId="77777777" w:rsidR="00B875CF" w:rsidRDefault="00B875CF" w:rsidP="00B85ACE">
      <w:pPr>
        <w:spacing w:after="120" w:line="276" w:lineRule="auto"/>
        <w:jc w:val="both"/>
        <w:rPr>
          <w:rFonts w:ascii="Times New Roman" w:hAnsi="Times New Roman" w:cs="Times New Roman"/>
          <w:sz w:val="24"/>
          <w:szCs w:val="24"/>
        </w:rPr>
      </w:pPr>
    </w:p>
    <w:p w14:paraId="2D62D1ED" w14:textId="77777777" w:rsidR="00AA74AF" w:rsidRDefault="003B1A59" w:rsidP="003B1A59">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2</w:t>
      </w:r>
    </w:p>
    <w:p w14:paraId="431C3283" w14:textId="77777777" w:rsidR="003B1A59" w:rsidRPr="003B1A59" w:rsidRDefault="003B1A59" w:rsidP="003B1A59">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Koyun derilerinin işlenmesi için suya yönelik MET ile ilişkili tüketim seviyeleri</w:t>
      </w:r>
    </w:p>
    <w:tbl>
      <w:tblPr>
        <w:tblStyle w:val="TabloKlavuzu"/>
        <w:tblW w:w="0" w:type="auto"/>
        <w:jc w:val="center"/>
        <w:tblLook w:val="04A0" w:firstRow="1" w:lastRow="0" w:firstColumn="1" w:lastColumn="0" w:noHBand="0" w:noVBand="1"/>
      </w:tblPr>
      <w:tblGrid>
        <w:gridCol w:w="3020"/>
        <w:gridCol w:w="6042"/>
      </w:tblGrid>
      <w:tr w:rsidR="00174897" w:rsidRPr="00461B74" w14:paraId="10E81030" w14:textId="77777777" w:rsidTr="0024730D">
        <w:trPr>
          <w:jc w:val="center"/>
        </w:trPr>
        <w:tc>
          <w:tcPr>
            <w:tcW w:w="3020" w:type="dxa"/>
            <w:vMerge w:val="restart"/>
            <w:vAlign w:val="center"/>
          </w:tcPr>
          <w:p w14:paraId="2BCA9505" w14:textId="77777777" w:rsidR="00174897" w:rsidRPr="00461B74" w:rsidRDefault="00174897" w:rsidP="0024730D">
            <w:pPr>
              <w:jc w:val="center"/>
              <w:rPr>
                <w:rFonts w:ascii="Times New Roman" w:hAnsi="Times New Roman" w:cs="Times New Roman"/>
                <w:b/>
                <w:bCs/>
              </w:rPr>
            </w:pPr>
            <w:r>
              <w:rPr>
                <w:rFonts w:ascii="Times New Roman" w:hAnsi="Times New Roman" w:cs="Times New Roman"/>
                <w:b/>
                <w:bCs/>
              </w:rPr>
              <w:t>Proses Aşamaları</w:t>
            </w:r>
          </w:p>
        </w:tc>
        <w:tc>
          <w:tcPr>
            <w:tcW w:w="6042" w:type="dxa"/>
            <w:vAlign w:val="center"/>
          </w:tcPr>
          <w:p w14:paraId="15C3BAF5" w14:textId="77777777" w:rsidR="00174897" w:rsidRPr="00461B74" w:rsidRDefault="00174897" w:rsidP="00174897">
            <w:pPr>
              <w:jc w:val="center"/>
              <w:rPr>
                <w:rFonts w:ascii="Times New Roman" w:hAnsi="Times New Roman" w:cs="Times New Roman"/>
                <w:b/>
                <w:bCs/>
              </w:rPr>
            </w:pPr>
            <w:r>
              <w:rPr>
                <w:rFonts w:ascii="Times New Roman" w:hAnsi="Times New Roman" w:cs="Times New Roman"/>
                <w:b/>
                <w:bCs/>
              </w:rPr>
              <w:t>özgül su tüketimi (</w:t>
            </w:r>
            <w:r w:rsidRPr="00461B74">
              <w:rPr>
                <w:rFonts w:ascii="Times New Roman" w:hAnsi="Times New Roman" w:cs="Times New Roman"/>
                <w:b/>
                <w:bCs/>
                <w:vertAlign w:val="superscript"/>
              </w:rPr>
              <w:t>1</w:t>
            </w:r>
            <w:r>
              <w:rPr>
                <w:rFonts w:ascii="Times New Roman" w:hAnsi="Times New Roman" w:cs="Times New Roman"/>
                <w:b/>
                <w:bCs/>
              </w:rPr>
              <w:t>)</w:t>
            </w:r>
          </w:p>
        </w:tc>
      </w:tr>
      <w:tr w:rsidR="00174897" w:rsidRPr="00461B74" w14:paraId="28BCA755" w14:textId="77777777" w:rsidTr="0024730D">
        <w:trPr>
          <w:jc w:val="center"/>
        </w:trPr>
        <w:tc>
          <w:tcPr>
            <w:tcW w:w="3020" w:type="dxa"/>
            <w:vMerge/>
            <w:vAlign w:val="center"/>
          </w:tcPr>
          <w:p w14:paraId="31C1CA58" w14:textId="77777777" w:rsidR="00174897" w:rsidRPr="00461B74" w:rsidRDefault="00174897" w:rsidP="0024730D">
            <w:pPr>
              <w:jc w:val="center"/>
              <w:rPr>
                <w:rFonts w:ascii="Times New Roman" w:hAnsi="Times New Roman" w:cs="Times New Roman"/>
                <w:b/>
                <w:bCs/>
              </w:rPr>
            </w:pPr>
          </w:p>
        </w:tc>
        <w:tc>
          <w:tcPr>
            <w:tcW w:w="6042" w:type="dxa"/>
            <w:vAlign w:val="center"/>
          </w:tcPr>
          <w:p w14:paraId="727C61B1" w14:textId="77777777" w:rsidR="00174897" w:rsidRPr="00461B74" w:rsidRDefault="00174897" w:rsidP="0024730D">
            <w:pPr>
              <w:jc w:val="center"/>
              <w:rPr>
                <w:rFonts w:ascii="Times New Roman" w:hAnsi="Times New Roman" w:cs="Times New Roman"/>
                <w:b/>
                <w:bCs/>
              </w:rPr>
            </w:pPr>
            <w:r>
              <w:rPr>
                <w:rFonts w:ascii="Times New Roman" w:hAnsi="Times New Roman" w:cs="Times New Roman"/>
                <w:b/>
                <w:bCs/>
              </w:rPr>
              <w:t>deri başına litre</w:t>
            </w:r>
          </w:p>
        </w:tc>
      </w:tr>
      <w:tr w:rsidR="00174897" w:rsidRPr="00461B74" w14:paraId="601D72C5" w14:textId="77777777" w:rsidTr="0024730D">
        <w:trPr>
          <w:jc w:val="center"/>
        </w:trPr>
        <w:tc>
          <w:tcPr>
            <w:tcW w:w="3020" w:type="dxa"/>
            <w:vAlign w:val="center"/>
          </w:tcPr>
          <w:p w14:paraId="686C2E3C" w14:textId="77777777" w:rsidR="00174897" w:rsidRPr="00461B74" w:rsidRDefault="00235B2C" w:rsidP="0024730D">
            <w:pPr>
              <w:jc w:val="both"/>
              <w:rPr>
                <w:rFonts w:ascii="Times New Roman" w:hAnsi="Times New Roman" w:cs="Times New Roman"/>
              </w:rPr>
            </w:pPr>
            <w:r>
              <w:rPr>
                <w:rFonts w:ascii="Times New Roman" w:hAnsi="Times New Roman" w:cs="Times New Roman"/>
              </w:rPr>
              <w:t>Ham deri- pikle</w:t>
            </w:r>
          </w:p>
        </w:tc>
        <w:tc>
          <w:tcPr>
            <w:tcW w:w="6042" w:type="dxa"/>
            <w:vAlign w:val="center"/>
          </w:tcPr>
          <w:p w14:paraId="1936A325" w14:textId="77777777" w:rsidR="00174897" w:rsidRPr="00461B74" w:rsidRDefault="00820375" w:rsidP="0024730D">
            <w:pPr>
              <w:jc w:val="center"/>
              <w:rPr>
                <w:rFonts w:ascii="Times New Roman" w:hAnsi="Times New Roman" w:cs="Times New Roman"/>
              </w:rPr>
            </w:pPr>
            <w:r>
              <w:rPr>
                <w:rFonts w:ascii="Times New Roman" w:hAnsi="Times New Roman" w:cs="Times New Roman"/>
              </w:rPr>
              <w:t>65-80</w:t>
            </w:r>
          </w:p>
        </w:tc>
      </w:tr>
      <w:tr w:rsidR="00174897" w:rsidRPr="00461B74" w14:paraId="650BF8AC" w14:textId="77777777" w:rsidTr="0024730D">
        <w:trPr>
          <w:jc w:val="center"/>
        </w:trPr>
        <w:tc>
          <w:tcPr>
            <w:tcW w:w="3020" w:type="dxa"/>
            <w:vAlign w:val="center"/>
          </w:tcPr>
          <w:p w14:paraId="64C8CF79" w14:textId="77777777" w:rsidR="00174897" w:rsidRPr="00461B74" w:rsidRDefault="00235B2C" w:rsidP="0024730D">
            <w:pPr>
              <w:jc w:val="both"/>
              <w:rPr>
                <w:rFonts w:ascii="Times New Roman" w:hAnsi="Times New Roman" w:cs="Times New Roman"/>
              </w:rPr>
            </w:pPr>
            <w:r>
              <w:rPr>
                <w:rFonts w:ascii="Times New Roman" w:hAnsi="Times New Roman" w:cs="Times New Roman"/>
              </w:rPr>
              <w:t>Pikle wet-blue</w:t>
            </w:r>
          </w:p>
        </w:tc>
        <w:tc>
          <w:tcPr>
            <w:tcW w:w="6042" w:type="dxa"/>
            <w:vAlign w:val="center"/>
          </w:tcPr>
          <w:p w14:paraId="06CC41FB" w14:textId="77777777" w:rsidR="00174897" w:rsidRPr="00461B74" w:rsidRDefault="00820375" w:rsidP="0024730D">
            <w:pPr>
              <w:jc w:val="center"/>
              <w:rPr>
                <w:rFonts w:ascii="Times New Roman" w:hAnsi="Times New Roman" w:cs="Times New Roman"/>
              </w:rPr>
            </w:pPr>
            <w:r>
              <w:rPr>
                <w:rFonts w:ascii="Times New Roman" w:hAnsi="Times New Roman" w:cs="Times New Roman"/>
              </w:rPr>
              <w:t>30-55</w:t>
            </w:r>
          </w:p>
        </w:tc>
      </w:tr>
      <w:tr w:rsidR="00174897" w:rsidRPr="00461B74" w14:paraId="5431F5B5" w14:textId="77777777" w:rsidTr="0024730D">
        <w:trPr>
          <w:jc w:val="center"/>
        </w:trPr>
        <w:tc>
          <w:tcPr>
            <w:tcW w:w="3020" w:type="dxa"/>
            <w:tcBorders>
              <w:bottom w:val="single" w:sz="4" w:space="0" w:color="auto"/>
            </w:tcBorders>
            <w:vAlign w:val="center"/>
          </w:tcPr>
          <w:p w14:paraId="174FCB0F" w14:textId="77777777" w:rsidR="00174897" w:rsidRPr="00461B74" w:rsidRDefault="00820375" w:rsidP="0024730D">
            <w:pPr>
              <w:jc w:val="both"/>
              <w:rPr>
                <w:rFonts w:ascii="Times New Roman" w:hAnsi="Times New Roman" w:cs="Times New Roman"/>
              </w:rPr>
            </w:pPr>
            <w:r>
              <w:rPr>
                <w:rFonts w:ascii="Times New Roman" w:hAnsi="Times New Roman" w:cs="Times New Roman"/>
              </w:rPr>
              <w:t xml:space="preserve">Tabaklama sonrası </w:t>
            </w:r>
            <w:r w:rsidR="00235B2C">
              <w:rPr>
                <w:rFonts w:ascii="Times New Roman" w:hAnsi="Times New Roman" w:cs="Times New Roman"/>
              </w:rPr>
              <w:t xml:space="preserve">işlemler </w:t>
            </w:r>
            <w:r>
              <w:rPr>
                <w:rFonts w:ascii="Times New Roman" w:hAnsi="Times New Roman" w:cs="Times New Roman"/>
              </w:rPr>
              <w:t xml:space="preserve">ve </w:t>
            </w:r>
            <w:r w:rsidR="00235B2C">
              <w:rPr>
                <w:rFonts w:ascii="Times New Roman" w:hAnsi="Times New Roman" w:cs="Times New Roman"/>
              </w:rPr>
              <w:t>finisaj</w:t>
            </w:r>
          </w:p>
        </w:tc>
        <w:tc>
          <w:tcPr>
            <w:tcW w:w="6042" w:type="dxa"/>
            <w:tcBorders>
              <w:bottom w:val="single" w:sz="4" w:space="0" w:color="auto"/>
            </w:tcBorders>
            <w:vAlign w:val="center"/>
          </w:tcPr>
          <w:p w14:paraId="6B2DB97E" w14:textId="77777777" w:rsidR="00174897" w:rsidRPr="00461B74" w:rsidRDefault="00820375" w:rsidP="0024730D">
            <w:pPr>
              <w:jc w:val="center"/>
              <w:rPr>
                <w:rFonts w:ascii="Times New Roman" w:hAnsi="Times New Roman" w:cs="Times New Roman"/>
              </w:rPr>
            </w:pPr>
            <w:r>
              <w:rPr>
                <w:rFonts w:ascii="Times New Roman" w:hAnsi="Times New Roman" w:cs="Times New Roman"/>
              </w:rPr>
              <w:t>15-45</w:t>
            </w:r>
          </w:p>
        </w:tc>
      </w:tr>
      <w:tr w:rsidR="00174897" w:rsidRPr="00461B74" w14:paraId="7B144E58" w14:textId="77777777" w:rsidTr="0024730D">
        <w:trPr>
          <w:jc w:val="center"/>
        </w:trPr>
        <w:tc>
          <w:tcPr>
            <w:tcW w:w="3020" w:type="dxa"/>
            <w:tcBorders>
              <w:bottom w:val="single" w:sz="4" w:space="0" w:color="auto"/>
            </w:tcBorders>
            <w:vAlign w:val="center"/>
          </w:tcPr>
          <w:p w14:paraId="1BABFFFE" w14:textId="77777777" w:rsidR="00174897" w:rsidRDefault="00820375" w:rsidP="0024730D">
            <w:pPr>
              <w:jc w:val="both"/>
              <w:rPr>
                <w:rFonts w:ascii="Times New Roman" w:hAnsi="Times New Roman" w:cs="Times New Roman"/>
              </w:rPr>
            </w:pPr>
            <w:r>
              <w:rPr>
                <w:rFonts w:ascii="Times New Roman" w:hAnsi="Times New Roman" w:cs="Times New Roman"/>
              </w:rPr>
              <w:t>Toplam</w:t>
            </w:r>
          </w:p>
        </w:tc>
        <w:tc>
          <w:tcPr>
            <w:tcW w:w="6042" w:type="dxa"/>
            <w:tcBorders>
              <w:bottom w:val="single" w:sz="4" w:space="0" w:color="auto"/>
            </w:tcBorders>
            <w:vAlign w:val="center"/>
          </w:tcPr>
          <w:p w14:paraId="30886195" w14:textId="77777777" w:rsidR="00174897" w:rsidRPr="00461B74" w:rsidRDefault="00820375" w:rsidP="0024730D">
            <w:pPr>
              <w:jc w:val="center"/>
              <w:rPr>
                <w:rFonts w:ascii="Times New Roman" w:hAnsi="Times New Roman" w:cs="Times New Roman"/>
              </w:rPr>
            </w:pPr>
            <w:r>
              <w:rPr>
                <w:rFonts w:ascii="Times New Roman" w:hAnsi="Times New Roman" w:cs="Times New Roman"/>
              </w:rPr>
              <w:t>110-180</w:t>
            </w:r>
          </w:p>
        </w:tc>
      </w:tr>
      <w:tr w:rsidR="00174897" w:rsidRPr="00461B74" w14:paraId="25CB9F5C" w14:textId="77777777" w:rsidTr="0024730D">
        <w:trPr>
          <w:jc w:val="center"/>
        </w:trPr>
        <w:tc>
          <w:tcPr>
            <w:tcW w:w="9062" w:type="dxa"/>
            <w:gridSpan w:val="2"/>
            <w:tcBorders>
              <w:top w:val="single" w:sz="4" w:space="0" w:color="auto"/>
              <w:left w:val="nil"/>
              <w:bottom w:val="nil"/>
              <w:right w:val="nil"/>
            </w:tcBorders>
            <w:vAlign w:val="center"/>
          </w:tcPr>
          <w:p w14:paraId="550E6F2B" w14:textId="77777777" w:rsidR="00174897" w:rsidRPr="00461B74" w:rsidRDefault="00174897"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461B74">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Aylık ortalama değerler. </w:t>
            </w:r>
            <w:r w:rsidR="00D97C55">
              <w:rPr>
                <w:rFonts w:ascii="Times New Roman" w:hAnsi="Times New Roman" w:cs="Times New Roman"/>
                <w:i/>
                <w:iCs/>
                <w:sz w:val="20"/>
                <w:szCs w:val="20"/>
              </w:rPr>
              <w:t>Yünü üzerinde bulunan koyun derileri</w:t>
            </w:r>
            <w:r>
              <w:rPr>
                <w:rFonts w:ascii="Times New Roman" w:hAnsi="Times New Roman" w:cs="Times New Roman"/>
                <w:i/>
                <w:iCs/>
                <w:sz w:val="20"/>
                <w:szCs w:val="20"/>
              </w:rPr>
              <w:t>, daha yüksek miktarda su gerektirebilir.</w:t>
            </w:r>
          </w:p>
        </w:tc>
      </w:tr>
    </w:tbl>
    <w:p w14:paraId="0FAD64FE" w14:textId="77777777" w:rsidR="00BF3865" w:rsidRDefault="00BF3865" w:rsidP="00B97F8E">
      <w:pPr>
        <w:spacing w:after="120" w:line="276" w:lineRule="auto"/>
        <w:jc w:val="both"/>
        <w:rPr>
          <w:rFonts w:ascii="Times New Roman" w:hAnsi="Times New Roman" w:cs="Times New Roman"/>
          <w:sz w:val="24"/>
          <w:szCs w:val="24"/>
        </w:rPr>
      </w:pPr>
    </w:p>
    <w:p w14:paraId="0A080C37" w14:textId="77777777" w:rsidR="00E657F6" w:rsidRPr="009C5B1E" w:rsidRDefault="00E657F6" w:rsidP="00E657F6">
      <w:pPr>
        <w:pStyle w:val="Balk2"/>
        <w:spacing w:before="0" w:after="120" w:line="276" w:lineRule="auto"/>
        <w:jc w:val="both"/>
        <w:rPr>
          <w:rFonts w:cs="Times New Roman"/>
          <w:b/>
          <w:bCs/>
          <w:szCs w:val="24"/>
        </w:rPr>
      </w:pPr>
      <w:r>
        <w:rPr>
          <w:rFonts w:cs="Times New Roman"/>
          <w:b/>
          <w:bCs/>
          <w:szCs w:val="24"/>
        </w:rPr>
        <w:t>(4) Atık Sudaki Emisyonların Azaltımı</w:t>
      </w:r>
    </w:p>
    <w:p w14:paraId="71C94656" w14:textId="77777777" w:rsidR="008C55A7" w:rsidRPr="00687ECE" w:rsidRDefault="008C55A7" w:rsidP="008C55A7">
      <w:pPr>
        <w:pStyle w:val="Balk3"/>
        <w:spacing w:before="0" w:after="120" w:line="276" w:lineRule="auto"/>
        <w:jc w:val="both"/>
        <w:rPr>
          <w:rFonts w:cs="Times New Roman"/>
          <w:b w:val="0"/>
          <w:bCs/>
          <w:szCs w:val="24"/>
        </w:rPr>
      </w:pPr>
      <w:r>
        <w:rPr>
          <w:rFonts w:cs="Times New Roman"/>
          <w:bCs/>
          <w:szCs w:val="24"/>
        </w:rPr>
        <w:t xml:space="preserve">(4.1) </w:t>
      </w:r>
      <w:r w:rsidR="00685385">
        <w:rPr>
          <w:rFonts w:cs="Times New Roman"/>
          <w:bCs/>
          <w:szCs w:val="24"/>
        </w:rPr>
        <w:t>Tabaklamaya Hazırlık Bölümü Proses Adımlarından Kaynaklanan Atık Sudaki Emisyonların Azaltımı</w:t>
      </w:r>
    </w:p>
    <w:p w14:paraId="519C3F76" w14:textId="77777777" w:rsidR="004A1B58" w:rsidRDefault="00685385" w:rsidP="00B97F8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5:</w:t>
      </w:r>
      <w:r>
        <w:rPr>
          <w:rFonts w:ascii="Times New Roman" w:hAnsi="Times New Roman" w:cs="Times New Roman"/>
          <w:sz w:val="24"/>
          <w:szCs w:val="24"/>
        </w:rPr>
        <w:t xml:space="preserve"> </w:t>
      </w:r>
      <w:r w:rsidR="00CF397A">
        <w:rPr>
          <w:rFonts w:ascii="Times New Roman" w:hAnsi="Times New Roman" w:cs="Times New Roman"/>
          <w:sz w:val="24"/>
          <w:szCs w:val="24"/>
        </w:rPr>
        <w:t>Tabaklamaya hazırlık bölümü proses adımlarından kaynaklanan atık suyun kirlilik yükünü</w:t>
      </w:r>
      <w:r w:rsidR="00277019">
        <w:rPr>
          <w:rFonts w:ascii="Times New Roman" w:hAnsi="Times New Roman" w:cs="Times New Roman"/>
          <w:sz w:val="24"/>
          <w:szCs w:val="24"/>
        </w:rPr>
        <w:t xml:space="preserve"> </w:t>
      </w:r>
      <w:r w:rsidR="00CF397A">
        <w:rPr>
          <w:rFonts w:ascii="Times New Roman" w:hAnsi="Times New Roman" w:cs="Times New Roman"/>
          <w:sz w:val="24"/>
          <w:szCs w:val="24"/>
        </w:rPr>
        <w:t>atık su arıtımından önce azaltmak için, aşağıdaki tekniklerin uygun bir kombinasyonu kullanılır.</w:t>
      </w:r>
    </w:p>
    <w:tbl>
      <w:tblPr>
        <w:tblStyle w:val="TabloKlavuzu"/>
        <w:tblW w:w="0" w:type="auto"/>
        <w:jc w:val="center"/>
        <w:tblLook w:val="04A0" w:firstRow="1" w:lastRow="0" w:firstColumn="1" w:lastColumn="0" w:noHBand="0" w:noVBand="1"/>
      </w:tblPr>
      <w:tblGrid>
        <w:gridCol w:w="421"/>
        <w:gridCol w:w="2976"/>
        <w:gridCol w:w="2977"/>
        <w:gridCol w:w="2688"/>
      </w:tblGrid>
      <w:tr w:rsidR="002E3883" w:rsidRPr="00393115" w14:paraId="097FD23B" w14:textId="77777777" w:rsidTr="0024730D">
        <w:trPr>
          <w:tblHeader/>
          <w:jc w:val="center"/>
        </w:trPr>
        <w:tc>
          <w:tcPr>
            <w:tcW w:w="3397" w:type="dxa"/>
            <w:gridSpan w:val="2"/>
            <w:vAlign w:val="center"/>
          </w:tcPr>
          <w:p w14:paraId="723B7332" w14:textId="77777777" w:rsidR="002E3883" w:rsidRPr="00393115" w:rsidRDefault="002E3883" w:rsidP="0024730D">
            <w:pPr>
              <w:jc w:val="center"/>
              <w:rPr>
                <w:rFonts w:ascii="Times New Roman" w:hAnsi="Times New Roman" w:cs="Times New Roman"/>
                <w:b/>
                <w:bCs/>
              </w:rPr>
            </w:pPr>
            <w:r>
              <w:rPr>
                <w:rFonts w:ascii="Times New Roman" w:hAnsi="Times New Roman" w:cs="Times New Roman"/>
                <w:b/>
                <w:bCs/>
              </w:rPr>
              <w:t>Teknik</w:t>
            </w:r>
          </w:p>
        </w:tc>
        <w:tc>
          <w:tcPr>
            <w:tcW w:w="2977" w:type="dxa"/>
            <w:vAlign w:val="center"/>
          </w:tcPr>
          <w:p w14:paraId="6DBF437E" w14:textId="77777777" w:rsidR="002E3883" w:rsidRPr="00393115" w:rsidRDefault="002E3883" w:rsidP="0024730D">
            <w:pPr>
              <w:jc w:val="center"/>
              <w:rPr>
                <w:rFonts w:ascii="Times New Roman" w:hAnsi="Times New Roman" w:cs="Times New Roman"/>
                <w:b/>
                <w:bCs/>
              </w:rPr>
            </w:pPr>
            <w:r>
              <w:rPr>
                <w:rFonts w:ascii="Times New Roman" w:hAnsi="Times New Roman" w:cs="Times New Roman"/>
                <w:b/>
                <w:bCs/>
              </w:rPr>
              <w:t>Açıklama</w:t>
            </w:r>
          </w:p>
        </w:tc>
        <w:tc>
          <w:tcPr>
            <w:tcW w:w="2688" w:type="dxa"/>
            <w:vAlign w:val="center"/>
          </w:tcPr>
          <w:p w14:paraId="5D8D1C34" w14:textId="77777777" w:rsidR="002E3883" w:rsidRPr="00393115" w:rsidRDefault="002E3883" w:rsidP="0024730D">
            <w:pPr>
              <w:jc w:val="center"/>
              <w:rPr>
                <w:rFonts w:ascii="Times New Roman" w:hAnsi="Times New Roman" w:cs="Times New Roman"/>
                <w:b/>
                <w:bCs/>
              </w:rPr>
            </w:pPr>
            <w:r>
              <w:rPr>
                <w:rFonts w:ascii="Times New Roman" w:hAnsi="Times New Roman" w:cs="Times New Roman"/>
                <w:b/>
                <w:bCs/>
              </w:rPr>
              <w:t>Uygulanabilirlik</w:t>
            </w:r>
          </w:p>
        </w:tc>
      </w:tr>
      <w:tr w:rsidR="002E3883" w:rsidRPr="00393115" w14:paraId="05AF3D79" w14:textId="77777777" w:rsidTr="0024730D">
        <w:trPr>
          <w:jc w:val="center"/>
        </w:trPr>
        <w:tc>
          <w:tcPr>
            <w:tcW w:w="421" w:type="dxa"/>
            <w:vAlign w:val="center"/>
          </w:tcPr>
          <w:p w14:paraId="07B0E506" w14:textId="77777777" w:rsidR="002E3883" w:rsidRPr="00393115" w:rsidRDefault="002E3883" w:rsidP="0024730D">
            <w:pPr>
              <w:jc w:val="center"/>
              <w:rPr>
                <w:rFonts w:ascii="Times New Roman" w:hAnsi="Times New Roman" w:cs="Times New Roman"/>
              </w:rPr>
            </w:pPr>
            <w:r>
              <w:rPr>
                <w:rFonts w:ascii="Times New Roman" w:hAnsi="Times New Roman" w:cs="Times New Roman"/>
              </w:rPr>
              <w:t>a</w:t>
            </w:r>
          </w:p>
        </w:tc>
        <w:tc>
          <w:tcPr>
            <w:tcW w:w="2976" w:type="dxa"/>
            <w:vAlign w:val="center"/>
          </w:tcPr>
          <w:p w14:paraId="284EC483" w14:textId="77777777" w:rsidR="002E3883" w:rsidRPr="00393115" w:rsidRDefault="002D58FB" w:rsidP="0024730D">
            <w:pPr>
              <w:jc w:val="both"/>
              <w:rPr>
                <w:rFonts w:ascii="Times New Roman" w:hAnsi="Times New Roman" w:cs="Times New Roman"/>
              </w:rPr>
            </w:pPr>
            <w:r>
              <w:rPr>
                <w:rFonts w:ascii="Times New Roman" w:hAnsi="Times New Roman" w:cs="Times New Roman"/>
              </w:rPr>
              <w:t>Kısa flot</w:t>
            </w:r>
            <w:r w:rsidR="00730607">
              <w:rPr>
                <w:rFonts w:ascii="Times New Roman" w:hAnsi="Times New Roman" w:cs="Times New Roman"/>
              </w:rPr>
              <w:t>te</w:t>
            </w:r>
            <w:r>
              <w:rPr>
                <w:rFonts w:ascii="Times New Roman" w:hAnsi="Times New Roman" w:cs="Times New Roman"/>
              </w:rPr>
              <w:t>lerin kullanımı</w:t>
            </w:r>
          </w:p>
        </w:tc>
        <w:tc>
          <w:tcPr>
            <w:tcW w:w="2977" w:type="dxa"/>
            <w:vAlign w:val="center"/>
          </w:tcPr>
          <w:p w14:paraId="70D5AB4E" w14:textId="77777777" w:rsidR="002E3883" w:rsidRPr="00393115" w:rsidRDefault="002D58FB" w:rsidP="0024730D">
            <w:pPr>
              <w:jc w:val="both"/>
              <w:rPr>
                <w:rFonts w:ascii="Times New Roman" w:hAnsi="Times New Roman" w:cs="Times New Roman"/>
              </w:rPr>
            </w:pPr>
            <w:r>
              <w:rPr>
                <w:rFonts w:ascii="Times New Roman" w:hAnsi="Times New Roman" w:cs="Times New Roman"/>
              </w:rPr>
              <w:t>Kısa flot</w:t>
            </w:r>
            <w:r w:rsidR="00730607">
              <w:rPr>
                <w:rFonts w:ascii="Times New Roman" w:hAnsi="Times New Roman" w:cs="Times New Roman"/>
              </w:rPr>
              <w:t>te</w:t>
            </w:r>
            <w:r>
              <w:rPr>
                <w:rFonts w:ascii="Times New Roman" w:hAnsi="Times New Roman" w:cs="Times New Roman"/>
              </w:rPr>
              <w:t xml:space="preserve">ler, proses suyunun azaltılmış miktarlarıdır. </w:t>
            </w:r>
            <w:r w:rsidR="007757B2" w:rsidRPr="007757B2">
              <w:rPr>
                <w:rFonts w:ascii="Times New Roman" w:hAnsi="Times New Roman" w:cs="Times New Roman"/>
              </w:rPr>
              <w:t>Daha az su kullanıldığında, daha yüksek kimyasal tüketimi olmakta ve neticede atıktaki kimyasal madde miktarı azalmaktadır.</w:t>
            </w:r>
          </w:p>
        </w:tc>
        <w:tc>
          <w:tcPr>
            <w:tcW w:w="2688" w:type="dxa"/>
            <w:vAlign w:val="center"/>
          </w:tcPr>
          <w:p w14:paraId="5019C7BF" w14:textId="77777777" w:rsidR="007757B2" w:rsidRPr="007757B2" w:rsidRDefault="007757B2" w:rsidP="007757B2">
            <w:pPr>
              <w:jc w:val="both"/>
              <w:rPr>
                <w:rFonts w:ascii="Times New Roman" w:hAnsi="Times New Roman" w:cs="Times New Roman"/>
              </w:rPr>
            </w:pPr>
            <w:r w:rsidRPr="007757B2">
              <w:rPr>
                <w:rFonts w:ascii="Times New Roman" w:hAnsi="Times New Roman" w:cs="Times New Roman"/>
              </w:rPr>
              <w:t>Bu teknik, hassas dana derilerinin işlenmesinde uygulanamaz.</w:t>
            </w:r>
          </w:p>
          <w:p w14:paraId="0810C055" w14:textId="77777777" w:rsidR="002D3236" w:rsidRPr="00393115" w:rsidRDefault="007757B2" w:rsidP="007757B2">
            <w:pPr>
              <w:jc w:val="both"/>
              <w:rPr>
                <w:rFonts w:ascii="Times New Roman" w:hAnsi="Times New Roman" w:cs="Times New Roman"/>
              </w:rPr>
            </w:pPr>
            <w:r w:rsidRPr="007757B2">
              <w:rPr>
                <w:rFonts w:ascii="Times New Roman" w:hAnsi="Times New Roman" w:cs="Times New Roman"/>
              </w:rPr>
              <w:t>Ayrıca, yöntemin uygulanabilirliği yalnızca kısa flotte kullanımına uygun olan ya da bu amaçla modifiye edilebilecek yeni veya mevcut dolaplarla sınırlıdır.</w:t>
            </w:r>
          </w:p>
        </w:tc>
      </w:tr>
      <w:tr w:rsidR="002E3883" w:rsidRPr="00393115" w14:paraId="3ED049E1" w14:textId="77777777" w:rsidTr="0024730D">
        <w:trPr>
          <w:jc w:val="center"/>
        </w:trPr>
        <w:tc>
          <w:tcPr>
            <w:tcW w:w="421" w:type="dxa"/>
            <w:vAlign w:val="center"/>
          </w:tcPr>
          <w:p w14:paraId="2ED5EE1A" w14:textId="77777777" w:rsidR="002E3883" w:rsidRPr="00393115" w:rsidRDefault="002E3883" w:rsidP="0024730D">
            <w:pPr>
              <w:jc w:val="center"/>
              <w:rPr>
                <w:rFonts w:ascii="Times New Roman" w:hAnsi="Times New Roman" w:cs="Times New Roman"/>
              </w:rPr>
            </w:pPr>
            <w:r>
              <w:rPr>
                <w:rFonts w:ascii="Times New Roman" w:hAnsi="Times New Roman" w:cs="Times New Roman"/>
              </w:rPr>
              <w:t>b</w:t>
            </w:r>
          </w:p>
        </w:tc>
        <w:tc>
          <w:tcPr>
            <w:tcW w:w="2976" w:type="dxa"/>
            <w:vAlign w:val="center"/>
          </w:tcPr>
          <w:p w14:paraId="601C1630" w14:textId="77777777" w:rsidR="002E3883" w:rsidRPr="00393115" w:rsidRDefault="00635B10" w:rsidP="0024730D">
            <w:pPr>
              <w:jc w:val="both"/>
              <w:rPr>
                <w:rFonts w:ascii="Times New Roman" w:hAnsi="Times New Roman" w:cs="Times New Roman"/>
              </w:rPr>
            </w:pPr>
            <w:r>
              <w:rPr>
                <w:rFonts w:ascii="Times New Roman" w:hAnsi="Times New Roman" w:cs="Times New Roman"/>
              </w:rPr>
              <w:t>Temiz post veya derilerin kullanımı</w:t>
            </w:r>
          </w:p>
        </w:tc>
        <w:tc>
          <w:tcPr>
            <w:tcW w:w="2977" w:type="dxa"/>
            <w:vAlign w:val="center"/>
          </w:tcPr>
          <w:p w14:paraId="308C18DD" w14:textId="77777777" w:rsidR="002E3883" w:rsidRPr="00393115" w:rsidRDefault="00635B10" w:rsidP="0024730D">
            <w:pPr>
              <w:jc w:val="both"/>
              <w:rPr>
                <w:rFonts w:ascii="Times New Roman" w:hAnsi="Times New Roman" w:cs="Times New Roman"/>
              </w:rPr>
            </w:pPr>
            <w:r>
              <w:rPr>
                <w:rFonts w:ascii="Times New Roman" w:hAnsi="Times New Roman" w:cs="Times New Roman"/>
              </w:rPr>
              <w:t>Muhtemelen usule uygun bir ‘temiz post planı’ yoluyla dış kısmına daha az miktarda gübre yapışmış post veya derilerin kullanımı.</w:t>
            </w:r>
          </w:p>
        </w:tc>
        <w:tc>
          <w:tcPr>
            <w:tcW w:w="2688" w:type="dxa"/>
            <w:vAlign w:val="center"/>
          </w:tcPr>
          <w:p w14:paraId="09A29F92" w14:textId="77777777" w:rsidR="002E3883" w:rsidRPr="00393115" w:rsidRDefault="00635B10" w:rsidP="0024730D">
            <w:pPr>
              <w:jc w:val="both"/>
              <w:rPr>
                <w:rFonts w:ascii="Times New Roman" w:hAnsi="Times New Roman" w:cs="Times New Roman"/>
              </w:rPr>
            </w:pPr>
            <w:r>
              <w:rPr>
                <w:rFonts w:ascii="Times New Roman" w:hAnsi="Times New Roman" w:cs="Times New Roman"/>
              </w:rPr>
              <w:t>Uygulanabilirlik, temiz postların mevcudiyetine ilişkin kısıtlamalara tabidir.</w:t>
            </w:r>
          </w:p>
        </w:tc>
      </w:tr>
      <w:tr w:rsidR="002E3883" w:rsidRPr="00393115" w14:paraId="6A04976A" w14:textId="77777777" w:rsidTr="0024730D">
        <w:trPr>
          <w:jc w:val="center"/>
        </w:trPr>
        <w:tc>
          <w:tcPr>
            <w:tcW w:w="421" w:type="dxa"/>
            <w:vAlign w:val="center"/>
          </w:tcPr>
          <w:p w14:paraId="57AF0C29" w14:textId="77777777" w:rsidR="002E3883" w:rsidRDefault="002E3883" w:rsidP="0024730D">
            <w:pPr>
              <w:jc w:val="center"/>
              <w:rPr>
                <w:rFonts w:ascii="Times New Roman" w:hAnsi="Times New Roman" w:cs="Times New Roman"/>
              </w:rPr>
            </w:pPr>
            <w:r>
              <w:rPr>
                <w:rFonts w:ascii="Times New Roman" w:hAnsi="Times New Roman" w:cs="Times New Roman"/>
              </w:rPr>
              <w:t>c</w:t>
            </w:r>
          </w:p>
        </w:tc>
        <w:tc>
          <w:tcPr>
            <w:tcW w:w="2976" w:type="dxa"/>
            <w:vAlign w:val="center"/>
          </w:tcPr>
          <w:p w14:paraId="71726F69" w14:textId="77777777" w:rsidR="002E3883" w:rsidRPr="00393115" w:rsidRDefault="00415865" w:rsidP="0024730D">
            <w:pPr>
              <w:jc w:val="both"/>
              <w:rPr>
                <w:rFonts w:ascii="Times New Roman" w:hAnsi="Times New Roman" w:cs="Times New Roman"/>
              </w:rPr>
            </w:pPr>
            <w:r>
              <w:rPr>
                <w:rFonts w:ascii="Times New Roman" w:hAnsi="Times New Roman" w:cs="Times New Roman"/>
              </w:rPr>
              <w:t>Taze post veya derilerin işlenmesi</w:t>
            </w:r>
          </w:p>
        </w:tc>
        <w:tc>
          <w:tcPr>
            <w:tcW w:w="2977" w:type="dxa"/>
            <w:vAlign w:val="center"/>
          </w:tcPr>
          <w:p w14:paraId="4E290C46" w14:textId="77777777" w:rsidR="002E3883" w:rsidRDefault="00415865" w:rsidP="0024730D">
            <w:pPr>
              <w:jc w:val="both"/>
              <w:rPr>
                <w:rFonts w:ascii="Times New Roman" w:hAnsi="Times New Roman" w:cs="Times New Roman"/>
              </w:rPr>
            </w:pPr>
            <w:r>
              <w:rPr>
                <w:rFonts w:ascii="Times New Roman" w:hAnsi="Times New Roman" w:cs="Times New Roman"/>
              </w:rPr>
              <w:t>Tuzlanmamış post veya deriler kullanılır.</w:t>
            </w:r>
          </w:p>
          <w:p w14:paraId="17C8C075" w14:textId="77777777" w:rsidR="00415865" w:rsidRDefault="00415865" w:rsidP="0024730D">
            <w:pPr>
              <w:jc w:val="both"/>
              <w:rPr>
                <w:rFonts w:ascii="Times New Roman" w:hAnsi="Times New Roman" w:cs="Times New Roman"/>
              </w:rPr>
            </w:pPr>
          </w:p>
          <w:p w14:paraId="0B8C18FB" w14:textId="77777777" w:rsidR="00415865" w:rsidRPr="00393115" w:rsidRDefault="00415865" w:rsidP="0024730D">
            <w:pPr>
              <w:jc w:val="both"/>
              <w:rPr>
                <w:rFonts w:ascii="Times New Roman" w:hAnsi="Times New Roman" w:cs="Times New Roman"/>
              </w:rPr>
            </w:pPr>
            <w:r>
              <w:rPr>
                <w:rFonts w:ascii="Times New Roman" w:hAnsi="Times New Roman" w:cs="Times New Roman"/>
              </w:rPr>
              <w:t>Ya kısa taşıma süreleri ya da sıcaklık kontrollü taşıma ve depolamayla birlikte hızlı ölüm sonrası soğutma, bozulmayı önler.</w:t>
            </w:r>
          </w:p>
        </w:tc>
        <w:tc>
          <w:tcPr>
            <w:tcW w:w="2688" w:type="dxa"/>
            <w:vAlign w:val="center"/>
          </w:tcPr>
          <w:p w14:paraId="18A70BCF" w14:textId="77777777" w:rsidR="002E3883" w:rsidRDefault="00415865" w:rsidP="0024730D">
            <w:pPr>
              <w:jc w:val="both"/>
              <w:rPr>
                <w:rFonts w:ascii="Times New Roman" w:hAnsi="Times New Roman" w:cs="Times New Roman"/>
              </w:rPr>
            </w:pPr>
            <w:r>
              <w:rPr>
                <w:rFonts w:ascii="Times New Roman" w:hAnsi="Times New Roman" w:cs="Times New Roman"/>
              </w:rPr>
              <w:t>Uygulanabilirlik, taze post veya derilerin mevcudiyeti ile kısıtl</w:t>
            </w:r>
            <w:r w:rsidR="00EF38EB">
              <w:rPr>
                <w:rFonts w:ascii="Times New Roman" w:hAnsi="Times New Roman" w:cs="Times New Roman"/>
              </w:rPr>
              <w:t>ıdır.</w:t>
            </w:r>
          </w:p>
          <w:p w14:paraId="5B7CC7A2" w14:textId="77777777" w:rsidR="00415865" w:rsidRDefault="00415865" w:rsidP="0024730D">
            <w:pPr>
              <w:jc w:val="both"/>
              <w:rPr>
                <w:rFonts w:ascii="Times New Roman" w:hAnsi="Times New Roman" w:cs="Times New Roman"/>
              </w:rPr>
            </w:pPr>
          </w:p>
          <w:p w14:paraId="5D037DF9" w14:textId="77777777" w:rsidR="00415865" w:rsidRPr="00393115" w:rsidRDefault="00415865" w:rsidP="0024730D">
            <w:pPr>
              <w:jc w:val="both"/>
              <w:rPr>
                <w:rFonts w:ascii="Times New Roman" w:hAnsi="Times New Roman" w:cs="Times New Roman"/>
              </w:rPr>
            </w:pPr>
            <w:r>
              <w:rPr>
                <w:rFonts w:ascii="Times New Roman" w:hAnsi="Times New Roman" w:cs="Times New Roman"/>
              </w:rPr>
              <w:t>İkin günden daha uzun bir tedarik zinciri söz konusu olduğunda uygulanamaz.</w:t>
            </w:r>
          </w:p>
        </w:tc>
      </w:tr>
      <w:tr w:rsidR="002E3883" w:rsidRPr="00393115" w14:paraId="57648238" w14:textId="77777777" w:rsidTr="0024730D">
        <w:trPr>
          <w:jc w:val="center"/>
        </w:trPr>
        <w:tc>
          <w:tcPr>
            <w:tcW w:w="421" w:type="dxa"/>
            <w:vAlign w:val="center"/>
          </w:tcPr>
          <w:p w14:paraId="4D31B52B" w14:textId="77777777" w:rsidR="002E3883" w:rsidRDefault="002E3883" w:rsidP="0024730D">
            <w:pPr>
              <w:jc w:val="center"/>
              <w:rPr>
                <w:rFonts w:ascii="Times New Roman" w:hAnsi="Times New Roman" w:cs="Times New Roman"/>
              </w:rPr>
            </w:pPr>
            <w:r>
              <w:rPr>
                <w:rFonts w:ascii="Times New Roman" w:hAnsi="Times New Roman" w:cs="Times New Roman"/>
              </w:rPr>
              <w:t>d</w:t>
            </w:r>
          </w:p>
        </w:tc>
        <w:tc>
          <w:tcPr>
            <w:tcW w:w="2976" w:type="dxa"/>
            <w:vAlign w:val="center"/>
          </w:tcPr>
          <w:p w14:paraId="07000F89" w14:textId="77777777" w:rsidR="002E3883" w:rsidRPr="00393115" w:rsidRDefault="00EF38EB" w:rsidP="0024730D">
            <w:pPr>
              <w:jc w:val="both"/>
              <w:rPr>
                <w:rFonts w:ascii="Times New Roman" w:hAnsi="Times New Roman" w:cs="Times New Roman"/>
              </w:rPr>
            </w:pPr>
            <w:r>
              <w:rPr>
                <w:rFonts w:ascii="Times New Roman" w:hAnsi="Times New Roman" w:cs="Times New Roman"/>
              </w:rPr>
              <w:t>Serbest tuzların mekanik yollarla postlardan silkelenmesi</w:t>
            </w:r>
          </w:p>
        </w:tc>
        <w:tc>
          <w:tcPr>
            <w:tcW w:w="2977" w:type="dxa"/>
            <w:vAlign w:val="center"/>
          </w:tcPr>
          <w:p w14:paraId="2860B73D" w14:textId="77777777" w:rsidR="002E3883" w:rsidRPr="00393115" w:rsidRDefault="00EF38EB" w:rsidP="0024730D">
            <w:pPr>
              <w:jc w:val="both"/>
              <w:rPr>
                <w:rFonts w:ascii="Times New Roman" w:hAnsi="Times New Roman" w:cs="Times New Roman"/>
              </w:rPr>
            </w:pPr>
            <w:r>
              <w:rPr>
                <w:rFonts w:ascii="Times New Roman" w:hAnsi="Times New Roman" w:cs="Times New Roman"/>
              </w:rPr>
              <w:t>Tuzlanmış postlar, serbest tuz kristallerinin düşmesini ve ıslatma prosesine aktarılmamasını sağlayacak şekilde işleme için açılır.</w:t>
            </w:r>
          </w:p>
        </w:tc>
        <w:tc>
          <w:tcPr>
            <w:tcW w:w="2688" w:type="dxa"/>
            <w:vAlign w:val="center"/>
          </w:tcPr>
          <w:p w14:paraId="2162690B" w14:textId="77777777" w:rsidR="002E3883" w:rsidRPr="00393115" w:rsidRDefault="00EF38EB" w:rsidP="0024730D">
            <w:pPr>
              <w:jc w:val="both"/>
              <w:rPr>
                <w:rFonts w:ascii="Times New Roman" w:hAnsi="Times New Roman" w:cs="Times New Roman"/>
              </w:rPr>
            </w:pPr>
            <w:r>
              <w:rPr>
                <w:rFonts w:ascii="Times New Roman" w:hAnsi="Times New Roman" w:cs="Times New Roman"/>
              </w:rPr>
              <w:t>Uygulanabilirlik, tuzlanmış postları işleyen tabakhanelerle kısıtlıdır.</w:t>
            </w:r>
          </w:p>
        </w:tc>
      </w:tr>
      <w:tr w:rsidR="002E3883" w:rsidRPr="00393115" w14:paraId="4128DD87" w14:textId="77777777" w:rsidTr="0024730D">
        <w:trPr>
          <w:jc w:val="center"/>
        </w:trPr>
        <w:tc>
          <w:tcPr>
            <w:tcW w:w="421" w:type="dxa"/>
            <w:vAlign w:val="center"/>
          </w:tcPr>
          <w:p w14:paraId="45E4732A" w14:textId="77777777" w:rsidR="002E3883" w:rsidRDefault="002E3883" w:rsidP="0024730D">
            <w:pPr>
              <w:jc w:val="center"/>
              <w:rPr>
                <w:rFonts w:ascii="Times New Roman" w:hAnsi="Times New Roman" w:cs="Times New Roman"/>
              </w:rPr>
            </w:pPr>
            <w:r>
              <w:rPr>
                <w:rFonts w:ascii="Times New Roman" w:hAnsi="Times New Roman" w:cs="Times New Roman"/>
              </w:rPr>
              <w:t>e</w:t>
            </w:r>
          </w:p>
        </w:tc>
        <w:tc>
          <w:tcPr>
            <w:tcW w:w="2976" w:type="dxa"/>
            <w:vAlign w:val="center"/>
          </w:tcPr>
          <w:p w14:paraId="6822DD69" w14:textId="77777777" w:rsidR="002E3883" w:rsidRPr="00393115" w:rsidRDefault="00200200" w:rsidP="0024730D">
            <w:pPr>
              <w:jc w:val="both"/>
              <w:rPr>
                <w:rFonts w:ascii="Times New Roman" w:hAnsi="Times New Roman" w:cs="Times New Roman"/>
              </w:rPr>
            </w:pPr>
            <w:r>
              <w:rPr>
                <w:rFonts w:ascii="Times New Roman" w:hAnsi="Times New Roman" w:cs="Times New Roman"/>
              </w:rPr>
              <w:t>Kıl tasarruflu kılsızlaştırma</w:t>
            </w:r>
          </w:p>
        </w:tc>
        <w:tc>
          <w:tcPr>
            <w:tcW w:w="2977" w:type="dxa"/>
            <w:vAlign w:val="center"/>
          </w:tcPr>
          <w:p w14:paraId="1C94E61B" w14:textId="77777777" w:rsidR="002E3883" w:rsidRPr="00393115" w:rsidRDefault="00200200" w:rsidP="0024730D">
            <w:pPr>
              <w:jc w:val="both"/>
              <w:rPr>
                <w:rFonts w:ascii="Times New Roman" w:hAnsi="Times New Roman" w:cs="Times New Roman"/>
              </w:rPr>
            </w:pPr>
            <w:r>
              <w:rPr>
                <w:rFonts w:ascii="Times New Roman" w:hAnsi="Times New Roman" w:cs="Times New Roman"/>
              </w:rPr>
              <w:t xml:space="preserve">Kılsızlaştırma, tüm  kıl yerine kıl kökünün çözünmesiyle gerçekleştirilir. Geride kalan kıl, atık sudan filtrasyon ile uzaklaştırılır. Atık sudaki kıl </w:t>
            </w:r>
            <w:r>
              <w:rPr>
                <w:rFonts w:ascii="Times New Roman" w:hAnsi="Times New Roman" w:cs="Times New Roman"/>
              </w:rPr>
              <w:lastRenderedPageBreak/>
              <w:t>parçası konsantrasyonu azaltılır.</w:t>
            </w:r>
          </w:p>
        </w:tc>
        <w:tc>
          <w:tcPr>
            <w:tcW w:w="2688" w:type="dxa"/>
            <w:vAlign w:val="center"/>
          </w:tcPr>
          <w:p w14:paraId="174C4EF0" w14:textId="77777777" w:rsidR="002E3883" w:rsidRDefault="00200200" w:rsidP="0024730D">
            <w:pPr>
              <w:jc w:val="both"/>
              <w:rPr>
                <w:rFonts w:ascii="Times New Roman" w:hAnsi="Times New Roman" w:cs="Times New Roman"/>
              </w:rPr>
            </w:pPr>
            <w:r>
              <w:rPr>
                <w:rFonts w:ascii="Times New Roman" w:hAnsi="Times New Roman" w:cs="Times New Roman"/>
              </w:rPr>
              <w:lastRenderedPageBreak/>
              <w:t xml:space="preserve">Teknik, kullanım için kıl işleyen tesislerin makul bir taşıma mesafesinde mevcut olmadığı veya kıl kullanımının mümkün </w:t>
            </w:r>
            <w:r>
              <w:rPr>
                <w:rFonts w:ascii="Times New Roman" w:hAnsi="Times New Roman" w:cs="Times New Roman"/>
              </w:rPr>
              <w:lastRenderedPageBreak/>
              <w:t>olmadığı durumlarda uygulanamaz.</w:t>
            </w:r>
          </w:p>
          <w:p w14:paraId="657CF858" w14:textId="77777777" w:rsidR="00200200" w:rsidRDefault="00200200" w:rsidP="0024730D">
            <w:pPr>
              <w:jc w:val="both"/>
              <w:rPr>
                <w:rFonts w:ascii="Times New Roman" w:hAnsi="Times New Roman" w:cs="Times New Roman"/>
              </w:rPr>
            </w:pPr>
          </w:p>
          <w:p w14:paraId="065039CA" w14:textId="77777777" w:rsidR="00200200" w:rsidRDefault="00200200" w:rsidP="0024730D">
            <w:pPr>
              <w:jc w:val="both"/>
              <w:rPr>
                <w:rFonts w:ascii="Times New Roman" w:hAnsi="Times New Roman" w:cs="Times New Roman"/>
              </w:rPr>
            </w:pPr>
            <w:r>
              <w:rPr>
                <w:rFonts w:ascii="Times New Roman" w:hAnsi="Times New Roman" w:cs="Times New Roman"/>
              </w:rPr>
              <w:t>Uygulanabilirlik, ayrıca aşağıdakilerle kısıtlıdır:</w:t>
            </w:r>
          </w:p>
          <w:p w14:paraId="4EC5AA7C" w14:textId="77777777" w:rsidR="00200200" w:rsidRDefault="00200200" w:rsidP="00200200">
            <w:pPr>
              <w:jc w:val="both"/>
              <w:rPr>
                <w:rFonts w:ascii="Times New Roman" w:hAnsi="Times New Roman" w:cs="Times New Roman"/>
              </w:rPr>
            </w:pPr>
            <w:r>
              <w:rPr>
                <w:rFonts w:ascii="Times New Roman" w:hAnsi="Times New Roman" w:cs="Times New Roman"/>
              </w:rPr>
              <w:t>-- yeni işleme tekneleri,</w:t>
            </w:r>
          </w:p>
          <w:p w14:paraId="102A486B" w14:textId="77777777" w:rsidR="00200200" w:rsidRPr="00393115" w:rsidRDefault="00200200" w:rsidP="00200200">
            <w:pPr>
              <w:jc w:val="both"/>
              <w:rPr>
                <w:rFonts w:ascii="Times New Roman" w:hAnsi="Times New Roman" w:cs="Times New Roman"/>
              </w:rPr>
            </w:pPr>
            <w:r>
              <w:rPr>
                <w:rFonts w:ascii="Times New Roman" w:hAnsi="Times New Roman" w:cs="Times New Roman"/>
              </w:rPr>
              <w:t>-- tekniğin kullanımına olanak tanıyan veya kullanımı için modifiye edilebilen mevcut işleme tekneleri.</w:t>
            </w:r>
          </w:p>
        </w:tc>
      </w:tr>
      <w:tr w:rsidR="002E3883" w:rsidRPr="00393115" w14:paraId="490CEEEA" w14:textId="77777777" w:rsidTr="0024730D">
        <w:trPr>
          <w:jc w:val="center"/>
        </w:trPr>
        <w:tc>
          <w:tcPr>
            <w:tcW w:w="421" w:type="dxa"/>
            <w:vAlign w:val="center"/>
          </w:tcPr>
          <w:p w14:paraId="57C767C5" w14:textId="77777777" w:rsidR="002E3883" w:rsidRDefault="002E3883" w:rsidP="0024730D">
            <w:pPr>
              <w:jc w:val="center"/>
              <w:rPr>
                <w:rFonts w:ascii="Times New Roman" w:hAnsi="Times New Roman" w:cs="Times New Roman"/>
              </w:rPr>
            </w:pPr>
            <w:r>
              <w:rPr>
                <w:rFonts w:ascii="Times New Roman" w:hAnsi="Times New Roman" w:cs="Times New Roman"/>
              </w:rPr>
              <w:lastRenderedPageBreak/>
              <w:t>f</w:t>
            </w:r>
          </w:p>
        </w:tc>
        <w:tc>
          <w:tcPr>
            <w:tcW w:w="2976" w:type="dxa"/>
            <w:vAlign w:val="center"/>
          </w:tcPr>
          <w:p w14:paraId="17E4E7B5" w14:textId="77777777" w:rsidR="002E3883" w:rsidRPr="00393115" w:rsidRDefault="00616D8B" w:rsidP="0024730D">
            <w:pPr>
              <w:jc w:val="both"/>
              <w:rPr>
                <w:rFonts w:ascii="Times New Roman" w:hAnsi="Times New Roman" w:cs="Times New Roman"/>
              </w:rPr>
            </w:pPr>
            <w:r>
              <w:rPr>
                <w:rFonts w:ascii="Times New Roman" w:hAnsi="Times New Roman" w:cs="Times New Roman"/>
              </w:rPr>
              <w:t>Sığır postlarının kılsızlaştırılmasında kükürt bileşiklerinin veya enzimlerin kullanımı</w:t>
            </w:r>
          </w:p>
        </w:tc>
        <w:tc>
          <w:tcPr>
            <w:tcW w:w="2977" w:type="dxa"/>
            <w:vAlign w:val="center"/>
          </w:tcPr>
          <w:p w14:paraId="4399B6E3" w14:textId="77777777" w:rsidR="002E3883" w:rsidRPr="00393115" w:rsidRDefault="00616D8B" w:rsidP="0024730D">
            <w:pPr>
              <w:jc w:val="both"/>
              <w:rPr>
                <w:rFonts w:ascii="Times New Roman" w:hAnsi="Times New Roman" w:cs="Times New Roman"/>
              </w:rPr>
            </w:pPr>
            <w:r>
              <w:rPr>
                <w:rFonts w:ascii="Times New Roman" w:hAnsi="Times New Roman" w:cs="Times New Roman"/>
              </w:rPr>
              <w:t>Kılsızlaştırmada kullanılan inorganik sülf</w:t>
            </w:r>
            <w:r w:rsidR="00E1230A">
              <w:rPr>
                <w:rFonts w:ascii="Times New Roman" w:hAnsi="Times New Roman" w:cs="Times New Roman"/>
              </w:rPr>
              <w:t>ür</w:t>
            </w:r>
            <w:r>
              <w:rPr>
                <w:rFonts w:ascii="Times New Roman" w:hAnsi="Times New Roman" w:cs="Times New Roman"/>
              </w:rPr>
              <w:t xml:space="preserve"> miktarı,</w:t>
            </w:r>
            <w:r w:rsidR="00103F25">
              <w:rPr>
                <w:rFonts w:ascii="Times New Roman" w:hAnsi="Times New Roman" w:cs="Times New Roman"/>
              </w:rPr>
              <w:t xml:space="preserve"> </w:t>
            </w:r>
            <w:r w:rsidR="00E1230A">
              <w:rPr>
                <w:rFonts w:ascii="Times New Roman" w:hAnsi="Times New Roman" w:cs="Times New Roman"/>
              </w:rPr>
              <w:t xml:space="preserve">sülfür </w:t>
            </w:r>
            <w:r w:rsidR="00103F25">
              <w:rPr>
                <w:rFonts w:ascii="Times New Roman" w:hAnsi="Times New Roman" w:cs="Times New Roman"/>
              </w:rPr>
              <w:t>yerine organik kükürt bileşiklerinin kısmı olarak kullanılmasıyla veya uygun enzimlerin ilave kullanımıyla azaltılır.</w:t>
            </w:r>
          </w:p>
        </w:tc>
        <w:tc>
          <w:tcPr>
            <w:tcW w:w="2688" w:type="dxa"/>
            <w:vAlign w:val="center"/>
          </w:tcPr>
          <w:p w14:paraId="7B09FBC7" w14:textId="77777777" w:rsidR="002E3883" w:rsidRPr="00393115" w:rsidRDefault="00103F25" w:rsidP="0024730D">
            <w:pPr>
              <w:jc w:val="both"/>
              <w:rPr>
                <w:rFonts w:ascii="Times New Roman" w:hAnsi="Times New Roman" w:cs="Times New Roman"/>
              </w:rPr>
            </w:pPr>
            <w:r>
              <w:rPr>
                <w:rFonts w:ascii="Times New Roman" w:hAnsi="Times New Roman" w:cs="Times New Roman"/>
              </w:rPr>
              <w:t>Enzimlerin ilave kullanımı, gözle görünür taneli deri (örn. anilin derisi) üreten tabakhanelere uygulanamaz.</w:t>
            </w:r>
          </w:p>
        </w:tc>
      </w:tr>
      <w:tr w:rsidR="002E3883" w:rsidRPr="00393115" w14:paraId="088ADF40" w14:textId="77777777" w:rsidTr="0024730D">
        <w:trPr>
          <w:jc w:val="center"/>
        </w:trPr>
        <w:tc>
          <w:tcPr>
            <w:tcW w:w="421" w:type="dxa"/>
            <w:vAlign w:val="center"/>
          </w:tcPr>
          <w:p w14:paraId="103656F6" w14:textId="77777777" w:rsidR="002E3883" w:rsidRDefault="002E3883" w:rsidP="0024730D">
            <w:pPr>
              <w:jc w:val="center"/>
              <w:rPr>
                <w:rFonts w:ascii="Times New Roman" w:hAnsi="Times New Roman" w:cs="Times New Roman"/>
              </w:rPr>
            </w:pPr>
            <w:r>
              <w:rPr>
                <w:rFonts w:ascii="Times New Roman" w:hAnsi="Times New Roman" w:cs="Times New Roman"/>
              </w:rPr>
              <w:t>g</w:t>
            </w:r>
          </w:p>
        </w:tc>
        <w:tc>
          <w:tcPr>
            <w:tcW w:w="2976" w:type="dxa"/>
            <w:vAlign w:val="center"/>
          </w:tcPr>
          <w:p w14:paraId="0FB2C794" w14:textId="77777777" w:rsidR="00012E2F" w:rsidRPr="00012E2F" w:rsidRDefault="00012E2F" w:rsidP="00012E2F">
            <w:pPr>
              <w:rPr>
                <w:rFonts w:ascii="Times New Roman" w:eastAsia="Times New Roman" w:hAnsi="Times New Roman" w:cs="Times New Roman"/>
                <w:color w:val="000000" w:themeColor="text1"/>
                <w:kern w:val="0"/>
                <w:sz w:val="24"/>
                <w:szCs w:val="24"/>
                <w:lang w:eastAsia="tr-TR"/>
                <w14:ligatures w14:val="none"/>
              </w:rPr>
            </w:pPr>
            <w:r w:rsidRPr="00012E2F">
              <w:rPr>
                <w:rFonts w:ascii="Times New Roman" w:eastAsia="Times New Roman" w:hAnsi="Times New Roman" w:cs="Times New Roman"/>
                <w:color w:val="000000" w:themeColor="text1"/>
                <w:kern w:val="0"/>
                <w:sz w:val="24"/>
                <w:szCs w:val="24"/>
                <w:lang w:eastAsia="tr-TR"/>
                <w14:ligatures w14:val="none"/>
              </w:rPr>
              <w:t xml:space="preserve">Kireç gidermede amonyum bileşiklerinin kullanımının azaltılması. </w:t>
            </w:r>
          </w:p>
          <w:p w14:paraId="589F32AF" w14:textId="77777777" w:rsidR="002E3883" w:rsidRPr="00393115" w:rsidRDefault="002E3883" w:rsidP="0024730D">
            <w:pPr>
              <w:jc w:val="both"/>
              <w:rPr>
                <w:rFonts w:ascii="Times New Roman" w:hAnsi="Times New Roman" w:cs="Times New Roman"/>
              </w:rPr>
            </w:pPr>
          </w:p>
        </w:tc>
        <w:tc>
          <w:tcPr>
            <w:tcW w:w="2977" w:type="dxa"/>
            <w:vAlign w:val="center"/>
          </w:tcPr>
          <w:p w14:paraId="6E684D12" w14:textId="77777777" w:rsidR="00012E2F" w:rsidRPr="00012E2F" w:rsidRDefault="00012E2F" w:rsidP="00012E2F">
            <w:pPr>
              <w:rPr>
                <w:rFonts w:ascii="Times New Roman" w:eastAsia="Times New Roman" w:hAnsi="Times New Roman" w:cs="Times New Roman"/>
                <w:color w:val="000000" w:themeColor="text1"/>
                <w:kern w:val="0"/>
                <w:sz w:val="24"/>
                <w:szCs w:val="24"/>
                <w:u w:val="single"/>
                <w:lang w:eastAsia="tr-TR"/>
                <w14:ligatures w14:val="none"/>
              </w:rPr>
            </w:pPr>
            <w:r w:rsidRPr="00012E2F">
              <w:rPr>
                <w:rFonts w:ascii="Times New Roman" w:eastAsia="Times New Roman" w:hAnsi="Times New Roman" w:cs="Times New Roman"/>
                <w:color w:val="000000" w:themeColor="text1"/>
                <w:kern w:val="0"/>
                <w:sz w:val="24"/>
                <w:szCs w:val="24"/>
                <w:lang w:eastAsia="tr-TR"/>
                <w14:ligatures w14:val="none"/>
              </w:rPr>
              <w:t>Kireç giderme işleminde amonyum bileşiklerinin kullanımı, kısmen veya tamamen karbondioksit gazı enjeksiyonu ve/veya diğer alternatif kireç giderme maddelerinin kullanımıyla azaltılır.</w:t>
            </w:r>
          </w:p>
          <w:p w14:paraId="3261A227" w14:textId="77777777" w:rsidR="002E3883" w:rsidRPr="00393115" w:rsidRDefault="002E3883" w:rsidP="0024730D">
            <w:pPr>
              <w:jc w:val="both"/>
              <w:rPr>
                <w:rFonts w:ascii="Times New Roman" w:hAnsi="Times New Roman" w:cs="Times New Roman"/>
              </w:rPr>
            </w:pPr>
          </w:p>
        </w:tc>
        <w:tc>
          <w:tcPr>
            <w:tcW w:w="2688" w:type="dxa"/>
            <w:vAlign w:val="center"/>
          </w:tcPr>
          <w:p w14:paraId="66967A52" w14:textId="77777777" w:rsidR="00012E2F" w:rsidRPr="00012E2F" w:rsidRDefault="00012E2F" w:rsidP="00012E2F">
            <w:pPr>
              <w:rPr>
                <w:rFonts w:ascii="Times New Roman" w:eastAsia="Times New Roman" w:hAnsi="Times New Roman" w:cs="Times New Roman"/>
                <w:color w:val="000000" w:themeColor="text1"/>
                <w:kern w:val="0"/>
                <w:sz w:val="24"/>
                <w:szCs w:val="24"/>
                <w:lang w:eastAsia="tr-TR"/>
                <w14:ligatures w14:val="none"/>
              </w:rPr>
            </w:pPr>
            <w:r w:rsidRPr="00012E2F">
              <w:rPr>
                <w:rFonts w:ascii="Times New Roman" w:eastAsia="Times New Roman" w:hAnsi="Times New Roman" w:cs="Times New Roman"/>
                <w:color w:val="000000" w:themeColor="text1"/>
                <w:kern w:val="0"/>
                <w:sz w:val="24"/>
                <w:szCs w:val="24"/>
                <w:lang w:eastAsia="tr-TR"/>
                <w14:ligatures w14:val="none"/>
              </w:rPr>
              <w:t>Kireç giderme sırasında amonyum bileşiklerinin tamamen karbondioksit (CO₂) ile ikame edilmesi, kalınlığı 1,5 mm'nin üzerinde olan derilerde kireç gidermede zorluklar çıkartmaktadır. Amonyum tuzlarının kireç giderme sırasında CO</w:t>
            </w:r>
            <w:r w:rsidRPr="00012E2F">
              <w:rPr>
                <w:rFonts w:ascii="Times New Roman" w:eastAsia="Times New Roman" w:hAnsi="Times New Roman" w:cs="Times New Roman"/>
                <w:color w:val="000000" w:themeColor="text1"/>
                <w:kern w:val="0"/>
                <w:sz w:val="24"/>
                <w:szCs w:val="24"/>
                <w:vertAlign w:val="subscript"/>
                <w:lang w:eastAsia="tr-TR"/>
                <w14:ligatures w14:val="none"/>
              </w:rPr>
              <w:t>2</w:t>
            </w:r>
            <w:r w:rsidRPr="00012E2F">
              <w:rPr>
                <w:rFonts w:ascii="Times New Roman" w:eastAsia="Times New Roman" w:hAnsi="Times New Roman" w:cs="Times New Roman"/>
                <w:color w:val="000000" w:themeColor="text1"/>
                <w:kern w:val="0"/>
                <w:sz w:val="24"/>
                <w:szCs w:val="24"/>
                <w:lang w:eastAsia="tr-TR"/>
                <w14:ligatures w14:val="none"/>
              </w:rPr>
              <w:t xml:space="preserve"> ile kısmı veya tamamen ikamesine ilişkin uygulanabilirlik, ayrıca aşağıdakilerle kısıtlıdır:</w:t>
            </w:r>
          </w:p>
          <w:p w14:paraId="35DF98EC" w14:textId="77777777" w:rsidR="00012E2F" w:rsidRPr="00012E2F" w:rsidRDefault="00012E2F" w:rsidP="00012E2F">
            <w:pPr>
              <w:rPr>
                <w:rFonts w:ascii="Times New Roman" w:eastAsia="Times New Roman" w:hAnsi="Times New Roman" w:cs="Times New Roman"/>
                <w:color w:val="000000" w:themeColor="text1"/>
                <w:kern w:val="0"/>
                <w:sz w:val="24"/>
                <w:szCs w:val="24"/>
                <w:lang w:eastAsia="tr-TR"/>
                <w14:ligatures w14:val="none"/>
              </w:rPr>
            </w:pPr>
            <w:r w:rsidRPr="00012E2F">
              <w:rPr>
                <w:rFonts w:ascii="Times New Roman" w:eastAsia="Times New Roman" w:hAnsi="Times New Roman" w:cs="Times New Roman"/>
                <w:color w:val="000000" w:themeColor="text1"/>
                <w:kern w:val="0"/>
                <w:sz w:val="24"/>
                <w:szCs w:val="24"/>
                <w:lang w:eastAsia="tr-TR"/>
                <w14:ligatures w14:val="none"/>
              </w:rPr>
              <w:t>-- yeni proses dolapları,</w:t>
            </w:r>
          </w:p>
          <w:p w14:paraId="5DFA563F" w14:textId="77777777" w:rsidR="00012E2F" w:rsidRPr="00012E2F" w:rsidRDefault="00012E2F" w:rsidP="00012E2F">
            <w:pPr>
              <w:rPr>
                <w:rFonts w:ascii="Times New Roman" w:eastAsia="Times New Roman" w:hAnsi="Times New Roman" w:cs="Times New Roman"/>
                <w:color w:val="000000" w:themeColor="text1"/>
                <w:kern w:val="0"/>
                <w:sz w:val="24"/>
                <w:szCs w:val="24"/>
                <w:lang w:eastAsia="tr-TR"/>
                <w14:ligatures w14:val="none"/>
              </w:rPr>
            </w:pPr>
            <w:r w:rsidRPr="00012E2F">
              <w:rPr>
                <w:rFonts w:ascii="Times New Roman" w:eastAsia="Times New Roman" w:hAnsi="Times New Roman" w:cs="Times New Roman"/>
                <w:color w:val="000000" w:themeColor="text1"/>
                <w:kern w:val="0"/>
                <w:sz w:val="24"/>
                <w:szCs w:val="24"/>
                <w:lang w:eastAsia="tr-TR"/>
                <w14:ligatures w14:val="none"/>
              </w:rPr>
              <w:t>-- kireç giderme sırasında CO</w:t>
            </w:r>
            <w:r w:rsidRPr="00012E2F">
              <w:rPr>
                <w:rFonts w:ascii="Times New Roman" w:eastAsia="Times New Roman" w:hAnsi="Times New Roman" w:cs="Times New Roman"/>
                <w:color w:val="000000" w:themeColor="text1"/>
                <w:kern w:val="0"/>
                <w:sz w:val="24"/>
                <w:szCs w:val="24"/>
                <w:vertAlign w:val="subscript"/>
                <w:lang w:eastAsia="tr-TR"/>
                <w14:ligatures w14:val="none"/>
              </w:rPr>
              <w:t>2</w:t>
            </w:r>
            <w:r w:rsidRPr="00012E2F">
              <w:rPr>
                <w:rFonts w:ascii="Times New Roman" w:eastAsia="Times New Roman" w:hAnsi="Times New Roman" w:cs="Times New Roman"/>
                <w:color w:val="000000" w:themeColor="text1"/>
                <w:kern w:val="0"/>
                <w:sz w:val="24"/>
                <w:szCs w:val="24"/>
                <w:lang w:eastAsia="tr-TR"/>
                <w14:ligatures w14:val="none"/>
              </w:rPr>
              <w:t xml:space="preserve"> kullanımına olanak tanıyan veya kullanımı için modifiye edilebilen mevcut proses dolapları.</w:t>
            </w:r>
          </w:p>
          <w:p w14:paraId="67CB97C9" w14:textId="77777777" w:rsidR="007A5D99" w:rsidRPr="007A5D99" w:rsidRDefault="007A5D99" w:rsidP="007A5D99">
            <w:pPr>
              <w:jc w:val="both"/>
              <w:rPr>
                <w:rFonts w:ascii="Times New Roman" w:hAnsi="Times New Roman" w:cs="Times New Roman"/>
              </w:rPr>
            </w:pPr>
          </w:p>
        </w:tc>
      </w:tr>
    </w:tbl>
    <w:p w14:paraId="52A35CEF" w14:textId="77777777" w:rsidR="002E3883" w:rsidRDefault="002E3883" w:rsidP="00B97F8E">
      <w:pPr>
        <w:spacing w:after="120" w:line="276" w:lineRule="auto"/>
        <w:jc w:val="both"/>
        <w:rPr>
          <w:rFonts w:ascii="Times New Roman" w:hAnsi="Times New Roman" w:cs="Times New Roman"/>
          <w:sz w:val="24"/>
          <w:szCs w:val="24"/>
        </w:rPr>
      </w:pPr>
    </w:p>
    <w:p w14:paraId="60312FFD" w14:textId="77777777" w:rsidR="00395FD5" w:rsidRPr="00687ECE" w:rsidRDefault="00395FD5" w:rsidP="00395FD5">
      <w:pPr>
        <w:pStyle w:val="Balk3"/>
        <w:spacing w:before="0" w:after="120" w:line="276" w:lineRule="auto"/>
        <w:jc w:val="both"/>
        <w:rPr>
          <w:rFonts w:cs="Times New Roman"/>
          <w:b w:val="0"/>
          <w:bCs/>
          <w:szCs w:val="24"/>
        </w:rPr>
      </w:pPr>
      <w:r>
        <w:rPr>
          <w:rFonts w:cs="Times New Roman"/>
          <w:bCs/>
          <w:szCs w:val="24"/>
        </w:rPr>
        <w:t xml:space="preserve">(4.2) </w:t>
      </w:r>
      <w:r w:rsidR="00AE159F">
        <w:rPr>
          <w:rFonts w:cs="Times New Roman"/>
          <w:bCs/>
          <w:szCs w:val="24"/>
        </w:rPr>
        <w:t xml:space="preserve">Tabakhane </w:t>
      </w:r>
      <w:r>
        <w:rPr>
          <w:rFonts w:cs="Times New Roman"/>
          <w:bCs/>
          <w:szCs w:val="24"/>
        </w:rPr>
        <w:t>Proses Adımlarından Kaynaklanan Atık Sudaki Emisyonların Azaltımı</w:t>
      </w:r>
    </w:p>
    <w:p w14:paraId="5A0ADDB7" w14:textId="77777777" w:rsidR="00395FD5" w:rsidRDefault="00395FD5" w:rsidP="00B97F8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6:</w:t>
      </w:r>
      <w:r>
        <w:rPr>
          <w:rFonts w:ascii="Times New Roman" w:hAnsi="Times New Roman" w:cs="Times New Roman"/>
          <w:sz w:val="24"/>
          <w:szCs w:val="24"/>
        </w:rPr>
        <w:t xml:space="preserve"> </w:t>
      </w:r>
      <w:r w:rsidR="00AE159F">
        <w:rPr>
          <w:rFonts w:ascii="Times New Roman" w:hAnsi="Times New Roman" w:cs="Times New Roman"/>
          <w:sz w:val="24"/>
          <w:szCs w:val="24"/>
        </w:rPr>
        <w:t>Tabakhane</w:t>
      </w:r>
      <w:r w:rsidR="00277019">
        <w:rPr>
          <w:rFonts w:ascii="Times New Roman" w:hAnsi="Times New Roman" w:cs="Times New Roman"/>
          <w:sz w:val="24"/>
          <w:szCs w:val="24"/>
        </w:rPr>
        <w:t xml:space="preserve"> proses adımlarından kaynaklanan atık suyun kirlilik yükünü atık su arıtımından önce azaltmak için, aşağıdaki tekniklerin uygun bir kombinasyonu kullanılır.</w:t>
      </w:r>
    </w:p>
    <w:tbl>
      <w:tblPr>
        <w:tblStyle w:val="TabloKlavuzu"/>
        <w:tblW w:w="0" w:type="auto"/>
        <w:jc w:val="center"/>
        <w:tblLook w:val="04A0" w:firstRow="1" w:lastRow="0" w:firstColumn="1" w:lastColumn="0" w:noHBand="0" w:noVBand="1"/>
      </w:tblPr>
      <w:tblGrid>
        <w:gridCol w:w="421"/>
        <w:gridCol w:w="2976"/>
        <w:gridCol w:w="2977"/>
        <w:gridCol w:w="2688"/>
      </w:tblGrid>
      <w:tr w:rsidR="003A62AC" w:rsidRPr="00393115" w14:paraId="2008DE82" w14:textId="77777777" w:rsidTr="0024730D">
        <w:trPr>
          <w:tblHeader/>
          <w:jc w:val="center"/>
        </w:trPr>
        <w:tc>
          <w:tcPr>
            <w:tcW w:w="3397" w:type="dxa"/>
            <w:gridSpan w:val="2"/>
            <w:vAlign w:val="center"/>
          </w:tcPr>
          <w:p w14:paraId="6DE8A964" w14:textId="77777777" w:rsidR="003A62AC" w:rsidRPr="00393115" w:rsidRDefault="003A62AC" w:rsidP="0024730D">
            <w:pPr>
              <w:jc w:val="center"/>
              <w:rPr>
                <w:rFonts w:ascii="Times New Roman" w:hAnsi="Times New Roman" w:cs="Times New Roman"/>
                <w:b/>
                <w:bCs/>
              </w:rPr>
            </w:pPr>
            <w:r>
              <w:rPr>
                <w:rFonts w:ascii="Times New Roman" w:hAnsi="Times New Roman" w:cs="Times New Roman"/>
                <w:b/>
                <w:bCs/>
              </w:rPr>
              <w:t>Teknik</w:t>
            </w:r>
          </w:p>
        </w:tc>
        <w:tc>
          <w:tcPr>
            <w:tcW w:w="2977" w:type="dxa"/>
            <w:vAlign w:val="center"/>
          </w:tcPr>
          <w:p w14:paraId="11B76175" w14:textId="77777777" w:rsidR="003A62AC" w:rsidRPr="00393115" w:rsidRDefault="003A62AC" w:rsidP="0024730D">
            <w:pPr>
              <w:jc w:val="center"/>
              <w:rPr>
                <w:rFonts w:ascii="Times New Roman" w:hAnsi="Times New Roman" w:cs="Times New Roman"/>
                <w:b/>
                <w:bCs/>
              </w:rPr>
            </w:pPr>
            <w:r>
              <w:rPr>
                <w:rFonts w:ascii="Times New Roman" w:hAnsi="Times New Roman" w:cs="Times New Roman"/>
                <w:b/>
                <w:bCs/>
              </w:rPr>
              <w:t>Açıklama</w:t>
            </w:r>
          </w:p>
        </w:tc>
        <w:tc>
          <w:tcPr>
            <w:tcW w:w="2688" w:type="dxa"/>
            <w:vAlign w:val="center"/>
          </w:tcPr>
          <w:p w14:paraId="4322905B" w14:textId="77777777" w:rsidR="003A62AC" w:rsidRPr="00393115" w:rsidRDefault="003A62AC" w:rsidP="0024730D">
            <w:pPr>
              <w:jc w:val="center"/>
              <w:rPr>
                <w:rFonts w:ascii="Times New Roman" w:hAnsi="Times New Roman" w:cs="Times New Roman"/>
                <w:b/>
                <w:bCs/>
              </w:rPr>
            </w:pPr>
            <w:r>
              <w:rPr>
                <w:rFonts w:ascii="Times New Roman" w:hAnsi="Times New Roman" w:cs="Times New Roman"/>
                <w:b/>
                <w:bCs/>
              </w:rPr>
              <w:t>Uygulanabilirlik</w:t>
            </w:r>
          </w:p>
        </w:tc>
      </w:tr>
      <w:tr w:rsidR="003A62AC" w:rsidRPr="00393115" w14:paraId="167A6806" w14:textId="77777777" w:rsidTr="0024730D">
        <w:trPr>
          <w:jc w:val="center"/>
        </w:trPr>
        <w:tc>
          <w:tcPr>
            <w:tcW w:w="421" w:type="dxa"/>
            <w:vAlign w:val="center"/>
          </w:tcPr>
          <w:p w14:paraId="0F4CE6D7" w14:textId="77777777" w:rsidR="003A62AC" w:rsidRPr="00393115" w:rsidRDefault="003A62AC" w:rsidP="0024730D">
            <w:pPr>
              <w:jc w:val="center"/>
              <w:rPr>
                <w:rFonts w:ascii="Times New Roman" w:hAnsi="Times New Roman" w:cs="Times New Roman"/>
              </w:rPr>
            </w:pPr>
            <w:r>
              <w:rPr>
                <w:rFonts w:ascii="Times New Roman" w:hAnsi="Times New Roman" w:cs="Times New Roman"/>
              </w:rPr>
              <w:t>a</w:t>
            </w:r>
          </w:p>
        </w:tc>
        <w:tc>
          <w:tcPr>
            <w:tcW w:w="2976" w:type="dxa"/>
            <w:vAlign w:val="center"/>
          </w:tcPr>
          <w:p w14:paraId="14406FC5" w14:textId="77777777" w:rsidR="003A62AC" w:rsidRPr="00393115" w:rsidRDefault="003A62AC" w:rsidP="0024730D">
            <w:pPr>
              <w:jc w:val="both"/>
              <w:rPr>
                <w:rFonts w:ascii="Times New Roman" w:hAnsi="Times New Roman" w:cs="Times New Roman"/>
              </w:rPr>
            </w:pPr>
            <w:r>
              <w:rPr>
                <w:rFonts w:ascii="Times New Roman" w:hAnsi="Times New Roman" w:cs="Times New Roman"/>
              </w:rPr>
              <w:t>Kısa flot</w:t>
            </w:r>
            <w:r w:rsidR="00012E2F">
              <w:rPr>
                <w:rFonts w:ascii="Times New Roman" w:hAnsi="Times New Roman" w:cs="Times New Roman"/>
              </w:rPr>
              <w:t>te</w:t>
            </w:r>
            <w:r>
              <w:rPr>
                <w:rFonts w:ascii="Times New Roman" w:hAnsi="Times New Roman" w:cs="Times New Roman"/>
              </w:rPr>
              <w:t>lerin kullanımı</w:t>
            </w:r>
          </w:p>
        </w:tc>
        <w:tc>
          <w:tcPr>
            <w:tcW w:w="2977" w:type="dxa"/>
            <w:vAlign w:val="center"/>
          </w:tcPr>
          <w:p w14:paraId="070C8BBF" w14:textId="77777777" w:rsidR="00CA15C7" w:rsidRPr="00CA15C7" w:rsidRDefault="00CA15C7" w:rsidP="00CA15C7">
            <w:pPr>
              <w:rPr>
                <w:rFonts w:ascii="Times New Roman" w:eastAsia="Times New Roman" w:hAnsi="Times New Roman" w:cs="Times New Roman"/>
                <w:color w:val="000000" w:themeColor="text1"/>
                <w:kern w:val="0"/>
                <w:sz w:val="24"/>
                <w:szCs w:val="24"/>
                <w:lang w:eastAsia="tr-TR"/>
                <w14:ligatures w14:val="none"/>
              </w:rPr>
            </w:pPr>
            <w:r w:rsidRPr="00CA15C7">
              <w:rPr>
                <w:rFonts w:ascii="Times New Roman" w:eastAsia="Times New Roman" w:hAnsi="Times New Roman" w:cs="Times New Roman"/>
                <w:color w:val="000000" w:themeColor="text1"/>
                <w:kern w:val="0"/>
                <w:sz w:val="24"/>
                <w:szCs w:val="24"/>
                <w:lang w:eastAsia="tr-TR"/>
                <w14:ligatures w14:val="none"/>
              </w:rPr>
              <w:t xml:space="preserve">Kısa flotte, proses esnasında daha az su kullanımını ifade etmektedir. Daha az su kullanıldığında, işlentide </w:t>
            </w:r>
            <w:r w:rsidRPr="00CA15C7">
              <w:rPr>
                <w:rFonts w:ascii="Times New Roman" w:eastAsia="Times New Roman" w:hAnsi="Times New Roman" w:cs="Times New Roman"/>
                <w:color w:val="000000" w:themeColor="text1"/>
                <w:kern w:val="0"/>
                <w:sz w:val="24"/>
                <w:szCs w:val="24"/>
                <w:lang w:eastAsia="tr-TR"/>
                <w14:ligatures w14:val="none"/>
              </w:rPr>
              <w:lastRenderedPageBreak/>
              <w:t>kullanılan kimyasallar deriye daha fazla bağlanmakta ve neticesinde atık suda daha az kimyasal madde kirliliği meydana gelmektedir.</w:t>
            </w:r>
          </w:p>
          <w:p w14:paraId="0759D430" w14:textId="77777777" w:rsidR="003A62AC" w:rsidRPr="00393115" w:rsidRDefault="003A62AC" w:rsidP="0024730D">
            <w:pPr>
              <w:jc w:val="both"/>
              <w:rPr>
                <w:rFonts w:ascii="Times New Roman" w:hAnsi="Times New Roman" w:cs="Times New Roman"/>
              </w:rPr>
            </w:pPr>
          </w:p>
        </w:tc>
        <w:tc>
          <w:tcPr>
            <w:tcW w:w="2688" w:type="dxa"/>
            <w:vAlign w:val="center"/>
          </w:tcPr>
          <w:p w14:paraId="1C2DF8F3" w14:textId="77777777" w:rsidR="003A62AC" w:rsidRDefault="003A62AC" w:rsidP="0024730D">
            <w:pPr>
              <w:jc w:val="both"/>
              <w:rPr>
                <w:rFonts w:ascii="Times New Roman" w:hAnsi="Times New Roman" w:cs="Times New Roman"/>
              </w:rPr>
            </w:pPr>
            <w:r>
              <w:rPr>
                <w:rFonts w:ascii="Times New Roman" w:hAnsi="Times New Roman" w:cs="Times New Roman"/>
              </w:rPr>
              <w:lastRenderedPageBreak/>
              <w:t>Bu teknik, dana derisi işleme için uygulanamaz.</w:t>
            </w:r>
          </w:p>
          <w:p w14:paraId="2AB44F01" w14:textId="77777777" w:rsidR="003A62AC" w:rsidRDefault="003A62AC" w:rsidP="0024730D">
            <w:pPr>
              <w:jc w:val="both"/>
              <w:rPr>
                <w:rFonts w:ascii="Times New Roman" w:hAnsi="Times New Roman" w:cs="Times New Roman"/>
              </w:rPr>
            </w:pPr>
          </w:p>
          <w:p w14:paraId="6247B333" w14:textId="77777777" w:rsidR="00CA15C7" w:rsidRPr="00CA15C7" w:rsidRDefault="00CA15C7" w:rsidP="00CA15C7">
            <w:pPr>
              <w:rPr>
                <w:rFonts w:ascii="Times New Roman" w:eastAsia="Times New Roman" w:hAnsi="Times New Roman" w:cs="Times New Roman"/>
                <w:color w:val="000000" w:themeColor="text1"/>
                <w:kern w:val="0"/>
                <w:sz w:val="24"/>
                <w:szCs w:val="24"/>
                <w:lang w:eastAsia="tr-TR"/>
                <w14:ligatures w14:val="none"/>
              </w:rPr>
            </w:pPr>
            <w:r w:rsidRPr="00CA15C7">
              <w:rPr>
                <w:rFonts w:ascii="Times New Roman" w:eastAsia="Times New Roman" w:hAnsi="Times New Roman" w:cs="Times New Roman"/>
                <w:color w:val="000000" w:themeColor="text1"/>
                <w:kern w:val="0"/>
                <w:sz w:val="24"/>
                <w:szCs w:val="24"/>
                <w:lang w:eastAsia="tr-TR"/>
                <w14:ligatures w14:val="none"/>
              </w:rPr>
              <w:lastRenderedPageBreak/>
              <w:t>Uygulanabilirlik, ayrıca aşağıdakilerle kısıtlıdır:</w:t>
            </w:r>
          </w:p>
          <w:p w14:paraId="73B2A38F" w14:textId="77777777" w:rsidR="00CA15C7" w:rsidRPr="00CA15C7" w:rsidRDefault="00CA15C7" w:rsidP="00CA15C7">
            <w:pPr>
              <w:rPr>
                <w:rFonts w:ascii="Times New Roman" w:eastAsia="Times New Roman" w:hAnsi="Times New Roman" w:cs="Times New Roman"/>
                <w:color w:val="000000" w:themeColor="text1"/>
                <w:kern w:val="0"/>
                <w:sz w:val="24"/>
                <w:szCs w:val="24"/>
                <w:lang w:eastAsia="tr-TR"/>
                <w14:ligatures w14:val="none"/>
              </w:rPr>
            </w:pPr>
            <w:r w:rsidRPr="00CA15C7">
              <w:rPr>
                <w:rFonts w:ascii="Times New Roman" w:eastAsia="Times New Roman" w:hAnsi="Times New Roman" w:cs="Times New Roman"/>
                <w:color w:val="000000" w:themeColor="text1"/>
                <w:kern w:val="0"/>
                <w:sz w:val="24"/>
                <w:szCs w:val="24"/>
                <w:lang w:eastAsia="tr-TR"/>
                <w14:ligatures w14:val="none"/>
              </w:rPr>
              <w:t>-- yeni proses dolapları,</w:t>
            </w:r>
          </w:p>
          <w:p w14:paraId="2739A4B4" w14:textId="77777777" w:rsidR="00CA15C7" w:rsidRPr="00CA15C7" w:rsidRDefault="00CA15C7" w:rsidP="00CA15C7">
            <w:pPr>
              <w:rPr>
                <w:rFonts w:ascii="Times New Roman" w:eastAsia="Times New Roman" w:hAnsi="Times New Roman" w:cs="Times New Roman"/>
                <w:color w:val="000000" w:themeColor="text1"/>
                <w:kern w:val="0"/>
                <w:sz w:val="24"/>
                <w:szCs w:val="24"/>
                <w:lang w:eastAsia="tr-TR"/>
                <w14:ligatures w14:val="none"/>
              </w:rPr>
            </w:pPr>
            <w:r w:rsidRPr="00CA15C7">
              <w:rPr>
                <w:rFonts w:ascii="Times New Roman" w:eastAsia="Times New Roman" w:hAnsi="Times New Roman" w:cs="Times New Roman"/>
                <w:color w:val="000000" w:themeColor="text1"/>
                <w:kern w:val="0"/>
                <w:sz w:val="24"/>
                <w:szCs w:val="24"/>
                <w:lang w:eastAsia="tr-TR"/>
                <w14:ligatures w14:val="none"/>
              </w:rPr>
              <w:t>-- ya da kısa flotörlerin kullanımına olanak tanıyan veya kullanımı için modifiye edilebilen mevcut dolaplar.</w:t>
            </w:r>
          </w:p>
          <w:p w14:paraId="69705BB0" w14:textId="77777777" w:rsidR="003A62AC" w:rsidRPr="00393115" w:rsidRDefault="003A62AC" w:rsidP="0024730D">
            <w:pPr>
              <w:jc w:val="both"/>
              <w:rPr>
                <w:rFonts w:ascii="Times New Roman" w:hAnsi="Times New Roman" w:cs="Times New Roman"/>
              </w:rPr>
            </w:pPr>
          </w:p>
        </w:tc>
      </w:tr>
      <w:tr w:rsidR="003A62AC" w:rsidRPr="00393115" w14:paraId="43654927" w14:textId="77777777" w:rsidTr="0024730D">
        <w:trPr>
          <w:jc w:val="center"/>
        </w:trPr>
        <w:tc>
          <w:tcPr>
            <w:tcW w:w="421" w:type="dxa"/>
            <w:vAlign w:val="center"/>
          </w:tcPr>
          <w:p w14:paraId="70F57609" w14:textId="77777777" w:rsidR="003A62AC" w:rsidRPr="00393115" w:rsidRDefault="003A62AC" w:rsidP="0024730D">
            <w:pPr>
              <w:jc w:val="center"/>
              <w:rPr>
                <w:rFonts w:ascii="Times New Roman" w:hAnsi="Times New Roman" w:cs="Times New Roman"/>
              </w:rPr>
            </w:pPr>
            <w:r>
              <w:rPr>
                <w:rFonts w:ascii="Times New Roman" w:hAnsi="Times New Roman" w:cs="Times New Roman"/>
              </w:rPr>
              <w:lastRenderedPageBreak/>
              <w:t>b</w:t>
            </w:r>
          </w:p>
        </w:tc>
        <w:tc>
          <w:tcPr>
            <w:tcW w:w="2976" w:type="dxa"/>
            <w:vAlign w:val="center"/>
          </w:tcPr>
          <w:p w14:paraId="13BE1888" w14:textId="77777777" w:rsidR="003A62AC" w:rsidRPr="00393115" w:rsidRDefault="00CA15C7" w:rsidP="0024730D">
            <w:pPr>
              <w:jc w:val="both"/>
              <w:rPr>
                <w:rFonts w:ascii="Times New Roman" w:hAnsi="Times New Roman" w:cs="Times New Roman"/>
              </w:rPr>
            </w:pPr>
            <w:r w:rsidRPr="00CA15C7">
              <w:rPr>
                <w:rFonts w:ascii="Times New Roman" w:hAnsi="Times New Roman" w:cs="Times New Roman"/>
                <w:color w:val="000000" w:themeColor="text1"/>
              </w:rPr>
              <w:t>Krom tabaklama maddelerinin tüketiminin maksimuma çıkarılması</w:t>
            </w:r>
            <w:r w:rsidRPr="009B3A0E">
              <w:rPr>
                <w:color w:val="000000" w:themeColor="text1"/>
              </w:rPr>
              <w:t>.</w:t>
            </w:r>
          </w:p>
        </w:tc>
        <w:tc>
          <w:tcPr>
            <w:tcW w:w="2977" w:type="dxa"/>
            <w:vAlign w:val="center"/>
          </w:tcPr>
          <w:p w14:paraId="7EBFC430" w14:textId="77777777" w:rsidR="003A62AC" w:rsidRPr="00393115" w:rsidRDefault="00CA15C7" w:rsidP="0024730D">
            <w:pPr>
              <w:jc w:val="both"/>
              <w:rPr>
                <w:rFonts w:ascii="Times New Roman" w:hAnsi="Times New Roman" w:cs="Times New Roman"/>
              </w:rPr>
            </w:pPr>
            <w:r w:rsidRPr="00CA15C7">
              <w:rPr>
                <w:rFonts w:ascii="Times New Roman" w:hAnsi="Times New Roman" w:cs="Times New Roman"/>
              </w:rPr>
              <w:t>Proses parametrelerinin (örneğin pH, flotte oranı, sıcaklık, süre ve dolap hızı) optimize edilmesi ve kullanılan bazı yardımcı kimyasallar sayesinde deri tarafından alınan krom tabaklama maddesinin miktarının artırılması sağlanır.</w:t>
            </w:r>
          </w:p>
        </w:tc>
        <w:tc>
          <w:tcPr>
            <w:tcW w:w="2688" w:type="dxa"/>
            <w:vAlign w:val="center"/>
          </w:tcPr>
          <w:p w14:paraId="1DD65AC7" w14:textId="77777777" w:rsidR="003A62AC" w:rsidRPr="00393115" w:rsidRDefault="003A62AC" w:rsidP="0024730D">
            <w:pPr>
              <w:jc w:val="both"/>
              <w:rPr>
                <w:rFonts w:ascii="Times New Roman" w:hAnsi="Times New Roman" w:cs="Times New Roman"/>
              </w:rPr>
            </w:pPr>
            <w:r>
              <w:rPr>
                <w:rFonts w:ascii="Times New Roman" w:hAnsi="Times New Roman" w:cs="Times New Roman"/>
              </w:rPr>
              <w:t>Genellikle uygulanabilir.</w:t>
            </w:r>
          </w:p>
        </w:tc>
      </w:tr>
      <w:tr w:rsidR="003A62AC" w:rsidRPr="00393115" w14:paraId="016EAB9F" w14:textId="77777777" w:rsidTr="0024730D">
        <w:trPr>
          <w:jc w:val="center"/>
        </w:trPr>
        <w:tc>
          <w:tcPr>
            <w:tcW w:w="421" w:type="dxa"/>
            <w:vAlign w:val="center"/>
          </w:tcPr>
          <w:p w14:paraId="1FB4343D" w14:textId="77777777" w:rsidR="003A62AC" w:rsidRDefault="003A62AC" w:rsidP="0024730D">
            <w:pPr>
              <w:jc w:val="center"/>
              <w:rPr>
                <w:rFonts w:ascii="Times New Roman" w:hAnsi="Times New Roman" w:cs="Times New Roman"/>
              </w:rPr>
            </w:pPr>
            <w:r>
              <w:rPr>
                <w:rFonts w:ascii="Times New Roman" w:hAnsi="Times New Roman" w:cs="Times New Roman"/>
              </w:rPr>
              <w:t>c</w:t>
            </w:r>
          </w:p>
        </w:tc>
        <w:tc>
          <w:tcPr>
            <w:tcW w:w="2976" w:type="dxa"/>
            <w:vAlign w:val="center"/>
          </w:tcPr>
          <w:p w14:paraId="5F44BE2F" w14:textId="77777777" w:rsidR="003A62AC" w:rsidRPr="00393115" w:rsidRDefault="003A62AC" w:rsidP="0024730D">
            <w:pPr>
              <w:jc w:val="both"/>
              <w:rPr>
                <w:rFonts w:ascii="Times New Roman" w:hAnsi="Times New Roman" w:cs="Times New Roman"/>
              </w:rPr>
            </w:pPr>
            <w:r>
              <w:rPr>
                <w:rFonts w:ascii="Times New Roman" w:hAnsi="Times New Roman" w:cs="Times New Roman"/>
              </w:rPr>
              <w:t>Optimize edilmiş bitkisel tabaklama yöntemleri</w:t>
            </w:r>
          </w:p>
        </w:tc>
        <w:tc>
          <w:tcPr>
            <w:tcW w:w="2977" w:type="dxa"/>
            <w:vAlign w:val="center"/>
          </w:tcPr>
          <w:p w14:paraId="6B40E97D" w14:textId="77777777" w:rsidR="00CA15C7" w:rsidRPr="00CA15C7" w:rsidRDefault="00CA15C7" w:rsidP="00CA15C7">
            <w:pPr>
              <w:jc w:val="both"/>
              <w:rPr>
                <w:rFonts w:ascii="Times New Roman" w:hAnsi="Times New Roman" w:cs="Times New Roman"/>
              </w:rPr>
            </w:pPr>
            <w:r w:rsidRPr="00CA15C7">
              <w:rPr>
                <w:rFonts w:ascii="Times New Roman" w:hAnsi="Times New Roman" w:cs="Times New Roman"/>
              </w:rPr>
              <w:t>Bitkisel tabaklamanın bir kısmının dolaplarda yapılması.</w:t>
            </w:r>
          </w:p>
          <w:p w14:paraId="344A4723" w14:textId="77777777" w:rsidR="00CA15C7" w:rsidRPr="00CA15C7" w:rsidRDefault="00CA15C7" w:rsidP="00CA15C7">
            <w:pPr>
              <w:jc w:val="both"/>
              <w:rPr>
                <w:rFonts w:ascii="Times New Roman" w:hAnsi="Times New Roman" w:cs="Times New Roman"/>
              </w:rPr>
            </w:pPr>
            <w:r w:rsidRPr="00CA15C7">
              <w:rPr>
                <w:rFonts w:ascii="Times New Roman" w:hAnsi="Times New Roman" w:cs="Times New Roman"/>
              </w:rPr>
              <w:t>Bitkisel taninlerin penetrasyonunu artırmak için ön tabaklama maddelerinin kullanımı.</w:t>
            </w:r>
          </w:p>
          <w:p w14:paraId="2097E4C1" w14:textId="77777777" w:rsidR="003A62AC" w:rsidRPr="00393115" w:rsidRDefault="003A62AC" w:rsidP="00CA15C7">
            <w:pPr>
              <w:jc w:val="both"/>
              <w:rPr>
                <w:rFonts w:ascii="Times New Roman" w:hAnsi="Times New Roman" w:cs="Times New Roman"/>
              </w:rPr>
            </w:pPr>
          </w:p>
        </w:tc>
        <w:tc>
          <w:tcPr>
            <w:tcW w:w="2688" w:type="dxa"/>
            <w:vAlign w:val="center"/>
          </w:tcPr>
          <w:p w14:paraId="7E2F8E2F" w14:textId="77777777" w:rsidR="003A62AC" w:rsidRPr="00393115" w:rsidRDefault="00CA15C7" w:rsidP="0024730D">
            <w:pPr>
              <w:jc w:val="both"/>
              <w:rPr>
                <w:rFonts w:ascii="Times New Roman" w:hAnsi="Times New Roman" w:cs="Times New Roman"/>
              </w:rPr>
            </w:pPr>
            <w:r w:rsidRPr="00CA15C7">
              <w:rPr>
                <w:rFonts w:ascii="Times New Roman" w:hAnsi="Times New Roman" w:cs="Times New Roman"/>
              </w:rPr>
              <w:t>Kösele üretiminde uygulanması zordur.</w:t>
            </w:r>
            <w:r w:rsidR="006B1841">
              <w:rPr>
                <w:rFonts w:ascii="Times New Roman" w:hAnsi="Times New Roman" w:cs="Times New Roman"/>
              </w:rPr>
              <w:t>.</w:t>
            </w:r>
          </w:p>
        </w:tc>
      </w:tr>
    </w:tbl>
    <w:p w14:paraId="0DBAA0B2" w14:textId="77777777" w:rsidR="00277019" w:rsidRDefault="00277019" w:rsidP="00B97F8E">
      <w:pPr>
        <w:spacing w:after="120" w:line="276" w:lineRule="auto"/>
        <w:jc w:val="both"/>
        <w:rPr>
          <w:rFonts w:ascii="Times New Roman" w:hAnsi="Times New Roman" w:cs="Times New Roman"/>
          <w:sz w:val="24"/>
          <w:szCs w:val="24"/>
        </w:rPr>
      </w:pPr>
    </w:p>
    <w:p w14:paraId="4BB38D67" w14:textId="77777777" w:rsidR="006B1841" w:rsidRPr="00687ECE" w:rsidRDefault="006B1841" w:rsidP="006B1841">
      <w:pPr>
        <w:pStyle w:val="Balk3"/>
        <w:spacing w:before="0" w:after="120" w:line="276" w:lineRule="auto"/>
        <w:jc w:val="both"/>
        <w:rPr>
          <w:rFonts w:cs="Times New Roman"/>
          <w:b w:val="0"/>
          <w:bCs/>
          <w:szCs w:val="24"/>
        </w:rPr>
      </w:pPr>
      <w:r>
        <w:rPr>
          <w:rFonts w:cs="Times New Roman"/>
          <w:bCs/>
          <w:szCs w:val="24"/>
        </w:rPr>
        <w:t>(4.3) Tabaklama Sonrası Proses Adımlarından Kaynaklanan Atık Sudaki Emisyonların Azaltımı</w:t>
      </w:r>
    </w:p>
    <w:p w14:paraId="42448B5C" w14:textId="77777777" w:rsidR="006B1841" w:rsidRDefault="006B1841" w:rsidP="00B97F8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7:</w:t>
      </w:r>
      <w:r>
        <w:rPr>
          <w:rFonts w:ascii="Times New Roman" w:hAnsi="Times New Roman" w:cs="Times New Roman"/>
          <w:sz w:val="24"/>
          <w:szCs w:val="24"/>
        </w:rPr>
        <w:t xml:space="preserve"> </w:t>
      </w:r>
      <w:r w:rsidR="005E45D5">
        <w:rPr>
          <w:rFonts w:ascii="Times New Roman" w:hAnsi="Times New Roman" w:cs="Times New Roman"/>
          <w:sz w:val="24"/>
          <w:szCs w:val="24"/>
        </w:rPr>
        <w:t>Tabaklama sonrası proses adımlarından kaynaklanan atık suyun kirlilik yükünü atık su arıtımından önce azaltmak için, aşağıdaki tekniklerin uygun bir kombinasyonu kullanılır.</w:t>
      </w:r>
    </w:p>
    <w:tbl>
      <w:tblPr>
        <w:tblStyle w:val="TabloKlavuzu"/>
        <w:tblW w:w="0" w:type="auto"/>
        <w:jc w:val="center"/>
        <w:tblLook w:val="04A0" w:firstRow="1" w:lastRow="0" w:firstColumn="1" w:lastColumn="0" w:noHBand="0" w:noVBand="1"/>
      </w:tblPr>
      <w:tblGrid>
        <w:gridCol w:w="421"/>
        <w:gridCol w:w="2976"/>
        <w:gridCol w:w="2977"/>
        <w:gridCol w:w="2688"/>
      </w:tblGrid>
      <w:tr w:rsidR="005E45D5" w:rsidRPr="00393115" w14:paraId="4AE79404" w14:textId="77777777" w:rsidTr="0024730D">
        <w:trPr>
          <w:tblHeader/>
          <w:jc w:val="center"/>
        </w:trPr>
        <w:tc>
          <w:tcPr>
            <w:tcW w:w="3397" w:type="dxa"/>
            <w:gridSpan w:val="2"/>
            <w:vAlign w:val="center"/>
          </w:tcPr>
          <w:p w14:paraId="5AA32FF9" w14:textId="77777777" w:rsidR="005E45D5" w:rsidRPr="00393115" w:rsidRDefault="005E45D5" w:rsidP="0024730D">
            <w:pPr>
              <w:jc w:val="center"/>
              <w:rPr>
                <w:rFonts w:ascii="Times New Roman" w:hAnsi="Times New Roman" w:cs="Times New Roman"/>
                <w:b/>
                <w:bCs/>
              </w:rPr>
            </w:pPr>
            <w:r>
              <w:rPr>
                <w:rFonts w:ascii="Times New Roman" w:hAnsi="Times New Roman" w:cs="Times New Roman"/>
                <w:b/>
                <w:bCs/>
              </w:rPr>
              <w:t>Teknik</w:t>
            </w:r>
          </w:p>
        </w:tc>
        <w:tc>
          <w:tcPr>
            <w:tcW w:w="2977" w:type="dxa"/>
            <w:vAlign w:val="center"/>
          </w:tcPr>
          <w:p w14:paraId="41743E58" w14:textId="77777777" w:rsidR="005E45D5" w:rsidRPr="00393115" w:rsidRDefault="005E45D5" w:rsidP="0024730D">
            <w:pPr>
              <w:jc w:val="center"/>
              <w:rPr>
                <w:rFonts w:ascii="Times New Roman" w:hAnsi="Times New Roman" w:cs="Times New Roman"/>
                <w:b/>
                <w:bCs/>
              </w:rPr>
            </w:pPr>
            <w:r>
              <w:rPr>
                <w:rFonts w:ascii="Times New Roman" w:hAnsi="Times New Roman" w:cs="Times New Roman"/>
                <w:b/>
                <w:bCs/>
              </w:rPr>
              <w:t>Açıklama</w:t>
            </w:r>
          </w:p>
        </w:tc>
        <w:tc>
          <w:tcPr>
            <w:tcW w:w="2688" w:type="dxa"/>
            <w:vAlign w:val="center"/>
          </w:tcPr>
          <w:p w14:paraId="23889C79" w14:textId="77777777" w:rsidR="005E45D5" w:rsidRPr="00393115" w:rsidRDefault="005E45D5" w:rsidP="0024730D">
            <w:pPr>
              <w:jc w:val="center"/>
              <w:rPr>
                <w:rFonts w:ascii="Times New Roman" w:hAnsi="Times New Roman" w:cs="Times New Roman"/>
                <w:b/>
                <w:bCs/>
              </w:rPr>
            </w:pPr>
            <w:r>
              <w:rPr>
                <w:rFonts w:ascii="Times New Roman" w:hAnsi="Times New Roman" w:cs="Times New Roman"/>
                <w:b/>
                <w:bCs/>
              </w:rPr>
              <w:t>Uygulanabilirlik</w:t>
            </w:r>
          </w:p>
        </w:tc>
      </w:tr>
      <w:tr w:rsidR="005E45D5" w:rsidRPr="00393115" w14:paraId="4CF585C7" w14:textId="77777777" w:rsidTr="0024730D">
        <w:trPr>
          <w:jc w:val="center"/>
        </w:trPr>
        <w:tc>
          <w:tcPr>
            <w:tcW w:w="421" w:type="dxa"/>
            <w:vAlign w:val="center"/>
          </w:tcPr>
          <w:p w14:paraId="312630ED" w14:textId="77777777" w:rsidR="005E45D5" w:rsidRPr="00393115" w:rsidRDefault="005E45D5" w:rsidP="0024730D">
            <w:pPr>
              <w:jc w:val="center"/>
              <w:rPr>
                <w:rFonts w:ascii="Times New Roman" w:hAnsi="Times New Roman" w:cs="Times New Roman"/>
              </w:rPr>
            </w:pPr>
            <w:r>
              <w:rPr>
                <w:rFonts w:ascii="Times New Roman" w:hAnsi="Times New Roman" w:cs="Times New Roman"/>
              </w:rPr>
              <w:t>a</w:t>
            </w:r>
          </w:p>
        </w:tc>
        <w:tc>
          <w:tcPr>
            <w:tcW w:w="2976" w:type="dxa"/>
            <w:vAlign w:val="center"/>
          </w:tcPr>
          <w:p w14:paraId="212FB4EA" w14:textId="77777777" w:rsidR="005E45D5" w:rsidRPr="00393115" w:rsidRDefault="005E45D5" w:rsidP="0024730D">
            <w:pPr>
              <w:jc w:val="both"/>
              <w:rPr>
                <w:rFonts w:ascii="Times New Roman" w:hAnsi="Times New Roman" w:cs="Times New Roman"/>
              </w:rPr>
            </w:pPr>
            <w:r>
              <w:rPr>
                <w:rFonts w:ascii="Times New Roman" w:hAnsi="Times New Roman" w:cs="Times New Roman"/>
              </w:rPr>
              <w:t>Kısa flot</w:t>
            </w:r>
            <w:r w:rsidR="00012E2F">
              <w:rPr>
                <w:rFonts w:ascii="Times New Roman" w:hAnsi="Times New Roman" w:cs="Times New Roman"/>
              </w:rPr>
              <w:t>te</w:t>
            </w:r>
            <w:r>
              <w:rPr>
                <w:rFonts w:ascii="Times New Roman" w:hAnsi="Times New Roman" w:cs="Times New Roman"/>
              </w:rPr>
              <w:t>lerin kullanımı</w:t>
            </w:r>
          </w:p>
        </w:tc>
        <w:tc>
          <w:tcPr>
            <w:tcW w:w="2977" w:type="dxa"/>
            <w:vAlign w:val="center"/>
          </w:tcPr>
          <w:p w14:paraId="3E3C2D0E" w14:textId="77777777" w:rsidR="005E45D5" w:rsidRPr="00393115" w:rsidRDefault="009C1BA2" w:rsidP="0024730D">
            <w:pPr>
              <w:jc w:val="both"/>
              <w:rPr>
                <w:rFonts w:ascii="Times New Roman" w:hAnsi="Times New Roman" w:cs="Times New Roman"/>
              </w:rPr>
            </w:pPr>
            <w:r w:rsidRPr="009C1BA2">
              <w:rPr>
                <w:rFonts w:ascii="Times New Roman" w:hAnsi="Times New Roman" w:cs="Times New Roman"/>
              </w:rPr>
              <w:t>Kısa flotte, proses esnasında daha az su kullanımını ifade etmektedir. Daha az su kullanıldığında, işlentide kullanılan kimyasallar deriye daha fazla bağlanmakta ve neticesinde atık suda daha az kimyasal madde kirliliği meydana gelmektedir.</w:t>
            </w:r>
          </w:p>
        </w:tc>
        <w:tc>
          <w:tcPr>
            <w:tcW w:w="2688" w:type="dxa"/>
            <w:vAlign w:val="center"/>
          </w:tcPr>
          <w:p w14:paraId="259946D5" w14:textId="77777777" w:rsidR="009C1BA2" w:rsidRPr="009C1BA2" w:rsidRDefault="009C1BA2" w:rsidP="009C1BA2">
            <w:pPr>
              <w:jc w:val="both"/>
              <w:rPr>
                <w:rFonts w:ascii="Times New Roman" w:hAnsi="Times New Roman" w:cs="Times New Roman"/>
              </w:rPr>
            </w:pPr>
            <w:r w:rsidRPr="009C1BA2">
              <w:rPr>
                <w:rFonts w:ascii="Times New Roman" w:hAnsi="Times New Roman" w:cs="Times New Roman"/>
              </w:rPr>
              <w:t>Bu teknik, bazı boyama işlemlerinde ve dana derisi gibi hassas ciltli derilerin işlenmesi için uygun olmayabilir..</w:t>
            </w:r>
          </w:p>
          <w:p w14:paraId="043F1D91" w14:textId="77777777" w:rsidR="009C1BA2" w:rsidRPr="009C1BA2" w:rsidRDefault="009C1BA2" w:rsidP="009C1BA2">
            <w:pPr>
              <w:jc w:val="both"/>
              <w:rPr>
                <w:rFonts w:ascii="Times New Roman" w:hAnsi="Times New Roman" w:cs="Times New Roman"/>
              </w:rPr>
            </w:pPr>
          </w:p>
          <w:p w14:paraId="045E0265" w14:textId="77777777" w:rsidR="009C1BA2" w:rsidRPr="009C1BA2" w:rsidRDefault="009C1BA2" w:rsidP="009C1BA2">
            <w:pPr>
              <w:jc w:val="both"/>
              <w:rPr>
                <w:rFonts w:ascii="Times New Roman" w:hAnsi="Times New Roman" w:cs="Times New Roman"/>
              </w:rPr>
            </w:pPr>
            <w:r w:rsidRPr="009C1BA2">
              <w:rPr>
                <w:rFonts w:ascii="Times New Roman" w:hAnsi="Times New Roman" w:cs="Times New Roman"/>
              </w:rPr>
              <w:t>Uygulanabilirlik, ayrıca aşağıdakilerle kısıtlıdır:</w:t>
            </w:r>
          </w:p>
          <w:p w14:paraId="258E9171" w14:textId="77777777" w:rsidR="009C1BA2" w:rsidRPr="009C1BA2" w:rsidRDefault="009C1BA2" w:rsidP="009C1BA2">
            <w:pPr>
              <w:jc w:val="both"/>
              <w:rPr>
                <w:rFonts w:ascii="Times New Roman" w:hAnsi="Times New Roman" w:cs="Times New Roman"/>
              </w:rPr>
            </w:pPr>
            <w:r w:rsidRPr="009C1BA2">
              <w:rPr>
                <w:rFonts w:ascii="Times New Roman" w:hAnsi="Times New Roman" w:cs="Times New Roman"/>
              </w:rPr>
              <w:t>-- yeni proses dolapları,</w:t>
            </w:r>
          </w:p>
          <w:p w14:paraId="696E7118" w14:textId="77777777" w:rsidR="005E45D5" w:rsidRPr="00393115" w:rsidRDefault="009C1BA2" w:rsidP="009C1BA2">
            <w:pPr>
              <w:jc w:val="both"/>
              <w:rPr>
                <w:rFonts w:ascii="Times New Roman" w:hAnsi="Times New Roman" w:cs="Times New Roman"/>
              </w:rPr>
            </w:pPr>
            <w:r w:rsidRPr="009C1BA2">
              <w:rPr>
                <w:rFonts w:ascii="Times New Roman" w:hAnsi="Times New Roman" w:cs="Times New Roman"/>
              </w:rPr>
              <w:t>-- ya da kısa flotörlerin kullanımına olanak tanıyan veya kullanımı için modifiye edilebilen mevcut dolaplar.</w:t>
            </w:r>
          </w:p>
        </w:tc>
      </w:tr>
      <w:tr w:rsidR="005E45D5" w:rsidRPr="00393115" w14:paraId="651C39EC" w14:textId="77777777" w:rsidTr="0024730D">
        <w:trPr>
          <w:jc w:val="center"/>
        </w:trPr>
        <w:tc>
          <w:tcPr>
            <w:tcW w:w="421" w:type="dxa"/>
            <w:vAlign w:val="center"/>
          </w:tcPr>
          <w:p w14:paraId="0219F7E4" w14:textId="77777777" w:rsidR="005E45D5" w:rsidRPr="00393115" w:rsidRDefault="005E45D5" w:rsidP="0024730D">
            <w:pPr>
              <w:jc w:val="center"/>
              <w:rPr>
                <w:rFonts w:ascii="Times New Roman" w:hAnsi="Times New Roman" w:cs="Times New Roman"/>
              </w:rPr>
            </w:pPr>
            <w:r>
              <w:rPr>
                <w:rFonts w:ascii="Times New Roman" w:hAnsi="Times New Roman" w:cs="Times New Roman"/>
              </w:rPr>
              <w:t>b</w:t>
            </w:r>
          </w:p>
        </w:tc>
        <w:tc>
          <w:tcPr>
            <w:tcW w:w="2976" w:type="dxa"/>
            <w:vAlign w:val="center"/>
          </w:tcPr>
          <w:p w14:paraId="39479C14" w14:textId="77777777" w:rsidR="005E45D5" w:rsidRPr="00393115" w:rsidRDefault="001971B7" w:rsidP="0024730D">
            <w:pPr>
              <w:jc w:val="both"/>
              <w:rPr>
                <w:rFonts w:ascii="Times New Roman" w:hAnsi="Times New Roman" w:cs="Times New Roman"/>
              </w:rPr>
            </w:pPr>
            <w:r w:rsidRPr="001971B7">
              <w:rPr>
                <w:rFonts w:ascii="Times New Roman" w:hAnsi="Times New Roman" w:cs="Times New Roman"/>
              </w:rPr>
              <w:t>Retenaj, boyama ve yağlamanın optimizasyonu.</w:t>
            </w:r>
          </w:p>
        </w:tc>
        <w:tc>
          <w:tcPr>
            <w:tcW w:w="2977" w:type="dxa"/>
            <w:vAlign w:val="center"/>
          </w:tcPr>
          <w:p w14:paraId="0B3B723B" w14:textId="77777777" w:rsidR="005E45D5" w:rsidRPr="00393115" w:rsidRDefault="001971B7" w:rsidP="0024730D">
            <w:pPr>
              <w:jc w:val="both"/>
              <w:rPr>
                <w:rFonts w:ascii="Times New Roman" w:hAnsi="Times New Roman" w:cs="Times New Roman"/>
              </w:rPr>
            </w:pPr>
            <w:r w:rsidRPr="001971B7">
              <w:rPr>
                <w:rFonts w:ascii="Times New Roman" w:hAnsi="Times New Roman" w:cs="Times New Roman"/>
              </w:rPr>
              <w:t>Proses kimyasallarının maksimum tüketimini sağlamak için proses parametrelerinin optimizasyonu.</w:t>
            </w:r>
          </w:p>
        </w:tc>
        <w:tc>
          <w:tcPr>
            <w:tcW w:w="2688" w:type="dxa"/>
            <w:vAlign w:val="center"/>
          </w:tcPr>
          <w:p w14:paraId="0299E614" w14:textId="77777777" w:rsidR="005E45D5" w:rsidRPr="00393115" w:rsidRDefault="005E45D5" w:rsidP="0024730D">
            <w:pPr>
              <w:jc w:val="both"/>
              <w:rPr>
                <w:rFonts w:ascii="Times New Roman" w:hAnsi="Times New Roman" w:cs="Times New Roman"/>
              </w:rPr>
            </w:pPr>
            <w:r>
              <w:rPr>
                <w:rFonts w:ascii="Times New Roman" w:hAnsi="Times New Roman" w:cs="Times New Roman"/>
              </w:rPr>
              <w:t>Genellikle uygulanabilir.</w:t>
            </w:r>
          </w:p>
        </w:tc>
      </w:tr>
    </w:tbl>
    <w:p w14:paraId="06E6F678" w14:textId="77777777" w:rsidR="005E45D5" w:rsidRPr="006B1841" w:rsidRDefault="005E45D5" w:rsidP="00B97F8E">
      <w:pPr>
        <w:spacing w:after="120" w:line="276" w:lineRule="auto"/>
        <w:jc w:val="both"/>
        <w:rPr>
          <w:rFonts w:ascii="Times New Roman" w:hAnsi="Times New Roman" w:cs="Times New Roman"/>
          <w:sz w:val="24"/>
          <w:szCs w:val="24"/>
        </w:rPr>
      </w:pPr>
    </w:p>
    <w:p w14:paraId="658A1B01" w14:textId="77777777" w:rsidR="005E45D5" w:rsidRPr="00687ECE" w:rsidRDefault="005E45D5" w:rsidP="005E45D5">
      <w:pPr>
        <w:pStyle w:val="Balk3"/>
        <w:spacing w:before="0" w:after="120" w:line="276" w:lineRule="auto"/>
        <w:jc w:val="both"/>
        <w:rPr>
          <w:rFonts w:cs="Times New Roman"/>
          <w:b w:val="0"/>
          <w:bCs/>
          <w:szCs w:val="24"/>
        </w:rPr>
      </w:pPr>
      <w:r>
        <w:rPr>
          <w:rFonts w:cs="Times New Roman"/>
          <w:bCs/>
          <w:szCs w:val="24"/>
        </w:rPr>
        <w:lastRenderedPageBreak/>
        <w:t>(4.4) Atık Sudaki Emisyonların Diğer Azaltımları</w:t>
      </w:r>
    </w:p>
    <w:p w14:paraId="7E3AE527" w14:textId="77777777" w:rsidR="00E657F6" w:rsidRDefault="005E45D5" w:rsidP="00B97F8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8:</w:t>
      </w:r>
      <w:r>
        <w:rPr>
          <w:rFonts w:ascii="Times New Roman" w:hAnsi="Times New Roman" w:cs="Times New Roman"/>
          <w:sz w:val="24"/>
          <w:szCs w:val="24"/>
        </w:rPr>
        <w:t xml:space="preserve"> </w:t>
      </w:r>
      <w:r w:rsidR="00214745">
        <w:rPr>
          <w:rFonts w:ascii="Times New Roman" w:hAnsi="Times New Roman" w:cs="Times New Roman"/>
          <w:sz w:val="24"/>
          <w:szCs w:val="24"/>
        </w:rPr>
        <w:t>Atık sudaki belirli pestisitlerin emisyonunu önlemek için, sadece bu materyallerle işlem görmemiş post veya deriler işlemden geçirilir.</w:t>
      </w:r>
    </w:p>
    <w:p w14:paraId="347609AC" w14:textId="77777777" w:rsidR="00214745" w:rsidRDefault="00214745"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Teknik, </w:t>
      </w:r>
      <w:r w:rsidR="0041718A">
        <w:rPr>
          <w:rFonts w:ascii="Times New Roman" w:hAnsi="Times New Roman" w:cs="Times New Roman"/>
          <w:sz w:val="24"/>
          <w:szCs w:val="24"/>
        </w:rPr>
        <w:t xml:space="preserve">aşağıda belirtilen </w:t>
      </w:r>
      <w:r>
        <w:rPr>
          <w:rFonts w:ascii="Times New Roman" w:hAnsi="Times New Roman" w:cs="Times New Roman"/>
          <w:sz w:val="24"/>
          <w:szCs w:val="24"/>
        </w:rPr>
        <w:t>pestisit</w:t>
      </w:r>
      <w:r w:rsidR="0041718A">
        <w:rPr>
          <w:rFonts w:ascii="Times New Roman" w:hAnsi="Times New Roman" w:cs="Times New Roman"/>
          <w:sz w:val="24"/>
          <w:szCs w:val="24"/>
        </w:rPr>
        <w:t>leri</w:t>
      </w:r>
      <w:r>
        <w:rPr>
          <w:rFonts w:ascii="Times New Roman" w:hAnsi="Times New Roman" w:cs="Times New Roman"/>
          <w:sz w:val="24"/>
          <w:szCs w:val="24"/>
        </w:rPr>
        <w:t xml:space="preserve"> içermeyen materyallerin tedarik sözleşmelerindeki maddelere dayanır</w:t>
      </w:r>
      <w:r w:rsidR="0041718A">
        <w:rPr>
          <w:rFonts w:ascii="Times New Roman" w:hAnsi="Times New Roman" w:cs="Times New Roman"/>
          <w:sz w:val="24"/>
          <w:szCs w:val="24"/>
        </w:rPr>
        <w:t>:</w:t>
      </w:r>
    </w:p>
    <w:p w14:paraId="2F5DD2BE" w14:textId="77777777" w:rsidR="0041718A" w:rsidRDefault="0041718A"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Kalıcı Organik Kirleticiler Hakkında Yönetmelik’te (R.G. 14.11.2018, Sayı: 30595)O listelenen,</w:t>
      </w:r>
    </w:p>
    <w:p w14:paraId="3D6A92E6" w14:textId="77777777" w:rsidR="0041718A" w:rsidRPr="005E45D5" w:rsidRDefault="0041718A"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Maddelerin ve Karışımların Sınıflandırılması, Etiketlenmesi ve Ambalajlanması Hakkında Yönetmelik’e (R.G. 11.12.2013, Sayı: 28848 Mükerrer) göre kanserojen, mutajen veya reprotoksik olarak sınıflandırılan.</w:t>
      </w:r>
    </w:p>
    <w:p w14:paraId="3C924D28" w14:textId="77777777" w:rsidR="00CA5B94" w:rsidRDefault="00EC2A8E"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Örnekler; DDT, siklodiyen pestisitler (aldrin, dieldrin, endrin, izodrin) ve </w:t>
      </w:r>
      <w:r w:rsidR="0098405F">
        <w:rPr>
          <w:rFonts w:ascii="Times New Roman" w:hAnsi="Times New Roman" w:cs="Times New Roman"/>
          <w:sz w:val="24"/>
          <w:szCs w:val="24"/>
        </w:rPr>
        <w:t>lindan bulunduran HCH’yi içerir.</w:t>
      </w:r>
    </w:p>
    <w:p w14:paraId="53A6DBEF" w14:textId="77777777" w:rsidR="00367469" w:rsidRDefault="00367469"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435048F3" w14:textId="77777777" w:rsidR="0098405F" w:rsidRDefault="00577B13" w:rsidP="00B97F8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İthal edilen deri ve post tedarikçilerine verilen spesifikasyonlara yönelik kontrol kısıtlamaları dahilinde tabakhaneler için genel olarak uygulanabilir.</w:t>
      </w:r>
    </w:p>
    <w:p w14:paraId="7A0B660B" w14:textId="77777777" w:rsidR="00577B13" w:rsidRDefault="00577B13" w:rsidP="00B97F8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9:</w:t>
      </w:r>
      <w:r>
        <w:rPr>
          <w:rFonts w:ascii="Times New Roman" w:hAnsi="Times New Roman" w:cs="Times New Roman"/>
          <w:sz w:val="24"/>
          <w:szCs w:val="24"/>
        </w:rPr>
        <w:t xml:space="preserve"> Atık sudaki biyosit emisyonlarını en aza indirmek için, sadece Biyosidal Ürünler Yönetmeliği’nde (R.G. 31.12.2009, Sayı: 27449 (4. Mükerrer)) verilen düzenlemelere göre onaylanmış biyosidal ürün içerikli post veya deriler işlenir.</w:t>
      </w:r>
    </w:p>
    <w:p w14:paraId="2256B70C" w14:textId="77777777" w:rsidR="00B90FAC" w:rsidRPr="009C5B1E" w:rsidRDefault="00B90FAC" w:rsidP="00B90FAC">
      <w:pPr>
        <w:pStyle w:val="Balk2"/>
        <w:spacing w:before="0" w:after="120" w:line="276" w:lineRule="auto"/>
        <w:jc w:val="both"/>
        <w:rPr>
          <w:rFonts w:cs="Times New Roman"/>
          <w:b/>
          <w:bCs/>
          <w:szCs w:val="24"/>
        </w:rPr>
      </w:pPr>
      <w:r>
        <w:rPr>
          <w:rFonts w:cs="Times New Roman"/>
          <w:b/>
          <w:bCs/>
          <w:szCs w:val="24"/>
        </w:rPr>
        <w:t xml:space="preserve">(5) Suya </w:t>
      </w:r>
      <w:r w:rsidR="00BC159F">
        <w:rPr>
          <w:rFonts w:cs="Times New Roman"/>
          <w:b/>
          <w:bCs/>
          <w:szCs w:val="24"/>
        </w:rPr>
        <w:t xml:space="preserve">Verilen </w:t>
      </w:r>
      <w:r>
        <w:rPr>
          <w:rFonts w:cs="Times New Roman"/>
          <w:b/>
          <w:bCs/>
          <w:szCs w:val="24"/>
        </w:rPr>
        <w:t xml:space="preserve">Emisyonların </w:t>
      </w:r>
      <w:r w:rsidR="00BC159F">
        <w:rPr>
          <w:rFonts w:cs="Times New Roman"/>
          <w:b/>
          <w:bCs/>
          <w:szCs w:val="24"/>
        </w:rPr>
        <w:t xml:space="preserve"> A</w:t>
      </w:r>
      <w:r w:rsidR="00BC159F" w:rsidRPr="00BC159F">
        <w:rPr>
          <w:rFonts w:cs="Times New Roman"/>
          <w:b/>
          <w:bCs/>
          <w:szCs w:val="24"/>
        </w:rPr>
        <w:t>zaltım</w:t>
      </w:r>
      <w:r w:rsidR="00BC159F">
        <w:rPr>
          <w:rFonts w:cs="Times New Roman"/>
          <w:b/>
          <w:bCs/>
          <w:szCs w:val="24"/>
        </w:rPr>
        <w:t>ı</w:t>
      </w:r>
    </w:p>
    <w:p w14:paraId="73B9155B" w14:textId="77777777" w:rsidR="00577B13" w:rsidRDefault="00B90FAC" w:rsidP="00B97F8E">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10:</w:t>
      </w:r>
      <w:r>
        <w:rPr>
          <w:rFonts w:ascii="Times New Roman" w:hAnsi="Times New Roman" w:cs="Times New Roman"/>
          <w:sz w:val="24"/>
          <w:szCs w:val="24"/>
        </w:rPr>
        <w:t xml:space="preserve"> </w:t>
      </w:r>
      <w:r w:rsidR="009103A8">
        <w:rPr>
          <w:rFonts w:ascii="Times New Roman" w:hAnsi="Times New Roman" w:cs="Times New Roman"/>
          <w:sz w:val="24"/>
          <w:szCs w:val="24"/>
        </w:rPr>
        <w:t>Alıcı su ortamlarına olan emisyonları azaltmak için, aşağıdaki tekniklerin uygun bir saha içi ve/veya saha dışı kombinasyonunu içeren atık su arıtımı uygulanır:</w:t>
      </w:r>
    </w:p>
    <w:p w14:paraId="1E7547A3" w14:textId="77777777" w:rsidR="009103A8" w:rsidRDefault="000E2BBC" w:rsidP="00313D18">
      <w:pPr>
        <w:pStyle w:val="ListeParagraf"/>
        <w:numPr>
          <w:ilvl w:val="0"/>
          <w:numId w:val="4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Mekanik arıtma;</w:t>
      </w:r>
    </w:p>
    <w:p w14:paraId="1449EA32" w14:textId="77777777" w:rsidR="009103A8" w:rsidRDefault="000E2BBC" w:rsidP="00313D18">
      <w:pPr>
        <w:pStyle w:val="ListeParagraf"/>
        <w:numPr>
          <w:ilvl w:val="0"/>
          <w:numId w:val="4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Fiziko-kimyasal arıtma;</w:t>
      </w:r>
    </w:p>
    <w:p w14:paraId="72AA398E" w14:textId="77777777" w:rsidR="009103A8" w:rsidRDefault="000E2BBC" w:rsidP="00313D18">
      <w:pPr>
        <w:pStyle w:val="ListeParagraf"/>
        <w:numPr>
          <w:ilvl w:val="0"/>
          <w:numId w:val="4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Biyolojik arıtma;</w:t>
      </w:r>
    </w:p>
    <w:p w14:paraId="076F0209" w14:textId="77777777" w:rsidR="009103A8" w:rsidRDefault="000E2BBC" w:rsidP="00313D18">
      <w:pPr>
        <w:pStyle w:val="ListeParagraf"/>
        <w:numPr>
          <w:ilvl w:val="0"/>
          <w:numId w:val="4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Biyolojik azot </w:t>
      </w:r>
      <w:r w:rsidR="009103A8">
        <w:rPr>
          <w:rFonts w:ascii="Times New Roman" w:hAnsi="Times New Roman" w:cs="Times New Roman"/>
          <w:sz w:val="24"/>
          <w:szCs w:val="24"/>
        </w:rPr>
        <w:t>giderimi.</w:t>
      </w:r>
    </w:p>
    <w:p w14:paraId="48ADDA14" w14:textId="77777777" w:rsidR="009103A8" w:rsidRDefault="00F65FFD"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Aşağıda açıklanan tekniklerin uygun bir kombinasyonunun uygulanması. Tekniklerin kombinasyonu, saha içinde ve/veya saha dışında, iki veya üç aşamada uygulanabilir.</w:t>
      </w:r>
    </w:p>
    <w:tbl>
      <w:tblPr>
        <w:tblStyle w:val="TabloKlavuzu"/>
        <w:tblW w:w="0" w:type="auto"/>
        <w:jc w:val="center"/>
        <w:tblLook w:val="04A0" w:firstRow="1" w:lastRow="0" w:firstColumn="1" w:lastColumn="0" w:noHBand="0" w:noVBand="1"/>
      </w:tblPr>
      <w:tblGrid>
        <w:gridCol w:w="421"/>
        <w:gridCol w:w="2976"/>
        <w:gridCol w:w="2977"/>
        <w:gridCol w:w="2688"/>
      </w:tblGrid>
      <w:tr w:rsidR="00F65FFD" w:rsidRPr="00393115" w14:paraId="2EA376D5" w14:textId="77777777" w:rsidTr="0024730D">
        <w:trPr>
          <w:tblHeader/>
          <w:jc w:val="center"/>
        </w:trPr>
        <w:tc>
          <w:tcPr>
            <w:tcW w:w="3397" w:type="dxa"/>
            <w:gridSpan w:val="2"/>
            <w:vAlign w:val="center"/>
          </w:tcPr>
          <w:p w14:paraId="5093FDB1" w14:textId="77777777" w:rsidR="00F65FFD" w:rsidRPr="00393115" w:rsidRDefault="00F65FFD" w:rsidP="0024730D">
            <w:pPr>
              <w:jc w:val="center"/>
              <w:rPr>
                <w:rFonts w:ascii="Times New Roman" w:hAnsi="Times New Roman" w:cs="Times New Roman"/>
                <w:b/>
                <w:bCs/>
              </w:rPr>
            </w:pPr>
            <w:r>
              <w:rPr>
                <w:rFonts w:ascii="Times New Roman" w:hAnsi="Times New Roman" w:cs="Times New Roman"/>
                <w:b/>
                <w:bCs/>
              </w:rPr>
              <w:t>Teknik</w:t>
            </w:r>
          </w:p>
        </w:tc>
        <w:tc>
          <w:tcPr>
            <w:tcW w:w="2977" w:type="dxa"/>
            <w:vAlign w:val="center"/>
          </w:tcPr>
          <w:p w14:paraId="587853A1" w14:textId="77777777" w:rsidR="00F65FFD" w:rsidRPr="00393115" w:rsidRDefault="00F65FFD" w:rsidP="0024730D">
            <w:pPr>
              <w:jc w:val="center"/>
              <w:rPr>
                <w:rFonts w:ascii="Times New Roman" w:hAnsi="Times New Roman" w:cs="Times New Roman"/>
                <w:b/>
                <w:bCs/>
              </w:rPr>
            </w:pPr>
            <w:r>
              <w:rPr>
                <w:rFonts w:ascii="Times New Roman" w:hAnsi="Times New Roman" w:cs="Times New Roman"/>
                <w:b/>
                <w:bCs/>
              </w:rPr>
              <w:t>Açıklama</w:t>
            </w:r>
          </w:p>
        </w:tc>
        <w:tc>
          <w:tcPr>
            <w:tcW w:w="2688" w:type="dxa"/>
            <w:vAlign w:val="center"/>
          </w:tcPr>
          <w:p w14:paraId="1B2D29A6" w14:textId="77777777" w:rsidR="00F65FFD" w:rsidRPr="00393115" w:rsidRDefault="00F65FFD" w:rsidP="0024730D">
            <w:pPr>
              <w:jc w:val="center"/>
              <w:rPr>
                <w:rFonts w:ascii="Times New Roman" w:hAnsi="Times New Roman" w:cs="Times New Roman"/>
                <w:b/>
                <w:bCs/>
              </w:rPr>
            </w:pPr>
            <w:r>
              <w:rPr>
                <w:rFonts w:ascii="Times New Roman" w:hAnsi="Times New Roman" w:cs="Times New Roman"/>
                <w:b/>
                <w:bCs/>
              </w:rPr>
              <w:t>Uygulanabilirlik</w:t>
            </w:r>
          </w:p>
        </w:tc>
      </w:tr>
      <w:tr w:rsidR="00F65FFD" w:rsidRPr="00393115" w14:paraId="1CF89A56" w14:textId="77777777" w:rsidTr="0024730D">
        <w:trPr>
          <w:jc w:val="center"/>
        </w:trPr>
        <w:tc>
          <w:tcPr>
            <w:tcW w:w="421" w:type="dxa"/>
            <w:vAlign w:val="center"/>
          </w:tcPr>
          <w:p w14:paraId="5012A5B1" w14:textId="77777777" w:rsidR="00F65FFD" w:rsidRPr="00393115" w:rsidRDefault="00F65FFD" w:rsidP="0024730D">
            <w:pPr>
              <w:jc w:val="center"/>
              <w:rPr>
                <w:rFonts w:ascii="Times New Roman" w:hAnsi="Times New Roman" w:cs="Times New Roman"/>
              </w:rPr>
            </w:pPr>
            <w:r>
              <w:rPr>
                <w:rFonts w:ascii="Times New Roman" w:hAnsi="Times New Roman" w:cs="Times New Roman"/>
              </w:rPr>
              <w:t>a</w:t>
            </w:r>
          </w:p>
        </w:tc>
        <w:tc>
          <w:tcPr>
            <w:tcW w:w="2976" w:type="dxa"/>
            <w:vAlign w:val="center"/>
          </w:tcPr>
          <w:p w14:paraId="766B48BF" w14:textId="77777777" w:rsidR="00F65FFD" w:rsidRPr="00393115" w:rsidRDefault="00F65FFD" w:rsidP="0024730D">
            <w:pPr>
              <w:jc w:val="both"/>
              <w:rPr>
                <w:rFonts w:ascii="Times New Roman" w:hAnsi="Times New Roman" w:cs="Times New Roman"/>
              </w:rPr>
            </w:pPr>
            <w:r>
              <w:rPr>
                <w:rFonts w:ascii="Times New Roman" w:hAnsi="Times New Roman" w:cs="Times New Roman"/>
              </w:rPr>
              <w:t>Mekanik Arıtma</w:t>
            </w:r>
          </w:p>
        </w:tc>
        <w:tc>
          <w:tcPr>
            <w:tcW w:w="2977" w:type="dxa"/>
            <w:vAlign w:val="center"/>
          </w:tcPr>
          <w:p w14:paraId="0CD2B23D" w14:textId="77777777" w:rsidR="00F65FFD" w:rsidRPr="00393115" w:rsidRDefault="000C096F" w:rsidP="0024730D">
            <w:pPr>
              <w:jc w:val="both"/>
              <w:rPr>
                <w:rFonts w:ascii="Times New Roman" w:hAnsi="Times New Roman" w:cs="Times New Roman"/>
              </w:rPr>
            </w:pPr>
            <w:r>
              <w:rPr>
                <w:rFonts w:ascii="Times New Roman" w:hAnsi="Times New Roman" w:cs="Times New Roman"/>
              </w:rPr>
              <w:t xml:space="preserve">Büyük katıların </w:t>
            </w:r>
            <w:r w:rsidR="00E44312">
              <w:rPr>
                <w:rFonts w:ascii="Times New Roman" w:hAnsi="Times New Roman" w:cs="Times New Roman"/>
              </w:rPr>
              <w:t>giderilmesi</w:t>
            </w:r>
            <w:r>
              <w:rPr>
                <w:rFonts w:ascii="Times New Roman" w:hAnsi="Times New Roman" w:cs="Times New Roman"/>
              </w:rPr>
              <w:t>; yağ ve greslerin sıyrılması; katıların sedimantasyon yoluyla ayrılması.</w:t>
            </w:r>
          </w:p>
        </w:tc>
        <w:tc>
          <w:tcPr>
            <w:tcW w:w="2688" w:type="dxa"/>
            <w:vAlign w:val="center"/>
          </w:tcPr>
          <w:p w14:paraId="0A0C828A" w14:textId="77777777" w:rsidR="00F65FFD" w:rsidRPr="00393115" w:rsidRDefault="00F65FFD" w:rsidP="0024730D">
            <w:pPr>
              <w:jc w:val="both"/>
              <w:rPr>
                <w:rFonts w:ascii="Times New Roman" w:hAnsi="Times New Roman" w:cs="Times New Roman"/>
              </w:rPr>
            </w:pPr>
            <w:r>
              <w:rPr>
                <w:rFonts w:ascii="Times New Roman" w:hAnsi="Times New Roman" w:cs="Times New Roman"/>
              </w:rPr>
              <w:t>Saha içi ve/veya saha dışı arıtım için genellikle uygulanabilir.</w:t>
            </w:r>
          </w:p>
        </w:tc>
      </w:tr>
      <w:tr w:rsidR="00F65FFD" w:rsidRPr="00393115" w14:paraId="530B02F6" w14:textId="77777777" w:rsidTr="0024730D">
        <w:trPr>
          <w:jc w:val="center"/>
        </w:trPr>
        <w:tc>
          <w:tcPr>
            <w:tcW w:w="421" w:type="dxa"/>
            <w:vAlign w:val="center"/>
          </w:tcPr>
          <w:p w14:paraId="0845A38C" w14:textId="77777777" w:rsidR="00F65FFD" w:rsidRPr="00393115" w:rsidRDefault="00F65FFD" w:rsidP="00F65FFD">
            <w:pPr>
              <w:jc w:val="center"/>
              <w:rPr>
                <w:rFonts w:ascii="Times New Roman" w:hAnsi="Times New Roman" w:cs="Times New Roman"/>
              </w:rPr>
            </w:pPr>
            <w:r>
              <w:rPr>
                <w:rFonts w:ascii="Times New Roman" w:hAnsi="Times New Roman" w:cs="Times New Roman"/>
              </w:rPr>
              <w:t>b</w:t>
            </w:r>
          </w:p>
        </w:tc>
        <w:tc>
          <w:tcPr>
            <w:tcW w:w="2976" w:type="dxa"/>
            <w:vAlign w:val="center"/>
          </w:tcPr>
          <w:p w14:paraId="729FDE37" w14:textId="77777777" w:rsidR="00F65FFD" w:rsidRPr="00393115" w:rsidRDefault="00F65FFD" w:rsidP="00F65FFD">
            <w:pPr>
              <w:jc w:val="both"/>
              <w:rPr>
                <w:rFonts w:ascii="Times New Roman" w:hAnsi="Times New Roman" w:cs="Times New Roman"/>
              </w:rPr>
            </w:pPr>
            <w:r>
              <w:rPr>
                <w:rFonts w:ascii="Times New Roman" w:hAnsi="Times New Roman" w:cs="Times New Roman"/>
              </w:rPr>
              <w:t>Fiziko-Kimyasal Arıtma</w:t>
            </w:r>
          </w:p>
        </w:tc>
        <w:tc>
          <w:tcPr>
            <w:tcW w:w="2977" w:type="dxa"/>
            <w:vAlign w:val="center"/>
          </w:tcPr>
          <w:p w14:paraId="7A1CD232" w14:textId="77777777" w:rsidR="00F65FFD" w:rsidRPr="00393115" w:rsidRDefault="000C096F" w:rsidP="00F65FFD">
            <w:pPr>
              <w:jc w:val="both"/>
              <w:rPr>
                <w:rFonts w:ascii="Times New Roman" w:hAnsi="Times New Roman" w:cs="Times New Roman"/>
              </w:rPr>
            </w:pPr>
            <w:r>
              <w:rPr>
                <w:rFonts w:ascii="Times New Roman" w:hAnsi="Times New Roman" w:cs="Times New Roman"/>
              </w:rPr>
              <w:t xml:space="preserve">Sülfit oksidasyonu ve/veya çökelmesi; örn. koagülasyon ve flokülasyon yoluyla  </w:t>
            </w:r>
            <w:r w:rsidR="009D570E">
              <w:rPr>
                <w:rFonts w:ascii="Times New Roman" w:hAnsi="Times New Roman" w:cs="Times New Roman"/>
              </w:rPr>
              <w:t>KOİ</w:t>
            </w:r>
            <w:r>
              <w:rPr>
                <w:rFonts w:ascii="Times New Roman" w:hAnsi="Times New Roman" w:cs="Times New Roman"/>
              </w:rPr>
              <w:t xml:space="preserve"> ve askıda katı maddelerin uzaklaştırılması. Alkali (örn. kalsiyum hidroksit, magnezyum hidroksit, sodyum karbonat, sodyum hidroksit, </w:t>
            </w:r>
            <w:r>
              <w:rPr>
                <w:rFonts w:ascii="Times New Roman" w:hAnsi="Times New Roman" w:cs="Times New Roman"/>
              </w:rPr>
              <w:lastRenderedPageBreak/>
              <w:t>sodyum alüminat) kullanılarak pH’nin 8 ve üzerine artırılmasıyla krom çökelmesi.</w:t>
            </w:r>
          </w:p>
        </w:tc>
        <w:tc>
          <w:tcPr>
            <w:tcW w:w="2688" w:type="dxa"/>
            <w:vAlign w:val="center"/>
          </w:tcPr>
          <w:p w14:paraId="3EB8CFDC" w14:textId="77777777" w:rsidR="00F65FFD" w:rsidRPr="00393115" w:rsidRDefault="00F65FFD" w:rsidP="00F65FFD">
            <w:pPr>
              <w:jc w:val="both"/>
              <w:rPr>
                <w:rFonts w:ascii="Times New Roman" w:hAnsi="Times New Roman" w:cs="Times New Roman"/>
              </w:rPr>
            </w:pPr>
            <w:r>
              <w:rPr>
                <w:rFonts w:ascii="Times New Roman" w:hAnsi="Times New Roman" w:cs="Times New Roman"/>
              </w:rPr>
              <w:lastRenderedPageBreak/>
              <w:t>Saha içi ve/veya saha dışı arıtım için genellikle uygulanabilir.</w:t>
            </w:r>
          </w:p>
        </w:tc>
      </w:tr>
      <w:tr w:rsidR="00F65FFD" w:rsidRPr="00393115" w14:paraId="4C024BC7" w14:textId="77777777" w:rsidTr="0024730D">
        <w:trPr>
          <w:jc w:val="center"/>
        </w:trPr>
        <w:tc>
          <w:tcPr>
            <w:tcW w:w="421" w:type="dxa"/>
            <w:vAlign w:val="center"/>
          </w:tcPr>
          <w:p w14:paraId="687D819D" w14:textId="77777777" w:rsidR="00F65FFD" w:rsidRDefault="00F65FFD" w:rsidP="00F65FFD">
            <w:pPr>
              <w:jc w:val="center"/>
              <w:rPr>
                <w:rFonts w:ascii="Times New Roman" w:hAnsi="Times New Roman" w:cs="Times New Roman"/>
              </w:rPr>
            </w:pPr>
            <w:r>
              <w:rPr>
                <w:rFonts w:ascii="Times New Roman" w:hAnsi="Times New Roman" w:cs="Times New Roman"/>
              </w:rPr>
              <w:t>c</w:t>
            </w:r>
          </w:p>
        </w:tc>
        <w:tc>
          <w:tcPr>
            <w:tcW w:w="2976" w:type="dxa"/>
            <w:vAlign w:val="center"/>
          </w:tcPr>
          <w:p w14:paraId="31E2539B" w14:textId="77777777" w:rsidR="00F65FFD" w:rsidRDefault="00F65FFD" w:rsidP="00F65FFD">
            <w:pPr>
              <w:jc w:val="both"/>
              <w:rPr>
                <w:rFonts w:ascii="Times New Roman" w:hAnsi="Times New Roman" w:cs="Times New Roman"/>
              </w:rPr>
            </w:pPr>
            <w:r>
              <w:rPr>
                <w:rFonts w:ascii="Times New Roman" w:hAnsi="Times New Roman" w:cs="Times New Roman"/>
              </w:rPr>
              <w:t>Biyolojik Arıtma</w:t>
            </w:r>
          </w:p>
        </w:tc>
        <w:tc>
          <w:tcPr>
            <w:tcW w:w="2977" w:type="dxa"/>
            <w:vAlign w:val="center"/>
          </w:tcPr>
          <w:p w14:paraId="52AE268B" w14:textId="77777777" w:rsidR="00F65FFD" w:rsidRDefault="008D58CD" w:rsidP="00F65FFD">
            <w:pPr>
              <w:jc w:val="both"/>
              <w:rPr>
                <w:rFonts w:ascii="Times New Roman" w:hAnsi="Times New Roman" w:cs="Times New Roman"/>
              </w:rPr>
            </w:pPr>
            <w:r>
              <w:rPr>
                <w:rFonts w:ascii="Times New Roman" w:hAnsi="Times New Roman" w:cs="Times New Roman"/>
              </w:rPr>
              <w:t xml:space="preserve">Örn. </w:t>
            </w:r>
            <w:r w:rsidR="00E44312">
              <w:rPr>
                <w:rFonts w:ascii="Times New Roman" w:hAnsi="Times New Roman" w:cs="Times New Roman"/>
              </w:rPr>
              <w:t>S</w:t>
            </w:r>
            <w:r>
              <w:rPr>
                <w:rFonts w:ascii="Times New Roman" w:hAnsi="Times New Roman" w:cs="Times New Roman"/>
              </w:rPr>
              <w:t>edimantasyon</w:t>
            </w:r>
            <w:r w:rsidR="00E44312">
              <w:rPr>
                <w:rFonts w:ascii="Times New Roman" w:hAnsi="Times New Roman" w:cs="Times New Roman"/>
              </w:rPr>
              <w:t xml:space="preserve"> son çöktürme</w:t>
            </w:r>
            <w:r>
              <w:rPr>
                <w:rFonts w:ascii="Times New Roman" w:hAnsi="Times New Roman" w:cs="Times New Roman"/>
              </w:rPr>
              <w:t xml:space="preserve"> ile askıda katı maddelerin uzaklaştırılması da dahil olmak üzere, havalandırma </w:t>
            </w:r>
            <w:r w:rsidR="00E44312">
              <w:rPr>
                <w:rFonts w:ascii="Times New Roman" w:hAnsi="Times New Roman" w:cs="Times New Roman"/>
              </w:rPr>
              <w:t xml:space="preserve">işlemi </w:t>
            </w:r>
            <w:r>
              <w:rPr>
                <w:rFonts w:ascii="Times New Roman" w:hAnsi="Times New Roman" w:cs="Times New Roman"/>
              </w:rPr>
              <w:t>kullanılarak aerobik biyolojik atık su arıtımı.</w:t>
            </w:r>
          </w:p>
        </w:tc>
        <w:tc>
          <w:tcPr>
            <w:tcW w:w="2688" w:type="dxa"/>
            <w:vAlign w:val="center"/>
          </w:tcPr>
          <w:p w14:paraId="7E09760A" w14:textId="77777777" w:rsidR="00F65FFD" w:rsidRDefault="00F65FFD" w:rsidP="00F65FFD">
            <w:pPr>
              <w:jc w:val="both"/>
              <w:rPr>
                <w:rFonts w:ascii="Times New Roman" w:hAnsi="Times New Roman" w:cs="Times New Roman"/>
              </w:rPr>
            </w:pPr>
            <w:r>
              <w:rPr>
                <w:rFonts w:ascii="Times New Roman" w:hAnsi="Times New Roman" w:cs="Times New Roman"/>
              </w:rPr>
              <w:t>Saha içi ve/veya saha dışı arıtım için genellikle uygulanabilir.</w:t>
            </w:r>
          </w:p>
        </w:tc>
      </w:tr>
      <w:tr w:rsidR="00F65FFD" w:rsidRPr="00393115" w14:paraId="4E7E9FF3" w14:textId="77777777" w:rsidTr="0024730D">
        <w:trPr>
          <w:jc w:val="center"/>
        </w:trPr>
        <w:tc>
          <w:tcPr>
            <w:tcW w:w="421" w:type="dxa"/>
            <w:vAlign w:val="center"/>
          </w:tcPr>
          <w:p w14:paraId="0F21EBBC" w14:textId="77777777" w:rsidR="00F65FFD" w:rsidRDefault="00F65FFD" w:rsidP="00F65FFD">
            <w:pPr>
              <w:jc w:val="center"/>
              <w:rPr>
                <w:rFonts w:ascii="Times New Roman" w:hAnsi="Times New Roman" w:cs="Times New Roman"/>
              </w:rPr>
            </w:pPr>
            <w:r>
              <w:rPr>
                <w:rFonts w:ascii="Times New Roman" w:hAnsi="Times New Roman" w:cs="Times New Roman"/>
              </w:rPr>
              <w:t>d</w:t>
            </w:r>
          </w:p>
        </w:tc>
        <w:tc>
          <w:tcPr>
            <w:tcW w:w="2976" w:type="dxa"/>
            <w:vAlign w:val="center"/>
          </w:tcPr>
          <w:p w14:paraId="235D47FE" w14:textId="77777777" w:rsidR="00F65FFD" w:rsidRDefault="00F65FFD" w:rsidP="00F65FFD">
            <w:pPr>
              <w:jc w:val="both"/>
              <w:rPr>
                <w:rFonts w:ascii="Times New Roman" w:hAnsi="Times New Roman" w:cs="Times New Roman"/>
              </w:rPr>
            </w:pPr>
            <w:r>
              <w:rPr>
                <w:rFonts w:ascii="Times New Roman" w:hAnsi="Times New Roman" w:cs="Times New Roman"/>
              </w:rPr>
              <w:t>Biyolojik Azot Giderimi</w:t>
            </w:r>
          </w:p>
        </w:tc>
        <w:tc>
          <w:tcPr>
            <w:tcW w:w="2977" w:type="dxa"/>
            <w:vAlign w:val="center"/>
          </w:tcPr>
          <w:p w14:paraId="4C9F93B2" w14:textId="77777777" w:rsidR="00F65FFD" w:rsidRDefault="00E44312" w:rsidP="00F65FFD">
            <w:pPr>
              <w:jc w:val="both"/>
              <w:rPr>
                <w:rFonts w:ascii="Times New Roman" w:hAnsi="Times New Roman" w:cs="Times New Roman"/>
              </w:rPr>
            </w:pPr>
            <w:r w:rsidRPr="00E44312">
              <w:rPr>
                <w:rFonts w:ascii="Times New Roman" w:hAnsi="Times New Roman" w:cs="Times New Roman"/>
              </w:rPr>
              <w:t>Amonyaklı azot bileşiklerinin nitratlara nitrifikasyonu. Sonrasında nitratların gaz halindeki azota indirgenmesi işlemidir</w:t>
            </w:r>
            <w:r>
              <w:rPr>
                <w:rFonts w:ascii="Times New Roman" w:hAnsi="Times New Roman" w:cs="Times New Roman"/>
              </w:rPr>
              <w:t>.</w:t>
            </w:r>
          </w:p>
        </w:tc>
        <w:tc>
          <w:tcPr>
            <w:tcW w:w="2688" w:type="dxa"/>
            <w:vAlign w:val="center"/>
          </w:tcPr>
          <w:p w14:paraId="20F1E4E3" w14:textId="77777777" w:rsidR="00F65FFD" w:rsidRDefault="00F65FFD" w:rsidP="00F65FFD">
            <w:pPr>
              <w:jc w:val="both"/>
              <w:rPr>
                <w:rFonts w:ascii="Times New Roman" w:hAnsi="Times New Roman" w:cs="Times New Roman"/>
              </w:rPr>
            </w:pPr>
            <w:r>
              <w:rPr>
                <w:rFonts w:ascii="Times New Roman" w:hAnsi="Times New Roman" w:cs="Times New Roman"/>
              </w:rPr>
              <w:t>Alıcı su ortamına doğrudan deşarjı olan tesislere uygulanabilir.</w:t>
            </w:r>
          </w:p>
          <w:p w14:paraId="7AE6AE68" w14:textId="77777777" w:rsidR="00F65FFD" w:rsidRDefault="00F65FFD" w:rsidP="00F65FFD">
            <w:pPr>
              <w:jc w:val="both"/>
              <w:rPr>
                <w:rFonts w:ascii="Times New Roman" w:hAnsi="Times New Roman" w:cs="Times New Roman"/>
              </w:rPr>
            </w:pPr>
          </w:p>
          <w:p w14:paraId="7EBDB2BB" w14:textId="77777777" w:rsidR="00F65FFD" w:rsidRDefault="00F65FFD" w:rsidP="00F65FFD">
            <w:pPr>
              <w:jc w:val="both"/>
              <w:rPr>
                <w:rFonts w:ascii="Times New Roman" w:hAnsi="Times New Roman" w:cs="Times New Roman"/>
              </w:rPr>
            </w:pPr>
            <w:r>
              <w:rPr>
                <w:rFonts w:ascii="Times New Roman" w:hAnsi="Times New Roman" w:cs="Times New Roman"/>
              </w:rPr>
              <w:t>Alan kısıtlamalarının olduğu mevcut tesislerde  uygulama</w:t>
            </w:r>
            <w:r w:rsidR="00E44312">
              <w:rPr>
                <w:rFonts w:ascii="Times New Roman" w:hAnsi="Times New Roman" w:cs="Times New Roman"/>
              </w:rPr>
              <w:t xml:space="preserve"> zordur.</w:t>
            </w:r>
          </w:p>
        </w:tc>
      </w:tr>
    </w:tbl>
    <w:p w14:paraId="6ACB1C65" w14:textId="77777777" w:rsidR="00F65FFD" w:rsidRDefault="00F65FFD" w:rsidP="009103A8">
      <w:pPr>
        <w:spacing w:after="120" w:line="276" w:lineRule="auto"/>
        <w:jc w:val="both"/>
        <w:rPr>
          <w:rFonts w:ascii="Times New Roman" w:hAnsi="Times New Roman" w:cs="Times New Roman"/>
          <w:sz w:val="24"/>
          <w:szCs w:val="24"/>
        </w:rPr>
      </w:pPr>
    </w:p>
    <w:p w14:paraId="0D0D36D8" w14:textId="77777777" w:rsidR="008D58CD" w:rsidRDefault="008D58CD" w:rsidP="009103A8">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MET ile İlişkili Emisyon Seviyeleri</w:t>
      </w:r>
    </w:p>
    <w:p w14:paraId="4EFDC287" w14:textId="77777777" w:rsidR="008D58CD" w:rsidRDefault="008D58CD"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Tablo 3’e bakınız. MET-İES’ler, şunlar için geçerlidir:</w:t>
      </w:r>
    </w:p>
    <w:p w14:paraId="781C8883" w14:textId="77777777" w:rsidR="008D58CD" w:rsidRDefault="007635AD" w:rsidP="00313D18">
      <w:pPr>
        <w:pStyle w:val="ListeParagraf"/>
        <w:numPr>
          <w:ilvl w:val="0"/>
          <w:numId w:val="45"/>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Tabakhanelerdeki saha içi atık su arıtma tesislerinden doğrudan atık su deşarjları;</w:t>
      </w:r>
    </w:p>
    <w:p w14:paraId="79ADF0C3" w14:textId="77777777" w:rsidR="007635AD" w:rsidRDefault="004D175D" w:rsidP="00313D18">
      <w:pPr>
        <w:pStyle w:val="ListeParagraf"/>
        <w:numPr>
          <w:ilvl w:val="0"/>
          <w:numId w:val="45"/>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Endüstriyel Emisyonların Yönetimi Yönetmeliği (R.G. 14.01.2025, Sayı: 32782) Ek-1’inde yer alan (6.11) maddesi kapsamındaki, çoğunlukla tabakhanelerden çıkan atık suyu arıtan ve bağımsız işletilen atık su arıtma tesislerinden doğrudan atık su deşarjları.</w:t>
      </w:r>
    </w:p>
    <w:p w14:paraId="20FA6DB1" w14:textId="77777777" w:rsidR="004D175D" w:rsidRDefault="004D175D" w:rsidP="004D175D">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3</w:t>
      </w:r>
    </w:p>
    <w:p w14:paraId="424ED4BA" w14:textId="77777777" w:rsidR="004D175D" w:rsidRPr="004D175D" w:rsidRDefault="004D175D" w:rsidP="00B72A6D">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Arıtma sonrasındaki doğrudan atık su deşarjlarına yönelik MET-İES’ler</w:t>
      </w:r>
    </w:p>
    <w:tbl>
      <w:tblPr>
        <w:tblStyle w:val="TabloKlavuzu"/>
        <w:tblW w:w="0" w:type="auto"/>
        <w:jc w:val="center"/>
        <w:tblLook w:val="04A0" w:firstRow="1" w:lastRow="0" w:firstColumn="1" w:lastColumn="0" w:noHBand="0" w:noVBand="1"/>
      </w:tblPr>
      <w:tblGrid>
        <w:gridCol w:w="3397"/>
        <w:gridCol w:w="5665"/>
      </w:tblGrid>
      <w:tr w:rsidR="00110D4C" w:rsidRPr="00461B74" w14:paraId="1A27F6C3" w14:textId="77777777" w:rsidTr="00110D4C">
        <w:trPr>
          <w:jc w:val="center"/>
        </w:trPr>
        <w:tc>
          <w:tcPr>
            <w:tcW w:w="3397" w:type="dxa"/>
            <w:vMerge w:val="restart"/>
            <w:vAlign w:val="center"/>
          </w:tcPr>
          <w:p w14:paraId="6543AA9A" w14:textId="77777777" w:rsidR="00110D4C" w:rsidRPr="00461B74" w:rsidRDefault="00110D4C" w:rsidP="0024730D">
            <w:pPr>
              <w:jc w:val="center"/>
              <w:rPr>
                <w:rFonts w:ascii="Times New Roman" w:hAnsi="Times New Roman" w:cs="Times New Roman"/>
                <w:b/>
                <w:bCs/>
              </w:rPr>
            </w:pPr>
            <w:r>
              <w:rPr>
                <w:rFonts w:ascii="Times New Roman" w:hAnsi="Times New Roman" w:cs="Times New Roman"/>
                <w:b/>
                <w:bCs/>
              </w:rPr>
              <w:t>Parametre</w:t>
            </w:r>
          </w:p>
        </w:tc>
        <w:tc>
          <w:tcPr>
            <w:tcW w:w="5665" w:type="dxa"/>
            <w:vAlign w:val="center"/>
          </w:tcPr>
          <w:p w14:paraId="6FF4B746" w14:textId="77777777" w:rsidR="00110D4C" w:rsidRPr="00461B74" w:rsidRDefault="00110D4C" w:rsidP="0024730D">
            <w:pPr>
              <w:jc w:val="center"/>
              <w:rPr>
                <w:rFonts w:ascii="Times New Roman" w:hAnsi="Times New Roman" w:cs="Times New Roman"/>
                <w:b/>
                <w:bCs/>
              </w:rPr>
            </w:pPr>
            <w:r>
              <w:rPr>
                <w:rFonts w:ascii="Times New Roman" w:hAnsi="Times New Roman" w:cs="Times New Roman"/>
                <w:b/>
                <w:bCs/>
              </w:rPr>
              <w:t>MET-İES’ler</w:t>
            </w:r>
          </w:p>
        </w:tc>
      </w:tr>
      <w:tr w:rsidR="00110D4C" w:rsidRPr="00461B74" w14:paraId="06231124" w14:textId="77777777" w:rsidTr="00110D4C">
        <w:trPr>
          <w:jc w:val="center"/>
        </w:trPr>
        <w:tc>
          <w:tcPr>
            <w:tcW w:w="3397" w:type="dxa"/>
            <w:vMerge/>
            <w:vAlign w:val="center"/>
          </w:tcPr>
          <w:p w14:paraId="0A3253E9" w14:textId="77777777" w:rsidR="00110D4C" w:rsidRPr="00461B74" w:rsidRDefault="00110D4C" w:rsidP="0024730D">
            <w:pPr>
              <w:jc w:val="center"/>
              <w:rPr>
                <w:rFonts w:ascii="Times New Roman" w:hAnsi="Times New Roman" w:cs="Times New Roman"/>
                <w:b/>
                <w:bCs/>
              </w:rPr>
            </w:pPr>
          </w:p>
        </w:tc>
        <w:tc>
          <w:tcPr>
            <w:tcW w:w="5665" w:type="dxa"/>
            <w:vAlign w:val="center"/>
          </w:tcPr>
          <w:p w14:paraId="47C9C68B" w14:textId="77777777" w:rsidR="00110D4C" w:rsidRDefault="00110D4C" w:rsidP="0024730D">
            <w:pPr>
              <w:jc w:val="center"/>
              <w:rPr>
                <w:rFonts w:ascii="Times New Roman" w:hAnsi="Times New Roman" w:cs="Times New Roman"/>
                <w:b/>
                <w:bCs/>
              </w:rPr>
            </w:pPr>
            <w:r>
              <w:rPr>
                <w:rFonts w:ascii="Times New Roman" w:hAnsi="Times New Roman" w:cs="Times New Roman"/>
                <w:b/>
                <w:bCs/>
              </w:rPr>
              <w:t>mg/L</w:t>
            </w:r>
          </w:p>
          <w:p w14:paraId="22D2A57A" w14:textId="77777777" w:rsidR="00110D4C" w:rsidRPr="00461B74" w:rsidRDefault="00110D4C" w:rsidP="0024730D">
            <w:pPr>
              <w:jc w:val="center"/>
              <w:rPr>
                <w:rFonts w:ascii="Times New Roman" w:hAnsi="Times New Roman" w:cs="Times New Roman"/>
                <w:b/>
                <w:bCs/>
              </w:rPr>
            </w:pPr>
            <w:r>
              <w:rPr>
                <w:rFonts w:ascii="Times New Roman" w:hAnsi="Times New Roman" w:cs="Times New Roman"/>
                <w:b/>
                <w:bCs/>
              </w:rPr>
              <w:t>(bir ay boyunca alınan 24 saatlik temsili kompozit örneklerin ortalamasına dayanan aylık ortalama değerler)</w:t>
            </w:r>
          </w:p>
        </w:tc>
      </w:tr>
      <w:tr w:rsidR="00110D4C" w:rsidRPr="00461B74" w14:paraId="39932DED" w14:textId="77777777" w:rsidTr="00110D4C">
        <w:trPr>
          <w:jc w:val="center"/>
        </w:trPr>
        <w:tc>
          <w:tcPr>
            <w:tcW w:w="3397" w:type="dxa"/>
            <w:vAlign w:val="center"/>
          </w:tcPr>
          <w:p w14:paraId="0A554110" w14:textId="77777777" w:rsidR="00110D4C" w:rsidRPr="00461B74" w:rsidRDefault="00B232F1" w:rsidP="0024730D">
            <w:pPr>
              <w:jc w:val="both"/>
              <w:rPr>
                <w:rFonts w:ascii="Times New Roman" w:hAnsi="Times New Roman" w:cs="Times New Roman"/>
              </w:rPr>
            </w:pPr>
            <w:r>
              <w:rPr>
                <w:rFonts w:ascii="Times New Roman" w:hAnsi="Times New Roman" w:cs="Times New Roman"/>
              </w:rPr>
              <w:t>KOİ</w:t>
            </w:r>
          </w:p>
        </w:tc>
        <w:tc>
          <w:tcPr>
            <w:tcW w:w="5665" w:type="dxa"/>
            <w:vAlign w:val="center"/>
          </w:tcPr>
          <w:p w14:paraId="03ADB205" w14:textId="77777777" w:rsidR="00110D4C" w:rsidRPr="00461B74" w:rsidRDefault="00110D4C" w:rsidP="0024730D">
            <w:pPr>
              <w:jc w:val="center"/>
              <w:rPr>
                <w:rFonts w:ascii="Times New Roman" w:hAnsi="Times New Roman" w:cs="Times New Roman"/>
              </w:rPr>
            </w:pPr>
            <w:r>
              <w:rPr>
                <w:rFonts w:ascii="Times New Roman" w:hAnsi="Times New Roman" w:cs="Times New Roman"/>
              </w:rPr>
              <w:t>200-500 (</w:t>
            </w:r>
            <w:r w:rsidRPr="00110D4C">
              <w:rPr>
                <w:rFonts w:ascii="Times New Roman" w:hAnsi="Times New Roman" w:cs="Times New Roman"/>
                <w:vertAlign w:val="superscript"/>
              </w:rPr>
              <w:t>1</w:t>
            </w:r>
            <w:r>
              <w:rPr>
                <w:rFonts w:ascii="Times New Roman" w:hAnsi="Times New Roman" w:cs="Times New Roman"/>
              </w:rPr>
              <w:t>)</w:t>
            </w:r>
          </w:p>
        </w:tc>
      </w:tr>
      <w:tr w:rsidR="00110D4C" w:rsidRPr="00461B74" w14:paraId="69EDF314" w14:textId="77777777" w:rsidTr="00110D4C">
        <w:trPr>
          <w:jc w:val="center"/>
        </w:trPr>
        <w:tc>
          <w:tcPr>
            <w:tcW w:w="3397" w:type="dxa"/>
            <w:vAlign w:val="center"/>
          </w:tcPr>
          <w:p w14:paraId="5E55BB35" w14:textId="77777777" w:rsidR="00110D4C" w:rsidRPr="00110D4C" w:rsidRDefault="004A4EAC" w:rsidP="0024730D">
            <w:pPr>
              <w:jc w:val="both"/>
              <w:rPr>
                <w:rFonts w:ascii="Times New Roman" w:hAnsi="Times New Roman" w:cs="Times New Roman"/>
              </w:rPr>
            </w:pPr>
            <w:r>
              <w:rPr>
                <w:rFonts w:ascii="Times New Roman" w:hAnsi="Times New Roman" w:cs="Times New Roman"/>
              </w:rPr>
              <w:t>BOİ</w:t>
            </w:r>
            <w:r>
              <w:rPr>
                <w:rFonts w:ascii="Times New Roman" w:hAnsi="Times New Roman" w:cs="Times New Roman"/>
                <w:vertAlign w:val="subscript"/>
              </w:rPr>
              <w:t>5</w:t>
            </w:r>
            <w:r>
              <w:rPr>
                <w:rFonts w:ascii="Times New Roman" w:hAnsi="Times New Roman" w:cs="Times New Roman"/>
              </w:rPr>
              <w:t xml:space="preserve"> </w:t>
            </w:r>
          </w:p>
        </w:tc>
        <w:tc>
          <w:tcPr>
            <w:tcW w:w="5665" w:type="dxa"/>
            <w:vAlign w:val="center"/>
          </w:tcPr>
          <w:p w14:paraId="19FBBF7E" w14:textId="77777777" w:rsidR="00110D4C" w:rsidRPr="00461B74" w:rsidRDefault="00110D4C" w:rsidP="0024730D">
            <w:pPr>
              <w:jc w:val="center"/>
              <w:rPr>
                <w:rFonts w:ascii="Times New Roman" w:hAnsi="Times New Roman" w:cs="Times New Roman"/>
              </w:rPr>
            </w:pPr>
            <w:r>
              <w:rPr>
                <w:rFonts w:ascii="Times New Roman" w:hAnsi="Times New Roman" w:cs="Times New Roman"/>
              </w:rPr>
              <w:t>15-25</w:t>
            </w:r>
          </w:p>
        </w:tc>
      </w:tr>
      <w:tr w:rsidR="00110D4C" w:rsidRPr="00461B74" w14:paraId="0AF376DD" w14:textId="77777777" w:rsidTr="00110D4C">
        <w:trPr>
          <w:jc w:val="center"/>
        </w:trPr>
        <w:tc>
          <w:tcPr>
            <w:tcW w:w="3397" w:type="dxa"/>
            <w:tcBorders>
              <w:bottom w:val="single" w:sz="4" w:space="0" w:color="auto"/>
            </w:tcBorders>
            <w:vAlign w:val="center"/>
          </w:tcPr>
          <w:p w14:paraId="689329D8" w14:textId="77777777" w:rsidR="00110D4C" w:rsidRPr="00461B74" w:rsidRDefault="00110D4C" w:rsidP="0024730D">
            <w:pPr>
              <w:jc w:val="both"/>
              <w:rPr>
                <w:rFonts w:ascii="Times New Roman" w:hAnsi="Times New Roman" w:cs="Times New Roman"/>
              </w:rPr>
            </w:pPr>
            <w:r>
              <w:rPr>
                <w:rFonts w:ascii="Times New Roman" w:hAnsi="Times New Roman" w:cs="Times New Roman"/>
              </w:rPr>
              <w:t>Askıda Katı Maddeler</w:t>
            </w:r>
          </w:p>
        </w:tc>
        <w:tc>
          <w:tcPr>
            <w:tcW w:w="5665" w:type="dxa"/>
            <w:tcBorders>
              <w:bottom w:val="single" w:sz="4" w:space="0" w:color="auto"/>
            </w:tcBorders>
            <w:vAlign w:val="center"/>
          </w:tcPr>
          <w:p w14:paraId="70B92CAA" w14:textId="77777777" w:rsidR="00110D4C" w:rsidRPr="00461B74" w:rsidRDefault="00110D4C" w:rsidP="0024730D">
            <w:pPr>
              <w:jc w:val="center"/>
              <w:rPr>
                <w:rFonts w:ascii="Times New Roman" w:hAnsi="Times New Roman" w:cs="Times New Roman"/>
              </w:rPr>
            </w:pPr>
            <w:r>
              <w:rPr>
                <w:rFonts w:ascii="Times New Roman" w:hAnsi="Times New Roman" w:cs="Times New Roman"/>
              </w:rPr>
              <w:t>&lt;35</w:t>
            </w:r>
          </w:p>
        </w:tc>
      </w:tr>
      <w:tr w:rsidR="00110D4C" w:rsidRPr="00461B74" w14:paraId="18B2E5BB" w14:textId="77777777" w:rsidTr="00110D4C">
        <w:trPr>
          <w:jc w:val="center"/>
        </w:trPr>
        <w:tc>
          <w:tcPr>
            <w:tcW w:w="3397" w:type="dxa"/>
            <w:tcBorders>
              <w:bottom w:val="single" w:sz="4" w:space="0" w:color="auto"/>
            </w:tcBorders>
            <w:vAlign w:val="center"/>
          </w:tcPr>
          <w:p w14:paraId="3923AE90" w14:textId="77777777" w:rsidR="00110D4C" w:rsidRPr="00110D4C" w:rsidRDefault="00110D4C" w:rsidP="0024730D">
            <w:pPr>
              <w:jc w:val="both"/>
              <w:rPr>
                <w:rFonts w:ascii="Times New Roman" w:hAnsi="Times New Roman" w:cs="Times New Roman"/>
              </w:rPr>
            </w:pPr>
            <w:r>
              <w:rPr>
                <w:rFonts w:ascii="Times New Roman" w:hAnsi="Times New Roman" w:cs="Times New Roman"/>
              </w:rPr>
              <w:t>Amonyaklı Azot NH</w:t>
            </w:r>
            <w:r>
              <w:rPr>
                <w:rFonts w:ascii="Times New Roman" w:hAnsi="Times New Roman" w:cs="Times New Roman"/>
                <w:vertAlign w:val="subscript"/>
              </w:rPr>
              <w:t>4</w:t>
            </w:r>
            <w:r>
              <w:rPr>
                <w:rFonts w:ascii="Times New Roman" w:hAnsi="Times New Roman" w:cs="Times New Roman"/>
              </w:rPr>
              <w:t>-N (N olarak)</w:t>
            </w:r>
          </w:p>
        </w:tc>
        <w:tc>
          <w:tcPr>
            <w:tcW w:w="5665" w:type="dxa"/>
            <w:tcBorders>
              <w:bottom w:val="single" w:sz="4" w:space="0" w:color="auto"/>
            </w:tcBorders>
            <w:vAlign w:val="center"/>
          </w:tcPr>
          <w:p w14:paraId="28EC9F95" w14:textId="77777777" w:rsidR="00110D4C" w:rsidRPr="00461B74" w:rsidRDefault="00110D4C" w:rsidP="0024730D">
            <w:pPr>
              <w:jc w:val="center"/>
              <w:rPr>
                <w:rFonts w:ascii="Times New Roman" w:hAnsi="Times New Roman" w:cs="Times New Roman"/>
              </w:rPr>
            </w:pPr>
            <w:r>
              <w:rPr>
                <w:rFonts w:ascii="Times New Roman" w:hAnsi="Times New Roman" w:cs="Times New Roman"/>
              </w:rPr>
              <w:t>&lt;10</w:t>
            </w:r>
          </w:p>
        </w:tc>
      </w:tr>
      <w:tr w:rsidR="00110D4C" w:rsidRPr="00461B74" w14:paraId="6B9EB207" w14:textId="77777777" w:rsidTr="00110D4C">
        <w:trPr>
          <w:jc w:val="center"/>
        </w:trPr>
        <w:tc>
          <w:tcPr>
            <w:tcW w:w="3397" w:type="dxa"/>
            <w:tcBorders>
              <w:bottom w:val="single" w:sz="4" w:space="0" w:color="auto"/>
            </w:tcBorders>
            <w:vAlign w:val="center"/>
          </w:tcPr>
          <w:p w14:paraId="2223FF2B" w14:textId="77777777" w:rsidR="00110D4C" w:rsidRDefault="00110D4C" w:rsidP="0024730D">
            <w:pPr>
              <w:jc w:val="both"/>
              <w:rPr>
                <w:rFonts w:ascii="Times New Roman" w:hAnsi="Times New Roman" w:cs="Times New Roman"/>
              </w:rPr>
            </w:pPr>
            <w:r>
              <w:rPr>
                <w:rFonts w:ascii="Times New Roman" w:hAnsi="Times New Roman" w:cs="Times New Roman"/>
              </w:rPr>
              <w:t>Toplam Krom (Cr olarak)</w:t>
            </w:r>
          </w:p>
        </w:tc>
        <w:tc>
          <w:tcPr>
            <w:tcW w:w="5665" w:type="dxa"/>
            <w:tcBorders>
              <w:bottom w:val="single" w:sz="4" w:space="0" w:color="auto"/>
            </w:tcBorders>
            <w:vAlign w:val="center"/>
          </w:tcPr>
          <w:p w14:paraId="5A00CBFE" w14:textId="77777777" w:rsidR="00110D4C" w:rsidRDefault="00110D4C" w:rsidP="0024730D">
            <w:pPr>
              <w:jc w:val="center"/>
              <w:rPr>
                <w:rFonts w:ascii="Times New Roman" w:hAnsi="Times New Roman" w:cs="Times New Roman"/>
              </w:rPr>
            </w:pPr>
            <w:r>
              <w:rPr>
                <w:rFonts w:ascii="Times New Roman" w:hAnsi="Times New Roman" w:cs="Times New Roman"/>
              </w:rPr>
              <w:t>&lt;0,3-1</w:t>
            </w:r>
          </w:p>
        </w:tc>
      </w:tr>
      <w:tr w:rsidR="00110D4C" w:rsidRPr="00461B74" w14:paraId="2BC8592B" w14:textId="77777777" w:rsidTr="00110D4C">
        <w:trPr>
          <w:jc w:val="center"/>
        </w:trPr>
        <w:tc>
          <w:tcPr>
            <w:tcW w:w="3397" w:type="dxa"/>
            <w:tcBorders>
              <w:bottom w:val="single" w:sz="4" w:space="0" w:color="auto"/>
            </w:tcBorders>
            <w:vAlign w:val="center"/>
          </w:tcPr>
          <w:p w14:paraId="42209FD1" w14:textId="77777777" w:rsidR="00110D4C" w:rsidRDefault="00110D4C" w:rsidP="0024730D">
            <w:pPr>
              <w:jc w:val="both"/>
              <w:rPr>
                <w:rFonts w:ascii="Times New Roman" w:hAnsi="Times New Roman" w:cs="Times New Roman"/>
              </w:rPr>
            </w:pPr>
            <w:r>
              <w:rPr>
                <w:rFonts w:ascii="Times New Roman" w:hAnsi="Times New Roman" w:cs="Times New Roman"/>
              </w:rPr>
              <w:t>Sülf</w:t>
            </w:r>
            <w:r w:rsidR="00CF6256">
              <w:rPr>
                <w:rFonts w:ascii="Times New Roman" w:hAnsi="Times New Roman" w:cs="Times New Roman"/>
              </w:rPr>
              <w:t>ür</w:t>
            </w:r>
            <w:r>
              <w:rPr>
                <w:rFonts w:ascii="Times New Roman" w:hAnsi="Times New Roman" w:cs="Times New Roman"/>
              </w:rPr>
              <w:t xml:space="preserve"> (S olarak)</w:t>
            </w:r>
          </w:p>
        </w:tc>
        <w:tc>
          <w:tcPr>
            <w:tcW w:w="5665" w:type="dxa"/>
            <w:tcBorders>
              <w:bottom w:val="single" w:sz="4" w:space="0" w:color="auto"/>
            </w:tcBorders>
            <w:vAlign w:val="center"/>
          </w:tcPr>
          <w:p w14:paraId="789FF6B4" w14:textId="77777777" w:rsidR="00110D4C" w:rsidRDefault="00110D4C" w:rsidP="0024730D">
            <w:pPr>
              <w:jc w:val="center"/>
              <w:rPr>
                <w:rFonts w:ascii="Times New Roman" w:hAnsi="Times New Roman" w:cs="Times New Roman"/>
              </w:rPr>
            </w:pPr>
            <w:r>
              <w:rPr>
                <w:rFonts w:ascii="Times New Roman" w:hAnsi="Times New Roman" w:cs="Times New Roman"/>
              </w:rPr>
              <w:t>&lt;1</w:t>
            </w:r>
          </w:p>
        </w:tc>
      </w:tr>
      <w:tr w:rsidR="00110D4C" w:rsidRPr="00461B74" w14:paraId="7CFB3AEB" w14:textId="77777777" w:rsidTr="0024730D">
        <w:trPr>
          <w:jc w:val="center"/>
        </w:trPr>
        <w:tc>
          <w:tcPr>
            <w:tcW w:w="9062" w:type="dxa"/>
            <w:gridSpan w:val="2"/>
            <w:tcBorders>
              <w:top w:val="single" w:sz="4" w:space="0" w:color="auto"/>
              <w:left w:val="nil"/>
              <w:bottom w:val="nil"/>
              <w:right w:val="nil"/>
            </w:tcBorders>
            <w:vAlign w:val="center"/>
          </w:tcPr>
          <w:p w14:paraId="4011912D" w14:textId="77777777" w:rsidR="00110D4C" w:rsidRPr="00461B74" w:rsidRDefault="00110D4C" w:rsidP="0024730D">
            <w:pPr>
              <w:jc w:val="both"/>
              <w:rPr>
                <w:rFonts w:ascii="Times New Roman" w:hAnsi="Times New Roman" w:cs="Times New Roman"/>
                <w:i/>
                <w:iCs/>
                <w:sz w:val="20"/>
                <w:szCs w:val="20"/>
              </w:rPr>
            </w:pPr>
            <w:r>
              <w:rPr>
                <w:rFonts w:ascii="Times New Roman" w:hAnsi="Times New Roman" w:cs="Times New Roman"/>
                <w:i/>
                <w:iCs/>
                <w:sz w:val="20"/>
                <w:szCs w:val="20"/>
              </w:rPr>
              <w:t>(</w:t>
            </w:r>
            <w:r w:rsidRPr="00461B74">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Üst sınır, ≥8.000 mg/L değerinde giriş konsantrasyonlu </w:t>
            </w:r>
            <w:r w:rsidR="009D570E">
              <w:rPr>
                <w:rFonts w:ascii="Times New Roman" w:hAnsi="Times New Roman" w:cs="Times New Roman"/>
                <w:i/>
                <w:iCs/>
                <w:sz w:val="20"/>
                <w:szCs w:val="20"/>
              </w:rPr>
              <w:t>KOİ</w:t>
            </w:r>
            <w:r>
              <w:rPr>
                <w:rFonts w:ascii="Times New Roman" w:hAnsi="Times New Roman" w:cs="Times New Roman"/>
                <w:i/>
                <w:iCs/>
                <w:sz w:val="20"/>
                <w:szCs w:val="20"/>
              </w:rPr>
              <w:t xml:space="preserve"> ile ilişkilidir.</w:t>
            </w:r>
          </w:p>
        </w:tc>
      </w:tr>
    </w:tbl>
    <w:p w14:paraId="4D1045D4" w14:textId="77777777" w:rsidR="00F65FFD" w:rsidRDefault="00F65FFD" w:rsidP="009103A8">
      <w:pPr>
        <w:spacing w:after="120" w:line="276" w:lineRule="auto"/>
        <w:jc w:val="both"/>
        <w:rPr>
          <w:rFonts w:ascii="Times New Roman" w:hAnsi="Times New Roman" w:cs="Times New Roman"/>
          <w:sz w:val="24"/>
          <w:szCs w:val="24"/>
        </w:rPr>
      </w:pPr>
    </w:p>
    <w:p w14:paraId="0453A49F" w14:textId="77777777" w:rsidR="00110D4C" w:rsidRDefault="00110D4C"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11:</w:t>
      </w:r>
      <w:r>
        <w:rPr>
          <w:rFonts w:ascii="Times New Roman" w:hAnsi="Times New Roman" w:cs="Times New Roman"/>
          <w:sz w:val="24"/>
          <w:szCs w:val="24"/>
        </w:rPr>
        <w:t xml:space="preserve"> Atık su deşarjlarının krom içeriğini azaltmak için, saha içinde veya saha dışında krom çöktürmesi uygulanır.</w:t>
      </w:r>
    </w:p>
    <w:p w14:paraId="17DF09A2" w14:textId="77777777" w:rsidR="00110D4C" w:rsidRDefault="00110D4C"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r w:rsidR="00C62A87">
        <w:rPr>
          <w:rFonts w:ascii="Times New Roman" w:hAnsi="Times New Roman" w:cs="Times New Roman"/>
          <w:sz w:val="24"/>
          <w:szCs w:val="24"/>
        </w:rPr>
        <w:t>MET</w:t>
      </w:r>
      <w:r>
        <w:rPr>
          <w:rFonts w:ascii="Times New Roman" w:hAnsi="Times New Roman" w:cs="Times New Roman"/>
          <w:sz w:val="24"/>
          <w:szCs w:val="24"/>
        </w:rPr>
        <w:t xml:space="preserve">10, teknik (b)’ye bakınız. Ayrılmış, konsantre </w:t>
      </w:r>
      <w:r w:rsidR="00E43FA4">
        <w:rPr>
          <w:rFonts w:ascii="Times New Roman" w:hAnsi="Times New Roman" w:cs="Times New Roman"/>
          <w:sz w:val="24"/>
          <w:szCs w:val="24"/>
        </w:rPr>
        <w:t>krom taşıyan akış durumunda, krom çöktürmesi verimliliği daha yüksektir.</w:t>
      </w:r>
    </w:p>
    <w:p w14:paraId="62814339" w14:textId="77777777" w:rsidR="00F51F71" w:rsidRDefault="00F51F71"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13FCC477" w14:textId="77777777" w:rsidR="00E43FA4" w:rsidRDefault="00E43FA4"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Kromlu tabaklama ve/veya yeniden tabaklama yapan tabakhanelerden çıkan atık suların saha içi ve/veya saha dışı arıtımı için genellikle uygulanabilir.</w:t>
      </w:r>
    </w:p>
    <w:p w14:paraId="6309CC24" w14:textId="77777777" w:rsidR="00E43FA4" w:rsidRDefault="00E43FA4" w:rsidP="009103A8">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MET ile İlişkili Emisyon Seviyeleri</w:t>
      </w:r>
    </w:p>
    <w:p w14:paraId="09E962CA" w14:textId="77777777" w:rsidR="00E43FA4" w:rsidRDefault="000F0F71"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Alıcı su ortamına doğrudan deşarjlara yönelik krom MET-İES’leri için Tablo 3’e, kentsel atık su arıtma tesislerine dolaylı deşarjlara yönelik krom MET-İES’leri içinse Tablo 4’e bakınız.</w:t>
      </w:r>
    </w:p>
    <w:p w14:paraId="597F8D76" w14:textId="77777777" w:rsidR="000F0F71" w:rsidRDefault="000F0F71"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12:</w:t>
      </w:r>
      <w:r>
        <w:rPr>
          <w:rFonts w:ascii="Times New Roman" w:hAnsi="Times New Roman" w:cs="Times New Roman"/>
          <w:sz w:val="24"/>
          <w:szCs w:val="24"/>
        </w:rPr>
        <w:t xml:space="preserve"> Tabakhanelerden çıkan atık suyun kentsel atık su arıtma tesislerine dolaylı deşarjlarından kaynaklanan toplam krom ve sülfit emisyonlarını azaltmak için, krom çöktürmesi ve </w:t>
      </w:r>
      <w:r w:rsidR="00B77EAD">
        <w:rPr>
          <w:rFonts w:ascii="Times New Roman" w:hAnsi="Times New Roman" w:cs="Times New Roman"/>
          <w:sz w:val="24"/>
          <w:szCs w:val="24"/>
        </w:rPr>
        <w:t>sülfür</w:t>
      </w:r>
      <w:r>
        <w:rPr>
          <w:rFonts w:ascii="Times New Roman" w:hAnsi="Times New Roman" w:cs="Times New Roman"/>
          <w:sz w:val="24"/>
          <w:szCs w:val="24"/>
        </w:rPr>
        <w:t xml:space="preserve"> oksidasyonu uygulanır.</w:t>
      </w:r>
    </w:p>
    <w:p w14:paraId="0D62DCE9" w14:textId="77777777" w:rsidR="000F0F71" w:rsidRDefault="000F0F71"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r w:rsidR="00C62A87">
        <w:rPr>
          <w:rFonts w:ascii="Times New Roman" w:hAnsi="Times New Roman" w:cs="Times New Roman"/>
          <w:sz w:val="24"/>
          <w:szCs w:val="24"/>
        </w:rPr>
        <w:t>MET</w:t>
      </w:r>
      <w:r>
        <w:rPr>
          <w:rFonts w:ascii="Times New Roman" w:hAnsi="Times New Roman" w:cs="Times New Roman"/>
          <w:sz w:val="24"/>
          <w:szCs w:val="24"/>
        </w:rPr>
        <w:t xml:space="preserve"> 10, teknik (b)’ye bakınız. Ayrılmış, konsantre krom/sülfit taşıyan akış durumunda, uzaklaştırma verimliliği daha yüksektir.</w:t>
      </w:r>
      <w:r w:rsidR="00364AE6">
        <w:rPr>
          <w:rFonts w:ascii="Times New Roman" w:hAnsi="Times New Roman" w:cs="Times New Roman"/>
          <w:sz w:val="24"/>
          <w:szCs w:val="24"/>
        </w:rPr>
        <w:t xml:space="preserve"> Sülfit oksidasyonu, katalitik oksidasyondan (manganez tuzları varlığında havalandırma) oluşur.</w:t>
      </w:r>
    </w:p>
    <w:p w14:paraId="24C17F7C" w14:textId="77777777" w:rsidR="00ED6B3D" w:rsidRDefault="00ED6B3D"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2E446B4D" w14:textId="77777777" w:rsidR="00364AE6" w:rsidRDefault="00364AE6"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Krom çöktürmesi, kromlu tabaklama ve/veya yeniden tabaklama yapan tabakhanelerden çıkan atık suların saha içi ve/veya saha dışı arıtımı için genellikle uygulanabilir.</w:t>
      </w:r>
    </w:p>
    <w:p w14:paraId="11D525BE" w14:textId="77777777" w:rsidR="00364AE6" w:rsidRDefault="00364AE6" w:rsidP="009103A8">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MET ile İlişkili Emisyon Seviyeleri</w:t>
      </w:r>
    </w:p>
    <w:p w14:paraId="3915A96A" w14:textId="77777777" w:rsidR="00364AE6" w:rsidRDefault="00364AE6"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Kentsel atık su arıtma tesislerine dolaylı deşarjlara yönelik krom ve sülfit MET-İES’leri için Tablo 4’e bakınız.</w:t>
      </w:r>
    </w:p>
    <w:p w14:paraId="0F11149D" w14:textId="77777777" w:rsidR="00364AE6" w:rsidRDefault="00364AE6" w:rsidP="00364AE6">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4</w:t>
      </w:r>
    </w:p>
    <w:p w14:paraId="1D507AFE" w14:textId="77777777" w:rsidR="00364AE6" w:rsidRPr="00364AE6" w:rsidRDefault="00364AE6" w:rsidP="00364AE6">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Tabakhanelerden çıkan atık suyun kentsel atık su arıtma tesislerine dolaylı deşarjlarından kaynaklanan toplam krom ve sülfit emisyonlarına yönelik MET-İES’ler</w:t>
      </w:r>
    </w:p>
    <w:tbl>
      <w:tblPr>
        <w:tblStyle w:val="TabloKlavuzu"/>
        <w:tblW w:w="0" w:type="auto"/>
        <w:jc w:val="center"/>
        <w:tblLook w:val="04A0" w:firstRow="1" w:lastRow="0" w:firstColumn="1" w:lastColumn="0" w:noHBand="0" w:noVBand="1"/>
      </w:tblPr>
      <w:tblGrid>
        <w:gridCol w:w="2972"/>
        <w:gridCol w:w="6090"/>
      </w:tblGrid>
      <w:tr w:rsidR="009A431F" w:rsidRPr="00461B74" w14:paraId="1A8C52A2" w14:textId="77777777" w:rsidTr="00A25BE2">
        <w:trPr>
          <w:tblHeader/>
          <w:jc w:val="center"/>
        </w:trPr>
        <w:tc>
          <w:tcPr>
            <w:tcW w:w="2972" w:type="dxa"/>
            <w:vMerge w:val="restart"/>
            <w:vAlign w:val="center"/>
          </w:tcPr>
          <w:p w14:paraId="338B1F57" w14:textId="77777777" w:rsidR="009A431F" w:rsidRPr="00461B74" w:rsidRDefault="009A431F" w:rsidP="0024730D">
            <w:pPr>
              <w:jc w:val="center"/>
              <w:rPr>
                <w:rFonts w:ascii="Times New Roman" w:hAnsi="Times New Roman" w:cs="Times New Roman"/>
                <w:b/>
                <w:bCs/>
              </w:rPr>
            </w:pPr>
            <w:r>
              <w:rPr>
                <w:rFonts w:ascii="Times New Roman" w:hAnsi="Times New Roman" w:cs="Times New Roman"/>
                <w:b/>
                <w:bCs/>
              </w:rPr>
              <w:t>Parametre</w:t>
            </w:r>
          </w:p>
        </w:tc>
        <w:tc>
          <w:tcPr>
            <w:tcW w:w="6090" w:type="dxa"/>
            <w:vAlign w:val="center"/>
          </w:tcPr>
          <w:p w14:paraId="7B3E27DD" w14:textId="77777777" w:rsidR="009A431F" w:rsidRPr="00461B74" w:rsidRDefault="009A431F" w:rsidP="0024730D">
            <w:pPr>
              <w:jc w:val="center"/>
              <w:rPr>
                <w:rFonts w:ascii="Times New Roman" w:hAnsi="Times New Roman" w:cs="Times New Roman"/>
                <w:b/>
                <w:bCs/>
              </w:rPr>
            </w:pPr>
            <w:r>
              <w:rPr>
                <w:rFonts w:ascii="Times New Roman" w:hAnsi="Times New Roman" w:cs="Times New Roman"/>
                <w:b/>
                <w:bCs/>
              </w:rPr>
              <w:t>MET-İES’ler</w:t>
            </w:r>
          </w:p>
        </w:tc>
      </w:tr>
      <w:tr w:rsidR="009A431F" w:rsidRPr="00461B74" w14:paraId="10808BF9" w14:textId="77777777" w:rsidTr="00A25BE2">
        <w:trPr>
          <w:tblHeader/>
          <w:jc w:val="center"/>
        </w:trPr>
        <w:tc>
          <w:tcPr>
            <w:tcW w:w="2972" w:type="dxa"/>
            <w:vMerge/>
            <w:vAlign w:val="center"/>
          </w:tcPr>
          <w:p w14:paraId="144AC262" w14:textId="77777777" w:rsidR="009A431F" w:rsidRPr="00461B74" w:rsidRDefault="009A431F" w:rsidP="0024730D">
            <w:pPr>
              <w:jc w:val="center"/>
              <w:rPr>
                <w:rFonts w:ascii="Times New Roman" w:hAnsi="Times New Roman" w:cs="Times New Roman"/>
                <w:b/>
                <w:bCs/>
              </w:rPr>
            </w:pPr>
          </w:p>
        </w:tc>
        <w:tc>
          <w:tcPr>
            <w:tcW w:w="6090" w:type="dxa"/>
            <w:vAlign w:val="center"/>
          </w:tcPr>
          <w:p w14:paraId="130FDF8E" w14:textId="77777777" w:rsidR="009A431F" w:rsidRDefault="009A431F" w:rsidP="0024730D">
            <w:pPr>
              <w:jc w:val="center"/>
              <w:rPr>
                <w:rFonts w:ascii="Times New Roman" w:hAnsi="Times New Roman" w:cs="Times New Roman"/>
                <w:b/>
                <w:bCs/>
              </w:rPr>
            </w:pPr>
            <w:r>
              <w:rPr>
                <w:rFonts w:ascii="Times New Roman" w:hAnsi="Times New Roman" w:cs="Times New Roman"/>
                <w:b/>
                <w:bCs/>
              </w:rPr>
              <w:t>mg/L</w:t>
            </w:r>
          </w:p>
          <w:p w14:paraId="62FFF5AB" w14:textId="77777777" w:rsidR="009A431F" w:rsidRPr="00461B74" w:rsidRDefault="009A431F" w:rsidP="0024730D">
            <w:pPr>
              <w:jc w:val="center"/>
              <w:rPr>
                <w:rFonts w:ascii="Times New Roman" w:hAnsi="Times New Roman" w:cs="Times New Roman"/>
                <w:b/>
                <w:bCs/>
              </w:rPr>
            </w:pPr>
            <w:r>
              <w:rPr>
                <w:rFonts w:ascii="Times New Roman" w:hAnsi="Times New Roman" w:cs="Times New Roman"/>
                <w:b/>
                <w:bCs/>
              </w:rPr>
              <w:t xml:space="preserve">(bir ay boyunca alınan 24 saatlik kompozit </w:t>
            </w:r>
            <w:r w:rsidR="00E44312">
              <w:rPr>
                <w:rFonts w:ascii="Times New Roman" w:hAnsi="Times New Roman" w:cs="Times New Roman"/>
                <w:b/>
                <w:bCs/>
              </w:rPr>
              <w:t>numunelerin</w:t>
            </w:r>
            <w:r>
              <w:rPr>
                <w:rFonts w:ascii="Times New Roman" w:hAnsi="Times New Roman" w:cs="Times New Roman"/>
                <w:b/>
                <w:bCs/>
              </w:rPr>
              <w:t xml:space="preserve"> ortalamasına dayanan aylık ortalama değerler)</w:t>
            </w:r>
          </w:p>
        </w:tc>
      </w:tr>
      <w:tr w:rsidR="009A431F" w:rsidRPr="00461B74" w14:paraId="562CF06F" w14:textId="77777777" w:rsidTr="00A25BE2">
        <w:trPr>
          <w:jc w:val="center"/>
        </w:trPr>
        <w:tc>
          <w:tcPr>
            <w:tcW w:w="2972" w:type="dxa"/>
            <w:tcBorders>
              <w:bottom w:val="single" w:sz="4" w:space="0" w:color="auto"/>
            </w:tcBorders>
            <w:vAlign w:val="center"/>
          </w:tcPr>
          <w:p w14:paraId="2E8683AF" w14:textId="77777777" w:rsidR="009A431F" w:rsidRPr="00461B74" w:rsidRDefault="00A25BE2" w:rsidP="0024730D">
            <w:pPr>
              <w:jc w:val="both"/>
              <w:rPr>
                <w:rFonts w:ascii="Times New Roman" w:hAnsi="Times New Roman" w:cs="Times New Roman"/>
              </w:rPr>
            </w:pPr>
            <w:r>
              <w:rPr>
                <w:rFonts w:ascii="Times New Roman" w:hAnsi="Times New Roman" w:cs="Times New Roman"/>
              </w:rPr>
              <w:t>Toplam Krom (Cr olarak)</w:t>
            </w:r>
          </w:p>
        </w:tc>
        <w:tc>
          <w:tcPr>
            <w:tcW w:w="6090" w:type="dxa"/>
            <w:tcBorders>
              <w:bottom w:val="single" w:sz="4" w:space="0" w:color="auto"/>
            </w:tcBorders>
            <w:vAlign w:val="center"/>
          </w:tcPr>
          <w:p w14:paraId="79769B33" w14:textId="77777777" w:rsidR="009A431F" w:rsidRPr="00461B74" w:rsidRDefault="00A25BE2" w:rsidP="0024730D">
            <w:pPr>
              <w:jc w:val="center"/>
              <w:rPr>
                <w:rFonts w:ascii="Times New Roman" w:hAnsi="Times New Roman" w:cs="Times New Roman"/>
              </w:rPr>
            </w:pPr>
            <w:r>
              <w:rPr>
                <w:rFonts w:ascii="Times New Roman" w:hAnsi="Times New Roman" w:cs="Times New Roman"/>
              </w:rPr>
              <w:t>&lt;0,3-1</w:t>
            </w:r>
          </w:p>
        </w:tc>
      </w:tr>
      <w:tr w:rsidR="009A431F" w:rsidRPr="00461B74" w14:paraId="27C1B739" w14:textId="77777777" w:rsidTr="00A25BE2">
        <w:trPr>
          <w:jc w:val="center"/>
        </w:trPr>
        <w:tc>
          <w:tcPr>
            <w:tcW w:w="2972" w:type="dxa"/>
            <w:tcBorders>
              <w:top w:val="single" w:sz="4" w:space="0" w:color="auto"/>
              <w:left w:val="single" w:sz="4" w:space="0" w:color="auto"/>
              <w:bottom w:val="single" w:sz="4" w:space="0" w:color="auto"/>
              <w:right w:val="single" w:sz="4" w:space="0" w:color="auto"/>
            </w:tcBorders>
            <w:vAlign w:val="center"/>
          </w:tcPr>
          <w:p w14:paraId="1510A460" w14:textId="77777777" w:rsidR="009A431F" w:rsidRPr="00110D4C" w:rsidRDefault="00A25BE2" w:rsidP="0024730D">
            <w:pPr>
              <w:jc w:val="both"/>
              <w:rPr>
                <w:rFonts w:ascii="Times New Roman" w:hAnsi="Times New Roman" w:cs="Times New Roman"/>
              </w:rPr>
            </w:pPr>
            <w:r>
              <w:rPr>
                <w:rFonts w:ascii="Times New Roman" w:hAnsi="Times New Roman" w:cs="Times New Roman"/>
              </w:rPr>
              <w:t>Sülfit (S olarak)</w:t>
            </w:r>
          </w:p>
        </w:tc>
        <w:tc>
          <w:tcPr>
            <w:tcW w:w="6090" w:type="dxa"/>
            <w:tcBorders>
              <w:top w:val="single" w:sz="4" w:space="0" w:color="auto"/>
              <w:left w:val="single" w:sz="4" w:space="0" w:color="auto"/>
              <w:bottom w:val="single" w:sz="4" w:space="0" w:color="auto"/>
              <w:right w:val="single" w:sz="4" w:space="0" w:color="auto"/>
            </w:tcBorders>
            <w:vAlign w:val="center"/>
          </w:tcPr>
          <w:p w14:paraId="3A7EA661" w14:textId="77777777" w:rsidR="009A431F" w:rsidRPr="00461B74" w:rsidRDefault="00A25BE2" w:rsidP="0024730D">
            <w:pPr>
              <w:jc w:val="center"/>
              <w:rPr>
                <w:rFonts w:ascii="Times New Roman" w:hAnsi="Times New Roman" w:cs="Times New Roman"/>
              </w:rPr>
            </w:pPr>
            <w:r>
              <w:rPr>
                <w:rFonts w:ascii="Times New Roman" w:hAnsi="Times New Roman" w:cs="Times New Roman"/>
              </w:rPr>
              <w:t>&lt;1</w:t>
            </w:r>
          </w:p>
        </w:tc>
      </w:tr>
    </w:tbl>
    <w:p w14:paraId="4D9ED355" w14:textId="77777777" w:rsidR="00B72A6D" w:rsidRDefault="00B72A6D" w:rsidP="009103A8">
      <w:pPr>
        <w:spacing w:after="120" w:line="276" w:lineRule="auto"/>
        <w:jc w:val="both"/>
        <w:rPr>
          <w:rFonts w:ascii="Times New Roman" w:hAnsi="Times New Roman" w:cs="Times New Roman"/>
          <w:sz w:val="24"/>
          <w:szCs w:val="24"/>
        </w:rPr>
      </w:pPr>
    </w:p>
    <w:p w14:paraId="611E449C" w14:textId="77777777" w:rsidR="001F4625" w:rsidRPr="009C5B1E" w:rsidRDefault="001F4625" w:rsidP="001F4625">
      <w:pPr>
        <w:pStyle w:val="Balk2"/>
        <w:spacing w:before="0" w:after="120" w:line="276" w:lineRule="auto"/>
        <w:jc w:val="both"/>
        <w:rPr>
          <w:rFonts w:cs="Times New Roman"/>
          <w:b/>
          <w:bCs/>
          <w:szCs w:val="24"/>
        </w:rPr>
      </w:pPr>
      <w:r>
        <w:rPr>
          <w:rFonts w:cs="Times New Roman"/>
          <w:b/>
          <w:bCs/>
          <w:szCs w:val="24"/>
        </w:rPr>
        <w:t>(6) Hava Emisyonları</w:t>
      </w:r>
    </w:p>
    <w:p w14:paraId="613B019E" w14:textId="77777777" w:rsidR="00786B03" w:rsidRPr="00687ECE" w:rsidRDefault="00786B03" w:rsidP="00786B03">
      <w:pPr>
        <w:pStyle w:val="Balk3"/>
        <w:spacing w:before="0" w:after="120" w:line="276" w:lineRule="auto"/>
        <w:jc w:val="both"/>
        <w:rPr>
          <w:rFonts w:cs="Times New Roman"/>
          <w:b w:val="0"/>
          <w:bCs/>
          <w:szCs w:val="24"/>
        </w:rPr>
      </w:pPr>
      <w:r>
        <w:rPr>
          <w:rFonts w:cs="Times New Roman"/>
          <w:bCs/>
          <w:szCs w:val="24"/>
        </w:rPr>
        <w:t>(6.1) Koku</w:t>
      </w:r>
    </w:p>
    <w:p w14:paraId="2FB9E849" w14:textId="77777777" w:rsidR="00A25BE2" w:rsidRDefault="00786B03"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13:</w:t>
      </w:r>
      <w:r>
        <w:rPr>
          <w:rFonts w:ascii="Times New Roman" w:hAnsi="Times New Roman" w:cs="Times New Roman"/>
          <w:sz w:val="24"/>
          <w:szCs w:val="24"/>
        </w:rPr>
        <w:t xml:space="preserve"> </w:t>
      </w:r>
      <w:r w:rsidR="009335F7">
        <w:rPr>
          <w:rFonts w:ascii="Times New Roman" w:hAnsi="Times New Roman" w:cs="Times New Roman"/>
          <w:sz w:val="24"/>
          <w:szCs w:val="24"/>
        </w:rPr>
        <w:t xml:space="preserve">İşlemeden kaynaklanan amonyak kokularının oluşumunu azaltmak için </w:t>
      </w:r>
      <w:r w:rsidR="009D78F1">
        <w:rPr>
          <w:rFonts w:ascii="Times New Roman" w:hAnsi="Times New Roman" w:cs="Times New Roman"/>
          <w:sz w:val="24"/>
          <w:szCs w:val="24"/>
        </w:rPr>
        <w:t>k</w:t>
      </w:r>
      <w:r w:rsidR="009D78F1" w:rsidRPr="009D78F1">
        <w:rPr>
          <w:rFonts w:ascii="Times New Roman" w:hAnsi="Times New Roman" w:cs="Times New Roman"/>
          <w:sz w:val="24"/>
          <w:szCs w:val="24"/>
        </w:rPr>
        <w:t>ireç giderme</w:t>
      </w:r>
      <w:r w:rsidR="009335F7">
        <w:rPr>
          <w:rFonts w:ascii="Times New Roman" w:hAnsi="Times New Roman" w:cs="Times New Roman"/>
          <w:sz w:val="24"/>
          <w:szCs w:val="24"/>
        </w:rPr>
        <w:t>deki amonyum bileşikleri, kısmen veya tamamen ikame edilir.</w:t>
      </w:r>
    </w:p>
    <w:p w14:paraId="0A1102DA" w14:textId="77777777" w:rsidR="00931EB8" w:rsidRDefault="00931EB8"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49A71FDD" w14:textId="77777777" w:rsidR="009335F7" w:rsidRDefault="009335F7"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Kireç</w:t>
      </w:r>
      <w:r w:rsidR="009D78F1">
        <w:rPr>
          <w:rFonts w:ascii="Times New Roman" w:hAnsi="Times New Roman" w:cs="Times New Roman"/>
          <w:sz w:val="24"/>
          <w:szCs w:val="24"/>
        </w:rPr>
        <w:t xml:space="preserve"> giderme</w:t>
      </w:r>
      <w:r>
        <w:rPr>
          <w:rFonts w:ascii="Times New Roman" w:hAnsi="Times New Roman" w:cs="Times New Roman"/>
          <w:sz w:val="24"/>
          <w:szCs w:val="24"/>
        </w:rPr>
        <w:t xml:space="preserve"> sırasında amonyum bileşiklerinin CO</w:t>
      </w:r>
      <w:r>
        <w:rPr>
          <w:rFonts w:ascii="Times New Roman" w:hAnsi="Times New Roman" w:cs="Times New Roman"/>
          <w:sz w:val="24"/>
          <w:szCs w:val="24"/>
          <w:vertAlign w:val="subscript"/>
        </w:rPr>
        <w:t>2</w:t>
      </w:r>
      <w:r>
        <w:rPr>
          <w:rFonts w:ascii="Times New Roman" w:hAnsi="Times New Roman" w:cs="Times New Roman"/>
          <w:sz w:val="24"/>
          <w:szCs w:val="24"/>
        </w:rPr>
        <w:t xml:space="preserve"> ile tam ikamesi, 1,5 mm üzerinde kalınlığa sahip materyallerin işlenmesi için uygulanamaz.</w:t>
      </w:r>
    </w:p>
    <w:p w14:paraId="2B7E43BE" w14:textId="77777777" w:rsidR="009335F7" w:rsidRDefault="009D78F1" w:rsidP="009103A8">
      <w:pPr>
        <w:spacing w:after="120" w:line="276" w:lineRule="auto"/>
        <w:jc w:val="both"/>
        <w:rPr>
          <w:rFonts w:ascii="Times New Roman" w:hAnsi="Times New Roman" w:cs="Times New Roman"/>
          <w:sz w:val="24"/>
          <w:szCs w:val="24"/>
        </w:rPr>
      </w:pPr>
      <w:r w:rsidRPr="009D78F1">
        <w:rPr>
          <w:rFonts w:ascii="Times New Roman" w:hAnsi="Times New Roman" w:cs="Times New Roman"/>
          <w:sz w:val="24"/>
          <w:szCs w:val="24"/>
        </w:rPr>
        <w:t>Kireç giderme</w:t>
      </w:r>
      <w:r w:rsidR="009335F7">
        <w:rPr>
          <w:rFonts w:ascii="Times New Roman" w:hAnsi="Times New Roman" w:cs="Times New Roman"/>
          <w:sz w:val="24"/>
          <w:szCs w:val="24"/>
        </w:rPr>
        <w:t xml:space="preserve"> sırasında amonyum bileşiklerinin CO</w:t>
      </w:r>
      <w:r w:rsidR="009335F7">
        <w:rPr>
          <w:rFonts w:ascii="Times New Roman" w:hAnsi="Times New Roman" w:cs="Times New Roman"/>
          <w:sz w:val="24"/>
          <w:szCs w:val="24"/>
          <w:vertAlign w:val="subscript"/>
        </w:rPr>
        <w:t>2</w:t>
      </w:r>
      <w:r w:rsidR="009335F7">
        <w:rPr>
          <w:rFonts w:ascii="Times New Roman" w:hAnsi="Times New Roman" w:cs="Times New Roman"/>
          <w:sz w:val="24"/>
          <w:szCs w:val="24"/>
        </w:rPr>
        <w:t xml:space="preserve"> ile kısmen veya tamamen ikamesinin uygulanabilirliği ayrıca, yeni işleme tekneleri ve </w:t>
      </w:r>
      <w:r>
        <w:rPr>
          <w:rFonts w:ascii="Times New Roman" w:hAnsi="Times New Roman" w:cs="Times New Roman"/>
          <w:sz w:val="24"/>
          <w:szCs w:val="24"/>
        </w:rPr>
        <w:t>k</w:t>
      </w:r>
      <w:r w:rsidRPr="009D78F1">
        <w:rPr>
          <w:rFonts w:ascii="Times New Roman" w:hAnsi="Times New Roman" w:cs="Times New Roman"/>
          <w:sz w:val="24"/>
          <w:szCs w:val="24"/>
        </w:rPr>
        <w:t>ireç giderme</w:t>
      </w:r>
      <w:r w:rsidR="009335F7">
        <w:rPr>
          <w:rFonts w:ascii="Times New Roman" w:hAnsi="Times New Roman" w:cs="Times New Roman"/>
          <w:sz w:val="24"/>
          <w:szCs w:val="24"/>
        </w:rPr>
        <w:t xml:space="preserve"> sırasında CO</w:t>
      </w:r>
      <w:r w:rsidR="009335F7">
        <w:rPr>
          <w:rFonts w:ascii="Times New Roman" w:hAnsi="Times New Roman" w:cs="Times New Roman"/>
          <w:sz w:val="24"/>
          <w:szCs w:val="24"/>
          <w:vertAlign w:val="subscript"/>
        </w:rPr>
        <w:t>2</w:t>
      </w:r>
      <w:r w:rsidR="009335F7">
        <w:rPr>
          <w:rFonts w:ascii="Times New Roman" w:hAnsi="Times New Roman" w:cs="Times New Roman"/>
          <w:sz w:val="24"/>
          <w:szCs w:val="24"/>
        </w:rPr>
        <w:t xml:space="preserve"> kullanımını mümkün kılan veya mümkün kılmak için modifiye edilebilen mevcut işleme tekneleri ile kısıtlıdır.</w:t>
      </w:r>
    </w:p>
    <w:p w14:paraId="25F99D6D" w14:textId="77777777" w:rsidR="009335F7" w:rsidRDefault="009335F7"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MET 14:</w:t>
      </w:r>
      <w:r>
        <w:rPr>
          <w:rFonts w:ascii="Times New Roman" w:hAnsi="Times New Roman" w:cs="Times New Roman"/>
          <w:sz w:val="24"/>
          <w:szCs w:val="24"/>
        </w:rPr>
        <w:t xml:space="preserve"> Proses adımlarından ve atık su arıtımından kaynaklanan koku emisyonlarını </w:t>
      </w:r>
      <w:r w:rsidR="00B43BFB">
        <w:rPr>
          <w:rFonts w:ascii="Times New Roman" w:hAnsi="Times New Roman" w:cs="Times New Roman"/>
          <w:sz w:val="24"/>
          <w:szCs w:val="24"/>
        </w:rPr>
        <w:t>düşürmek</w:t>
      </w:r>
      <w:r>
        <w:rPr>
          <w:rFonts w:ascii="Times New Roman" w:hAnsi="Times New Roman" w:cs="Times New Roman"/>
          <w:sz w:val="24"/>
          <w:szCs w:val="24"/>
        </w:rPr>
        <w:t xml:space="preserve"> için amonyak ve hidrojen sülf</w:t>
      </w:r>
      <w:r w:rsidR="00691EFD">
        <w:rPr>
          <w:rFonts w:ascii="Times New Roman" w:hAnsi="Times New Roman" w:cs="Times New Roman"/>
          <w:sz w:val="24"/>
          <w:szCs w:val="24"/>
        </w:rPr>
        <w:t>ür</w:t>
      </w:r>
      <w:r>
        <w:rPr>
          <w:rFonts w:ascii="Times New Roman" w:hAnsi="Times New Roman" w:cs="Times New Roman"/>
          <w:sz w:val="24"/>
          <w:szCs w:val="24"/>
        </w:rPr>
        <w:t>, yıkama ve/veya bu gazların kokularının fark edilebilir olduğu ekstrakte havanın biyofiltrasyonu ile azaltılır.</w:t>
      </w:r>
    </w:p>
    <w:p w14:paraId="74192A6C" w14:textId="77777777" w:rsidR="00691EFD" w:rsidRDefault="009335F7"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15:</w:t>
      </w:r>
      <w:r>
        <w:rPr>
          <w:rFonts w:ascii="Times New Roman" w:hAnsi="Times New Roman" w:cs="Times New Roman"/>
          <w:sz w:val="24"/>
          <w:szCs w:val="24"/>
        </w:rPr>
        <w:t xml:space="preserve"> </w:t>
      </w:r>
      <w:r w:rsidR="00691EFD" w:rsidRPr="00691EFD">
        <w:rPr>
          <w:rFonts w:ascii="Times New Roman" w:hAnsi="Times New Roman" w:cs="Times New Roman"/>
          <w:sz w:val="24"/>
          <w:szCs w:val="24"/>
        </w:rPr>
        <w:t>Ham derilerin bozulmasından kaynaklanan koku oluşumunu önlemek için bozulmayı engelleyecek şekilde planlanmış konservasyon ve depolama yöntemlerinin yanı sıra düzenli ve sıkı bir stok hareketinin uygulanmasını içerir.</w:t>
      </w:r>
    </w:p>
    <w:p w14:paraId="047D6A8C" w14:textId="77777777" w:rsidR="00691EFD" w:rsidRDefault="006A7481"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r w:rsidR="00691EFD" w:rsidRPr="00691EFD">
        <w:rPr>
          <w:rFonts w:ascii="Times New Roman" w:hAnsi="Times New Roman" w:cs="Times New Roman"/>
          <w:sz w:val="24"/>
          <w:szCs w:val="24"/>
        </w:rPr>
        <w:t>Bozulma kaynaklı kokuların önlenmesi amacıyla, etkili bir tuz konservasyonu veya sıcaklık kontrolü yöntemleri kullanılır. Bu uygulamalar, stokların uzun süre beklemesini engelleyecek şekilde disiplinli bir stok hareketleriyle desteklenmelidir.</w:t>
      </w:r>
    </w:p>
    <w:p w14:paraId="5A6D3355" w14:textId="77777777" w:rsidR="006A7481" w:rsidRDefault="006A7481"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16:</w:t>
      </w:r>
      <w:r>
        <w:rPr>
          <w:rFonts w:ascii="Times New Roman" w:hAnsi="Times New Roman" w:cs="Times New Roman"/>
          <w:sz w:val="24"/>
          <w:szCs w:val="24"/>
        </w:rPr>
        <w:t xml:space="preserve"> Atıktan kaynaklanan koku emisyonlarını düşürmek için, atık ayrışmasını </w:t>
      </w:r>
      <w:r w:rsidR="009B1D40">
        <w:rPr>
          <w:rFonts w:ascii="Times New Roman" w:hAnsi="Times New Roman" w:cs="Times New Roman"/>
          <w:sz w:val="24"/>
          <w:szCs w:val="24"/>
        </w:rPr>
        <w:t>azaltacak şekilde tasarlanmış taşıma ve depolama prosedürleri kullanılır.</w:t>
      </w:r>
    </w:p>
    <w:p w14:paraId="2A571FBE" w14:textId="77777777" w:rsidR="009B1D40" w:rsidRDefault="009B1D40"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Atık depolamanın kontrolü ve ayrışması koku problemleri yaratmadan çürüyebilir atığın tesisten sistemli uzaklaştırılması.</w:t>
      </w:r>
    </w:p>
    <w:p w14:paraId="6B698A05" w14:textId="77777777" w:rsidR="009831BC" w:rsidRDefault="009831BC"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4AE0E564" w14:textId="77777777" w:rsidR="00100CA8" w:rsidRDefault="00100CA8"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Sadece </w:t>
      </w:r>
      <w:r w:rsidR="006E05E8">
        <w:rPr>
          <w:rFonts w:ascii="Times New Roman" w:hAnsi="Times New Roman" w:cs="Times New Roman"/>
          <w:sz w:val="24"/>
          <w:szCs w:val="24"/>
        </w:rPr>
        <w:t>biobozunur</w:t>
      </w:r>
      <w:r>
        <w:rPr>
          <w:rFonts w:ascii="Times New Roman" w:hAnsi="Times New Roman" w:cs="Times New Roman"/>
          <w:sz w:val="24"/>
          <w:szCs w:val="24"/>
        </w:rPr>
        <w:t xml:space="preserve"> atık oluşturan tesislere uygulanabilir.</w:t>
      </w:r>
    </w:p>
    <w:p w14:paraId="30CD05AB" w14:textId="77777777" w:rsidR="009B1D40" w:rsidRDefault="009B1D40"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17:</w:t>
      </w:r>
      <w:r>
        <w:rPr>
          <w:rFonts w:ascii="Times New Roman" w:hAnsi="Times New Roman" w:cs="Times New Roman"/>
          <w:sz w:val="24"/>
          <w:szCs w:val="24"/>
        </w:rPr>
        <w:t xml:space="preserve"> </w:t>
      </w:r>
      <w:r w:rsidR="006B1BA7" w:rsidRPr="006B1BA7">
        <w:rPr>
          <w:rFonts w:ascii="Times New Roman" w:hAnsi="Times New Roman" w:cs="Times New Roman"/>
          <w:sz w:val="24"/>
          <w:szCs w:val="24"/>
        </w:rPr>
        <w:t xml:space="preserve">Tabaklama öncesi işlemlerden çıkan atık sulardan </w:t>
      </w:r>
      <w:r w:rsidR="004408F6">
        <w:rPr>
          <w:rFonts w:ascii="Times New Roman" w:hAnsi="Times New Roman" w:cs="Times New Roman"/>
          <w:sz w:val="24"/>
          <w:szCs w:val="24"/>
        </w:rPr>
        <w:t xml:space="preserve"> kaynaklanan koku emisyonlarını azaltmak için, sülf</w:t>
      </w:r>
      <w:r w:rsidR="006B1BA7">
        <w:rPr>
          <w:rFonts w:ascii="Times New Roman" w:hAnsi="Times New Roman" w:cs="Times New Roman"/>
          <w:sz w:val="24"/>
          <w:szCs w:val="24"/>
        </w:rPr>
        <w:t>ür</w:t>
      </w:r>
      <w:r w:rsidR="004408F6">
        <w:rPr>
          <w:rFonts w:ascii="Times New Roman" w:hAnsi="Times New Roman" w:cs="Times New Roman"/>
          <w:sz w:val="24"/>
          <w:szCs w:val="24"/>
        </w:rPr>
        <w:t xml:space="preserve"> içeriğini uzaklaştırmak için arıtmanın takip ettiği pH kontrolü kullanılır.</w:t>
      </w:r>
    </w:p>
    <w:p w14:paraId="445F50E1" w14:textId="77777777" w:rsidR="004408F6" w:rsidRDefault="004408F6"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r w:rsidR="00704D84">
        <w:rPr>
          <w:rFonts w:ascii="Times New Roman" w:hAnsi="Times New Roman" w:cs="Times New Roman"/>
          <w:sz w:val="24"/>
          <w:szCs w:val="24"/>
        </w:rPr>
        <w:t>Aşağıdaki tekniklerin biri kullanılarak sülfitin arıtılmasına (saha içinde ve/veya saha dışında) kadar, t</w:t>
      </w:r>
      <w:r>
        <w:rPr>
          <w:rFonts w:ascii="Times New Roman" w:hAnsi="Times New Roman" w:cs="Times New Roman"/>
          <w:sz w:val="24"/>
          <w:szCs w:val="24"/>
        </w:rPr>
        <w:t>abaklamaya hazırlık bölümünden çıkan ve sülfit içeren atık su pH’sinin 9,5’in üzerinde tutulması</w:t>
      </w:r>
      <w:r w:rsidR="00603EFF">
        <w:rPr>
          <w:rFonts w:ascii="Times New Roman" w:hAnsi="Times New Roman" w:cs="Times New Roman"/>
          <w:sz w:val="24"/>
          <w:szCs w:val="24"/>
        </w:rPr>
        <w:t>:</w:t>
      </w:r>
    </w:p>
    <w:p w14:paraId="17AEA6D3" w14:textId="77777777" w:rsidR="00603EFF" w:rsidRDefault="000E2BBC" w:rsidP="00313D18">
      <w:pPr>
        <w:pStyle w:val="ListeParagraf"/>
        <w:numPr>
          <w:ilvl w:val="0"/>
          <w:numId w:val="4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Katalitik oksidasyon (katalizör olarak manganez tuzları kullanılarak);</w:t>
      </w:r>
    </w:p>
    <w:p w14:paraId="2242B363" w14:textId="77777777" w:rsidR="00603EFF" w:rsidRDefault="000E2BBC" w:rsidP="00313D18">
      <w:pPr>
        <w:pStyle w:val="ListeParagraf"/>
        <w:numPr>
          <w:ilvl w:val="0"/>
          <w:numId w:val="4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Biyolojik oksidasyon;</w:t>
      </w:r>
    </w:p>
    <w:p w14:paraId="73E8A26C" w14:textId="77777777" w:rsidR="00603EFF" w:rsidRDefault="000E2BBC" w:rsidP="00313D18">
      <w:pPr>
        <w:pStyle w:val="ListeParagraf"/>
        <w:numPr>
          <w:ilvl w:val="0"/>
          <w:numId w:val="4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Çöktürme; veya</w:t>
      </w:r>
    </w:p>
    <w:p w14:paraId="3EABF1AF" w14:textId="77777777" w:rsidR="00603EFF" w:rsidRDefault="000E2BBC">
      <w:pPr>
        <w:pStyle w:val="ListeParagraf"/>
        <w:numPr>
          <w:ilvl w:val="0"/>
          <w:numId w:val="4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Çıkış gazı yıkayıcı veya karbon filtre ile donatılmış kapal</w:t>
      </w:r>
      <w:r w:rsidR="00603EFF">
        <w:rPr>
          <w:rFonts w:ascii="Times New Roman" w:hAnsi="Times New Roman" w:cs="Times New Roman"/>
          <w:sz w:val="24"/>
          <w:szCs w:val="24"/>
        </w:rPr>
        <w:t>ı bir tekne sisteminde karıştırma.</w:t>
      </w:r>
    </w:p>
    <w:p w14:paraId="6563A881" w14:textId="77777777" w:rsidR="00506B1C" w:rsidRPr="00313D18" w:rsidRDefault="00506B1C" w:rsidP="00313D18">
      <w:pPr>
        <w:spacing w:after="120" w:line="276" w:lineRule="auto"/>
        <w:ind w:left="360"/>
        <w:jc w:val="both"/>
        <w:rPr>
          <w:rFonts w:ascii="Times New Roman" w:hAnsi="Times New Roman" w:cs="Times New Roman"/>
          <w:sz w:val="24"/>
          <w:szCs w:val="24"/>
        </w:rPr>
      </w:pPr>
      <w:r>
        <w:rPr>
          <w:rFonts w:ascii="Times New Roman" w:hAnsi="Times New Roman" w:cs="Times New Roman"/>
          <w:sz w:val="24"/>
          <w:szCs w:val="24"/>
        </w:rPr>
        <w:t>Uygulanabilirlik</w:t>
      </w:r>
    </w:p>
    <w:p w14:paraId="3B444637" w14:textId="77777777" w:rsidR="006B1BA7" w:rsidRDefault="006B1BA7" w:rsidP="00126F3A">
      <w:pPr>
        <w:pStyle w:val="Balk3"/>
        <w:spacing w:before="0" w:after="120" w:line="276" w:lineRule="auto"/>
        <w:jc w:val="both"/>
        <w:rPr>
          <w:rFonts w:eastAsiaTheme="minorHAnsi" w:cs="Times New Roman"/>
          <w:b w:val="0"/>
          <w:szCs w:val="24"/>
        </w:rPr>
      </w:pPr>
      <w:r w:rsidRPr="006B1BA7">
        <w:rPr>
          <w:rFonts w:eastAsiaTheme="minorHAnsi" w:cs="Times New Roman"/>
          <w:b w:val="0"/>
          <w:szCs w:val="24"/>
        </w:rPr>
        <w:t>Sülfür kullanılarak kıl giderme işlemi yapan tesislerde uygulanabilir</w:t>
      </w:r>
      <w:r>
        <w:rPr>
          <w:rFonts w:eastAsiaTheme="minorHAnsi" w:cs="Times New Roman"/>
          <w:b w:val="0"/>
          <w:szCs w:val="24"/>
        </w:rPr>
        <w:t>.</w:t>
      </w:r>
    </w:p>
    <w:p w14:paraId="45466E4B" w14:textId="77777777" w:rsidR="00126F3A" w:rsidRPr="00687ECE" w:rsidRDefault="00126F3A" w:rsidP="00126F3A">
      <w:pPr>
        <w:pStyle w:val="Balk3"/>
        <w:spacing w:before="0" w:after="120" w:line="276" w:lineRule="auto"/>
        <w:jc w:val="both"/>
        <w:rPr>
          <w:rFonts w:cs="Times New Roman"/>
          <w:b w:val="0"/>
          <w:bCs/>
          <w:szCs w:val="24"/>
        </w:rPr>
      </w:pPr>
      <w:r>
        <w:rPr>
          <w:rFonts w:cs="Times New Roman"/>
          <w:bCs/>
          <w:szCs w:val="24"/>
        </w:rPr>
        <w:t>(6.2) Uçucu Organik Bileşikler</w:t>
      </w:r>
    </w:p>
    <w:p w14:paraId="3A020392" w14:textId="77777777" w:rsidR="009A431F" w:rsidRDefault="00126F3A"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18:</w:t>
      </w:r>
      <w:r>
        <w:rPr>
          <w:rFonts w:ascii="Times New Roman" w:hAnsi="Times New Roman" w:cs="Times New Roman"/>
          <w:sz w:val="24"/>
          <w:szCs w:val="24"/>
        </w:rPr>
        <w:t xml:space="preserve"> </w:t>
      </w:r>
      <w:r w:rsidR="006D0BDA">
        <w:rPr>
          <w:rFonts w:ascii="Times New Roman" w:hAnsi="Times New Roman" w:cs="Times New Roman"/>
          <w:sz w:val="24"/>
          <w:szCs w:val="24"/>
        </w:rPr>
        <w:t>Halojenli uçucu organik bileşiklerin hava emisyonlarını azaltmak içi</w:t>
      </w:r>
      <w:r w:rsidR="0093241D">
        <w:rPr>
          <w:rFonts w:ascii="Times New Roman" w:hAnsi="Times New Roman" w:cs="Times New Roman"/>
          <w:sz w:val="24"/>
          <w:szCs w:val="24"/>
        </w:rPr>
        <w:t>n proseste kullanılan halojenli uçucu organik bileşikler, halojenli olmayan maddelerle ikame edilir.</w:t>
      </w:r>
    </w:p>
    <w:p w14:paraId="7A4FC716" w14:textId="77777777" w:rsidR="0093241D" w:rsidRDefault="0093241D"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Halojenli solventlerin, halojenli olmayan solventlerle ikamesi.</w:t>
      </w:r>
    </w:p>
    <w:p w14:paraId="61958908" w14:textId="77777777" w:rsidR="0093241D" w:rsidRDefault="0093241D"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Kapalı döngü makinelerinde yürütülen koyun derilerinin kuru yağ giderimine uygulanamaz.</w:t>
      </w:r>
    </w:p>
    <w:p w14:paraId="40B6E36E" w14:textId="77777777" w:rsidR="0093241D" w:rsidRDefault="0093241D"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19:</w:t>
      </w:r>
      <w:r>
        <w:rPr>
          <w:rFonts w:ascii="Times New Roman" w:hAnsi="Times New Roman" w:cs="Times New Roman"/>
          <w:sz w:val="24"/>
          <w:szCs w:val="24"/>
        </w:rPr>
        <w:t xml:space="preserve"> </w:t>
      </w:r>
      <w:r w:rsidR="00891DB4">
        <w:rPr>
          <w:rFonts w:ascii="Times New Roman" w:hAnsi="Times New Roman" w:cs="Times New Roman"/>
          <w:sz w:val="24"/>
          <w:szCs w:val="24"/>
        </w:rPr>
        <w:t>Bitirmeden kaynaklanan uçucu organik bileşiklerin (</w:t>
      </w:r>
      <w:r w:rsidR="009D570E">
        <w:rPr>
          <w:rFonts w:ascii="Times New Roman" w:hAnsi="Times New Roman" w:cs="Times New Roman"/>
          <w:sz w:val="24"/>
          <w:szCs w:val="24"/>
        </w:rPr>
        <w:t>UOB</w:t>
      </w:r>
      <w:r w:rsidR="00891DB4">
        <w:rPr>
          <w:rFonts w:ascii="Times New Roman" w:hAnsi="Times New Roman" w:cs="Times New Roman"/>
          <w:sz w:val="24"/>
          <w:szCs w:val="24"/>
        </w:rPr>
        <w:t>) hava emisyonlarını azaltmak için, öncelik ilk tekniğe verilerek, aşağıdaki tekniklerin biri veya bir kombinasyonu kullanılır.</w:t>
      </w:r>
    </w:p>
    <w:tbl>
      <w:tblPr>
        <w:tblStyle w:val="TabloKlavuzu"/>
        <w:tblW w:w="0" w:type="auto"/>
        <w:jc w:val="center"/>
        <w:tblLook w:val="04A0" w:firstRow="1" w:lastRow="0" w:firstColumn="1" w:lastColumn="0" w:noHBand="0" w:noVBand="1"/>
      </w:tblPr>
      <w:tblGrid>
        <w:gridCol w:w="421"/>
        <w:gridCol w:w="4110"/>
        <w:gridCol w:w="4531"/>
      </w:tblGrid>
      <w:tr w:rsidR="00A15980" w:rsidRPr="00393115" w14:paraId="4C637C2F" w14:textId="77777777" w:rsidTr="00A15980">
        <w:trPr>
          <w:tblHeader/>
          <w:jc w:val="center"/>
        </w:trPr>
        <w:tc>
          <w:tcPr>
            <w:tcW w:w="4531" w:type="dxa"/>
            <w:gridSpan w:val="2"/>
            <w:vAlign w:val="center"/>
          </w:tcPr>
          <w:p w14:paraId="433FBF8A" w14:textId="77777777" w:rsidR="00A15980" w:rsidRPr="00393115" w:rsidRDefault="00A15980" w:rsidP="0024730D">
            <w:pPr>
              <w:jc w:val="center"/>
              <w:rPr>
                <w:rFonts w:ascii="Times New Roman" w:hAnsi="Times New Roman" w:cs="Times New Roman"/>
                <w:b/>
                <w:bCs/>
              </w:rPr>
            </w:pPr>
            <w:r>
              <w:rPr>
                <w:rFonts w:ascii="Times New Roman" w:hAnsi="Times New Roman" w:cs="Times New Roman"/>
                <w:b/>
                <w:bCs/>
              </w:rPr>
              <w:t>Teknik</w:t>
            </w:r>
          </w:p>
        </w:tc>
        <w:tc>
          <w:tcPr>
            <w:tcW w:w="4531" w:type="dxa"/>
            <w:vAlign w:val="center"/>
          </w:tcPr>
          <w:p w14:paraId="7FA3DD08" w14:textId="77777777" w:rsidR="00A15980" w:rsidRPr="00393115" w:rsidRDefault="00A15980" w:rsidP="0024730D">
            <w:pPr>
              <w:jc w:val="center"/>
              <w:rPr>
                <w:rFonts w:ascii="Times New Roman" w:hAnsi="Times New Roman" w:cs="Times New Roman"/>
                <w:b/>
                <w:bCs/>
              </w:rPr>
            </w:pPr>
            <w:r>
              <w:rPr>
                <w:rFonts w:ascii="Times New Roman" w:hAnsi="Times New Roman" w:cs="Times New Roman"/>
                <w:b/>
                <w:bCs/>
              </w:rPr>
              <w:t>Açıklama</w:t>
            </w:r>
          </w:p>
        </w:tc>
      </w:tr>
      <w:tr w:rsidR="00A15980" w:rsidRPr="00393115" w14:paraId="3C9CBCED" w14:textId="77777777" w:rsidTr="00A15980">
        <w:trPr>
          <w:jc w:val="center"/>
        </w:trPr>
        <w:tc>
          <w:tcPr>
            <w:tcW w:w="421" w:type="dxa"/>
            <w:vAlign w:val="center"/>
          </w:tcPr>
          <w:p w14:paraId="1F9FEFB7" w14:textId="77777777" w:rsidR="00A15980" w:rsidRPr="00393115" w:rsidRDefault="00A15980" w:rsidP="0024730D">
            <w:pPr>
              <w:jc w:val="center"/>
              <w:rPr>
                <w:rFonts w:ascii="Times New Roman" w:hAnsi="Times New Roman" w:cs="Times New Roman"/>
              </w:rPr>
            </w:pPr>
            <w:r>
              <w:rPr>
                <w:rFonts w:ascii="Times New Roman" w:hAnsi="Times New Roman" w:cs="Times New Roman"/>
              </w:rPr>
              <w:t>a</w:t>
            </w:r>
          </w:p>
        </w:tc>
        <w:tc>
          <w:tcPr>
            <w:tcW w:w="4110" w:type="dxa"/>
            <w:vAlign w:val="center"/>
          </w:tcPr>
          <w:p w14:paraId="55BC14BF" w14:textId="77777777" w:rsidR="00A15980" w:rsidRPr="00393115" w:rsidRDefault="00A624FD" w:rsidP="0024730D">
            <w:pPr>
              <w:jc w:val="both"/>
              <w:rPr>
                <w:rFonts w:ascii="Times New Roman" w:hAnsi="Times New Roman" w:cs="Times New Roman"/>
              </w:rPr>
            </w:pPr>
            <w:r w:rsidRPr="00A624FD">
              <w:rPr>
                <w:rFonts w:ascii="Times New Roman" w:hAnsi="Times New Roman" w:cs="Times New Roman"/>
              </w:rPr>
              <w:t xml:space="preserve">Su bazlı </w:t>
            </w:r>
            <w:r>
              <w:rPr>
                <w:rFonts w:ascii="Times New Roman" w:hAnsi="Times New Roman" w:cs="Times New Roman"/>
              </w:rPr>
              <w:t>finisajların verimli</w:t>
            </w:r>
            <w:r w:rsidRPr="00A624FD">
              <w:rPr>
                <w:rFonts w:ascii="Times New Roman" w:hAnsi="Times New Roman" w:cs="Times New Roman"/>
              </w:rPr>
              <w:t xml:space="preserve"> bir  sistemi ile birlikte </w:t>
            </w:r>
            <w:r>
              <w:rPr>
                <w:rFonts w:ascii="Times New Roman" w:hAnsi="Times New Roman" w:cs="Times New Roman"/>
              </w:rPr>
              <w:t>uygulanması</w:t>
            </w:r>
          </w:p>
        </w:tc>
        <w:tc>
          <w:tcPr>
            <w:tcW w:w="4531" w:type="dxa"/>
            <w:vAlign w:val="center"/>
          </w:tcPr>
          <w:p w14:paraId="2B74D85A" w14:textId="77777777" w:rsidR="00A15980" w:rsidRPr="00393115" w:rsidRDefault="00A624FD" w:rsidP="0024730D">
            <w:pPr>
              <w:jc w:val="both"/>
              <w:rPr>
                <w:rFonts w:ascii="Times New Roman" w:hAnsi="Times New Roman" w:cs="Times New Roman"/>
              </w:rPr>
            </w:pPr>
            <w:r w:rsidRPr="00A624FD">
              <w:rPr>
                <w:rFonts w:ascii="Times New Roman" w:hAnsi="Times New Roman" w:cs="Times New Roman"/>
              </w:rPr>
              <w:t xml:space="preserve">Uçucu organik bileşik (VOC) emisyonlarını azaltmak amacıyla, su bazlı finisaj ürünlerinin </w:t>
            </w:r>
            <w:r w:rsidRPr="00A624FD">
              <w:rPr>
                <w:rFonts w:ascii="Times New Roman" w:hAnsi="Times New Roman" w:cs="Times New Roman"/>
              </w:rPr>
              <w:lastRenderedPageBreak/>
              <w:t>kullanılması tercih edilir. Su bazlı finisajların deri üzerine uygulanması için roller-coat, perde mainası veya geliştirilmiş sprey makinaları kullanılmalıdır.</w:t>
            </w:r>
          </w:p>
        </w:tc>
      </w:tr>
      <w:tr w:rsidR="00A15980" w:rsidRPr="00393115" w14:paraId="0B6C57D6" w14:textId="77777777" w:rsidTr="00A15980">
        <w:trPr>
          <w:jc w:val="center"/>
        </w:trPr>
        <w:tc>
          <w:tcPr>
            <w:tcW w:w="421" w:type="dxa"/>
            <w:vAlign w:val="center"/>
          </w:tcPr>
          <w:p w14:paraId="6408ADD5" w14:textId="77777777" w:rsidR="00A15980" w:rsidRPr="00393115" w:rsidRDefault="00A15980" w:rsidP="0024730D">
            <w:pPr>
              <w:jc w:val="center"/>
              <w:rPr>
                <w:rFonts w:ascii="Times New Roman" w:hAnsi="Times New Roman" w:cs="Times New Roman"/>
              </w:rPr>
            </w:pPr>
            <w:r>
              <w:rPr>
                <w:rFonts w:ascii="Times New Roman" w:hAnsi="Times New Roman" w:cs="Times New Roman"/>
              </w:rPr>
              <w:lastRenderedPageBreak/>
              <w:t>b</w:t>
            </w:r>
          </w:p>
        </w:tc>
        <w:tc>
          <w:tcPr>
            <w:tcW w:w="4110" w:type="dxa"/>
            <w:vAlign w:val="center"/>
          </w:tcPr>
          <w:p w14:paraId="3C01A723" w14:textId="77777777" w:rsidR="00A15980" w:rsidRPr="00393115" w:rsidRDefault="005C442E" w:rsidP="0024730D">
            <w:pPr>
              <w:jc w:val="both"/>
              <w:rPr>
                <w:rFonts w:ascii="Times New Roman" w:hAnsi="Times New Roman" w:cs="Times New Roman"/>
              </w:rPr>
            </w:pPr>
            <w:r>
              <w:rPr>
                <w:rFonts w:ascii="Times New Roman" w:hAnsi="Times New Roman" w:cs="Times New Roman"/>
              </w:rPr>
              <w:t>Ekstraksiyon havalandırması ile azaltım sisteminin kullanımı</w:t>
            </w:r>
          </w:p>
        </w:tc>
        <w:tc>
          <w:tcPr>
            <w:tcW w:w="4531" w:type="dxa"/>
            <w:vAlign w:val="center"/>
          </w:tcPr>
          <w:p w14:paraId="2675ACA1" w14:textId="77777777" w:rsidR="00A15980" w:rsidRPr="00393115" w:rsidRDefault="005C442E" w:rsidP="0024730D">
            <w:pPr>
              <w:jc w:val="both"/>
              <w:rPr>
                <w:rFonts w:ascii="Times New Roman" w:hAnsi="Times New Roman" w:cs="Times New Roman"/>
              </w:rPr>
            </w:pPr>
            <w:r>
              <w:rPr>
                <w:rFonts w:ascii="Times New Roman" w:hAnsi="Times New Roman" w:cs="Times New Roman"/>
              </w:rPr>
              <w:t>Şunların biri veya daha fazlası ile donatılmış ekstraksiyon sisteminin kullanımı yoluyla çıkış gazının arıtımı: ıslak yıkama, adsorpsiyon, biyofiltrasyon veya insinerasyon.</w:t>
            </w:r>
          </w:p>
        </w:tc>
      </w:tr>
    </w:tbl>
    <w:p w14:paraId="56725AD2" w14:textId="77777777" w:rsidR="00A15980" w:rsidRDefault="00A15980" w:rsidP="009103A8">
      <w:pPr>
        <w:spacing w:after="120" w:line="276" w:lineRule="auto"/>
        <w:jc w:val="both"/>
        <w:rPr>
          <w:rFonts w:ascii="Times New Roman" w:hAnsi="Times New Roman" w:cs="Times New Roman"/>
          <w:sz w:val="24"/>
          <w:szCs w:val="24"/>
        </w:rPr>
      </w:pPr>
    </w:p>
    <w:p w14:paraId="7C131F53" w14:textId="77777777" w:rsidR="005C442E" w:rsidRDefault="005C442E" w:rsidP="009103A8">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MET ile İlişkili Solvent Kullanım Seviyeleri ve </w:t>
      </w:r>
      <w:r w:rsidR="009D570E">
        <w:rPr>
          <w:rFonts w:ascii="Times New Roman" w:hAnsi="Times New Roman" w:cs="Times New Roman"/>
          <w:b/>
          <w:bCs/>
          <w:sz w:val="24"/>
          <w:szCs w:val="24"/>
        </w:rPr>
        <w:t>UOB</w:t>
      </w:r>
      <w:r>
        <w:rPr>
          <w:rFonts w:ascii="Times New Roman" w:hAnsi="Times New Roman" w:cs="Times New Roman"/>
          <w:b/>
          <w:bCs/>
          <w:sz w:val="24"/>
          <w:szCs w:val="24"/>
        </w:rPr>
        <w:t>’ye Yönelik MET ile İlişkili Emisyon Seviyeleri</w:t>
      </w:r>
    </w:p>
    <w:p w14:paraId="04A5A8B8" w14:textId="77777777" w:rsidR="005C442E" w:rsidRDefault="00023211"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Hem etkin bir uygulama sistemi ile beraber su esaslı kaplamaların kullanımı ile ilişkili solvent kullanım oranları hem de su esaslı bitime materyallerine alternatif olarak ekstraksiyon havalandırması ve azaltım sisteminin kullanıldığı belirli </w:t>
      </w:r>
      <w:r w:rsidR="009D570E">
        <w:rPr>
          <w:rFonts w:ascii="Times New Roman" w:hAnsi="Times New Roman" w:cs="Times New Roman"/>
          <w:sz w:val="24"/>
          <w:szCs w:val="24"/>
        </w:rPr>
        <w:t>UOB</w:t>
      </w:r>
      <w:r>
        <w:rPr>
          <w:rFonts w:ascii="Times New Roman" w:hAnsi="Times New Roman" w:cs="Times New Roman"/>
          <w:sz w:val="24"/>
          <w:szCs w:val="24"/>
        </w:rPr>
        <w:t xml:space="preserve"> emisyonlarına yönelik MET-İES aralığı, Tablo 5’te verilmiştir.</w:t>
      </w:r>
    </w:p>
    <w:p w14:paraId="62464E2B" w14:textId="77777777" w:rsidR="00023211" w:rsidRDefault="00023211" w:rsidP="00023211">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5</w:t>
      </w:r>
    </w:p>
    <w:p w14:paraId="3E31B1B8" w14:textId="77777777" w:rsidR="00023211" w:rsidRPr="00023211" w:rsidRDefault="00023211" w:rsidP="00023211">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MET ile ilişkili solvent kullanım seviyeleri ve </w:t>
      </w:r>
      <w:r w:rsidR="009D570E">
        <w:rPr>
          <w:rFonts w:ascii="Times New Roman" w:hAnsi="Times New Roman" w:cs="Times New Roman"/>
          <w:b/>
          <w:bCs/>
          <w:sz w:val="24"/>
          <w:szCs w:val="24"/>
        </w:rPr>
        <w:t>UOB</w:t>
      </w:r>
      <w:r>
        <w:rPr>
          <w:rFonts w:ascii="Times New Roman" w:hAnsi="Times New Roman" w:cs="Times New Roman"/>
          <w:b/>
          <w:bCs/>
          <w:sz w:val="24"/>
          <w:szCs w:val="24"/>
        </w:rPr>
        <w:t xml:space="preserve"> emisyonlarına yönelik MET-İES’ler</w:t>
      </w:r>
    </w:p>
    <w:tbl>
      <w:tblPr>
        <w:tblStyle w:val="TabloKlavuzu"/>
        <w:tblW w:w="0" w:type="auto"/>
        <w:jc w:val="center"/>
        <w:tblLook w:val="04A0" w:firstRow="1" w:lastRow="0" w:firstColumn="1" w:lastColumn="0" w:noHBand="0" w:noVBand="1"/>
      </w:tblPr>
      <w:tblGrid>
        <w:gridCol w:w="1781"/>
        <w:gridCol w:w="2745"/>
        <w:gridCol w:w="2115"/>
        <w:gridCol w:w="2421"/>
      </w:tblGrid>
      <w:tr w:rsidR="00B64BD1" w:rsidRPr="00461B74" w14:paraId="76E6291A" w14:textId="77777777" w:rsidTr="0024730D">
        <w:trPr>
          <w:tblHeader/>
          <w:jc w:val="center"/>
        </w:trPr>
        <w:tc>
          <w:tcPr>
            <w:tcW w:w="1781" w:type="dxa"/>
            <w:vMerge w:val="restart"/>
            <w:vAlign w:val="center"/>
          </w:tcPr>
          <w:p w14:paraId="137BC17A" w14:textId="77777777" w:rsidR="00B64BD1" w:rsidRPr="00461B74" w:rsidRDefault="00B64BD1" w:rsidP="0024730D">
            <w:pPr>
              <w:jc w:val="center"/>
              <w:rPr>
                <w:rFonts w:ascii="Times New Roman" w:hAnsi="Times New Roman" w:cs="Times New Roman"/>
                <w:b/>
                <w:bCs/>
              </w:rPr>
            </w:pPr>
            <w:r>
              <w:rPr>
                <w:rFonts w:ascii="Times New Roman" w:hAnsi="Times New Roman" w:cs="Times New Roman"/>
                <w:b/>
                <w:bCs/>
              </w:rPr>
              <w:t>Parametre</w:t>
            </w:r>
          </w:p>
        </w:tc>
        <w:tc>
          <w:tcPr>
            <w:tcW w:w="4860" w:type="dxa"/>
            <w:gridSpan w:val="2"/>
            <w:vMerge w:val="restart"/>
            <w:vAlign w:val="center"/>
          </w:tcPr>
          <w:p w14:paraId="0DBA32CD" w14:textId="77777777" w:rsidR="00B64BD1" w:rsidRDefault="00B64BD1" w:rsidP="00B64BD1">
            <w:pPr>
              <w:jc w:val="center"/>
              <w:rPr>
                <w:rFonts w:ascii="Times New Roman" w:hAnsi="Times New Roman" w:cs="Times New Roman"/>
                <w:b/>
                <w:bCs/>
              </w:rPr>
            </w:pPr>
            <w:r>
              <w:rPr>
                <w:rFonts w:ascii="Times New Roman" w:hAnsi="Times New Roman" w:cs="Times New Roman"/>
                <w:b/>
                <w:bCs/>
              </w:rPr>
              <w:t>Üretim Tipi</w:t>
            </w:r>
          </w:p>
        </w:tc>
        <w:tc>
          <w:tcPr>
            <w:tcW w:w="2421" w:type="dxa"/>
            <w:vAlign w:val="center"/>
          </w:tcPr>
          <w:p w14:paraId="3B3B8EE8" w14:textId="77777777" w:rsidR="00B64BD1" w:rsidRDefault="00B64BD1" w:rsidP="00B64BD1">
            <w:pPr>
              <w:jc w:val="center"/>
              <w:rPr>
                <w:rFonts w:ascii="Times New Roman" w:hAnsi="Times New Roman" w:cs="Times New Roman"/>
                <w:b/>
                <w:bCs/>
              </w:rPr>
            </w:pPr>
            <w:r>
              <w:rPr>
                <w:rFonts w:ascii="Times New Roman" w:hAnsi="Times New Roman" w:cs="Times New Roman"/>
                <w:b/>
                <w:bCs/>
              </w:rPr>
              <w:t>MET ile İlişkili Seviyeler</w:t>
            </w:r>
          </w:p>
        </w:tc>
      </w:tr>
      <w:tr w:rsidR="00B64BD1" w:rsidRPr="00461B74" w14:paraId="29AD488D" w14:textId="77777777" w:rsidTr="0024730D">
        <w:trPr>
          <w:tblHeader/>
          <w:jc w:val="center"/>
        </w:trPr>
        <w:tc>
          <w:tcPr>
            <w:tcW w:w="1781" w:type="dxa"/>
            <w:vMerge/>
            <w:vAlign w:val="center"/>
          </w:tcPr>
          <w:p w14:paraId="76C3CDF1" w14:textId="77777777" w:rsidR="00B64BD1" w:rsidRPr="00461B74" w:rsidRDefault="00B64BD1" w:rsidP="0024730D">
            <w:pPr>
              <w:jc w:val="center"/>
              <w:rPr>
                <w:rFonts w:ascii="Times New Roman" w:hAnsi="Times New Roman" w:cs="Times New Roman"/>
                <w:b/>
                <w:bCs/>
              </w:rPr>
            </w:pPr>
          </w:p>
        </w:tc>
        <w:tc>
          <w:tcPr>
            <w:tcW w:w="4860" w:type="dxa"/>
            <w:gridSpan w:val="2"/>
            <w:vMerge/>
            <w:vAlign w:val="center"/>
          </w:tcPr>
          <w:p w14:paraId="50C08E5C" w14:textId="77777777" w:rsidR="00B64BD1" w:rsidRDefault="00B64BD1" w:rsidP="00B64BD1">
            <w:pPr>
              <w:jc w:val="center"/>
              <w:rPr>
                <w:rFonts w:ascii="Times New Roman" w:hAnsi="Times New Roman" w:cs="Times New Roman"/>
                <w:b/>
                <w:bCs/>
              </w:rPr>
            </w:pPr>
          </w:p>
        </w:tc>
        <w:tc>
          <w:tcPr>
            <w:tcW w:w="2421" w:type="dxa"/>
            <w:vAlign w:val="center"/>
          </w:tcPr>
          <w:p w14:paraId="06224A59" w14:textId="77777777" w:rsidR="00B64BD1" w:rsidRDefault="00B64BD1" w:rsidP="00B64BD1">
            <w:pPr>
              <w:jc w:val="center"/>
              <w:rPr>
                <w:rFonts w:ascii="Times New Roman" w:hAnsi="Times New Roman" w:cs="Times New Roman"/>
                <w:b/>
                <w:bCs/>
              </w:rPr>
            </w:pPr>
            <w:r>
              <w:rPr>
                <w:rFonts w:ascii="Times New Roman" w:hAnsi="Times New Roman" w:cs="Times New Roman"/>
                <w:b/>
                <w:bCs/>
              </w:rPr>
              <w:t>g/m</w:t>
            </w:r>
            <w:r>
              <w:rPr>
                <w:rFonts w:ascii="Times New Roman" w:hAnsi="Times New Roman" w:cs="Times New Roman"/>
                <w:b/>
                <w:bCs/>
                <w:vertAlign w:val="superscript"/>
              </w:rPr>
              <w:t>2</w:t>
            </w:r>
            <w:r w:rsidR="00151935">
              <w:rPr>
                <w:rFonts w:ascii="Times New Roman" w:hAnsi="Times New Roman" w:cs="Times New Roman"/>
                <w:b/>
                <w:bCs/>
              </w:rPr>
              <w:t xml:space="preserve"> </w:t>
            </w:r>
          </w:p>
          <w:p w14:paraId="6C8AF386" w14:textId="77777777" w:rsidR="00151935" w:rsidRPr="00151935" w:rsidRDefault="00151935" w:rsidP="00B64BD1">
            <w:pPr>
              <w:jc w:val="center"/>
              <w:rPr>
                <w:rFonts w:ascii="Times New Roman" w:hAnsi="Times New Roman" w:cs="Times New Roman"/>
                <w:b/>
                <w:bCs/>
              </w:rPr>
            </w:pPr>
            <w:r>
              <w:rPr>
                <w:rFonts w:ascii="Times New Roman" w:hAnsi="Times New Roman" w:cs="Times New Roman"/>
                <w:b/>
                <w:bCs/>
              </w:rPr>
              <w:t>(bitmiş deri birimi başına yıllık ortalama değerler)</w:t>
            </w:r>
          </w:p>
        </w:tc>
      </w:tr>
      <w:tr w:rsidR="008F4972" w:rsidRPr="00461B74" w14:paraId="278166BE" w14:textId="77777777" w:rsidTr="0024730D">
        <w:trPr>
          <w:jc w:val="center"/>
        </w:trPr>
        <w:tc>
          <w:tcPr>
            <w:tcW w:w="1781" w:type="dxa"/>
            <w:vMerge w:val="restart"/>
            <w:vAlign w:val="center"/>
          </w:tcPr>
          <w:p w14:paraId="77C52036" w14:textId="77777777" w:rsidR="008F4972" w:rsidRPr="00461B74" w:rsidRDefault="008F4972" w:rsidP="0024730D">
            <w:pPr>
              <w:jc w:val="both"/>
              <w:rPr>
                <w:rFonts w:ascii="Times New Roman" w:hAnsi="Times New Roman" w:cs="Times New Roman"/>
              </w:rPr>
            </w:pPr>
            <w:r>
              <w:rPr>
                <w:rFonts w:ascii="Times New Roman" w:hAnsi="Times New Roman" w:cs="Times New Roman"/>
              </w:rPr>
              <w:t>Solvent Kullanım Seviyeleri</w:t>
            </w:r>
          </w:p>
        </w:tc>
        <w:tc>
          <w:tcPr>
            <w:tcW w:w="2745" w:type="dxa"/>
            <w:vMerge w:val="restart"/>
            <w:vAlign w:val="center"/>
          </w:tcPr>
          <w:p w14:paraId="6071B366" w14:textId="77777777" w:rsidR="008F4972" w:rsidRPr="00461B74" w:rsidRDefault="008F4972" w:rsidP="0024730D">
            <w:pPr>
              <w:jc w:val="center"/>
              <w:rPr>
                <w:rFonts w:ascii="Times New Roman" w:hAnsi="Times New Roman" w:cs="Times New Roman"/>
              </w:rPr>
            </w:pPr>
            <w:r>
              <w:rPr>
                <w:rFonts w:ascii="Times New Roman" w:hAnsi="Times New Roman" w:cs="Times New Roman"/>
              </w:rPr>
              <w:t>su esaslı kaplamaların etkin bir uygulama sistemi ile beraber kullanıldığı durumlar</w:t>
            </w:r>
          </w:p>
        </w:tc>
        <w:tc>
          <w:tcPr>
            <w:tcW w:w="2115" w:type="dxa"/>
            <w:tcBorders>
              <w:bottom w:val="single" w:sz="4" w:space="0" w:color="auto"/>
            </w:tcBorders>
            <w:vAlign w:val="center"/>
          </w:tcPr>
          <w:p w14:paraId="04FC2C98" w14:textId="77777777" w:rsidR="008F4972" w:rsidRDefault="008F4972" w:rsidP="008F4972">
            <w:pPr>
              <w:jc w:val="center"/>
              <w:rPr>
                <w:rFonts w:ascii="Times New Roman" w:hAnsi="Times New Roman" w:cs="Times New Roman"/>
              </w:rPr>
            </w:pPr>
            <w:r>
              <w:rPr>
                <w:rFonts w:ascii="Times New Roman" w:hAnsi="Times New Roman" w:cs="Times New Roman"/>
              </w:rPr>
              <w:t>döşeme ve otomotiv derisi</w:t>
            </w:r>
          </w:p>
        </w:tc>
        <w:tc>
          <w:tcPr>
            <w:tcW w:w="2421" w:type="dxa"/>
            <w:tcBorders>
              <w:bottom w:val="single" w:sz="4" w:space="0" w:color="auto"/>
            </w:tcBorders>
            <w:vAlign w:val="center"/>
          </w:tcPr>
          <w:p w14:paraId="59478335" w14:textId="77777777" w:rsidR="008F4972" w:rsidRDefault="008F4972" w:rsidP="00B64BD1">
            <w:pPr>
              <w:jc w:val="center"/>
              <w:rPr>
                <w:rFonts w:ascii="Times New Roman" w:hAnsi="Times New Roman" w:cs="Times New Roman"/>
              </w:rPr>
            </w:pPr>
            <w:r>
              <w:rPr>
                <w:rFonts w:ascii="Times New Roman" w:hAnsi="Times New Roman" w:cs="Times New Roman"/>
              </w:rPr>
              <w:t>10-25</w:t>
            </w:r>
          </w:p>
        </w:tc>
      </w:tr>
      <w:tr w:rsidR="008F4972" w:rsidRPr="00461B74" w14:paraId="4141997F" w14:textId="77777777" w:rsidTr="0024730D">
        <w:trPr>
          <w:jc w:val="center"/>
        </w:trPr>
        <w:tc>
          <w:tcPr>
            <w:tcW w:w="1781" w:type="dxa"/>
            <w:vMerge/>
            <w:vAlign w:val="center"/>
          </w:tcPr>
          <w:p w14:paraId="2A4F3C60" w14:textId="77777777" w:rsidR="008F4972" w:rsidRPr="00110D4C" w:rsidRDefault="008F4972" w:rsidP="0024730D">
            <w:pPr>
              <w:jc w:val="both"/>
              <w:rPr>
                <w:rFonts w:ascii="Times New Roman" w:hAnsi="Times New Roman" w:cs="Times New Roman"/>
              </w:rPr>
            </w:pPr>
          </w:p>
        </w:tc>
        <w:tc>
          <w:tcPr>
            <w:tcW w:w="2745" w:type="dxa"/>
            <w:vMerge/>
            <w:vAlign w:val="center"/>
          </w:tcPr>
          <w:p w14:paraId="3CCBEEF0" w14:textId="77777777" w:rsidR="008F4972" w:rsidRPr="00461B74" w:rsidRDefault="008F4972" w:rsidP="0024730D">
            <w:pPr>
              <w:jc w:val="center"/>
              <w:rPr>
                <w:rFonts w:ascii="Times New Roman" w:hAnsi="Times New Roman" w:cs="Times New Roman"/>
              </w:rPr>
            </w:pPr>
          </w:p>
        </w:tc>
        <w:tc>
          <w:tcPr>
            <w:tcW w:w="2115" w:type="dxa"/>
            <w:tcBorders>
              <w:top w:val="single" w:sz="4" w:space="0" w:color="auto"/>
              <w:bottom w:val="single" w:sz="4" w:space="0" w:color="auto"/>
              <w:right w:val="single" w:sz="4" w:space="0" w:color="auto"/>
            </w:tcBorders>
            <w:vAlign w:val="center"/>
          </w:tcPr>
          <w:p w14:paraId="769A52A3" w14:textId="77777777" w:rsidR="008F4972" w:rsidRDefault="008F4972" w:rsidP="008F4972">
            <w:pPr>
              <w:jc w:val="center"/>
              <w:rPr>
                <w:rFonts w:ascii="Times New Roman" w:hAnsi="Times New Roman" w:cs="Times New Roman"/>
              </w:rPr>
            </w:pPr>
            <w:r>
              <w:rPr>
                <w:rFonts w:ascii="Times New Roman" w:hAnsi="Times New Roman" w:cs="Times New Roman"/>
              </w:rPr>
              <w:t>ayakkabı, giyim ve deri eşyalar için deri</w:t>
            </w:r>
          </w:p>
        </w:tc>
        <w:tc>
          <w:tcPr>
            <w:tcW w:w="2421" w:type="dxa"/>
            <w:tcBorders>
              <w:top w:val="single" w:sz="4" w:space="0" w:color="auto"/>
              <w:left w:val="single" w:sz="4" w:space="0" w:color="auto"/>
              <w:bottom w:val="single" w:sz="4" w:space="0" w:color="auto"/>
              <w:right w:val="single" w:sz="4" w:space="0" w:color="auto"/>
            </w:tcBorders>
            <w:vAlign w:val="center"/>
          </w:tcPr>
          <w:p w14:paraId="1961352C" w14:textId="77777777" w:rsidR="008F4972" w:rsidRDefault="008F4972" w:rsidP="00B64BD1">
            <w:pPr>
              <w:jc w:val="center"/>
              <w:rPr>
                <w:rFonts w:ascii="Times New Roman" w:hAnsi="Times New Roman" w:cs="Times New Roman"/>
              </w:rPr>
            </w:pPr>
            <w:r>
              <w:rPr>
                <w:rFonts w:ascii="Times New Roman" w:hAnsi="Times New Roman" w:cs="Times New Roman"/>
              </w:rPr>
              <w:t>40-85</w:t>
            </w:r>
          </w:p>
        </w:tc>
      </w:tr>
      <w:tr w:rsidR="008F4972" w:rsidRPr="00461B74" w14:paraId="0DE71FF9" w14:textId="77777777" w:rsidTr="0024730D">
        <w:trPr>
          <w:jc w:val="center"/>
        </w:trPr>
        <w:tc>
          <w:tcPr>
            <w:tcW w:w="1781" w:type="dxa"/>
            <w:vMerge/>
            <w:tcBorders>
              <w:bottom w:val="single" w:sz="4" w:space="0" w:color="auto"/>
            </w:tcBorders>
            <w:vAlign w:val="center"/>
          </w:tcPr>
          <w:p w14:paraId="0CAA860A" w14:textId="77777777" w:rsidR="008F4972" w:rsidRDefault="008F4972" w:rsidP="0024730D">
            <w:pPr>
              <w:jc w:val="both"/>
              <w:rPr>
                <w:rFonts w:ascii="Times New Roman" w:hAnsi="Times New Roman" w:cs="Times New Roman"/>
              </w:rPr>
            </w:pPr>
          </w:p>
        </w:tc>
        <w:tc>
          <w:tcPr>
            <w:tcW w:w="2745" w:type="dxa"/>
            <w:vMerge/>
            <w:tcBorders>
              <w:bottom w:val="single" w:sz="4" w:space="0" w:color="auto"/>
            </w:tcBorders>
            <w:vAlign w:val="center"/>
          </w:tcPr>
          <w:p w14:paraId="04E4EC80" w14:textId="77777777" w:rsidR="008F4972" w:rsidRDefault="008F4972" w:rsidP="0024730D">
            <w:pPr>
              <w:jc w:val="center"/>
              <w:rPr>
                <w:rFonts w:ascii="Times New Roman" w:hAnsi="Times New Roman" w:cs="Times New Roman"/>
              </w:rPr>
            </w:pPr>
          </w:p>
        </w:tc>
        <w:tc>
          <w:tcPr>
            <w:tcW w:w="2115" w:type="dxa"/>
            <w:tcBorders>
              <w:top w:val="single" w:sz="4" w:space="0" w:color="auto"/>
              <w:bottom w:val="single" w:sz="4" w:space="0" w:color="auto"/>
              <w:right w:val="single" w:sz="4" w:space="0" w:color="auto"/>
            </w:tcBorders>
            <w:vAlign w:val="center"/>
          </w:tcPr>
          <w:p w14:paraId="5D51AD2F" w14:textId="77777777" w:rsidR="008F4972" w:rsidRDefault="008F4972" w:rsidP="008F4972">
            <w:pPr>
              <w:jc w:val="center"/>
              <w:rPr>
                <w:rFonts w:ascii="Times New Roman" w:hAnsi="Times New Roman" w:cs="Times New Roman"/>
              </w:rPr>
            </w:pPr>
            <w:r>
              <w:rPr>
                <w:rFonts w:ascii="Times New Roman" w:hAnsi="Times New Roman" w:cs="Times New Roman"/>
              </w:rPr>
              <w:t>kaplamalı deriler (kaplama kalınlığı &gt; 0,15 mm)</w:t>
            </w:r>
          </w:p>
        </w:tc>
        <w:tc>
          <w:tcPr>
            <w:tcW w:w="2421" w:type="dxa"/>
            <w:tcBorders>
              <w:top w:val="single" w:sz="4" w:space="0" w:color="auto"/>
              <w:left w:val="single" w:sz="4" w:space="0" w:color="auto"/>
              <w:bottom w:val="single" w:sz="4" w:space="0" w:color="auto"/>
              <w:right w:val="single" w:sz="4" w:space="0" w:color="auto"/>
            </w:tcBorders>
            <w:vAlign w:val="center"/>
          </w:tcPr>
          <w:p w14:paraId="216DD73E" w14:textId="77777777" w:rsidR="008F4972" w:rsidRDefault="008F4972" w:rsidP="00B64BD1">
            <w:pPr>
              <w:jc w:val="center"/>
              <w:rPr>
                <w:rFonts w:ascii="Times New Roman" w:hAnsi="Times New Roman" w:cs="Times New Roman"/>
              </w:rPr>
            </w:pPr>
            <w:r>
              <w:rPr>
                <w:rFonts w:ascii="Times New Roman" w:hAnsi="Times New Roman" w:cs="Times New Roman"/>
              </w:rPr>
              <w:t>115-150</w:t>
            </w:r>
          </w:p>
        </w:tc>
      </w:tr>
      <w:tr w:rsidR="008F4972" w:rsidRPr="00461B74" w14:paraId="7D82B4C1" w14:textId="77777777" w:rsidTr="007770D7">
        <w:trPr>
          <w:jc w:val="center"/>
        </w:trPr>
        <w:tc>
          <w:tcPr>
            <w:tcW w:w="1781" w:type="dxa"/>
            <w:tcBorders>
              <w:top w:val="single" w:sz="4" w:space="0" w:color="auto"/>
              <w:left w:val="single" w:sz="4" w:space="0" w:color="auto"/>
              <w:bottom w:val="single" w:sz="4" w:space="0" w:color="auto"/>
              <w:right w:val="single" w:sz="4" w:space="0" w:color="auto"/>
            </w:tcBorders>
            <w:vAlign w:val="center"/>
          </w:tcPr>
          <w:p w14:paraId="76C23AA4" w14:textId="77777777" w:rsidR="008F4972" w:rsidRDefault="009D570E" w:rsidP="0024730D">
            <w:pPr>
              <w:jc w:val="both"/>
              <w:rPr>
                <w:rFonts w:ascii="Times New Roman" w:hAnsi="Times New Roman" w:cs="Times New Roman"/>
              </w:rPr>
            </w:pPr>
            <w:r>
              <w:rPr>
                <w:rFonts w:ascii="Times New Roman" w:hAnsi="Times New Roman" w:cs="Times New Roman"/>
              </w:rPr>
              <w:t>UOB</w:t>
            </w:r>
            <w:r w:rsidR="008F4972">
              <w:rPr>
                <w:rFonts w:ascii="Times New Roman" w:hAnsi="Times New Roman" w:cs="Times New Roman"/>
              </w:rPr>
              <w:t xml:space="preserve"> Emisyonları</w:t>
            </w:r>
          </w:p>
        </w:tc>
        <w:tc>
          <w:tcPr>
            <w:tcW w:w="4860" w:type="dxa"/>
            <w:gridSpan w:val="2"/>
            <w:tcBorders>
              <w:top w:val="single" w:sz="4" w:space="0" w:color="auto"/>
              <w:left w:val="single" w:sz="4" w:space="0" w:color="auto"/>
              <w:bottom w:val="single" w:sz="4" w:space="0" w:color="auto"/>
              <w:right w:val="single" w:sz="4" w:space="0" w:color="auto"/>
            </w:tcBorders>
            <w:vAlign w:val="center"/>
          </w:tcPr>
          <w:p w14:paraId="1450A5B5" w14:textId="77777777" w:rsidR="008F4972" w:rsidRDefault="00151935" w:rsidP="008F4972">
            <w:pPr>
              <w:jc w:val="center"/>
              <w:rPr>
                <w:rFonts w:ascii="Times New Roman" w:hAnsi="Times New Roman" w:cs="Times New Roman"/>
              </w:rPr>
            </w:pPr>
            <w:r>
              <w:rPr>
                <w:rFonts w:ascii="Times New Roman" w:hAnsi="Times New Roman" w:cs="Times New Roman"/>
              </w:rPr>
              <w:t>Su esaslı bitirme materyallerine alternatif olarak ekstraksiyon havalandırması ve azaltım sisteminin kullanıldığı durumlar</w:t>
            </w:r>
          </w:p>
        </w:tc>
        <w:tc>
          <w:tcPr>
            <w:tcW w:w="2421" w:type="dxa"/>
            <w:tcBorders>
              <w:top w:val="single" w:sz="4" w:space="0" w:color="auto"/>
              <w:left w:val="single" w:sz="4" w:space="0" w:color="auto"/>
              <w:bottom w:val="single" w:sz="4" w:space="0" w:color="auto"/>
              <w:right w:val="single" w:sz="4" w:space="0" w:color="auto"/>
            </w:tcBorders>
            <w:vAlign w:val="center"/>
          </w:tcPr>
          <w:p w14:paraId="74F1DB9B" w14:textId="77777777" w:rsidR="008F4972" w:rsidRDefault="00151935" w:rsidP="00B64BD1">
            <w:pPr>
              <w:jc w:val="center"/>
              <w:rPr>
                <w:rFonts w:ascii="Times New Roman" w:hAnsi="Times New Roman" w:cs="Times New Roman"/>
              </w:rPr>
            </w:pPr>
            <w:r>
              <w:rPr>
                <w:rFonts w:ascii="Times New Roman" w:hAnsi="Times New Roman" w:cs="Times New Roman"/>
              </w:rPr>
              <w:t>9-23 (</w:t>
            </w:r>
            <w:r w:rsidRPr="00151935">
              <w:rPr>
                <w:rFonts w:ascii="Times New Roman" w:hAnsi="Times New Roman" w:cs="Times New Roman"/>
                <w:vertAlign w:val="superscript"/>
              </w:rPr>
              <w:t>1</w:t>
            </w:r>
            <w:r>
              <w:rPr>
                <w:rFonts w:ascii="Times New Roman" w:hAnsi="Times New Roman" w:cs="Times New Roman"/>
              </w:rPr>
              <w:t>)</w:t>
            </w:r>
          </w:p>
        </w:tc>
      </w:tr>
      <w:tr w:rsidR="007770D7" w:rsidRPr="00461B74" w14:paraId="05DCA7D6" w14:textId="77777777" w:rsidTr="007770D7">
        <w:trPr>
          <w:jc w:val="center"/>
        </w:trPr>
        <w:tc>
          <w:tcPr>
            <w:tcW w:w="9062" w:type="dxa"/>
            <w:gridSpan w:val="4"/>
            <w:tcBorders>
              <w:top w:val="single" w:sz="4" w:space="0" w:color="auto"/>
              <w:left w:val="nil"/>
              <w:bottom w:val="nil"/>
              <w:right w:val="nil"/>
            </w:tcBorders>
            <w:vAlign w:val="center"/>
          </w:tcPr>
          <w:p w14:paraId="1A5D3C3D" w14:textId="77777777" w:rsidR="007770D7" w:rsidRPr="007770D7" w:rsidRDefault="007770D7" w:rsidP="007770D7">
            <w:pPr>
              <w:jc w:val="both"/>
              <w:rPr>
                <w:rFonts w:ascii="Times New Roman" w:hAnsi="Times New Roman" w:cs="Times New Roman"/>
                <w:i/>
                <w:iCs/>
                <w:sz w:val="20"/>
                <w:szCs w:val="20"/>
              </w:rPr>
            </w:pPr>
            <w:r>
              <w:rPr>
                <w:rFonts w:ascii="Times New Roman" w:hAnsi="Times New Roman" w:cs="Times New Roman"/>
                <w:i/>
                <w:iCs/>
                <w:sz w:val="20"/>
                <w:szCs w:val="20"/>
              </w:rPr>
              <w:t>(</w:t>
            </w:r>
            <w:r w:rsidRPr="007770D7">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00E65ADD">
              <w:rPr>
                <w:rFonts w:ascii="Times New Roman" w:hAnsi="Times New Roman" w:cs="Times New Roman"/>
                <w:i/>
                <w:iCs/>
                <w:sz w:val="20"/>
                <w:szCs w:val="20"/>
              </w:rPr>
              <w:t>Toplam karbon olarak ifade edilen MET-İES aralığı.</w:t>
            </w:r>
          </w:p>
        </w:tc>
      </w:tr>
    </w:tbl>
    <w:p w14:paraId="7D1F6EA4" w14:textId="77777777" w:rsidR="00891DB4" w:rsidRDefault="00891DB4" w:rsidP="009103A8">
      <w:pPr>
        <w:spacing w:after="120" w:line="276" w:lineRule="auto"/>
        <w:jc w:val="both"/>
        <w:rPr>
          <w:rFonts w:ascii="Times New Roman" w:hAnsi="Times New Roman" w:cs="Times New Roman"/>
          <w:sz w:val="24"/>
          <w:szCs w:val="24"/>
        </w:rPr>
      </w:pPr>
    </w:p>
    <w:p w14:paraId="39E488BB" w14:textId="77777777" w:rsidR="00DA5E46" w:rsidRPr="00687ECE" w:rsidRDefault="00DA5E46" w:rsidP="00DA5E46">
      <w:pPr>
        <w:pStyle w:val="Balk3"/>
        <w:spacing w:before="0" w:after="120" w:line="276" w:lineRule="auto"/>
        <w:jc w:val="both"/>
        <w:rPr>
          <w:rFonts w:cs="Times New Roman"/>
          <w:b w:val="0"/>
          <w:bCs/>
          <w:szCs w:val="24"/>
        </w:rPr>
      </w:pPr>
      <w:r>
        <w:rPr>
          <w:rFonts w:cs="Times New Roman"/>
          <w:bCs/>
          <w:szCs w:val="24"/>
        </w:rPr>
        <w:t xml:space="preserve">(6.3) </w:t>
      </w:r>
      <w:r w:rsidR="005069E3">
        <w:rPr>
          <w:rFonts w:cs="Times New Roman"/>
          <w:bCs/>
          <w:szCs w:val="24"/>
        </w:rPr>
        <w:t>Partikül Madde</w:t>
      </w:r>
    </w:p>
    <w:p w14:paraId="0F5E5138" w14:textId="77777777" w:rsidR="00E65ADD" w:rsidRDefault="005069E3"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20:</w:t>
      </w:r>
      <w:r>
        <w:rPr>
          <w:rFonts w:ascii="Times New Roman" w:hAnsi="Times New Roman" w:cs="Times New Roman"/>
          <w:sz w:val="24"/>
          <w:szCs w:val="24"/>
        </w:rPr>
        <w:t xml:space="preserve"> </w:t>
      </w:r>
      <w:r w:rsidR="003326CD">
        <w:rPr>
          <w:rFonts w:ascii="Times New Roman" w:hAnsi="Times New Roman" w:cs="Times New Roman"/>
          <w:sz w:val="24"/>
          <w:szCs w:val="24"/>
        </w:rPr>
        <w:t>Üretimin kuru bitirme aşamalarından kaynaklanan partikül madde hava emisyonlarını azaltmak için, torba filtre veya ıslak yıkayıcı ile donatılmış bir ekstraksiyon havalandırma sistemi kullanılır.</w:t>
      </w:r>
    </w:p>
    <w:p w14:paraId="305E784F" w14:textId="77777777" w:rsidR="003326CD" w:rsidRDefault="003326CD" w:rsidP="009103A8">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MET ile İlişkili Emisyon Seviyeleri</w:t>
      </w:r>
    </w:p>
    <w:p w14:paraId="333A338F" w14:textId="77777777" w:rsidR="003326CD" w:rsidRDefault="00A75DBD" w:rsidP="009103A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Partikül maddeye yönelik MET-İES, </w:t>
      </w:r>
      <w:r w:rsidR="00BE3E73">
        <w:rPr>
          <w:rFonts w:ascii="Times New Roman" w:hAnsi="Times New Roman" w:cs="Times New Roman"/>
          <w:sz w:val="24"/>
          <w:szCs w:val="24"/>
        </w:rPr>
        <w:t xml:space="preserve">30 dakikalık ortalama olarak ifade edilen </w:t>
      </w:r>
      <w:r w:rsidR="00EB2CCE">
        <w:rPr>
          <w:rFonts w:ascii="Times New Roman" w:hAnsi="Times New Roman" w:cs="Times New Roman"/>
          <w:sz w:val="24"/>
          <w:szCs w:val="24"/>
        </w:rPr>
        <w:t>atık havanın normal m</w:t>
      </w:r>
      <w:r w:rsidR="00EB2CCE">
        <w:rPr>
          <w:rFonts w:ascii="Times New Roman" w:hAnsi="Times New Roman" w:cs="Times New Roman"/>
          <w:sz w:val="24"/>
          <w:szCs w:val="24"/>
          <w:vertAlign w:val="superscript"/>
        </w:rPr>
        <w:t>3</w:t>
      </w:r>
      <w:r w:rsidR="000C2E04">
        <w:rPr>
          <w:rFonts w:ascii="Times New Roman" w:hAnsi="Times New Roman" w:cs="Times New Roman"/>
          <w:sz w:val="24"/>
          <w:szCs w:val="24"/>
        </w:rPr>
        <w:t>’</w:t>
      </w:r>
      <w:r w:rsidR="00EB2CCE">
        <w:rPr>
          <w:rFonts w:ascii="Times New Roman" w:hAnsi="Times New Roman" w:cs="Times New Roman"/>
          <w:sz w:val="24"/>
          <w:szCs w:val="24"/>
        </w:rPr>
        <w:t>ü başına 3-6 mg’dır.</w:t>
      </w:r>
    </w:p>
    <w:p w14:paraId="5AD8CC04" w14:textId="77777777" w:rsidR="009B44FF" w:rsidRPr="009C5B1E" w:rsidRDefault="009B44FF" w:rsidP="009B44FF">
      <w:pPr>
        <w:pStyle w:val="Balk2"/>
        <w:spacing w:before="0" w:after="120" w:line="276" w:lineRule="auto"/>
        <w:jc w:val="both"/>
        <w:rPr>
          <w:rFonts w:cs="Times New Roman"/>
          <w:b/>
          <w:bCs/>
          <w:szCs w:val="24"/>
        </w:rPr>
      </w:pPr>
      <w:r>
        <w:rPr>
          <w:rFonts w:cs="Times New Roman"/>
          <w:b/>
          <w:bCs/>
          <w:szCs w:val="24"/>
        </w:rPr>
        <w:lastRenderedPageBreak/>
        <w:t xml:space="preserve">(7) </w:t>
      </w:r>
      <w:r w:rsidR="00540A73">
        <w:rPr>
          <w:rFonts w:cs="Times New Roman"/>
          <w:b/>
          <w:bCs/>
          <w:szCs w:val="24"/>
        </w:rPr>
        <w:t>Atık Yönetimi</w:t>
      </w:r>
    </w:p>
    <w:p w14:paraId="4A1791D7" w14:textId="77777777" w:rsidR="008A4513" w:rsidRDefault="00540A73" w:rsidP="009103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21:</w:t>
      </w:r>
      <w:r>
        <w:rPr>
          <w:rFonts w:ascii="Times New Roman" w:hAnsi="Times New Roman" w:cs="Times New Roman"/>
          <w:sz w:val="24"/>
          <w:szCs w:val="24"/>
        </w:rPr>
        <w:t xml:space="preserve"> </w:t>
      </w:r>
      <w:r w:rsidR="00FE36A7">
        <w:rPr>
          <w:rFonts w:ascii="Times New Roman" w:hAnsi="Times New Roman" w:cs="Times New Roman"/>
          <w:sz w:val="24"/>
          <w:szCs w:val="24"/>
        </w:rPr>
        <w:t>Bertarafa gönderilen atık miktarını sınırlandırmak için sahadaki faaliyetler, aşağıdakiler de dahil olmak üzere</w:t>
      </w:r>
      <w:r w:rsidR="006E05E8">
        <w:rPr>
          <w:rFonts w:ascii="Times New Roman" w:hAnsi="Times New Roman" w:cs="Times New Roman"/>
          <w:sz w:val="24"/>
          <w:szCs w:val="24"/>
        </w:rPr>
        <w:t xml:space="preserve"> hayvansal</w:t>
      </w:r>
      <w:r w:rsidR="00FE36A7">
        <w:rPr>
          <w:rFonts w:ascii="Times New Roman" w:hAnsi="Times New Roman" w:cs="Times New Roman"/>
          <w:sz w:val="24"/>
          <w:szCs w:val="24"/>
        </w:rPr>
        <w:t xml:space="preserve"> yan ürün olarak ortaya çıkan proses kalıntıları oranını maksimuma çıkaracak şekilde düzenlenir:</w:t>
      </w:r>
    </w:p>
    <w:tbl>
      <w:tblPr>
        <w:tblStyle w:val="TabloKlavuzu"/>
        <w:tblW w:w="0" w:type="auto"/>
        <w:jc w:val="center"/>
        <w:tblLook w:val="04A0" w:firstRow="1" w:lastRow="0" w:firstColumn="1" w:lastColumn="0" w:noHBand="0" w:noVBand="1"/>
      </w:tblPr>
      <w:tblGrid>
        <w:gridCol w:w="3964"/>
        <w:gridCol w:w="5098"/>
      </w:tblGrid>
      <w:tr w:rsidR="00131388" w:rsidRPr="00131388" w14:paraId="3F8946F6" w14:textId="77777777" w:rsidTr="00131388">
        <w:trPr>
          <w:tblHeader/>
          <w:jc w:val="center"/>
        </w:trPr>
        <w:tc>
          <w:tcPr>
            <w:tcW w:w="3964" w:type="dxa"/>
            <w:vAlign w:val="center"/>
          </w:tcPr>
          <w:p w14:paraId="0542BD86" w14:textId="77777777" w:rsidR="00131388" w:rsidRPr="00131388" w:rsidRDefault="00131388" w:rsidP="00131388">
            <w:pPr>
              <w:jc w:val="center"/>
              <w:rPr>
                <w:rFonts w:ascii="Times New Roman" w:hAnsi="Times New Roman" w:cs="Times New Roman"/>
                <w:b/>
                <w:bCs/>
              </w:rPr>
            </w:pPr>
            <w:r>
              <w:rPr>
                <w:rFonts w:ascii="Times New Roman" w:hAnsi="Times New Roman" w:cs="Times New Roman"/>
                <w:b/>
                <w:bCs/>
              </w:rPr>
              <w:t>Proses Kalıntısı</w:t>
            </w:r>
          </w:p>
        </w:tc>
        <w:tc>
          <w:tcPr>
            <w:tcW w:w="5098" w:type="dxa"/>
            <w:vAlign w:val="center"/>
          </w:tcPr>
          <w:p w14:paraId="6C6D7E0A" w14:textId="77777777" w:rsidR="00131388" w:rsidRPr="00131388" w:rsidRDefault="00131388" w:rsidP="00131388">
            <w:pPr>
              <w:jc w:val="center"/>
              <w:rPr>
                <w:rFonts w:ascii="Times New Roman" w:hAnsi="Times New Roman" w:cs="Times New Roman"/>
                <w:b/>
                <w:bCs/>
              </w:rPr>
            </w:pPr>
            <w:r>
              <w:rPr>
                <w:rFonts w:ascii="Times New Roman" w:hAnsi="Times New Roman" w:cs="Times New Roman"/>
                <w:b/>
                <w:bCs/>
              </w:rPr>
              <w:t>Yan Ürün Olarak Kullanım</w:t>
            </w:r>
          </w:p>
        </w:tc>
      </w:tr>
      <w:tr w:rsidR="00131388" w:rsidRPr="00131388" w14:paraId="5A44AB59" w14:textId="77777777" w:rsidTr="00131388">
        <w:trPr>
          <w:jc w:val="center"/>
        </w:trPr>
        <w:tc>
          <w:tcPr>
            <w:tcW w:w="3964" w:type="dxa"/>
            <w:vAlign w:val="center"/>
          </w:tcPr>
          <w:p w14:paraId="107412A1" w14:textId="77777777" w:rsidR="00131388" w:rsidRPr="00131388" w:rsidRDefault="00C83C83" w:rsidP="00131388">
            <w:pPr>
              <w:jc w:val="center"/>
              <w:rPr>
                <w:rFonts w:ascii="Times New Roman" w:hAnsi="Times New Roman" w:cs="Times New Roman"/>
              </w:rPr>
            </w:pPr>
            <w:r>
              <w:rPr>
                <w:rFonts w:ascii="Times New Roman" w:hAnsi="Times New Roman" w:cs="Times New Roman"/>
              </w:rPr>
              <w:t>Kıl ve Yün</w:t>
            </w:r>
          </w:p>
        </w:tc>
        <w:tc>
          <w:tcPr>
            <w:tcW w:w="5098" w:type="dxa"/>
            <w:vAlign w:val="center"/>
          </w:tcPr>
          <w:p w14:paraId="4FFB53FF" w14:textId="77777777" w:rsidR="00131388" w:rsidRDefault="00C83C83" w:rsidP="00C83C83">
            <w:pPr>
              <w:jc w:val="both"/>
              <w:rPr>
                <w:rFonts w:ascii="Times New Roman" w:hAnsi="Times New Roman" w:cs="Times New Roman"/>
              </w:rPr>
            </w:pPr>
            <w:r>
              <w:rPr>
                <w:rFonts w:ascii="Times New Roman" w:hAnsi="Times New Roman" w:cs="Times New Roman"/>
              </w:rPr>
              <w:t>-- Dolgu materyali</w:t>
            </w:r>
          </w:p>
          <w:p w14:paraId="77D24F99" w14:textId="77777777" w:rsidR="00C83C83" w:rsidRPr="00131388" w:rsidRDefault="00C83C83" w:rsidP="00C83C83">
            <w:pPr>
              <w:jc w:val="both"/>
              <w:rPr>
                <w:rFonts w:ascii="Times New Roman" w:hAnsi="Times New Roman" w:cs="Times New Roman"/>
              </w:rPr>
            </w:pPr>
            <w:r>
              <w:rPr>
                <w:rFonts w:ascii="Times New Roman" w:hAnsi="Times New Roman" w:cs="Times New Roman"/>
              </w:rPr>
              <w:t>-- Yü</w:t>
            </w:r>
            <w:r w:rsidR="00574272">
              <w:rPr>
                <w:rFonts w:ascii="Times New Roman" w:hAnsi="Times New Roman" w:cs="Times New Roman"/>
              </w:rPr>
              <w:t>n</w:t>
            </w:r>
            <w:r>
              <w:rPr>
                <w:rFonts w:ascii="Times New Roman" w:hAnsi="Times New Roman" w:cs="Times New Roman"/>
              </w:rPr>
              <w:t xml:space="preserve"> tekstil ürünleri</w:t>
            </w:r>
          </w:p>
        </w:tc>
      </w:tr>
      <w:tr w:rsidR="00131388" w:rsidRPr="00131388" w14:paraId="79D4941D" w14:textId="77777777" w:rsidTr="00131388">
        <w:trPr>
          <w:jc w:val="center"/>
        </w:trPr>
        <w:tc>
          <w:tcPr>
            <w:tcW w:w="3964" w:type="dxa"/>
            <w:vAlign w:val="center"/>
          </w:tcPr>
          <w:p w14:paraId="176E5E76" w14:textId="77777777" w:rsidR="00131388" w:rsidRPr="00131388" w:rsidRDefault="00C83C83" w:rsidP="00131388">
            <w:pPr>
              <w:jc w:val="center"/>
              <w:rPr>
                <w:rFonts w:ascii="Times New Roman" w:hAnsi="Times New Roman" w:cs="Times New Roman"/>
              </w:rPr>
            </w:pPr>
            <w:r>
              <w:rPr>
                <w:rFonts w:ascii="Times New Roman" w:hAnsi="Times New Roman" w:cs="Times New Roman"/>
              </w:rPr>
              <w:t>Kireçlenmiş Kırpıntılar</w:t>
            </w:r>
          </w:p>
        </w:tc>
        <w:tc>
          <w:tcPr>
            <w:tcW w:w="5098" w:type="dxa"/>
            <w:vAlign w:val="center"/>
          </w:tcPr>
          <w:p w14:paraId="002A8247" w14:textId="77777777" w:rsidR="00A624FD" w:rsidRPr="00131388" w:rsidRDefault="00C83C83" w:rsidP="00C83C83">
            <w:pPr>
              <w:jc w:val="both"/>
              <w:rPr>
                <w:rFonts w:ascii="Times New Roman" w:hAnsi="Times New Roman" w:cs="Times New Roman"/>
              </w:rPr>
            </w:pPr>
            <w:r>
              <w:rPr>
                <w:rFonts w:ascii="Times New Roman" w:hAnsi="Times New Roman" w:cs="Times New Roman"/>
              </w:rPr>
              <w:t>-- Kolajen Üretimi</w:t>
            </w:r>
          </w:p>
        </w:tc>
      </w:tr>
      <w:tr w:rsidR="00131388" w:rsidRPr="00131388" w14:paraId="7D78A4E6" w14:textId="77777777" w:rsidTr="00131388">
        <w:trPr>
          <w:jc w:val="center"/>
        </w:trPr>
        <w:tc>
          <w:tcPr>
            <w:tcW w:w="3964" w:type="dxa"/>
            <w:vAlign w:val="center"/>
          </w:tcPr>
          <w:p w14:paraId="6B4310D3" w14:textId="77777777" w:rsidR="00131388" w:rsidRPr="00131388" w:rsidRDefault="00574272" w:rsidP="00131388">
            <w:pPr>
              <w:jc w:val="center"/>
              <w:rPr>
                <w:rFonts w:ascii="Times New Roman" w:hAnsi="Times New Roman" w:cs="Times New Roman"/>
              </w:rPr>
            </w:pPr>
            <w:r>
              <w:rPr>
                <w:rFonts w:ascii="Times New Roman" w:hAnsi="Times New Roman" w:cs="Times New Roman"/>
              </w:rPr>
              <w:t>Tabaklanmamış Kısımlar</w:t>
            </w:r>
          </w:p>
        </w:tc>
        <w:tc>
          <w:tcPr>
            <w:tcW w:w="5098" w:type="dxa"/>
            <w:vAlign w:val="center"/>
          </w:tcPr>
          <w:p w14:paraId="06E95349" w14:textId="77777777" w:rsidR="00131388" w:rsidRDefault="00574272" w:rsidP="00C83C83">
            <w:pPr>
              <w:jc w:val="both"/>
              <w:rPr>
                <w:rFonts w:ascii="Times New Roman" w:hAnsi="Times New Roman" w:cs="Times New Roman"/>
              </w:rPr>
            </w:pPr>
            <w:r>
              <w:rPr>
                <w:rFonts w:ascii="Times New Roman" w:hAnsi="Times New Roman" w:cs="Times New Roman"/>
              </w:rPr>
              <w:t>-- Deri olarak işleme</w:t>
            </w:r>
          </w:p>
          <w:p w14:paraId="402CC8E6" w14:textId="77777777" w:rsidR="00574272" w:rsidRDefault="00574272" w:rsidP="00C83C83">
            <w:pPr>
              <w:jc w:val="both"/>
              <w:rPr>
                <w:rFonts w:ascii="Times New Roman" w:hAnsi="Times New Roman" w:cs="Times New Roman"/>
              </w:rPr>
            </w:pPr>
            <w:r>
              <w:rPr>
                <w:rFonts w:ascii="Times New Roman" w:hAnsi="Times New Roman" w:cs="Times New Roman"/>
              </w:rPr>
              <w:t>-- Sucuk/sosis muhafazası üretimi</w:t>
            </w:r>
          </w:p>
          <w:p w14:paraId="1123EDEF" w14:textId="77777777" w:rsidR="00574272" w:rsidRDefault="00574272" w:rsidP="00C83C83">
            <w:pPr>
              <w:jc w:val="both"/>
              <w:rPr>
                <w:rFonts w:ascii="Times New Roman" w:hAnsi="Times New Roman" w:cs="Times New Roman"/>
              </w:rPr>
            </w:pPr>
            <w:r>
              <w:rPr>
                <w:rFonts w:ascii="Times New Roman" w:hAnsi="Times New Roman" w:cs="Times New Roman"/>
              </w:rPr>
              <w:t>-- Kolajen üretimi</w:t>
            </w:r>
          </w:p>
          <w:p w14:paraId="2A6B9D27" w14:textId="77777777" w:rsidR="00574272" w:rsidRPr="00131388" w:rsidRDefault="00574272" w:rsidP="00C83C83">
            <w:pPr>
              <w:jc w:val="both"/>
              <w:rPr>
                <w:rFonts w:ascii="Times New Roman" w:hAnsi="Times New Roman" w:cs="Times New Roman"/>
              </w:rPr>
            </w:pPr>
            <w:r>
              <w:rPr>
                <w:rFonts w:ascii="Times New Roman" w:hAnsi="Times New Roman" w:cs="Times New Roman"/>
              </w:rPr>
              <w:t>-- Köpek ödül maması</w:t>
            </w:r>
          </w:p>
        </w:tc>
      </w:tr>
      <w:tr w:rsidR="00131388" w:rsidRPr="00131388" w14:paraId="7F510584" w14:textId="77777777" w:rsidTr="00131388">
        <w:trPr>
          <w:jc w:val="center"/>
        </w:trPr>
        <w:tc>
          <w:tcPr>
            <w:tcW w:w="3964" w:type="dxa"/>
            <w:vAlign w:val="center"/>
          </w:tcPr>
          <w:p w14:paraId="185B138D" w14:textId="77777777" w:rsidR="00131388" w:rsidRPr="00131388" w:rsidRDefault="00574272" w:rsidP="00131388">
            <w:pPr>
              <w:jc w:val="center"/>
              <w:rPr>
                <w:rFonts w:ascii="Times New Roman" w:hAnsi="Times New Roman" w:cs="Times New Roman"/>
              </w:rPr>
            </w:pPr>
            <w:r>
              <w:rPr>
                <w:rFonts w:ascii="Times New Roman" w:hAnsi="Times New Roman" w:cs="Times New Roman"/>
              </w:rPr>
              <w:t>Tabaklanmış Kısımlar ve Kırpıntılar</w:t>
            </w:r>
          </w:p>
        </w:tc>
        <w:tc>
          <w:tcPr>
            <w:tcW w:w="5098" w:type="dxa"/>
            <w:vAlign w:val="center"/>
          </w:tcPr>
          <w:p w14:paraId="7909D5C5" w14:textId="77777777" w:rsidR="00131388" w:rsidRDefault="00574272" w:rsidP="00C83C83">
            <w:pPr>
              <w:jc w:val="both"/>
              <w:rPr>
                <w:rFonts w:ascii="Times New Roman" w:hAnsi="Times New Roman" w:cs="Times New Roman"/>
              </w:rPr>
            </w:pPr>
            <w:r>
              <w:rPr>
                <w:rFonts w:ascii="Times New Roman" w:hAnsi="Times New Roman" w:cs="Times New Roman"/>
              </w:rPr>
              <w:t>-- Yama işi, küçük deri ürünlerde vb. kullanım için bitirme</w:t>
            </w:r>
          </w:p>
          <w:p w14:paraId="095AE6B3" w14:textId="77777777" w:rsidR="00574272" w:rsidRPr="00131388" w:rsidRDefault="00574272" w:rsidP="00C83C83">
            <w:pPr>
              <w:jc w:val="both"/>
              <w:rPr>
                <w:rFonts w:ascii="Times New Roman" w:hAnsi="Times New Roman" w:cs="Times New Roman"/>
              </w:rPr>
            </w:pPr>
            <w:r>
              <w:rPr>
                <w:rFonts w:ascii="Times New Roman" w:hAnsi="Times New Roman" w:cs="Times New Roman"/>
              </w:rPr>
              <w:t>-- Kolajen üretimi</w:t>
            </w:r>
          </w:p>
        </w:tc>
      </w:tr>
    </w:tbl>
    <w:p w14:paraId="624D8466" w14:textId="77777777" w:rsidR="00FE36A7" w:rsidRDefault="00FE36A7" w:rsidP="00574272">
      <w:pPr>
        <w:spacing w:after="120" w:line="276" w:lineRule="auto"/>
        <w:jc w:val="both"/>
        <w:rPr>
          <w:rFonts w:ascii="Times New Roman" w:hAnsi="Times New Roman" w:cs="Times New Roman"/>
          <w:sz w:val="24"/>
          <w:szCs w:val="24"/>
        </w:rPr>
      </w:pPr>
    </w:p>
    <w:p w14:paraId="52DD292D" w14:textId="77777777" w:rsidR="00574272" w:rsidRDefault="00574272"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22:</w:t>
      </w:r>
      <w:r>
        <w:rPr>
          <w:rFonts w:ascii="Times New Roman" w:hAnsi="Times New Roman" w:cs="Times New Roman"/>
          <w:sz w:val="24"/>
          <w:szCs w:val="24"/>
        </w:rPr>
        <w:t xml:space="preserve"> </w:t>
      </w:r>
      <w:r w:rsidR="00180E5C">
        <w:rPr>
          <w:rFonts w:ascii="Times New Roman" w:hAnsi="Times New Roman" w:cs="Times New Roman"/>
          <w:sz w:val="24"/>
          <w:szCs w:val="24"/>
        </w:rPr>
        <w:t>Bertarafa gönderilen atık miktarını sınırlandırmak için sahadaki faaliyetler, atık</w:t>
      </w:r>
      <w:r w:rsidR="006E05E8">
        <w:rPr>
          <w:rFonts w:ascii="Times New Roman" w:hAnsi="Times New Roman" w:cs="Times New Roman"/>
          <w:sz w:val="24"/>
          <w:szCs w:val="24"/>
        </w:rPr>
        <w:t>ların</w:t>
      </w:r>
      <w:r w:rsidR="00180E5C">
        <w:rPr>
          <w:rFonts w:ascii="Times New Roman" w:hAnsi="Times New Roman" w:cs="Times New Roman"/>
          <w:sz w:val="24"/>
          <w:szCs w:val="24"/>
        </w:rPr>
        <w:t xml:space="preserve"> yeniden kullanımını veya bunun başarılamadığı durumlarda atık geri </w:t>
      </w:r>
      <w:r w:rsidR="006E05E8">
        <w:rPr>
          <w:rFonts w:ascii="Times New Roman" w:hAnsi="Times New Roman" w:cs="Times New Roman"/>
          <w:sz w:val="24"/>
          <w:szCs w:val="24"/>
        </w:rPr>
        <w:t>kazanımını</w:t>
      </w:r>
      <w:r w:rsidR="00180E5C">
        <w:rPr>
          <w:rFonts w:ascii="Times New Roman" w:hAnsi="Times New Roman" w:cs="Times New Roman"/>
          <w:sz w:val="24"/>
          <w:szCs w:val="24"/>
        </w:rPr>
        <w:t xml:space="preserve"> veya bunun başarılamadığı durumlarda, aşağıdakiler de dahil olmak üzere, ‘diğer geri kazanım’ yollarını kolaylaştıracak şekilde düzenlenir:</w:t>
      </w:r>
    </w:p>
    <w:tbl>
      <w:tblPr>
        <w:tblStyle w:val="TabloKlavuzu"/>
        <w:tblW w:w="0" w:type="auto"/>
        <w:jc w:val="center"/>
        <w:tblLook w:val="04A0" w:firstRow="1" w:lastRow="0" w:firstColumn="1" w:lastColumn="0" w:noHBand="0" w:noVBand="1"/>
      </w:tblPr>
      <w:tblGrid>
        <w:gridCol w:w="2123"/>
        <w:gridCol w:w="2044"/>
        <w:gridCol w:w="2296"/>
        <w:gridCol w:w="2599"/>
      </w:tblGrid>
      <w:tr w:rsidR="00180E5C" w:rsidRPr="00131388" w14:paraId="26F81842" w14:textId="77777777" w:rsidTr="00180E5C">
        <w:trPr>
          <w:tblHeader/>
          <w:jc w:val="center"/>
        </w:trPr>
        <w:tc>
          <w:tcPr>
            <w:tcW w:w="2123" w:type="dxa"/>
            <w:vAlign w:val="center"/>
          </w:tcPr>
          <w:p w14:paraId="09818150" w14:textId="77777777" w:rsidR="00180E5C" w:rsidRPr="00131388" w:rsidRDefault="00180E5C" w:rsidP="00180E5C">
            <w:pPr>
              <w:jc w:val="center"/>
              <w:rPr>
                <w:rFonts w:ascii="Times New Roman" w:hAnsi="Times New Roman" w:cs="Times New Roman"/>
                <w:b/>
                <w:bCs/>
              </w:rPr>
            </w:pPr>
            <w:r>
              <w:rPr>
                <w:rFonts w:ascii="Times New Roman" w:hAnsi="Times New Roman" w:cs="Times New Roman"/>
                <w:b/>
                <w:bCs/>
              </w:rPr>
              <w:t>Atık</w:t>
            </w:r>
          </w:p>
        </w:tc>
        <w:tc>
          <w:tcPr>
            <w:tcW w:w="2044" w:type="dxa"/>
            <w:vAlign w:val="center"/>
          </w:tcPr>
          <w:p w14:paraId="484A84FF" w14:textId="77777777" w:rsidR="00180E5C" w:rsidRDefault="00180E5C" w:rsidP="00180E5C">
            <w:pPr>
              <w:jc w:val="center"/>
              <w:rPr>
                <w:rFonts w:ascii="Times New Roman" w:hAnsi="Times New Roman" w:cs="Times New Roman"/>
                <w:b/>
                <w:bCs/>
              </w:rPr>
            </w:pPr>
            <w:r>
              <w:rPr>
                <w:rFonts w:ascii="Times New Roman" w:hAnsi="Times New Roman" w:cs="Times New Roman"/>
                <w:b/>
                <w:bCs/>
              </w:rPr>
              <w:t>Hazırlamadan Sonra Yeniden Kullanım</w:t>
            </w:r>
          </w:p>
        </w:tc>
        <w:tc>
          <w:tcPr>
            <w:tcW w:w="2296" w:type="dxa"/>
            <w:vAlign w:val="center"/>
          </w:tcPr>
          <w:p w14:paraId="6DDD078C" w14:textId="77777777" w:rsidR="00180E5C" w:rsidRDefault="00180E5C" w:rsidP="00180E5C">
            <w:pPr>
              <w:jc w:val="center"/>
              <w:rPr>
                <w:rFonts w:ascii="Times New Roman" w:hAnsi="Times New Roman" w:cs="Times New Roman"/>
                <w:b/>
                <w:bCs/>
              </w:rPr>
            </w:pPr>
            <w:r>
              <w:rPr>
                <w:rFonts w:ascii="Times New Roman" w:hAnsi="Times New Roman" w:cs="Times New Roman"/>
                <w:b/>
                <w:bCs/>
              </w:rPr>
              <w:t>Aşağıdakiler Olarak Geri Dönüşüm</w:t>
            </w:r>
          </w:p>
        </w:tc>
        <w:tc>
          <w:tcPr>
            <w:tcW w:w="2599" w:type="dxa"/>
            <w:vAlign w:val="center"/>
          </w:tcPr>
          <w:p w14:paraId="537768B0" w14:textId="77777777" w:rsidR="00180E5C" w:rsidRPr="00131388" w:rsidRDefault="00180E5C" w:rsidP="00180E5C">
            <w:pPr>
              <w:jc w:val="center"/>
              <w:rPr>
                <w:rFonts w:ascii="Times New Roman" w:hAnsi="Times New Roman" w:cs="Times New Roman"/>
                <w:b/>
                <w:bCs/>
              </w:rPr>
            </w:pPr>
            <w:r>
              <w:rPr>
                <w:rFonts w:ascii="Times New Roman" w:hAnsi="Times New Roman" w:cs="Times New Roman"/>
                <w:b/>
                <w:bCs/>
              </w:rPr>
              <w:t>Diğer Geri Kazanım</w:t>
            </w:r>
          </w:p>
        </w:tc>
      </w:tr>
      <w:tr w:rsidR="00180E5C" w:rsidRPr="00131388" w14:paraId="265C262C" w14:textId="77777777" w:rsidTr="00180E5C">
        <w:trPr>
          <w:jc w:val="center"/>
        </w:trPr>
        <w:tc>
          <w:tcPr>
            <w:tcW w:w="2123" w:type="dxa"/>
            <w:vAlign w:val="center"/>
          </w:tcPr>
          <w:p w14:paraId="16C75A2B"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Kıl ve Yün</w:t>
            </w:r>
          </w:p>
        </w:tc>
        <w:tc>
          <w:tcPr>
            <w:tcW w:w="2044" w:type="dxa"/>
            <w:vAlign w:val="center"/>
          </w:tcPr>
          <w:p w14:paraId="78DAF451" w14:textId="77777777" w:rsidR="00180E5C" w:rsidRPr="00131388" w:rsidRDefault="00180E5C" w:rsidP="00180E5C">
            <w:pPr>
              <w:jc w:val="both"/>
              <w:rPr>
                <w:rFonts w:ascii="Times New Roman" w:hAnsi="Times New Roman" w:cs="Times New Roman"/>
              </w:rPr>
            </w:pPr>
            <w:r>
              <w:rPr>
                <w:rFonts w:ascii="Times New Roman" w:hAnsi="Times New Roman" w:cs="Times New Roman"/>
              </w:rPr>
              <w:t>-- Protein hidrolizat üretimi</w:t>
            </w:r>
          </w:p>
        </w:tc>
        <w:tc>
          <w:tcPr>
            <w:tcW w:w="2296" w:type="dxa"/>
            <w:vAlign w:val="center"/>
          </w:tcPr>
          <w:p w14:paraId="02DBB952"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Gübre</w:t>
            </w:r>
          </w:p>
        </w:tc>
        <w:tc>
          <w:tcPr>
            <w:tcW w:w="2599" w:type="dxa"/>
            <w:vAlign w:val="center"/>
          </w:tcPr>
          <w:p w14:paraId="426135DD"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Enerji Geri Kazanımı</w:t>
            </w:r>
          </w:p>
        </w:tc>
      </w:tr>
      <w:tr w:rsidR="00180E5C" w:rsidRPr="00131388" w14:paraId="74427E94" w14:textId="77777777" w:rsidTr="00180E5C">
        <w:trPr>
          <w:jc w:val="center"/>
        </w:trPr>
        <w:tc>
          <w:tcPr>
            <w:tcW w:w="2123" w:type="dxa"/>
            <w:vAlign w:val="center"/>
          </w:tcPr>
          <w:p w14:paraId="38312A05"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Ham Kırpıntılar</w:t>
            </w:r>
          </w:p>
        </w:tc>
        <w:tc>
          <w:tcPr>
            <w:tcW w:w="2044" w:type="dxa"/>
            <w:vAlign w:val="center"/>
          </w:tcPr>
          <w:p w14:paraId="5125D8F5" w14:textId="77777777" w:rsidR="00180E5C" w:rsidRPr="00131388" w:rsidRDefault="00180E5C" w:rsidP="00180E5C">
            <w:pPr>
              <w:jc w:val="both"/>
              <w:rPr>
                <w:rFonts w:ascii="Times New Roman" w:hAnsi="Times New Roman" w:cs="Times New Roman"/>
              </w:rPr>
            </w:pPr>
            <w:r>
              <w:rPr>
                <w:rFonts w:ascii="Times New Roman" w:hAnsi="Times New Roman" w:cs="Times New Roman"/>
              </w:rPr>
              <w:t>-</w:t>
            </w:r>
          </w:p>
        </w:tc>
        <w:tc>
          <w:tcPr>
            <w:tcW w:w="2296" w:type="dxa"/>
            <w:vAlign w:val="center"/>
          </w:tcPr>
          <w:p w14:paraId="3401125C"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Deri Tutkal</w:t>
            </w:r>
          </w:p>
        </w:tc>
        <w:tc>
          <w:tcPr>
            <w:tcW w:w="2599" w:type="dxa"/>
            <w:vAlign w:val="center"/>
          </w:tcPr>
          <w:p w14:paraId="282A27B8"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Enerji Geri Kazanımı</w:t>
            </w:r>
          </w:p>
        </w:tc>
      </w:tr>
      <w:tr w:rsidR="00180E5C" w:rsidRPr="00131388" w14:paraId="59F66BF6" w14:textId="77777777" w:rsidTr="00180E5C">
        <w:trPr>
          <w:jc w:val="center"/>
        </w:trPr>
        <w:tc>
          <w:tcPr>
            <w:tcW w:w="2123" w:type="dxa"/>
            <w:vAlign w:val="center"/>
          </w:tcPr>
          <w:p w14:paraId="35FEF192"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Kireçlenmiş Kırpıntılar</w:t>
            </w:r>
          </w:p>
        </w:tc>
        <w:tc>
          <w:tcPr>
            <w:tcW w:w="2044" w:type="dxa"/>
            <w:vAlign w:val="center"/>
          </w:tcPr>
          <w:p w14:paraId="108646FB" w14:textId="77777777" w:rsidR="00180E5C" w:rsidRDefault="00180E5C" w:rsidP="00180E5C">
            <w:pPr>
              <w:jc w:val="both"/>
              <w:rPr>
                <w:rFonts w:ascii="Times New Roman" w:hAnsi="Times New Roman" w:cs="Times New Roman"/>
              </w:rPr>
            </w:pPr>
            <w:r>
              <w:rPr>
                <w:rFonts w:ascii="Times New Roman" w:hAnsi="Times New Roman" w:cs="Times New Roman"/>
              </w:rPr>
              <w:t>-- İç yağı</w:t>
            </w:r>
          </w:p>
          <w:p w14:paraId="0A5DD5F7" w14:textId="77777777" w:rsidR="00180E5C" w:rsidRPr="00131388" w:rsidRDefault="00180E5C" w:rsidP="00180E5C">
            <w:pPr>
              <w:jc w:val="both"/>
              <w:rPr>
                <w:rFonts w:ascii="Times New Roman" w:hAnsi="Times New Roman" w:cs="Times New Roman"/>
              </w:rPr>
            </w:pPr>
            <w:r>
              <w:rPr>
                <w:rFonts w:ascii="Times New Roman" w:hAnsi="Times New Roman" w:cs="Times New Roman"/>
              </w:rPr>
              <w:t>-- Teknik jelatin üretimi</w:t>
            </w:r>
          </w:p>
        </w:tc>
        <w:tc>
          <w:tcPr>
            <w:tcW w:w="2296" w:type="dxa"/>
            <w:vAlign w:val="center"/>
          </w:tcPr>
          <w:p w14:paraId="4CE622D8"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Deri Tutkal</w:t>
            </w:r>
          </w:p>
        </w:tc>
        <w:tc>
          <w:tcPr>
            <w:tcW w:w="2599" w:type="dxa"/>
            <w:vAlign w:val="center"/>
          </w:tcPr>
          <w:p w14:paraId="33D3A890"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w:t>
            </w:r>
          </w:p>
        </w:tc>
      </w:tr>
      <w:tr w:rsidR="00180E5C" w:rsidRPr="00131388" w14:paraId="3BCA0A10" w14:textId="77777777" w:rsidTr="00180E5C">
        <w:trPr>
          <w:jc w:val="center"/>
        </w:trPr>
        <w:tc>
          <w:tcPr>
            <w:tcW w:w="2123" w:type="dxa"/>
            <w:vAlign w:val="center"/>
          </w:tcPr>
          <w:p w14:paraId="5D98996D"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Deri veya Posttan Çıkan Et Parçaları</w:t>
            </w:r>
          </w:p>
        </w:tc>
        <w:tc>
          <w:tcPr>
            <w:tcW w:w="2044" w:type="dxa"/>
            <w:vAlign w:val="center"/>
          </w:tcPr>
          <w:p w14:paraId="4242DB5D" w14:textId="77777777" w:rsidR="00180E5C" w:rsidRDefault="00180E5C" w:rsidP="00180E5C">
            <w:pPr>
              <w:jc w:val="both"/>
              <w:rPr>
                <w:rFonts w:ascii="Times New Roman" w:hAnsi="Times New Roman" w:cs="Times New Roman"/>
              </w:rPr>
            </w:pPr>
            <w:r>
              <w:rPr>
                <w:rFonts w:ascii="Times New Roman" w:hAnsi="Times New Roman" w:cs="Times New Roman"/>
              </w:rPr>
              <w:t>-- Protein hidrolizat üretimi</w:t>
            </w:r>
          </w:p>
          <w:p w14:paraId="19E666CA" w14:textId="77777777" w:rsidR="00180E5C" w:rsidRPr="00131388" w:rsidRDefault="00180E5C" w:rsidP="00180E5C">
            <w:pPr>
              <w:jc w:val="both"/>
              <w:rPr>
                <w:rFonts w:ascii="Times New Roman" w:hAnsi="Times New Roman" w:cs="Times New Roman"/>
              </w:rPr>
            </w:pPr>
            <w:r>
              <w:rPr>
                <w:rFonts w:ascii="Times New Roman" w:hAnsi="Times New Roman" w:cs="Times New Roman"/>
              </w:rPr>
              <w:t>-- İç Yağı</w:t>
            </w:r>
          </w:p>
        </w:tc>
        <w:tc>
          <w:tcPr>
            <w:tcW w:w="2296" w:type="dxa"/>
            <w:vAlign w:val="center"/>
          </w:tcPr>
          <w:p w14:paraId="37020B5B"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Deri Tutkal</w:t>
            </w:r>
          </w:p>
        </w:tc>
        <w:tc>
          <w:tcPr>
            <w:tcW w:w="2599" w:type="dxa"/>
            <w:vAlign w:val="center"/>
          </w:tcPr>
          <w:p w14:paraId="647A6FD5" w14:textId="77777777" w:rsidR="00180E5C" w:rsidRDefault="006E05E8" w:rsidP="00180E5C">
            <w:pPr>
              <w:jc w:val="center"/>
              <w:rPr>
                <w:rFonts w:ascii="Times New Roman" w:hAnsi="Times New Roman" w:cs="Times New Roman"/>
              </w:rPr>
            </w:pPr>
            <w:r>
              <w:rPr>
                <w:rFonts w:ascii="Times New Roman" w:hAnsi="Times New Roman" w:cs="Times New Roman"/>
              </w:rPr>
              <w:t>Ek</w:t>
            </w:r>
            <w:r w:rsidR="00180E5C">
              <w:rPr>
                <w:rFonts w:ascii="Times New Roman" w:hAnsi="Times New Roman" w:cs="Times New Roman"/>
              </w:rPr>
              <w:t xml:space="preserve"> Yakıt Üretimi</w:t>
            </w:r>
          </w:p>
          <w:p w14:paraId="48212D0C" w14:textId="77777777" w:rsidR="00180E5C" w:rsidRPr="00131388" w:rsidRDefault="00180E5C" w:rsidP="00180E5C">
            <w:pPr>
              <w:jc w:val="center"/>
              <w:rPr>
                <w:rFonts w:ascii="Times New Roman" w:hAnsi="Times New Roman" w:cs="Times New Roman"/>
              </w:rPr>
            </w:pPr>
            <w:r>
              <w:rPr>
                <w:rFonts w:ascii="Times New Roman" w:hAnsi="Times New Roman" w:cs="Times New Roman"/>
              </w:rPr>
              <w:t>Enerji Geri Kazanımı</w:t>
            </w:r>
          </w:p>
        </w:tc>
      </w:tr>
      <w:tr w:rsidR="00180E5C" w:rsidRPr="00131388" w14:paraId="12263AA0" w14:textId="77777777" w:rsidTr="00180E5C">
        <w:trPr>
          <w:jc w:val="center"/>
        </w:trPr>
        <w:tc>
          <w:tcPr>
            <w:tcW w:w="2123" w:type="dxa"/>
            <w:vAlign w:val="center"/>
          </w:tcPr>
          <w:p w14:paraId="50F0E672" w14:textId="77777777" w:rsidR="00180E5C" w:rsidRDefault="007B399A" w:rsidP="00180E5C">
            <w:pPr>
              <w:jc w:val="center"/>
              <w:rPr>
                <w:rFonts w:ascii="Times New Roman" w:hAnsi="Times New Roman" w:cs="Times New Roman"/>
              </w:rPr>
            </w:pPr>
            <w:r>
              <w:rPr>
                <w:rFonts w:ascii="Times New Roman" w:hAnsi="Times New Roman" w:cs="Times New Roman"/>
              </w:rPr>
              <w:t>Tabaklanmamış Kısımlar</w:t>
            </w:r>
          </w:p>
        </w:tc>
        <w:tc>
          <w:tcPr>
            <w:tcW w:w="2044" w:type="dxa"/>
            <w:vAlign w:val="center"/>
          </w:tcPr>
          <w:p w14:paraId="44C58D10" w14:textId="77777777" w:rsidR="00180E5C" w:rsidRDefault="007B399A" w:rsidP="00180E5C">
            <w:pPr>
              <w:jc w:val="both"/>
              <w:rPr>
                <w:rFonts w:ascii="Times New Roman" w:hAnsi="Times New Roman" w:cs="Times New Roman"/>
              </w:rPr>
            </w:pPr>
            <w:r>
              <w:rPr>
                <w:rFonts w:ascii="Times New Roman" w:hAnsi="Times New Roman" w:cs="Times New Roman"/>
              </w:rPr>
              <w:t>-- Teknik jelatin üretimi</w:t>
            </w:r>
          </w:p>
          <w:p w14:paraId="69C17CFF" w14:textId="77777777" w:rsidR="007B399A" w:rsidRDefault="007B399A" w:rsidP="00180E5C">
            <w:pPr>
              <w:jc w:val="both"/>
              <w:rPr>
                <w:rFonts w:ascii="Times New Roman" w:hAnsi="Times New Roman" w:cs="Times New Roman"/>
              </w:rPr>
            </w:pPr>
            <w:r>
              <w:rPr>
                <w:rFonts w:ascii="Times New Roman" w:hAnsi="Times New Roman" w:cs="Times New Roman"/>
              </w:rPr>
              <w:t>-- Protein hidrolizat üretimi</w:t>
            </w:r>
          </w:p>
        </w:tc>
        <w:tc>
          <w:tcPr>
            <w:tcW w:w="2296" w:type="dxa"/>
            <w:vAlign w:val="center"/>
          </w:tcPr>
          <w:p w14:paraId="3EE528D7" w14:textId="77777777" w:rsidR="00180E5C" w:rsidRDefault="007B399A" w:rsidP="00180E5C">
            <w:pPr>
              <w:jc w:val="center"/>
              <w:rPr>
                <w:rFonts w:ascii="Times New Roman" w:hAnsi="Times New Roman" w:cs="Times New Roman"/>
              </w:rPr>
            </w:pPr>
            <w:r>
              <w:rPr>
                <w:rFonts w:ascii="Times New Roman" w:hAnsi="Times New Roman" w:cs="Times New Roman"/>
              </w:rPr>
              <w:t>Deri Tutkal</w:t>
            </w:r>
          </w:p>
        </w:tc>
        <w:tc>
          <w:tcPr>
            <w:tcW w:w="2599" w:type="dxa"/>
            <w:vAlign w:val="center"/>
          </w:tcPr>
          <w:p w14:paraId="785C90A6" w14:textId="77777777" w:rsidR="00180E5C" w:rsidRDefault="007B399A" w:rsidP="00180E5C">
            <w:pPr>
              <w:jc w:val="center"/>
              <w:rPr>
                <w:rFonts w:ascii="Times New Roman" w:hAnsi="Times New Roman" w:cs="Times New Roman"/>
              </w:rPr>
            </w:pPr>
            <w:r>
              <w:rPr>
                <w:rFonts w:ascii="Times New Roman" w:hAnsi="Times New Roman" w:cs="Times New Roman"/>
              </w:rPr>
              <w:t>Enerji Geri Kazanımı</w:t>
            </w:r>
          </w:p>
        </w:tc>
      </w:tr>
      <w:tr w:rsidR="00180E5C" w:rsidRPr="00131388" w14:paraId="3D3F3F9B" w14:textId="77777777" w:rsidTr="00180E5C">
        <w:trPr>
          <w:jc w:val="center"/>
        </w:trPr>
        <w:tc>
          <w:tcPr>
            <w:tcW w:w="2123" w:type="dxa"/>
            <w:vAlign w:val="center"/>
          </w:tcPr>
          <w:p w14:paraId="5FA3CB96" w14:textId="77777777" w:rsidR="00180E5C" w:rsidRDefault="00B74F6F" w:rsidP="00180E5C">
            <w:pPr>
              <w:jc w:val="center"/>
              <w:rPr>
                <w:rFonts w:ascii="Times New Roman" w:hAnsi="Times New Roman" w:cs="Times New Roman"/>
              </w:rPr>
            </w:pPr>
            <w:r>
              <w:rPr>
                <w:rFonts w:ascii="Times New Roman" w:hAnsi="Times New Roman" w:cs="Times New Roman"/>
              </w:rPr>
              <w:t>Tabaklanmış Kısımlar ve Kırpıntılar</w:t>
            </w:r>
          </w:p>
        </w:tc>
        <w:tc>
          <w:tcPr>
            <w:tcW w:w="2044" w:type="dxa"/>
            <w:vAlign w:val="center"/>
          </w:tcPr>
          <w:p w14:paraId="29C633ED" w14:textId="77777777" w:rsidR="00180E5C" w:rsidRDefault="004D2F27" w:rsidP="00180E5C">
            <w:pPr>
              <w:jc w:val="both"/>
              <w:rPr>
                <w:rFonts w:ascii="Times New Roman" w:hAnsi="Times New Roman" w:cs="Times New Roman"/>
              </w:rPr>
            </w:pPr>
            <w:r>
              <w:rPr>
                <w:rFonts w:ascii="Times New Roman" w:hAnsi="Times New Roman" w:cs="Times New Roman"/>
              </w:rPr>
              <w:t xml:space="preserve">-- </w:t>
            </w:r>
            <w:r w:rsidR="00EB1A5B">
              <w:rPr>
                <w:rFonts w:ascii="Times New Roman" w:hAnsi="Times New Roman" w:cs="Times New Roman"/>
              </w:rPr>
              <w:t>Bitmemiş kırpıntılardan deri fiber levha üretimi</w:t>
            </w:r>
          </w:p>
          <w:p w14:paraId="33C2DD4C" w14:textId="77777777" w:rsidR="00EB1A5B" w:rsidRDefault="00EB1A5B" w:rsidP="00180E5C">
            <w:pPr>
              <w:jc w:val="both"/>
              <w:rPr>
                <w:rFonts w:ascii="Times New Roman" w:hAnsi="Times New Roman" w:cs="Times New Roman"/>
              </w:rPr>
            </w:pPr>
            <w:r>
              <w:rPr>
                <w:rFonts w:ascii="Times New Roman" w:hAnsi="Times New Roman" w:cs="Times New Roman"/>
              </w:rPr>
              <w:t>-- Protein hidrolizat üretimi</w:t>
            </w:r>
          </w:p>
        </w:tc>
        <w:tc>
          <w:tcPr>
            <w:tcW w:w="2296" w:type="dxa"/>
            <w:vAlign w:val="center"/>
          </w:tcPr>
          <w:p w14:paraId="55B06A0D" w14:textId="77777777" w:rsidR="00180E5C" w:rsidRDefault="00EB1A5B" w:rsidP="00180E5C">
            <w:pPr>
              <w:jc w:val="center"/>
              <w:rPr>
                <w:rFonts w:ascii="Times New Roman" w:hAnsi="Times New Roman" w:cs="Times New Roman"/>
              </w:rPr>
            </w:pPr>
            <w:r>
              <w:rPr>
                <w:rFonts w:ascii="Times New Roman" w:hAnsi="Times New Roman" w:cs="Times New Roman"/>
              </w:rPr>
              <w:t>-</w:t>
            </w:r>
          </w:p>
        </w:tc>
        <w:tc>
          <w:tcPr>
            <w:tcW w:w="2599" w:type="dxa"/>
            <w:vAlign w:val="center"/>
          </w:tcPr>
          <w:p w14:paraId="6BE14C76" w14:textId="77777777" w:rsidR="00180E5C" w:rsidRDefault="00EB1A5B" w:rsidP="00180E5C">
            <w:pPr>
              <w:jc w:val="center"/>
              <w:rPr>
                <w:rFonts w:ascii="Times New Roman" w:hAnsi="Times New Roman" w:cs="Times New Roman"/>
              </w:rPr>
            </w:pPr>
            <w:r>
              <w:rPr>
                <w:rFonts w:ascii="Times New Roman" w:hAnsi="Times New Roman" w:cs="Times New Roman"/>
              </w:rPr>
              <w:t>Enerji Geri Kazanımı</w:t>
            </w:r>
          </w:p>
        </w:tc>
      </w:tr>
      <w:tr w:rsidR="00180E5C" w:rsidRPr="00131388" w14:paraId="6DBFAB2F" w14:textId="77777777" w:rsidTr="00180E5C">
        <w:trPr>
          <w:jc w:val="center"/>
        </w:trPr>
        <w:tc>
          <w:tcPr>
            <w:tcW w:w="2123" w:type="dxa"/>
            <w:vAlign w:val="center"/>
          </w:tcPr>
          <w:p w14:paraId="3E77F726" w14:textId="77777777" w:rsidR="00180E5C" w:rsidRDefault="00EB1A5B" w:rsidP="00180E5C">
            <w:pPr>
              <w:jc w:val="center"/>
              <w:rPr>
                <w:rFonts w:ascii="Times New Roman" w:hAnsi="Times New Roman" w:cs="Times New Roman"/>
              </w:rPr>
            </w:pPr>
            <w:r>
              <w:rPr>
                <w:rFonts w:ascii="Times New Roman" w:hAnsi="Times New Roman" w:cs="Times New Roman"/>
              </w:rPr>
              <w:t xml:space="preserve">Tabaklanmış </w:t>
            </w:r>
            <w:r w:rsidR="009E70ED">
              <w:rPr>
                <w:rFonts w:ascii="Times New Roman" w:hAnsi="Times New Roman" w:cs="Times New Roman"/>
              </w:rPr>
              <w:t>Parçalar</w:t>
            </w:r>
          </w:p>
        </w:tc>
        <w:tc>
          <w:tcPr>
            <w:tcW w:w="2044" w:type="dxa"/>
            <w:vAlign w:val="center"/>
          </w:tcPr>
          <w:p w14:paraId="1B513E7B" w14:textId="77777777" w:rsidR="00180E5C" w:rsidRDefault="009E70ED" w:rsidP="00180E5C">
            <w:pPr>
              <w:jc w:val="both"/>
              <w:rPr>
                <w:rFonts w:ascii="Times New Roman" w:hAnsi="Times New Roman" w:cs="Times New Roman"/>
              </w:rPr>
            </w:pPr>
            <w:r>
              <w:rPr>
                <w:rFonts w:ascii="Times New Roman" w:hAnsi="Times New Roman" w:cs="Times New Roman"/>
              </w:rPr>
              <w:t>-- Deri fiber levha üretimi</w:t>
            </w:r>
          </w:p>
          <w:p w14:paraId="16D6A7B6" w14:textId="77777777" w:rsidR="009E70ED" w:rsidRDefault="009E70ED" w:rsidP="00180E5C">
            <w:pPr>
              <w:jc w:val="both"/>
              <w:rPr>
                <w:rFonts w:ascii="Times New Roman" w:hAnsi="Times New Roman" w:cs="Times New Roman"/>
              </w:rPr>
            </w:pPr>
            <w:r>
              <w:rPr>
                <w:rFonts w:ascii="Times New Roman" w:hAnsi="Times New Roman" w:cs="Times New Roman"/>
              </w:rPr>
              <w:t>-- Protein hidrolizat üretimi</w:t>
            </w:r>
          </w:p>
        </w:tc>
        <w:tc>
          <w:tcPr>
            <w:tcW w:w="2296" w:type="dxa"/>
            <w:vAlign w:val="center"/>
          </w:tcPr>
          <w:p w14:paraId="43ECBF58" w14:textId="77777777" w:rsidR="00180E5C" w:rsidRDefault="009E70ED" w:rsidP="00180E5C">
            <w:pPr>
              <w:jc w:val="center"/>
              <w:rPr>
                <w:rFonts w:ascii="Times New Roman" w:hAnsi="Times New Roman" w:cs="Times New Roman"/>
              </w:rPr>
            </w:pPr>
            <w:r>
              <w:rPr>
                <w:rFonts w:ascii="Times New Roman" w:hAnsi="Times New Roman" w:cs="Times New Roman"/>
              </w:rPr>
              <w:t>-</w:t>
            </w:r>
          </w:p>
        </w:tc>
        <w:tc>
          <w:tcPr>
            <w:tcW w:w="2599" w:type="dxa"/>
            <w:vAlign w:val="center"/>
          </w:tcPr>
          <w:p w14:paraId="6C755EB8" w14:textId="77777777" w:rsidR="00180E5C" w:rsidRDefault="009E70ED" w:rsidP="00180E5C">
            <w:pPr>
              <w:jc w:val="center"/>
              <w:rPr>
                <w:rFonts w:ascii="Times New Roman" w:hAnsi="Times New Roman" w:cs="Times New Roman"/>
              </w:rPr>
            </w:pPr>
            <w:r>
              <w:rPr>
                <w:rFonts w:ascii="Times New Roman" w:hAnsi="Times New Roman" w:cs="Times New Roman"/>
              </w:rPr>
              <w:t>Enerji Geri Kazanımı</w:t>
            </w:r>
          </w:p>
        </w:tc>
      </w:tr>
      <w:tr w:rsidR="00180E5C" w:rsidRPr="00131388" w14:paraId="42D52441" w14:textId="77777777" w:rsidTr="00180E5C">
        <w:trPr>
          <w:jc w:val="center"/>
        </w:trPr>
        <w:tc>
          <w:tcPr>
            <w:tcW w:w="2123" w:type="dxa"/>
            <w:vAlign w:val="center"/>
          </w:tcPr>
          <w:p w14:paraId="6D170B1B" w14:textId="77777777" w:rsidR="00180E5C" w:rsidRDefault="007410E5" w:rsidP="00180E5C">
            <w:pPr>
              <w:jc w:val="center"/>
              <w:rPr>
                <w:rFonts w:ascii="Times New Roman" w:hAnsi="Times New Roman" w:cs="Times New Roman"/>
              </w:rPr>
            </w:pPr>
            <w:r>
              <w:rPr>
                <w:rFonts w:ascii="Times New Roman" w:hAnsi="Times New Roman" w:cs="Times New Roman"/>
              </w:rPr>
              <w:t>Atık Su Arıtımından Çıkan Çamurlar</w:t>
            </w:r>
          </w:p>
        </w:tc>
        <w:tc>
          <w:tcPr>
            <w:tcW w:w="2044" w:type="dxa"/>
            <w:vAlign w:val="center"/>
          </w:tcPr>
          <w:p w14:paraId="2811ED57" w14:textId="77777777" w:rsidR="00180E5C" w:rsidRDefault="007410E5" w:rsidP="00180E5C">
            <w:pPr>
              <w:jc w:val="both"/>
              <w:rPr>
                <w:rFonts w:ascii="Times New Roman" w:hAnsi="Times New Roman" w:cs="Times New Roman"/>
              </w:rPr>
            </w:pPr>
            <w:r>
              <w:rPr>
                <w:rFonts w:ascii="Times New Roman" w:hAnsi="Times New Roman" w:cs="Times New Roman"/>
              </w:rPr>
              <w:t>-</w:t>
            </w:r>
          </w:p>
        </w:tc>
        <w:tc>
          <w:tcPr>
            <w:tcW w:w="2296" w:type="dxa"/>
            <w:vAlign w:val="center"/>
          </w:tcPr>
          <w:p w14:paraId="52CAF70D" w14:textId="77777777" w:rsidR="00180E5C" w:rsidRDefault="007410E5" w:rsidP="00180E5C">
            <w:pPr>
              <w:jc w:val="center"/>
              <w:rPr>
                <w:rFonts w:ascii="Times New Roman" w:hAnsi="Times New Roman" w:cs="Times New Roman"/>
              </w:rPr>
            </w:pPr>
            <w:r>
              <w:rPr>
                <w:rFonts w:ascii="Times New Roman" w:hAnsi="Times New Roman" w:cs="Times New Roman"/>
              </w:rPr>
              <w:t>-</w:t>
            </w:r>
          </w:p>
        </w:tc>
        <w:tc>
          <w:tcPr>
            <w:tcW w:w="2599" w:type="dxa"/>
            <w:vAlign w:val="center"/>
          </w:tcPr>
          <w:p w14:paraId="4F747C66" w14:textId="77777777" w:rsidR="00180E5C" w:rsidRDefault="007410E5" w:rsidP="00180E5C">
            <w:pPr>
              <w:jc w:val="center"/>
              <w:rPr>
                <w:rFonts w:ascii="Times New Roman" w:hAnsi="Times New Roman" w:cs="Times New Roman"/>
              </w:rPr>
            </w:pPr>
            <w:r>
              <w:rPr>
                <w:rFonts w:ascii="Times New Roman" w:hAnsi="Times New Roman" w:cs="Times New Roman"/>
              </w:rPr>
              <w:t>Enerji Geri Kazanımı</w:t>
            </w:r>
          </w:p>
        </w:tc>
      </w:tr>
    </w:tbl>
    <w:p w14:paraId="05DCAB3B" w14:textId="77777777" w:rsidR="00291A87" w:rsidRDefault="00291A87" w:rsidP="00574272">
      <w:pPr>
        <w:spacing w:after="120" w:line="276" w:lineRule="auto"/>
        <w:jc w:val="both"/>
        <w:rPr>
          <w:rFonts w:ascii="Times New Roman" w:hAnsi="Times New Roman" w:cs="Times New Roman"/>
          <w:sz w:val="24"/>
          <w:szCs w:val="24"/>
        </w:rPr>
      </w:pPr>
    </w:p>
    <w:p w14:paraId="7DA1B332" w14:textId="77777777" w:rsidR="00622393" w:rsidRDefault="00622393"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MET 23:</w:t>
      </w:r>
      <w:r>
        <w:rPr>
          <w:rFonts w:ascii="Times New Roman" w:hAnsi="Times New Roman" w:cs="Times New Roman"/>
          <w:sz w:val="24"/>
          <w:szCs w:val="24"/>
        </w:rPr>
        <w:t xml:space="preserve"> </w:t>
      </w:r>
      <w:r w:rsidR="00693EE3">
        <w:rPr>
          <w:rFonts w:ascii="Times New Roman" w:hAnsi="Times New Roman" w:cs="Times New Roman"/>
          <w:sz w:val="24"/>
          <w:szCs w:val="24"/>
        </w:rPr>
        <w:t>Kimyasal tüketimini ve bertarafa gönderilen, kromlu tabaklama maddeleri içeren deri atık miktarını azaltmak için, kireçli ayırma uygulanır.</w:t>
      </w:r>
    </w:p>
    <w:p w14:paraId="3F649148" w14:textId="77777777" w:rsidR="0016374F" w:rsidRDefault="00693EE3"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r w:rsidR="0016374F" w:rsidRPr="0016374F">
        <w:rPr>
          <w:rFonts w:ascii="Times New Roman" w:hAnsi="Times New Roman" w:cs="Times New Roman"/>
          <w:sz w:val="24"/>
          <w:szCs w:val="24"/>
        </w:rPr>
        <w:t>Tabaklanmamış bir yan ürün elde etmek için bölme işleminin işlemenin daha erken bir aşamasında gerçekleştirilmesi.</w:t>
      </w:r>
    </w:p>
    <w:p w14:paraId="10264469" w14:textId="77777777" w:rsidR="0016374F" w:rsidRDefault="0016374F"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271B2E0A" w14:textId="77777777" w:rsidR="00693EE3" w:rsidRDefault="00AD1986"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Sadece kromlu tabaklama kullanan tesislere uygulanır.</w:t>
      </w:r>
    </w:p>
    <w:p w14:paraId="58C1EA75" w14:textId="77777777" w:rsidR="00AD1986" w:rsidRDefault="00AD1986"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Aşağıdakiler için uygulanamaz:</w:t>
      </w:r>
    </w:p>
    <w:p w14:paraId="224C6685" w14:textId="77777777" w:rsidR="00AD1986" w:rsidRDefault="00AD1986"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postların veya derilerin, bütün madde (diğer bir ifadeyle, ayrılmamış) ürünler için işlendiği durumlarda,</w:t>
      </w:r>
    </w:p>
    <w:p w14:paraId="6805B1E3" w14:textId="77777777" w:rsidR="00AD1986" w:rsidRDefault="00AD1986"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2915">
        <w:rPr>
          <w:rFonts w:ascii="Times New Roman" w:hAnsi="Times New Roman" w:cs="Times New Roman"/>
          <w:sz w:val="24"/>
          <w:szCs w:val="24"/>
        </w:rPr>
        <w:t xml:space="preserve">daha </w:t>
      </w:r>
      <w:r w:rsidR="000E2BBC">
        <w:rPr>
          <w:rFonts w:ascii="Times New Roman" w:hAnsi="Times New Roman" w:cs="Times New Roman"/>
          <w:sz w:val="24"/>
          <w:szCs w:val="24"/>
        </w:rPr>
        <w:t>sağlam derilerin üretilmesi gerektiği durumlarda (örn. Ayakkabı derisi),</w:t>
      </w:r>
    </w:p>
    <w:p w14:paraId="3D864CCC" w14:textId="77777777" w:rsidR="00FC3523" w:rsidRDefault="00FC3523"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nihai üründe daha eşit bir kalınlığın gerektiği durumlarda,</w:t>
      </w:r>
    </w:p>
    <w:p w14:paraId="643D0732" w14:textId="77777777" w:rsidR="00FC3523" w:rsidRDefault="00FC3523"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3721">
        <w:rPr>
          <w:rFonts w:ascii="Times New Roman" w:hAnsi="Times New Roman" w:cs="Times New Roman"/>
          <w:sz w:val="24"/>
          <w:szCs w:val="24"/>
        </w:rPr>
        <w:t>ürün veya ortak ürün olarak tabaklanmış kısımların üretildiği durumlarda.</w:t>
      </w:r>
    </w:p>
    <w:p w14:paraId="144A083F" w14:textId="77777777" w:rsidR="00CB3721" w:rsidRDefault="00CB3721"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24:</w:t>
      </w:r>
      <w:r>
        <w:rPr>
          <w:rFonts w:ascii="Times New Roman" w:hAnsi="Times New Roman" w:cs="Times New Roman"/>
          <w:sz w:val="24"/>
          <w:szCs w:val="24"/>
        </w:rPr>
        <w:t xml:space="preserve"> </w:t>
      </w:r>
      <w:r w:rsidR="00185AA8">
        <w:rPr>
          <w:rFonts w:ascii="Times New Roman" w:hAnsi="Times New Roman" w:cs="Times New Roman"/>
          <w:sz w:val="24"/>
          <w:szCs w:val="24"/>
        </w:rPr>
        <w:t>Bertarafa gönderilen çamurdaki krom içeriğini azaltmak için, aşağıdaki tekniklerin biri veya bir kombinasyonu kullanılır.</w:t>
      </w:r>
    </w:p>
    <w:tbl>
      <w:tblPr>
        <w:tblStyle w:val="TabloKlavuzu"/>
        <w:tblW w:w="0" w:type="auto"/>
        <w:jc w:val="center"/>
        <w:tblLook w:val="04A0" w:firstRow="1" w:lastRow="0" w:firstColumn="1" w:lastColumn="0" w:noHBand="0" w:noVBand="1"/>
      </w:tblPr>
      <w:tblGrid>
        <w:gridCol w:w="421"/>
        <w:gridCol w:w="2976"/>
        <w:gridCol w:w="2977"/>
        <w:gridCol w:w="2688"/>
      </w:tblGrid>
      <w:tr w:rsidR="00185AA8" w:rsidRPr="00393115" w14:paraId="41E3E7A6" w14:textId="77777777" w:rsidTr="0024730D">
        <w:trPr>
          <w:tblHeader/>
          <w:jc w:val="center"/>
        </w:trPr>
        <w:tc>
          <w:tcPr>
            <w:tcW w:w="3397" w:type="dxa"/>
            <w:gridSpan w:val="2"/>
            <w:vAlign w:val="center"/>
          </w:tcPr>
          <w:p w14:paraId="772B0EC2" w14:textId="77777777" w:rsidR="00185AA8" w:rsidRPr="00393115" w:rsidRDefault="00185AA8" w:rsidP="0024730D">
            <w:pPr>
              <w:jc w:val="center"/>
              <w:rPr>
                <w:rFonts w:ascii="Times New Roman" w:hAnsi="Times New Roman" w:cs="Times New Roman"/>
                <w:b/>
                <w:bCs/>
              </w:rPr>
            </w:pPr>
            <w:r>
              <w:rPr>
                <w:rFonts w:ascii="Times New Roman" w:hAnsi="Times New Roman" w:cs="Times New Roman"/>
                <w:b/>
                <w:bCs/>
              </w:rPr>
              <w:t>Teknik</w:t>
            </w:r>
          </w:p>
        </w:tc>
        <w:tc>
          <w:tcPr>
            <w:tcW w:w="2977" w:type="dxa"/>
            <w:vAlign w:val="center"/>
          </w:tcPr>
          <w:p w14:paraId="49E21951" w14:textId="77777777" w:rsidR="00185AA8" w:rsidRPr="00393115" w:rsidRDefault="00185AA8" w:rsidP="0024730D">
            <w:pPr>
              <w:jc w:val="center"/>
              <w:rPr>
                <w:rFonts w:ascii="Times New Roman" w:hAnsi="Times New Roman" w:cs="Times New Roman"/>
                <w:b/>
                <w:bCs/>
              </w:rPr>
            </w:pPr>
            <w:r>
              <w:rPr>
                <w:rFonts w:ascii="Times New Roman" w:hAnsi="Times New Roman" w:cs="Times New Roman"/>
                <w:b/>
                <w:bCs/>
              </w:rPr>
              <w:t>Açıklama</w:t>
            </w:r>
          </w:p>
        </w:tc>
        <w:tc>
          <w:tcPr>
            <w:tcW w:w="2688" w:type="dxa"/>
            <w:vAlign w:val="center"/>
          </w:tcPr>
          <w:p w14:paraId="01F2278C" w14:textId="77777777" w:rsidR="00185AA8" w:rsidRPr="00393115" w:rsidRDefault="00185AA8" w:rsidP="0024730D">
            <w:pPr>
              <w:jc w:val="center"/>
              <w:rPr>
                <w:rFonts w:ascii="Times New Roman" w:hAnsi="Times New Roman" w:cs="Times New Roman"/>
                <w:b/>
                <w:bCs/>
              </w:rPr>
            </w:pPr>
            <w:r>
              <w:rPr>
                <w:rFonts w:ascii="Times New Roman" w:hAnsi="Times New Roman" w:cs="Times New Roman"/>
                <w:b/>
                <w:bCs/>
              </w:rPr>
              <w:t>Uygulanabilirlik</w:t>
            </w:r>
          </w:p>
        </w:tc>
      </w:tr>
      <w:tr w:rsidR="00185AA8" w:rsidRPr="00393115" w14:paraId="382B6B01" w14:textId="77777777" w:rsidTr="0024730D">
        <w:trPr>
          <w:jc w:val="center"/>
        </w:trPr>
        <w:tc>
          <w:tcPr>
            <w:tcW w:w="421" w:type="dxa"/>
            <w:vAlign w:val="center"/>
          </w:tcPr>
          <w:p w14:paraId="5F3A9137" w14:textId="77777777" w:rsidR="00185AA8" w:rsidRPr="00393115" w:rsidRDefault="00185AA8" w:rsidP="0024730D">
            <w:pPr>
              <w:jc w:val="center"/>
              <w:rPr>
                <w:rFonts w:ascii="Times New Roman" w:hAnsi="Times New Roman" w:cs="Times New Roman"/>
              </w:rPr>
            </w:pPr>
            <w:r>
              <w:rPr>
                <w:rFonts w:ascii="Times New Roman" w:hAnsi="Times New Roman" w:cs="Times New Roman"/>
              </w:rPr>
              <w:t>a</w:t>
            </w:r>
          </w:p>
        </w:tc>
        <w:tc>
          <w:tcPr>
            <w:tcW w:w="2976" w:type="dxa"/>
            <w:vAlign w:val="center"/>
          </w:tcPr>
          <w:p w14:paraId="64E1C784" w14:textId="77777777" w:rsidR="00185AA8" w:rsidRPr="00393115" w:rsidRDefault="00185AA8" w:rsidP="0024730D">
            <w:pPr>
              <w:jc w:val="both"/>
              <w:rPr>
                <w:rFonts w:ascii="Times New Roman" w:hAnsi="Times New Roman" w:cs="Times New Roman"/>
              </w:rPr>
            </w:pPr>
            <w:r>
              <w:rPr>
                <w:rFonts w:ascii="Times New Roman" w:hAnsi="Times New Roman" w:cs="Times New Roman"/>
              </w:rPr>
              <w:t>Tabakhanede yeniden kullanım için krom geri kazanımı</w:t>
            </w:r>
          </w:p>
        </w:tc>
        <w:tc>
          <w:tcPr>
            <w:tcW w:w="2977" w:type="dxa"/>
            <w:vAlign w:val="center"/>
          </w:tcPr>
          <w:p w14:paraId="44AFF94E" w14:textId="77777777" w:rsidR="00185AA8" w:rsidRPr="00393115" w:rsidRDefault="00185AA8" w:rsidP="0024730D">
            <w:pPr>
              <w:jc w:val="both"/>
              <w:rPr>
                <w:rFonts w:ascii="Times New Roman" w:hAnsi="Times New Roman" w:cs="Times New Roman"/>
              </w:rPr>
            </w:pPr>
            <w:r>
              <w:rPr>
                <w:rFonts w:ascii="Times New Roman" w:hAnsi="Times New Roman" w:cs="Times New Roman"/>
              </w:rPr>
              <w:t>Yeni krom tuzları için kısmi ikame olarak kullanım için tabaklama flot</w:t>
            </w:r>
            <w:r w:rsidR="00012E2F">
              <w:rPr>
                <w:rFonts w:ascii="Times New Roman" w:hAnsi="Times New Roman" w:cs="Times New Roman"/>
              </w:rPr>
              <w:t>tesinde</w:t>
            </w:r>
            <w:r>
              <w:rPr>
                <w:rFonts w:ascii="Times New Roman" w:hAnsi="Times New Roman" w:cs="Times New Roman"/>
              </w:rPr>
              <w:t>n çıkan çökmüş kromun, sülfürik asit kullanılarak çözünmesi.</w:t>
            </w:r>
          </w:p>
        </w:tc>
        <w:tc>
          <w:tcPr>
            <w:tcW w:w="2688" w:type="dxa"/>
            <w:vAlign w:val="center"/>
          </w:tcPr>
          <w:p w14:paraId="2DFC03D2" w14:textId="77777777" w:rsidR="00185AA8" w:rsidRPr="00393115" w:rsidRDefault="00185AA8" w:rsidP="0024730D">
            <w:pPr>
              <w:jc w:val="both"/>
              <w:rPr>
                <w:rFonts w:ascii="Times New Roman" w:hAnsi="Times New Roman" w:cs="Times New Roman"/>
              </w:rPr>
            </w:pPr>
            <w:r>
              <w:rPr>
                <w:rFonts w:ascii="Times New Roman" w:hAnsi="Times New Roman" w:cs="Times New Roman"/>
              </w:rPr>
              <w:t xml:space="preserve">Uygulanabilirlik, </w:t>
            </w:r>
            <w:r w:rsidR="00D15508">
              <w:rPr>
                <w:rFonts w:ascii="Times New Roman" w:hAnsi="Times New Roman" w:cs="Times New Roman"/>
              </w:rPr>
              <w:t>özellikle boyama (azaltılmış solmazlık ve daha düşük renk parlaklığı) ve kararma ile ilişkili müşteri gere</w:t>
            </w:r>
            <w:r w:rsidR="00DD69FF">
              <w:rPr>
                <w:rFonts w:ascii="Times New Roman" w:hAnsi="Times New Roman" w:cs="Times New Roman"/>
              </w:rPr>
              <w:t>ksinimleri</w:t>
            </w:r>
            <w:r w:rsidR="00CA2FAF">
              <w:rPr>
                <w:rFonts w:ascii="Times New Roman" w:hAnsi="Times New Roman" w:cs="Times New Roman"/>
              </w:rPr>
              <w:t>ni karşılayan deri özelliklerini üretme ihtiyacı ile kısıtl</w:t>
            </w:r>
            <w:r w:rsidR="00182986">
              <w:rPr>
                <w:rFonts w:ascii="Times New Roman" w:hAnsi="Times New Roman" w:cs="Times New Roman"/>
              </w:rPr>
              <w:t>ıdır.</w:t>
            </w:r>
          </w:p>
        </w:tc>
      </w:tr>
      <w:tr w:rsidR="00185AA8" w:rsidRPr="00393115" w14:paraId="02B7E100" w14:textId="77777777" w:rsidTr="0024730D">
        <w:trPr>
          <w:jc w:val="center"/>
        </w:trPr>
        <w:tc>
          <w:tcPr>
            <w:tcW w:w="421" w:type="dxa"/>
            <w:vAlign w:val="center"/>
          </w:tcPr>
          <w:p w14:paraId="74B4C56D" w14:textId="77777777" w:rsidR="00185AA8" w:rsidRPr="00393115" w:rsidRDefault="00185AA8" w:rsidP="0024730D">
            <w:pPr>
              <w:jc w:val="center"/>
              <w:rPr>
                <w:rFonts w:ascii="Times New Roman" w:hAnsi="Times New Roman" w:cs="Times New Roman"/>
              </w:rPr>
            </w:pPr>
            <w:r>
              <w:rPr>
                <w:rFonts w:ascii="Times New Roman" w:hAnsi="Times New Roman" w:cs="Times New Roman"/>
              </w:rPr>
              <w:t>b</w:t>
            </w:r>
          </w:p>
        </w:tc>
        <w:tc>
          <w:tcPr>
            <w:tcW w:w="2976" w:type="dxa"/>
            <w:vAlign w:val="center"/>
          </w:tcPr>
          <w:p w14:paraId="5606CC0D" w14:textId="77777777" w:rsidR="00185AA8" w:rsidRPr="00393115" w:rsidRDefault="00182986" w:rsidP="0024730D">
            <w:pPr>
              <w:jc w:val="both"/>
              <w:rPr>
                <w:rFonts w:ascii="Times New Roman" w:hAnsi="Times New Roman" w:cs="Times New Roman"/>
              </w:rPr>
            </w:pPr>
            <w:r>
              <w:rPr>
                <w:rFonts w:ascii="Times New Roman" w:hAnsi="Times New Roman" w:cs="Times New Roman"/>
              </w:rPr>
              <w:t>Başka bir endüstride yeniden kullanım için krom geri kazanımı</w:t>
            </w:r>
          </w:p>
        </w:tc>
        <w:tc>
          <w:tcPr>
            <w:tcW w:w="2977" w:type="dxa"/>
            <w:vAlign w:val="center"/>
          </w:tcPr>
          <w:p w14:paraId="5DCEE676" w14:textId="77777777" w:rsidR="00185AA8" w:rsidRPr="00393115" w:rsidRDefault="00182986" w:rsidP="0024730D">
            <w:pPr>
              <w:jc w:val="both"/>
              <w:rPr>
                <w:rFonts w:ascii="Times New Roman" w:hAnsi="Times New Roman" w:cs="Times New Roman"/>
              </w:rPr>
            </w:pPr>
            <w:r>
              <w:rPr>
                <w:rFonts w:ascii="Times New Roman" w:hAnsi="Times New Roman" w:cs="Times New Roman"/>
              </w:rPr>
              <w:t>Krom çamurunun hammadde olarak başka bir endüstride kullanımı.</w:t>
            </w:r>
          </w:p>
        </w:tc>
        <w:tc>
          <w:tcPr>
            <w:tcW w:w="2688" w:type="dxa"/>
            <w:vAlign w:val="center"/>
          </w:tcPr>
          <w:p w14:paraId="656C319A" w14:textId="77777777" w:rsidR="00185AA8" w:rsidRPr="00393115" w:rsidRDefault="00A51851" w:rsidP="0024730D">
            <w:pPr>
              <w:jc w:val="both"/>
              <w:rPr>
                <w:rFonts w:ascii="Times New Roman" w:hAnsi="Times New Roman" w:cs="Times New Roman"/>
              </w:rPr>
            </w:pPr>
            <w:r>
              <w:rPr>
                <w:rFonts w:ascii="Times New Roman" w:hAnsi="Times New Roman" w:cs="Times New Roman"/>
              </w:rPr>
              <w:t>Sadece, g</w:t>
            </w:r>
            <w:r w:rsidR="00182986">
              <w:rPr>
                <w:rFonts w:ascii="Times New Roman" w:hAnsi="Times New Roman" w:cs="Times New Roman"/>
              </w:rPr>
              <w:t>eri kazanılan atı</w:t>
            </w:r>
            <w:r>
              <w:rPr>
                <w:rFonts w:ascii="Times New Roman" w:hAnsi="Times New Roman" w:cs="Times New Roman"/>
              </w:rPr>
              <w:t>ğa yönelik endüstriyel kullanıcının bulunabildiği durumlar için uygulanır.</w:t>
            </w:r>
          </w:p>
        </w:tc>
      </w:tr>
    </w:tbl>
    <w:p w14:paraId="633F80BC" w14:textId="77777777" w:rsidR="00185AA8" w:rsidRDefault="00185AA8" w:rsidP="00574272">
      <w:pPr>
        <w:spacing w:after="120" w:line="276" w:lineRule="auto"/>
        <w:jc w:val="both"/>
        <w:rPr>
          <w:rFonts w:ascii="Times New Roman" w:hAnsi="Times New Roman" w:cs="Times New Roman"/>
          <w:sz w:val="24"/>
          <w:szCs w:val="24"/>
        </w:rPr>
      </w:pPr>
    </w:p>
    <w:p w14:paraId="163A8DEF" w14:textId="77777777" w:rsidR="00DB6BC6" w:rsidRDefault="0081215A"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25:</w:t>
      </w:r>
      <w:r>
        <w:rPr>
          <w:rFonts w:ascii="Times New Roman" w:hAnsi="Times New Roman" w:cs="Times New Roman"/>
          <w:sz w:val="24"/>
          <w:szCs w:val="24"/>
        </w:rPr>
        <w:t xml:space="preserve"> </w:t>
      </w:r>
      <w:r w:rsidR="00D17A76">
        <w:rPr>
          <w:rFonts w:ascii="Times New Roman" w:hAnsi="Times New Roman" w:cs="Times New Roman"/>
          <w:sz w:val="24"/>
          <w:szCs w:val="24"/>
        </w:rPr>
        <w:t xml:space="preserve">Sonraki arıtma adımları için çamura yönelik enerji, kimyasal ve taşıma kapasitesi gereksinimlerini düşürmek için, çamur susuzlaştırma kullanılarak </w:t>
      </w:r>
      <w:r w:rsidR="0090580E">
        <w:rPr>
          <w:rFonts w:ascii="Times New Roman" w:hAnsi="Times New Roman" w:cs="Times New Roman"/>
          <w:sz w:val="24"/>
          <w:szCs w:val="24"/>
        </w:rPr>
        <w:t>çamurun su içeriği azaltılır.</w:t>
      </w:r>
    </w:p>
    <w:p w14:paraId="5F63C7F0" w14:textId="77777777" w:rsidR="00411A3E" w:rsidRDefault="00411A3E"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11FA3249" w14:textId="77777777" w:rsidR="00B06B5E" w:rsidRDefault="00B06B5E"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Islak işleme gerçekleştirilen tüm tesisler için uygulanır.</w:t>
      </w:r>
    </w:p>
    <w:p w14:paraId="4667C3CE" w14:textId="77777777" w:rsidR="00290C35" w:rsidRPr="009C5B1E" w:rsidRDefault="00290C35" w:rsidP="00290C35">
      <w:pPr>
        <w:pStyle w:val="Balk2"/>
        <w:spacing w:before="0" w:after="120" w:line="276" w:lineRule="auto"/>
        <w:jc w:val="both"/>
        <w:rPr>
          <w:rFonts w:cs="Times New Roman"/>
          <w:b/>
          <w:bCs/>
          <w:szCs w:val="24"/>
        </w:rPr>
      </w:pPr>
      <w:r>
        <w:rPr>
          <w:rFonts w:cs="Times New Roman"/>
          <w:b/>
          <w:bCs/>
          <w:szCs w:val="24"/>
        </w:rPr>
        <w:t>(8) Enerji</w:t>
      </w:r>
    </w:p>
    <w:p w14:paraId="15CF92E6" w14:textId="77777777" w:rsidR="00B06B5E" w:rsidRDefault="00840CB6"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26:</w:t>
      </w:r>
      <w:r>
        <w:rPr>
          <w:rFonts w:ascii="Times New Roman" w:hAnsi="Times New Roman" w:cs="Times New Roman"/>
          <w:sz w:val="24"/>
          <w:szCs w:val="24"/>
        </w:rPr>
        <w:t xml:space="preserve"> </w:t>
      </w:r>
      <w:r w:rsidR="00B566C4">
        <w:rPr>
          <w:rFonts w:ascii="Times New Roman" w:hAnsi="Times New Roman" w:cs="Times New Roman"/>
          <w:sz w:val="24"/>
          <w:szCs w:val="24"/>
        </w:rPr>
        <w:t>Kurutmada tüketilen enerjiyi azaltmak için kurutma için hazırlık aşaması, derinin yüzmeden önce nemlendirilmesi veya diğer mekanik susuzlaştırma ile optimize edilir.</w:t>
      </w:r>
    </w:p>
    <w:p w14:paraId="57434BF5" w14:textId="77777777" w:rsidR="00B566C4" w:rsidRDefault="00B566C4"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27:</w:t>
      </w:r>
      <w:r>
        <w:rPr>
          <w:rFonts w:ascii="Times New Roman" w:hAnsi="Times New Roman" w:cs="Times New Roman"/>
          <w:sz w:val="24"/>
          <w:szCs w:val="24"/>
        </w:rPr>
        <w:t xml:space="preserve"> </w:t>
      </w:r>
      <w:r w:rsidR="0020733A">
        <w:rPr>
          <w:rFonts w:ascii="Times New Roman" w:hAnsi="Times New Roman" w:cs="Times New Roman"/>
          <w:sz w:val="24"/>
          <w:szCs w:val="24"/>
        </w:rPr>
        <w:t>Islak prosesler için enerji tüketimini azaltmak için, kısa flot</w:t>
      </w:r>
      <w:r w:rsidR="00012E2F">
        <w:rPr>
          <w:rFonts w:ascii="Times New Roman" w:hAnsi="Times New Roman" w:cs="Times New Roman"/>
          <w:sz w:val="24"/>
          <w:szCs w:val="24"/>
        </w:rPr>
        <w:t>te</w:t>
      </w:r>
      <w:r w:rsidR="0020733A">
        <w:rPr>
          <w:rFonts w:ascii="Times New Roman" w:hAnsi="Times New Roman" w:cs="Times New Roman"/>
          <w:sz w:val="24"/>
          <w:szCs w:val="24"/>
        </w:rPr>
        <w:t>ler kullanılır.</w:t>
      </w:r>
    </w:p>
    <w:p w14:paraId="4BC5DE01" w14:textId="77777777" w:rsidR="0020733A" w:rsidRDefault="0020733A" w:rsidP="0057427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r w:rsidR="00FE5F70">
        <w:rPr>
          <w:rFonts w:ascii="Times New Roman" w:hAnsi="Times New Roman" w:cs="Times New Roman"/>
          <w:sz w:val="24"/>
          <w:szCs w:val="24"/>
        </w:rPr>
        <w:t>Suyun ısıtılması için kullanılan enerjinin, sıcak su kullanımı düşürülerek azaltılması.</w:t>
      </w:r>
    </w:p>
    <w:p w14:paraId="00E2AAB4" w14:textId="77777777" w:rsidR="00DD1FA1" w:rsidRDefault="00DD1FA1"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12BB62CE" w14:textId="77777777" w:rsidR="00FE5F70" w:rsidRDefault="00FE5F70"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Teknik, boyama prosesinde ve dana derilerinin işlenmesi için uygulanamaz.</w:t>
      </w:r>
    </w:p>
    <w:p w14:paraId="39CA4125" w14:textId="77777777" w:rsidR="00FE5F70" w:rsidRDefault="00FE5F70"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 ayrıca, aşağıdakiler ile kısıtlanır:</w:t>
      </w:r>
    </w:p>
    <w:p w14:paraId="1F31F249" w14:textId="77777777" w:rsidR="00FE5F70" w:rsidRDefault="00FE5F70"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yeni işleme tekneleri,</w:t>
      </w:r>
    </w:p>
    <w:p w14:paraId="5A28A167" w14:textId="77777777" w:rsidR="00FE5F70" w:rsidRDefault="00FE5F70"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kısa flot</w:t>
      </w:r>
      <w:r w:rsidR="007311B3">
        <w:rPr>
          <w:rFonts w:ascii="Times New Roman" w:hAnsi="Times New Roman" w:cs="Times New Roman"/>
          <w:sz w:val="24"/>
          <w:szCs w:val="24"/>
        </w:rPr>
        <w:t>te</w:t>
      </w:r>
      <w:r>
        <w:rPr>
          <w:rFonts w:ascii="Times New Roman" w:hAnsi="Times New Roman" w:cs="Times New Roman"/>
          <w:sz w:val="24"/>
          <w:szCs w:val="24"/>
        </w:rPr>
        <w:t>lerin kullanımını mümkün kılan veya kısa flot</w:t>
      </w:r>
      <w:r w:rsidR="007311B3">
        <w:rPr>
          <w:rFonts w:ascii="Times New Roman" w:hAnsi="Times New Roman" w:cs="Times New Roman"/>
          <w:sz w:val="24"/>
          <w:szCs w:val="24"/>
        </w:rPr>
        <w:t>te</w:t>
      </w:r>
      <w:r>
        <w:rPr>
          <w:rFonts w:ascii="Times New Roman" w:hAnsi="Times New Roman" w:cs="Times New Roman"/>
          <w:sz w:val="24"/>
          <w:szCs w:val="24"/>
        </w:rPr>
        <w:t>lerin kullanımı için modifiye edilebilen mevcut işleme tekneleri.</w:t>
      </w:r>
    </w:p>
    <w:p w14:paraId="63C4BFD0" w14:textId="77777777" w:rsidR="00FE5F70" w:rsidRDefault="00FE5F70" w:rsidP="00574272">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MET ile İlişkili Enerji Tüketim Oranları</w:t>
      </w:r>
    </w:p>
    <w:p w14:paraId="0DFF6EC6" w14:textId="77777777" w:rsidR="00FE5F70" w:rsidRDefault="00046A0E" w:rsidP="00574272">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Tablo 6’ya bakınız.</w:t>
      </w:r>
    </w:p>
    <w:p w14:paraId="1B495E1A" w14:textId="77777777" w:rsidR="00046A0E" w:rsidRDefault="00092DF8" w:rsidP="00092DF8">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6</w:t>
      </w:r>
    </w:p>
    <w:p w14:paraId="68ABB973" w14:textId="77777777" w:rsidR="00092DF8" w:rsidRPr="00092DF8" w:rsidRDefault="00092DF8" w:rsidP="00092DF8">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MET ile ilişkili özgül enerji tüketimi</w:t>
      </w:r>
    </w:p>
    <w:tbl>
      <w:tblPr>
        <w:tblStyle w:val="TabloKlavuzu"/>
        <w:tblW w:w="0" w:type="auto"/>
        <w:tblLook w:val="04A0" w:firstRow="1" w:lastRow="0" w:firstColumn="1" w:lastColumn="0" w:noHBand="0" w:noVBand="1"/>
      </w:tblPr>
      <w:tblGrid>
        <w:gridCol w:w="4106"/>
        <w:gridCol w:w="4956"/>
      </w:tblGrid>
      <w:tr w:rsidR="008928F4" w:rsidRPr="00461B74" w14:paraId="0A717769" w14:textId="77777777" w:rsidTr="0082590D">
        <w:tc>
          <w:tcPr>
            <w:tcW w:w="4106" w:type="dxa"/>
            <w:vMerge w:val="restart"/>
          </w:tcPr>
          <w:p w14:paraId="1EF65ED9" w14:textId="77777777" w:rsidR="008928F4" w:rsidRPr="00461B74" w:rsidRDefault="008928F4" w:rsidP="0024730D">
            <w:pPr>
              <w:jc w:val="center"/>
              <w:rPr>
                <w:rFonts w:ascii="Times New Roman" w:hAnsi="Times New Roman" w:cs="Times New Roman"/>
                <w:b/>
                <w:bCs/>
              </w:rPr>
            </w:pPr>
            <w:r>
              <w:rPr>
                <w:rFonts w:ascii="Times New Roman" w:hAnsi="Times New Roman" w:cs="Times New Roman"/>
                <w:b/>
                <w:bCs/>
              </w:rPr>
              <w:t>Faaliyet Aşamaları</w:t>
            </w:r>
          </w:p>
        </w:tc>
        <w:tc>
          <w:tcPr>
            <w:tcW w:w="4956" w:type="dxa"/>
          </w:tcPr>
          <w:p w14:paraId="6CA17E26" w14:textId="77777777" w:rsidR="008928F4" w:rsidRPr="00461B74" w:rsidRDefault="008928F4" w:rsidP="0024730D">
            <w:pPr>
              <w:jc w:val="center"/>
              <w:rPr>
                <w:rFonts w:ascii="Times New Roman" w:hAnsi="Times New Roman" w:cs="Times New Roman"/>
                <w:b/>
                <w:bCs/>
              </w:rPr>
            </w:pPr>
            <w:r>
              <w:rPr>
                <w:rFonts w:ascii="Times New Roman" w:hAnsi="Times New Roman" w:cs="Times New Roman"/>
                <w:b/>
                <w:bCs/>
              </w:rPr>
              <w:t>hammadde birimi başına özgül enerji tüketimi (</w:t>
            </w:r>
            <w:r w:rsidRPr="008928F4">
              <w:rPr>
                <w:rFonts w:ascii="Times New Roman" w:hAnsi="Times New Roman" w:cs="Times New Roman"/>
                <w:b/>
                <w:bCs/>
                <w:vertAlign w:val="superscript"/>
              </w:rPr>
              <w:t>1</w:t>
            </w:r>
            <w:r>
              <w:rPr>
                <w:rFonts w:ascii="Times New Roman" w:hAnsi="Times New Roman" w:cs="Times New Roman"/>
                <w:b/>
                <w:bCs/>
              </w:rPr>
              <w:t>)</w:t>
            </w:r>
          </w:p>
        </w:tc>
      </w:tr>
      <w:tr w:rsidR="008928F4" w:rsidRPr="00461B74" w14:paraId="05B00BE9" w14:textId="77777777" w:rsidTr="0082590D">
        <w:tc>
          <w:tcPr>
            <w:tcW w:w="4106" w:type="dxa"/>
            <w:vMerge/>
          </w:tcPr>
          <w:p w14:paraId="3DFEB782" w14:textId="77777777" w:rsidR="008928F4" w:rsidRPr="00461B74" w:rsidRDefault="008928F4" w:rsidP="0024730D">
            <w:pPr>
              <w:jc w:val="center"/>
              <w:rPr>
                <w:rFonts w:ascii="Times New Roman" w:hAnsi="Times New Roman" w:cs="Times New Roman"/>
                <w:b/>
                <w:bCs/>
              </w:rPr>
            </w:pPr>
          </w:p>
        </w:tc>
        <w:tc>
          <w:tcPr>
            <w:tcW w:w="4956" w:type="dxa"/>
          </w:tcPr>
          <w:p w14:paraId="6FD2D130" w14:textId="77777777" w:rsidR="008928F4" w:rsidRPr="00461B74" w:rsidRDefault="008928F4" w:rsidP="0024730D">
            <w:pPr>
              <w:jc w:val="center"/>
              <w:rPr>
                <w:rFonts w:ascii="Times New Roman" w:hAnsi="Times New Roman" w:cs="Times New Roman"/>
                <w:b/>
                <w:bCs/>
              </w:rPr>
            </w:pPr>
            <w:r>
              <w:rPr>
                <w:rFonts w:ascii="Times New Roman" w:hAnsi="Times New Roman" w:cs="Times New Roman"/>
                <w:b/>
                <w:bCs/>
              </w:rPr>
              <w:t>GJ/t</w:t>
            </w:r>
          </w:p>
        </w:tc>
      </w:tr>
      <w:tr w:rsidR="008928F4" w:rsidRPr="00461B74" w14:paraId="317A0C01" w14:textId="77777777" w:rsidTr="0082590D">
        <w:tc>
          <w:tcPr>
            <w:tcW w:w="4106" w:type="dxa"/>
          </w:tcPr>
          <w:p w14:paraId="4DC5ABA8" w14:textId="77777777" w:rsidR="008928F4" w:rsidRPr="00461B74" w:rsidRDefault="008928F4" w:rsidP="0024730D">
            <w:pPr>
              <w:jc w:val="both"/>
              <w:rPr>
                <w:rFonts w:ascii="Times New Roman" w:hAnsi="Times New Roman" w:cs="Times New Roman"/>
              </w:rPr>
            </w:pPr>
            <w:r>
              <w:rPr>
                <w:rFonts w:ascii="Times New Roman" w:hAnsi="Times New Roman" w:cs="Times New Roman"/>
              </w:rPr>
              <w:t>Sığır postlarının hamdan ıslak maviye veya ıslak beyaza işlenmesi</w:t>
            </w:r>
          </w:p>
        </w:tc>
        <w:tc>
          <w:tcPr>
            <w:tcW w:w="4956" w:type="dxa"/>
          </w:tcPr>
          <w:p w14:paraId="335726D8" w14:textId="77777777" w:rsidR="008928F4" w:rsidRPr="00461B74" w:rsidRDefault="008928F4" w:rsidP="0024730D">
            <w:pPr>
              <w:jc w:val="center"/>
              <w:rPr>
                <w:rFonts w:ascii="Times New Roman" w:hAnsi="Times New Roman" w:cs="Times New Roman"/>
              </w:rPr>
            </w:pPr>
            <w:r>
              <w:rPr>
                <w:rFonts w:ascii="Times New Roman" w:hAnsi="Times New Roman" w:cs="Times New Roman"/>
              </w:rPr>
              <w:t>&lt;3</w:t>
            </w:r>
          </w:p>
        </w:tc>
      </w:tr>
      <w:tr w:rsidR="008928F4" w:rsidRPr="00461B74" w14:paraId="0441E28F" w14:textId="77777777" w:rsidTr="0082590D">
        <w:tc>
          <w:tcPr>
            <w:tcW w:w="4106" w:type="dxa"/>
          </w:tcPr>
          <w:p w14:paraId="322B4C8B" w14:textId="77777777" w:rsidR="008928F4" w:rsidRPr="00110D4C" w:rsidRDefault="008928F4" w:rsidP="0024730D">
            <w:pPr>
              <w:jc w:val="both"/>
              <w:rPr>
                <w:rFonts w:ascii="Times New Roman" w:hAnsi="Times New Roman" w:cs="Times New Roman"/>
              </w:rPr>
            </w:pPr>
            <w:r>
              <w:rPr>
                <w:rFonts w:ascii="Times New Roman" w:hAnsi="Times New Roman" w:cs="Times New Roman"/>
              </w:rPr>
              <w:t>Sığır postlarının hamdan bitmiş deriye işlenmesi</w:t>
            </w:r>
          </w:p>
        </w:tc>
        <w:tc>
          <w:tcPr>
            <w:tcW w:w="4956" w:type="dxa"/>
          </w:tcPr>
          <w:p w14:paraId="42244397" w14:textId="77777777" w:rsidR="008928F4" w:rsidRPr="00461B74" w:rsidRDefault="008928F4" w:rsidP="0024730D">
            <w:pPr>
              <w:jc w:val="center"/>
              <w:rPr>
                <w:rFonts w:ascii="Times New Roman" w:hAnsi="Times New Roman" w:cs="Times New Roman"/>
              </w:rPr>
            </w:pPr>
            <w:r>
              <w:rPr>
                <w:rFonts w:ascii="Times New Roman" w:hAnsi="Times New Roman" w:cs="Times New Roman"/>
              </w:rPr>
              <w:t>&lt;14</w:t>
            </w:r>
          </w:p>
        </w:tc>
      </w:tr>
      <w:tr w:rsidR="008928F4" w:rsidRPr="00461B74" w14:paraId="6B11E1D9" w14:textId="77777777" w:rsidTr="0082590D">
        <w:tc>
          <w:tcPr>
            <w:tcW w:w="4106" w:type="dxa"/>
          </w:tcPr>
          <w:p w14:paraId="6E9D2E3C" w14:textId="77777777" w:rsidR="008928F4" w:rsidRDefault="008928F4" w:rsidP="0024730D">
            <w:pPr>
              <w:jc w:val="both"/>
              <w:rPr>
                <w:rFonts w:ascii="Times New Roman" w:hAnsi="Times New Roman" w:cs="Times New Roman"/>
              </w:rPr>
            </w:pPr>
            <w:r>
              <w:rPr>
                <w:rFonts w:ascii="Times New Roman" w:hAnsi="Times New Roman" w:cs="Times New Roman"/>
              </w:rPr>
              <w:t>Koyun derilerinin hamdan bitmiş deriye işlenmesi</w:t>
            </w:r>
          </w:p>
        </w:tc>
        <w:tc>
          <w:tcPr>
            <w:tcW w:w="4956" w:type="dxa"/>
          </w:tcPr>
          <w:p w14:paraId="1F03AD08" w14:textId="77777777" w:rsidR="008928F4" w:rsidRDefault="008928F4" w:rsidP="0024730D">
            <w:pPr>
              <w:jc w:val="center"/>
              <w:rPr>
                <w:rFonts w:ascii="Times New Roman" w:hAnsi="Times New Roman" w:cs="Times New Roman"/>
              </w:rPr>
            </w:pPr>
            <w:r>
              <w:rPr>
                <w:rFonts w:ascii="Times New Roman" w:hAnsi="Times New Roman" w:cs="Times New Roman"/>
              </w:rPr>
              <w:t>&lt;6</w:t>
            </w:r>
          </w:p>
        </w:tc>
      </w:tr>
      <w:tr w:rsidR="008928F4" w:rsidRPr="00461B74" w14:paraId="5BB370AC" w14:textId="77777777" w:rsidTr="0082590D">
        <w:tc>
          <w:tcPr>
            <w:tcW w:w="9062" w:type="dxa"/>
            <w:gridSpan w:val="2"/>
          </w:tcPr>
          <w:p w14:paraId="281228C9" w14:textId="77777777" w:rsidR="008928F4" w:rsidRPr="0082590D" w:rsidRDefault="008928F4" w:rsidP="008928F4">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xml:space="preserve">) </w:t>
            </w:r>
            <w:r w:rsidR="00FC27E2" w:rsidRPr="0082590D">
              <w:rPr>
                <w:rFonts w:ascii="Times New Roman" w:hAnsi="Times New Roman" w:cs="Times New Roman"/>
                <w:sz w:val="20"/>
                <w:szCs w:val="20"/>
              </w:rPr>
              <w:t>Enerji tüketim değerleri (birincil enerji için düzeltme yapılmamış yıllık ortalama olarak ifade edilen), elektrik ve iç alanların toplam ısıtması da dahil olmak üzere, üretim prosesindeki enerji kullanımını kapsar; ancak, atık su arıtımı için olan enerji kullanımını kapsamaz.</w:t>
            </w:r>
          </w:p>
        </w:tc>
      </w:tr>
    </w:tbl>
    <w:p w14:paraId="0DF66588" w14:textId="77777777" w:rsidR="00185AA8" w:rsidRPr="00CB3721" w:rsidRDefault="00185AA8" w:rsidP="00574272">
      <w:pPr>
        <w:spacing w:after="120" w:line="276" w:lineRule="auto"/>
        <w:jc w:val="both"/>
        <w:rPr>
          <w:rFonts w:ascii="Times New Roman" w:hAnsi="Times New Roman" w:cs="Times New Roman"/>
          <w:sz w:val="24"/>
          <w:szCs w:val="24"/>
        </w:rPr>
      </w:pPr>
    </w:p>
    <w:p w14:paraId="40A1CD3A" w14:textId="77777777" w:rsidR="00B64BD1" w:rsidRPr="0093241D" w:rsidRDefault="00B64BD1" w:rsidP="009103A8">
      <w:pPr>
        <w:spacing w:after="120" w:line="276" w:lineRule="auto"/>
        <w:jc w:val="both"/>
        <w:rPr>
          <w:rFonts w:ascii="Times New Roman" w:hAnsi="Times New Roman" w:cs="Times New Roman"/>
          <w:sz w:val="24"/>
          <w:szCs w:val="24"/>
        </w:rPr>
      </w:pPr>
    </w:p>
    <w:p w14:paraId="1A4AF41A" w14:textId="77777777" w:rsidR="00291A87" w:rsidRDefault="00291A87" w:rsidP="00B97F8E">
      <w:pPr>
        <w:spacing w:after="120" w:line="276" w:lineRule="auto"/>
        <w:jc w:val="both"/>
        <w:rPr>
          <w:rFonts w:ascii="Times New Roman" w:hAnsi="Times New Roman" w:cs="Times New Roman"/>
          <w:sz w:val="24"/>
          <w:szCs w:val="24"/>
        </w:rPr>
        <w:sectPr w:rsidR="00291A87">
          <w:pgSz w:w="11906" w:h="16838"/>
          <w:pgMar w:top="1417" w:right="1417" w:bottom="1417" w:left="1417" w:header="708" w:footer="708" w:gutter="0"/>
          <w:cols w:space="708"/>
          <w:docGrid w:linePitch="360"/>
        </w:sectPr>
      </w:pPr>
    </w:p>
    <w:p w14:paraId="48834E9B" w14:textId="77777777" w:rsidR="003B155E" w:rsidRPr="00D25610" w:rsidRDefault="003B155E" w:rsidP="003B155E">
      <w:pPr>
        <w:pStyle w:val="Balk1"/>
        <w:spacing w:before="0" w:after="120" w:line="276" w:lineRule="auto"/>
        <w:jc w:val="right"/>
        <w:rPr>
          <w:rFonts w:cs="Times New Roman"/>
          <w:bCs/>
          <w:szCs w:val="24"/>
        </w:rPr>
      </w:pPr>
      <w:r w:rsidRPr="00D25610">
        <w:rPr>
          <w:rFonts w:cs="Times New Roman"/>
          <w:bCs/>
          <w:szCs w:val="24"/>
        </w:rPr>
        <w:lastRenderedPageBreak/>
        <w:t>EK-6</w:t>
      </w:r>
    </w:p>
    <w:p w14:paraId="706B5CE2" w14:textId="77777777" w:rsidR="003B155E" w:rsidRPr="00D25610" w:rsidRDefault="003B155E" w:rsidP="003B155E">
      <w:pPr>
        <w:pStyle w:val="Balk1"/>
        <w:spacing w:before="0" w:after="120" w:line="276" w:lineRule="auto"/>
        <w:jc w:val="center"/>
        <w:rPr>
          <w:rFonts w:cs="Times New Roman"/>
          <w:bCs/>
          <w:szCs w:val="24"/>
        </w:rPr>
      </w:pPr>
      <w:r w:rsidRPr="00D25610">
        <w:rPr>
          <w:rFonts w:cs="Times New Roman"/>
          <w:bCs/>
          <w:szCs w:val="24"/>
        </w:rPr>
        <w:t>MEZBAHALAR, HAYVANSAL YAN ÜRÜNLER VE/VEYA YENİLEBİLİR ORTAK ÜRÜNLER SEKTÖRLERİ İÇİN MEVCUT EN İYİ TEKNİKLER</w:t>
      </w:r>
    </w:p>
    <w:p w14:paraId="61D73C5E"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Ek-1’inde yer alan aşağıdaki endüstriyel faaliyetleri kapsar:</w:t>
      </w:r>
    </w:p>
    <w:p w14:paraId="1933BC24"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6.4. (a) Günlük karkas üretim kapasitesi 50 ton üzeri mezbahaların işletilmesi.</w:t>
      </w:r>
    </w:p>
    <w:p w14:paraId="70C56A5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6.5. Günlük 10 tonu aşan bir işleme kapasitesine sahip hayvan karkaslarının veya hayvansal yan ürünlerinin </w:t>
      </w:r>
      <w:r w:rsidR="00D27F8E">
        <w:rPr>
          <w:rFonts w:ascii="Times New Roman" w:hAnsi="Times New Roman" w:cs="Times New Roman"/>
          <w:sz w:val="24"/>
          <w:szCs w:val="24"/>
        </w:rPr>
        <w:t>kullnımı ile bunların</w:t>
      </w:r>
      <w:r w:rsidR="00A52C19">
        <w:rPr>
          <w:rFonts w:ascii="Times New Roman" w:hAnsi="Times New Roman" w:cs="Times New Roman"/>
          <w:sz w:val="24"/>
          <w:szCs w:val="24"/>
        </w:rPr>
        <w:t xml:space="preserve"> (atık haline gelmesi durumunda geri kazanımı veya</w:t>
      </w:r>
      <w:r>
        <w:rPr>
          <w:rFonts w:ascii="Times New Roman" w:hAnsi="Times New Roman" w:cs="Times New Roman"/>
          <w:sz w:val="24"/>
          <w:szCs w:val="24"/>
        </w:rPr>
        <w:t xml:space="preserve"> bertarafı</w:t>
      </w:r>
      <w:r w:rsidR="00A52C19">
        <w:rPr>
          <w:rFonts w:ascii="Times New Roman" w:hAnsi="Times New Roman" w:cs="Times New Roman"/>
          <w:sz w:val="24"/>
          <w:szCs w:val="24"/>
        </w:rPr>
        <w:t>)</w:t>
      </w:r>
    </w:p>
    <w:p w14:paraId="608CC34C" w14:textId="77777777" w:rsidR="003B155E" w:rsidRPr="007421ED"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6.11. Endüstriyel Emisyonların Yönetimi Yönetmeliği kapsamında olan bir tesis tarafından deşarj edilen, Kentsel Atıksu Arıtımı Yönetmeliği kapsamında bulunmayan ve bağımsız işletilen atık su arıtma tesisleri, esas kirletici yükünün bu MET sonuçları kapsamındaki faaliyetlerden kaynaklanması halinde.</w:t>
      </w:r>
    </w:p>
    <w:p w14:paraId="132D300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aşağıdakileri de kapsar:</w:t>
      </w:r>
    </w:p>
    <w:p w14:paraId="479821DB"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Endüstriyel Emisyonların Yönetimi Yönetmeliği Ek-1’inde yer alan (6.4)-(b)-(i) ve/veya (6.5) maddelerinde belirtilen faaliyet tanımları kapsamındaki, hayvansal yan ürünlerin ve/veya yenilebilir ortak ürünlerin işlenmesi (rendering, yağ eritme, tüy işleme, balık yemi ve balık yağı üretimi, kan işleme ve jelatin üretimi gibi);</w:t>
      </w:r>
    </w:p>
    <w:p w14:paraId="3257B9EF"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et ve kemik unu ve/veya hayvansal yağın yakılması;</w:t>
      </w:r>
    </w:p>
    <w:p w14:paraId="6A84C47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yoğuşmayan gazlar da dahil olmak üzere, kötü kokulu gazların (bu MET sonuçları kapsamındaki faaliyetlerden kaynaklanan) yakılması (örn. termal oksitleyiciler veya buhar kazanlarında);</w:t>
      </w:r>
    </w:p>
    <w:p w14:paraId="0271DD6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bu MET sonuçları kapsamındaki faaliyetler ile doğrudan ilişkili ise, hayvan karkaslarının insinerasyonu;</w:t>
      </w:r>
    </w:p>
    <w:p w14:paraId="6546850A"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bu MET sonuçları kapsamındaki faaliyetler ile doğrudan ilişkili ise, postların ve derilerin korunumu;</w:t>
      </w:r>
    </w:p>
    <w:p w14:paraId="5D6AB05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bağırsakların ve sakatatların (iç organların) taşınımı, işlenmesi;</w:t>
      </w:r>
    </w:p>
    <w:p w14:paraId="60FB028B"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bu MET sonuçları kapsamındaki faaliyetler ile doğrudan ilişkili ise, kompost ve </w:t>
      </w:r>
      <w:r w:rsidR="00A52C19">
        <w:rPr>
          <w:rFonts w:ascii="Times New Roman" w:hAnsi="Times New Roman" w:cs="Times New Roman"/>
          <w:sz w:val="24"/>
          <w:szCs w:val="24"/>
        </w:rPr>
        <w:t>biyometanizasyon</w:t>
      </w:r>
      <w:r>
        <w:rPr>
          <w:rFonts w:ascii="Times New Roman" w:hAnsi="Times New Roman" w:cs="Times New Roman"/>
          <w:sz w:val="24"/>
          <w:szCs w:val="24"/>
        </w:rPr>
        <w:t>;</w:t>
      </w:r>
    </w:p>
    <w:p w14:paraId="189D76A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Esas kirletici yükünün bu MET sonuçları kapsamındaki faaliyetlerden kaynaklanması ve atık su arıtımının Kentsel Atıksu Arıtımı Yönetmeliği kapsamında olmaması halinde, farklı kaynaklardan gelen atık suyun ortak arıtımı.</w:t>
      </w:r>
    </w:p>
    <w:p w14:paraId="6BDD843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 faaliyetleri kapsamaz:</w:t>
      </w:r>
    </w:p>
    <w:p w14:paraId="2C25F784"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Doğrudan temaslı ısıtma, kurutma veya nesne veya materyallerin herhangi bir diğer işlemi için kullanılmayan sıcak gazları üreten ve yukarıdaki maddeler kapsamında olmayan saha içi yakma tesisleri.</w:t>
      </w:r>
    </w:p>
    <w:p w14:paraId="47954C0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Büyük hayvanlar için standart kesimlerin veya kümes hayvanları için kesimlerin gerçekleştirilmesinden sonraki gıda üretimi.</w:t>
      </w:r>
    </w:p>
    <w:p w14:paraId="4591C66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örneğin hijyen, gıda/yem güvenliği, hayvan refahı, biyogüvenlik, enerji verimliliği (enerji verimliliği birinci ilkesi) ile ilişkili diğer mevzuata halel getirmeksizin uygulanır.</w:t>
      </w:r>
    </w:p>
    <w:p w14:paraId="04749FC2" w14:textId="77777777" w:rsidR="003B155E" w:rsidRPr="00567E52"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bookmarkStart w:id="2" w:name="bookmark1401"/>
      <w:bookmarkStart w:id="3" w:name="bookmark1402"/>
      <w:r w:rsidRPr="00567E52">
        <w:rPr>
          <w:rFonts w:ascii="Times New Roman" w:eastAsia="Times New Roman" w:hAnsi="Times New Roman" w:cs="Times New Roman"/>
          <w:b/>
          <w:color w:val="000000"/>
          <w:kern w:val="0"/>
          <w:sz w:val="24"/>
          <w:szCs w:val="26"/>
          <w:lang w:eastAsia="tr-TR"/>
          <w14:ligatures w14:val="none"/>
        </w:rPr>
        <w:t xml:space="preserve">1.1. Genel MET </w:t>
      </w:r>
      <w:bookmarkEnd w:id="2"/>
      <w:bookmarkEnd w:id="3"/>
      <w:r w:rsidRPr="00567E52">
        <w:rPr>
          <w:rFonts w:ascii="Times New Roman" w:eastAsia="Times New Roman" w:hAnsi="Times New Roman" w:cs="Times New Roman"/>
          <w:b/>
          <w:color w:val="000000"/>
          <w:kern w:val="0"/>
          <w:sz w:val="24"/>
          <w:szCs w:val="26"/>
          <w:lang w:eastAsia="tr-TR"/>
          <w14:ligatures w14:val="none"/>
        </w:rPr>
        <w:t>Sonuçları</w:t>
      </w:r>
    </w:p>
    <w:p w14:paraId="09217626"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bookmarkStart w:id="4" w:name="bookmark1403"/>
      <w:bookmarkStart w:id="5" w:name="bookmark1404"/>
      <w:r w:rsidRPr="00567E52">
        <w:rPr>
          <w:rFonts w:ascii="Times New Roman" w:eastAsia="Times New Roman" w:hAnsi="Times New Roman" w:cs="Times New Roman"/>
          <w:b/>
          <w:color w:val="000000"/>
          <w:kern w:val="0"/>
          <w:sz w:val="24"/>
          <w:szCs w:val="24"/>
          <w:lang w:eastAsia="tr-TR"/>
          <w14:ligatures w14:val="none"/>
        </w:rPr>
        <w:t>1.1.1. Genel Çevresel Performans</w:t>
      </w:r>
      <w:bookmarkEnd w:id="4"/>
      <w:bookmarkEnd w:id="5"/>
    </w:p>
    <w:p w14:paraId="63BE4AC5" w14:textId="77777777" w:rsidR="003B155E" w:rsidRPr="00567E52" w:rsidRDefault="003B155E" w:rsidP="003B155E">
      <w:pPr>
        <w:spacing w:after="0" w:line="276" w:lineRule="auto"/>
        <w:jc w:val="both"/>
        <w:rPr>
          <w:rFonts w:ascii="Times New Roman" w:eastAsia="Calibri" w:hAnsi="Times New Roman" w:cs="Times New Roman"/>
          <w:spacing w:val="2"/>
          <w:kern w:val="0"/>
          <w:sz w:val="24"/>
          <w14:ligatures w14:val="none"/>
        </w:rPr>
      </w:pPr>
      <w:bookmarkStart w:id="6" w:name="bookmark1405"/>
      <w:r w:rsidRPr="00567E52">
        <w:rPr>
          <w:rFonts w:ascii="Times New Roman" w:eastAsia="Times New Roman" w:hAnsi="Times New Roman" w:cs="Times New Roman"/>
          <w:b/>
          <w:bCs/>
          <w:spacing w:val="2"/>
          <w:kern w:val="0"/>
          <w:sz w:val="24"/>
          <w:szCs w:val="24"/>
          <w14:ligatures w14:val="none"/>
        </w:rPr>
        <w:t>MET 1:</w:t>
      </w:r>
      <w:r w:rsidRPr="00567E52">
        <w:rPr>
          <w:rFonts w:ascii="Times New Roman" w:eastAsia="Calibri" w:hAnsi="Times New Roman" w:cs="Times New Roman"/>
          <w:spacing w:val="2"/>
          <w:kern w:val="0"/>
          <w:sz w:val="24"/>
          <w14:ligatures w14:val="none"/>
        </w:rPr>
        <w:t xml:space="preserve"> Genel çevre performansını iyileştirmek için aşağıdaki özelliklerin tümünü içeren bir çevre yönetim sistemi (ÇYS) hazırlamalı ve uygulamalıdır:</w:t>
      </w:r>
    </w:p>
    <w:p w14:paraId="164765E6"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Etkili bir ÇYS’nin uygulanması için, üst düzey yönetim de dahil olmak üzere, idarenin bağlılığı, liderliği ve hesap verebilirliği;</w:t>
      </w:r>
    </w:p>
    <w:p w14:paraId="4C1CE579"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Kurumsal bağlamın belirlenmesi, ilgili paydaşların ihtiyaç ve beklentilerinin tanımlanması ile tesisin çevre sağlığına (veya insan sağlığına) yönelik olası risklerle ilişkili özelliklerinin yanı sıra çevre ile ilgili uygulanabilir yasal gerekliliklerin belirlenmesini kapsayan bir analizi;</w:t>
      </w:r>
    </w:p>
    <w:p w14:paraId="0B9C2049"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Hedefleri arasında, tesisin çevresel performansının sürekli olarak iyileştirilmesi bulunan bir çevre politikası;</w:t>
      </w:r>
    </w:p>
    <w:p w14:paraId="7F8F5560"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Uygulanabilir yasal gerekliliklere uyumluluğu da kapsayan önemli çevresel hususlar ile ilişkili hedefler ve performans göstergeleri;</w:t>
      </w:r>
    </w:p>
    <w:p w14:paraId="38CB414E"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Çevresel hedeflere ulaşmak ve çevresel riskleri engellemek için gerekli prosedür ve eylemlerin (düzenleyici ve önleyici eylemler de gerektiğinde dahil olmak üzere) planlanması ve uygulanması;</w:t>
      </w:r>
    </w:p>
    <w:p w14:paraId="689529DF"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Çevresel hususlar ve hedefler ile ilişkili olarak düzenleme, rol ve sorumlulukların belirlenmesi ve gerekli olan mali ve insan kaynaklarının sağlanması;</w:t>
      </w:r>
    </w:p>
    <w:p w14:paraId="3D74365D"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Tesisin çevresel performansını etkileyebilecek çalışma faaliyetlerinde bulunan personele yönelik gerekli yetkinlik ve farkındalığın sağlanması (örneğin, bilgi paylaşımı ve eğitim yoluyla);</w:t>
      </w:r>
    </w:p>
    <w:p w14:paraId="2E566C45"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İç ve dış iletişimi;</w:t>
      </w:r>
    </w:p>
    <w:p w14:paraId="44846EC7"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İyi çevre yönetimi uygulamalarına personel katılımının teşvik edilmesi;</w:t>
      </w:r>
    </w:p>
    <w:p w14:paraId="279AAEB9"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Önemli çevresel etkiye sahip faaliyetler ile ilgili kayıtları kontrol altında tutmak adına yönetim el kitabı ve yazılı prosedürlerin oluşturulması ve sürdürülebilirliklerinin sağlanması;</w:t>
      </w:r>
    </w:p>
    <w:p w14:paraId="742DAE4B"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fi-FI"/>
          <w14:ligatures w14:val="none"/>
        </w:rPr>
      </w:pPr>
      <w:r w:rsidRPr="00567E52">
        <w:rPr>
          <w:rFonts w:ascii="Times New Roman" w:eastAsia="Times New Roman" w:hAnsi="Times New Roman" w:cs="Times New Roman"/>
          <w:spacing w:val="2"/>
          <w:kern w:val="0"/>
          <w:position w:val="-1"/>
          <w:sz w:val="24"/>
          <w:szCs w:val="24"/>
          <w:lang w:val="fi-FI"/>
          <w14:ligatures w14:val="none"/>
        </w:rPr>
        <w:t>Etkili operasyonel planlama ve proses kontrolü;</w:t>
      </w:r>
    </w:p>
    <w:p w14:paraId="17847134"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Uygun bakım ve onarım programı uygulamaları;</w:t>
      </w:r>
    </w:p>
    <w:p w14:paraId="4EF79867"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Acil durumlardan kaynaklanan olumsuz çevresel etkilerin önlenmesi ve/veya azaltılması/hafifletilmesi de dahil olmak üzere, acil durumlara hazırlık ve müdahale protokolleri;</w:t>
      </w:r>
    </w:p>
    <w:p w14:paraId="0B9E9052"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Yeni bir tesis veya bir bölümü (yeniden) tasarlanırken inşaat, bakım ve onarım, operasyon ve kullanım sonu aşamaları da dahil edilerek yaşam döngüsü boyunca sebep ol</w:t>
      </w:r>
      <w:r w:rsidRPr="00567E52">
        <w:rPr>
          <w:rFonts w:ascii="Times New Roman" w:eastAsia="Times New Roman" w:hAnsi="Times New Roman" w:cs="Times New Roman"/>
          <w:color w:val="000000"/>
          <w:spacing w:val="2"/>
          <w:kern w:val="0"/>
          <w:position w:val="-1"/>
          <w:sz w:val="24"/>
          <w:szCs w:val="24"/>
          <w:lang w:val="es-ES"/>
          <w14:ligatures w14:val="none"/>
        </w:rPr>
        <w:t>an</w:t>
      </w:r>
      <w:r w:rsidRPr="00567E52">
        <w:rPr>
          <w:rFonts w:ascii="Times New Roman" w:eastAsia="Times New Roman" w:hAnsi="Times New Roman" w:cs="Times New Roman"/>
          <w:spacing w:val="2"/>
          <w:kern w:val="0"/>
          <w:position w:val="-1"/>
          <w:sz w:val="24"/>
          <w:szCs w:val="24"/>
          <w:lang w:val="es-ES"/>
          <w14:ligatures w14:val="none"/>
        </w:rPr>
        <w:t xml:space="preserve"> çevresel etkilerin göz önünde bulundurulması;</w:t>
      </w:r>
    </w:p>
    <w:p w14:paraId="5D1358A7"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Gerektiğinde izleme ve ölçüm programları;</w:t>
      </w:r>
    </w:p>
    <w:p w14:paraId="4A3CE7B8"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Sektörel karşılaştırmalı değerlendirmenin düzenli aralıklarla uygulanması;</w:t>
      </w:r>
    </w:p>
    <w:p w14:paraId="1D924AA6"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Çevresel performansı değerlendirmek ve ÇYS’nin planlanan düzenlemelere uyumlu olarak doğru bir şekilde uygulanıp uygulanmadığını belirlemek için periyodik bağımsız (ve uygulanabilir olduğu sürece) bir iç denetim ile periyodik bağımsız bir dış denetim;</w:t>
      </w:r>
    </w:p>
    <w:p w14:paraId="10467CC1"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 xml:space="preserve">Uygunsuzluk sebeplerinin değerlendirilmesi, bunlara yönelik düzeltici eylemlerin uygulanması, söz konusu düzeltici eylemlerin etkinliklerinin gözden geçirilmesi ve </w:t>
      </w:r>
      <w:r w:rsidRPr="00567E52">
        <w:rPr>
          <w:rFonts w:ascii="Times New Roman" w:eastAsia="Times New Roman" w:hAnsi="Times New Roman" w:cs="Times New Roman"/>
          <w:spacing w:val="2"/>
          <w:kern w:val="0"/>
          <w:position w:val="-1"/>
          <w:sz w:val="24"/>
          <w:szCs w:val="24"/>
          <w:lang w:val="en-US"/>
          <w14:ligatures w14:val="none"/>
        </w:rPr>
        <w:lastRenderedPageBreak/>
        <w:t>benzer uygunsuzlukların mevcut olup olmadığının veya potansiyel olarak ortaya çıkıp çıkmayacağının belirlenmesi;</w:t>
      </w:r>
    </w:p>
    <w:p w14:paraId="7B2C9F4C"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ÇYS’ye ve devam eden uygunluğuna, yeterliliğine ve etkinliğine yönelik üst düzey yönetim tarafından yapılan periyodik değerlendirme;</w:t>
      </w:r>
    </w:p>
    <w:p w14:paraId="79E826BC"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fi-FI"/>
          <w14:ligatures w14:val="none"/>
        </w:rPr>
      </w:pPr>
      <w:r w:rsidRPr="00567E52">
        <w:rPr>
          <w:rFonts w:ascii="Times New Roman" w:eastAsia="Times New Roman" w:hAnsi="Times New Roman" w:cs="Times New Roman"/>
          <w:color w:val="000000"/>
          <w:spacing w:val="2"/>
          <w:kern w:val="0"/>
          <w:position w:val="-1"/>
          <w:sz w:val="24"/>
          <w:szCs w:val="24"/>
          <w:lang w:val="fi-FI"/>
          <w14:ligatures w14:val="none"/>
        </w:rPr>
        <w:t>Daha temiz yöntemlerin takip edilmesi ve dikkate alınması.</w:t>
      </w:r>
    </w:p>
    <w:p w14:paraId="5A22EB83" w14:textId="77777777" w:rsidR="003B155E" w:rsidRPr="00567E52" w:rsidRDefault="003B155E" w:rsidP="003B155E">
      <w:pPr>
        <w:spacing w:after="0" w:line="276" w:lineRule="auto"/>
        <w:jc w:val="both"/>
        <w:rPr>
          <w:rFonts w:ascii="Times New Roman" w:eastAsia="Calibri" w:hAnsi="Times New Roman" w:cs="Times New Roman"/>
          <w:spacing w:val="2"/>
          <w:kern w:val="0"/>
          <w:sz w:val="24"/>
          <w:lang w:val="fi-FI"/>
          <w14:ligatures w14:val="none"/>
        </w:rPr>
      </w:pPr>
    </w:p>
    <w:p w14:paraId="08B1EC1E" w14:textId="77777777" w:rsidR="003B155E" w:rsidRPr="00567E52" w:rsidRDefault="003B155E" w:rsidP="003B155E">
      <w:pPr>
        <w:spacing w:after="0" w:line="276" w:lineRule="auto"/>
        <w:jc w:val="both"/>
        <w:rPr>
          <w:rFonts w:ascii="Times New Roman" w:eastAsia="Calibri" w:hAnsi="Times New Roman" w:cs="Times New Roman"/>
          <w:spacing w:val="2"/>
          <w:kern w:val="0"/>
          <w:sz w:val="24"/>
          <w:lang w:val="fi-FI"/>
          <w14:ligatures w14:val="none"/>
        </w:rPr>
      </w:pPr>
      <w:r w:rsidRPr="00567E52">
        <w:rPr>
          <w:rFonts w:ascii="Times New Roman" w:eastAsia="Calibri" w:hAnsi="Times New Roman" w:cs="Times New Roman"/>
          <w:spacing w:val="2"/>
          <w:kern w:val="0"/>
          <w:sz w:val="24"/>
          <w:lang w:val="fi-FI"/>
          <w14:ligatures w14:val="none"/>
        </w:rPr>
        <w:t>Özellikle mezbahalar ve hayvansal yan ürünlerin ve/veya yenilebilir yan ürünlerin işlenmesi için MET, ÇYS’ye aşağıdaki özellikleri de dahil etmelidir:</w:t>
      </w:r>
    </w:p>
    <w:p w14:paraId="2CBBE11D" w14:textId="77777777" w:rsidR="003B155E" w:rsidRPr="00567E52" w:rsidRDefault="003B155E" w:rsidP="003B155E">
      <w:pPr>
        <w:spacing w:after="0" w:line="276" w:lineRule="auto"/>
        <w:jc w:val="both"/>
        <w:rPr>
          <w:rFonts w:ascii="Times New Roman" w:eastAsia="Calibri" w:hAnsi="Times New Roman" w:cs="Times New Roman"/>
          <w:spacing w:val="2"/>
          <w:kern w:val="0"/>
          <w:sz w:val="24"/>
          <w:lang w:val="fi-FI"/>
          <w14:ligatures w14:val="none"/>
        </w:rPr>
      </w:pPr>
    </w:p>
    <w:p w14:paraId="3EB7E170"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fi-FI"/>
          <w14:ligatures w14:val="none"/>
        </w:rPr>
      </w:pPr>
      <w:r w:rsidRPr="00567E52">
        <w:rPr>
          <w:rFonts w:ascii="Times New Roman" w:eastAsia="Times New Roman" w:hAnsi="Times New Roman" w:cs="Times New Roman"/>
          <w:color w:val="000000"/>
          <w:spacing w:val="2"/>
          <w:kern w:val="0"/>
          <w:position w:val="-1"/>
          <w:sz w:val="24"/>
          <w:szCs w:val="24"/>
          <w:lang w:val="fi-FI"/>
          <w14:ligatures w14:val="none"/>
        </w:rPr>
        <w:t>Koku yönetim planı (Bkz. MET 18);</w:t>
      </w:r>
    </w:p>
    <w:p w14:paraId="2F505F9A"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s-ES"/>
          <w14:ligatures w14:val="none"/>
        </w:rPr>
        <w:t xml:space="preserve">Girdi ve çıktıların bir envanteri (Bkz. </w:t>
      </w:r>
      <w:r w:rsidRPr="00567E52">
        <w:rPr>
          <w:rFonts w:ascii="Times New Roman" w:eastAsia="Times New Roman" w:hAnsi="Times New Roman" w:cs="Times New Roman"/>
          <w:color w:val="000000"/>
          <w:spacing w:val="2"/>
          <w:kern w:val="0"/>
          <w:position w:val="-1"/>
          <w:sz w:val="24"/>
          <w:szCs w:val="24"/>
          <w:lang w:val="en-US"/>
          <w14:ligatures w14:val="none"/>
        </w:rPr>
        <w:t>MET 2);</w:t>
      </w:r>
    </w:p>
    <w:p w14:paraId="39706F96"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Kimyasal yönetim sistemi (Bkz. MET 3);</w:t>
      </w:r>
    </w:p>
    <w:p w14:paraId="2975A2C3"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Enerji verimliliği planı (Bkz. MET 9 (a));</w:t>
      </w:r>
    </w:p>
    <w:p w14:paraId="20F1E171"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Su yönetim planı (Bkz. MET 10 (a));</w:t>
      </w:r>
    </w:p>
    <w:p w14:paraId="7A627447"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Gürültü yönetim planı (Bkz. MET 16);</w:t>
      </w:r>
    </w:p>
    <w:p w14:paraId="2E13CBE5"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OTNOC yönetim planı (Bkz. MET 4);</w:t>
      </w:r>
    </w:p>
    <w:p w14:paraId="4881CCA9" w14:textId="77777777" w:rsidR="003B155E" w:rsidRPr="00567E52" w:rsidRDefault="003B155E" w:rsidP="003B155E">
      <w:pPr>
        <w:widowControl w:val="0"/>
        <w:numPr>
          <w:ilvl w:val="0"/>
          <w:numId w:val="86"/>
        </w:numPr>
        <w:spacing w:after="0" w:line="240" w:lineRule="auto"/>
        <w:ind w:left="567" w:hanging="567"/>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Mezbahalar için bir soğutma yönetim planı (Bkz. MET 21 (a) ve MET 23 (a)).</w:t>
      </w:r>
    </w:p>
    <w:p w14:paraId="36953946" w14:textId="77777777" w:rsidR="003B155E" w:rsidRPr="00567E52" w:rsidRDefault="003B155E" w:rsidP="003B155E">
      <w:pPr>
        <w:widowControl w:val="0"/>
        <w:spacing w:after="0" w:line="276" w:lineRule="auto"/>
        <w:jc w:val="both"/>
        <w:rPr>
          <w:rFonts w:ascii="Times New Roman" w:eastAsia="Calibri" w:hAnsi="Times New Roman" w:cs="Courier New"/>
          <w:color w:val="000000"/>
          <w:kern w:val="0"/>
          <w:sz w:val="24"/>
          <w:szCs w:val="24"/>
          <w:lang w:val="en-US" w:eastAsia="tr-TR"/>
          <w14:ligatures w14:val="none"/>
        </w:rPr>
      </w:pPr>
    </w:p>
    <w:p w14:paraId="15C31005" w14:textId="77777777" w:rsidR="003B155E" w:rsidRPr="00567E52" w:rsidRDefault="003B155E" w:rsidP="003B155E">
      <w:pPr>
        <w:widowControl w:val="0"/>
        <w:spacing w:after="0" w:line="276" w:lineRule="auto"/>
        <w:jc w:val="both"/>
        <w:rPr>
          <w:rFonts w:ascii="Times New Roman" w:eastAsia="Calibri" w:hAnsi="Times New Roman" w:cs="Courier New"/>
          <w:i/>
          <w:iCs/>
          <w:color w:val="000000"/>
          <w:kern w:val="0"/>
          <w:sz w:val="24"/>
          <w:szCs w:val="24"/>
          <w:lang w:val="en-US" w:eastAsia="tr-TR"/>
          <w14:ligatures w14:val="none"/>
        </w:rPr>
      </w:pPr>
      <w:r w:rsidRPr="00567E52">
        <w:rPr>
          <w:rFonts w:ascii="Times New Roman" w:eastAsia="Calibri" w:hAnsi="Times New Roman" w:cs="Courier New"/>
          <w:i/>
          <w:iCs/>
          <w:color w:val="000000"/>
          <w:kern w:val="0"/>
          <w:sz w:val="24"/>
          <w:szCs w:val="24"/>
          <w:lang w:val="en-US" w:eastAsia="tr-TR"/>
          <w14:ligatures w14:val="none"/>
        </w:rPr>
        <w:t>Uygulanabilirlik</w:t>
      </w:r>
    </w:p>
    <w:p w14:paraId="774A3E45" w14:textId="77777777" w:rsidR="003B155E" w:rsidRPr="00567E52" w:rsidRDefault="003B155E" w:rsidP="003B155E">
      <w:pPr>
        <w:widowControl w:val="0"/>
        <w:spacing w:after="0" w:line="276" w:lineRule="auto"/>
        <w:jc w:val="both"/>
        <w:rPr>
          <w:rFonts w:ascii="Times New Roman" w:eastAsia="Calibri" w:hAnsi="Times New Roman" w:cs="Courier New"/>
          <w:color w:val="000000"/>
          <w:kern w:val="0"/>
          <w:sz w:val="24"/>
          <w:szCs w:val="24"/>
          <w:lang w:val="en-US" w:eastAsia="tr-TR"/>
          <w14:ligatures w14:val="none"/>
        </w:rPr>
      </w:pPr>
      <w:r w:rsidRPr="00567E52">
        <w:rPr>
          <w:rFonts w:ascii="Times New Roman" w:eastAsia="Calibri" w:hAnsi="Times New Roman" w:cs="Courier New"/>
          <w:color w:val="000000"/>
          <w:kern w:val="0"/>
          <w:sz w:val="24"/>
          <w:szCs w:val="24"/>
          <w:lang w:val="en-US" w:eastAsia="tr-TR"/>
          <w14:ligatures w14:val="none"/>
        </w:rPr>
        <w:t>ÇYS’nin ayrıntı düzeyi ve resmileştirme derecesi genellikle tesisin niteliği, ölçeği ve karmaşıklığı ve sahip olabileceği çevresel etkilerin çeşitliliği ile ilgili olacaktır.</w:t>
      </w:r>
    </w:p>
    <w:p w14:paraId="7643CE94" w14:textId="77777777" w:rsidR="003B155E" w:rsidRPr="00567E52"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bookmarkStart w:id="7" w:name="bookmark1407"/>
      <w:bookmarkStart w:id="8" w:name="bookmark1408"/>
      <w:bookmarkEnd w:id="6"/>
    </w:p>
    <w:p w14:paraId="22590B2A"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color w:val="000000"/>
          <w:spacing w:val="2"/>
          <w:kern w:val="0"/>
          <w:sz w:val="24"/>
          <w:szCs w:val="24"/>
          <w14:ligatures w14:val="none"/>
        </w:rPr>
        <w:t>MET 2:</w:t>
      </w:r>
      <w:r w:rsidRPr="00567E52">
        <w:rPr>
          <w:rFonts w:ascii="Times New Roman" w:eastAsia="Times New Roman" w:hAnsi="Times New Roman" w:cs="Times New Roman"/>
          <w:color w:val="000000"/>
          <w:spacing w:val="2"/>
          <w:kern w:val="0"/>
          <w:sz w:val="24"/>
          <w:szCs w:val="24"/>
          <w14:ligatures w14:val="none"/>
        </w:rPr>
        <w:t xml:space="preserve"> Genel çevresel performansı iyileştirmek için, aşağıdaki özelliklerin tümünü içeren çevre yönetim sisteminin (bkz. MET 1) bir parçası olarak girdi ve çıktıların bir envanteri oluşturulur, sürdürülür ve düzenli olarak gözden geçirilir (önemli bir değişiklik meydana geldiğinde dahil):</w:t>
      </w:r>
    </w:p>
    <w:p w14:paraId="4D0E066D" w14:textId="77777777" w:rsidR="003B155E" w:rsidRPr="00567E52" w:rsidRDefault="003B155E" w:rsidP="003B155E">
      <w:pPr>
        <w:widowControl w:val="0"/>
        <w:numPr>
          <w:ilvl w:val="0"/>
          <w:numId w:val="8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Aşağıdakiler dahil olmak üzere üretim süreç/süreçleri hakkında bilgiler:</w:t>
      </w:r>
    </w:p>
    <w:p w14:paraId="2E1957F8" w14:textId="77777777" w:rsidR="003B155E" w:rsidRPr="00567E52" w:rsidRDefault="000E2BBC" w:rsidP="003B155E">
      <w:pPr>
        <w:widowControl w:val="0"/>
        <w:numPr>
          <w:ilvl w:val="0"/>
          <w:numId w:val="106"/>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 xml:space="preserve">Emisyonların kaynağını gösteren basitleştirilmiş proses akış şemaları; </w:t>
      </w:r>
    </w:p>
    <w:p w14:paraId="1D508CCD" w14:textId="77777777" w:rsidR="003B155E" w:rsidRPr="00567E52" w:rsidRDefault="000E2BBC" w:rsidP="003B155E">
      <w:pPr>
        <w:widowControl w:val="0"/>
        <w:numPr>
          <w:ilvl w:val="0"/>
          <w:numId w:val="106"/>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 xml:space="preserve">Emisyonları önlemek veya azaltmak için prosesle entegre tekniklerin ve atıksu/atık </w:t>
      </w:r>
      <w:r w:rsidR="003B155E" w:rsidRPr="00567E52">
        <w:rPr>
          <w:rFonts w:ascii="Times New Roman" w:eastAsia="Times New Roman" w:hAnsi="Times New Roman" w:cs="Times New Roman"/>
          <w:spacing w:val="2"/>
          <w:kern w:val="0"/>
          <w:position w:val="-1"/>
          <w:sz w:val="24"/>
          <w:szCs w:val="24"/>
          <w14:ligatures w14:val="none"/>
        </w:rPr>
        <w:t>gaz arıtma tekniklerinin, performansları da dahil olmak üzere (örn. azaltma verimliliği) açıklamaları.</w:t>
      </w:r>
    </w:p>
    <w:p w14:paraId="363667CB" w14:textId="77777777" w:rsidR="003B155E" w:rsidRPr="00567E52" w:rsidRDefault="003B155E" w:rsidP="003B155E">
      <w:pPr>
        <w:widowControl w:val="0"/>
        <w:numPr>
          <w:ilvl w:val="0"/>
          <w:numId w:val="8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Enerji tüketimi ve kullanımı hakkında bilgi.</w:t>
      </w:r>
    </w:p>
    <w:p w14:paraId="6038AFFC" w14:textId="77777777" w:rsidR="003B155E" w:rsidRPr="00567E52" w:rsidRDefault="003B155E" w:rsidP="003B155E">
      <w:pPr>
        <w:widowControl w:val="0"/>
        <w:numPr>
          <w:ilvl w:val="0"/>
          <w:numId w:val="8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Su tüketimi ve kullanımı hakkında bilgiler (örn. akış diyagramları ve su kütle dengeleri).</w:t>
      </w:r>
    </w:p>
    <w:p w14:paraId="79C43D32" w14:textId="77777777" w:rsidR="003B155E" w:rsidRPr="00567E52" w:rsidRDefault="003B155E" w:rsidP="003B155E">
      <w:pPr>
        <w:widowControl w:val="0"/>
        <w:numPr>
          <w:ilvl w:val="0"/>
          <w:numId w:val="8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Atıksu akışlarının miktarı ve özellikleri hakkında bilgiler, örneğin:</w:t>
      </w:r>
    </w:p>
    <w:p w14:paraId="786CA185" w14:textId="77777777" w:rsidR="003B155E" w:rsidRPr="00567E52" w:rsidRDefault="000E2BBC" w:rsidP="003B155E">
      <w:pPr>
        <w:widowControl w:val="0"/>
        <w:numPr>
          <w:ilvl w:val="0"/>
          <w:numId w:val="107"/>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Debi</w:t>
      </w:r>
      <w:r w:rsidR="003B155E" w:rsidRPr="00567E52">
        <w:rPr>
          <w:rFonts w:ascii="Times New Roman" w:eastAsia="Times New Roman" w:hAnsi="Times New Roman" w:cs="Times New Roman"/>
          <w:spacing w:val="2"/>
          <w:kern w:val="0"/>
          <w:position w:val="-1"/>
          <w:sz w:val="24"/>
          <w:szCs w:val="24"/>
          <w:lang w:val="es-ES"/>
          <w14:ligatures w14:val="none"/>
        </w:rPr>
        <w:t xml:space="preserve">, </w:t>
      </w:r>
      <w:r w:rsidRPr="00567E52">
        <w:rPr>
          <w:rFonts w:ascii="Times New Roman" w:eastAsia="Times New Roman" w:hAnsi="Times New Roman" w:cs="Times New Roman"/>
          <w:spacing w:val="2"/>
          <w:kern w:val="0"/>
          <w:position w:val="-1"/>
          <w:sz w:val="24"/>
          <w:szCs w:val="24"/>
          <w:lang w:val="es-ES"/>
          <w14:ligatures w14:val="none"/>
        </w:rPr>
        <w:t xml:space="preserve">ph </w:t>
      </w:r>
      <w:r w:rsidR="003B155E" w:rsidRPr="00567E52">
        <w:rPr>
          <w:rFonts w:ascii="Times New Roman" w:eastAsia="Times New Roman" w:hAnsi="Times New Roman" w:cs="Times New Roman"/>
          <w:spacing w:val="2"/>
          <w:kern w:val="0"/>
          <w:position w:val="-1"/>
          <w:sz w:val="24"/>
          <w:szCs w:val="24"/>
          <w:lang w:val="es-ES"/>
          <w14:ligatures w14:val="none"/>
        </w:rPr>
        <w:t xml:space="preserve">ve sıcaklığın ortalama değerleri ve değişkenliği; </w:t>
      </w:r>
    </w:p>
    <w:p w14:paraId="7A7D5CFB" w14:textId="77777777" w:rsidR="003B155E" w:rsidRPr="00567E52" w:rsidRDefault="000E2BBC" w:rsidP="003B155E">
      <w:pPr>
        <w:widowControl w:val="0"/>
        <w:numPr>
          <w:ilvl w:val="0"/>
          <w:numId w:val="107"/>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 xml:space="preserve">Ilgili </w:t>
      </w:r>
      <w:r w:rsidR="003B155E" w:rsidRPr="00567E52">
        <w:rPr>
          <w:rFonts w:ascii="Times New Roman" w:eastAsia="Times New Roman" w:hAnsi="Times New Roman" w:cs="Times New Roman"/>
          <w:spacing w:val="2"/>
          <w:kern w:val="0"/>
          <w:position w:val="-1"/>
          <w:sz w:val="24"/>
          <w:szCs w:val="24"/>
          <w:lang w:val="es-ES"/>
          <w14:ligatures w14:val="none"/>
        </w:rPr>
        <w:t>kirleticilerin/parametrelerin (örneğin TOK veya KOİ, azot türleri, fosfor, klorür, iletkenlik) ortalama konsantrasyon ve yük değerleri ve bunların değişkenliği.</w:t>
      </w:r>
    </w:p>
    <w:p w14:paraId="3664F827" w14:textId="77777777" w:rsidR="003B155E" w:rsidRPr="00567E52" w:rsidRDefault="003B155E" w:rsidP="003B155E">
      <w:pPr>
        <w:widowControl w:val="0"/>
        <w:numPr>
          <w:ilvl w:val="0"/>
          <w:numId w:val="8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 xml:space="preserve">Atık gaz akışlarının özellikleri hakkında bilgi, örneğin: </w:t>
      </w:r>
    </w:p>
    <w:p w14:paraId="5A90CA75" w14:textId="77777777" w:rsidR="003B155E" w:rsidRPr="00567E52" w:rsidRDefault="000E2BBC" w:rsidP="003B155E">
      <w:pPr>
        <w:widowControl w:val="0"/>
        <w:numPr>
          <w:ilvl w:val="1"/>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Emisyon noktası/noktaları</w:t>
      </w:r>
    </w:p>
    <w:p w14:paraId="7FB3BF9E" w14:textId="77777777" w:rsidR="003B155E" w:rsidRPr="00567E52" w:rsidRDefault="000E2BBC" w:rsidP="003B155E">
      <w:pPr>
        <w:widowControl w:val="0"/>
        <w:numPr>
          <w:ilvl w:val="1"/>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 xml:space="preserve">Debi ve sıcaklığın ortalama değerleri ve değişkenliği; </w:t>
      </w:r>
    </w:p>
    <w:p w14:paraId="2DCB1DCA" w14:textId="77777777" w:rsidR="003B155E" w:rsidRPr="00567E52" w:rsidRDefault="000E2BBC" w:rsidP="003B155E">
      <w:pPr>
        <w:widowControl w:val="0"/>
        <w:numPr>
          <w:ilvl w:val="1"/>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Ilgili kirleticilerin/parametrelerin (örn. Toz, t</w:t>
      </w:r>
      <w:r>
        <w:rPr>
          <w:rFonts w:ascii="Times New Roman" w:eastAsia="Times New Roman" w:hAnsi="Times New Roman" w:cs="Times New Roman"/>
          <w:spacing w:val="2"/>
          <w:kern w:val="0"/>
          <w:position w:val="-1"/>
          <w:sz w:val="24"/>
          <w:szCs w:val="24"/>
          <w:lang w:val="es-ES"/>
          <w14:ligatures w14:val="none"/>
        </w:rPr>
        <w:t>uob</w:t>
      </w:r>
      <w:r w:rsidRPr="00567E52">
        <w:rPr>
          <w:rFonts w:ascii="Times New Roman" w:eastAsia="Times New Roman" w:hAnsi="Times New Roman" w:cs="Times New Roman"/>
          <w:spacing w:val="2"/>
          <w:kern w:val="0"/>
          <w:position w:val="-1"/>
          <w:sz w:val="24"/>
          <w:szCs w:val="24"/>
          <w:lang w:val="es-ES"/>
          <w14:ligatures w14:val="none"/>
        </w:rPr>
        <w:t>, co, no</w:t>
      </w:r>
      <w:r w:rsidRPr="00567E52">
        <w:rPr>
          <w:rFonts w:ascii="Times New Roman" w:eastAsia="Times New Roman" w:hAnsi="Times New Roman" w:cs="Times New Roman"/>
          <w:spacing w:val="2"/>
          <w:kern w:val="0"/>
          <w:position w:val="-1"/>
          <w:sz w:val="24"/>
          <w:szCs w:val="24"/>
          <w:vertAlign w:val="subscript"/>
          <w:lang w:val="es-ES"/>
          <w14:ligatures w14:val="none"/>
        </w:rPr>
        <w:t>x</w:t>
      </w:r>
      <w:r w:rsidRPr="00567E52">
        <w:rPr>
          <w:rFonts w:ascii="Times New Roman" w:eastAsia="Times New Roman" w:hAnsi="Times New Roman" w:cs="Times New Roman"/>
          <w:spacing w:val="2"/>
          <w:kern w:val="0"/>
          <w:position w:val="-1"/>
          <w:sz w:val="24"/>
          <w:szCs w:val="24"/>
          <w:lang w:val="es-ES"/>
          <w14:ligatures w14:val="none"/>
        </w:rPr>
        <w:t>, so</w:t>
      </w:r>
      <w:r w:rsidRPr="00567E52">
        <w:rPr>
          <w:rFonts w:ascii="Times New Roman" w:eastAsia="Times New Roman" w:hAnsi="Times New Roman" w:cs="Times New Roman"/>
          <w:spacing w:val="2"/>
          <w:kern w:val="0"/>
          <w:position w:val="-1"/>
          <w:sz w:val="24"/>
          <w:szCs w:val="24"/>
          <w:vertAlign w:val="subscript"/>
          <w:lang w:val="es-ES"/>
          <w14:ligatures w14:val="none"/>
        </w:rPr>
        <w:t>x</w:t>
      </w:r>
      <w:r w:rsidR="003B155E" w:rsidRPr="00567E52">
        <w:rPr>
          <w:rFonts w:ascii="Times New Roman" w:eastAsia="Times New Roman" w:hAnsi="Times New Roman" w:cs="Times New Roman"/>
          <w:spacing w:val="2"/>
          <w:kern w:val="0"/>
          <w:position w:val="-1"/>
          <w:sz w:val="24"/>
          <w:szCs w:val="24"/>
          <w:lang w:val="es-ES"/>
          <w14:ligatures w14:val="none"/>
        </w:rPr>
        <w:t xml:space="preserve">) ortalama konsantrasyon ve yük değerleri ve bunların değişkenliği; </w:t>
      </w:r>
    </w:p>
    <w:p w14:paraId="64429EEE" w14:textId="77777777" w:rsidR="003B155E" w:rsidRPr="00567E52" w:rsidRDefault="000E2BBC" w:rsidP="003B155E">
      <w:pPr>
        <w:widowControl w:val="0"/>
        <w:numPr>
          <w:ilvl w:val="1"/>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spacing w:val="2"/>
          <w:kern w:val="0"/>
          <w:position w:val="-1"/>
          <w:sz w:val="24"/>
          <w:szCs w:val="24"/>
          <w:lang w:val="es-ES"/>
          <w14:ligatures w14:val="none"/>
        </w:rPr>
      </w:pPr>
      <w:r w:rsidRPr="00567E52">
        <w:rPr>
          <w:rFonts w:ascii="Times New Roman" w:eastAsia="Times New Roman" w:hAnsi="Times New Roman" w:cs="Times New Roman"/>
          <w:spacing w:val="2"/>
          <w:kern w:val="0"/>
          <w:position w:val="-1"/>
          <w:sz w:val="24"/>
          <w:szCs w:val="24"/>
          <w:lang w:val="es-ES"/>
          <w14:ligatures w14:val="none"/>
        </w:rPr>
        <w:t xml:space="preserve">Atık gaz </w:t>
      </w:r>
      <w:r w:rsidR="003B155E" w:rsidRPr="00567E52">
        <w:rPr>
          <w:rFonts w:ascii="Times New Roman" w:eastAsia="Times New Roman" w:hAnsi="Times New Roman" w:cs="Times New Roman"/>
          <w:spacing w:val="2"/>
          <w:kern w:val="0"/>
          <w:position w:val="-1"/>
          <w:sz w:val="24"/>
          <w:szCs w:val="24"/>
          <w:lang w:val="es-ES"/>
          <w14:ligatures w14:val="none"/>
        </w:rPr>
        <w:t>arıtma sistemini veya tesis güvenliğini etkileyebilecek diğer maddelerin varlığı (örn. oksijen, su buharı, toz).</w:t>
      </w:r>
    </w:p>
    <w:p w14:paraId="6AD7F46A" w14:textId="77777777" w:rsidR="003B155E" w:rsidRPr="00567E52" w:rsidRDefault="003B155E" w:rsidP="003B155E">
      <w:pPr>
        <w:widowControl w:val="0"/>
        <w:numPr>
          <w:ilvl w:val="0"/>
          <w:numId w:val="8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Kullanılan kimyasalların miktarı ve özellikleri hakkında bilgi:</w:t>
      </w:r>
    </w:p>
    <w:p w14:paraId="79C86C2F" w14:textId="77777777" w:rsidR="003B155E" w:rsidRPr="00567E52" w:rsidRDefault="003B155E" w:rsidP="003B155E">
      <w:pPr>
        <w:widowControl w:val="0"/>
        <w:numPr>
          <w:ilvl w:val="1"/>
          <w:numId w:val="85"/>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14:ligatures w14:val="none"/>
        </w:rPr>
      </w:pPr>
      <w:r w:rsidRPr="00567E52">
        <w:rPr>
          <w:rFonts w:ascii="Times New Roman" w:eastAsia="Times New Roman" w:hAnsi="Times New Roman" w:cs="Times New Roman"/>
          <w:spacing w:val="2"/>
          <w:kern w:val="0"/>
          <w:position w:val="-1"/>
          <w:sz w:val="24"/>
          <w:szCs w:val="24"/>
          <w14:ligatures w14:val="none"/>
        </w:rPr>
        <w:t>çevre ve/veya insan sağlığı üzerinde olumsuz etkileri olan özellikler de dahil olmak üzere kullanılan kimyasalların kimliği ve özellikleri;</w:t>
      </w:r>
    </w:p>
    <w:p w14:paraId="18EB33A6" w14:textId="77777777" w:rsidR="003B155E" w:rsidRPr="00567E52" w:rsidRDefault="003B155E" w:rsidP="003B155E">
      <w:pPr>
        <w:widowControl w:val="0"/>
        <w:numPr>
          <w:ilvl w:val="1"/>
          <w:numId w:val="85"/>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lang w:val="fi-FI"/>
          <w14:ligatures w14:val="none"/>
        </w:rPr>
      </w:pPr>
      <w:r w:rsidRPr="00567E52">
        <w:rPr>
          <w:rFonts w:ascii="Times New Roman" w:eastAsia="Times New Roman" w:hAnsi="Times New Roman" w:cs="Times New Roman"/>
          <w:spacing w:val="2"/>
          <w:kern w:val="0"/>
          <w:position w:val="-1"/>
          <w:sz w:val="24"/>
          <w:szCs w:val="24"/>
          <w:lang w:val="fi-FI"/>
          <w14:ligatures w14:val="none"/>
        </w:rPr>
        <w:t>kullanılan kimyasalların miktarları ve kullanım yerleri.</w:t>
      </w:r>
    </w:p>
    <w:p w14:paraId="1229226D" w14:textId="77777777" w:rsidR="003B155E" w:rsidRPr="00567E52"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567E52">
        <w:rPr>
          <w:rFonts w:ascii="Times New Roman" w:eastAsia="Times New Roman" w:hAnsi="Times New Roman" w:cs="Courier New"/>
          <w:b/>
          <w:bCs/>
          <w:i/>
          <w:iCs/>
          <w:color w:val="000000"/>
          <w:kern w:val="0"/>
          <w:sz w:val="24"/>
          <w:szCs w:val="24"/>
          <w:lang w:eastAsia="tr-TR"/>
          <w14:ligatures w14:val="none"/>
        </w:rPr>
        <w:lastRenderedPageBreak/>
        <w:t>Uygulanabilirlik</w:t>
      </w:r>
    </w:p>
    <w:p w14:paraId="4F1A6F23" w14:textId="77777777" w:rsidR="003B155E" w:rsidRPr="00567E52"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567E52">
        <w:rPr>
          <w:rFonts w:ascii="Times New Roman" w:eastAsia="Times New Roman" w:hAnsi="Times New Roman" w:cs="Courier New"/>
          <w:color w:val="000000"/>
          <w:kern w:val="0"/>
          <w:sz w:val="24"/>
          <w:szCs w:val="24"/>
          <w:lang w:eastAsia="tr-TR"/>
          <w14:ligatures w14:val="none"/>
        </w:rPr>
        <w:t>Envanterin ayrıntı düzeyi genellikle tesisin niteliği, ölçeği ve karmaşıklığı ve sahip olabileceği çevresel etkilerin çeşitliliği ile ilgili olacaktır.</w:t>
      </w:r>
    </w:p>
    <w:p w14:paraId="44266CC1" w14:textId="77777777" w:rsidR="003B155E" w:rsidRPr="00567E52"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1126F631" w14:textId="77777777" w:rsidR="003B155E" w:rsidRPr="00567E52" w:rsidRDefault="003B155E" w:rsidP="003B155E">
      <w:pPr>
        <w:widowControl w:val="0"/>
        <w:spacing w:after="0" w:line="276" w:lineRule="auto"/>
        <w:jc w:val="both"/>
        <w:rPr>
          <w:rFonts w:ascii="Times New Roman" w:eastAsia="Times New Roman" w:hAnsi="Times New Roman" w:cs="Courier New"/>
          <w:b/>
          <w:color w:val="000000"/>
          <w:kern w:val="0"/>
          <w:sz w:val="24"/>
          <w:szCs w:val="24"/>
          <w:lang w:eastAsia="tr-TR"/>
          <w14:ligatures w14:val="none"/>
        </w:rPr>
      </w:pPr>
      <w:r w:rsidRPr="00567E52">
        <w:rPr>
          <w:rFonts w:ascii="Times New Roman" w:eastAsia="Times New Roman" w:hAnsi="Times New Roman" w:cs="Courier New"/>
          <w:b/>
          <w:color w:val="000000"/>
          <w:kern w:val="0"/>
          <w:sz w:val="24"/>
          <w:szCs w:val="24"/>
          <w:lang w:eastAsia="tr-TR"/>
          <w14:ligatures w14:val="none"/>
        </w:rPr>
        <w:t xml:space="preserve">MET 3: </w:t>
      </w:r>
      <w:r w:rsidRPr="00567E52">
        <w:rPr>
          <w:rFonts w:ascii="Times New Roman" w:eastAsia="Times New Roman" w:hAnsi="Times New Roman" w:cs="Courier New"/>
          <w:bCs/>
          <w:color w:val="000000"/>
          <w:kern w:val="0"/>
          <w:sz w:val="24"/>
          <w:szCs w:val="24"/>
          <w:lang w:eastAsia="tr-TR"/>
          <w14:ligatures w14:val="none"/>
        </w:rPr>
        <w:t>Genel çevresel performansı iyileştirmek için, ÇYS’nin bir parçası olarak (bkz. MET 1) aşağıdaki özelliklerin tümünü içeren bir kimyasal yönetim sistemi (KYS) hazırlanır ve uygulanır:</w:t>
      </w:r>
    </w:p>
    <w:p w14:paraId="1EBF739E" w14:textId="77777777" w:rsidR="003B155E" w:rsidRPr="00567E52" w:rsidRDefault="0071338C" w:rsidP="003B155E">
      <w:pPr>
        <w:widowControl w:val="0"/>
        <w:numPr>
          <w:ilvl w:val="0"/>
          <w:numId w:val="109"/>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Zararlı</w:t>
      </w:r>
      <w:r w:rsidR="003B155E" w:rsidRPr="00567E52">
        <w:rPr>
          <w:rFonts w:ascii="Times New Roman" w:eastAsia="Times New Roman" w:hAnsi="Times New Roman" w:cs="Times New Roman"/>
          <w:color w:val="000000"/>
          <w:kern w:val="0"/>
          <w:sz w:val="24"/>
          <w:szCs w:val="24"/>
          <w:lang w:eastAsia="tr-TR"/>
          <w14:ligatures w14:val="none"/>
        </w:rPr>
        <w:t xml:space="preserve"> maddeler ve çok yüksek önem arz eden maddelerle ilişkili kullanımı ve riskleri en aza indirilir ve aşırı miktarda kimyasal madde tedarikinden kaçınmak amacıyla daha az zararlı kimyasalları ve bunların tedarikçilerini seçmek için bir tedarik politikası da dahil olmak üzere kimyasallarla ilişkili tüketim ve riskleri azaltmaya yönelik bir politika uygulanır. Kimyasalların seçimi aşağıdakilere dayanmaktadır:</w:t>
      </w:r>
    </w:p>
    <w:p w14:paraId="31C3489E" w14:textId="77777777" w:rsidR="003B155E" w:rsidRPr="00567E52" w:rsidRDefault="000E2BBC" w:rsidP="003B155E">
      <w:pPr>
        <w:widowControl w:val="0"/>
        <w:numPr>
          <w:ilvl w:val="1"/>
          <w:numId w:val="109"/>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 xml:space="preserve">Çevreye </w:t>
      </w:r>
      <w:r w:rsidR="003B155E" w:rsidRPr="00567E52">
        <w:rPr>
          <w:rFonts w:ascii="Times New Roman" w:eastAsia="Times New Roman" w:hAnsi="Times New Roman" w:cs="Times New Roman"/>
          <w:spacing w:val="2"/>
          <w:kern w:val="0"/>
          <w:position w:val="-1"/>
          <w:sz w:val="24"/>
          <w:szCs w:val="24"/>
          <w14:ligatures w14:val="none"/>
        </w:rPr>
        <w:t>salınan emisyonların azaltılması amacıyla biyolojik olarak elimine edilebilirlik/biyobozunurluk, ekotoksisite ve çevreye salınma potansiyellerinin karşılaştırmalı analizi.</w:t>
      </w:r>
    </w:p>
    <w:p w14:paraId="2BC5B588" w14:textId="77777777" w:rsidR="003B155E" w:rsidRPr="00567E52" w:rsidRDefault="003B155E" w:rsidP="003B155E">
      <w:pPr>
        <w:widowControl w:val="0"/>
        <w:numPr>
          <w:ilvl w:val="1"/>
          <w:numId w:val="109"/>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14:ligatures w14:val="none"/>
        </w:rPr>
      </w:pPr>
      <w:r w:rsidRPr="00567E52">
        <w:rPr>
          <w:rFonts w:ascii="Times New Roman" w:eastAsia="Times New Roman" w:hAnsi="Times New Roman" w:cs="Times New Roman"/>
          <w:spacing w:val="2"/>
          <w:kern w:val="0"/>
          <w:position w:val="-1"/>
          <w:sz w:val="24"/>
          <w:szCs w:val="24"/>
          <w14:ligatures w14:val="none"/>
        </w:rPr>
        <w:t>Kimyasalların tehlike sınıflandırmasına, tesis içindeki yollara, potansiyel salınıma ve maruz kalma seviyesine dayalı olarak kimyasallarla ilişkili risklerin karakterizasyonu.</w:t>
      </w:r>
    </w:p>
    <w:p w14:paraId="5AD1FDF8" w14:textId="77777777" w:rsidR="003B155E" w:rsidRPr="00567E52" w:rsidRDefault="0071338C" w:rsidP="003B155E">
      <w:pPr>
        <w:widowControl w:val="0"/>
        <w:numPr>
          <w:ilvl w:val="1"/>
          <w:numId w:val="109"/>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lang w:val="en-US"/>
          <w14:ligatures w14:val="none"/>
        </w:rPr>
      </w:pPr>
      <w:r>
        <w:rPr>
          <w:rFonts w:ascii="Times New Roman" w:eastAsia="Times New Roman" w:hAnsi="Times New Roman" w:cs="Times New Roman"/>
          <w:color w:val="000000"/>
          <w:kern w:val="0"/>
          <w:sz w:val="24"/>
          <w:szCs w:val="24"/>
          <w:lang w:eastAsia="tr-TR"/>
          <w14:ligatures w14:val="none"/>
        </w:rPr>
        <w:t>Zararlı</w:t>
      </w:r>
      <w:r w:rsidR="003B155E" w:rsidRPr="00567E52">
        <w:rPr>
          <w:rFonts w:ascii="Times New Roman" w:eastAsia="Times New Roman" w:hAnsi="Times New Roman" w:cs="Times New Roman"/>
          <w:spacing w:val="2"/>
          <w:kern w:val="0"/>
          <w:position w:val="-1"/>
          <w:sz w:val="24"/>
          <w:szCs w:val="24"/>
          <w14:ligatures w14:val="none"/>
        </w:rPr>
        <w:t xml:space="preserve"> maddelerin ve çok yüksek önem arz eden maddelerin kullanımına yönelik potansiyel olarak yeni mevcut ve daha güvenli alternatiflerin belirlenmesi için ikame potansiyelinin düzenli (örneğin yıllık) analizi (örneğin çevre ve/veya insan sağlığı üzerinde etkisi olmayan veya daha az olan diğer kimyasalların kullanımı, bkz. </w:t>
      </w:r>
      <w:r w:rsidR="003B155E" w:rsidRPr="00567E52">
        <w:rPr>
          <w:rFonts w:ascii="Times New Roman" w:eastAsia="Times New Roman" w:hAnsi="Times New Roman" w:cs="Times New Roman"/>
          <w:spacing w:val="2"/>
          <w:kern w:val="0"/>
          <w:position w:val="-1"/>
          <w:sz w:val="24"/>
          <w:szCs w:val="24"/>
          <w:lang w:val="en-US"/>
          <w14:ligatures w14:val="none"/>
        </w:rPr>
        <w:t>MET 11 (a));</w:t>
      </w:r>
    </w:p>
    <w:p w14:paraId="4508EB96" w14:textId="77777777" w:rsidR="003B155E" w:rsidRPr="00567E52" w:rsidRDefault="0071338C" w:rsidP="003B155E">
      <w:pPr>
        <w:widowControl w:val="0"/>
        <w:numPr>
          <w:ilvl w:val="1"/>
          <w:numId w:val="109"/>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lang w:val="en-US"/>
          <w14:ligatures w14:val="none"/>
        </w:rPr>
      </w:pPr>
      <w:r>
        <w:rPr>
          <w:rFonts w:ascii="Times New Roman" w:eastAsia="Times New Roman" w:hAnsi="Times New Roman" w:cs="Times New Roman"/>
          <w:color w:val="000000"/>
          <w:kern w:val="0"/>
          <w:sz w:val="24"/>
          <w:szCs w:val="24"/>
          <w:lang w:eastAsia="tr-TR"/>
          <w14:ligatures w14:val="none"/>
        </w:rPr>
        <w:t>Zararlı</w:t>
      </w:r>
      <w:r w:rsidR="003B155E" w:rsidRPr="00567E52">
        <w:rPr>
          <w:rFonts w:ascii="Times New Roman" w:eastAsia="Times New Roman" w:hAnsi="Times New Roman" w:cs="Times New Roman"/>
          <w:spacing w:val="2"/>
          <w:kern w:val="0"/>
          <w:position w:val="-1"/>
          <w:sz w:val="24"/>
          <w:szCs w:val="24"/>
          <w:lang w:val="en-US"/>
          <w14:ligatures w14:val="none"/>
        </w:rPr>
        <w:t xml:space="preserve"> maddeler ve çok yüksek önem arz eden maddelerle ilgili mevzuat değişikliklerinin önceden izlenmesi ve geçerli yasal gerekliliklere uyumun korunması.</w:t>
      </w:r>
    </w:p>
    <w:p w14:paraId="0242A0D4"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5120957E" w14:textId="77777777" w:rsidR="003B155E" w:rsidRPr="00567E52" w:rsidRDefault="003B155E" w:rsidP="003B155E">
      <w:pPr>
        <w:widowControl w:val="0"/>
        <w:spacing w:after="0" w:line="276" w:lineRule="auto"/>
        <w:ind w:left="426"/>
        <w:jc w:val="both"/>
        <w:rPr>
          <w:rFonts w:ascii="Times New Roman" w:eastAsia="Times New Roman" w:hAnsi="Times New Roman" w:cs="Courier New"/>
          <w:bCs/>
          <w:color w:val="000000"/>
          <w:kern w:val="0"/>
          <w:sz w:val="24"/>
          <w:szCs w:val="24"/>
          <w:lang w:eastAsia="tr-TR"/>
          <w14:ligatures w14:val="none"/>
        </w:rPr>
      </w:pPr>
      <w:r w:rsidRPr="00567E52">
        <w:rPr>
          <w:rFonts w:ascii="Times New Roman" w:eastAsia="Times New Roman" w:hAnsi="Times New Roman" w:cs="Courier New"/>
          <w:bCs/>
          <w:color w:val="000000"/>
          <w:kern w:val="0"/>
          <w:sz w:val="24"/>
          <w:szCs w:val="24"/>
          <w:lang w:eastAsia="tr-TR"/>
          <w14:ligatures w14:val="none"/>
        </w:rPr>
        <w:t>Kimyasalların envanteri (bkz. MET 2), kimyasalların seçimi için gereken bilgileri sağlamak ve saklamak için kullanılır.</w:t>
      </w:r>
    </w:p>
    <w:p w14:paraId="6A13F09E" w14:textId="77777777" w:rsidR="003B155E" w:rsidRPr="00567E52" w:rsidRDefault="003B155E" w:rsidP="003B155E">
      <w:pPr>
        <w:widowControl w:val="0"/>
        <w:spacing w:after="0" w:line="276" w:lineRule="auto"/>
        <w:ind w:left="426"/>
        <w:jc w:val="both"/>
        <w:rPr>
          <w:rFonts w:ascii="Times New Roman" w:eastAsia="Times New Roman" w:hAnsi="Times New Roman" w:cs="Courier New"/>
          <w:bCs/>
          <w:color w:val="000000"/>
          <w:kern w:val="0"/>
          <w:sz w:val="24"/>
          <w:szCs w:val="24"/>
          <w:lang w:eastAsia="tr-TR"/>
          <w14:ligatures w14:val="none"/>
        </w:rPr>
      </w:pPr>
    </w:p>
    <w:p w14:paraId="1A02D92F" w14:textId="77777777" w:rsidR="003B155E" w:rsidRPr="00567E52" w:rsidRDefault="0071338C" w:rsidP="003B155E">
      <w:pPr>
        <w:widowControl w:val="0"/>
        <w:numPr>
          <w:ilvl w:val="0"/>
          <w:numId w:val="109"/>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Zararlı</w:t>
      </w:r>
      <w:r w:rsidR="003B155E" w:rsidRPr="00567E52">
        <w:rPr>
          <w:rFonts w:ascii="Times New Roman" w:eastAsia="Times New Roman" w:hAnsi="Times New Roman" w:cs="Times New Roman"/>
          <w:color w:val="000000"/>
          <w:kern w:val="0"/>
          <w:sz w:val="24"/>
          <w:szCs w:val="24"/>
          <w:lang w:eastAsia="tr-TR"/>
          <w14:ligatures w14:val="none"/>
        </w:rPr>
        <w:t xml:space="preserve"> maddelerin ve çok yüksek önem arz eden maddelerin kullanımını ve bunlarla ilişkili riskleri önlemeye veya azaltmaya yönelik hedefler ve eylem planları.</w:t>
      </w:r>
    </w:p>
    <w:p w14:paraId="7A52963F" w14:textId="77777777" w:rsidR="003B155E" w:rsidRPr="00567E52" w:rsidRDefault="003B155E" w:rsidP="003B155E">
      <w:pPr>
        <w:widowControl w:val="0"/>
        <w:numPr>
          <w:ilvl w:val="0"/>
          <w:numId w:val="109"/>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color w:val="000000"/>
          <w:kern w:val="0"/>
          <w:sz w:val="24"/>
          <w:szCs w:val="24"/>
          <w:lang w:eastAsia="tr-TR"/>
          <w14:ligatures w14:val="none"/>
        </w:rPr>
        <w:t>Çevreye emisyonları önlemek veya azaltmak için kimyasalların tedariki, taşınması, depolanması ve kullanımına yönelik prosedürlerin geliştirilmesi ve uygulanması.</w:t>
      </w:r>
    </w:p>
    <w:p w14:paraId="4D5AD53D" w14:textId="77777777" w:rsidR="003B155E" w:rsidRPr="00567E52"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30B363CC" w14:textId="77777777" w:rsidR="003B155E" w:rsidRPr="00567E52" w:rsidRDefault="003B155E" w:rsidP="003B155E">
      <w:pPr>
        <w:widowControl w:val="0"/>
        <w:spacing w:after="0" w:line="276" w:lineRule="auto"/>
        <w:jc w:val="both"/>
        <w:rPr>
          <w:rFonts w:ascii="Times New Roman" w:eastAsia="Times New Roman" w:hAnsi="Times New Roman" w:cs="Courier New"/>
          <w:bCs/>
          <w:i/>
          <w:iCs/>
          <w:color w:val="000000"/>
          <w:kern w:val="0"/>
          <w:sz w:val="24"/>
          <w:szCs w:val="24"/>
          <w:lang w:eastAsia="tr-TR"/>
          <w14:ligatures w14:val="none"/>
        </w:rPr>
      </w:pPr>
      <w:r w:rsidRPr="00567E52">
        <w:rPr>
          <w:rFonts w:ascii="Times New Roman" w:eastAsia="Times New Roman" w:hAnsi="Times New Roman" w:cs="Times New Roman"/>
          <w:i/>
          <w:iCs/>
          <w:color w:val="000000"/>
          <w:kern w:val="0"/>
          <w:sz w:val="24"/>
          <w:szCs w:val="24"/>
          <w:lang w:eastAsia="tr-TR"/>
          <w14:ligatures w14:val="none"/>
        </w:rPr>
        <w:t>Uygulanabilirlik</w:t>
      </w:r>
    </w:p>
    <w:p w14:paraId="6D084C64"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567E52">
        <w:rPr>
          <w:rFonts w:ascii="Times New Roman" w:eastAsia="Times New Roman" w:hAnsi="Times New Roman" w:cs="Courier New"/>
          <w:bCs/>
          <w:color w:val="000000"/>
          <w:kern w:val="0"/>
          <w:sz w:val="24"/>
          <w:szCs w:val="24"/>
          <w:lang w:eastAsia="tr-TR"/>
          <w14:ligatures w14:val="none"/>
        </w:rPr>
        <w:t>KYS’nin ayrıntı düzeyi ve resmileştirme derecesi genellikle tesisin doğası, ölçeği ve karmaşıklığı ile ilgili olacaktır.</w:t>
      </w:r>
    </w:p>
    <w:p w14:paraId="72679CE0"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0BFA23A8"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567E52">
        <w:rPr>
          <w:rFonts w:ascii="Times New Roman" w:eastAsia="Times New Roman" w:hAnsi="Times New Roman" w:cs="Courier New"/>
          <w:b/>
          <w:color w:val="000000"/>
          <w:kern w:val="0"/>
          <w:sz w:val="24"/>
          <w:szCs w:val="24"/>
          <w:lang w:eastAsia="tr-TR"/>
          <w14:ligatures w14:val="none"/>
        </w:rPr>
        <w:t xml:space="preserve">MET 4: </w:t>
      </w:r>
      <w:r w:rsidRPr="00567E52">
        <w:rPr>
          <w:rFonts w:ascii="Times New Roman" w:eastAsia="Times New Roman" w:hAnsi="Times New Roman" w:cs="Courier New"/>
          <w:bCs/>
          <w:color w:val="000000"/>
          <w:kern w:val="0"/>
          <w:sz w:val="24"/>
          <w:szCs w:val="24"/>
          <w:lang w:eastAsia="tr-TR"/>
          <w14:ligatures w14:val="none"/>
        </w:rPr>
        <w:t>OTNOC’un meydana gelme sıklığını azaltmak ve OTNOC sırasında emisyonları azaltmak için, ÇYS’nin bir parçası olarak aşağıdaki unsurların tümünü içeren risk tabanlı bir OTNOC yönetim planı oluşturulur ve uygulanır (bkz. MET 1):</w:t>
      </w:r>
    </w:p>
    <w:p w14:paraId="16369543"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color w:val="000000"/>
          <w:spacing w:val="2"/>
          <w:kern w:val="0"/>
          <w:position w:val="-1"/>
          <w:sz w:val="24"/>
          <w:szCs w:val="24"/>
          <w14:ligatures w14:val="none"/>
        </w:rPr>
        <w:t>Potansiyel OTNOC’un (örneğin çevrenin korunması açısından kritik ekipmanların arızalanması (“kritik ekipman”)), bunların temel nedenlerinin ve potansiyel sonuçlarının belirlenmesi;</w:t>
      </w:r>
    </w:p>
    <w:p w14:paraId="4708EBC7"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567E52">
        <w:rPr>
          <w:rFonts w:ascii="Times New Roman" w:eastAsia="Times New Roman" w:hAnsi="Times New Roman" w:cs="Times New Roman"/>
          <w:color w:val="000000"/>
          <w:spacing w:val="2"/>
          <w:kern w:val="0"/>
          <w:position w:val="-1"/>
          <w:sz w:val="24"/>
          <w:szCs w:val="24"/>
          <w14:ligatures w14:val="none"/>
        </w:rPr>
        <w:t>Kritik ekipmanların uygun tasarımı (örn. atıksu arıtma tesisi);</w:t>
      </w:r>
    </w:p>
    <w:p w14:paraId="3C4A133A"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14:ligatures w14:val="none"/>
        </w:rPr>
        <w:t xml:space="preserve">Kritik ekipman için bir denetim planı ve önleyici bakım programının oluşturulması ve </w:t>
      </w:r>
      <w:r w:rsidRPr="00567E52">
        <w:rPr>
          <w:rFonts w:ascii="Times New Roman" w:eastAsia="Times New Roman" w:hAnsi="Times New Roman" w:cs="Times New Roman"/>
          <w:color w:val="000000"/>
          <w:spacing w:val="2"/>
          <w:kern w:val="0"/>
          <w:position w:val="-1"/>
          <w:sz w:val="24"/>
          <w:szCs w:val="24"/>
          <w14:ligatures w14:val="none"/>
        </w:rPr>
        <w:lastRenderedPageBreak/>
        <w:t xml:space="preserve">uygulanması (bkz. </w:t>
      </w:r>
      <w:r w:rsidRPr="00567E52">
        <w:rPr>
          <w:rFonts w:ascii="Times New Roman" w:eastAsia="Times New Roman" w:hAnsi="Times New Roman" w:cs="Times New Roman"/>
          <w:color w:val="000000"/>
          <w:spacing w:val="2"/>
          <w:kern w:val="0"/>
          <w:position w:val="-1"/>
          <w:sz w:val="24"/>
          <w:szCs w:val="24"/>
          <w:lang w:val="en-US"/>
          <w14:ligatures w14:val="none"/>
        </w:rPr>
        <w:t>MET 1 xii.);</w:t>
      </w:r>
    </w:p>
    <w:p w14:paraId="00D05B0F"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OTNOC sırasında emisyonların ve ilgili durumların izlenmesi (yani tahmin edilmesi veya mümkünse ölçülmesi) ve kaydedilmesi;</w:t>
      </w:r>
    </w:p>
    <w:p w14:paraId="544210C3"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OTNOC sırasında meydana gelen emisyonların periyodik olarak değerlendirilmesi (örn. olayların sıklığı, süresi, yayılan kirletici miktarı) ve gerekirse düzeltici faaliyetlerin uygulanması;</w:t>
      </w:r>
    </w:p>
    <w:p w14:paraId="0589D92B"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v. maddenin periyodik değerlendirmesini takiben i. madde kapsamında belirlenen OTNOC listesinin düzenli olarak gözden geçirilmesi ve güncellenmesi;</w:t>
      </w:r>
    </w:p>
    <w:p w14:paraId="145CFAC6" w14:textId="77777777" w:rsidR="003B155E" w:rsidRPr="00567E52" w:rsidRDefault="003B155E" w:rsidP="003B155E">
      <w:pPr>
        <w:widowControl w:val="0"/>
        <w:numPr>
          <w:ilvl w:val="0"/>
          <w:numId w:val="110"/>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567E52">
        <w:rPr>
          <w:rFonts w:ascii="Times New Roman" w:eastAsia="Times New Roman" w:hAnsi="Times New Roman" w:cs="Times New Roman"/>
          <w:color w:val="000000"/>
          <w:spacing w:val="2"/>
          <w:kern w:val="0"/>
          <w:position w:val="-1"/>
          <w:sz w:val="24"/>
          <w:szCs w:val="24"/>
          <w:lang w:val="en-US"/>
          <w14:ligatures w14:val="none"/>
        </w:rPr>
        <w:t>Yedekleme sistemlerinin düzenli olarak test edilmesi.</w:t>
      </w:r>
    </w:p>
    <w:p w14:paraId="4E0D4197" w14:textId="77777777" w:rsidR="003B155E" w:rsidRPr="00567E52" w:rsidRDefault="003B155E" w:rsidP="003B155E">
      <w:pPr>
        <w:widowControl w:val="0"/>
        <w:spacing w:after="0" w:line="240" w:lineRule="auto"/>
        <w:ind w:left="360"/>
        <w:contextualSpacing/>
        <w:jc w:val="both"/>
        <w:rPr>
          <w:rFonts w:ascii="Times New Roman" w:eastAsia="Times New Roman" w:hAnsi="Times New Roman" w:cs="Times New Roman"/>
          <w:color w:val="000000"/>
          <w:spacing w:val="2"/>
          <w:kern w:val="0"/>
          <w:position w:val="-1"/>
          <w:sz w:val="24"/>
          <w:szCs w:val="24"/>
          <w:lang w:val="en-US"/>
          <w14:ligatures w14:val="none"/>
        </w:rPr>
      </w:pPr>
    </w:p>
    <w:p w14:paraId="6D9A1884" w14:textId="77777777" w:rsidR="003B155E" w:rsidRPr="00567E52" w:rsidRDefault="003B155E" w:rsidP="003B155E">
      <w:pPr>
        <w:widowControl w:val="0"/>
        <w:spacing w:after="0" w:line="276" w:lineRule="auto"/>
        <w:jc w:val="both"/>
        <w:rPr>
          <w:rFonts w:ascii="Times New Roman" w:eastAsia="Times New Roman" w:hAnsi="Times New Roman" w:cs="Courier New"/>
          <w:bCs/>
          <w:i/>
          <w:iCs/>
          <w:color w:val="000000"/>
          <w:kern w:val="0"/>
          <w:sz w:val="24"/>
          <w:szCs w:val="24"/>
          <w:lang w:eastAsia="tr-TR"/>
          <w14:ligatures w14:val="none"/>
        </w:rPr>
      </w:pPr>
      <w:r w:rsidRPr="00567E52">
        <w:rPr>
          <w:rFonts w:ascii="Times New Roman" w:eastAsia="Times New Roman" w:hAnsi="Times New Roman" w:cs="Courier New"/>
          <w:bCs/>
          <w:i/>
          <w:iCs/>
          <w:color w:val="000000"/>
          <w:kern w:val="0"/>
          <w:sz w:val="24"/>
          <w:szCs w:val="24"/>
          <w:lang w:eastAsia="tr-TR"/>
          <w14:ligatures w14:val="none"/>
        </w:rPr>
        <w:t>Uygulanabilirlik</w:t>
      </w:r>
    </w:p>
    <w:p w14:paraId="4BAB77EA"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567E52">
        <w:rPr>
          <w:rFonts w:ascii="Times New Roman" w:eastAsia="Times New Roman" w:hAnsi="Times New Roman" w:cs="Courier New"/>
          <w:bCs/>
          <w:color w:val="000000"/>
          <w:kern w:val="0"/>
          <w:sz w:val="24"/>
          <w:szCs w:val="24"/>
          <w:lang w:eastAsia="tr-TR"/>
          <w14:ligatures w14:val="none"/>
        </w:rPr>
        <w:t>OTNOC yönetim planının ayrıntı düzeyi ve resmileştirme derecesi genellikle tesisin doğası, ölçeği ve karmaşıklığı ve sahip olabileceği çevresel etkilerin çeşitliliği ile ilgili olacaktır.</w:t>
      </w:r>
    </w:p>
    <w:p w14:paraId="0C241E82"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60B3142D"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1.1.2. İzleme</w:t>
      </w:r>
    </w:p>
    <w:p w14:paraId="5119EFF8" w14:textId="77777777" w:rsidR="003B155E" w:rsidRPr="00567E52" w:rsidRDefault="003B155E" w:rsidP="003B155E">
      <w:pPr>
        <w:widowControl w:val="0"/>
        <w:spacing w:after="0" w:line="276" w:lineRule="auto"/>
        <w:jc w:val="both"/>
        <w:rPr>
          <w:rFonts w:ascii="Times New Roman" w:eastAsia="Times New Roman" w:hAnsi="Times New Roman" w:cs="Courier New"/>
          <w:b/>
          <w:color w:val="000000"/>
          <w:kern w:val="0"/>
          <w:sz w:val="24"/>
          <w:szCs w:val="24"/>
          <w:lang w:eastAsia="tr-TR"/>
          <w14:ligatures w14:val="none"/>
        </w:rPr>
      </w:pPr>
      <w:r w:rsidRPr="00567E52">
        <w:rPr>
          <w:rFonts w:ascii="Times New Roman" w:eastAsia="Times New Roman" w:hAnsi="Times New Roman" w:cs="Courier New"/>
          <w:b/>
          <w:color w:val="000000"/>
          <w:kern w:val="0"/>
          <w:sz w:val="24"/>
          <w:szCs w:val="24"/>
          <w:lang w:eastAsia="tr-TR"/>
          <w14:ligatures w14:val="none"/>
        </w:rPr>
        <w:t xml:space="preserve">MET 5: </w:t>
      </w:r>
      <w:r w:rsidRPr="00567E52">
        <w:rPr>
          <w:rFonts w:ascii="Times New Roman" w:eastAsia="Times New Roman" w:hAnsi="Times New Roman" w:cs="Courier New"/>
          <w:bCs/>
          <w:color w:val="000000"/>
          <w:kern w:val="0"/>
          <w:sz w:val="24"/>
          <w:szCs w:val="24"/>
          <w:lang w:eastAsia="tr-TR"/>
          <w14:ligatures w14:val="none"/>
        </w:rPr>
        <w:t xml:space="preserve">Girdi ve çıktıların envanteriyle belirlenen atıksu akışları için (bkz. MET 2), önemli konumlarda (örneğin atıksu </w:t>
      </w:r>
      <w:r w:rsidR="00A37025">
        <w:rPr>
          <w:rFonts w:ascii="Times New Roman" w:eastAsia="Times New Roman" w:hAnsi="Times New Roman" w:cs="Courier New"/>
          <w:bCs/>
          <w:color w:val="000000"/>
          <w:kern w:val="0"/>
          <w:sz w:val="24"/>
          <w:szCs w:val="24"/>
          <w:lang w:eastAsia="tr-TR"/>
          <w14:ligatures w14:val="none"/>
        </w:rPr>
        <w:t>debisinin</w:t>
      </w:r>
      <w:r w:rsidRPr="00567E52">
        <w:rPr>
          <w:rFonts w:ascii="Times New Roman" w:eastAsia="Times New Roman" w:hAnsi="Times New Roman" w:cs="Courier New"/>
          <w:bCs/>
          <w:color w:val="000000"/>
          <w:kern w:val="0"/>
          <w:sz w:val="24"/>
          <w:szCs w:val="24"/>
          <w:lang w:eastAsia="tr-TR"/>
          <w14:ligatures w14:val="none"/>
        </w:rPr>
        <w:t>, pH’ın ve sıcaklığın sürekli izlenmesi) önemli proses parametreleri izlenir (örneğin atıksu ön arıtma girişinde ve/veya çıkışında, nihai atıksu arıtma girişinde, emisyonun tesisi terk ettiği noktada).</w:t>
      </w:r>
    </w:p>
    <w:p w14:paraId="6B17CCF7"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0B1F11B3" w14:textId="77777777" w:rsidR="003B155E" w:rsidRPr="00567E52" w:rsidRDefault="003B155E" w:rsidP="003B155E">
      <w:pPr>
        <w:widowControl w:val="0"/>
        <w:spacing w:after="0" w:line="276" w:lineRule="auto"/>
        <w:jc w:val="both"/>
        <w:rPr>
          <w:rFonts w:ascii="Times New Roman" w:eastAsia="Times New Roman" w:hAnsi="Times New Roman" w:cs="Courier New"/>
          <w:b/>
          <w:color w:val="000000"/>
          <w:kern w:val="0"/>
          <w:sz w:val="24"/>
          <w:szCs w:val="24"/>
          <w:lang w:eastAsia="tr-TR"/>
          <w14:ligatures w14:val="none"/>
        </w:rPr>
      </w:pPr>
      <w:r w:rsidRPr="00567E52">
        <w:rPr>
          <w:rFonts w:ascii="Times New Roman" w:eastAsia="Times New Roman" w:hAnsi="Times New Roman" w:cs="Courier New"/>
          <w:b/>
          <w:color w:val="000000"/>
          <w:kern w:val="0"/>
          <w:sz w:val="24"/>
          <w:szCs w:val="24"/>
          <w:lang w:eastAsia="tr-TR"/>
          <w14:ligatures w14:val="none"/>
        </w:rPr>
        <w:t xml:space="preserve">MET 6: </w:t>
      </w:r>
      <w:r w:rsidRPr="00567E52">
        <w:rPr>
          <w:rFonts w:ascii="Times New Roman" w:eastAsia="Times New Roman" w:hAnsi="Times New Roman" w:cs="Courier New"/>
          <w:bCs/>
          <w:color w:val="000000"/>
          <w:kern w:val="0"/>
          <w:sz w:val="24"/>
          <w:szCs w:val="24"/>
          <w:lang w:eastAsia="tr-TR"/>
          <w14:ligatures w14:val="none"/>
        </w:rPr>
        <w:t>Yılda en az bir kez izleme yapılır:</w:t>
      </w:r>
    </w:p>
    <w:p w14:paraId="41F6BE25" w14:textId="77777777" w:rsidR="003B155E" w:rsidRPr="00567E52" w:rsidRDefault="003B155E" w:rsidP="003B155E">
      <w:pPr>
        <w:widowControl w:val="0"/>
        <w:numPr>
          <w:ilvl w:val="0"/>
          <w:numId w:val="103"/>
        </w:numPr>
        <w:spacing w:after="0" w:line="269" w:lineRule="exact"/>
        <w:ind w:left="426" w:hanging="426"/>
        <w:contextualSpacing/>
        <w:jc w:val="both"/>
        <w:rPr>
          <w:rFonts w:ascii="Times New Roman" w:eastAsia="Times New Roman" w:hAnsi="Times New Roman" w:cs="Times New Roman"/>
          <w:bCs/>
          <w:spacing w:val="2"/>
          <w:kern w:val="0"/>
          <w:position w:val="-1"/>
          <w:sz w:val="24"/>
          <w:szCs w:val="24"/>
          <w:lang w:val="es-ES"/>
          <w14:ligatures w14:val="none"/>
        </w:rPr>
      </w:pPr>
      <w:r w:rsidRPr="00567E52">
        <w:rPr>
          <w:rFonts w:ascii="Times New Roman" w:eastAsia="Times New Roman" w:hAnsi="Times New Roman" w:cs="Times New Roman"/>
          <w:bCs/>
          <w:spacing w:val="2"/>
          <w:kern w:val="0"/>
          <w:position w:val="-1"/>
          <w:sz w:val="24"/>
          <w:szCs w:val="24"/>
          <w:lang w:val="es-ES"/>
          <w14:ligatures w14:val="none"/>
        </w:rPr>
        <w:t>Yıllık su ve enerji tüketimi;</w:t>
      </w:r>
    </w:p>
    <w:p w14:paraId="31E95B2C" w14:textId="77777777" w:rsidR="003B155E" w:rsidRPr="00567E52" w:rsidRDefault="003B155E" w:rsidP="003B155E">
      <w:pPr>
        <w:widowControl w:val="0"/>
        <w:numPr>
          <w:ilvl w:val="0"/>
          <w:numId w:val="103"/>
        </w:numPr>
        <w:spacing w:after="0" w:line="269" w:lineRule="exact"/>
        <w:ind w:left="426" w:hanging="426"/>
        <w:contextualSpacing/>
        <w:jc w:val="both"/>
        <w:rPr>
          <w:rFonts w:ascii="Times New Roman" w:eastAsia="Times New Roman" w:hAnsi="Times New Roman" w:cs="Times New Roman"/>
          <w:bCs/>
          <w:spacing w:val="2"/>
          <w:kern w:val="0"/>
          <w:position w:val="-1"/>
          <w:sz w:val="24"/>
          <w:szCs w:val="24"/>
          <w:lang w:val="en-US"/>
          <w14:ligatures w14:val="none"/>
        </w:rPr>
      </w:pPr>
      <w:r w:rsidRPr="00567E52">
        <w:rPr>
          <w:rFonts w:ascii="Times New Roman" w:eastAsia="Times New Roman" w:hAnsi="Times New Roman" w:cs="Times New Roman"/>
          <w:bCs/>
          <w:spacing w:val="2"/>
          <w:kern w:val="0"/>
          <w:position w:val="-1"/>
          <w:sz w:val="24"/>
          <w:szCs w:val="24"/>
          <w:lang w:val="en-US"/>
          <w14:ligatures w14:val="none"/>
        </w:rPr>
        <w:t>Yıllık üretilen atıksu miktarı;</w:t>
      </w:r>
    </w:p>
    <w:p w14:paraId="605B76A2" w14:textId="77777777" w:rsidR="003B155E" w:rsidRPr="00567E52" w:rsidRDefault="003B155E" w:rsidP="003B155E">
      <w:pPr>
        <w:widowControl w:val="0"/>
        <w:numPr>
          <w:ilvl w:val="0"/>
          <w:numId w:val="103"/>
        </w:numPr>
        <w:spacing w:after="0" w:line="269" w:lineRule="exact"/>
        <w:ind w:left="426" w:hanging="426"/>
        <w:contextualSpacing/>
        <w:jc w:val="both"/>
        <w:rPr>
          <w:rFonts w:ascii="Times New Roman" w:eastAsia="Times New Roman" w:hAnsi="Times New Roman" w:cs="Times New Roman"/>
          <w:bCs/>
          <w:spacing w:val="2"/>
          <w:kern w:val="0"/>
          <w:position w:val="-1"/>
          <w:sz w:val="24"/>
          <w:szCs w:val="24"/>
          <w:lang w:val="en-US"/>
          <w14:ligatures w14:val="none"/>
        </w:rPr>
      </w:pPr>
      <w:r w:rsidRPr="00567E52">
        <w:rPr>
          <w:rFonts w:ascii="Times New Roman" w:eastAsia="Times New Roman" w:hAnsi="Times New Roman" w:cs="Times New Roman"/>
          <w:bCs/>
          <w:spacing w:val="2"/>
          <w:kern w:val="0"/>
          <w:position w:val="-1"/>
          <w:sz w:val="24"/>
          <w:szCs w:val="24"/>
          <w:lang w:val="en-US"/>
          <w14:ligatures w14:val="none"/>
        </w:rPr>
        <w:t>Kesimhanelerdeki soğutma sistem(ler)ini yeniden doldurmak için kullanılan yıllık soğutucu akışkan(lar) miktarı.</w:t>
      </w:r>
    </w:p>
    <w:p w14:paraId="2FE301EA"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32CD386A" w14:textId="77777777" w:rsidR="003B155E" w:rsidRPr="00567E52" w:rsidRDefault="003B155E" w:rsidP="003B155E">
      <w:pPr>
        <w:widowControl w:val="0"/>
        <w:spacing w:after="0" w:line="276" w:lineRule="auto"/>
        <w:jc w:val="both"/>
        <w:rPr>
          <w:rFonts w:ascii="Times New Roman" w:eastAsia="Times New Roman" w:hAnsi="Times New Roman" w:cs="Courier New"/>
          <w:bCs/>
          <w:i/>
          <w:iCs/>
          <w:color w:val="000000"/>
          <w:kern w:val="0"/>
          <w:sz w:val="24"/>
          <w:szCs w:val="24"/>
          <w:lang w:eastAsia="tr-TR"/>
          <w14:ligatures w14:val="none"/>
        </w:rPr>
      </w:pPr>
      <w:r w:rsidRPr="00567E52">
        <w:rPr>
          <w:rFonts w:ascii="Times New Roman" w:eastAsia="Times New Roman" w:hAnsi="Times New Roman" w:cs="Courier New"/>
          <w:bCs/>
          <w:i/>
          <w:iCs/>
          <w:color w:val="000000"/>
          <w:kern w:val="0"/>
          <w:sz w:val="24"/>
          <w:szCs w:val="24"/>
          <w:lang w:eastAsia="tr-TR"/>
          <w14:ligatures w14:val="none"/>
        </w:rPr>
        <w:t>Tanım</w:t>
      </w:r>
    </w:p>
    <w:p w14:paraId="05F9FC26"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567E52">
        <w:rPr>
          <w:rFonts w:ascii="Times New Roman" w:eastAsia="Times New Roman" w:hAnsi="Times New Roman" w:cs="Courier New"/>
          <w:bCs/>
          <w:color w:val="000000"/>
          <w:kern w:val="0"/>
          <w:sz w:val="24"/>
          <w:szCs w:val="24"/>
          <w:lang w:eastAsia="tr-TR"/>
          <w14:ligatures w14:val="none"/>
        </w:rPr>
        <w:t>İzleme tercihen doğrudan ölçümleri içerir. Hesaplamalar veya kayıtlar, örneğin uygun sayaçlar veya faturalar kullanılarak da kullanılabilir. İzleme tesis düzeyinde gerçekleştirilir (ve en uygun süreç düzeyine kadar ayrıştırılabilir) ve süreçlerdeki önemli değişiklikleri dikkate alır.</w:t>
      </w:r>
    </w:p>
    <w:p w14:paraId="624AF5C6"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70C3A111"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567E52">
        <w:rPr>
          <w:rFonts w:ascii="Times New Roman" w:eastAsia="Times New Roman" w:hAnsi="Times New Roman" w:cs="Courier New"/>
          <w:b/>
          <w:color w:val="000000"/>
          <w:kern w:val="0"/>
          <w:sz w:val="24"/>
          <w:szCs w:val="24"/>
          <w:lang w:eastAsia="tr-TR"/>
          <w14:ligatures w14:val="none"/>
        </w:rPr>
        <w:t xml:space="preserve">MET 7: </w:t>
      </w:r>
      <w:r w:rsidRPr="00567E52">
        <w:rPr>
          <w:rFonts w:ascii="Times New Roman" w:eastAsia="Times New Roman" w:hAnsi="Times New Roman" w:cs="Courier New"/>
          <w:bCs/>
          <w:color w:val="000000"/>
          <w:kern w:val="0"/>
          <w:sz w:val="24"/>
          <w:szCs w:val="24"/>
          <w:lang w:eastAsia="tr-TR"/>
          <w14:ligatures w14:val="none"/>
        </w:rPr>
        <w:t>Su emisyonları en azından aşağıda verilen sıklıkta ve TS EN standartlarına uygun olarak izlenmelidir. TS EN standartlarının mevcut olmaması halinde, eşdeğer bilimsel kalitede verilerin sağlanmasını garanti eden ISO, ulusal veya diğer uluslararası standartları kullanılır.</w:t>
      </w:r>
    </w:p>
    <w:p w14:paraId="1C06F7D9" w14:textId="77777777" w:rsidR="003B155E" w:rsidRPr="00567E52"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8"/>
        <w:gridCol w:w="946"/>
        <w:gridCol w:w="1979"/>
        <w:gridCol w:w="2521"/>
        <w:gridCol w:w="1111"/>
        <w:gridCol w:w="1527"/>
      </w:tblGrid>
      <w:tr w:rsidR="003B155E" w:rsidRPr="00567E52" w14:paraId="12F5617C" w14:textId="77777777" w:rsidTr="000D79D6">
        <w:trPr>
          <w:tblHeader/>
          <w:jc w:val="center"/>
        </w:trPr>
        <w:tc>
          <w:tcPr>
            <w:tcW w:w="1070" w:type="pct"/>
            <w:gridSpan w:val="2"/>
            <w:vAlign w:val="center"/>
          </w:tcPr>
          <w:p w14:paraId="525EFE3F"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Madde/Parametre</w:t>
            </w:r>
          </w:p>
        </w:tc>
        <w:tc>
          <w:tcPr>
            <w:tcW w:w="1120" w:type="pct"/>
            <w:vAlign w:val="center"/>
          </w:tcPr>
          <w:p w14:paraId="214C9C7E"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Faaliyetler</w:t>
            </w:r>
          </w:p>
        </w:tc>
        <w:tc>
          <w:tcPr>
            <w:tcW w:w="1419" w:type="pct"/>
            <w:vAlign w:val="center"/>
          </w:tcPr>
          <w:p w14:paraId="131C4CF1"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Standart(lar)</w:t>
            </w:r>
          </w:p>
        </w:tc>
        <w:tc>
          <w:tcPr>
            <w:tcW w:w="586" w:type="pct"/>
            <w:vAlign w:val="center"/>
          </w:tcPr>
          <w:p w14:paraId="3FC071BF"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Minimum İzleme Sıklığı (</w:t>
            </w:r>
            <w:r w:rsidRPr="00567E52">
              <w:rPr>
                <w:rFonts w:ascii="Times New Roman" w:eastAsia="Times New Roman" w:hAnsi="Times New Roman" w:cs="Times New Roman"/>
                <w:spacing w:val="2"/>
                <w:kern w:val="0"/>
                <w:vertAlign w:val="superscript"/>
                <w14:ligatures w14:val="none"/>
              </w:rPr>
              <w:t>1</w:t>
            </w:r>
            <w:r w:rsidRPr="00567E52">
              <w:rPr>
                <w:rFonts w:ascii="Times New Roman" w:eastAsia="Times New Roman" w:hAnsi="Times New Roman" w:cs="Times New Roman"/>
                <w:spacing w:val="2"/>
                <w:kern w:val="0"/>
                <w14:ligatures w14:val="none"/>
              </w:rPr>
              <w:t>)</w:t>
            </w:r>
          </w:p>
        </w:tc>
        <w:tc>
          <w:tcPr>
            <w:tcW w:w="805" w:type="pct"/>
            <w:vAlign w:val="center"/>
          </w:tcPr>
          <w:p w14:paraId="54D88F11"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Aşağıdakilerle İlişkili MET</w:t>
            </w:r>
          </w:p>
        </w:tc>
      </w:tr>
      <w:tr w:rsidR="003B155E" w:rsidRPr="00567E52" w14:paraId="2158CB18" w14:textId="77777777" w:rsidTr="000D79D6">
        <w:trPr>
          <w:jc w:val="center"/>
        </w:trPr>
        <w:tc>
          <w:tcPr>
            <w:tcW w:w="1070" w:type="pct"/>
            <w:gridSpan w:val="2"/>
            <w:vAlign w:val="center"/>
          </w:tcPr>
          <w:p w14:paraId="6AA99182"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Adsorbe edilebilir organik bağlı halojenler (AOX) (</w:t>
            </w:r>
            <w:r w:rsidRPr="00567E52">
              <w:rPr>
                <w:rFonts w:ascii="Times New Roman" w:eastAsia="Times New Roman" w:hAnsi="Times New Roman" w:cs="Times New Roman"/>
                <w:spacing w:val="2"/>
                <w:kern w:val="0"/>
                <w:vertAlign w:val="superscript"/>
                <w14:ligatures w14:val="none"/>
              </w:rPr>
              <w:t>2</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3</w:t>
            </w:r>
            <w:r w:rsidRPr="00567E52">
              <w:rPr>
                <w:rFonts w:ascii="Times New Roman" w:eastAsia="Times New Roman" w:hAnsi="Times New Roman" w:cs="Times New Roman"/>
                <w:spacing w:val="2"/>
                <w:kern w:val="0"/>
                <w14:ligatures w14:val="none"/>
              </w:rPr>
              <w:t>)</w:t>
            </w:r>
          </w:p>
        </w:tc>
        <w:tc>
          <w:tcPr>
            <w:tcW w:w="1120" w:type="pct"/>
            <w:vMerge w:val="restart"/>
            <w:vAlign w:val="center"/>
          </w:tcPr>
          <w:p w14:paraId="064022AA"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Tüm faaliyetler</w:t>
            </w:r>
          </w:p>
        </w:tc>
        <w:tc>
          <w:tcPr>
            <w:tcW w:w="1419" w:type="pct"/>
            <w:vAlign w:val="center"/>
          </w:tcPr>
          <w:p w14:paraId="657E7F97"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TS EN ISO 9562</w:t>
            </w:r>
          </w:p>
        </w:tc>
        <w:tc>
          <w:tcPr>
            <w:tcW w:w="586" w:type="pct"/>
            <w:vAlign w:val="center"/>
          </w:tcPr>
          <w:p w14:paraId="40F1A7A9"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Her 3 ayda bir kez (</w:t>
            </w:r>
            <w:r w:rsidRPr="00567E52">
              <w:rPr>
                <w:rFonts w:ascii="Times New Roman" w:eastAsia="Times New Roman" w:hAnsi="Times New Roman" w:cs="Times New Roman"/>
                <w:spacing w:val="2"/>
                <w:kern w:val="0"/>
                <w:vertAlign w:val="superscript"/>
                <w14:ligatures w14:val="none"/>
              </w:rPr>
              <w:t>4</w:t>
            </w:r>
            <w:r w:rsidRPr="00567E52">
              <w:rPr>
                <w:rFonts w:ascii="Times New Roman" w:eastAsia="Times New Roman" w:hAnsi="Times New Roman" w:cs="Times New Roman"/>
                <w:spacing w:val="2"/>
                <w:kern w:val="0"/>
                <w14:ligatures w14:val="none"/>
              </w:rPr>
              <w:t>)</w:t>
            </w:r>
          </w:p>
        </w:tc>
        <w:tc>
          <w:tcPr>
            <w:tcW w:w="805" w:type="pct"/>
            <w:vMerge w:val="restart"/>
            <w:vAlign w:val="center"/>
          </w:tcPr>
          <w:p w14:paraId="11B9D624"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14</w:t>
            </w:r>
          </w:p>
        </w:tc>
      </w:tr>
      <w:tr w:rsidR="003B155E" w:rsidRPr="00567E52" w14:paraId="2C384439" w14:textId="77777777" w:rsidTr="000D79D6">
        <w:trPr>
          <w:jc w:val="center"/>
        </w:trPr>
        <w:tc>
          <w:tcPr>
            <w:tcW w:w="1070" w:type="pct"/>
            <w:gridSpan w:val="2"/>
            <w:vAlign w:val="center"/>
          </w:tcPr>
          <w:p w14:paraId="66740B0B"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Biyokimyasal Oksijen İhtiyacı (BOİ</w:t>
            </w:r>
            <w:r w:rsidRPr="00567E52">
              <w:rPr>
                <w:rFonts w:ascii="Times New Roman" w:eastAsia="Times New Roman" w:hAnsi="Times New Roman" w:cs="Times New Roman"/>
                <w:spacing w:val="2"/>
                <w:kern w:val="0"/>
                <w:vertAlign w:val="subscript"/>
                <w14:ligatures w14:val="none"/>
              </w:rPr>
              <w:t>n</w:t>
            </w:r>
            <w:r w:rsidRPr="00567E52">
              <w:rPr>
                <w:rFonts w:ascii="Times New Roman" w:eastAsia="Times New Roman" w:hAnsi="Times New Roman" w:cs="Times New Roman"/>
                <w:spacing w:val="2"/>
                <w:kern w:val="0"/>
                <w14:ligatures w14:val="none"/>
              </w:rPr>
              <w:t>)</w:t>
            </w:r>
            <w:r w:rsidRPr="00567E52">
              <w:rPr>
                <w:rFonts w:ascii="Times New Roman" w:eastAsia="Times New Roman" w:hAnsi="Times New Roman" w:cs="Times New Roman"/>
                <w:spacing w:val="2"/>
                <w:kern w:val="0"/>
                <w:vertAlign w:val="superscript"/>
                <w14:ligatures w14:val="none"/>
              </w:rPr>
              <w:t xml:space="preserve"> </w:t>
            </w:r>
            <w:r w:rsidRPr="00567E52">
              <w:rPr>
                <w:rFonts w:ascii="Times New Roman" w:eastAsia="Times New Roman" w:hAnsi="Times New Roman" w:cs="Times New Roman"/>
                <w:spacing w:val="2"/>
                <w:kern w:val="0"/>
                <w14:ligatures w14:val="none"/>
              </w:rPr>
              <w:t>(</w:t>
            </w:r>
            <w:r w:rsidRPr="00567E52">
              <w:rPr>
                <w:rFonts w:ascii="Times New Roman" w:eastAsia="Times New Roman" w:hAnsi="Times New Roman" w:cs="Times New Roman"/>
                <w:spacing w:val="2"/>
                <w:kern w:val="0"/>
                <w:vertAlign w:val="superscript"/>
                <w14:ligatures w14:val="none"/>
              </w:rPr>
              <w:t>5</w:t>
            </w:r>
            <w:r w:rsidRPr="00567E52">
              <w:rPr>
                <w:rFonts w:ascii="Times New Roman" w:eastAsia="Times New Roman" w:hAnsi="Times New Roman" w:cs="Times New Roman"/>
                <w:spacing w:val="2"/>
                <w:kern w:val="0"/>
                <w14:ligatures w14:val="none"/>
              </w:rPr>
              <w:t>)</w:t>
            </w:r>
          </w:p>
        </w:tc>
        <w:tc>
          <w:tcPr>
            <w:tcW w:w="1120" w:type="pct"/>
            <w:vMerge/>
          </w:tcPr>
          <w:p w14:paraId="0CD88F19"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Align w:val="center"/>
          </w:tcPr>
          <w:p w14:paraId="6AF66D59"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Çeşitli EN standartları mevcuttur (örn. TS 4957-EN 1899-1, TS EN ISO 5815-1)</w:t>
            </w:r>
          </w:p>
        </w:tc>
        <w:tc>
          <w:tcPr>
            <w:tcW w:w="586" w:type="pct"/>
            <w:vAlign w:val="center"/>
          </w:tcPr>
          <w:p w14:paraId="0ACDE32D"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Ayda bir kez</w:t>
            </w:r>
          </w:p>
        </w:tc>
        <w:tc>
          <w:tcPr>
            <w:tcW w:w="805" w:type="pct"/>
            <w:vMerge/>
            <w:vAlign w:val="center"/>
          </w:tcPr>
          <w:p w14:paraId="1790E1EF"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3B8A3ECA" w14:textId="77777777" w:rsidTr="000D79D6">
        <w:trPr>
          <w:jc w:val="center"/>
        </w:trPr>
        <w:tc>
          <w:tcPr>
            <w:tcW w:w="1070" w:type="pct"/>
            <w:gridSpan w:val="2"/>
            <w:vAlign w:val="center"/>
          </w:tcPr>
          <w:p w14:paraId="059E139B"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lastRenderedPageBreak/>
              <w:t>Kimyasal Oksijen İhtiyacı (KOİ) (</w:t>
            </w:r>
            <w:r w:rsidRPr="00567E52">
              <w:rPr>
                <w:rFonts w:ascii="Times New Roman" w:eastAsia="Times New Roman" w:hAnsi="Times New Roman" w:cs="Times New Roman"/>
                <w:spacing w:val="2"/>
                <w:kern w:val="0"/>
                <w:vertAlign w:val="superscript"/>
                <w14:ligatures w14:val="none"/>
              </w:rPr>
              <w:t>5</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6</w:t>
            </w:r>
            <w:r w:rsidRPr="00567E52">
              <w:rPr>
                <w:rFonts w:ascii="Times New Roman" w:eastAsia="Times New Roman" w:hAnsi="Times New Roman" w:cs="Times New Roman"/>
                <w:spacing w:val="2"/>
                <w:kern w:val="0"/>
                <w14:ligatures w14:val="none"/>
              </w:rPr>
              <w:t>)</w:t>
            </w:r>
          </w:p>
        </w:tc>
        <w:tc>
          <w:tcPr>
            <w:tcW w:w="1120" w:type="pct"/>
            <w:vMerge/>
          </w:tcPr>
          <w:p w14:paraId="1C62CD12"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Align w:val="center"/>
          </w:tcPr>
          <w:p w14:paraId="1561E204"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EN standardı mevcut değil</w:t>
            </w:r>
          </w:p>
        </w:tc>
        <w:tc>
          <w:tcPr>
            <w:tcW w:w="586" w:type="pct"/>
            <w:vMerge w:val="restart"/>
            <w:vAlign w:val="center"/>
          </w:tcPr>
          <w:p w14:paraId="672868F3"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Haftada bir kez (</w:t>
            </w:r>
            <w:r w:rsidRPr="00567E52">
              <w:rPr>
                <w:rFonts w:ascii="Times New Roman" w:eastAsia="Times New Roman" w:hAnsi="Times New Roman" w:cs="Times New Roman"/>
                <w:spacing w:val="2"/>
                <w:kern w:val="0"/>
                <w:vertAlign w:val="superscript"/>
                <w14:ligatures w14:val="none"/>
              </w:rPr>
              <w:t>7</w:t>
            </w:r>
            <w:r w:rsidRPr="00567E52">
              <w:rPr>
                <w:rFonts w:ascii="Times New Roman" w:eastAsia="Times New Roman" w:hAnsi="Times New Roman" w:cs="Times New Roman"/>
                <w:spacing w:val="2"/>
                <w:kern w:val="0"/>
                <w14:ligatures w14:val="none"/>
              </w:rPr>
              <w:t>)</w:t>
            </w:r>
          </w:p>
        </w:tc>
        <w:tc>
          <w:tcPr>
            <w:tcW w:w="805" w:type="pct"/>
            <w:vMerge/>
            <w:vAlign w:val="center"/>
          </w:tcPr>
          <w:p w14:paraId="144F26A5"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001CF68A" w14:textId="77777777" w:rsidTr="000D79D6">
        <w:trPr>
          <w:jc w:val="center"/>
        </w:trPr>
        <w:tc>
          <w:tcPr>
            <w:tcW w:w="1070" w:type="pct"/>
            <w:gridSpan w:val="2"/>
            <w:vAlign w:val="center"/>
          </w:tcPr>
          <w:p w14:paraId="4197A3B9"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Toplam Azot (TN)</w:t>
            </w:r>
            <w:r w:rsidRPr="00567E52">
              <w:rPr>
                <w:rFonts w:ascii="Times New Roman" w:eastAsia="Times New Roman" w:hAnsi="Times New Roman" w:cs="Times New Roman"/>
                <w:spacing w:val="2"/>
                <w:kern w:val="0"/>
                <w:vertAlign w:val="superscript"/>
                <w14:ligatures w14:val="none"/>
              </w:rPr>
              <w:t xml:space="preserve"> </w:t>
            </w:r>
            <w:r w:rsidRPr="00567E52">
              <w:rPr>
                <w:rFonts w:ascii="Times New Roman" w:eastAsia="Times New Roman" w:hAnsi="Times New Roman" w:cs="Times New Roman"/>
                <w:spacing w:val="2"/>
                <w:kern w:val="0"/>
                <w14:ligatures w14:val="none"/>
              </w:rPr>
              <w:t>(</w:t>
            </w:r>
            <w:r w:rsidRPr="00567E52">
              <w:rPr>
                <w:rFonts w:ascii="Times New Roman" w:eastAsia="Times New Roman" w:hAnsi="Times New Roman" w:cs="Times New Roman"/>
                <w:spacing w:val="2"/>
                <w:kern w:val="0"/>
                <w:vertAlign w:val="superscript"/>
                <w14:ligatures w14:val="none"/>
              </w:rPr>
              <w:t>5</w:t>
            </w:r>
            <w:r w:rsidRPr="00567E52">
              <w:rPr>
                <w:rFonts w:ascii="Times New Roman" w:eastAsia="Times New Roman" w:hAnsi="Times New Roman" w:cs="Times New Roman"/>
                <w:spacing w:val="2"/>
                <w:kern w:val="0"/>
                <w14:ligatures w14:val="none"/>
              </w:rPr>
              <w:t>)</w:t>
            </w:r>
          </w:p>
        </w:tc>
        <w:tc>
          <w:tcPr>
            <w:tcW w:w="1120" w:type="pct"/>
            <w:vMerge/>
          </w:tcPr>
          <w:p w14:paraId="7170CFF6"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Align w:val="center"/>
          </w:tcPr>
          <w:p w14:paraId="0FE715D1"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Çeşitli EN standartları mevcuttur (örneğin; EN ISO 11905-1)</w:t>
            </w:r>
          </w:p>
        </w:tc>
        <w:tc>
          <w:tcPr>
            <w:tcW w:w="586" w:type="pct"/>
            <w:vMerge/>
            <w:vAlign w:val="center"/>
          </w:tcPr>
          <w:p w14:paraId="2F3CB9BC"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805" w:type="pct"/>
            <w:vMerge/>
            <w:vAlign w:val="center"/>
          </w:tcPr>
          <w:p w14:paraId="47AE2DB9"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1AD3CC12" w14:textId="77777777" w:rsidTr="000D79D6">
        <w:trPr>
          <w:jc w:val="center"/>
        </w:trPr>
        <w:tc>
          <w:tcPr>
            <w:tcW w:w="1070" w:type="pct"/>
            <w:gridSpan w:val="2"/>
            <w:vAlign w:val="center"/>
          </w:tcPr>
          <w:p w14:paraId="722AC7EC"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Toplam Organik Karbon (TOK)</w:t>
            </w:r>
            <w:r w:rsidRPr="00567E52">
              <w:rPr>
                <w:rFonts w:ascii="Times New Roman" w:eastAsia="Times New Roman" w:hAnsi="Times New Roman" w:cs="Times New Roman"/>
                <w:spacing w:val="2"/>
                <w:kern w:val="0"/>
                <w:vertAlign w:val="superscript"/>
                <w14:ligatures w14:val="none"/>
              </w:rPr>
              <w:t xml:space="preserve"> </w:t>
            </w:r>
            <w:r w:rsidRPr="00567E52">
              <w:rPr>
                <w:rFonts w:ascii="Times New Roman" w:eastAsia="Times New Roman" w:hAnsi="Times New Roman" w:cs="Times New Roman"/>
                <w:spacing w:val="2"/>
                <w:kern w:val="0"/>
                <w14:ligatures w14:val="none"/>
              </w:rPr>
              <w:t>(</w:t>
            </w:r>
            <w:r w:rsidRPr="00567E52">
              <w:rPr>
                <w:rFonts w:ascii="Times New Roman" w:eastAsia="Times New Roman" w:hAnsi="Times New Roman" w:cs="Times New Roman"/>
                <w:spacing w:val="2"/>
                <w:kern w:val="0"/>
                <w:vertAlign w:val="superscript"/>
                <w14:ligatures w14:val="none"/>
              </w:rPr>
              <w:t>5</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6</w:t>
            </w:r>
            <w:r w:rsidRPr="00567E52">
              <w:rPr>
                <w:rFonts w:ascii="Times New Roman" w:eastAsia="Times New Roman" w:hAnsi="Times New Roman" w:cs="Times New Roman"/>
                <w:spacing w:val="2"/>
                <w:kern w:val="0"/>
                <w14:ligatures w14:val="none"/>
              </w:rPr>
              <w:t>)</w:t>
            </w:r>
          </w:p>
        </w:tc>
        <w:tc>
          <w:tcPr>
            <w:tcW w:w="1120" w:type="pct"/>
            <w:vMerge/>
          </w:tcPr>
          <w:p w14:paraId="6E44A6FD"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Align w:val="center"/>
          </w:tcPr>
          <w:p w14:paraId="5AC722AF"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TS 8195 EN 1484</w:t>
            </w:r>
          </w:p>
        </w:tc>
        <w:tc>
          <w:tcPr>
            <w:tcW w:w="586" w:type="pct"/>
            <w:vMerge/>
            <w:vAlign w:val="center"/>
          </w:tcPr>
          <w:p w14:paraId="248A6745"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805" w:type="pct"/>
            <w:vMerge/>
            <w:vAlign w:val="center"/>
          </w:tcPr>
          <w:p w14:paraId="6CA897C8"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0FE9AB93" w14:textId="77777777" w:rsidTr="000D79D6">
        <w:trPr>
          <w:jc w:val="center"/>
        </w:trPr>
        <w:tc>
          <w:tcPr>
            <w:tcW w:w="1070" w:type="pct"/>
            <w:gridSpan w:val="2"/>
            <w:vAlign w:val="center"/>
          </w:tcPr>
          <w:p w14:paraId="4A487E1E"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Toplam Fosfat (TP) (</w:t>
            </w:r>
            <w:r w:rsidRPr="00567E52">
              <w:rPr>
                <w:rFonts w:ascii="Times New Roman" w:eastAsia="Times New Roman" w:hAnsi="Times New Roman" w:cs="Times New Roman"/>
                <w:spacing w:val="2"/>
                <w:kern w:val="0"/>
                <w:vertAlign w:val="superscript"/>
                <w14:ligatures w14:val="none"/>
              </w:rPr>
              <w:t>5</w:t>
            </w:r>
            <w:r w:rsidRPr="00567E52">
              <w:rPr>
                <w:rFonts w:ascii="Times New Roman" w:eastAsia="Times New Roman" w:hAnsi="Times New Roman" w:cs="Times New Roman"/>
                <w:spacing w:val="2"/>
                <w:kern w:val="0"/>
                <w14:ligatures w14:val="none"/>
              </w:rPr>
              <w:t>)</w:t>
            </w:r>
          </w:p>
        </w:tc>
        <w:tc>
          <w:tcPr>
            <w:tcW w:w="1120" w:type="pct"/>
            <w:vMerge/>
          </w:tcPr>
          <w:p w14:paraId="5A1B2BD9"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Align w:val="center"/>
          </w:tcPr>
          <w:p w14:paraId="5F6E13B3"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Çeşitli EN standartları mevcuttur (örneğin; TS EN ISO 6878, TS EN ISO 15681-1 ve -2, TS EN ISO 11885)</w:t>
            </w:r>
          </w:p>
        </w:tc>
        <w:tc>
          <w:tcPr>
            <w:tcW w:w="586" w:type="pct"/>
            <w:vMerge/>
            <w:vAlign w:val="center"/>
          </w:tcPr>
          <w:p w14:paraId="1CF69B23"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805" w:type="pct"/>
            <w:vMerge/>
            <w:vAlign w:val="center"/>
          </w:tcPr>
          <w:p w14:paraId="3BAA50C7"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3742256F" w14:textId="77777777" w:rsidTr="000D79D6">
        <w:trPr>
          <w:jc w:val="center"/>
        </w:trPr>
        <w:tc>
          <w:tcPr>
            <w:tcW w:w="1070" w:type="pct"/>
            <w:gridSpan w:val="2"/>
            <w:vAlign w:val="center"/>
          </w:tcPr>
          <w:p w14:paraId="1267F29C"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Toplam Askıda Katı Madde (TSS)</w:t>
            </w:r>
            <w:r w:rsidRPr="00567E52">
              <w:rPr>
                <w:rFonts w:ascii="Times New Roman" w:eastAsia="Times New Roman" w:hAnsi="Times New Roman" w:cs="Times New Roman"/>
                <w:spacing w:val="2"/>
                <w:kern w:val="0"/>
                <w:vertAlign w:val="superscript"/>
                <w14:ligatures w14:val="none"/>
              </w:rPr>
              <w:t xml:space="preserve"> </w:t>
            </w:r>
            <w:r w:rsidRPr="00567E52">
              <w:rPr>
                <w:rFonts w:ascii="Times New Roman" w:eastAsia="Times New Roman" w:hAnsi="Times New Roman" w:cs="Times New Roman"/>
                <w:spacing w:val="2"/>
                <w:kern w:val="0"/>
                <w14:ligatures w14:val="none"/>
              </w:rPr>
              <w:t>(</w:t>
            </w:r>
            <w:r w:rsidRPr="00567E52">
              <w:rPr>
                <w:rFonts w:ascii="Times New Roman" w:eastAsia="Times New Roman" w:hAnsi="Times New Roman" w:cs="Times New Roman"/>
                <w:spacing w:val="2"/>
                <w:kern w:val="0"/>
                <w:vertAlign w:val="superscript"/>
                <w14:ligatures w14:val="none"/>
              </w:rPr>
              <w:t>5</w:t>
            </w:r>
            <w:r w:rsidRPr="00567E52">
              <w:rPr>
                <w:rFonts w:ascii="Times New Roman" w:eastAsia="Times New Roman" w:hAnsi="Times New Roman" w:cs="Times New Roman"/>
                <w:spacing w:val="2"/>
                <w:kern w:val="0"/>
                <w14:ligatures w14:val="none"/>
              </w:rPr>
              <w:t>)</w:t>
            </w:r>
          </w:p>
        </w:tc>
        <w:tc>
          <w:tcPr>
            <w:tcW w:w="1120" w:type="pct"/>
            <w:vMerge/>
          </w:tcPr>
          <w:p w14:paraId="38D2F3BC"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Align w:val="center"/>
          </w:tcPr>
          <w:p w14:paraId="0FDD3B75"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TS EN 872</w:t>
            </w:r>
          </w:p>
        </w:tc>
        <w:tc>
          <w:tcPr>
            <w:tcW w:w="586" w:type="pct"/>
            <w:vMerge/>
            <w:tcBorders>
              <w:bottom w:val="single" w:sz="4" w:space="0" w:color="auto"/>
            </w:tcBorders>
            <w:vAlign w:val="center"/>
          </w:tcPr>
          <w:p w14:paraId="353EA7E9"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805" w:type="pct"/>
            <w:vMerge/>
            <w:vAlign w:val="center"/>
          </w:tcPr>
          <w:p w14:paraId="3FBC5628"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567E52" w14:paraId="2A56A85A" w14:textId="77777777" w:rsidTr="000D79D6">
        <w:trPr>
          <w:jc w:val="center"/>
        </w:trPr>
        <w:tc>
          <w:tcPr>
            <w:tcW w:w="521" w:type="pct"/>
            <w:vMerge w:val="restart"/>
            <w:tcBorders>
              <w:right w:val="single" w:sz="4" w:space="0" w:color="auto"/>
            </w:tcBorders>
            <w:vAlign w:val="center"/>
          </w:tcPr>
          <w:p w14:paraId="7FA2D22F"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Metaller</w:t>
            </w:r>
          </w:p>
        </w:tc>
        <w:tc>
          <w:tcPr>
            <w:tcW w:w="550" w:type="pct"/>
            <w:tcBorders>
              <w:left w:val="single" w:sz="4" w:space="0" w:color="auto"/>
            </w:tcBorders>
            <w:vAlign w:val="center"/>
          </w:tcPr>
          <w:p w14:paraId="2466647D"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Bakır (Cu) (</w:t>
            </w:r>
            <w:r w:rsidRPr="00567E52">
              <w:rPr>
                <w:rFonts w:ascii="Times New Roman" w:eastAsia="Times New Roman" w:hAnsi="Times New Roman" w:cs="Times New Roman"/>
                <w:spacing w:val="2"/>
                <w:kern w:val="0"/>
                <w:vertAlign w:val="superscript"/>
                <w14:ligatures w14:val="none"/>
              </w:rPr>
              <w:t>2</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3</w:t>
            </w:r>
            <w:r w:rsidRPr="00567E52">
              <w:rPr>
                <w:rFonts w:ascii="Times New Roman" w:eastAsia="Times New Roman" w:hAnsi="Times New Roman" w:cs="Times New Roman"/>
                <w:spacing w:val="2"/>
                <w:kern w:val="0"/>
                <w14:ligatures w14:val="none"/>
              </w:rPr>
              <w:t>)</w:t>
            </w:r>
          </w:p>
        </w:tc>
        <w:tc>
          <w:tcPr>
            <w:tcW w:w="1120" w:type="pct"/>
            <w:vMerge w:val="restart"/>
            <w:vAlign w:val="center"/>
          </w:tcPr>
          <w:p w14:paraId="0729DC5E"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Mezbahalar</w:t>
            </w:r>
          </w:p>
        </w:tc>
        <w:tc>
          <w:tcPr>
            <w:tcW w:w="1419" w:type="pct"/>
            <w:vMerge w:val="restart"/>
            <w:vAlign w:val="center"/>
          </w:tcPr>
          <w:p w14:paraId="6BF7A42A"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Çeşitli EN standartları mevcuttur (örn. TS EN ISO 11885, TS EN ISO 17294-2 veya EN ISO 15586)</w:t>
            </w:r>
          </w:p>
        </w:tc>
        <w:tc>
          <w:tcPr>
            <w:tcW w:w="586" w:type="pct"/>
            <w:vMerge w:val="restart"/>
            <w:tcBorders>
              <w:top w:val="single" w:sz="4" w:space="0" w:color="auto"/>
            </w:tcBorders>
            <w:vAlign w:val="center"/>
          </w:tcPr>
          <w:p w14:paraId="1661CAEF"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Her 6 ayda bir</w:t>
            </w:r>
          </w:p>
        </w:tc>
        <w:tc>
          <w:tcPr>
            <w:tcW w:w="805" w:type="pct"/>
            <w:vMerge/>
            <w:vAlign w:val="center"/>
          </w:tcPr>
          <w:p w14:paraId="40B2E70D"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567E52" w14:paraId="6B90DD07" w14:textId="77777777" w:rsidTr="000D79D6">
        <w:trPr>
          <w:jc w:val="center"/>
        </w:trPr>
        <w:tc>
          <w:tcPr>
            <w:tcW w:w="521" w:type="pct"/>
            <w:vMerge/>
            <w:tcBorders>
              <w:right w:val="single" w:sz="4" w:space="0" w:color="auto"/>
            </w:tcBorders>
            <w:vAlign w:val="center"/>
          </w:tcPr>
          <w:p w14:paraId="59855B3C"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550" w:type="pct"/>
            <w:tcBorders>
              <w:left w:val="single" w:sz="4" w:space="0" w:color="auto"/>
            </w:tcBorders>
            <w:vAlign w:val="center"/>
          </w:tcPr>
          <w:p w14:paraId="6C0A0521"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Çinko (Zn) (</w:t>
            </w:r>
            <w:r w:rsidRPr="00567E52">
              <w:rPr>
                <w:rFonts w:ascii="Times New Roman" w:eastAsia="Times New Roman" w:hAnsi="Times New Roman" w:cs="Times New Roman"/>
                <w:spacing w:val="2"/>
                <w:kern w:val="0"/>
                <w:vertAlign w:val="superscript"/>
                <w14:ligatures w14:val="none"/>
              </w:rPr>
              <w:t>2</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3</w:t>
            </w:r>
            <w:r w:rsidRPr="00567E52">
              <w:rPr>
                <w:rFonts w:ascii="Times New Roman" w:eastAsia="Times New Roman" w:hAnsi="Times New Roman" w:cs="Times New Roman"/>
                <w:spacing w:val="2"/>
                <w:kern w:val="0"/>
                <w14:ligatures w14:val="none"/>
              </w:rPr>
              <w:t>)</w:t>
            </w:r>
          </w:p>
        </w:tc>
        <w:tc>
          <w:tcPr>
            <w:tcW w:w="1120" w:type="pct"/>
            <w:vMerge/>
          </w:tcPr>
          <w:p w14:paraId="5773B840"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1419" w:type="pct"/>
            <w:vMerge/>
            <w:vAlign w:val="center"/>
          </w:tcPr>
          <w:p w14:paraId="0D70536F"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p>
        </w:tc>
        <w:tc>
          <w:tcPr>
            <w:tcW w:w="586" w:type="pct"/>
            <w:vMerge/>
            <w:tcBorders>
              <w:bottom w:val="single" w:sz="4" w:space="0" w:color="auto"/>
            </w:tcBorders>
            <w:vAlign w:val="center"/>
          </w:tcPr>
          <w:p w14:paraId="293D772F"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805" w:type="pct"/>
            <w:vMerge/>
            <w:tcBorders>
              <w:bottom w:val="single" w:sz="4" w:space="0" w:color="auto"/>
            </w:tcBorders>
            <w:vAlign w:val="center"/>
          </w:tcPr>
          <w:p w14:paraId="3611FFD8"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567E52" w14:paraId="48169E7C" w14:textId="77777777" w:rsidTr="000D79D6">
        <w:trPr>
          <w:jc w:val="center"/>
        </w:trPr>
        <w:tc>
          <w:tcPr>
            <w:tcW w:w="1070" w:type="pct"/>
            <w:gridSpan w:val="2"/>
            <w:vAlign w:val="center"/>
          </w:tcPr>
          <w:p w14:paraId="2F7C5466"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Klorür (Cl</w:t>
            </w:r>
            <w:r w:rsidRPr="00567E52">
              <w:rPr>
                <w:rFonts w:ascii="Times New Roman" w:eastAsia="Times New Roman" w:hAnsi="Times New Roman" w:cs="Times New Roman"/>
                <w:spacing w:val="2"/>
                <w:kern w:val="0"/>
                <w:vertAlign w:val="superscript"/>
                <w14:ligatures w14:val="none"/>
              </w:rPr>
              <w:t>-</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2</w:t>
            </w:r>
            <w:r w:rsidRPr="00567E52">
              <w:rPr>
                <w:rFonts w:ascii="Times New Roman" w:eastAsia="Times New Roman" w:hAnsi="Times New Roman" w:cs="Times New Roman"/>
                <w:spacing w:val="2"/>
                <w:kern w:val="0"/>
                <w14:ligatures w14:val="none"/>
              </w:rPr>
              <w:t>) (</w:t>
            </w:r>
            <w:r w:rsidRPr="00567E52">
              <w:rPr>
                <w:rFonts w:ascii="Times New Roman" w:eastAsia="Times New Roman" w:hAnsi="Times New Roman" w:cs="Times New Roman"/>
                <w:spacing w:val="2"/>
                <w:kern w:val="0"/>
                <w:vertAlign w:val="superscript"/>
                <w14:ligatures w14:val="none"/>
              </w:rPr>
              <w:t>3</w:t>
            </w:r>
            <w:r w:rsidRPr="00567E52">
              <w:rPr>
                <w:rFonts w:ascii="Times New Roman" w:eastAsia="Times New Roman" w:hAnsi="Times New Roman" w:cs="Times New Roman"/>
                <w:spacing w:val="2"/>
                <w:kern w:val="0"/>
                <w14:ligatures w14:val="none"/>
              </w:rPr>
              <w:t>)</w:t>
            </w:r>
          </w:p>
        </w:tc>
        <w:tc>
          <w:tcPr>
            <w:tcW w:w="1120" w:type="pct"/>
          </w:tcPr>
          <w:p w14:paraId="4FBE9476" w14:textId="77777777" w:rsidR="003B155E" w:rsidRPr="00567E52" w:rsidRDefault="003B155E" w:rsidP="003B155E">
            <w:pPr>
              <w:widowControl w:val="0"/>
              <w:numPr>
                <w:ilvl w:val="0"/>
                <w:numId w:val="103"/>
              </w:numPr>
              <w:spacing w:after="0" w:line="240" w:lineRule="auto"/>
              <w:ind w:left="259" w:hanging="218"/>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Mezbahalar</w:t>
            </w:r>
          </w:p>
          <w:p w14:paraId="5D5250AD" w14:textId="77777777" w:rsidR="003B155E" w:rsidRPr="00567E52" w:rsidRDefault="003B155E" w:rsidP="003B155E">
            <w:pPr>
              <w:widowControl w:val="0"/>
              <w:numPr>
                <w:ilvl w:val="0"/>
                <w:numId w:val="103"/>
              </w:numPr>
              <w:spacing w:after="0" w:line="240" w:lineRule="auto"/>
              <w:ind w:left="259" w:hanging="218"/>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Post/deri tuzlama</w:t>
            </w:r>
          </w:p>
          <w:p w14:paraId="39EDE692" w14:textId="77777777" w:rsidR="003B155E" w:rsidRPr="00567E52" w:rsidRDefault="003B155E" w:rsidP="003B155E">
            <w:pPr>
              <w:widowControl w:val="0"/>
              <w:numPr>
                <w:ilvl w:val="0"/>
                <w:numId w:val="103"/>
              </w:numPr>
              <w:spacing w:after="0" w:line="240" w:lineRule="auto"/>
              <w:ind w:left="259" w:hanging="218"/>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Kemiklerin hammadde olarak kullanıldığı jelatin üretimi</w:t>
            </w:r>
          </w:p>
        </w:tc>
        <w:tc>
          <w:tcPr>
            <w:tcW w:w="1419" w:type="pct"/>
            <w:vAlign w:val="center"/>
          </w:tcPr>
          <w:p w14:paraId="76B35430" w14:textId="77777777" w:rsidR="003B155E" w:rsidRPr="00567E52" w:rsidRDefault="003B155E" w:rsidP="000D79D6">
            <w:pPr>
              <w:spacing w:after="0" w:line="240" w:lineRule="auto"/>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Çeşitli EN standartları mevcuttur (örn. TS EN ISO 10304-1, TS EN ISO 15682)</w:t>
            </w:r>
          </w:p>
        </w:tc>
        <w:tc>
          <w:tcPr>
            <w:tcW w:w="586" w:type="pct"/>
            <w:tcBorders>
              <w:bottom w:val="single" w:sz="4" w:space="0" w:color="auto"/>
            </w:tcBorders>
            <w:vAlign w:val="center"/>
          </w:tcPr>
          <w:p w14:paraId="58B1BDE1"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Ayda bir kez</w:t>
            </w:r>
          </w:p>
        </w:tc>
        <w:tc>
          <w:tcPr>
            <w:tcW w:w="805" w:type="pct"/>
            <w:tcBorders>
              <w:top w:val="single" w:sz="4" w:space="0" w:color="auto"/>
            </w:tcBorders>
            <w:vAlign w:val="center"/>
          </w:tcPr>
          <w:p w14:paraId="35CE581A" w14:textId="77777777" w:rsidR="003B155E" w:rsidRPr="00567E52" w:rsidRDefault="003B155E" w:rsidP="000D79D6">
            <w:pPr>
              <w:spacing w:after="0" w:line="240" w:lineRule="auto"/>
              <w:jc w:val="both"/>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0E9B07B9" w14:textId="77777777" w:rsidTr="000D79D6">
        <w:trPr>
          <w:trHeight w:val="2569"/>
          <w:jc w:val="center"/>
        </w:trPr>
        <w:tc>
          <w:tcPr>
            <w:tcW w:w="5000" w:type="pct"/>
            <w:gridSpan w:val="6"/>
          </w:tcPr>
          <w:p w14:paraId="26CAC800" w14:textId="77777777" w:rsidR="003B155E" w:rsidRPr="00567E52"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w:t>
            </w:r>
            <w:r w:rsidRPr="00567E52">
              <w:rPr>
                <w:rFonts w:ascii="Times New Roman" w:eastAsia="Times New Roman" w:hAnsi="Times New Roman" w:cs="Times New Roman"/>
                <w:spacing w:val="2"/>
                <w:kern w:val="0"/>
                <w:sz w:val="20"/>
                <w:szCs w:val="20"/>
                <w:vertAlign w:val="superscript"/>
                <w14:ligatures w14:val="none"/>
              </w:rPr>
              <w:t>1</w:t>
            </w:r>
            <w:r w:rsidRPr="00567E52">
              <w:rPr>
                <w:rFonts w:ascii="Times New Roman" w:eastAsia="Times New Roman" w:hAnsi="Times New Roman" w:cs="Times New Roman"/>
                <w:spacing w:val="2"/>
                <w:kern w:val="0"/>
                <w:sz w:val="20"/>
                <w:szCs w:val="20"/>
                <w14:ligatures w14:val="none"/>
              </w:rPr>
              <w:t xml:space="preserve">) Minimum izleme sıklığından daha az sıklıkta toplu deşarj durumunda, izleme her seferinde bir kez gerçekleştirilir. </w:t>
            </w:r>
          </w:p>
          <w:p w14:paraId="4C677061" w14:textId="77777777" w:rsidR="003B155E" w:rsidRPr="00567E52"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w:t>
            </w:r>
            <w:r w:rsidRPr="00567E52">
              <w:rPr>
                <w:rFonts w:ascii="Times New Roman" w:eastAsia="Times New Roman" w:hAnsi="Times New Roman" w:cs="Times New Roman"/>
                <w:spacing w:val="2"/>
                <w:kern w:val="0"/>
                <w:sz w:val="20"/>
                <w:szCs w:val="20"/>
                <w:vertAlign w:val="superscript"/>
                <w14:ligatures w14:val="none"/>
              </w:rPr>
              <w:t>2</w:t>
            </w:r>
            <w:r w:rsidRPr="00567E52">
              <w:rPr>
                <w:rFonts w:ascii="Times New Roman" w:eastAsia="Times New Roman" w:hAnsi="Times New Roman" w:cs="Times New Roman"/>
                <w:spacing w:val="2"/>
                <w:kern w:val="0"/>
                <w:sz w:val="20"/>
                <w:szCs w:val="20"/>
                <w14:ligatures w14:val="none"/>
              </w:rPr>
              <w:t>) Eğer aşağı akış atıksu arıtma tesisi ilgili kirleticileri azaltmak için uygun şekilde tasarlanmış ve donatılmışsa, dolaylı deşarj durumunda, izleme sıklığı Cu ve Zn için yılda bir kez, AOX ve Cl</w:t>
            </w:r>
            <w:r w:rsidRPr="00567E52">
              <w:rPr>
                <w:rFonts w:ascii="Times New Roman" w:eastAsia="Times New Roman" w:hAnsi="Times New Roman" w:cs="Times New Roman"/>
                <w:spacing w:val="2"/>
                <w:kern w:val="0"/>
                <w:sz w:val="20"/>
                <w:szCs w:val="20"/>
                <w:vertAlign w:val="superscript"/>
                <w14:ligatures w14:val="none"/>
              </w:rPr>
              <w:t>-</w:t>
            </w:r>
            <w:r w:rsidRPr="00567E52">
              <w:rPr>
                <w:rFonts w:ascii="Times New Roman" w:eastAsia="Times New Roman" w:hAnsi="Times New Roman" w:cs="Times New Roman"/>
                <w:spacing w:val="2"/>
                <w:kern w:val="0"/>
                <w:sz w:val="20"/>
                <w:szCs w:val="20"/>
                <w14:ligatures w14:val="none"/>
              </w:rPr>
              <w:t xml:space="preserve"> için 6 ayda bire düşürülebilir.</w:t>
            </w:r>
          </w:p>
          <w:p w14:paraId="374F24E9" w14:textId="77777777" w:rsidR="003B155E" w:rsidRPr="00567E52"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w:t>
            </w:r>
            <w:r w:rsidRPr="00567E52">
              <w:rPr>
                <w:rFonts w:ascii="Times New Roman" w:eastAsia="Times New Roman" w:hAnsi="Times New Roman" w:cs="Times New Roman"/>
                <w:spacing w:val="2"/>
                <w:kern w:val="0"/>
                <w:sz w:val="20"/>
                <w:szCs w:val="20"/>
                <w:vertAlign w:val="superscript"/>
                <w14:ligatures w14:val="none"/>
              </w:rPr>
              <w:t>3</w:t>
            </w:r>
            <w:r w:rsidRPr="00567E52">
              <w:rPr>
                <w:rFonts w:ascii="Times New Roman" w:eastAsia="Times New Roman" w:hAnsi="Times New Roman" w:cs="Times New Roman"/>
                <w:spacing w:val="2"/>
                <w:kern w:val="0"/>
                <w:sz w:val="20"/>
                <w:szCs w:val="20"/>
                <w14:ligatures w14:val="none"/>
              </w:rPr>
              <w:t xml:space="preserve">) İzleme yalnızca ilgili madde/parametrenin MET 2’de belirtilen girdi ve çıktıların envanterine dayalı olarak atıksu </w:t>
            </w:r>
            <w:r w:rsidR="00A37025">
              <w:rPr>
                <w:rFonts w:ascii="Times New Roman" w:eastAsia="Times New Roman" w:hAnsi="Times New Roman" w:cs="Times New Roman"/>
                <w:spacing w:val="2"/>
                <w:kern w:val="0"/>
                <w:sz w:val="20"/>
                <w:szCs w:val="20"/>
                <w14:ligatures w14:val="none"/>
              </w:rPr>
              <w:t>debisinde</w:t>
            </w:r>
            <w:r w:rsidRPr="00567E52">
              <w:rPr>
                <w:rFonts w:ascii="Times New Roman" w:eastAsia="Times New Roman" w:hAnsi="Times New Roman" w:cs="Times New Roman"/>
                <w:spacing w:val="2"/>
                <w:kern w:val="0"/>
                <w:sz w:val="20"/>
                <w:szCs w:val="20"/>
                <w14:ligatures w14:val="none"/>
              </w:rPr>
              <w:t xml:space="preserve"> ilgili olduğu tespit edildiğinde uygulanır. </w:t>
            </w:r>
          </w:p>
          <w:p w14:paraId="7247D928" w14:textId="77777777" w:rsidR="003B155E" w:rsidRPr="00567E52"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w:t>
            </w:r>
            <w:r w:rsidRPr="00567E52">
              <w:rPr>
                <w:rFonts w:ascii="Times New Roman" w:eastAsia="Times New Roman" w:hAnsi="Times New Roman" w:cs="Times New Roman"/>
                <w:spacing w:val="2"/>
                <w:kern w:val="0"/>
                <w:sz w:val="20"/>
                <w:szCs w:val="20"/>
                <w:vertAlign w:val="superscript"/>
                <w14:ligatures w14:val="none"/>
              </w:rPr>
              <w:t>4</w:t>
            </w:r>
            <w:r w:rsidRPr="00567E52">
              <w:rPr>
                <w:rFonts w:ascii="Times New Roman" w:eastAsia="Times New Roman" w:hAnsi="Times New Roman" w:cs="Times New Roman"/>
                <w:spacing w:val="2"/>
                <w:kern w:val="0"/>
                <w:sz w:val="20"/>
                <w:szCs w:val="20"/>
                <w14:ligatures w14:val="none"/>
              </w:rPr>
              <w:t>) Emisyon seviyelerinin yeterince istikrarlı olduğu kanıtlanırsa minimum izleme sıklığı 6 ayda bire düşürülebilir. (</w:t>
            </w:r>
            <w:r w:rsidRPr="00567E52">
              <w:rPr>
                <w:rFonts w:ascii="Times New Roman" w:eastAsia="Times New Roman" w:hAnsi="Times New Roman" w:cs="Times New Roman"/>
                <w:spacing w:val="2"/>
                <w:kern w:val="0"/>
                <w:sz w:val="20"/>
                <w:szCs w:val="20"/>
                <w:vertAlign w:val="superscript"/>
                <w14:ligatures w14:val="none"/>
              </w:rPr>
              <w:t>5</w:t>
            </w:r>
            <w:r w:rsidRPr="00567E52">
              <w:rPr>
                <w:rFonts w:ascii="Times New Roman" w:eastAsia="Times New Roman" w:hAnsi="Times New Roman" w:cs="Times New Roman"/>
                <w:spacing w:val="2"/>
                <w:kern w:val="0"/>
                <w:sz w:val="20"/>
                <w:szCs w:val="20"/>
                <w14:ligatures w14:val="none"/>
              </w:rPr>
              <w:t xml:space="preserve">) İzleme sadece doğrudan deşarj durumunda geçerlidir. </w:t>
            </w:r>
          </w:p>
          <w:p w14:paraId="4962BD8E" w14:textId="77777777" w:rsidR="003B155E" w:rsidRPr="00567E52"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w:t>
            </w:r>
            <w:r w:rsidRPr="00567E52">
              <w:rPr>
                <w:rFonts w:ascii="Times New Roman" w:eastAsia="Times New Roman" w:hAnsi="Times New Roman" w:cs="Times New Roman"/>
                <w:spacing w:val="2"/>
                <w:kern w:val="0"/>
                <w:sz w:val="20"/>
                <w:szCs w:val="20"/>
                <w:vertAlign w:val="superscript"/>
                <w14:ligatures w14:val="none"/>
              </w:rPr>
              <w:t>6</w:t>
            </w:r>
            <w:r w:rsidRPr="00567E52">
              <w:rPr>
                <w:rFonts w:ascii="Times New Roman" w:eastAsia="Times New Roman" w:hAnsi="Times New Roman" w:cs="Times New Roman"/>
                <w:spacing w:val="2"/>
                <w:kern w:val="0"/>
                <w:sz w:val="20"/>
                <w:szCs w:val="20"/>
                <w14:ligatures w14:val="none"/>
              </w:rPr>
              <w:t xml:space="preserve">) Ya KOİ ya da TOK izlenir. TOK izleme, çok toksik bileşiklerin kullanımına dayanmadığı için tercih edilen seçenektir. </w:t>
            </w:r>
          </w:p>
          <w:p w14:paraId="6C0ECB52" w14:textId="77777777" w:rsidR="003B155E" w:rsidRPr="00567E52"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w:t>
            </w:r>
            <w:r w:rsidRPr="00567E52">
              <w:rPr>
                <w:rFonts w:ascii="Times New Roman" w:eastAsia="Times New Roman" w:hAnsi="Times New Roman" w:cs="Times New Roman"/>
                <w:spacing w:val="2"/>
                <w:kern w:val="0"/>
                <w:sz w:val="20"/>
                <w:szCs w:val="20"/>
                <w:vertAlign w:val="superscript"/>
                <w14:ligatures w14:val="none"/>
              </w:rPr>
              <w:t>7</w:t>
            </w:r>
            <w:r w:rsidRPr="00567E52">
              <w:rPr>
                <w:rFonts w:ascii="Times New Roman" w:eastAsia="Times New Roman" w:hAnsi="Times New Roman" w:cs="Times New Roman"/>
                <w:spacing w:val="2"/>
                <w:kern w:val="0"/>
                <w:sz w:val="20"/>
                <w:szCs w:val="20"/>
                <w14:ligatures w14:val="none"/>
              </w:rPr>
              <w:t>) Emisyon seviyelerinin yeterince istikrarlı olduğu kanıtlanırsa minimum izleme sıklığı ayda bire düşürülebilir.</w:t>
            </w:r>
          </w:p>
        </w:tc>
      </w:tr>
    </w:tbl>
    <w:p w14:paraId="6C83EC4B" w14:textId="77777777" w:rsidR="003B155E" w:rsidRPr="00567E52" w:rsidRDefault="003B155E" w:rsidP="003B155E">
      <w:pPr>
        <w:widowControl w:val="0"/>
        <w:tabs>
          <w:tab w:val="left" w:pos="722"/>
        </w:tabs>
        <w:spacing w:after="0" w:line="240" w:lineRule="auto"/>
        <w:jc w:val="both"/>
        <w:rPr>
          <w:rFonts w:ascii="Times New Roman" w:eastAsia="Times New Roman" w:hAnsi="Times New Roman" w:cs="Times New Roman"/>
          <w:color w:val="000000"/>
          <w:kern w:val="0"/>
          <w:sz w:val="24"/>
          <w:szCs w:val="24"/>
          <w:lang w:eastAsia="tr-TR"/>
          <w14:ligatures w14:val="none"/>
        </w:rPr>
      </w:pPr>
    </w:p>
    <w:p w14:paraId="1C0CD9E8" w14:textId="47F3149E" w:rsidR="003B155E" w:rsidRDefault="003B155E" w:rsidP="003B155E">
      <w:pPr>
        <w:widowControl w:val="0"/>
        <w:tabs>
          <w:tab w:val="left" w:pos="722"/>
        </w:tabs>
        <w:spacing w:after="0" w:line="240" w:lineRule="auto"/>
        <w:jc w:val="both"/>
        <w:rPr>
          <w:rFonts w:ascii="Times New Roman" w:eastAsia="Times New Roman" w:hAnsi="Times New Roman" w:cs="Times New Roman"/>
          <w:color w:val="000000"/>
          <w:kern w:val="0"/>
          <w:sz w:val="24"/>
          <w:szCs w:val="24"/>
          <w:lang w:eastAsia="tr-TR"/>
          <w14:ligatures w14:val="none"/>
        </w:rPr>
      </w:pPr>
      <w:r w:rsidRPr="00567E52">
        <w:rPr>
          <w:rFonts w:ascii="Times New Roman" w:eastAsia="Times New Roman" w:hAnsi="Times New Roman" w:cs="Times New Roman"/>
          <w:b/>
          <w:bCs/>
          <w:color w:val="000000"/>
          <w:kern w:val="0"/>
          <w:sz w:val="24"/>
          <w:szCs w:val="24"/>
          <w:lang w:eastAsia="tr-TR"/>
          <w14:ligatures w14:val="none"/>
        </w:rPr>
        <w:t xml:space="preserve">MET 8: </w:t>
      </w:r>
      <w:r w:rsidRPr="00567E52">
        <w:rPr>
          <w:rFonts w:ascii="Times New Roman" w:eastAsia="Times New Roman" w:hAnsi="Times New Roman" w:cs="Times New Roman"/>
          <w:color w:val="000000"/>
          <w:kern w:val="0"/>
          <w:sz w:val="24"/>
          <w:szCs w:val="24"/>
          <w:lang w:eastAsia="tr-TR"/>
          <w14:ligatures w14:val="none"/>
        </w:rPr>
        <w:t>Havaya yönlendirilen baca gazı emisyonları en azından aşağıda verilen sıklıkta ve EN standartlarına uygun olarak izlenir. EN standartlarının mevcut olmaması halinde, eşdeğer bilimsel kalitede verilerin sağlanmasını temin eden ISO, ulusal veya diğer uluslararası standartları kullanılır.</w:t>
      </w:r>
    </w:p>
    <w:p w14:paraId="536AD9C6" w14:textId="77777777" w:rsidR="0094059F" w:rsidRPr="00567E52" w:rsidRDefault="0094059F" w:rsidP="003B155E">
      <w:pPr>
        <w:widowControl w:val="0"/>
        <w:tabs>
          <w:tab w:val="left" w:pos="722"/>
        </w:tabs>
        <w:spacing w:after="0" w:line="240" w:lineRule="auto"/>
        <w:jc w:val="both"/>
        <w:rPr>
          <w:rFonts w:ascii="Times New Roman" w:eastAsia="Times New Roman" w:hAnsi="Times New Roman" w:cs="Times New Roman"/>
          <w:b/>
          <w:bCs/>
          <w:color w:val="000000"/>
          <w:kern w:val="0"/>
          <w:sz w:val="24"/>
          <w:szCs w:val="24"/>
          <w:lang w:eastAsia="tr-TR"/>
          <w14:ligatures w14:val="none"/>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74"/>
        <w:gridCol w:w="2854"/>
        <w:gridCol w:w="1636"/>
        <w:gridCol w:w="1371"/>
        <w:gridCol w:w="1527"/>
      </w:tblGrid>
      <w:tr w:rsidR="003B155E" w:rsidRPr="00567E52" w14:paraId="436FFA9E" w14:textId="77777777" w:rsidTr="000D79D6">
        <w:trPr>
          <w:jc w:val="center"/>
        </w:trPr>
        <w:tc>
          <w:tcPr>
            <w:tcW w:w="670" w:type="pct"/>
            <w:vAlign w:val="center"/>
          </w:tcPr>
          <w:p w14:paraId="3410590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lastRenderedPageBreak/>
              <w:t>Madde/</w:t>
            </w:r>
          </w:p>
          <w:p w14:paraId="7234EAF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Parametre</w:t>
            </w:r>
          </w:p>
        </w:tc>
        <w:tc>
          <w:tcPr>
            <w:tcW w:w="1672" w:type="pct"/>
            <w:vAlign w:val="center"/>
          </w:tcPr>
          <w:p w14:paraId="7325E143"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F</w:t>
            </w:r>
            <w:r w:rsidRPr="00567E52">
              <w:rPr>
                <w:rFonts w:ascii="Times New Roman" w:eastAsia="Times New Roman" w:hAnsi="Times New Roman" w:cs="Times New Roman"/>
                <w:spacing w:val="2"/>
                <w:kern w:val="0"/>
                <w14:ligatures w14:val="none"/>
              </w:rPr>
              <w:t>aaliyet/Proses</w:t>
            </w:r>
          </w:p>
        </w:tc>
        <w:tc>
          <w:tcPr>
            <w:tcW w:w="999" w:type="pct"/>
            <w:vAlign w:val="center"/>
          </w:tcPr>
          <w:p w14:paraId="0F3FACB9"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Standart(lar)</w:t>
            </w:r>
          </w:p>
        </w:tc>
        <w:tc>
          <w:tcPr>
            <w:tcW w:w="853" w:type="pct"/>
            <w:vAlign w:val="center"/>
          </w:tcPr>
          <w:p w14:paraId="18D1DF8B"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 xml:space="preserve">Minimum İzleme Sıklığı </w:t>
            </w:r>
            <w:r w:rsidRPr="00567E52">
              <w:rPr>
                <w:rFonts w:ascii="Times New Roman" w:eastAsia="Times New Roman" w:hAnsi="Times New Roman" w:cs="Times New Roman"/>
                <w:spacing w:val="2"/>
                <w:kern w:val="0"/>
                <w14:ligatures w14:val="none"/>
              </w:rPr>
              <w:t>(</w:t>
            </w:r>
            <w:r w:rsidRPr="00567E52">
              <w:rPr>
                <w:rFonts w:ascii="Times New Roman" w:eastAsia="Times New Roman" w:hAnsi="Times New Roman" w:cs="Times New Roman"/>
                <w:spacing w:val="2"/>
                <w:kern w:val="0"/>
                <w:vertAlign w:val="superscript"/>
                <w14:ligatures w14:val="none"/>
              </w:rPr>
              <w:t>1</w:t>
            </w:r>
            <w:r w:rsidRPr="00567E52">
              <w:rPr>
                <w:rFonts w:ascii="Times New Roman" w:eastAsia="Times New Roman" w:hAnsi="Times New Roman" w:cs="Times New Roman"/>
                <w:spacing w:val="2"/>
                <w:kern w:val="0"/>
                <w14:ligatures w14:val="none"/>
              </w:rPr>
              <w:t>)</w:t>
            </w:r>
          </w:p>
        </w:tc>
        <w:tc>
          <w:tcPr>
            <w:tcW w:w="806" w:type="pct"/>
            <w:vAlign w:val="center"/>
          </w:tcPr>
          <w:p w14:paraId="4679A306"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spacing w:val="2"/>
                <w:kern w:val="0"/>
                <w14:ligatures w14:val="none"/>
              </w:rPr>
              <w:t>Aşağıdakilerle İlişkili MET</w:t>
            </w:r>
          </w:p>
        </w:tc>
      </w:tr>
      <w:tr w:rsidR="003B155E" w:rsidRPr="00567E52" w14:paraId="1FF33F26" w14:textId="77777777" w:rsidTr="000D79D6">
        <w:trPr>
          <w:jc w:val="center"/>
        </w:trPr>
        <w:tc>
          <w:tcPr>
            <w:tcW w:w="670" w:type="pct"/>
            <w:vMerge w:val="restart"/>
            <w:vAlign w:val="center"/>
          </w:tcPr>
          <w:p w14:paraId="39EE4648"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C</w:t>
            </w:r>
            <w:r w:rsidRPr="00567E52">
              <w:rPr>
                <w:rFonts w:ascii="Times New Roman" w:eastAsia="Times New Roman" w:hAnsi="Times New Roman" w:cs="Times New Roman"/>
                <w:spacing w:val="2"/>
                <w:kern w:val="0"/>
                <w14:ligatures w14:val="none"/>
              </w:rPr>
              <w:t>O</w:t>
            </w:r>
          </w:p>
        </w:tc>
        <w:tc>
          <w:tcPr>
            <w:tcW w:w="1672" w:type="pct"/>
            <w:vAlign w:val="center"/>
          </w:tcPr>
          <w:p w14:paraId="050B0B8E"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Yoğunlaştırılamayan gazlar da dahil olmak üzere kötü kokulu gazların yanması (örneğin termal oksitleyicilerde veya buhar kazanlarında).</w:t>
            </w:r>
          </w:p>
        </w:tc>
        <w:tc>
          <w:tcPr>
            <w:tcW w:w="999" w:type="pct"/>
            <w:vMerge w:val="restart"/>
            <w:vAlign w:val="center"/>
          </w:tcPr>
          <w:p w14:paraId="13C7006F"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15058</w:t>
            </w:r>
          </w:p>
        </w:tc>
        <w:tc>
          <w:tcPr>
            <w:tcW w:w="853" w:type="pct"/>
            <w:vMerge w:val="restart"/>
            <w:vAlign w:val="center"/>
          </w:tcPr>
          <w:p w14:paraId="54685E7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w:t>
            </w:r>
            <w:r w:rsidRPr="00567E52">
              <w:rPr>
                <w:rFonts w:ascii="Times New Roman" w:eastAsia="Times New Roman" w:hAnsi="Times New Roman" w:cs="Times New Roman"/>
                <w:spacing w:val="2"/>
                <w:kern w:val="0"/>
                <w14:ligatures w14:val="none"/>
              </w:rPr>
              <w:t>ılda bir kez</w:t>
            </w:r>
          </w:p>
        </w:tc>
        <w:tc>
          <w:tcPr>
            <w:tcW w:w="806" w:type="pct"/>
            <w:vAlign w:val="center"/>
          </w:tcPr>
          <w:p w14:paraId="42FDDC25"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15</w:t>
            </w:r>
          </w:p>
        </w:tc>
      </w:tr>
      <w:tr w:rsidR="003B155E" w:rsidRPr="00567E52" w14:paraId="3D6AD2E6" w14:textId="77777777" w:rsidTr="000D79D6">
        <w:trPr>
          <w:jc w:val="center"/>
        </w:trPr>
        <w:tc>
          <w:tcPr>
            <w:tcW w:w="670" w:type="pct"/>
            <w:vMerge/>
            <w:vAlign w:val="center"/>
          </w:tcPr>
          <w:p w14:paraId="51CA682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5D096CDD"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Merge/>
            <w:vAlign w:val="center"/>
          </w:tcPr>
          <w:p w14:paraId="4DA240F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64A20B2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3793D54E"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4E765D98" w14:textId="77777777" w:rsidTr="000D79D6">
        <w:trPr>
          <w:jc w:val="center"/>
        </w:trPr>
        <w:tc>
          <w:tcPr>
            <w:tcW w:w="670" w:type="pct"/>
            <w:vMerge w:val="restart"/>
            <w:vAlign w:val="center"/>
          </w:tcPr>
          <w:p w14:paraId="462998E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Toz</w:t>
            </w:r>
          </w:p>
        </w:tc>
        <w:tc>
          <w:tcPr>
            <w:tcW w:w="1672" w:type="pct"/>
            <w:vAlign w:val="center"/>
          </w:tcPr>
          <w:p w14:paraId="44DC67A2"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Yoğunlaştırılamayan gazlar da dahil olmak üzere kötü kokulu gazların yanması (örneğin termal oksitleyicilerde veya buhar kazanlarında).</w:t>
            </w:r>
          </w:p>
        </w:tc>
        <w:tc>
          <w:tcPr>
            <w:tcW w:w="999" w:type="pct"/>
            <w:vMerge w:val="restart"/>
            <w:vAlign w:val="center"/>
          </w:tcPr>
          <w:p w14:paraId="568079C8"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13284-1</w:t>
            </w:r>
          </w:p>
        </w:tc>
        <w:tc>
          <w:tcPr>
            <w:tcW w:w="853" w:type="pct"/>
            <w:vMerge/>
            <w:vAlign w:val="center"/>
          </w:tcPr>
          <w:p w14:paraId="19CCD5E2"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62360BFA"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15</w:t>
            </w:r>
          </w:p>
        </w:tc>
      </w:tr>
      <w:tr w:rsidR="003B155E" w:rsidRPr="00567E52" w14:paraId="71FABC7A" w14:textId="77777777" w:rsidTr="000D79D6">
        <w:trPr>
          <w:jc w:val="center"/>
        </w:trPr>
        <w:tc>
          <w:tcPr>
            <w:tcW w:w="670" w:type="pct"/>
            <w:vMerge/>
            <w:vAlign w:val="center"/>
          </w:tcPr>
          <w:p w14:paraId="2DF18003"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24C8CD3B"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Merge/>
            <w:vAlign w:val="center"/>
          </w:tcPr>
          <w:p w14:paraId="4676179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3B74D14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0B8E6D10"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637128FF" w14:textId="77777777" w:rsidTr="000D79D6">
        <w:trPr>
          <w:jc w:val="center"/>
        </w:trPr>
        <w:tc>
          <w:tcPr>
            <w:tcW w:w="670" w:type="pct"/>
            <w:vMerge w:val="restart"/>
            <w:vAlign w:val="center"/>
          </w:tcPr>
          <w:p w14:paraId="3B1D80F8"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NO</w:t>
            </w:r>
            <w:r w:rsidRPr="00567E52">
              <w:rPr>
                <w:rFonts w:ascii="Times New Roman" w:eastAsia="Times New Roman" w:hAnsi="Times New Roman" w:cs="Times New Roman"/>
                <w:bCs/>
                <w:spacing w:val="2"/>
                <w:kern w:val="0"/>
                <w:vertAlign w:val="subscript"/>
                <w14:ligatures w14:val="none"/>
              </w:rPr>
              <w:t>x</w:t>
            </w:r>
          </w:p>
        </w:tc>
        <w:tc>
          <w:tcPr>
            <w:tcW w:w="1672" w:type="pct"/>
            <w:vAlign w:val="center"/>
          </w:tcPr>
          <w:p w14:paraId="75E96C41"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Yoğunlaştırılamayan gazlar da dahil olmak üzere kötü kokulu gazların yanması (örneğin termal oksitleyicilerde veya buhar kazanlarında).</w:t>
            </w:r>
          </w:p>
        </w:tc>
        <w:tc>
          <w:tcPr>
            <w:tcW w:w="999" w:type="pct"/>
            <w:vMerge w:val="restart"/>
            <w:vAlign w:val="center"/>
          </w:tcPr>
          <w:p w14:paraId="16EAE25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14792</w:t>
            </w:r>
          </w:p>
        </w:tc>
        <w:tc>
          <w:tcPr>
            <w:tcW w:w="853" w:type="pct"/>
            <w:vMerge/>
            <w:vAlign w:val="center"/>
          </w:tcPr>
          <w:p w14:paraId="4BFAE13A"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729F46EF"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15</w:t>
            </w:r>
          </w:p>
        </w:tc>
      </w:tr>
      <w:tr w:rsidR="003B155E" w:rsidRPr="00567E52" w14:paraId="264C756D" w14:textId="77777777" w:rsidTr="000D79D6">
        <w:trPr>
          <w:jc w:val="center"/>
        </w:trPr>
        <w:tc>
          <w:tcPr>
            <w:tcW w:w="670" w:type="pct"/>
            <w:vMerge/>
            <w:vAlign w:val="center"/>
          </w:tcPr>
          <w:p w14:paraId="073EA75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09A57864"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Merge/>
            <w:vAlign w:val="center"/>
          </w:tcPr>
          <w:p w14:paraId="2C083D04"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53198E2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166E735D"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3B82AFCE" w14:textId="77777777" w:rsidTr="000D79D6">
        <w:trPr>
          <w:jc w:val="center"/>
        </w:trPr>
        <w:tc>
          <w:tcPr>
            <w:tcW w:w="670" w:type="pct"/>
            <w:vMerge w:val="restart"/>
            <w:vAlign w:val="center"/>
          </w:tcPr>
          <w:p w14:paraId="5E41AAB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SO</w:t>
            </w:r>
            <w:r w:rsidRPr="00567E52">
              <w:rPr>
                <w:rFonts w:ascii="Times New Roman" w:eastAsia="Times New Roman" w:hAnsi="Times New Roman" w:cs="Times New Roman"/>
                <w:bCs/>
                <w:spacing w:val="2"/>
                <w:kern w:val="0"/>
                <w:vertAlign w:val="subscript"/>
                <w14:ligatures w14:val="none"/>
              </w:rPr>
              <w:t>x</w:t>
            </w:r>
          </w:p>
        </w:tc>
        <w:tc>
          <w:tcPr>
            <w:tcW w:w="1672" w:type="pct"/>
            <w:vAlign w:val="center"/>
          </w:tcPr>
          <w:p w14:paraId="18401431"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Yoğunlaştırılamayan gazlar da dahil olmak üzere kötü kokulu gazların yanması (örneğin termal oksitleyicilerde veya buhar kazanlarında).</w:t>
            </w:r>
          </w:p>
        </w:tc>
        <w:tc>
          <w:tcPr>
            <w:tcW w:w="999" w:type="pct"/>
            <w:vMerge w:val="restart"/>
            <w:vAlign w:val="center"/>
          </w:tcPr>
          <w:p w14:paraId="6D53551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14791</w:t>
            </w:r>
          </w:p>
        </w:tc>
        <w:tc>
          <w:tcPr>
            <w:tcW w:w="853" w:type="pct"/>
            <w:vMerge/>
            <w:vAlign w:val="center"/>
          </w:tcPr>
          <w:p w14:paraId="30F55E6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50327A17"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15</w:t>
            </w:r>
          </w:p>
        </w:tc>
      </w:tr>
      <w:tr w:rsidR="003B155E" w:rsidRPr="00567E52" w14:paraId="20237F6E" w14:textId="77777777" w:rsidTr="000D79D6">
        <w:trPr>
          <w:jc w:val="center"/>
        </w:trPr>
        <w:tc>
          <w:tcPr>
            <w:tcW w:w="670" w:type="pct"/>
            <w:vMerge/>
            <w:vAlign w:val="center"/>
          </w:tcPr>
          <w:p w14:paraId="1F9F3772"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3A1EE070"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Merge/>
            <w:vAlign w:val="center"/>
          </w:tcPr>
          <w:p w14:paraId="4D95023A"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6883473B"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0F508C50"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7844F094" w14:textId="77777777" w:rsidTr="000D79D6">
        <w:trPr>
          <w:jc w:val="center"/>
        </w:trPr>
        <w:tc>
          <w:tcPr>
            <w:tcW w:w="670" w:type="pct"/>
            <w:vAlign w:val="center"/>
          </w:tcPr>
          <w:p w14:paraId="0CDC527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H</w:t>
            </w:r>
            <w:r w:rsidRPr="00567E52">
              <w:rPr>
                <w:rFonts w:ascii="Times New Roman" w:eastAsia="Times New Roman" w:hAnsi="Times New Roman" w:cs="Times New Roman"/>
                <w:bCs/>
                <w:spacing w:val="2"/>
                <w:kern w:val="0"/>
                <w:vertAlign w:val="subscript"/>
                <w14:ligatures w14:val="none"/>
              </w:rPr>
              <w:t>2</w:t>
            </w:r>
            <w:r w:rsidRPr="00567E52">
              <w:rPr>
                <w:rFonts w:ascii="Times New Roman" w:eastAsia="Times New Roman" w:hAnsi="Times New Roman" w:cs="Times New Roman"/>
                <w:bCs/>
                <w:spacing w:val="2"/>
                <w:kern w:val="0"/>
                <w14:ligatures w14:val="none"/>
              </w:rPr>
              <w:t>S</w:t>
            </w:r>
          </w:p>
        </w:tc>
        <w:tc>
          <w:tcPr>
            <w:tcW w:w="1672" w:type="pct"/>
            <w:vAlign w:val="center"/>
          </w:tcPr>
          <w:p w14:paraId="7B53645B"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Rendering, yağ eritme, kan ve/veya tüy işleme (</w:t>
            </w:r>
            <w:r w:rsidRPr="00567E52">
              <w:rPr>
                <w:rFonts w:ascii="Times New Roman" w:eastAsia="Times New Roman" w:hAnsi="Times New Roman" w:cs="Times New Roman"/>
                <w:bCs/>
                <w:spacing w:val="2"/>
                <w:kern w:val="0"/>
                <w:vertAlign w:val="superscript"/>
                <w14:ligatures w14:val="none"/>
              </w:rPr>
              <w:t>2</w:t>
            </w:r>
            <w:r w:rsidRPr="00567E52">
              <w:rPr>
                <w:rFonts w:ascii="Times New Roman" w:eastAsia="Times New Roman" w:hAnsi="Times New Roman" w:cs="Times New Roman"/>
                <w:bCs/>
                <w:spacing w:val="2"/>
                <w:kern w:val="0"/>
                <w14:ligatures w14:val="none"/>
              </w:rPr>
              <w:t>)</w:t>
            </w:r>
          </w:p>
        </w:tc>
        <w:tc>
          <w:tcPr>
            <w:tcW w:w="999" w:type="pct"/>
            <w:vAlign w:val="center"/>
          </w:tcPr>
          <w:p w14:paraId="493DF6D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EN standardı mevcut değil</w:t>
            </w:r>
          </w:p>
        </w:tc>
        <w:tc>
          <w:tcPr>
            <w:tcW w:w="853" w:type="pct"/>
            <w:vMerge/>
            <w:vAlign w:val="center"/>
          </w:tcPr>
          <w:p w14:paraId="693257D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restart"/>
            <w:vAlign w:val="center"/>
          </w:tcPr>
          <w:p w14:paraId="4B618C01"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25</w:t>
            </w:r>
          </w:p>
        </w:tc>
      </w:tr>
      <w:tr w:rsidR="003B155E" w:rsidRPr="00567E52" w14:paraId="07CB8206" w14:textId="77777777" w:rsidTr="000D79D6">
        <w:trPr>
          <w:jc w:val="center"/>
        </w:trPr>
        <w:tc>
          <w:tcPr>
            <w:tcW w:w="670" w:type="pct"/>
            <w:vMerge w:val="restart"/>
            <w:vAlign w:val="center"/>
          </w:tcPr>
          <w:p w14:paraId="07CE6564"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NH</w:t>
            </w:r>
            <w:r w:rsidRPr="00567E52">
              <w:rPr>
                <w:rFonts w:ascii="Times New Roman" w:eastAsia="Times New Roman" w:hAnsi="Times New Roman" w:cs="Times New Roman"/>
                <w:bCs/>
                <w:spacing w:val="2"/>
                <w:kern w:val="0"/>
                <w:vertAlign w:val="subscript"/>
                <w14:ligatures w14:val="none"/>
              </w:rPr>
              <w:t>3</w:t>
            </w:r>
          </w:p>
        </w:tc>
        <w:tc>
          <w:tcPr>
            <w:tcW w:w="1672" w:type="pct"/>
            <w:vAlign w:val="center"/>
          </w:tcPr>
          <w:p w14:paraId="1414581D"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Rendering, yağ eritme, kan ve/veya tüy işleme (</w:t>
            </w:r>
            <w:r w:rsidRPr="00567E52">
              <w:rPr>
                <w:rFonts w:ascii="Times New Roman" w:eastAsia="Times New Roman" w:hAnsi="Times New Roman" w:cs="Times New Roman"/>
                <w:bCs/>
                <w:spacing w:val="2"/>
                <w:kern w:val="0"/>
                <w:vertAlign w:val="superscript"/>
                <w14:ligatures w14:val="none"/>
              </w:rPr>
              <w:t>2</w:t>
            </w:r>
            <w:r w:rsidRPr="00567E52">
              <w:rPr>
                <w:rFonts w:ascii="Times New Roman" w:eastAsia="Times New Roman" w:hAnsi="Times New Roman" w:cs="Times New Roman"/>
                <w:bCs/>
                <w:spacing w:val="2"/>
                <w:kern w:val="0"/>
                <w14:ligatures w14:val="none"/>
              </w:rPr>
              <w:t>)</w:t>
            </w:r>
          </w:p>
        </w:tc>
        <w:tc>
          <w:tcPr>
            <w:tcW w:w="999" w:type="pct"/>
            <w:vMerge w:val="restart"/>
            <w:vAlign w:val="center"/>
          </w:tcPr>
          <w:p w14:paraId="6B851F82"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ISO 21877</w:t>
            </w:r>
          </w:p>
        </w:tc>
        <w:tc>
          <w:tcPr>
            <w:tcW w:w="853" w:type="pct"/>
            <w:vMerge/>
            <w:vAlign w:val="center"/>
          </w:tcPr>
          <w:p w14:paraId="6D16A94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1969B82E"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3012A1B2" w14:textId="77777777" w:rsidTr="000D79D6">
        <w:trPr>
          <w:jc w:val="center"/>
        </w:trPr>
        <w:tc>
          <w:tcPr>
            <w:tcW w:w="670" w:type="pct"/>
            <w:vMerge/>
            <w:vAlign w:val="center"/>
          </w:tcPr>
          <w:p w14:paraId="2547D455"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4FA9848A"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Yoğunlaştırılamayan gazlar da dahil olmak üzere kötü kokulu gazların yanması (örneğin termal oksitleyicilerde veya buhar kazanlarında).</w:t>
            </w:r>
          </w:p>
        </w:tc>
        <w:tc>
          <w:tcPr>
            <w:tcW w:w="999" w:type="pct"/>
            <w:vMerge/>
            <w:vAlign w:val="center"/>
          </w:tcPr>
          <w:p w14:paraId="354E7CC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1F166FB5"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3AC8452D"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18F17E7D" w14:textId="77777777" w:rsidTr="000D79D6">
        <w:trPr>
          <w:jc w:val="center"/>
        </w:trPr>
        <w:tc>
          <w:tcPr>
            <w:tcW w:w="670" w:type="pct"/>
            <w:vMerge/>
            <w:vAlign w:val="center"/>
          </w:tcPr>
          <w:p w14:paraId="55D1F50A"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72B2767E"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Merge/>
            <w:vAlign w:val="center"/>
          </w:tcPr>
          <w:p w14:paraId="4378B543"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08CE9DFD"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798FB3CB"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77ED9821" w14:textId="77777777" w:rsidTr="000D79D6">
        <w:trPr>
          <w:jc w:val="center"/>
        </w:trPr>
        <w:tc>
          <w:tcPr>
            <w:tcW w:w="670" w:type="pct"/>
            <w:vMerge w:val="restart"/>
            <w:vAlign w:val="center"/>
          </w:tcPr>
          <w:p w14:paraId="038E521D"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w:t>
            </w:r>
            <w:r w:rsidR="009D570E">
              <w:rPr>
                <w:rFonts w:ascii="Times New Roman" w:eastAsia="Times New Roman" w:hAnsi="Times New Roman" w:cs="Times New Roman"/>
                <w:bCs/>
                <w:spacing w:val="2"/>
                <w:kern w:val="0"/>
                <w14:ligatures w14:val="none"/>
              </w:rPr>
              <w:t>UOB</w:t>
            </w:r>
          </w:p>
        </w:tc>
        <w:tc>
          <w:tcPr>
            <w:tcW w:w="1672" w:type="pct"/>
            <w:vAlign w:val="center"/>
          </w:tcPr>
          <w:p w14:paraId="05F0C7B4"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Rendering, yağ eritme, kan ve/veya tüy işleme (</w:t>
            </w:r>
            <w:r w:rsidRPr="00567E52">
              <w:rPr>
                <w:rFonts w:ascii="Times New Roman" w:eastAsia="Times New Roman" w:hAnsi="Times New Roman" w:cs="Times New Roman"/>
                <w:bCs/>
                <w:spacing w:val="2"/>
                <w:kern w:val="0"/>
                <w:vertAlign w:val="superscript"/>
                <w14:ligatures w14:val="none"/>
              </w:rPr>
              <w:t>2</w:t>
            </w:r>
            <w:r w:rsidRPr="00567E52">
              <w:rPr>
                <w:rFonts w:ascii="Times New Roman" w:eastAsia="Times New Roman" w:hAnsi="Times New Roman" w:cs="Times New Roman"/>
                <w:bCs/>
                <w:spacing w:val="2"/>
                <w:kern w:val="0"/>
                <w14:ligatures w14:val="none"/>
              </w:rPr>
              <w:t>)</w:t>
            </w:r>
          </w:p>
        </w:tc>
        <w:tc>
          <w:tcPr>
            <w:tcW w:w="999" w:type="pct"/>
            <w:vMerge w:val="restart"/>
            <w:vAlign w:val="center"/>
          </w:tcPr>
          <w:p w14:paraId="0129FB78"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12619</w:t>
            </w:r>
          </w:p>
        </w:tc>
        <w:tc>
          <w:tcPr>
            <w:tcW w:w="853" w:type="pct"/>
            <w:vMerge/>
            <w:vAlign w:val="center"/>
          </w:tcPr>
          <w:p w14:paraId="42A0CB1D"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restart"/>
            <w:vAlign w:val="center"/>
          </w:tcPr>
          <w:p w14:paraId="2D9CEAEF"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25</w:t>
            </w:r>
          </w:p>
        </w:tc>
      </w:tr>
      <w:tr w:rsidR="003B155E" w:rsidRPr="00567E52" w14:paraId="71BBAACD" w14:textId="77777777" w:rsidTr="000D79D6">
        <w:trPr>
          <w:jc w:val="center"/>
        </w:trPr>
        <w:tc>
          <w:tcPr>
            <w:tcW w:w="670" w:type="pct"/>
            <w:vMerge/>
            <w:vAlign w:val="center"/>
          </w:tcPr>
          <w:p w14:paraId="70F22ADD"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15634A50"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Yoğunlaştırılamayan gazlar da dahil olmak üzere kötü kokulu gazların yanması (örneğin termal oksitleyicilerde veya buhar kazanlarında).</w:t>
            </w:r>
          </w:p>
        </w:tc>
        <w:tc>
          <w:tcPr>
            <w:tcW w:w="999" w:type="pct"/>
            <w:vMerge/>
            <w:vAlign w:val="center"/>
          </w:tcPr>
          <w:p w14:paraId="1D26937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6BF3084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659073E9"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67C627EA" w14:textId="77777777" w:rsidTr="000D79D6">
        <w:trPr>
          <w:jc w:val="center"/>
        </w:trPr>
        <w:tc>
          <w:tcPr>
            <w:tcW w:w="670" w:type="pct"/>
            <w:vMerge/>
            <w:vAlign w:val="center"/>
          </w:tcPr>
          <w:p w14:paraId="47946FA9"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248C8388"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Merge/>
            <w:vAlign w:val="center"/>
          </w:tcPr>
          <w:p w14:paraId="3D9EC9C7"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0FAFBB2D"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63AC65B1"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7C7023DD" w14:textId="77777777" w:rsidTr="000D79D6">
        <w:trPr>
          <w:jc w:val="center"/>
        </w:trPr>
        <w:tc>
          <w:tcPr>
            <w:tcW w:w="670" w:type="pct"/>
            <w:vMerge w:val="restart"/>
            <w:vAlign w:val="center"/>
          </w:tcPr>
          <w:p w14:paraId="37F63C7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Koku Konsantrasyonu</w:t>
            </w:r>
          </w:p>
        </w:tc>
        <w:tc>
          <w:tcPr>
            <w:tcW w:w="1672" w:type="pct"/>
            <w:vAlign w:val="center"/>
          </w:tcPr>
          <w:p w14:paraId="7C7954E6"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Mezbahalar (</w:t>
            </w:r>
            <w:r w:rsidRPr="00567E52">
              <w:rPr>
                <w:rFonts w:ascii="Times New Roman" w:eastAsia="Times New Roman" w:hAnsi="Times New Roman" w:cs="Times New Roman"/>
                <w:bCs/>
                <w:spacing w:val="2"/>
                <w:kern w:val="0"/>
                <w:vertAlign w:val="superscript"/>
                <w14:ligatures w14:val="none"/>
              </w:rPr>
              <w:t>3</w:t>
            </w:r>
            <w:r w:rsidRPr="00567E52">
              <w:rPr>
                <w:rFonts w:ascii="Times New Roman" w:eastAsia="Times New Roman" w:hAnsi="Times New Roman" w:cs="Times New Roman"/>
                <w:bCs/>
                <w:spacing w:val="2"/>
                <w:kern w:val="0"/>
                <w14:ligatures w14:val="none"/>
              </w:rPr>
              <w:t>) (</w:t>
            </w:r>
            <w:r w:rsidRPr="00567E52">
              <w:rPr>
                <w:rFonts w:ascii="Times New Roman" w:eastAsia="Times New Roman" w:hAnsi="Times New Roman" w:cs="Times New Roman"/>
                <w:bCs/>
                <w:spacing w:val="2"/>
                <w:kern w:val="0"/>
                <w:vertAlign w:val="superscript"/>
                <w14:ligatures w14:val="none"/>
              </w:rPr>
              <w:t>4</w:t>
            </w:r>
            <w:r w:rsidRPr="00567E52">
              <w:rPr>
                <w:rFonts w:ascii="Times New Roman" w:eastAsia="Times New Roman" w:hAnsi="Times New Roman" w:cs="Times New Roman"/>
                <w:bCs/>
                <w:spacing w:val="2"/>
                <w:kern w:val="0"/>
                <w14:ligatures w14:val="none"/>
              </w:rPr>
              <w:t>)</w:t>
            </w:r>
          </w:p>
        </w:tc>
        <w:tc>
          <w:tcPr>
            <w:tcW w:w="999" w:type="pct"/>
            <w:vMerge w:val="restart"/>
            <w:vAlign w:val="center"/>
          </w:tcPr>
          <w:p w14:paraId="55BAEEF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13725</w:t>
            </w:r>
          </w:p>
        </w:tc>
        <w:tc>
          <w:tcPr>
            <w:tcW w:w="853" w:type="pct"/>
            <w:vMerge/>
            <w:vAlign w:val="center"/>
          </w:tcPr>
          <w:p w14:paraId="7F6D8942"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2837B6E4"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65E8C63F" w14:textId="77777777" w:rsidTr="000D79D6">
        <w:trPr>
          <w:jc w:val="center"/>
        </w:trPr>
        <w:tc>
          <w:tcPr>
            <w:tcW w:w="670" w:type="pct"/>
            <w:vMerge/>
            <w:vAlign w:val="center"/>
          </w:tcPr>
          <w:p w14:paraId="751CC9B9"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6C73A289"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 (</w:t>
            </w:r>
            <w:r w:rsidRPr="00567E52">
              <w:rPr>
                <w:rFonts w:ascii="Times New Roman" w:eastAsia="Times New Roman" w:hAnsi="Times New Roman" w:cs="Times New Roman"/>
                <w:bCs/>
                <w:spacing w:val="2"/>
                <w:kern w:val="0"/>
                <w:vertAlign w:val="superscript"/>
                <w14:ligatures w14:val="none"/>
              </w:rPr>
              <w:t>3</w:t>
            </w:r>
            <w:r w:rsidRPr="00567E52">
              <w:rPr>
                <w:rFonts w:ascii="Times New Roman" w:eastAsia="Times New Roman" w:hAnsi="Times New Roman" w:cs="Times New Roman"/>
                <w:bCs/>
                <w:spacing w:val="2"/>
                <w:kern w:val="0"/>
                <w14:ligatures w14:val="none"/>
              </w:rPr>
              <w:t>)</w:t>
            </w:r>
          </w:p>
        </w:tc>
        <w:tc>
          <w:tcPr>
            <w:tcW w:w="999" w:type="pct"/>
            <w:vMerge/>
            <w:vAlign w:val="center"/>
          </w:tcPr>
          <w:p w14:paraId="2B2F440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4F5092EF"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6121B9FB"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18CD6AE5" w14:textId="77777777" w:rsidTr="000D79D6">
        <w:trPr>
          <w:jc w:val="center"/>
        </w:trPr>
        <w:tc>
          <w:tcPr>
            <w:tcW w:w="670" w:type="pct"/>
            <w:vMerge/>
            <w:vAlign w:val="center"/>
          </w:tcPr>
          <w:p w14:paraId="2E0A4697"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5B42D151"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Jelatin üretimi (</w:t>
            </w:r>
            <w:r w:rsidRPr="00567E52">
              <w:rPr>
                <w:rFonts w:ascii="Times New Roman" w:eastAsia="Times New Roman" w:hAnsi="Times New Roman" w:cs="Times New Roman"/>
                <w:bCs/>
                <w:spacing w:val="2"/>
                <w:kern w:val="0"/>
                <w:vertAlign w:val="superscript"/>
                <w14:ligatures w14:val="none"/>
              </w:rPr>
              <w:t>3</w:t>
            </w:r>
            <w:r w:rsidRPr="00567E52">
              <w:rPr>
                <w:rFonts w:ascii="Times New Roman" w:eastAsia="Times New Roman" w:hAnsi="Times New Roman" w:cs="Times New Roman"/>
                <w:bCs/>
                <w:spacing w:val="2"/>
                <w:kern w:val="0"/>
                <w14:ligatures w14:val="none"/>
              </w:rPr>
              <w:t>)</w:t>
            </w:r>
          </w:p>
        </w:tc>
        <w:tc>
          <w:tcPr>
            <w:tcW w:w="999" w:type="pct"/>
            <w:vMerge/>
            <w:vAlign w:val="center"/>
          </w:tcPr>
          <w:p w14:paraId="2D64EEB0"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14259CBF"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Align w:val="center"/>
          </w:tcPr>
          <w:p w14:paraId="01FB17D1"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61F37E35" w14:textId="77777777" w:rsidTr="000D79D6">
        <w:trPr>
          <w:jc w:val="center"/>
        </w:trPr>
        <w:tc>
          <w:tcPr>
            <w:tcW w:w="670" w:type="pct"/>
            <w:vMerge/>
            <w:vAlign w:val="center"/>
          </w:tcPr>
          <w:p w14:paraId="1B8A8EFD"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2D9C4871"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Balık unu ve balık yağı üretimi (</w:t>
            </w:r>
            <w:r w:rsidRPr="00567E52">
              <w:rPr>
                <w:rFonts w:ascii="Times New Roman" w:eastAsia="Times New Roman" w:hAnsi="Times New Roman" w:cs="Times New Roman"/>
                <w:bCs/>
                <w:spacing w:val="2"/>
                <w:kern w:val="0"/>
                <w:vertAlign w:val="superscript"/>
                <w14:ligatures w14:val="none"/>
              </w:rPr>
              <w:t>3</w:t>
            </w:r>
            <w:r w:rsidRPr="00567E52">
              <w:rPr>
                <w:rFonts w:ascii="Times New Roman" w:eastAsia="Times New Roman" w:hAnsi="Times New Roman" w:cs="Times New Roman"/>
                <w:bCs/>
                <w:spacing w:val="2"/>
                <w:kern w:val="0"/>
                <w14:ligatures w14:val="none"/>
              </w:rPr>
              <w:t>)</w:t>
            </w:r>
          </w:p>
        </w:tc>
        <w:tc>
          <w:tcPr>
            <w:tcW w:w="999" w:type="pct"/>
            <w:vMerge/>
            <w:vAlign w:val="center"/>
          </w:tcPr>
          <w:p w14:paraId="5F93EA4B"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489037E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restart"/>
            <w:vAlign w:val="center"/>
          </w:tcPr>
          <w:p w14:paraId="5FBC9D82"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MET 25</w:t>
            </w:r>
          </w:p>
        </w:tc>
      </w:tr>
      <w:tr w:rsidR="003B155E" w:rsidRPr="00567E52" w14:paraId="25A00A2C" w14:textId="77777777" w:rsidTr="000D79D6">
        <w:trPr>
          <w:jc w:val="center"/>
        </w:trPr>
        <w:tc>
          <w:tcPr>
            <w:tcW w:w="670" w:type="pct"/>
            <w:vMerge/>
            <w:vAlign w:val="center"/>
          </w:tcPr>
          <w:p w14:paraId="553DAC5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1672" w:type="pct"/>
            <w:vAlign w:val="center"/>
          </w:tcPr>
          <w:p w14:paraId="3A0A6851"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Rendering, yağ eritme, kan ve/veya tüy işleme (</w:t>
            </w:r>
            <w:r w:rsidRPr="00567E52">
              <w:rPr>
                <w:rFonts w:ascii="Times New Roman" w:eastAsia="Times New Roman" w:hAnsi="Times New Roman" w:cs="Times New Roman"/>
                <w:bCs/>
                <w:spacing w:val="2"/>
                <w:kern w:val="0"/>
                <w:vertAlign w:val="superscript"/>
                <w14:ligatures w14:val="none"/>
              </w:rPr>
              <w:t>3</w:t>
            </w:r>
            <w:r w:rsidRPr="00567E52">
              <w:rPr>
                <w:rFonts w:ascii="Times New Roman" w:eastAsia="Times New Roman" w:hAnsi="Times New Roman" w:cs="Times New Roman"/>
                <w:bCs/>
                <w:spacing w:val="2"/>
                <w:kern w:val="0"/>
                <w14:ligatures w14:val="none"/>
              </w:rPr>
              <w:t>)</w:t>
            </w:r>
          </w:p>
        </w:tc>
        <w:tc>
          <w:tcPr>
            <w:tcW w:w="999" w:type="pct"/>
            <w:vMerge/>
            <w:vAlign w:val="center"/>
          </w:tcPr>
          <w:p w14:paraId="3C50C0EB"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53" w:type="pct"/>
            <w:vMerge/>
            <w:vAlign w:val="center"/>
          </w:tcPr>
          <w:p w14:paraId="0105DAE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58AAA59B"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4CECAFFD" w14:textId="77777777" w:rsidTr="000D79D6">
        <w:trPr>
          <w:jc w:val="center"/>
        </w:trPr>
        <w:tc>
          <w:tcPr>
            <w:tcW w:w="670" w:type="pct"/>
            <w:vAlign w:val="center"/>
          </w:tcPr>
          <w:p w14:paraId="07B2F748"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HCl</w:t>
            </w:r>
          </w:p>
        </w:tc>
        <w:tc>
          <w:tcPr>
            <w:tcW w:w="1672" w:type="pct"/>
            <w:vMerge w:val="restart"/>
            <w:vAlign w:val="center"/>
          </w:tcPr>
          <w:p w14:paraId="77C52898"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Karkasların yakılması</w:t>
            </w:r>
          </w:p>
        </w:tc>
        <w:tc>
          <w:tcPr>
            <w:tcW w:w="999" w:type="pct"/>
            <w:vAlign w:val="center"/>
          </w:tcPr>
          <w:p w14:paraId="61B34C33"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1911</w:t>
            </w:r>
          </w:p>
        </w:tc>
        <w:tc>
          <w:tcPr>
            <w:tcW w:w="853" w:type="pct"/>
            <w:vMerge/>
            <w:vAlign w:val="center"/>
          </w:tcPr>
          <w:p w14:paraId="367F1978"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restart"/>
            <w:vAlign w:val="center"/>
          </w:tcPr>
          <w:p w14:paraId="4500DB5F"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r w:rsidRPr="00567E52">
              <w:rPr>
                <w:rFonts w:ascii="Times New Roman" w:eastAsia="Times New Roman" w:hAnsi="Times New Roman" w:cs="Times New Roman"/>
                <w:spacing w:val="2"/>
                <w:kern w:val="0"/>
                <w14:ligatures w14:val="none"/>
              </w:rPr>
              <w:t>-</w:t>
            </w:r>
          </w:p>
        </w:tc>
      </w:tr>
      <w:tr w:rsidR="003B155E" w:rsidRPr="00567E52" w14:paraId="5A8CE3F7" w14:textId="77777777" w:rsidTr="000D79D6">
        <w:trPr>
          <w:jc w:val="center"/>
        </w:trPr>
        <w:tc>
          <w:tcPr>
            <w:tcW w:w="670" w:type="pct"/>
            <w:vAlign w:val="center"/>
          </w:tcPr>
          <w:p w14:paraId="2F286D0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HF</w:t>
            </w:r>
          </w:p>
        </w:tc>
        <w:tc>
          <w:tcPr>
            <w:tcW w:w="1672" w:type="pct"/>
            <w:vMerge/>
            <w:vAlign w:val="center"/>
          </w:tcPr>
          <w:p w14:paraId="3CEA8F03"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p>
        </w:tc>
        <w:tc>
          <w:tcPr>
            <w:tcW w:w="999" w:type="pct"/>
            <w:vAlign w:val="center"/>
          </w:tcPr>
          <w:p w14:paraId="0D7D4327"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EN standardı mevcut değil</w:t>
            </w:r>
          </w:p>
        </w:tc>
        <w:tc>
          <w:tcPr>
            <w:tcW w:w="853" w:type="pct"/>
            <w:vMerge/>
            <w:vAlign w:val="center"/>
          </w:tcPr>
          <w:p w14:paraId="1985F993"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43C43E0A"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57E13454" w14:textId="77777777" w:rsidTr="000D79D6">
        <w:trPr>
          <w:jc w:val="center"/>
        </w:trPr>
        <w:tc>
          <w:tcPr>
            <w:tcW w:w="670" w:type="pct"/>
            <w:vAlign w:val="center"/>
          </w:tcPr>
          <w:p w14:paraId="6A126EDE"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Hg</w:t>
            </w:r>
          </w:p>
        </w:tc>
        <w:tc>
          <w:tcPr>
            <w:tcW w:w="1672" w:type="pct"/>
            <w:vMerge/>
            <w:vAlign w:val="center"/>
          </w:tcPr>
          <w:p w14:paraId="60342951"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p>
        </w:tc>
        <w:tc>
          <w:tcPr>
            <w:tcW w:w="999" w:type="pct"/>
            <w:vAlign w:val="center"/>
          </w:tcPr>
          <w:p w14:paraId="4C21ED21"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13211</w:t>
            </w:r>
          </w:p>
        </w:tc>
        <w:tc>
          <w:tcPr>
            <w:tcW w:w="853" w:type="pct"/>
            <w:vMerge/>
            <w:vAlign w:val="center"/>
          </w:tcPr>
          <w:p w14:paraId="4C92E99F"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3B196269"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5BB95104" w14:textId="77777777" w:rsidTr="000D79D6">
        <w:trPr>
          <w:jc w:val="center"/>
        </w:trPr>
        <w:tc>
          <w:tcPr>
            <w:tcW w:w="670" w:type="pct"/>
            <w:vAlign w:val="center"/>
          </w:tcPr>
          <w:p w14:paraId="75A160B7"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Cıva hariç metaller ve metaloidler (As, Cd, Co, Cr, Cu, Mn, Ni, Pb, Sb, Tl, V)</w:t>
            </w:r>
          </w:p>
        </w:tc>
        <w:tc>
          <w:tcPr>
            <w:tcW w:w="1672" w:type="pct"/>
            <w:vMerge/>
            <w:vAlign w:val="center"/>
          </w:tcPr>
          <w:p w14:paraId="4B084364"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p>
        </w:tc>
        <w:tc>
          <w:tcPr>
            <w:tcW w:w="999" w:type="pct"/>
            <w:vAlign w:val="center"/>
          </w:tcPr>
          <w:p w14:paraId="170E375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14385</w:t>
            </w:r>
          </w:p>
        </w:tc>
        <w:tc>
          <w:tcPr>
            <w:tcW w:w="853" w:type="pct"/>
            <w:vMerge/>
            <w:vAlign w:val="center"/>
          </w:tcPr>
          <w:p w14:paraId="176E8AB5"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06CC03C5"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52522BCF" w14:textId="77777777" w:rsidTr="000D79D6">
        <w:trPr>
          <w:jc w:val="center"/>
        </w:trPr>
        <w:tc>
          <w:tcPr>
            <w:tcW w:w="670" w:type="pct"/>
            <w:vAlign w:val="center"/>
          </w:tcPr>
          <w:p w14:paraId="6F65E5FC"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PCDD/F</w:t>
            </w:r>
          </w:p>
        </w:tc>
        <w:tc>
          <w:tcPr>
            <w:tcW w:w="1672" w:type="pct"/>
            <w:vMerge/>
            <w:vAlign w:val="center"/>
          </w:tcPr>
          <w:p w14:paraId="3334E517"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p>
        </w:tc>
        <w:tc>
          <w:tcPr>
            <w:tcW w:w="999" w:type="pct"/>
            <w:vAlign w:val="center"/>
          </w:tcPr>
          <w:p w14:paraId="0F45769B"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bCs/>
                <w:spacing w:val="2"/>
                <w:kern w:val="0"/>
                <w14:ligatures w14:val="none"/>
              </w:rPr>
              <w:t>TS EN 1948-1, TS EN 1948-2, TS EN 1948-3</w:t>
            </w:r>
          </w:p>
        </w:tc>
        <w:tc>
          <w:tcPr>
            <w:tcW w:w="853" w:type="pct"/>
            <w:vAlign w:val="center"/>
          </w:tcPr>
          <w:p w14:paraId="76E3C437" w14:textId="77777777" w:rsidR="003B155E" w:rsidRPr="00567E52"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806" w:type="pct"/>
            <w:vMerge/>
            <w:vAlign w:val="center"/>
          </w:tcPr>
          <w:p w14:paraId="1AEB5CC2" w14:textId="77777777" w:rsidR="003B155E" w:rsidRPr="00567E52" w:rsidRDefault="003B155E" w:rsidP="000D79D6">
            <w:pPr>
              <w:spacing w:after="0" w:line="240" w:lineRule="auto"/>
              <w:jc w:val="center"/>
              <w:rPr>
                <w:rFonts w:ascii="Times New Roman" w:eastAsia="Times New Roman" w:hAnsi="Times New Roman" w:cs="Times New Roman"/>
                <w:spacing w:val="2"/>
                <w:kern w:val="0"/>
                <w14:ligatures w14:val="none"/>
              </w:rPr>
            </w:pPr>
          </w:p>
        </w:tc>
      </w:tr>
      <w:tr w:rsidR="003B155E" w:rsidRPr="00567E52" w14:paraId="2739F592" w14:textId="77777777" w:rsidTr="000D79D6">
        <w:trPr>
          <w:trHeight w:val="371"/>
          <w:jc w:val="center"/>
        </w:trPr>
        <w:tc>
          <w:tcPr>
            <w:tcW w:w="5000" w:type="pct"/>
            <w:gridSpan w:val="5"/>
            <w:vAlign w:val="center"/>
          </w:tcPr>
          <w:p w14:paraId="356779EB" w14:textId="77777777" w:rsidR="003B155E" w:rsidRPr="00567E52" w:rsidRDefault="003B155E" w:rsidP="000D79D6">
            <w:pPr>
              <w:spacing w:after="0" w:line="240" w:lineRule="auto"/>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(1) Ölçümler, normal çalışma koşulları altında beklenen en yüksek emisyon durumunda gerçekleştirilir.</w:t>
            </w:r>
          </w:p>
          <w:p w14:paraId="5DBCFE6B" w14:textId="77777777" w:rsidR="003B155E" w:rsidRPr="00567E52" w:rsidRDefault="003B155E" w:rsidP="000D79D6">
            <w:pPr>
              <w:spacing w:after="0" w:line="240" w:lineRule="auto"/>
              <w:rPr>
                <w:rFonts w:ascii="Times New Roman" w:eastAsia="Times New Roman" w:hAnsi="Times New Roman" w:cs="Times New Roman"/>
                <w:spacing w:val="2"/>
                <w:kern w:val="0"/>
                <w:sz w:val="20"/>
                <w:szCs w:val="20"/>
                <w14:ligatures w14:val="none"/>
              </w:rPr>
            </w:pPr>
            <w:r w:rsidRPr="00567E52">
              <w:rPr>
                <w:rFonts w:ascii="Times New Roman" w:eastAsia="Times New Roman" w:hAnsi="Times New Roman" w:cs="Times New Roman"/>
                <w:spacing w:val="2"/>
                <w:kern w:val="0"/>
                <w:sz w:val="20"/>
                <w:szCs w:val="20"/>
                <w14:ligatures w14:val="none"/>
              </w:rPr>
              <w:t>(2) İzleme, yalnızca MET 2'de belirtilen girdi ve çıktıların envanterine dayalı olarak atık gaz akışında H</w:t>
            </w:r>
            <w:r w:rsidRPr="00567E52">
              <w:rPr>
                <w:rFonts w:ascii="Times New Roman" w:eastAsia="Times New Roman" w:hAnsi="Times New Roman" w:cs="Times New Roman"/>
                <w:spacing w:val="2"/>
                <w:kern w:val="0"/>
                <w:sz w:val="20"/>
                <w:szCs w:val="20"/>
                <w:vertAlign w:val="subscript"/>
                <w14:ligatures w14:val="none"/>
              </w:rPr>
              <w:t>2</w:t>
            </w:r>
            <w:r w:rsidRPr="00567E52">
              <w:rPr>
                <w:rFonts w:ascii="Times New Roman" w:eastAsia="Times New Roman" w:hAnsi="Times New Roman" w:cs="Times New Roman"/>
                <w:spacing w:val="2"/>
                <w:kern w:val="0"/>
                <w:sz w:val="20"/>
                <w:szCs w:val="20"/>
                <w14:ligatures w14:val="none"/>
              </w:rPr>
              <w:t>S’nin ilgili olarak tanımlanması durumunda geçerlidir.</w:t>
            </w:r>
          </w:p>
          <w:p w14:paraId="367924BD" w14:textId="77777777" w:rsidR="003B155E" w:rsidRPr="00567E52"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(3) Yoğuşmayan gazlar da dahil olmak üzere kötü kokulu gazların yakılmasını (örneğin termal oksitleyicilerde veya buhar kazanlarında) içerir.</w:t>
            </w:r>
          </w:p>
          <w:p w14:paraId="608346A4" w14:textId="77777777" w:rsidR="003B155E" w:rsidRPr="00567E52" w:rsidRDefault="003B155E" w:rsidP="000D79D6">
            <w:pPr>
              <w:spacing w:after="0" w:line="240" w:lineRule="auto"/>
              <w:rPr>
                <w:rFonts w:ascii="Times New Roman" w:eastAsia="Times New Roman" w:hAnsi="Times New Roman" w:cs="Times New Roman"/>
                <w:bCs/>
                <w:spacing w:val="2"/>
                <w:kern w:val="0"/>
                <w14:ligatures w14:val="none"/>
              </w:rPr>
            </w:pPr>
            <w:r w:rsidRPr="00567E52">
              <w:rPr>
                <w:rFonts w:ascii="Times New Roman" w:eastAsia="Times New Roman" w:hAnsi="Times New Roman" w:cs="Times New Roman"/>
                <w:spacing w:val="2"/>
                <w:kern w:val="0"/>
                <w:sz w:val="20"/>
                <w:szCs w:val="20"/>
                <w14:ligatures w14:val="none"/>
              </w:rPr>
              <w:t>(4) İzleme yalnızca MET 2’de belirtilen girdi ve çıktıların envanterine dayalı olarak atık gaz akışında kokunun ilgili olduğu tespit edildiğinde uygulanır.</w:t>
            </w:r>
          </w:p>
        </w:tc>
      </w:tr>
    </w:tbl>
    <w:p w14:paraId="758E9C68"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7B132EB9"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 xml:space="preserve">1.1.3. </w:t>
      </w:r>
      <w:r w:rsidRPr="00567E52">
        <w:rPr>
          <w:rFonts w:ascii="Times New Roman" w:eastAsia="Times New Roman" w:hAnsi="Times New Roman" w:cs="Times New Roman"/>
          <w:b/>
          <w:bCs/>
          <w:color w:val="000000"/>
          <w:kern w:val="0"/>
          <w:sz w:val="24"/>
          <w:szCs w:val="24"/>
          <w:lang w:eastAsia="tr-TR"/>
          <w14:ligatures w14:val="none"/>
        </w:rPr>
        <w:t>Enerji Verimliliği</w:t>
      </w:r>
    </w:p>
    <w:p w14:paraId="29F4739B"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color w:val="000000"/>
          <w:spacing w:val="2"/>
          <w:kern w:val="0"/>
          <w:sz w:val="24"/>
          <w:szCs w:val="24"/>
          <w14:ligatures w14:val="none"/>
        </w:rPr>
        <w:t xml:space="preserve">MET 9: </w:t>
      </w:r>
      <w:r w:rsidRPr="00567E52">
        <w:rPr>
          <w:rFonts w:ascii="Times New Roman" w:eastAsia="Times New Roman" w:hAnsi="Times New Roman" w:cs="Times New Roman"/>
          <w:color w:val="000000"/>
          <w:spacing w:val="2"/>
          <w:kern w:val="0"/>
          <w:sz w:val="24"/>
          <w:szCs w:val="24"/>
          <w14:ligatures w14:val="none"/>
        </w:rPr>
        <w:t>Enerji verimliliğini artırmak için, aşağıda verilen tekniklerin her ikisini de kullanılır.</w:t>
      </w:r>
    </w:p>
    <w:tbl>
      <w:tblPr>
        <w:tblStyle w:val="TabloKlavuzu9"/>
        <w:tblW w:w="5000" w:type="pct"/>
        <w:tblLook w:val="04A0" w:firstRow="1" w:lastRow="0" w:firstColumn="1" w:lastColumn="0" w:noHBand="0" w:noVBand="1"/>
      </w:tblPr>
      <w:tblGrid>
        <w:gridCol w:w="456"/>
        <w:gridCol w:w="1149"/>
        <w:gridCol w:w="3727"/>
        <w:gridCol w:w="3730"/>
      </w:tblGrid>
      <w:tr w:rsidR="003B155E" w:rsidRPr="00567E52" w14:paraId="75D5AF57" w14:textId="77777777" w:rsidTr="000D79D6">
        <w:tc>
          <w:tcPr>
            <w:tcW w:w="252" w:type="pct"/>
            <w:tcBorders>
              <w:right w:val="nil"/>
            </w:tcBorders>
          </w:tcPr>
          <w:p w14:paraId="2203D9A7" w14:textId="77777777" w:rsidR="003B155E" w:rsidRPr="00567E52" w:rsidRDefault="003B155E" w:rsidP="000D79D6">
            <w:pPr>
              <w:jc w:val="both"/>
              <w:rPr>
                <w:rFonts w:ascii="Times New Roman" w:hAnsi="Times New Roman" w:cs="Times New Roman"/>
                <w:color w:val="000000"/>
                <w:spacing w:val="2"/>
              </w:rPr>
            </w:pPr>
          </w:p>
        </w:tc>
        <w:tc>
          <w:tcPr>
            <w:tcW w:w="628" w:type="pct"/>
            <w:tcBorders>
              <w:left w:val="nil"/>
            </w:tcBorders>
          </w:tcPr>
          <w:p w14:paraId="08C19511"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eknik</w:t>
            </w:r>
          </w:p>
        </w:tc>
        <w:tc>
          <w:tcPr>
            <w:tcW w:w="2060" w:type="pct"/>
          </w:tcPr>
          <w:p w14:paraId="058065E7"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anım</w:t>
            </w:r>
          </w:p>
        </w:tc>
        <w:tc>
          <w:tcPr>
            <w:tcW w:w="2060" w:type="pct"/>
          </w:tcPr>
          <w:p w14:paraId="29D1EF4A"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U</w:t>
            </w:r>
            <w:r w:rsidRPr="00567E52">
              <w:rPr>
                <w:rFonts w:ascii="Times New Roman" w:hAnsi="Times New Roman" w:cs="Times New Roman"/>
                <w:spacing w:val="2"/>
              </w:rPr>
              <w:t>ygulanabilirlik</w:t>
            </w:r>
          </w:p>
        </w:tc>
      </w:tr>
      <w:tr w:rsidR="003B155E" w:rsidRPr="00567E52" w14:paraId="3F0BFA0A" w14:textId="77777777" w:rsidTr="000D79D6">
        <w:tc>
          <w:tcPr>
            <w:tcW w:w="252" w:type="pct"/>
          </w:tcPr>
          <w:p w14:paraId="21B4850F"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a)</w:t>
            </w:r>
          </w:p>
        </w:tc>
        <w:tc>
          <w:tcPr>
            <w:tcW w:w="628" w:type="pct"/>
          </w:tcPr>
          <w:p w14:paraId="25614C05"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Enerji verimliliği planı ve denetimleri</w:t>
            </w:r>
          </w:p>
        </w:tc>
        <w:tc>
          <w:tcPr>
            <w:tcW w:w="2060" w:type="pct"/>
          </w:tcPr>
          <w:p w14:paraId="20AE1ECE" w14:textId="77777777" w:rsidR="003B155E" w:rsidRPr="00567E52" w:rsidRDefault="003B155E" w:rsidP="000D79D6">
            <w:pPr>
              <w:jc w:val="both"/>
              <w:rPr>
                <w:rFonts w:ascii="Times New Roman" w:hAnsi="Times New Roman" w:cs="Times New Roman"/>
                <w:spacing w:val="2"/>
              </w:rPr>
            </w:pPr>
            <w:r w:rsidRPr="00567E52">
              <w:rPr>
                <w:rFonts w:ascii="Times New Roman" w:hAnsi="Times New Roman" w:cs="Times New Roman"/>
                <w:spacing w:val="2"/>
              </w:rPr>
              <w:t>Enerji verimliliği planı çevre yönetim sisteminin bir parçasıdır (bkz. MET 1) ve faaliyetin (veya faaliyetlerin) spesifik enerji tüketiminin tanımlanmasını ve hesaplanmasını, yıllık bazda kilit performans göstergelerinin belirlenmesini (örneğin spesifik enerji tüketimi için) ve periyodik iyileştirme hedeflerinin ve ilgili eylemlerin planlanmasını gerektirir.</w:t>
            </w:r>
          </w:p>
          <w:p w14:paraId="52E08726"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Enerji verimliliği planının hedeflerine ulaşıldığından ve enerji denetimlerinin tavsiyelerinin takip edilip uygulandığından emin olmak için her yıl en az bir kez denetimler gerçekleştirilir.</w:t>
            </w:r>
          </w:p>
        </w:tc>
        <w:tc>
          <w:tcPr>
            <w:tcW w:w="2060" w:type="pct"/>
          </w:tcPr>
          <w:p w14:paraId="0AAD8D22" w14:textId="77777777" w:rsidR="003B155E" w:rsidRPr="00567E52" w:rsidRDefault="003B155E" w:rsidP="000D79D6">
            <w:pPr>
              <w:jc w:val="both"/>
              <w:rPr>
                <w:rFonts w:ascii="Times New Roman" w:hAnsi="Times New Roman" w:cs="Times New Roman"/>
                <w:spacing w:val="2"/>
              </w:rPr>
            </w:pPr>
            <w:r w:rsidRPr="00567E52">
              <w:rPr>
                <w:rFonts w:ascii="Times New Roman" w:hAnsi="Times New Roman" w:cs="Times New Roman"/>
                <w:spacing w:val="2"/>
              </w:rPr>
              <w:t>Enerji verimliliği planının ve denetimlerinin ayrıntı düzeyi genellikle tesisin niteliği, ölçeği ve karmaşıklığı ile ilgili olacaktır.</w:t>
            </w:r>
          </w:p>
        </w:tc>
      </w:tr>
      <w:tr w:rsidR="003B155E" w:rsidRPr="00567E52" w14:paraId="1EAC90D3" w14:textId="77777777" w:rsidTr="000D79D6">
        <w:tc>
          <w:tcPr>
            <w:tcW w:w="252" w:type="pct"/>
          </w:tcPr>
          <w:p w14:paraId="49841D4F"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b)</w:t>
            </w:r>
          </w:p>
        </w:tc>
        <w:tc>
          <w:tcPr>
            <w:tcW w:w="628" w:type="pct"/>
          </w:tcPr>
          <w:p w14:paraId="6C654B12"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Genel enerji tasarrufu teknikleri</w:t>
            </w:r>
          </w:p>
        </w:tc>
        <w:tc>
          <w:tcPr>
            <w:tcW w:w="2060" w:type="pct"/>
          </w:tcPr>
          <w:p w14:paraId="04FDD68C" w14:textId="77777777" w:rsidR="003B155E" w:rsidRPr="00567E52" w:rsidRDefault="003B155E" w:rsidP="000D79D6">
            <w:pPr>
              <w:ind w:left="33"/>
              <w:jc w:val="both"/>
              <w:rPr>
                <w:rFonts w:ascii="Times New Roman" w:hAnsi="Times New Roman" w:cs="Times New Roman"/>
                <w:spacing w:val="2"/>
              </w:rPr>
            </w:pPr>
            <w:r w:rsidRPr="00567E52">
              <w:rPr>
                <w:rFonts w:ascii="Times New Roman" w:hAnsi="Times New Roman" w:cs="Times New Roman"/>
                <w:spacing w:val="2"/>
              </w:rPr>
              <w:t>Bunlar aşağıdaki gibi teknikleri içerir:</w:t>
            </w:r>
          </w:p>
          <w:p w14:paraId="191C66A5"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ısı eşanjörleri ve/veya ısı pompaları ile ısı geri kazanımı;</w:t>
            </w:r>
          </w:p>
          <w:p w14:paraId="719A7ABD"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enerji tasarruflu motorlar;</w:t>
            </w:r>
          </w:p>
          <w:p w14:paraId="4E63AAB5"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motorlarda frekans dönüştürücüler;</w:t>
            </w:r>
          </w:p>
          <w:p w14:paraId="6098B9F1"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proses kontrol sistemleri;</w:t>
            </w:r>
          </w:p>
          <w:p w14:paraId="5E224ABC"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kombine ısı ve güç üretimi (kojenerasyon);</w:t>
            </w:r>
          </w:p>
          <w:p w14:paraId="6499F59F"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boruların, kapların ve diğer ekipmanların yalıtımı;</w:t>
            </w:r>
          </w:p>
          <w:p w14:paraId="0170C11D"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yanma düzenlemesi ve kontrolü;</w:t>
            </w:r>
          </w:p>
          <w:p w14:paraId="5DAD1BAC"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besleme suyunun ön ısıtılması (ekonomizer kullanımı dahil);</w:t>
            </w:r>
          </w:p>
          <w:p w14:paraId="550B80C8"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kazanların blöfünün en aza indirilmesi;</w:t>
            </w:r>
          </w:p>
          <w:p w14:paraId="35586228"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lastRenderedPageBreak/>
              <w:t>buhar dağıtım sistemlerinin optimize edilmesi;</w:t>
            </w:r>
          </w:p>
          <w:p w14:paraId="1ABA68C8"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basınçlı hava sistemi kaçaklarının azaltılması;</w:t>
            </w:r>
          </w:p>
          <w:p w14:paraId="7C5288BC"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aydınlatma yönetim sistemleri;</w:t>
            </w:r>
          </w:p>
          <w:p w14:paraId="05548A76"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enerji tasarruflu aydınlatma;</w:t>
            </w:r>
          </w:p>
          <w:p w14:paraId="17509594" w14:textId="77777777" w:rsidR="003B155E" w:rsidRPr="00567E52" w:rsidRDefault="003B155E" w:rsidP="003B155E">
            <w:pPr>
              <w:widowControl w:val="0"/>
              <w:numPr>
                <w:ilvl w:val="0"/>
                <w:numId w:val="103"/>
              </w:numPr>
              <w:ind w:left="458" w:hanging="425"/>
              <w:jc w:val="both"/>
              <w:rPr>
                <w:rFonts w:ascii="Times New Roman" w:hAnsi="Times New Roman" w:cs="Times New Roman"/>
                <w:spacing w:val="2"/>
              </w:rPr>
            </w:pPr>
            <w:r w:rsidRPr="00567E52">
              <w:rPr>
                <w:rFonts w:ascii="Times New Roman" w:hAnsi="Times New Roman" w:cs="Times New Roman"/>
                <w:spacing w:val="2"/>
              </w:rPr>
              <w:t>soğutma sistem(ler)inin tasarım ve işletiminin optimizasyonu.</w:t>
            </w:r>
          </w:p>
        </w:tc>
        <w:tc>
          <w:tcPr>
            <w:tcW w:w="2060" w:type="pct"/>
          </w:tcPr>
          <w:p w14:paraId="098717E6" w14:textId="77777777" w:rsidR="003B155E" w:rsidRPr="00567E52" w:rsidRDefault="003B155E" w:rsidP="000D79D6">
            <w:pPr>
              <w:ind w:left="33"/>
              <w:jc w:val="both"/>
              <w:rPr>
                <w:rFonts w:ascii="Times New Roman" w:hAnsi="Times New Roman" w:cs="Times New Roman"/>
                <w:spacing w:val="2"/>
              </w:rPr>
            </w:pPr>
            <w:r w:rsidRPr="00567E52">
              <w:rPr>
                <w:rFonts w:ascii="Times New Roman" w:hAnsi="Times New Roman" w:cs="Times New Roman"/>
                <w:spacing w:val="2"/>
              </w:rPr>
              <w:lastRenderedPageBreak/>
              <w:t>Kojenerasyonun mevcut tesislere uygulanabilirliği, uygun bir ısı talebi ve/veya tesis yerleşimi/alan yetersizliği ile kısıtlanabilir.</w:t>
            </w:r>
          </w:p>
        </w:tc>
      </w:tr>
    </w:tbl>
    <w:p w14:paraId="5D3C9FF4"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79D14168"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Enerji verimliliğini artırmak için sektöre özgü diğer teknikler, bu MET sonuçlarının Bölüm 1.2.1 ve Bölüm 1.3.1’inde verilmiştir.</w:t>
      </w:r>
    </w:p>
    <w:p w14:paraId="6BC736F4"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5494185D"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1.1.4. Su Tüketimi ve Atıksu Oluşumu</w:t>
      </w:r>
    </w:p>
    <w:p w14:paraId="50778D03" w14:textId="77777777" w:rsidR="003B155E" w:rsidRPr="00567E52" w:rsidRDefault="003B155E" w:rsidP="003B155E">
      <w:pPr>
        <w:spacing w:after="0" w:line="276" w:lineRule="auto"/>
        <w:jc w:val="both"/>
        <w:rPr>
          <w:rFonts w:ascii="Times New Roman" w:eastAsia="Times New Roman" w:hAnsi="Times New Roman" w:cs="Times New Roman"/>
          <w:bCs/>
          <w:color w:val="000000"/>
          <w:spacing w:val="2"/>
          <w:kern w:val="0"/>
          <w:sz w:val="24"/>
          <w:szCs w:val="24"/>
          <w14:ligatures w14:val="none"/>
        </w:rPr>
      </w:pPr>
      <w:r w:rsidRPr="00567E52">
        <w:rPr>
          <w:rFonts w:ascii="Times New Roman" w:eastAsia="Times New Roman" w:hAnsi="Times New Roman" w:cs="Times New Roman"/>
          <w:b/>
          <w:bCs/>
          <w:color w:val="000000"/>
          <w:spacing w:val="2"/>
          <w:kern w:val="0"/>
          <w:sz w:val="24"/>
          <w:szCs w:val="24"/>
          <w14:ligatures w14:val="none"/>
        </w:rPr>
        <w:t xml:space="preserve">MET 10: </w:t>
      </w:r>
      <w:r w:rsidRPr="00567E52">
        <w:rPr>
          <w:rFonts w:ascii="Times New Roman" w:eastAsia="Times New Roman" w:hAnsi="Times New Roman" w:cs="Times New Roman"/>
          <w:color w:val="000000"/>
          <w:spacing w:val="2"/>
          <w:kern w:val="0"/>
          <w:sz w:val="24"/>
          <w:szCs w:val="24"/>
          <w14:ligatures w14:val="none"/>
        </w:rPr>
        <w:t>Su tüketimini ve üretilen atıksu miktarını azaltmak için, hem (a) ve (b) tekniklerini hem de aşağıda verilen (c) ila (k) tekniklerinin uygun bir kombinasyonu kullanılır.</w:t>
      </w:r>
    </w:p>
    <w:tbl>
      <w:tblPr>
        <w:tblStyle w:val="TabloKlavuzu9"/>
        <w:tblW w:w="5000" w:type="pct"/>
        <w:tblLook w:val="04A0" w:firstRow="1" w:lastRow="0" w:firstColumn="1" w:lastColumn="0" w:noHBand="0" w:noVBand="1"/>
      </w:tblPr>
      <w:tblGrid>
        <w:gridCol w:w="462"/>
        <w:gridCol w:w="2010"/>
        <w:gridCol w:w="4161"/>
        <w:gridCol w:w="2429"/>
      </w:tblGrid>
      <w:tr w:rsidR="003B155E" w:rsidRPr="00567E52" w14:paraId="5A8C6269" w14:textId="77777777" w:rsidTr="000D79D6">
        <w:tc>
          <w:tcPr>
            <w:tcW w:w="1364" w:type="pct"/>
            <w:gridSpan w:val="2"/>
            <w:vAlign w:val="center"/>
          </w:tcPr>
          <w:p w14:paraId="1569952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Teknik</w:t>
            </w:r>
          </w:p>
        </w:tc>
        <w:tc>
          <w:tcPr>
            <w:tcW w:w="2296" w:type="pct"/>
            <w:vAlign w:val="center"/>
          </w:tcPr>
          <w:p w14:paraId="0E8B52E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Tanım</w:t>
            </w:r>
          </w:p>
        </w:tc>
        <w:tc>
          <w:tcPr>
            <w:tcW w:w="1340" w:type="pct"/>
            <w:vAlign w:val="center"/>
          </w:tcPr>
          <w:p w14:paraId="11F7628C"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Uygulanabilirlik</w:t>
            </w:r>
          </w:p>
        </w:tc>
      </w:tr>
      <w:tr w:rsidR="003B155E" w:rsidRPr="00567E52" w14:paraId="0D42C85A" w14:textId="77777777" w:rsidTr="000D79D6">
        <w:tc>
          <w:tcPr>
            <w:tcW w:w="5000" w:type="pct"/>
            <w:gridSpan w:val="4"/>
            <w:vAlign w:val="center"/>
          </w:tcPr>
          <w:p w14:paraId="56A82FE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Yönetim, tasarım ve işletme teknikleri</w:t>
            </w:r>
          </w:p>
        </w:tc>
      </w:tr>
      <w:tr w:rsidR="003B155E" w:rsidRPr="00567E52" w14:paraId="079D9403" w14:textId="77777777" w:rsidTr="000D79D6">
        <w:tc>
          <w:tcPr>
            <w:tcW w:w="255" w:type="pct"/>
            <w:vAlign w:val="center"/>
          </w:tcPr>
          <w:p w14:paraId="560CDBD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1109" w:type="pct"/>
            <w:vAlign w:val="center"/>
          </w:tcPr>
          <w:p w14:paraId="465ABB5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Su yönetim planı ve su denetimleri</w:t>
            </w:r>
          </w:p>
        </w:tc>
        <w:tc>
          <w:tcPr>
            <w:tcW w:w="2296" w:type="pct"/>
            <w:vAlign w:val="center"/>
          </w:tcPr>
          <w:p w14:paraId="21D10811" w14:textId="77777777" w:rsidR="003B155E" w:rsidRPr="00567E52" w:rsidRDefault="003B155E" w:rsidP="000D79D6">
            <w:pPr>
              <w:pBdr>
                <w:top w:val="nil"/>
                <w:left w:val="nil"/>
                <w:bottom w:val="nil"/>
                <w:right w:val="nil"/>
                <w:between w:val="nil"/>
              </w:pBdr>
              <w:rPr>
                <w:rFonts w:ascii="Times New Roman" w:hAnsi="Times New Roman" w:cs="Times New Roman"/>
                <w:color w:val="000000"/>
              </w:rPr>
            </w:pPr>
            <w:r w:rsidRPr="00567E52">
              <w:rPr>
                <w:rFonts w:ascii="Times New Roman" w:hAnsi="Times New Roman" w:cs="Times New Roman"/>
                <w:color w:val="000000"/>
              </w:rPr>
              <w:t>Su yönetim planı ve su denetimleri çevre yönetim sisteminin bir parçasıdır (bkz. MET 1) ve şunları içerir:</w:t>
            </w:r>
          </w:p>
          <w:p w14:paraId="6B2F2E65" w14:textId="77777777" w:rsidR="003B155E" w:rsidRPr="00567E52" w:rsidRDefault="003B155E" w:rsidP="003B155E">
            <w:pPr>
              <w:widowControl w:val="0"/>
              <w:numPr>
                <w:ilvl w:val="0"/>
                <w:numId w:val="103"/>
              </w:numPr>
              <w:pBdr>
                <w:top w:val="nil"/>
                <w:left w:val="nil"/>
                <w:bottom w:val="nil"/>
                <w:right w:val="nil"/>
                <w:between w:val="nil"/>
              </w:pBdr>
              <w:ind w:left="279" w:hanging="279"/>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MET 2’de belirtilen girdi ve çıktıların envanterinin bir parçası olarak tesis ve proseslerin akış diyagramları ve su kütle dengeleri;</w:t>
            </w:r>
          </w:p>
          <w:p w14:paraId="0C13B7B4" w14:textId="77777777" w:rsidR="003B155E" w:rsidRPr="00567E52" w:rsidRDefault="003B155E" w:rsidP="003B155E">
            <w:pPr>
              <w:widowControl w:val="0"/>
              <w:numPr>
                <w:ilvl w:val="0"/>
                <w:numId w:val="103"/>
              </w:numPr>
              <w:pBdr>
                <w:top w:val="nil"/>
                <w:left w:val="nil"/>
                <w:bottom w:val="nil"/>
                <w:right w:val="nil"/>
                <w:between w:val="nil"/>
              </w:pBdr>
              <w:ind w:left="279" w:hanging="279"/>
              <w:contextualSpacing/>
              <w:jc w:val="both"/>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t>Su verimliliği hedeflerinin oluşturulması;</w:t>
            </w:r>
          </w:p>
          <w:p w14:paraId="6B7B3427" w14:textId="77777777" w:rsidR="003B155E" w:rsidRPr="00567E52" w:rsidRDefault="003B155E" w:rsidP="003B155E">
            <w:pPr>
              <w:widowControl w:val="0"/>
              <w:numPr>
                <w:ilvl w:val="0"/>
                <w:numId w:val="103"/>
              </w:numPr>
              <w:pBdr>
                <w:top w:val="nil"/>
                <w:left w:val="nil"/>
                <w:bottom w:val="nil"/>
                <w:right w:val="nil"/>
                <w:between w:val="nil"/>
              </w:pBdr>
              <w:ind w:left="279" w:hanging="279"/>
              <w:contextualSpacing/>
              <w:jc w:val="both"/>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t>Su optimizasyon tekniklerinin uygulanması (örn. su kullanımının kontrolü, yeniden kullanım/geri dönüşüm, sızıntıların tespiti ve onarımı).</w:t>
            </w:r>
          </w:p>
          <w:p w14:paraId="708CAC1C" w14:textId="77777777" w:rsidR="003B155E" w:rsidRPr="00567E52" w:rsidRDefault="003B155E" w:rsidP="000D79D6">
            <w:pPr>
              <w:pBdr>
                <w:top w:val="nil"/>
                <w:left w:val="nil"/>
                <w:bottom w:val="nil"/>
                <w:right w:val="nil"/>
                <w:between w:val="nil"/>
              </w:pBdr>
              <w:contextualSpacing/>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t>Su yönetim planının hedeflerine ulaşıldığından ve su denetimlerinin tavsiyelerinin takip edilip uygulandığından emin olmak için her yıl en az bir kez su denetimleri gerçekleştirilir.</w:t>
            </w:r>
          </w:p>
        </w:tc>
        <w:tc>
          <w:tcPr>
            <w:tcW w:w="1340" w:type="pct"/>
            <w:vAlign w:val="center"/>
          </w:tcPr>
          <w:p w14:paraId="5FB39665"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Su yönetim planının ve su denetimlerinin ayrıntı düzeyi ve niteliği genellikle tesisin niteliği, ölçeği ve karmaşıklığı ile ilgili olacaktır.</w:t>
            </w:r>
          </w:p>
        </w:tc>
      </w:tr>
      <w:tr w:rsidR="003B155E" w:rsidRPr="00567E52" w14:paraId="0863211B" w14:textId="77777777" w:rsidTr="000D79D6">
        <w:tc>
          <w:tcPr>
            <w:tcW w:w="255" w:type="pct"/>
            <w:vAlign w:val="center"/>
          </w:tcPr>
          <w:p w14:paraId="4343D91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1109" w:type="pct"/>
            <w:vAlign w:val="center"/>
          </w:tcPr>
          <w:p w14:paraId="1CECCC7C"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Su akışlarının ayrılması</w:t>
            </w:r>
          </w:p>
        </w:tc>
        <w:tc>
          <w:tcPr>
            <w:tcW w:w="2296" w:type="pct"/>
            <w:vAlign w:val="center"/>
          </w:tcPr>
          <w:p w14:paraId="436D653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Arıtmaya ihtiyaç duymayan su akışları (örn. kirlenmemiş soğutma suyu, kirlenmemiş akış suyu) arıtmaya tabi tutulması gereken atıksulardan ayrılır ve böylece kirlenmemiş suyun geri dönüşümü sağlanır.</w:t>
            </w:r>
          </w:p>
        </w:tc>
        <w:tc>
          <w:tcPr>
            <w:tcW w:w="1340" w:type="pct"/>
            <w:vAlign w:val="center"/>
          </w:tcPr>
          <w:p w14:paraId="56D01930"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Mevcut tesislere uygulanabilirlik, su toplama sisteminin düzeni ve geçici depolama tankları için yer olmaması nedeniyle kısıtlanabilir.</w:t>
            </w:r>
          </w:p>
        </w:tc>
      </w:tr>
      <w:tr w:rsidR="003B155E" w:rsidRPr="00567E52" w14:paraId="007BDAB6" w14:textId="77777777" w:rsidTr="000D79D6">
        <w:tc>
          <w:tcPr>
            <w:tcW w:w="255" w:type="pct"/>
            <w:vAlign w:val="center"/>
          </w:tcPr>
          <w:p w14:paraId="5DF9B40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1109" w:type="pct"/>
            <w:vAlign w:val="center"/>
          </w:tcPr>
          <w:p w14:paraId="4F7CDC6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Suyun yeniden kullanımı ve/veya geri dönüşümü</w:t>
            </w:r>
          </w:p>
        </w:tc>
        <w:tc>
          <w:tcPr>
            <w:tcW w:w="2296" w:type="pct"/>
            <w:vAlign w:val="center"/>
          </w:tcPr>
          <w:p w14:paraId="0420C739" w14:textId="77777777" w:rsidR="003B155E" w:rsidRPr="00567E52" w:rsidRDefault="003B155E" w:rsidP="000D79D6">
            <w:pPr>
              <w:pBdr>
                <w:top w:val="nil"/>
                <w:left w:val="nil"/>
                <w:bottom w:val="nil"/>
                <w:right w:val="nil"/>
                <w:between w:val="nil"/>
              </w:pBdr>
              <w:ind w:left="28"/>
              <w:rPr>
                <w:rFonts w:ascii="Times New Roman" w:hAnsi="Times New Roman" w:cs="Times New Roman"/>
                <w:color w:val="000000"/>
              </w:rPr>
            </w:pPr>
            <w:r w:rsidRPr="00567E52">
              <w:rPr>
                <w:rFonts w:ascii="Times New Roman" w:hAnsi="Times New Roman" w:cs="Times New Roman"/>
                <w:color w:val="000000"/>
              </w:rPr>
              <w:t>Su akışlarının geri dönüşümü ve/veya yeniden kullanımı (öncesinde su arıtımı olsun ya da olmasın), örneğin temizlik, yıkama, soğutma veya prosesin kendisi için.</w:t>
            </w:r>
          </w:p>
        </w:tc>
        <w:tc>
          <w:tcPr>
            <w:tcW w:w="1340" w:type="pct"/>
            <w:vAlign w:val="center"/>
          </w:tcPr>
          <w:p w14:paraId="78877AB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Hijyen ve güvenlik gereklilikleri nedeniyle uygulanamayabilir.</w:t>
            </w:r>
          </w:p>
        </w:tc>
      </w:tr>
      <w:tr w:rsidR="003B155E" w:rsidRPr="00567E52" w14:paraId="2526858C" w14:textId="77777777" w:rsidTr="000D79D6">
        <w:tc>
          <w:tcPr>
            <w:tcW w:w="255" w:type="pct"/>
            <w:vAlign w:val="center"/>
          </w:tcPr>
          <w:p w14:paraId="2A8220F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w:t>
            </w:r>
          </w:p>
        </w:tc>
        <w:tc>
          <w:tcPr>
            <w:tcW w:w="1109" w:type="pct"/>
            <w:vAlign w:val="center"/>
          </w:tcPr>
          <w:p w14:paraId="5D370A4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Su akışının optimizasyonu</w:t>
            </w:r>
          </w:p>
        </w:tc>
        <w:tc>
          <w:tcPr>
            <w:tcW w:w="2296" w:type="pct"/>
            <w:vAlign w:val="center"/>
          </w:tcPr>
          <w:p w14:paraId="23914E3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Su akışını otomatik olarak ihtiyaç duyulan minimum miktara ayarlamak için fotoseller, akış valfleri, termostatik valfler gibi kontrol cihazlarının kullanılması.</w:t>
            </w:r>
          </w:p>
        </w:tc>
        <w:tc>
          <w:tcPr>
            <w:tcW w:w="1340" w:type="pct"/>
            <w:vMerge w:val="restart"/>
            <w:vAlign w:val="center"/>
          </w:tcPr>
          <w:p w14:paraId="187394F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3E9D023C" w14:textId="77777777" w:rsidTr="000D79D6">
        <w:tc>
          <w:tcPr>
            <w:tcW w:w="255" w:type="pct"/>
            <w:vAlign w:val="center"/>
          </w:tcPr>
          <w:p w14:paraId="51DE201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(e)</w:t>
            </w:r>
          </w:p>
        </w:tc>
        <w:tc>
          <w:tcPr>
            <w:tcW w:w="1109" w:type="pct"/>
            <w:vAlign w:val="center"/>
          </w:tcPr>
          <w:p w14:paraId="51817F6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Su nozullarının ve hortumlarının optimizasyonu ve uygun kullanımı</w:t>
            </w:r>
          </w:p>
        </w:tc>
        <w:tc>
          <w:tcPr>
            <w:tcW w:w="2296" w:type="pct"/>
            <w:vAlign w:val="center"/>
          </w:tcPr>
          <w:p w14:paraId="7001479D"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Doğru sayıda ve konumda nozul kullanımı; nozulların ve hortumların su basıncının ayarlanması.</w:t>
            </w:r>
          </w:p>
        </w:tc>
        <w:tc>
          <w:tcPr>
            <w:tcW w:w="1340" w:type="pct"/>
            <w:vMerge/>
            <w:vAlign w:val="center"/>
          </w:tcPr>
          <w:p w14:paraId="7C2550E3"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425A24E7" w14:textId="77777777" w:rsidTr="000D79D6">
        <w:trPr>
          <w:trHeight w:val="338"/>
        </w:trPr>
        <w:tc>
          <w:tcPr>
            <w:tcW w:w="5000" w:type="pct"/>
            <w:gridSpan w:val="4"/>
            <w:vAlign w:val="center"/>
          </w:tcPr>
          <w:p w14:paraId="286B95AF" w14:textId="77777777" w:rsidR="003B155E" w:rsidRPr="00567E52" w:rsidRDefault="003B155E" w:rsidP="000D79D6">
            <w:pPr>
              <w:widowControl w:val="0"/>
              <w:rPr>
                <w:rFonts w:ascii="Times New Roman" w:hAnsi="Times New Roman" w:cs="Times New Roman"/>
                <w:color w:val="000000"/>
              </w:rPr>
            </w:pPr>
            <w:r w:rsidRPr="00567E52">
              <w:rPr>
                <w:rFonts w:ascii="Times New Roman" w:hAnsi="Times New Roman" w:cs="Times New Roman"/>
                <w:color w:val="000000"/>
              </w:rPr>
              <w:t>Temizlik İşlemleriyle İlgili Teknikler</w:t>
            </w:r>
          </w:p>
        </w:tc>
      </w:tr>
      <w:tr w:rsidR="003B155E" w:rsidRPr="00567E52" w14:paraId="08B83982" w14:textId="77777777" w:rsidTr="000D79D6">
        <w:tc>
          <w:tcPr>
            <w:tcW w:w="255" w:type="pct"/>
            <w:vAlign w:val="center"/>
          </w:tcPr>
          <w:p w14:paraId="174692F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(f)</w:t>
            </w:r>
          </w:p>
        </w:tc>
        <w:tc>
          <w:tcPr>
            <w:tcW w:w="1109" w:type="pct"/>
            <w:vAlign w:val="center"/>
          </w:tcPr>
          <w:p w14:paraId="098056B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Kuru temizleme</w:t>
            </w:r>
          </w:p>
        </w:tc>
        <w:tc>
          <w:tcPr>
            <w:tcW w:w="2296" w:type="pct"/>
            <w:vAlign w:val="center"/>
          </w:tcPr>
          <w:p w14:paraId="1B8C37B3"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 xml:space="preserve">Hammaddelerden ve ekipmandan mümkün olduğunca fazla artık malzemenin uzaklaştırılması, örneğin basınçlı hava, vakum sistemleri veya ağ kapaklı tutma kapları </w:t>
            </w:r>
            <w:r w:rsidRPr="00567E52">
              <w:rPr>
                <w:rFonts w:ascii="Times New Roman" w:hAnsi="Times New Roman" w:cs="Times New Roman"/>
                <w:color w:val="000000"/>
              </w:rPr>
              <w:lastRenderedPageBreak/>
              <w:t>kullanılarak.</w:t>
            </w:r>
          </w:p>
        </w:tc>
        <w:tc>
          <w:tcPr>
            <w:tcW w:w="1340" w:type="pct"/>
            <w:vAlign w:val="center"/>
          </w:tcPr>
          <w:p w14:paraId="6D4199D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lastRenderedPageBreak/>
              <w:t>Genel olarak uygulanabilir.</w:t>
            </w:r>
          </w:p>
        </w:tc>
      </w:tr>
      <w:tr w:rsidR="003B155E" w:rsidRPr="00567E52" w14:paraId="6C6F4769" w14:textId="77777777" w:rsidTr="000D79D6">
        <w:tc>
          <w:tcPr>
            <w:tcW w:w="255" w:type="pct"/>
            <w:vAlign w:val="center"/>
          </w:tcPr>
          <w:p w14:paraId="1E82E6B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w:t>
            </w:r>
          </w:p>
        </w:tc>
        <w:tc>
          <w:tcPr>
            <w:tcW w:w="1109" w:type="pct"/>
            <w:vAlign w:val="center"/>
          </w:tcPr>
          <w:p w14:paraId="1ED93CE4"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Yüksek basınçlı temizleme</w:t>
            </w:r>
          </w:p>
        </w:tc>
        <w:tc>
          <w:tcPr>
            <w:tcW w:w="2296" w:type="pct"/>
            <w:vAlign w:val="center"/>
          </w:tcPr>
          <w:p w14:paraId="0F01C4D5"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rPr>
              <w:t>Temizlenecek yüzeye 15 bar ile 150 bar arasında değişen basınçlarda su püskürtülmesidir.</w:t>
            </w:r>
          </w:p>
        </w:tc>
        <w:tc>
          <w:tcPr>
            <w:tcW w:w="1340" w:type="pct"/>
            <w:vAlign w:val="center"/>
          </w:tcPr>
          <w:p w14:paraId="51E8D63A" w14:textId="77777777" w:rsidR="003B155E" w:rsidRPr="00567E52" w:rsidRDefault="003B155E" w:rsidP="000D79D6">
            <w:pPr>
              <w:widowControl w:val="0"/>
              <w:shd w:val="clear" w:color="auto" w:fill="FFFFFF"/>
              <w:ind w:left="28"/>
              <w:rPr>
                <w:rFonts w:ascii="Times New Roman" w:hAnsi="Times New Roman" w:cs="Times New Roman"/>
              </w:rPr>
            </w:pPr>
            <w:r w:rsidRPr="00567E52">
              <w:rPr>
                <w:rFonts w:ascii="Times New Roman" w:hAnsi="Times New Roman" w:cs="Times New Roman"/>
              </w:rPr>
              <w:t>Sağlık ve güvenlik gereklilikleri nedeniyle uygulanamayabilir.</w:t>
            </w:r>
          </w:p>
        </w:tc>
      </w:tr>
      <w:tr w:rsidR="003B155E" w:rsidRPr="00567E52" w14:paraId="0FECB6BC" w14:textId="77777777" w:rsidTr="000D79D6">
        <w:tc>
          <w:tcPr>
            <w:tcW w:w="255" w:type="pct"/>
            <w:vAlign w:val="center"/>
          </w:tcPr>
          <w:p w14:paraId="041366E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(h)</w:t>
            </w:r>
          </w:p>
        </w:tc>
        <w:tc>
          <w:tcPr>
            <w:tcW w:w="1109" w:type="pct"/>
            <w:vAlign w:val="center"/>
          </w:tcPr>
          <w:p w14:paraId="775F8B26"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Yerinde</w:t>
            </w:r>
            <w:r w:rsidRPr="00567E52">
              <w:rPr>
                <w:rFonts w:ascii="Times New Roman" w:hAnsi="Times New Roman" w:cs="Times New Roman"/>
              </w:rPr>
              <w:t xml:space="preserve"> temizlikte kimyasal dozajlama ve su kullanımının optimizasy</w:t>
            </w:r>
            <w:r w:rsidRPr="00567E52">
              <w:rPr>
                <w:rFonts w:ascii="Times New Roman" w:hAnsi="Times New Roman" w:cs="Times New Roman"/>
                <w:color w:val="000000"/>
              </w:rPr>
              <w:t>onu</w:t>
            </w:r>
          </w:p>
        </w:tc>
        <w:tc>
          <w:tcPr>
            <w:tcW w:w="2296" w:type="pct"/>
            <w:vAlign w:val="center"/>
          </w:tcPr>
          <w:p w14:paraId="276A2BD7"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color w:val="000000"/>
              </w:rPr>
              <w:t>Sıcak su ve kimyasalların optimize edilmiş miktarlarda dozlanması için yerinde temizlik tasarımının optimize edilmesi ve bulanıklık, iletkenlik, sıcaklık ve/veya pH'ın ölçülmesini kapsamaktadır.</w:t>
            </w:r>
          </w:p>
        </w:tc>
        <w:tc>
          <w:tcPr>
            <w:tcW w:w="1340" w:type="pct"/>
            <w:vMerge w:val="restart"/>
            <w:vAlign w:val="center"/>
          </w:tcPr>
          <w:p w14:paraId="2F209479"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68B5B52F" w14:textId="77777777" w:rsidTr="000D79D6">
        <w:tc>
          <w:tcPr>
            <w:tcW w:w="255" w:type="pct"/>
            <w:vAlign w:val="center"/>
          </w:tcPr>
          <w:p w14:paraId="072AF66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(i)</w:t>
            </w:r>
          </w:p>
        </w:tc>
        <w:tc>
          <w:tcPr>
            <w:tcW w:w="1109" w:type="pct"/>
            <w:vAlign w:val="center"/>
          </w:tcPr>
          <w:p w14:paraId="163CB347"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 xml:space="preserve">Düşük </w:t>
            </w:r>
            <w:r w:rsidRPr="00567E52">
              <w:rPr>
                <w:rFonts w:ascii="Times New Roman" w:hAnsi="Times New Roman" w:cs="Times New Roman"/>
              </w:rPr>
              <w:t>basınçlı köpük ve/veya jel temizleme</w:t>
            </w:r>
          </w:p>
        </w:tc>
        <w:tc>
          <w:tcPr>
            <w:tcW w:w="2296" w:type="pct"/>
            <w:vAlign w:val="center"/>
          </w:tcPr>
          <w:p w14:paraId="31B6720D"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color w:val="000000"/>
              </w:rPr>
              <w:t>Duvarları, zeminleri ve/veya ekipman yüzeylerini temizlemek için düşük basınçlı köpük ve/veya jel kullanımını kapsamaktadır.</w:t>
            </w:r>
          </w:p>
        </w:tc>
        <w:tc>
          <w:tcPr>
            <w:tcW w:w="1340" w:type="pct"/>
            <w:vMerge/>
            <w:vAlign w:val="center"/>
          </w:tcPr>
          <w:p w14:paraId="3F422C99"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4CA787C4" w14:textId="77777777" w:rsidTr="000D79D6">
        <w:tc>
          <w:tcPr>
            <w:tcW w:w="255" w:type="pct"/>
            <w:vAlign w:val="center"/>
          </w:tcPr>
          <w:p w14:paraId="1DF4B07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(j)</w:t>
            </w:r>
          </w:p>
        </w:tc>
        <w:tc>
          <w:tcPr>
            <w:tcW w:w="1109" w:type="pct"/>
            <w:vAlign w:val="center"/>
          </w:tcPr>
          <w:p w14:paraId="4F232172"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Ekipman ve proses alanlarının optimize edilmiş tasarımı ve inşası</w:t>
            </w:r>
          </w:p>
        </w:tc>
        <w:tc>
          <w:tcPr>
            <w:tcW w:w="2296" w:type="pct"/>
            <w:vAlign w:val="center"/>
          </w:tcPr>
          <w:p w14:paraId="11C6E630"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Ekipman ve proses alanları temizliği kolaylaştıracak şekilde tasarlanır ve inşa edilir. Tasarım ve yapı optimize edilirken hijyen gereksinimleri göz önünde bulundurulur.</w:t>
            </w:r>
          </w:p>
        </w:tc>
        <w:tc>
          <w:tcPr>
            <w:tcW w:w="1340" w:type="pct"/>
            <w:vMerge/>
            <w:vAlign w:val="center"/>
          </w:tcPr>
          <w:p w14:paraId="167975C3"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7BB3E6F7" w14:textId="77777777" w:rsidTr="000D79D6">
        <w:tc>
          <w:tcPr>
            <w:tcW w:w="255" w:type="pct"/>
            <w:vAlign w:val="center"/>
          </w:tcPr>
          <w:p w14:paraId="5210407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(k)</w:t>
            </w:r>
          </w:p>
        </w:tc>
        <w:tc>
          <w:tcPr>
            <w:tcW w:w="1109" w:type="pct"/>
            <w:vAlign w:val="center"/>
          </w:tcPr>
          <w:p w14:paraId="548531E0"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Ekipmanların hızlı  bir şekilde temizlenmesi</w:t>
            </w:r>
          </w:p>
        </w:tc>
        <w:tc>
          <w:tcPr>
            <w:tcW w:w="2296" w:type="pct"/>
            <w:vAlign w:val="center"/>
          </w:tcPr>
          <w:p w14:paraId="14D73DC3" w14:textId="77777777" w:rsidR="003B155E" w:rsidRPr="00567E52" w:rsidRDefault="003B155E" w:rsidP="000D79D6">
            <w:pPr>
              <w:widowControl w:val="0"/>
              <w:shd w:val="clear" w:color="auto" w:fill="FFFFFF"/>
              <w:rPr>
                <w:rFonts w:ascii="Times New Roman" w:hAnsi="Times New Roman" w:cs="Times New Roman"/>
                <w:color w:val="000000"/>
              </w:rPr>
            </w:pPr>
            <w:r w:rsidRPr="00567E52">
              <w:rPr>
                <w:rFonts w:ascii="Times New Roman" w:hAnsi="Times New Roman" w:cs="Times New Roman"/>
                <w:color w:val="000000"/>
              </w:rPr>
              <w:t>Kalıntı malzemenin sertleşmesini önlemek için ekipman kullanımından sonra mümkün olan en kısa sürede temizlik uygulanır.</w:t>
            </w:r>
          </w:p>
        </w:tc>
        <w:tc>
          <w:tcPr>
            <w:tcW w:w="1340" w:type="pct"/>
            <w:vMerge/>
            <w:vAlign w:val="center"/>
          </w:tcPr>
          <w:p w14:paraId="20691E16" w14:textId="77777777" w:rsidR="003B155E" w:rsidRPr="00567E52" w:rsidRDefault="003B155E" w:rsidP="000D79D6">
            <w:pPr>
              <w:widowControl w:val="0"/>
              <w:tabs>
                <w:tab w:val="left" w:pos="562"/>
              </w:tabs>
              <w:rPr>
                <w:rFonts w:ascii="Times New Roman" w:hAnsi="Times New Roman" w:cs="Times New Roman"/>
              </w:rPr>
            </w:pPr>
          </w:p>
        </w:tc>
      </w:tr>
    </w:tbl>
    <w:p w14:paraId="3FB07BAE" w14:textId="77777777" w:rsidR="003B155E" w:rsidRPr="00567E52"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7085960E" w14:textId="77777777" w:rsidR="003B155E" w:rsidRPr="00567E52"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r w:rsidRPr="00567E52">
        <w:rPr>
          <w:rFonts w:ascii="Times New Roman" w:eastAsia="Times New Roman" w:hAnsi="Times New Roman" w:cs="Times New Roman"/>
          <w:kern w:val="0"/>
          <w:sz w:val="24"/>
          <w:szCs w:val="24"/>
          <w:lang w:eastAsia="tr-TR"/>
          <w14:ligatures w14:val="none"/>
        </w:rPr>
        <w:t>Su tüketimini ve üretilen atıksu hacmini azaltmak için sektöre özgü diğer teknikler, bu MET sonuçlarının Bölüm 1.2.2 ve Bölüm 1.3.2’sinde verilmiştir.</w:t>
      </w:r>
    </w:p>
    <w:p w14:paraId="4FDA7ABD" w14:textId="77777777" w:rsidR="003B155E" w:rsidRPr="00567E52"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0BA394FB"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1.1.5. Zararlı Maddeler</w:t>
      </w:r>
    </w:p>
    <w:p w14:paraId="1D971F60" w14:textId="77777777" w:rsidR="003B155E" w:rsidRPr="00567E52" w:rsidRDefault="003B155E" w:rsidP="003B155E">
      <w:pPr>
        <w:widowControl w:val="0"/>
        <w:tabs>
          <w:tab w:val="left" w:pos="562"/>
        </w:tabs>
        <w:spacing w:after="0" w:line="276" w:lineRule="auto"/>
        <w:jc w:val="both"/>
        <w:rPr>
          <w:rFonts w:ascii="Times New Roman" w:eastAsia="Times New Roman" w:hAnsi="Times New Roman" w:cs="Times New Roman"/>
          <w:bCs/>
          <w:kern w:val="0"/>
          <w:sz w:val="24"/>
          <w:szCs w:val="24"/>
          <w:lang w:eastAsia="tr-TR"/>
          <w14:ligatures w14:val="none"/>
        </w:rPr>
      </w:pPr>
      <w:r w:rsidRPr="00567E52">
        <w:rPr>
          <w:rFonts w:ascii="Times New Roman" w:eastAsia="Times New Roman" w:hAnsi="Times New Roman" w:cs="Times New Roman"/>
          <w:b/>
          <w:kern w:val="0"/>
          <w:sz w:val="24"/>
          <w:szCs w:val="24"/>
          <w:lang w:eastAsia="tr-TR"/>
          <w14:ligatures w14:val="none"/>
        </w:rPr>
        <w:t xml:space="preserve">MET 11: </w:t>
      </w:r>
      <w:r w:rsidRPr="00567E52">
        <w:rPr>
          <w:rFonts w:ascii="Times New Roman" w:eastAsia="Times New Roman" w:hAnsi="Times New Roman" w:cs="Times New Roman"/>
          <w:bCs/>
          <w:kern w:val="0"/>
          <w:sz w:val="24"/>
          <w:szCs w:val="24"/>
          <w:lang w:eastAsia="tr-TR"/>
          <w14:ligatures w14:val="none"/>
        </w:rPr>
        <w:t>Temizlik ve dezenfeksiyonda zararlı maddelerin kullanımını önlemek veya bunun uygulanabilir olmadığı durumlarda azaltmak için aşağıda verilen tekniklerden birini veya bir kombinasyonu kullanılır.</w:t>
      </w:r>
    </w:p>
    <w:tbl>
      <w:tblPr>
        <w:tblStyle w:val="TabloKlavuzu9"/>
        <w:tblW w:w="5000" w:type="pct"/>
        <w:tblLook w:val="04A0" w:firstRow="1" w:lastRow="0" w:firstColumn="1" w:lastColumn="0" w:noHBand="0" w:noVBand="1"/>
      </w:tblPr>
      <w:tblGrid>
        <w:gridCol w:w="545"/>
        <w:gridCol w:w="2835"/>
        <w:gridCol w:w="5682"/>
      </w:tblGrid>
      <w:tr w:rsidR="003B155E" w:rsidRPr="00567E52" w14:paraId="3D3077E6" w14:textId="77777777" w:rsidTr="000D79D6">
        <w:tc>
          <w:tcPr>
            <w:tcW w:w="1865" w:type="pct"/>
            <w:gridSpan w:val="2"/>
          </w:tcPr>
          <w:p w14:paraId="499B7693" w14:textId="77777777" w:rsidR="003B155E" w:rsidRPr="00567E52" w:rsidRDefault="003B155E" w:rsidP="000D79D6">
            <w:pPr>
              <w:widowControl w:val="0"/>
              <w:tabs>
                <w:tab w:val="left" w:pos="562"/>
              </w:tabs>
              <w:jc w:val="both"/>
              <w:rPr>
                <w:rFonts w:ascii="Times New Roman" w:hAnsi="Times New Roman" w:cs="Times New Roman"/>
              </w:rPr>
            </w:pPr>
            <w:r w:rsidRPr="00567E52">
              <w:rPr>
                <w:rFonts w:ascii="Times New Roman" w:hAnsi="Times New Roman" w:cs="Times New Roman"/>
              </w:rPr>
              <w:t>Teknik</w:t>
            </w:r>
          </w:p>
        </w:tc>
        <w:tc>
          <w:tcPr>
            <w:tcW w:w="3135" w:type="pct"/>
          </w:tcPr>
          <w:p w14:paraId="6C20B0ED" w14:textId="77777777" w:rsidR="003B155E" w:rsidRPr="00567E52" w:rsidRDefault="003B155E" w:rsidP="000D79D6">
            <w:pPr>
              <w:widowControl w:val="0"/>
              <w:tabs>
                <w:tab w:val="left" w:pos="562"/>
              </w:tabs>
              <w:jc w:val="both"/>
              <w:rPr>
                <w:rFonts w:ascii="Times New Roman" w:hAnsi="Times New Roman" w:cs="Times New Roman"/>
              </w:rPr>
            </w:pPr>
            <w:r w:rsidRPr="00567E52">
              <w:rPr>
                <w:rFonts w:ascii="Times New Roman" w:hAnsi="Times New Roman" w:cs="Times New Roman"/>
              </w:rPr>
              <w:t>Tanım</w:t>
            </w:r>
          </w:p>
        </w:tc>
      </w:tr>
      <w:tr w:rsidR="003B155E" w:rsidRPr="00567E52" w14:paraId="28583E16" w14:textId="77777777" w:rsidTr="000D79D6">
        <w:tc>
          <w:tcPr>
            <w:tcW w:w="301" w:type="pct"/>
            <w:vAlign w:val="center"/>
          </w:tcPr>
          <w:p w14:paraId="0774798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1564" w:type="pct"/>
            <w:vAlign w:val="center"/>
          </w:tcPr>
          <w:p w14:paraId="1A6670F5"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Temizlik kimyasallarının ve/veya dezenfektanların doğru seçimi</w:t>
            </w:r>
          </w:p>
        </w:tc>
        <w:tc>
          <w:tcPr>
            <w:tcW w:w="3135" w:type="pct"/>
          </w:tcPr>
          <w:p w14:paraId="67081CBA" w14:textId="77777777" w:rsidR="003B155E" w:rsidRPr="00567E52" w:rsidRDefault="003B155E" w:rsidP="000D79D6">
            <w:pPr>
              <w:pBdr>
                <w:top w:val="nil"/>
                <w:left w:val="nil"/>
                <w:bottom w:val="nil"/>
                <w:right w:val="nil"/>
                <w:between w:val="nil"/>
              </w:pBdr>
              <w:ind w:left="38"/>
              <w:jc w:val="both"/>
              <w:rPr>
                <w:rFonts w:ascii="Times New Roman" w:hAnsi="Times New Roman" w:cs="Times New Roman"/>
                <w:color w:val="000000"/>
              </w:rPr>
            </w:pPr>
            <w:r w:rsidRPr="00567E52">
              <w:rPr>
                <w:rFonts w:ascii="Times New Roman" w:hAnsi="Times New Roman" w:cs="Times New Roman"/>
                <w:color w:val="000000"/>
              </w:rPr>
              <w:t xml:space="preserve">Su ortamına zararlı temizlik kimyasalları ve/veya dezenfektanların, özellikle de </w:t>
            </w:r>
            <w:r w:rsidRPr="008A2F52">
              <w:rPr>
                <w:rFonts w:ascii="Times New Roman" w:hAnsi="Times New Roman" w:cs="Times New Roman"/>
                <w:color w:val="000000"/>
              </w:rPr>
              <w:t>Su Çerçeve Direktifi (</w:t>
            </w:r>
            <w:r w:rsidRPr="008A2F52">
              <w:rPr>
                <w:rFonts w:ascii="Times New Roman" w:hAnsi="Times New Roman" w:cs="Times New Roman"/>
                <w:color w:val="000000"/>
                <w:vertAlign w:val="superscript"/>
              </w:rPr>
              <w:t>1</w:t>
            </w:r>
            <w:r w:rsidRPr="008A2F52">
              <w:rPr>
                <w:rFonts w:ascii="Times New Roman" w:hAnsi="Times New Roman" w:cs="Times New Roman"/>
                <w:color w:val="000000"/>
              </w:rPr>
              <w:t>)</w:t>
            </w:r>
            <w:r w:rsidRPr="00567E52">
              <w:rPr>
                <w:rFonts w:ascii="Times New Roman" w:hAnsi="Times New Roman" w:cs="Times New Roman"/>
                <w:color w:val="000000"/>
              </w:rPr>
              <w:t xml:space="preserve"> kapsamında değerlendirilen öncelikli maddeleri içerenlerin kullanımından kaçınılması veya en aza indirilmesi.</w:t>
            </w:r>
          </w:p>
          <w:p w14:paraId="3D42EE7A" w14:textId="77777777" w:rsidR="003B155E" w:rsidRPr="00567E52" w:rsidRDefault="003B155E" w:rsidP="000D79D6">
            <w:pPr>
              <w:pBdr>
                <w:top w:val="nil"/>
                <w:left w:val="nil"/>
                <w:bottom w:val="nil"/>
                <w:right w:val="nil"/>
                <w:between w:val="nil"/>
              </w:pBdr>
              <w:ind w:left="38"/>
              <w:jc w:val="both"/>
              <w:rPr>
                <w:rFonts w:ascii="Times New Roman" w:hAnsi="Times New Roman" w:cs="Times New Roman"/>
                <w:color w:val="000000"/>
              </w:rPr>
            </w:pPr>
            <w:r w:rsidRPr="00567E52">
              <w:rPr>
                <w:rFonts w:ascii="Times New Roman" w:hAnsi="Times New Roman" w:cs="Times New Roman"/>
                <w:color w:val="000000"/>
              </w:rPr>
              <w:t>Temizlik kimyasalları ve/veya dezenfektanlar seçilirken hijyen ve gıda güvenliği gereklilikleri göz önünde bulundurulur.</w:t>
            </w:r>
          </w:p>
          <w:p w14:paraId="4BC38F2B" w14:textId="77777777" w:rsidR="003B155E" w:rsidRPr="00567E52" w:rsidRDefault="003B155E" w:rsidP="000D79D6">
            <w:pPr>
              <w:pBdr>
                <w:top w:val="nil"/>
                <w:left w:val="nil"/>
                <w:bottom w:val="nil"/>
                <w:right w:val="nil"/>
                <w:between w:val="nil"/>
              </w:pBdr>
              <w:ind w:left="38"/>
              <w:jc w:val="both"/>
              <w:rPr>
                <w:rFonts w:ascii="Times New Roman" w:hAnsi="Times New Roman" w:cs="Times New Roman"/>
                <w:color w:val="000000"/>
              </w:rPr>
            </w:pPr>
            <w:r w:rsidRPr="00567E52">
              <w:rPr>
                <w:rFonts w:ascii="Times New Roman" w:hAnsi="Times New Roman" w:cs="Times New Roman"/>
                <w:color w:val="000000"/>
              </w:rPr>
              <w:t>Bu teknik KYS’nin bir parçasıdır (bkz. MET 3).</w:t>
            </w:r>
          </w:p>
        </w:tc>
      </w:tr>
      <w:tr w:rsidR="003B155E" w:rsidRPr="00567E52" w14:paraId="0A1C9231" w14:textId="77777777" w:rsidTr="000D79D6">
        <w:tc>
          <w:tcPr>
            <w:tcW w:w="301" w:type="pct"/>
            <w:vAlign w:val="center"/>
          </w:tcPr>
          <w:p w14:paraId="5C52A72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1564" w:type="pct"/>
            <w:vAlign w:val="center"/>
          </w:tcPr>
          <w:p w14:paraId="69E4A41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Yerinde temizlikte temizlik kimyasallarının yeniden kullanımı</w:t>
            </w:r>
          </w:p>
        </w:tc>
        <w:tc>
          <w:tcPr>
            <w:tcW w:w="3135" w:type="pct"/>
          </w:tcPr>
          <w:p w14:paraId="037712E5" w14:textId="77777777" w:rsidR="003B155E" w:rsidRPr="00567E52" w:rsidRDefault="003B155E" w:rsidP="000D79D6">
            <w:pPr>
              <w:widowControl w:val="0"/>
              <w:tabs>
                <w:tab w:val="left" w:pos="562"/>
              </w:tabs>
              <w:jc w:val="both"/>
              <w:rPr>
                <w:rFonts w:ascii="Times New Roman" w:hAnsi="Times New Roman" w:cs="Times New Roman"/>
              </w:rPr>
            </w:pPr>
            <w:r w:rsidRPr="00567E52">
              <w:rPr>
                <w:rFonts w:ascii="Times New Roman" w:hAnsi="Times New Roman" w:cs="Times New Roman"/>
                <w:color w:val="000000"/>
              </w:rPr>
              <w:t>Yerinde temizlikte temizlik kimyasallarının toplanmasını ve yeniden kullanılmasını kapsamaktadır. Temizlik kimyasallarının tekrar kullanımında hijyen ve gıda güvenliği gereklilikleri dikkate alınmaktadır.</w:t>
            </w:r>
          </w:p>
        </w:tc>
      </w:tr>
      <w:tr w:rsidR="003B155E" w:rsidRPr="00567E52" w14:paraId="49731FA5" w14:textId="77777777" w:rsidTr="000D79D6">
        <w:tc>
          <w:tcPr>
            <w:tcW w:w="301" w:type="pct"/>
            <w:vAlign w:val="center"/>
          </w:tcPr>
          <w:p w14:paraId="052121B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1564" w:type="pct"/>
            <w:vAlign w:val="center"/>
          </w:tcPr>
          <w:p w14:paraId="631740F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Kuru temizleme</w:t>
            </w:r>
          </w:p>
        </w:tc>
        <w:tc>
          <w:tcPr>
            <w:tcW w:w="3135" w:type="pct"/>
          </w:tcPr>
          <w:p w14:paraId="0E255679" w14:textId="77777777" w:rsidR="003B155E" w:rsidRPr="00567E52" w:rsidRDefault="003B155E" w:rsidP="000D79D6">
            <w:pPr>
              <w:pBdr>
                <w:top w:val="nil"/>
                <w:left w:val="nil"/>
                <w:bottom w:val="nil"/>
                <w:right w:val="nil"/>
                <w:between w:val="nil"/>
              </w:pBdr>
              <w:ind w:left="21"/>
              <w:jc w:val="both"/>
              <w:rPr>
                <w:rFonts w:ascii="Times New Roman" w:hAnsi="Times New Roman"/>
                <w:color w:val="000000"/>
              </w:rPr>
            </w:pPr>
            <w:r w:rsidRPr="00567E52">
              <w:rPr>
                <w:rFonts w:ascii="Times New Roman" w:hAnsi="Times New Roman" w:cs="Times New Roman"/>
                <w:color w:val="000000"/>
              </w:rPr>
              <w:t>Bkz. MET 10 (f).</w:t>
            </w:r>
          </w:p>
        </w:tc>
      </w:tr>
      <w:tr w:rsidR="003B155E" w:rsidRPr="00567E52" w14:paraId="29E1F678" w14:textId="77777777" w:rsidTr="000D79D6">
        <w:tc>
          <w:tcPr>
            <w:tcW w:w="301" w:type="pct"/>
            <w:vAlign w:val="center"/>
          </w:tcPr>
          <w:p w14:paraId="6091E5E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w:t>
            </w:r>
          </w:p>
        </w:tc>
        <w:tc>
          <w:tcPr>
            <w:tcW w:w="1564" w:type="pct"/>
            <w:vAlign w:val="center"/>
          </w:tcPr>
          <w:p w14:paraId="582E2E3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Ekipman ve proses alanlarının optimize edilmiş tasarımı ve inşası.</w:t>
            </w:r>
          </w:p>
        </w:tc>
        <w:tc>
          <w:tcPr>
            <w:tcW w:w="3135" w:type="pct"/>
          </w:tcPr>
          <w:p w14:paraId="7EAF65D1" w14:textId="77777777" w:rsidR="003B155E" w:rsidRPr="00567E52" w:rsidRDefault="003B155E" w:rsidP="000D79D6">
            <w:pPr>
              <w:pBdr>
                <w:top w:val="nil"/>
                <w:left w:val="nil"/>
                <w:bottom w:val="nil"/>
                <w:right w:val="nil"/>
                <w:between w:val="nil"/>
              </w:pBdr>
              <w:ind w:left="21"/>
              <w:jc w:val="both"/>
              <w:rPr>
                <w:rFonts w:ascii="Times New Roman" w:hAnsi="Times New Roman"/>
                <w:color w:val="000000"/>
              </w:rPr>
            </w:pPr>
            <w:r w:rsidRPr="00567E52">
              <w:rPr>
                <w:rFonts w:ascii="Times New Roman" w:hAnsi="Times New Roman" w:cs="Times New Roman"/>
                <w:color w:val="000000"/>
              </w:rPr>
              <w:t>Bkz. MET 10 (j).</w:t>
            </w:r>
          </w:p>
        </w:tc>
      </w:tr>
      <w:tr w:rsidR="003B155E" w:rsidRPr="00567E52" w14:paraId="42C13701" w14:textId="77777777" w:rsidTr="000D79D6">
        <w:tc>
          <w:tcPr>
            <w:tcW w:w="5000" w:type="pct"/>
            <w:gridSpan w:val="3"/>
          </w:tcPr>
          <w:p w14:paraId="5CB910AA" w14:textId="77777777" w:rsidR="003B155E" w:rsidRPr="00567E52" w:rsidRDefault="003B155E" w:rsidP="000D79D6">
            <w:pPr>
              <w:pBdr>
                <w:top w:val="nil"/>
                <w:left w:val="nil"/>
                <w:bottom w:val="nil"/>
                <w:right w:val="nil"/>
                <w:between w:val="nil"/>
              </w:pBdr>
              <w:ind w:left="21"/>
              <w:jc w:val="both"/>
              <w:rPr>
                <w:rFonts w:ascii="Times New Roman" w:hAnsi="Times New Roman" w:cs="Times New Roman"/>
                <w:color w:val="000000"/>
              </w:rPr>
            </w:pPr>
            <w:r w:rsidRPr="00567E52">
              <w:rPr>
                <w:rFonts w:ascii="Times New Roman" w:hAnsi="Times New Roman"/>
                <w:color w:val="000000"/>
              </w:rPr>
              <w:t>(</w:t>
            </w:r>
            <w:r w:rsidRPr="00567E52">
              <w:rPr>
                <w:rFonts w:ascii="Times New Roman" w:hAnsi="Times New Roman"/>
                <w:color w:val="000000"/>
                <w:vertAlign w:val="superscript"/>
              </w:rPr>
              <w:t>1</w:t>
            </w:r>
            <w:r w:rsidRPr="00567E52">
              <w:rPr>
                <w:rFonts w:ascii="Times New Roman" w:hAnsi="Times New Roman"/>
                <w:color w:val="000000"/>
              </w:rPr>
              <w:t>) Su Havzalarının Korunması ve Yönetim Planlarının Hazırlanması Hakkında Yönetmelik (R.G. 17.10.2012, Sayı: 28444), Yüzeysel Su Kalitesi Yönetimi Yönetmeliği (R.G. 30.11. 2012, Sayı: 28483), İçme Suyu Elde Edilen veya Elde Edilmesi Planlanan Yüzeysel Suların Kalitesine Dair Yönetmelik (R.G. 29.06.2012, Sayı: 28338)</w:t>
            </w:r>
          </w:p>
        </w:tc>
      </w:tr>
    </w:tbl>
    <w:p w14:paraId="0967F4C3" w14:textId="345C0A59" w:rsidR="003B155E"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4A05CD86" w14:textId="5BAA7BAC" w:rsidR="00541520" w:rsidRDefault="00541520"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36576833" w14:textId="77777777" w:rsidR="00541520" w:rsidRPr="00567E52" w:rsidRDefault="00541520"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742596AE"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lastRenderedPageBreak/>
        <w:t>1.1.6. Kaynak Verimliliği</w:t>
      </w:r>
    </w:p>
    <w:p w14:paraId="61129A1A" w14:textId="77777777" w:rsidR="003B155E" w:rsidRPr="00567E52" w:rsidRDefault="003B155E" w:rsidP="003B155E">
      <w:pPr>
        <w:widowControl w:val="0"/>
        <w:tabs>
          <w:tab w:val="left" w:pos="562"/>
        </w:tabs>
        <w:spacing w:after="0" w:line="276" w:lineRule="auto"/>
        <w:jc w:val="both"/>
        <w:rPr>
          <w:rFonts w:ascii="Times New Roman" w:eastAsia="Times New Roman" w:hAnsi="Times New Roman" w:cs="Times New Roman"/>
          <w:bCs/>
          <w:kern w:val="0"/>
          <w:sz w:val="24"/>
          <w:szCs w:val="24"/>
          <w:lang w:eastAsia="tr-TR"/>
          <w14:ligatures w14:val="none"/>
        </w:rPr>
      </w:pPr>
      <w:r w:rsidRPr="00567E52">
        <w:rPr>
          <w:rFonts w:ascii="Times New Roman" w:eastAsia="Times New Roman" w:hAnsi="Times New Roman" w:cs="Times New Roman"/>
          <w:b/>
          <w:kern w:val="0"/>
          <w:sz w:val="24"/>
          <w:szCs w:val="24"/>
          <w:lang w:eastAsia="tr-TR"/>
          <w14:ligatures w14:val="none"/>
        </w:rPr>
        <w:t xml:space="preserve">MET 12: </w:t>
      </w:r>
      <w:r w:rsidRPr="00567E52">
        <w:rPr>
          <w:rFonts w:ascii="Times New Roman" w:eastAsia="Times New Roman" w:hAnsi="Times New Roman" w:cs="Times New Roman"/>
          <w:bCs/>
          <w:kern w:val="0"/>
          <w:sz w:val="24"/>
          <w:szCs w:val="24"/>
          <w:lang w:eastAsia="tr-TR"/>
          <w14:ligatures w14:val="none"/>
        </w:rPr>
        <w:t>Kaynak verimliliğini artırmak için, uygunsa aşağıda verilen (a) ve (b) tekniklerinden birini veya her ikisini birden (c) ve (d) teknikleriyle birlikte kullanılır.</w:t>
      </w:r>
    </w:p>
    <w:tbl>
      <w:tblPr>
        <w:tblStyle w:val="TabloKlavuzu9"/>
        <w:tblW w:w="0" w:type="auto"/>
        <w:tblLook w:val="04A0" w:firstRow="1" w:lastRow="0" w:firstColumn="1" w:lastColumn="0" w:noHBand="0" w:noVBand="1"/>
      </w:tblPr>
      <w:tblGrid>
        <w:gridCol w:w="450"/>
        <w:gridCol w:w="2216"/>
        <w:gridCol w:w="4033"/>
        <w:gridCol w:w="2363"/>
      </w:tblGrid>
      <w:tr w:rsidR="003B155E" w:rsidRPr="00567E52" w14:paraId="2F6C933F" w14:textId="77777777" w:rsidTr="000D79D6">
        <w:tc>
          <w:tcPr>
            <w:tcW w:w="0" w:type="auto"/>
            <w:gridSpan w:val="2"/>
            <w:vAlign w:val="center"/>
          </w:tcPr>
          <w:p w14:paraId="21AED24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Teknik</w:t>
            </w:r>
          </w:p>
        </w:tc>
        <w:tc>
          <w:tcPr>
            <w:tcW w:w="0" w:type="auto"/>
            <w:vAlign w:val="center"/>
          </w:tcPr>
          <w:p w14:paraId="4AC4D64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Tanım</w:t>
            </w:r>
          </w:p>
        </w:tc>
        <w:tc>
          <w:tcPr>
            <w:tcW w:w="0" w:type="auto"/>
            <w:vAlign w:val="center"/>
          </w:tcPr>
          <w:p w14:paraId="7C5DA41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Uygulanabilirlik</w:t>
            </w:r>
          </w:p>
        </w:tc>
      </w:tr>
      <w:tr w:rsidR="003B155E" w:rsidRPr="00567E52" w14:paraId="3816A629" w14:textId="77777777" w:rsidTr="000D79D6">
        <w:tc>
          <w:tcPr>
            <w:tcW w:w="0" w:type="auto"/>
            <w:vAlign w:val="center"/>
          </w:tcPr>
          <w:p w14:paraId="735994A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0" w:type="auto"/>
            <w:vAlign w:val="center"/>
          </w:tcPr>
          <w:p w14:paraId="4EA8B06C"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 xml:space="preserve">Hayvansal yan ürünlerin ve/veya yenilebilir yan ürünlerin biyolojik </w:t>
            </w:r>
            <w:r w:rsidR="00A52C19">
              <w:rPr>
                <w:rFonts w:ascii="Times New Roman" w:hAnsi="Times New Roman" w:cs="Times New Roman"/>
                <w:color w:val="000000"/>
              </w:rPr>
              <w:t xml:space="preserve">olarak </w:t>
            </w:r>
            <w:r w:rsidRPr="00567E52">
              <w:rPr>
                <w:rFonts w:ascii="Times New Roman" w:hAnsi="Times New Roman" w:cs="Times New Roman"/>
                <w:color w:val="000000"/>
              </w:rPr>
              <w:t>bozunmasının en aza indirilmesi</w:t>
            </w:r>
          </w:p>
        </w:tc>
        <w:tc>
          <w:tcPr>
            <w:tcW w:w="0" w:type="auto"/>
            <w:vAlign w:val="center"/>
          </w:tcPr>
          <w:p w14:paraId="3884EC7C" w14:textId="77777777" w:rsidR="003B155E" w:rsidRPr="00567E52" w:rsidRDefault="003B155E" w:rsidP="000D79D6">
            <w:pPr>
              <w:pBdr>
                <w:top w:val="nil"/>
                <w:left w:val="nil"/>
                <w:bottom w:val="nil"/>
                <w:right w:val="nil"/>
                <w:between w:val="nil"/>
              </w:pBdr>
              <w:rPr>
                <w:rFonts w:ascii="Times New Roman" w:hAnsi="Times New Roman" w:cs="Times New Roman"/>
                <w:color w:val="000000"/>
              </w:rPr>
            </w:pPr>
            <w:r w:rsidRPr="00567E52">
              <w:rPr>
                <w:rFonts w:ascii="Times New Roman" w:hAnsi="Times New Roman" w:cs="Times New Roman"/>
                <w:color w:val="000000"/>
              </w:rPr>
              <w:t>Hayvansal yan ürünler ve/veya yenilebilir yardımcı ürünler mezbahalarda derhal toplanır ve daha fazla işleme tabi tutulmadan önce mümkün olduğunca kısa bir süre için SA tesislerinde kapalı kaplarda veya odalarda saklanır. İnsan tüketimine yönelik ham maddeler (örneğin yağ, kan), yem materyali veya evcil hayvan maması soğutma gerektirebilir.</w:t>
            </w:r>
          </w:p>
        </w:tc>
        <w:tc>
          <w:tcPr>
            <w:tcW w:w="0" w:type="auto"/>
            <w:vMerge w:val="restart"/>
            <w:vAlign w:val="center"/>
          </w:tcPr>
          <w:p w14:paraId="5E71354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57EBFDF5" w14:textId="77777777" w:rsidTr="000D79D6">
        <w:tc>
          <w:tcPr>
            <w:tcW w:w="0" w:type="auto"/>
            <w:vAlign w:val="center"/>
          </w:tcPr>
          <w:p w14:paraId="57F14EE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0" w:type="auto"/>
            <w:vAlign w:val="center"/>
          </w:tcPr>
          <w:p w14:paraId="5F6CF637" w14:textId="77777777" w:rsidR="003B155E" w:rsidRPr="00567E52" w:rsidRDefault="00A52C19" w:rsidP="000D79D6">
            <w:pPr>
              <w:widowControl w:val="0"/>
              <w:tabs>
                <w:tab w:val="left" w:pos="562"/>
              </w:tabs>
              <w:rPr>
                <w:rFonts w:ascii="Times New Roman" w:hAnsi="Times New Roman" w:cs="Times New Roman"/>
              </w:rPr>
            </w:pPr>
            <w:r>
              <w:rPr>
                <w:rFonts w:ascii="Times New Roman" w:hAnsi="Times New Roman" w:cs="Times New Roman"/>
                <w:color w:val="000000"/>
              </w:rPr>
              <w:t>Atıkların</w:t>
            </w:r>
            <w:r w:rsidR="003B155E" w:rsidRPr="00567E52">
              <w:rPr>
                <w:rFonts w:ascii="Times New Roman" w:hAnsi="Times New Roman" w:cs="Times New Roman"/>
                <w:color w:val="000000"/>
              </w:rPr>
              <w:t xml:space="preserve"> ayrılması ve geri dönüşümü/geri kazanımı</w:t>
            </w:r>
          </w:p>
        </w:tc>
        <w:tc>
          <w:tcPr>
            <w:tcW w:w="0" w:type="auto"/>
            <w:vAlign w:val="center"/>
          </w:tcPr>
          <w:p w14:paraId="722E974F" w14:textId="77777777" w:rsidR="003B155E" w:rsidRPr="00567E52" w:rsidRDefault="00A52C19" w:rsidP="000D79D6">
            <w:pPr>
              <w:widowControl w:val="0"/>
              <w:tabs>
                <w:tab w:val="left" w:pos="562"/>
              </w:tabs>
              <w:rPr>
                <w:rFonts w:ascii="Times New Roman" w:hAnsi="Times New Roman" w:cs="Times New Roman"/>
              </w:rPr>
            </w:pPr>
            <w:r>
              <w:rPr>
                <w:rFonts w:ascii="Times New Roman" w:hAnsi="Times New Roman" w:cs="Times New Roman"/>
                <w:color w:val="000000"/>
              </w:rPr>
              <w:t>Atıklar</w:t>
            </w:r>
            <w:r w:rsidR="003B155E" w:rsidRPr="00567E52">
              <w:rPr>
                <w:rFonts w:ascii="Times New Roman" w:hAnsi="Times New Roman" w:cs="Times New Roman"/>
                <w:color w:val="000000"/>
              </w:rPr>
              <w:t>, geri dönüşüm ve geri kazanım amacıyla, doğru konumlandırılmış elekler, kapaklar, toplama kapları, damlama tepsileri ve oluklar kullanılarak ayrıştırılır.</w:t>
            </w:r>
          </w:p>
        </w:tc>
        <w:tc>
          <w:tcPr>
            <w:tcW w:w="0" w:type="auto"/>
            <w:vMerge/>
            <w:vAlign w:val="center"/>
          </w:tcPr>
          <w:p w14:paraId="006FB128"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6A7CC830" w14:textId="77777777" w:rsidTr="000D79D6">
        <w:tc>
          <w:tcPr>
            <w:tcW w:w="0" w:type="auto"/>
            <w:vAlign w:val="center"/>
          </w:tcPr>
          <w:p w14:paraId="137A833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0" w:type="auto"/>
            <w:vAlign w:val="center"/>
          </w:tcPr>
          <w:p w14:paraId="5E088070" w14:textId="77777777" w:rsidR="003B155E" w:rsidRPr="00567E52" w:rsidRDefault="00A52C19" w:rsidP="000D79D6">
            <w:pPr>
              <w:widowControl w:val="0"/>
              <w:tabs>
                <w:tab w:val="left" w:pos="562"/>
              </w:tabs>
              <w:rPr>
                <w:rFonts w:ascii="Times New Roman" w:hAnsi="Times New Roman" w:cs="Times New Roman"/>
              </w:rPr>
            </w:pPr>
            <w:r>
              <w:rPr>
                <w:rFonts w:ascii="Times New Roman" w:hAnsi="Times New Roman" w:cs="Times New Roman"/>
                <w:color w:val="000000"/>
              </w:rPr>
              <w:t>Biyometanizasyon</w:t>
            </w:r>
          </w:p>
        </w:tc>
        <w:tc>
          <w:tcPr>
            <w:tcW w:w="0" w:type="auto"/>
            <w:vAlign w:val="center"/>
          </w:tcPr>
          <w:p w14:paraId="07343004" w14:textId="77777777" w:rsidR="003B155E" w:rsidRPr="00567E52" w:rsidRDefault="00A52C19" w:rsidP="000D79D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Biyometanizasyon tesislerinde biyobozunur atıkların içerisindeki o</w:t>
            </w:r>
            <w:r w:rsidRPr="00FD73C0">
              <w:rPr>
                <w:rFonts w:ascii="Times New Roman" w:hAnsi="Times New Roman" w:cs="Times New Roman"/>
                <w:color w:val="000000"/>
              </w:rPr>
              <w:t>rganik maddelerin anaerobik mikroorganizmalarla ayrışması sırasında meydana gelen çok adımlı biyokimyasal reaksiy</w:t>
            </w:r>
            <w:r>
              <w:rPr>
                <w:rFonts w:ascii="Times New Roman" w:hAnsi="Times New Roman" w:cs="Times New Roman"/>
                <w:color w:val="000000"/>
              </w:rPr>
              <w:t>onlardan oluşan biyolojik süreç</w:t>
            </w:r>
            <w:r w:rsidRPr="00FD73C0" w:rsidDel="00FD73C0">
              <w:rPr>
                <w:rFonts w:ascii="Times New Roman" w:hAnsi="Times New Roman" w:cs="Times New Roman"/>
                <w:color w:val="000000"/>
              </w:rPr>
              <w:t xml:space="preserve"> </w:t>
            </w:r>
            <w:r>
              <w:rPr>
                <w:rFonts w:ascii="Times New Roman" w:hAnsi="Times New Roman" w:cs="Times New Roman"/>
                <w:color w:val="000000"/>
              </w:rPr>
              <w:t xml:space="preserve"> sonucunda</w:t>
            </w:r>
            <w:r w:rsidRPr="00567E52">
              <w:rPr>
                <w:rFonts w:ascii="Times New Roman" w:hAnsi="Times New Roman" w:cs="Times New Roman"/>
                <w:color w:val="000000"/>
              </w:rPr>
              <w:t xml:space="preserve"> biyogaz ve </w:t>
            </w:r>
            <w:r>
              <w:rPr>
                <w:rFonts w:ascii="Times New Roman" w:hAnsi="Times New Roman" w:cs="Times New Roman"/>
                <w:color w:val="000000"/>
              </w:rPr>
              <w:t xml:space="preserve"> katı fermente ürün ve sıvı fermente ürün</w:t>
            </w:r>
            <w:r w:rsidRPr="00567E52">
              <w:rPr>
                <w:rFonts w:ascii="Times New Roman" w:hAnsi="Times New Roman" w:cs="Times New Roman"/>
                <w:color w:val="000000"/>
              </w:rPr>
              <w:t xml:space="preserve"> </w:t>
            </w:r>
            <w:r>
              <w:rPr>
                <w:rFonts w:ascii="Times New Roman" w:hAnsi="Times New Roman" w:cs="Times New Roman"/>
                <w:color w:val="000000"/>
              </w:rPr>
              <w:t>üretilir.  Katı ve sıvı fermente ürün ilgili mevzuat çerçevesinde toprakta kullanılır.</w:t>
            </w:r>
            <w:r w:rsidRPr="00567E52">
              <w:rPr>
                <w:rFonts w:ascii="Times New Roman" w:hAnsi="Times New Roman" w:cs="Times New Roman"/>
                <w:color w:val="000000"/>
              </w:rPr>
              <w:t xml:space="preserve"> Biyogaz yakıt olarak, örneğin bir</w:t>
            </w:r>
            <w:r>
              <w:rPr>
                <w:rFonts w:ascii="Times New Roman" w:hAnsi="Times New Roman" w:cs="Times New Roman"/>
                <w:color w:val="000000"/>
              </w:rPr>
              <w:t xml:space="preserve"> gaz motorunda veya bir kazanda </w:t>
            </w:r>
            <w:r w:rsidRPr="00567E52">
              <w:rPr>
                <w:rFonts w:ascii="Times New Roman" w:hAnsi="Times New Roman" w:cs="Times New Roman"/>
                <w:color w:val="000000"/>
              </w:rPr>
              <w:t>kullanılır</w:t>
            </w:r>
            <w:r>
              <w:rPr>
                <w:rFonts w:ascii="Times New Roman" w:hAnsi="Times New Roman" w:cs="Times New Roman"/>
                <w:color w:val="000000"/>
              </w:rPr>
              <w:t>arak enerji geri kazanımı sağlanır.</w:t>
            </w:r>
          </w:p>
        </w:tc>
        <w:tc>
          <w:tcPr>
            <w:tcW w:w="0" w:type="auto"/>
            <w:vAlign w:val="center"/>
          </w:tcPr>
          <w:p w14:paraId="7822CF6F" w14:textId="77777777" w:rsidR="003B155E" w:rsidRPr="00567E52" w:rsidRDefault="00A52C19" w:rsidP="000D79D6">
            <w:pPr>
              <w:widowControl w:val="0"/>
              <w:tabs>
                <w:tab w:val="left" w:pos="562"/>
              </w:tabs>
              <w:rPr>
                <w:rFonts w:ascii="Times New Roman" w:hAnsi="Times New Roman" w:cs="Times New Roman"/>
              </w:rPr>
            </w:pPr>
            <w:r>
              <w:rPr>
                <w:rFonts w:ascii="Times New Roman" w:hAnsi="Times New Roman" w:cs="Times New Roman"/>
              </w:rPr>
              <w:t xml:space="preserve">Atık </w:t>
            </w:r>
            <w:r w:rsidR="003B155E" w:rsidRPr="00567E52">
              <w:rPr>
                <w:rFonts w:ascii="Times New Roman" w:hAnsi="Times New Roman" w:cs="Times New Roman"/>
              </w:rPr>
              <w:t>miktarı ve/veya niteliği nedeniyle uygulanamayabilir.</w:t>
            </w:r>
          </w:p>
        </w:tc>
      </w:tr>
      <w:tr w:rsidR="003B155E" w:rsidRPr="00567E52" w14:paraId="38051902" w14:textId="77777777" w:rsidTr="000D79D6">
        <w:tc>
          <w:tcPr>
            <w:tcW w:w="0" w:type="auto"/>
            <w:vAlign w:val="center"/>
          </w:tcPr>
          <w:p w14:paraId="5018C4C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w:t>
            </w:r>
          </w:p>
        </w:tc>
        <w:tc>
          <w:tcPr>
            <w:tcW w:w="0" w:type="auto"/>
            <w:vAlign w:val="center"/>
          </w:tcPr>
          <w:p w14:paraId="61431E33"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Strüvit olarak fosfor geri kazanımı.</w:t>
            </w:r>
          </w:p>
        </w:tc>
        <w:tc>
          <w:tcPr>
            <w:tcW w:w="0" w:type="auto"/>
            <w:vAlign w:val="center"/>
          </w:tcPr>
          <w:p w14:paraId="66EA850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Bkz. Bölüm 1.4.1.</w:t>
            </w:r>
          </w:p>
        </w:tc>
        <w:tc>
          <w:tcPr>
            <w:tcW w:w="0" w:type="auto"/>
            <w:vAlign w:val="center"/>
          </w:tcPr>
          <w:p w14:paraId="4DFE836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Yalnızca yüksek toplam fosfor içeriğine (örn. 50 mg/l’nin üzerinde) ve önemli bir akışa sahip atıksu akışları için geçerlidir.</w:t>
            </w:r>
          </w:p>
        </w:tc>
      </w:tr>
    </w:tbl>
    <w:p w14:paraId="369D39D8"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48C0DE52"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1.1.7. Su Emisyonları</w:t>
      </w:r>
    </w:p>
    <w:p w14:paraId="2A1DDB3D"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color w:val="000000"/>
          <w:spacing w:val="2"/>
          <w:kern w:val="0"/>
          <w:sz w:val="24"/>
          <w:szCs w:val="24"/>
          <w14:ligatures w14:val="none"/>
        </w:rPr>
        <w:t xml:space="preserve">MET 13: </w:t>
      </w:r>
      <w:r w:rsidRPr="00567E52">
        <w:rPr>
          <w:rFonts w:ascii="Times New Roman" w:eastAsia="Times New Roman" w:hAnsi="Times New Roman" w:cs="Times New Roman"/>
          <w:color w:val="000000"/>
          <w:spacing w:val="2"/>
          <w:kern w:val="0"/>
          <w:sz w:val="24"/>
          <w:szCs w:val="24"/>
          <w14:ligatures w14:val="none"/>
        </w:rPr>
        <w:t>Suya kontrolsüz kirliliğin önlenmesi amacıyla, atıksu için uygun bir tampon depolama kapasitesi sağlanır.</w:t>
      </w:r>
    </w:p>
    <w:p w14:paraId="567078C4"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33D5ED97" w14:textId="77777777" w:rsidR="003B155E" w:rsidRPr="00567E52" w:rsidRDefault="003B155E" w:rsidP="003B155E">
      <w:pPr>
        <w:spacing w:after="0" w:line="276" w:lineRule="auto"/>
        <w:jc w:val="both"/>
        <w:rPr>
          <w:rFonts w:ascii="Times New Roman" w:eastAsia="Times New Roman" w:hAnsi="Times New Roman" w:cs="Times New Roman"/>
          <w:i/>
          <w:iCs/>
          <w:color w:val="000000"/>
          <w:spacing w:val="2"/>
          <w:kern w:val="0"/>
          <w:sz w:val="24"/>
          <w:szCs w:val="24"/>
          <w14:ligatures w14:val="none"/>
        </w:rPr>
      </w:pPr>
      <w:r w:rsidRPr="00567E52">
        <w:rPr>
          <w:rFonts w:ascii="Times New Roman" w:eastAsia="Times New Roman" w:hAnsi="Times New Roman" w:cs="Times New Roman"/>
          <w:i/>
          <w:iCs/>
          <w:color w:val="000000"/>
          <w:spacing w:val="2"/>
          <w:kern w:val="0"/>
          <w:sz w:val="24"/>
          <w:szCs w:val="24"/>
          <w14:ligatures w14:val="none"/>
        </w:rPr>
        <w:t>Tanım</w:t>
      </w:r>
    </w:p>
    <w:p w14:paraId="31089365"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14:ligatures w14:val="none"/>
        </w:rPr>
      </w:pPr>
      <w:r w:rsidRPr="00567E52">
        <w:rPr>
          <w:rFonts w:ascii="Times New Roman" w:eastAsia="Times New Roman" w:hAnsi="Times New Roman" w:cs="Times New Roman"/>
          <w:bCs/>
          <w:spacing w:val="2"/>
          <w:kern w:val="0"/>
          <w:sz w:val="24"/>
          <w14:ligatures w14:val="none"/>
        </w:rPr>
        <w:t xml:space="preserve">Uygun tampon depolama kapasitesi, bir risk değerlendirmesiyle (kirleticinin/kirleticilerin niteliği, bu kirleticilerin daha sonraki atıksu arıtımı üzerindeki etkileri, alıcı ortam vb. dikkate alınarak) belirlenir. </w:t>
      </w:r>
    </w:p>
    <w:p w14:paraId="310B65DB"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14:ligatures w14:val="none"/>
        </w:rPr>
      </w:pPr>
      <w:r w:rsidRPr="00567E52">
        <w:rPr>
          <w:rFonts w:ascii="Times New Roman" w:eastAsia="Times New Roman" w:hAnsi="Times New Roman" w:cs="Times New Roman"/>
          <w:bCs/>
          <w:spacing w:val="2"/>
          <w:kern w:val="0"/>
          <w:sz w:val="24"/>
          <w14:ligatures w14:val="none"/>
        </w:rPr>
        <w:t>Bir tampon tankı genellikle, işletmenin en yoğun olduğu birkaç saatte oluşan atıksu miktarını depolamak için tasarlanır.</w:t>
      </w:r>
    </w:p>
    <w:p w14:paraId="1D4F4612"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14:ligatures w14:val="none"/>
        </w:rPr>
      </w:pPr>
      <w:r w:rsidRPr="00567E52">
        <w:rPr>
          <w:rFonts w:ascii="Times New Roman" w:eastAsia="Times New Roman" w:hAnsi="Times New Roman" w:cs="Times New Roman"/>
          <w:bCs/>
          <w:spacing w:val="2"/>
          <w:kern w:val="0"/>
          <w:sz w:val="24"/>
          <w14:ligatures w14:val="none"/>
        </w:rPr>
        <w:t>Bu tampon depolama alanından çıkan atıksular, uygun önlemler alındıktan sonra (örneğin; izleme, arıtma, yeniden kullanım) deşarj edilmektedir.</w:t>
      </w:r>
    </w:p>
    <w:p w14:paraId="053FED45" w14:textId="77777777" w:rsidR="003B155E" w:rsidRPr="00567E52"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007E238C" w14:textId="77777777" w:rsidR="003B155E" w:rsidRPr="00567E52" w:rsidRDefault="003B155E" w:rsidP="003B155E">
      <w:pPr>
        <w:spacing w:after="0" w:line="276" w:lineRule="auto"/>
        <w:jc w:val="both"/>
        <w:rPr>
          <w:rFonts w:ascii="Times New Roman" w:eastAsia="Times New Roman" w:hAnsi="Times New Roman" w:cs="Times New Roman"/>
          <w:bCs/>
          <w:i/>
          <w:iCs/>
          <w:spacing w:val="2"/>
          <w:kern w:val="0"/>
          <w:sz w:val="24"/>
          <w14:ligatures w14:val="none"/>
        </w:rPr>
      </w:pPr>
      <w:r w:rsidRPr="00567E52">
        <w:rPr>
          <w:rFonts w:ascii="Times New Roman" w:eastAsia="Times New Roman" w:hAnsi="Times New Roman" w:cs="Times New Roman"/>
          <w:bCs/>
          <w:i/>
          <w:iCs/>
          <w:spacing w:val="2"/>
          <w:kern w:val="0"/>
          <w:sz w:val="24"/>
          <w14:ligatures w14:val="none"/>
        </w:rPr>
        <w:t>Uygulanabilirlik</w:t>
      </w:r>
    </w:p>
    <w:bookmarkEnd w:id="7"/>
    <w:bookmarkEnd w:id="8"/>
    <w:p w14:paraId="02265D2C" w14:textId="77777777" w:rsidR="003B155E" w:rsidRPr="00567E52" w:rsidRDefault="003B155E" w:rsidP="003B155E">
      <w:pPr>
        <w:widowControl w:val="0"/>
        <w:spacing w:after="0" w:line="240" w:lineRule="auto"/>
        <w:ind w:right="23"/>
        <w:jc w:val="both"/>
        <w:rPr>
          <w:rFonts w:ascii="Times New Roman" w:eastAsia="Times New Roman" w:hAnsi="Times New Roman" w:cs="Times New Roman"/>
          <w:bCs/>
          <w:spacing w:val="2"/>
          <w:kern w:val="0"/>
          <w:sz w:val="24"/>
          <w14:ligatures w14:val="none"/>
        </w:rPr>
      </w:pPr>
      <w:r w:rsidRPr="00567E52">
        <w:rPr>
          <w:rFonts w:ascii="Times New Roman" w:eastAsia="Times New Roman" w:hAnsi="Times New Roman" w:cs="Times New Roman"/>
          <w:bCs/>
          <w:spacing w:val="2"/>
          <w:kern w:val="0"/>
          <w:sz w:val="24"/>
          <w14:ligatures w14:val="none"/>
        </w:rPr>
        <w:t>Mevcut tesislerde, alan yetersizliği ve/veya atıksu toplama sisteminin yerleşim düzeni nedeniyle teknik uygulanamayabilir.</w:t>
      </w:r>
    </w:p>
    <w:p w14:paraId="14D11404" w14:textId="77777777" w:rsidR="003B155E" w:rsidRPr="00567E52" w:rsidRDefault="003B155E" w:rsidP="003B155E">
      <w:pPr>
        <w:widowControl w:val="0"/>
        <w:spacing w:after="0" w:line="240" w:lineRule="auto"/>
        <w:ind w:right="23"/>
        <w:jc w:val="both"/>
        <w:rPr>
          <w:rFonts w:ascii="Times New Roman" w:eastAsia="Times New Roman" w:hAnsi="Times New Roman" w:cs="Times New Roman"/>
          <w:kern w:val="0"/>
          <w:sz w:val="24"/>
          <w:szCs w:val="24"/>
          <w:lang w:eastAsia="tr-TR"/>
          <w14:ligatures w14:val="none"/>
        </w:rPr>
      </w:pPr>
    </w:p>
    <w:p w14:paraId="33F990D1"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14:ligatures w14:val="none"/>
        </w:rPr>
      </w:pPr>
      <w:bookmarkStart w:id="9" w:name="bookmark1421"/>
      <w:r w:rsidRPr="00567E52">
        <w:rPr>
          <w:rFonts w:ascii="Times New Roman" w:eastAsia="Times New Roman" w:hAnsi="Times New Roman" w:cs="Times New Roman"/>
          <w:b/>
          <w:bCs/>
          <w:color w:val="000000"/>
          <w:spacing w:val="2"/>
          <w:kern w:val="0"/>
          <w:sz w:val="24"/>
          <w:szCs w:val="24"/>
          <w14:ligatures w14:val="none"/>
        </w:rPr>
        <w:lastRenderedPageBreak/>
        <w:t xml:space="preserve">MET 14: </w:t>
      </w:r>
      <w:bookmarkEnd w:id="9"/>
      <w:r w:rsidRPr="00567E52">
        <w:rPr>
          <w:rFonts w:ascii="Times New Roman" w:eastAsia="Times New Roman" w:hAnsi="Times New Roman" w:cs="Times New Roman"/>
          <w:bCs/>
          <w:spacing w:val="2"/>
          <w:kern w:val="0"/>
          <w:sz w:val="24"/>
          <w14:ligatures w14:val="none"/>
        </w:rPr>
        <w:t>Su emisyonlarını azaltmak için aşağıda verilen tekniklerin uygun bir kombinasyonu kullanılır.</w:t>
      </w:r>
    </w:p>
    <w:tbl>
      <w:tblPr>
        <w:tblStyle w:val="TabloKlavuzu9"/>
        <w:tblW w:w="5000" w:type="pct"/>
        <w:tblLook w:val="04A0" w:firstRow="1" w:lastRow="0" w:firstColumn="1" w:lastColumn="0" w:noHBand="0" w:noVBand="1"/>
      </w:tblPr>
      <w:tblGrid>
        <w:gridCol w:w="518"/>
        <w:gridCol w:w="2775"/>
        <w:gridCol w:w="2784"/>
        <w:gridCol w:w="2985"/>
      </w:tblGrid>
      <w:tr w:rsidR="003B155E" w:rsidRPr="00567E52" w14:paraId="5EADF1B3" w14:textId="77777777" w:rsidTr="000D79D6">
        <w:tc>
          <w:tcPr>
            <w:tcW w:w="1817" w:type="pct"/>
            <w:gridSpan w:val="2"/>
            <w:vAlign w:val="center"/>
          </w:tcPr>
          <w:p w14:paraId="0835655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Teknik (</w:t>
            </w:r>
            <w:r w:rsidRPr="00567E52">
              <w:rPr>
                <w:rFonts w:ascii="Times New Roman" w:hAnsi="Times New Roman" w:cs="Times New Roman"/>
                <w:vertAlign w:val="superscript"/>
              </w:rPr>
              <w:t>1</w:t>
            </w:r>
            <w:r w:rsidRPr="00567E52">
              <w:rPr>
                <w:rFonts w:ascii="Times New Roman" w:hAnsi="Times New Roman" w:cs="Times New Roman"/>
              </w:rPr>
              <w:t>)</w:t>
            </w:r>
          </w:p>
        </w:tc>
        <w:tc>
          <w:tcPr>
            <w:tcW w:w="1536" w:type="pct"/>
            <w:vAlign w:val="center"/>
          </w:tcPr>
          <w:p w14:paraId="037CF69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Hedeflenen tipik kirleticiler</w:t>
            </w:r>
          </w:p>
        </w:tc>
        <w:tc>
          <w:tcPr>
            <w:tcW w:w="1647" w:type="pct"/>
            <w:vAlign w:val="center"/>
          </w:tcPr>
          <w:p w14:paraId="6C0D8B8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Uygulanabilirlik</w:t>
            </w:r>
          </w:p>
        </w:tc>
      </w:tr>
      <w:tr w:rsidR="003B155E" w:rsidRPr="00567E52" w14:paraId="6D5C82C8" w14:textId="77777777" w:rsidTr="000D79D6">
        <w:tc>
          <w:tcPr>
            <w:tcW w:w="5000" w:type="pct"/>
            <w:gridSpan w:val="4"/>
            <w:vAlign w:val="center"/>
          </w:tcPr>
          <w:p w14:paraId="521E3ED0" w14:textId="77777777" w:rsidR="003B155E" w:rsidRPr="00567E52" w:rsidRDefault="003B155E" w:rsidP="000D79D6">
            <w:pPr>
              <w:widowControl w:val="0"/>
              <w:rPr>
                <w:rFonts w:ascii="Times New Roman" w:hAnsi="Times New Roman" w:cs="Times New Roman"/>
                <w:i/>
                <w:iCs/>
                <w:color w:val="000000"/>
              </w:rPr>
            </w:pPr>
            <w:r w:rsidRPr="00567E52">
              <w:rPr>
                <w:rFonts w:ascii="Times New Roman" w:hAnsi="Times New Roman" w:cs="Times New Roman"/>
                <w:i/>
                <w:iCs/>
                <w:color w:val="000000"/>
              </w:rPr>
              <w:t>Ön, birincil ve genel arıtma</w:t>
            </w:r>
          </w:p>
        </w:tc>
      </w:tr>
      <w:tr w:rsidR="003B155E" w:rsidRPr="00567E52" w14:paraId="76C6F4D1" w14:textId="77777777" w:rsidTr="000D79D6">
        <w:tc>
          <w:tcPr>
            <w:tcW w:w="286" w:type="pct"/>
            <w:vAlign w:val="center"/>
          </w:tcPr>
          <w:p w14:paraId="11122EF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1531" w:type="pct"/>
            <w:vAlign w:val="center"/>
          </w:tcPr>
          <w:p w14:paraId="01A07A6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Dengeleme</w:t>
            </w:r>
          </w:p>
        </w:tc>
        <w:tc>
          <w:tcPr>
            <w:tcW w:w="1536" w:type="pct"/>
            <w:vAlign w:val="center"/>
          </w:tcPr>
          <w:p w14:paraId="0484452B" w14:textId="77777777" w:rsidR="003B155E" w:rsidRPr="00567E52" w:rsidRDefault="003B155E" w:rsidP="000D79D6">
            <w:pPr>
              <w:pBdr>
                <w:top w:val="nil"/>
                <w:left w:val="nil"/>
                <w:bottom w:val="nil"/>
                <w:right w:val="nil"/>
                <w:between w:val="nil"/>
              </w:pBdr>
              <w:ind w:left="38"/>
              <w:rPr>
                <w:rFonts w:ascii="Times New Roman" w:hAnsi="Times New Roman" w:cs="Times New Roman"/>
                <w:color w:val="000000"/>
              </w:rPr>
            </w:pPr>
            <w:r w:rsidRPr="00567E52">
              <w:rPr>
                <w:rFonts w:ascii="Times New Roman" w:hAnsi="Times New Roman" w:cs="Times New Roman"/>
                <w:color w:val="000000"/>
              </w:rPr>
              <w:t>Bütün kirleticiler</w:t>
            </w:r>
          </w:p>
        </w:tc>
        <w:tc>
          <w:tcPr>
            <w:tcW w:w="1647" w:type="pct"/>
            <w:vMerge w:val="restart"/>
            <w:vAlign w:val="center"/>
          </w:tcPr>
          <w:p w14:paraId="615E393E"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7C8874A2" w14:textId="77777777" w:rsidTr="000D79D6">
        <w:tc>
          <w:tcPr>
            <w:tcW w:w="286" w:type="pct"/>
            <w:vAlign w:val="center"/>
          </w:tcPr>
          <w:p w14:paraId="49AAE91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1531" w:type="pct"/>
            <w:vAlign w:val="center"/>
          </w:tcPr>
          <w:p w14:paraId="3CBCF83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Nötralizasyon</w:t>
            </w:r>
          </w:p>
        </w:tc>
        <w:tc>
          <w:tcPr>
            <w:tcW w:w="1536" w:type="pct"/>
            <w:vAlign w:val="center"/>
          </w:tcPr>
          <w:p w14:paraId="388C10AE"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Asitler ve alkali kirleticiler</w:t>
            </w:r>
          </w:p>
        </w:tc>
        <w:tc>
          <w:tcPr>
            <w:tcW w:w="1647" w:type="pct"/>
            <w:vMerge/>
            <w:vAlign w:val="center"/>
          </w:tcPr>
          <w:p w14:paraId="7068B8DA"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776D04CE" w14:textId="77777777" w:rsidTr="000D79D6">
        <w:tc>
          <w:tcPr>
            <w:tcW w:w="286" w:type="pct"/>
            <w:vAlign w:val="center"/>
          </w:tcPr>
          <w:p w14:paraId="19EF6B5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1531" w:type="pct"/>
            <w:vAlign w:val="center"/>
          </w:tcPr>
          <w:p w14:paraId="10F6495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 xml:space="preserve">Fiziksel </w:t>
            </w:r>
            <w:r w:rsidRPr="00567E52">
              <w:rPr>
                <w:rFonts w:ascii="Times New Roman" w:hAnsi="Times New Roman" w:cs="Times New Roman"/>
              </w:rPr>
              <w:t>a</w:t>
            </w:r>
            <w:r w:rsidRPr="00567E52">
              <w:rPr>
                <w:rFonts w:ascii="Times New Roman" w:hAnsi="Times New Roman" w:cs="Times New Roman"/>
                <w:color w:val="000000"/>
              </w:rPr>
              <w:t>yırma (</w:t>
            </w:r>
            <w:r w:rsidRPr="00567E52">
              <w:rPr>
                <w:rFonts w:ascii="Times New Roman" w:hAnsi="Times New Roman" w:cs="Times New Roman"/>
              </w:rPr>
              <w:t>örneğin, ızgara, elek, kum tutucu, yağ tutucu veya birincil çökelme tankı</w:t>
            </w:r>
            <w:r w:rsidRPr="00567E52">
              <w:rPr>
                <w:rFonts w:ascii="Times New Roman" w:hAnsi="Times New Roman" w:cs="Times New Roman"/>
                <w:color w:val="000000"/>
              </w:rPr>
              <w:t>)</w:t>
            </w:r>
          </w:p>
        </w:tc>
        <w:tc>
          <w:tcPr>
            <w:tcW w:w="1536" w:type="pct"/>
            <w:vAlign w:val="center"/>
          </w:tcPr>
          <w:p w14:paraId="5367784C" w14:textId="77777777" w:rsidR="003B155E" w:rsidRPr="00567E52" w:rsidRDefault="003B155E" w:rsidP="000D79D6">
            <w:pPr>
              <w:pBdr>
                <w:top w:val="nil"/>
                <w:left w:val="nil"/>
                <w:bottom w:val="nil"/>
                <w:right w:val="nil"/>
                <w:between w:val="nil"/>
              </w:pBdr>
              <w:ind w:left="39"/>
              <w:rPr>
                <w:rFonts w:ascii="Times New Roman" w:hAnsi="Times New Roman" w:cs="Times New Roman"/>
                <w:color w:val="000000"/>
              </w:rPr>
            </w:pPr>
            <w:r w:rsidRPr="00567E52">
              <w:rPr>
                <w:rFonts w:ascii="Times New Roman" w:hAnsi="Times New Roman" w:cs="Times New Roman"/>
                <w:color w:val="000000"/>
              </w:rPr>
              <w:t>Büyük katı maddeler, askıda katı maddeler, yağ/gres</w:t>
            </w:r>
          </w:p>
        </w:tc>
        <w:tc>
          <w:tcPr>
            <w:tcW w:w="1647" w:type="pct"/>
            <w:vMerge/>
            <w:vAlign w:val="center"/>
          </w:tcPr>
          <w:p w14:paraId="437EED93"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362F2036" w14:textId="77777777" w:rsidTr="000D79D6">
        <w:tc>
          <w:tcPr>
            <w:tcW w:w="5000" w:type="pct"/>
            <w:gridSpan w:val="4"/>
            <w:vAlign w:val="center"/>
          </w:tcPr>
          <w:p w14:paraId="2C5E3BF6" w14:textId="77777777" w:rsidR="003B155E" w:rsidRPr="00567E52" w:rsidRDefault="003B155E" w:rsidP="000D79D6">
            <w:pPr>
              <w:widowControl w:val="0"/>
              <w:rPr>
                <w:rFonts w:ascii="Times New Roman" w:hAnsi="Times New Roman" w:cs="Times New Roman"/>
                <w:i/>
                <w:iCs/>
                <w:color w:val="000000"/>
              </w:rPr>
            </w:pPr>
            <w:r w:rsidRPr="00567E52">
              <w:rPr>
                <w:rFonts w:ascii="Times New Roman" w:hAnsi="Times New Roman" w:cs="Times New Roman"/>
                <w:i/>
                <w:iCs/>
                <w:color w:val="000000"/>
              </w:rPr>
              <w:t>Fiziko-kimyasal arıtma</w:t>
            </w:r>
          </w:p>
        </w:tc>
      </w:tr>
      <w:tr w:rsidR="003B155E" w:rsidRPr="00567E52" w14:paraId="7422578E" w14:textId="77777777" w:rsidTr="000D79D6">
        <w:tc>
          <w:tcPr>
            <w:tcW w:w="286" w:type="pct"/>
            <w:vAlign w:val="center"/>
          </w:tcPr>
          <w:p w14:paraId="48F39B4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w:t>
            </w:r>
          </w:p>
        </w:tc>
        <w:tc>
          <w:tcPr>
            <w:tcW w:w="1531" w:type="pct"/>
            <w:vAlign w:val="center"/>
          </w:tcPr>
          <w:p w14:paraId="4498963C"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Çöktürme</w:t>
            </w:r>
          </w:p>
        </w:tc>
        <w:tc>
          <w:tcPr>
            <w:tcW w:w="1536" w:type="pct"/>
            <w:vAlign w:val="center"/>
          </w:tcPr>
          <w:p w14:paraId="2CC8526A" w14:textId="77777777" w:rsidR="003B155E" w:rsidRPr="00567E52" w:rsidRDefault="003B155E" w:rsidP="000D79D6">
            <w:pPr>
              <w:pBdr>
                <w:top w:val="nil"/>
                <w:left w:val="nil"/>
                <w:bottom w:val="nil"/>
                <w:right w:val="nil"/>
                <w:between w:val="nil"/>
              </w:pBdr>
              <w:ind w:left="39"/>
              <w:rPr>
                <w:rFonts w:ascii="Times New Roman" w:hAnsi="Times New Roman" w:cs="Times New Roman"/>
                <w:color w:val="000000"/>
              </w:rPr>
            </w:pPr>
            <w:r w:rsidRPr="00567E52">
              <w:rPr>
                <w:rFonts w:ascii="Times New Roman" w:hAnsi="Times New Roman" w:cs="Times New Roman"/>
                <w:color w:val="000000"/>
              </w:rPr>
              <w:t>Çökebilen çözünmüş biyolojik olarak parçalanmayan veya engelleyici kirleticiler, örneğin metaller.</w:t>
            </w:r>
          </w:p>
        </w:tc>
        <w:tc>
          <w:tcPr>
            <w:tcW w:w="1647" w:type="pct"/>
            <w:vMerge w:val="restart"/>
            <w:vAlign w:val="center"/>
          </w:tcPr>
          <w:p w14:paraId="1C0E8573"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2CF6C54A" w14:textId="77777777" w:rsidTr="000D79D6">
        <w:tc>
          <w:tcPr>
            <w:tcW w:w="286" w:type="pct"/>
            <w:vAlign w:val="center"/>
          </w:tcPr>
          <w:p w14:paraId="6485C71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(e)</w:t>
            </w:r>
          </w:p>
        </w:tc>
        <w:tc>
          <w:tcPr>
            <w:tcW w:w="1531" w:type="pct"/>
            <w:vAlign w:val="center"/>
          </w:tcPr>
          <w:p w14:paraId="7B32A0F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Kimyasal oksidasyon (örn. ozon)</w:t>
            </w:r>
          </w:p>
        </w:tc>
        <w:tc>
          <w:tcPr>
            <w:tcW w:w="1536" w:type="pct"/>
            <w:vAlign w:val="center"/>
          </w:tcPr>
          <w:p w14:paraId="605693CD" w14:textId="77777777" w:rsidR="003B155E" w:rsidRPr="00567E52" w:rsidRDefault="003B155E" w:rsidP="000D79D6">
            <w:pPr>
              <w:pBdr>
                <w:top w:val="nil"/>
                <w:left w:val="nil"/>
                <w:bottom w:val="nil"/>
                <w:right w:val="nil"/>
                <w:between w:val="nil"/>
              </w:pBdr>
              <w:ind w:left="39"/>
              <w:rPr>
                <w:rFonts w:ascii="Times New Roman" w:hAnsi="Times New Roman" w:cs="Times New Roman"/>
                <w:color w:val="000000"/>
              </w:rPr>
            </w:pPr>
            <w:r w:rsidRPr="00567E52">
              <w:rPr>
                <w:rFonts w:ascii="Times New Roman" w:hAnsi="Times New Roman" w:cs="Times New Roman"/>
                <w:color w:val="000000"/>
              </w:rPr>
              <w:t>İndirgenebilir çözünmüş biyolojik olarak parçalanmayan veya engelleyici kirleticiler, örneğin AOX, antimikrobiyal dirençli bakteriler</w:t>
            </w:r>
          </w:p>
        </w:tc>
        <w:tc>
          <w:tcPr>
            <w:tcW w:w="1647" w:type="pct"/>
            <w:vMerge/>
            <w:vAlign w:val="center"/>
          </w:tcPr>
          <w:p w14:paraId="7470F869"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748A9778" w14:textId="77777777" w:rsidTr="000D79D6">
        <w:tc>
          <w:tcPr>
            <w:tcW w:w="5000" w:type="pct"/>
            <w:gridSpan w:val="4"/>
            <w:vAlign w:val="center"/>
          </w:tcPr>
          <w:p w14:paraId="11FB6627" w14:textId="77777777" w:rsidR="003B155E" w:rsidRPr="00567E52" w:rsidRDefault="003B155E" w:rsidP="000D79D6">
            <w:pPr>
              <w:widowControl w:val="0"/>
              <w:rPr>
                <w:rFonts w:ascii="Times New Roman" w:hAnsi="Times New Roman" w:cs="Times New Roman"/>
                <w:i/>
                <w:iCs/>
                <w:color w:val="000000"/>
              </w:rPr>
            </w:pPr>
            <w:r w:rsidRPr="00567E52">
              <w:rPr>
                <w:rFonts w:ascii="Times New Roman" w:hAnsi="Times New Roman" w:cs="Times New Roman"/>
                <w:i/>
                <w:iCs/>
                <w:color w:val="000000"/>
              </w:rPr>
              <w:t>Aerobik ve/veya anaerobik arıtma (ikincil arıtım)</w:t>
            </w:r>
          </w:p>
        </w:tc>
      </w:tr>
      <w:tr w:rsidR="003B155E" w:rsidRPr="00567E52" w14:paraId="2D5E1AAD" w14:textId="77777777" w:rsidTr="000D79D6">
        <w:tc>
          <w:tcPr>
            <w:tcW w:w="286" w:type="pct"/>
            <w:vAlign w:val="center"/>
          </w:tcPr>
          <w:p w14:paraId="03E1C45E"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(f)</w:t>
            </w:r>
          </w:p>
        </w:tc>
        <w:tc>
          <w:tcPr>
            <w:tcW w:w="1531" w:type="pct"/>
            <w:vAlign w:val="center"/>
          </w:tcPr>
          <w:p w14:paraId="073701A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Aerobik ve/veya anaerobik arıtma (ikincil arıtma), örneğin aktif çamur prosesi, aerobik lagün, anaerobik temas prosesi, membran biyoreaktör.</w:t>
            </w:r>
          </w:p>
        </w:tc>
        <w:tc>
          <w:tcPr>
            <w:tcW w:w="1536" w:type="pct"/>
            <w:vAlign w:val="center"/>
          </w:tcPr>
          <w:p w14:paraId="6447EDD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Biyolojik olarak parçalanabilen organik bileşikler</w:t>
            </w:r>
          </w:p>
        </w:tc>
        <w:tc>
          <w:tcPr>
            <w:tcW w:w="1647" w:type="pct"/>
            <w:vAlign w:val="center"/>
          </w:tcPr>
          <w:p w14:paraId="367B259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35D85F14" w14:textId="77777777" w:rsidTr="000D79D6">
        <w:tc>
          <w:tcPr>
            <w:tcW w:w="5000" w:type="pct"/>
            <w:gridSpan w:val="4"/>
            <w:vAlign w:val="center"/>
          </w:tcPr>
          <w:p w14:paraId="0E322C40" w14:textId="77777777" w:rsidR="003B155E" w:rsidRPr="00567E52" w:rsidRDefault="003B155E" w:rsidP="000D79D6">
            <w:pPr>
              <w:widowControl w:val="0"/>
              <w:rPr>
                <w:rFonts w:ascii="Times New Roman" w:hAnsi="Times New Roman" w:cs="Times New Roman"/>
                <w:i/>
                <w:iCs/>
                <w:color w:val="000000"/>
              </w:rPr>
            </w:pPr>
            <w:r w:rsidRPr="00567E52">
              <w:rPr>
                <w:rFonts w:ascii="Times New Roman" w:hAnsi="Times New Roman" w:cs="Times New Roman"/>
                <w:i/>
                <w:iCs/>
                <w:color w:val="000000"/>
              </w:rPr>
              <w:t>Azot giderimi</w:t>
            </w:r>
          </w:p>
        </w:tc>
      </w:tr>
      <w:tr w:rsidR="003B155E" w:rsidRPr="00567E52" w14:paraId="5F63029B" w14:textId="77777777" w:rsidTr="000D79D6">
        <w:trPr>
          <w:trHeight w:val="2128"/>
        </w:trPr>
        <w:tc>
          <w:tcPr>
            <w:tcW w:w="286" w:type="pct"/>
            <w:vAlign w:val="center"/>
          </w:tcPr>
          <w:p w14:paraId="48C4553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w:t>
            </w:r>
          </w:p>
        </w:tc>
        <w:tc>
          <w:tcPr>
            <w:tcW w:w="1531" w:type="pct"/>
            <w:vAlign w:val="center"/>
          </w:tcPr>
          <w:p w14:paraId="2F05D561"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rPr>
              <w:t>Nitrifikasyon ve/veya denitrifikasyon</w:t>
            </w:r>
          </w:p>
        </w:tc>
        <w:tc>
          <w:tcPr>
            <w:tcW w:w="1536" w:type="pct"/>
            <w:vAlign w:val="center"/>
          </w:tcPr>
          <w:p w14:paraId="0DD7BF23"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color w:val="000000"/>
              </w:rPr>
              <w:t>Toplam azot, amonyum/ amonyak</w:t>
            </w:r>
          </w:p>
        </w:tc>
        <w:tc>
          <w:tcPr>
            <w:tcW w:w="1647" w:type="pct"/>
            <w:vAlign w:val="center"/>
          </w:tcPr>
          <w:p w14:paraId="28CC4D7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Yüksek klorür konsantrasyonlarında (örneğin 10 g/l’nin üzerinde) nitrifikasyon uygulanamayabilir.</w:t>
            </w:r>
          </w:p>
          <w:p w14:paraId="40C4F7C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Atıksu sıcaklığının düşük (örneğin 12°C’nin altında) olması durumunda nitrifikasyon uygulanamayabilir.</w:t>
            </w:r>
          </w:p>
        </w:tc>
      </w:tr>
      <w:tr w:rsidR="003B155E" w:rsidRPr="00567E52" w14:paraId="5155EBB2" w14:textId="77777777" w:rsidTr="000D79D6">
        <w:tc>
          <w:tcPr>
            <w:tcW w:w="5000" w:type="pct"/>
            <w:gridSpan w:val="4"/>
            <w:vAlign w:val="center"/>
          </w:tcPr>
          <w:p w14:paraId="7467E8AB" w14:textId="77777777" w:rsidR="003B155E" w:rsidRPr="00567E52" w:rsidRDefault="003B155E" w:rsidP="000D79D6">
            <w:pPr>
              <w:widowControl w:val="0"/>
              <w:rPr>
                <w:rFonts w:ascii="Times New Roman" w:hAnsi="Times New Roman" w:cs="Times New Roman"/>
                <w:i/>
                <w:iCs/>
                <w:color w:val="000000"/>
              </w:rPr>
            </w:pPr>
            <w:r w:rsidRPr="00567E52">
              <w:rPr>
                <w:rFonts w:ascii="Times New Roman" w:hAnsi="Times New Roman" w:cs="Times New Roman"/>
                <w:i/>
                <w:iCs/>
                <w:color w:val="000000"/>
              </w:rPr>
              <w:t>Fosfor giderimi</w:t>
            </w:r>
          </w:p>
        </w:tc>
      </w:tr>
      <w:tr w:rsidR="003B155E" w:rsidRPr="00567E52" w14:paraId="75E7A094" w14:textId="77777777" w:rsidTr="000D79D6">
        <w:tc>
          <w:tcPr>
            <w:tcW w:w="286" w:type="pct"/>
            <w:vAlign w:val="center"/>
          </w:tcPr>
          <w:p w14:paraId="683FE40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(h)</w:t>
            </w:r>
          </w:p>
        </w:tc>
        <w:tc>
          <w:tcPr>
            <w:tcW w:w="1531" w:type="pct"/>
            <w:vAlign w:val="center"/>
          </w:tcPr>
          <w:p w14:paraId="761ADA1E"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Çöktürme</w:t>
            </w:r>
          </w:p>
        </w:tc>
        <w:tc>
          <w:tcPr>
            <w:tcW w:w="1536" w:type="pct"/>
            <w:vMerge w:val="restart"/>
            <w:vAlign w:val="center"/>
          </w:tcPr>
          <w:p w14:paraId="7F2EB658" w14:textId="77777777" w:rsidR="003B155E" w:rsidRPr="00567E52" w:rsidRDefault="003B155E" w:rsidP="000D79D6">
            <w:pPr>
              <w:widowControl w:val="0"/>
              <w:shd w:val="clear" w:color="auto" w:fill="FFFFFF"/>
              <w:rPr>
                <w:rFonts w:ascii="Times New Roman" w:hAnsi="Times New Roman" w:cs="Times New Roman"/>
                <w:color w:val="000000"/>
              </w:rPr>
            </w:pPr>
            <w:r w:rsidRPr="00567E52">
              <w:rPr>
                <w:rFonts w:ascii="Times New Roman" w:hAnsi="Times New Roman" w:cs="Times New Roman"/>
                <w:color w:val="000000"/>
              </w:rPr>
              <w:t>Toplam fosfor</w:t>
            </w:r>
          </w:p>
        </w:tc>
        <w:tc>
          <w:tcPr>
            <w:tcW w:w="1647" w:type="pct"/>
            <w:vMerge w:val="restart"/>
            <w:vAlign w:val="center"/>
          </w:tcPr>
          <w:p w14:paraId="3E163B24"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Genel olarak uygulanabilir.</w:t>
            </w:r>
          </w:p>
        </w:tc>
      </w:tr>
      <w:tr w:rsidR="003B155E" w:rsidRPr="00567E52" w14:paraId="32300638" w14:textId="77777777" w:rsidTr="000D79D6">
        <w:tc>
          <w:tcPr>
            <w:tcW w:w="286" w:type="pct"/>
            <w:vAlign w:val="center"/>
          </w:tcPr>
          <w:p w14:paraId="5208391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(i)</w:t>
            </w:r>
          </w:p>
        </w:tc>
        <w:tc>
          <w:tcPr>
            <w:tcW w:w="1531" w:type="pct"/>
            <w:vAlign w:val="center"/>
          </w:tcPr>
          <w:p w14:paraId="2081F8DA"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İleri biyolojik fosfor giderimi</w:t>
            </w:r>
          </w:p>
        </w:tc>
        <w:tc>
          <w:tcPr>
            <w:tcW w:w="1536" w:type="pct"/>
            <w:vMerge/>
            <w:vAlign w:val="center"/>
          </w:tcPr>
          <w:p w14:paraId="35347519" w14:textId="77777777" w:rsidR="003B155E" w:rsidRPr="00567E52" w:rsidRDefault="003B155E" w:rsidP="000D79D6">
            <w:pPr>
              <w:widowControl w:val="0"/>
              <w:shd w:val="clear" w:color="auto" w:fill="FFFFFF"/>
              <w:rPr>
                <w:rFonts w:ascii="Times New Roman" w:hAnsi="Times New Roman" w:cs="Times New Roman"/>
                <w:color w:val="000000"/>
              </w:rPr>
            </w:pPr>
          </w:p>
        </w:tc>
        <w:tc>
          <w:tcPr>
            <w:tcW w:w="1647" w:type="pct"/>
            <w:vMerge/>
            <w:vAlign w:val="center"/>
          </w:tcPr>
          <w:p w14:paraId="387D18DF"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7E2381C7" w14:textId="77777777" w:rsidTr="000D79D6">
        <w:tc>
          <w:tcPr>
            <w:tcW w:w="286" w:type="pct"/>
            <w:vAlign w:val="center"/>
          </w:tcPr>
          <w:p w14:paraId="776B58B3"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(j)</w:t>
            </w:r>
          </w:p>
        </w:tc>
        <w:tc>
          <w:tcPr>
            <w:tcW w:w="1531" w:type="pct"/>
            <w:vAlign w:val="center"/>
          </w:tcPr>
          <w:p w14:paraId="6C36BA5E"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Strüvit olarak fosfor geri kazanımı</w:t>
            </w:r>
          </w:p>
        </w:tc>
        <w:tc>
          <w:tcPr>
            <w:tcW w:w="1536" w:type="pct"/>
            <w:vMerge/>
            <w:vAlign w:val="center"/>
          </w:tcPr>
          <w:p w14:paraId="0A98A55B" w14:textId="77777777" w:rsidR="003B155E" w:rsidRPr="00567E52" w:rsidRDefault="003B155E" w:rsidP="000D79D6">
            <w:pPr>
              <w:widowControl w:val="0"/>
              <w:shd w:val="clear" w:color="auto" w:fill="FFFFFF"/>
              <w:rPr>
                <w:rFonts w:ascii="Times New Roman" w:hAnsi="Times New Roman" w:cs="Times New Roman"/>
                <w:color w:val="000000"/>
              </w:rPr>
            </w:pPr>
          </w:p>
        </w:tc>
        <w:tc>
          <w:tcPr>
            <w:tcW w:w="1647" w:type="pct"/>
            <w:vAlign w:val="center"/>
          </w:tcPr>
          <w:p w14:paraId="1D0C5B9E"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Yalnızca toplam fosfor içeriği yüksek (örn. 50 mg/l'nin üzerinde) ve önemli bir akışa sahip atıksu akımları için geçerlidir.</w:t>
            </w:r>
          </w:p>
        </w:tc>
      </w:tr>
      <w:tr w:rsidR="003B155E" w:rsidRPr="00567E52" w14:paraId="551C9FB1" w14:textId="77777777" w:rsidTr="000D79D6">
        <w:tc>
          <w:tcPr>
            <w:tcW w:w="5000" w:type="pct"/>
            <w:gridSpan w:val="4"/>
            <w:vAlign w:val="center"/>
          </w:tcPr>
          <w:p w14:paraId="3336B724" w14:textId="77777777" w:rsidR="003B155E" w:rsidRPr="00567E52" w:rsidRDefault="003B155E" w:rsidP="000D79D6">
            <w:pPr>
              <w:widowControl w:val="0"/>
              <w:shd w:val="clear" w:color="auto" w:fill="FFFFFF"/>
              <w:rPr>
                <w:rFonts w:ascii="Times New Roman" w:hAnsi="Times New Roman" w:cs="Times New Roman"/>
                <w:i/>
                <w:iCs/>
              </w:rPr>
            </w:pPr>
            <w:r w:rsidRPr="00567E52">
              <w:rPr>
                <w:rFonts w:ascii="Times New Roman" w:hAnsi="Times New Roman" w:cs="Times New Roman"/>
                <w:i/>
                <w:iCs/>
              </w:rPr>
              <w:t>Nihai katıların giderimi</w:t>
            </w:r>
          </w:p>
        </w:tc>
      </w:tr>
      <w:tr w:rsidR="003B155E" w:rsidRPr="00567E52" w14:paraId="4E672E4F" w14:textId="77777777" w:rsidTr="000D79D6">
        <w:tc>
          <w:tcPr>
            <w:tcW w:w="286" w:type="pct"/>
            <w:vAlign w:val="center"/>
          </w:tcPr>
          <w:p w14:paraId="46272B4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(k)</w:t>
            </w:r>
          </w:p>
        </w:tc>
        <w:tc>
          <w:tcPr>
            <w:tcW w:w="1531" w:type="pct"/>
            <w:vAlign w:val="center"/>
          </w:tcPr>
          <w:p w14:paraId="67B53FA7"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Koagülasyon ve flokülasyon</w:t>
            </w:r>
          </w:p>
        </w:tc>
        <w:tc>
          <w:tcPr>
            <w:tcW w:w="1536" w:type="pct"/>
            <w:vMerge w:val="restart"/>
            <w:vAlign w:val="center"/>
          </w:tcPr>
          <w:p w14:paraId="2F57CE39" w14:textId="77777777" w:rsidR="003B155E" w:rsidRPr="00567E52" w:rsidRDefault="003B155E" w:rsidP="000D79D6">
            <w:pPr>
              <w:widowControl w:val="0"/>
              <w:shd w:val="clear" w:color="auto" w:fill="FFFFFF"/>
              <w:rPr>
                <w:rFonts w:ascii="Times New Roman" w:hAnsi="Times New Roman" w:cs="Times New Roman"/>
                <w:color w:val="000000"/>
              </w:rPr>
            </w:pPr>
            <w:r w:rsidRPr="00567E52">
              <w:rPr>
                <w:rFonts w:ascii="Times New Roman" w:hAnsi="Times New Roman" w:cs="Times New Roman"/>
                <w:color w:val="000000"/>
              </w:rPr>
              <w:t>Askıda katı maddeler ve partikül bağlı biyolojik olarak parçalanmayan veya engelleyici kirleticiler</w:t>
            </w:r>
          </w:p>
        </w:tc>
        <w:tc>
          <w:tcPr>
            <w:tcW w:w="1647" w:type="pct"/>
            <w:vMerge w:val="restart"/>
            <w:vAlign w:val="center"/>
          </w:tcPr>
          <w:p w14:paraId="568F3167"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Genel olarak uygulanabilir.</w:t>
            </w:r>
          </w:p>
        </w:tc>
      </w:tr>
      <w:tr w:rsidR="003B155E" w:rsidRPr="00567E52" w14:paraId="5239ED13" w14:textId="77777777" w:rsidTr="000D79D6">
        <w:tc>
          <w:tcPr>
            <w:tcW w:w="286" w:type="pct"/>
            <w:vAlign w:val="center"/>
          </w:tcPr>
          <w:p w14:paraId="67686A2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(l)</w:t>
            </w:r>
          </w:p>
        </w:tc>
        <w:tc>
          <w:tcPr>
            <w:tcW w:w="1531" w:type="pct"/>
            <w:vAlign w:val="center"/>
          </w:tcPr>
          <w:p w14:paraId="2BBC8799"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Sedimentasyon</w:t>
            </w:r>
          </w:p>
        </w:tc>
        <w:tc>
          <w:tcPr>
            <w:tcW w:w="1536" w:type="pct"/>
            <w:vMerge/>
            <w:vAlign w:val="center"/>
          </w:tcPr>
          <w:p w14:paraId="7AAACBF9" w14:textId="77777777" w:rsidR="003B155E" w:rsidRPr="00567E52" w:rsidRDefault="003B155E" w:rsidP="000D79D6">
            <w:pPr>
              <w:widowControl w:val="0"/>
              <w:shd w:val="clear" w:color="auto" w:fill="FFFFFF"/>
              <w:rPr>
                <w:rFonts w:ascii="Times New Roman" w:hAnsi="Times New Roman" w:cs="Times New Roman"/>
                <w:color w:val="000000"/>
              </w:rPr>
            </w:pPr>
          </w:p>
        </w:tc>
        <w:tc>
          <w:tcPr>
            <w:tcW w:w="1647" w:type="pct"/>
            <w:vMerge/>
            <w:vAlign w:val="center"/>
          </w:tcPr>
          <w:p w14:paraId="05601608"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6B9EACF3" w14:textId="77777777" w:rsidTr="000D79D6">
        <w:tc>
          <w:tcPr>
            <w:tcW w:w="286" w:type="pct"/>
            <w:vAlign w:val="center"/>
          </w:tcPr>
          <w:p w14:paraId="1348C64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(m)</w:t>
            </w:r>
          </w:p>
        </w:tc>
        <w:tc>
          <w:tcPr>
            <w:tcW w:w="1531" w:type="pct"/>
            <w:vAlign w:val="center"/>
          </w:tcPr>
          <w:p w14:paraId="69EB3322"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Filtrasyon (örneğin kum filtrasyonu, mikrofiltrasyon, ultrafiltrasyon, ters ozmoz)</w:t>
            </w:r>
          </w:p>
        </w:tc>
        <w:tc>
          <w:tcPr>
            <w:tcW w:w="1536" w:type="pct"/>
            <w:vMerge/>
            <w:vAlign w:val="center"/>
          </w:tcPr>
          <w:p w14:paraId="7F159908" w14:textId="77777777" w:rsidR="003B155E" w:rsidRPr="00567E52" w:rsidRDefault="003B155E" w:rsidP="000D79D6">
            <w:pPr>
              <w:widowControl w:val="0"/>
              <w:shd w:val="clear" w:color="auto" w:fill="FFFFFF"/>
              <w:rPr>
                <w:rFonts w:ascii="Times New Roman" w:hAnsi="Times New Roman" w:cs="Times New Roman"/>
                <w:color w:val="000000"/>
              </w:rPr>
            </w:pPr>
          </w:p>
        </w:tc>
        <w:tc>
          <w:tcPr>
            <w:tcW w:w="1647" w:type="pct"/>
            <w:vMerge/>
            <w:vAlign w:val="center"/>
          </w:tcPr>
          <w:p w14:paraId="7A9CC782"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47F2BC39" w14:textId="77777777" w:rsidTr="000D79D6">
        <w:tc>
          <w:tcPr>
            <w:tcW w:w="286" w:type="pct"/>
            <w:vAlign w:val="center"/>
          </w:tcPr>
          <w:p w14:paraId="415DE7AE"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(n)</w:t>
            </w:r>
          </w:p>
        </w:tc>
        <w:tc>
          <w:tcPr>
            <w:tcW w:w="1531" w:type="pct"/>
            <w:vAlign w:val="center"/>
          </w:tcPr>
          <w:p w14:paraId="4A8DCC5C"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Flotasyon</w:t>
            </w:r>
          </w:p>
        </w:tc>
        <w:tc>
          <w:tcPr>
            <w:tcW w:w="1536" w:type="pct"/>
            <w:vMerge/>
            <w:vAlign w:val="center"/>
          </w:tcPr>
          <w:p w14:paraId="3CE5D092" w14:textId="77777777" w:rsidR="003B155E" w:rsidRPr="00567E52" w:rsidRDefault="003B155E" w:rsidP="000D79D6">
            <w:pPr>
              <w:widowControl w:val="0"/>
              <w:shd w:val="clear" w:color="auto" w:fill="FFFFFF"/>
              <w:rPr>
                <w:rFonts w:ascii="Times New Roman" w:hAnsi="Times New Roman" w:cs="Times New Roman"/>
                <w:color w:val="000000"/>
              </w:rPr>
            </w:pPr>
          </w:p>
        </w:tc>
        <w:tc>
          <w:tcPr>
            <w:tcW w:w="1647" w:type="pct"/>
            <w:vMerge/>
            <w:vAlign w:val="center"/>
          </w:tcPr>
          <w:p w14:paraId="577F4123"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14DBBFA3" w14:textId="77777777" w:rsidTr="000D79D6">
        <w:trPr>
          <w:trHeight w:val="305"/>
        </w:trPr>
        <w:tc>
          <w:tcPr>
            <w:tcW w:w="5000" w:type="pct"/>
            <w:gridSpan w:val="4"/>
            <w:vAlign w:val="center"/>
          </w:tcPr>
          <w:p w14:paraId="462BAEB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w:t>
            </w:r>
            <w:r w:rsidRPr="00567E52">
              <w:rPr>
                <w:rFonts w:ascii="Times New Roman" w:hAnsi="Times New Roman" w:cs="Times New Roman"/>
                <w:vertAlign w:val="superscript"/>
              </w:rPr>
              <w:t>1</w:t>
            </w:r>
            <w:r w:rsidRPr="00567E52">
              <w:rPr>
                <w:rFonts w:ascii="Times New Roman" w:hAnsi="Times New Roman" w:cs="Times New Roman"/>
              </w:rPr>
              <w:t>) Tekniklerin tanımlamaları Bölüm 1.4.1’de verilmiştir.</w:t>
            </w:r>
          </w:p>
        </w:tc>
      </w:tr>
    </w:tbl>
    <w:p w14:paraId="4D53996B"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47306FBE"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2FDC4F8"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63D56AA1"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B318978" w14:textId="2C7A1DC9"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lastRenderedPageBreak/>
        <w:t>Tablo 1.1</w:t>
      </w:r>
    </w:p>
    <w:p w14:paraId="56739423" w14:textId="77777777" w:rsidR="003B155E" w:rsidRPr="00567E52" w:rsidRDefault="003B155E" w:rsidP="003B155E">
      <w:pPr>
        <w:spacing w:after="0" w:line="276" w:lineRule="auto"/>
        <w:jc w:val="both"/>
        <w:rPr>
          <w:rFonts w:ascii="Times New Roman" w:eastAsia="Times New Roman" w:hAnsi="Times New Roman" w:cs="Times New Roman"/>
          <w:spacing w:val="2"/>
          <w:kern w:val="0"/>
          <w:sz w:val="24"/>
          <w:lang w:bidi="tr-TR"/>
          <w14:ligatures w14:val="none"/>
        </w:rPr>
      </w:pPr>
      <w:r w:rsidRPr="00567E52">
        <w:rPr>
          <w:rFonts w:ascii="Times New Roman" w:eastAsia="Times New Roman" w:hAnsi="Times New Roman" w:cs="Times New Roman"/>
          <w:spacing w:val="2"/>
          <w:kern w:val="0"/>
          <w:sz w:val="24"/>
          <w:lang w:bidi="tr-TR"/>
          <w14:ligatures w14:val="none"/>
        </w:rPr>
        <w:t>Doğrudan deşarj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97"/>
        <w:gridCol w:w="1484"/>
        <w:gridCol w:w="2662"/>
        <w:gridCol w:w="3019"/>
      </w:tblGrid>
      <w:tr w:rsidR="003B155E" w:rsidRPr="00567E52" w14:paraId="78716152" w14:textId="77777777" w:rsidTr="000D79D6">
        <w:tc>
          <w:tcPr>
            <w:tcW w:w="1865" w:type="pct"/>
            <w:gridSpan w:val="2"/>
          </w:tcPr>
          <w:p w14:paraId="2B06F0DC"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Parametre</w:t>
            </w:r>
          </w:p>
        </w:tc>
        <w:tc>
          <w:tcPr>
            <w:tcW w:w="1469" w:type="pct"/>
          </w:tcPr>
          <w:p w14:paraId="44530236"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w:t>
            </w:r>
          </w:p>
        </w:tc>
        <w:tc>
          <w:tcPr>
            <w:tcW w:w="1666" w:type="pct"/>
          </w:tcPr>
          <w:p w14:paraId="3F88A6BC"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MET-İES (</w:t>
            </w:r>
            <w:r w:rsidRPr="00567E52">
              <w:rPr>
                <w:rFonts w:ascii="Times New Roman" w:eastAsia="Times New Roman" w:hAnsi="Times New Roman" w:cs="Courier New"/>
                <w:color w:val="000000"/>
                <w:kern w:val="0"/>
                <w:vertAlign w:val="superscript"/>
                <w:lang w:eastAsia="tr-TR"/>
                <w14:ligatures w14:val="none"/>
              </w:rPr>
              <w:t>1</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2</w:t>
            </w:r>
            <w:r w:rsidRPr="00567E52">
              <w:rPr>
                <w:rFonts w:ascii="Times New Roman" w:eastAsia="Times New Roman" w:hAnsi="Times New Roman" w:cs="Courier New"/>
                <w:color w:val="000000"/>
                <w:kern w:val="0"/>
                <w:lang w:eastAsia="tr-TR"/>
                <w14:ligatures w14:val="none"/>
              </w:rPr>
              <w:t>)</w:t>
            </w:r>
          </w:p>
        </w:tc>
      </w:tr>
      <w:tr w:rsidR="003B155E" w:rsidRPr="00567E52" w14:paraId="56B4F8FF" w14:textId="77777777" w:rsidTr="000D79D6">
        <w:tc>
          <w:tcPr>
            <w:tcW w:w="1865" w:type="pct"/>
            <w:gridSpan w:val="2"/>
          </w:tcPr>
          <w:p w14:paraId="30AF7DA0"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Kimyasal oksijen ihtiyacı (KOİ) (</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w:t>
            </w:r>
          </w:p>
        </w:tc>
        <w:tc>
          <w:tcPr>
            <w:tcW w:w="1469" w:type="pct"/>
            <w:vMerge w:val="restart"/>
            <w:vAlign w:val="center"/>
          </w:tcPr>
          <w:p w14:paraId="57734042"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mg/l</w:t>
            </w:r>
          </w:p>
        </w:tc>
        <w:tc>
          <w:tcPr>
            <w:tcW w:w="1666" w:type="pct"/>
          </w:tcPr>
          <w:p w14:paraId="7B751BB5"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25-100 (</w:t>
            </w:r>
            <w:r w:rsidRPr="00567E52">
              <w:rPr>
                <w:rFonts w:ascii="Times New Roman" w:eastAsia="Times New Roman" w:hAnsi="Times New Roman" w:cs="Courier New"/>
                <w:color w:val="000000"/>
                <w:kern w:val="0"/>
                <w:vertAlign w:val="superscript"/>
                <w:lang w:eastAsia="tr-TR"/>
                <w14:ligatures w14:val="none"/>
              </w:rPr>
              <w:t>4</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w:t>
            </w:r>
          </w:p>
        </w:tc>
      </w:tr>
      <w:tr w:rsidR="003B155E" w:rsidRPr="00567E52" w14:paraId="02CD035F" w14:textId="77777777" w:rsidTr="000D79D6">
        <w:tc>
          <w:tcPr>
            <w:tcW w:w="1865" w:type="pct"/>
            <w:gridSpan w:val="2"/>
          </w:tcPr>
          <w:p w14:paraId="77C12D6B"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Toplam organik karbon (TOK) (</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w:t>
            </w:r>
          </w:p>
        </w:tc>
        <w:tc>
          <w:tcPr>
            <w:tcW w:w="1469" w:type="pct"/>
            <w:vMerge/>
          </w:tcPr>
          <w:p w14:paraId="48F85975"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7A8CB372"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7-35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6</w:t>
            </w:r>
            <w:r w:rsidRPr="00567E52">
              <w:rPr>
                <w:rFonts w:ascii="Times New Roman" w:eastAsia="Times New Roman" w:hAnsi="Times New Roman" w:cs="Courier New"/>
                <w:color w:val="000000"/>
                <w:kern w:val="0"/>
                <w:lang w:eastAsia="tr-TR"/>
                <w14:ligatures w14:val="none"/>
              </w:rPr>
              <w:t>)</w:t>
            </w:r>
          </w:p>
        </w:tc>
      </w:tr>
      <w:tr w:rsidR="003B155E" w:rsidRPr="00567E52" w14:paraId="735BD30A" w14:textId="77777777" w:rsidTr="000D79D6">
        <w:tc>
          <w:tcPr>
            <w:tcW w:w="1865" w:type="pct"/>
            <w:gridSpan w:val="2"/>
          </w:tcPr>
          <w:p w14:paraId="0E06F6CE"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Toplam askıda katı maddeler (TSS)</w:t>
            </w:r>
          </w:p>
        </w:tc>
        <w:tc>
          <w:tcPr>
            <w:tcW w:w="1469" w:type="pct"/>
            <w:vMerge/>
          </w:tcPr>
          <w:p w14:paraId="3C370585"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25DB9124"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4-30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7</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8</w:t>
            </w:r>
            <w:r w:rsidRPr="00567E52">
              <w:rPr>
                <w:rFonts w:ascii="Times New Roman" w:eastAsia="Times New Roman" w:hAnsi="Times New Roman" w:cs="Courier New"/>
                <w:color w:val="000000"/>
                <w:kern w:val="0"/>
                <w:lang w:eastAsia="tr-TR"/>
                <w14:ligatures w14:val="none"/>
              </w:rPr>
              <w:t>)</w:t>
            </w:r>
          </w:p>
        </w:tc>
      </w:tr>
      <w:tr w:rsidR="003B155E" w:rsidRPr="00567E52" w14:paraId="0920FBD5" w14:textId="77777777" w:rsidTr="000D79D6">
        <w:tc>
          <w:tcPr>
            <w:tcW w:w="1865" w:type="pct"/>
            <w:gridSpan w:val="2"/>
          </w:tcPr>
          <w:p w14:paraId="24BC12FB"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Toplam azot (TN)</w:t>
            </w:r>
          </w:p>
        </w:tc>
        <w:tc>
          <w:tcPr>
            <w:tcW w:w="1469" w:type="pct"/>
            <w:vMerge/>
          </w:tcPr>
          <w:p w14:paraId="5E30F3D5"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17072B9E"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2-25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9</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10</w:t>
            </w:r>
            <w:r w:rsidRPr="00567E52">
              <w:rPr>
                <w:rFonts w:ascii="Times New Roman" w:eastAsia="Times New Roman" w:hAnsi="Times New Roman" w:cs="Courier New"/>
                <w:color w:val="000000"/>
                <w:kern w:val="0"/>
                <w:lang w:eastAsia="tr-TR"/>
                <w14:ligatures w14:val="none"/>
              </w:rPr>
              <w:t>)</w:t>
            </w:r>
          </w:p>
        </w:tc>
      </w:tr>
      <w:tr w:rsidR="003B155E" w:rsidRPr="00567E52" w14:paraId="614AE6A5" w14:textId="77777777" w:rsidTr="000D79D6">
        <w:tc>
          <w:tcPr>
            <w:tcW w:w="1865" w:type="pct"/>
            <w:gridSpan w:val="2"/>
          </w:tcPr>
          <w:p w14:paraId="5169CD08"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Toplam fosfat (TP)</w:t>
            </w:r>
          </w:p>
        </w:tc>
        <w:tc>
          <w:tcPr>
            <w:tcW w:w="1469" w:type="pct"/>
            <w:vMerge/>
          </w:tcPr>
          <w:p w14:paraId="62EB7DA7"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7F405006"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0,25-2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w:t>
            </w:r>
          </w:p>
        </w:tc>
      </w:tr>
      <w:tr w:rsidR="003B155E" w:rsidRPr="00567E52" w14:paraId="7844876B" w14:textId="77777777" w:rsidTr="000D79D6">
        <w:tc>
          <w:tcPr>
            <w:tcW w:w="1865" w:type="pct"/>
            <w:gridSpan w:val="2"/>
          </w:tcPr>
          <w:p w14:paraId="117F3A83" w14:textId="77777777" w:rsidR="003B155E" w:rsidRPr="00567E52" w:rsidRDefault="003B155E" w:rsidP="000D79D6">
            <w:pPr>
              <w:widowControl w:val="0"/>
              <w:spacing w:after="0" w:line="276" w:lineRule="auto"/>
              <w:jc w:val="center"/>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Adsorbe edilebilir organik bağlı halojenler (AOX) (</w:t>
            </w:r>
            <w:r w:rsidRPr="00567E52">
              <w:rPr>
                <w:rFonts w:ascii="Times New Roman" w:eastAsia="Times New Roman" w:hAnsi="Times New Roman" w:cs="Courier New"/>
                <w:bCs/>
                <w:color w:val="000000"/>
                <w:kern w:val="0"/>
                <w:vertAlign w:val="superscript"/>
                <w:lang w:eastAsia="tr-TR"/>
                <w14:ligatures w14:val="none"/>
              </w:rPr>
              <w:t>11</w:t>
            </w:r>
            <w:r w:rsidRPr="00567E52">
              <w:rPr>
                <w:rFonts w:ascii="Times New Roman" w:eastAsia="Times New Roman" w:hAnsi="Times New Roman" w:cs="Courier New"/>
                <w:bCs/>
                <w:color w:val="000000"/>
                <w:kern w:val="0"/>
                <w:lang w:eastAsia="tr-TR"/>
                <w14:ligatures w14:val="none"/>
              </w:rPr>
              <w:t>)</w:t>
            </w:r>
          </w:p>
        </w:tc>
        <w:tc>
          <w:tcPr>
            <w:tcW w:w="1469" w:type="pct"/>
            <w:vMerge/>
          </w:tcPr>
          <w:p w14:paraId="58F45CA6"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vAlign w:val="center"/>
          </w:tcPr>
          <w:p w14:paraId="31933AD3"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0,02-0,3</w:t>
            </w:r>
          </w:p>
        </w:tc>
      </w:tr>
      <w:tr w:rsidR="003B155E" w:rsidRPr="00567E52" w14:paraId="035D9675" w14:textId="77777777" w:rsidTr="000D79D6">
        <w:tc>
          <w:tcPr>
            <w:tcW w:w="1046" w:type="pct"/>
            <w:vMerge w:val="restart"/>
            <w:tcBorders>
              <w:right w:val="single" w:sz="4" w:space="0" w:color="auto"/>
            </w:tcBorders>
            <w:vAlign w:val="center"/>
          </w:tcPr>
          <w:p w14:paraId="780BFABF"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Metaller</w:t>
            </w:r>
          </w:p>
        </w:tc>
        <w:tc>
          <w:tcPr>
            <w:tcW w:w="819" w:type="pct"/>
            <w:tcBorders>
              <w:left w:val="single" w:sz="4" w:space="0" w:color="auto"/>
            </w:tcBorders>
          </w:tcPr>
          <w:p w14:paraId="7E9F5A5C"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 xml:space="preserve">Bakır (Cu) </w:t>
            </w:r>
            <w:r w:rsidRPr="00567E52">
              <w:rPr>
                <w:rFonts w:ascii="Times New Roman" w:eastAsia="Times New Roman" w:hAnsi="Times New Roman" w:cs="Courier New"/>
                <w:bCs/>
                <w:color w:val="000000"/>
                <w:kern w:val="0"/>
                <w:lang w:eastAsia="tr-TR"/>
                <w14:ligatures w14:val="none"/>
              </w:rPr>
              <w:t>(</w:t>
            </w:r>
            <w:r w:rsidRPr="00567E52">
              <w:rPr>
                <w:rFonts w:ascii="Times New Roman" w:eastAsia="Times New Roman" w:hAnsi="Times New Roman" w:cs="Courier New"/>
                <w:bCs/>
                <w:color w:val="000000"/>
                <w:kern w:val="0"/>
                <w:vertAlign w:val="superscript"/>
                <w:lang w:eastAsia="tr-TR"/>
                <w14:ligatures w14:val="none"/>
              </w:rPr>
              <w:t>11</w:t>
            </w:r>
            <w:r w:rsidRPr="00567E52">
              <w:rPr>
                <w:rFonts w:ascii="Times New Roman" w:eastAsia="Times New Roman" w:hAnsi="Times New Roman" w:cs="Courier New"/>
                <w:bCs/>
                <w:color w:val="000000"/>
                <w:kern w:val="0"/>
                <w:lang w:eastAsia="tr-TR"/>
                <w14:ligatures w14:val="none"/>
              </w:rPr>
              <w:t>)</w:t>
            </w:r>
          </w:p>
        </w:tc>
        <w:tc>
          <w:tcPr>
            <w:tcW w:w="1469" w:type="pct"/>
            <w:vMerge/>
          </w:tcPr>
          <w:p w14:paraId="425A67B2"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2148DD46"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0,01-2 (</w:t>
            </w:r>
            <w:r w:rsidRPr="00567E52">
              <w:rPr>
                <w:rFonts w:ascii="Times New Roman" w:eastAsia="Times New Roman" w:hAnsi="Times New Roman" w:cs="Courier New"/>
                <w:color w:val="000000"/>
                <w:kern w:val="0"/>
                <w:vertAlign w:val="superscript"/>
                <w:lang w:eastAsia="tr-TR"/>
                <w14:ligatures w14:val="none"/>
              </w:rPr>
              <w:t>12</w:t>
            </w:r>
            <w:r w:rsidRPr="00567E52">
              <w:rPr>
                <w:rFonts w:ascii="Times New Roman" w:eastAsia="Times New Roman" w:hAnsi="Times New Roman" w:cs="Courier New"/>
                <w:color w:val="000000"/>
                <w:kern w:val="0"/>
                <w:lang w:eastAsia="tr-TR"/>
                <w14:ligatures w14:val="none"/>
              </w:rPr>
              <w:t>)</w:t>
            </w:r>
          </w:p>
        </w:tc>
      </w:tr>
      <w:tr w:rsidR="003B155E" w:rsidRPr="00567E52" w14:paraId="244DC424" w14:textId="77777777" w:rsidTr="000D79D6">
        <w:tc>
          <w:tcPr>
            <w:tcW w:w="1046" w:type="pct"/>
            <w:vMerge/>
            <w:tcBorders>
              <w:right w:val="single" w:sz="4" w:space="0" w:color="auto"/>
            </w:tcBorders>
          </w:tcPr>
          <w:p w14:paraId="3861B9AE"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819" w:type="pct"/>
            <w:tcBorders>
              <w:left w:val="single" w:sz="4" w:space="0" w:color="auto"/>
            </w:tcBorders>
          </w:tcPr>
          <w:p w14:paraId="181D2460"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 xml:space="preserve">Çinko (Zn) </w:t>
            </w:r>
            <w:r w:rsidRPr="00567E52">
              <w:rPr>
                <w:rFonts w:ascii="Times New Roman" w:eastAsia="Times New Roman" w:hAnsi="Times New Roman" w:cs="Courier New"/>
                <w:bCs/>
                <w:color w:val="000000"/>
                <w:kern w:val="0"/>
                <w:lang w:eastAsia="tr-TR"/>
                <w14:ligatures w14:val="none"/>
              </w:rPr>
              <w:t>(</w:t>
            </w:r>
            <w:r w:rsidRPr="00567E52">
              <w:rPr>
                <w:rFonts w:ascii="Times New Roman" w:eastAsia="Times New Roman" w:hAnsi="Times New Roman" w:cs="Courier New"/>
                <w:bCs/>
                <w:color w:val="000000"/>
                <w:kern w:val="0"/>
                <w:vertAlign w:val="superscript"/>
                <w:lang w:eastAsia="tr-TR"/>
                <w14:ligatures w14:val="none"/>
              </w:rPr>
              <w:t>11</w:t>
            </w:r>
            <w:r w:rsidRPr="00567E52">
              <w:rPr>
                <w:rFonts w:ascii="Times New Roman" w:eastAsia="Times New Roman" w:hAnsi="Times New Roman" w:cs="Courier New"/>
                <w:bCs/>
                <w:color w:val="000000"/>
                <w:kern w:val="0"/>
                <w:lang w:eastAsia="tr-TR"/>
                <w14:ligatures w14:val="none"/>
              </w:rPr>
              <w:t>)</w:t>
            </w:r>
          </w:p>
        </w:tc>
        <w:tc>
          <w:tcPr>
            <w:tcW w:w="1469" w:type="pct"/>
            <w:vMerge/>
          </w:tcPr>
          <w:p w14:paraId="31093A63"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4A11B4B1"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0,05-0,5 (</w:t>
            </w:r>
            <w:r w:rsidRPr="00567E52">
              <w:rPr>
                <w:rFonts w:ascii="Times New Roman" w:eastAsia="Times New Roman" w:hAnsi="Times New Roman" w:cs="Courier New"/>
                <w:color w:val="000000"/>
                <w:kern w:val="0"/>
                <w:vertAlign w:val="superscript"/>
                <w:lang w:eastAsia="tr-TR"/>
                <w14:ligatures w14:val="none"/>
              </w:rPr>
              <w:t>12</w:t>
            </w:r>
            <w:r w:rsidRPr="00567E52">
              <w:rPr>
                <w:rFonts w:ascii="Times New Roman" w:eastAsia="Times New Roman" w:hAnsi="Times New Roman" w:cs="Courier New"/>
                <w:color w:val="000000"/>
                <w:kern w:val="0"/>
                <w:lang w:eastAsia="tr-TR"/>
                <w14:ligatures w14:val="none"/>
              </w:rPr>
              <w:t>)</w:t>
            </w:r>
          </w:p>
        </w:tc>
      </w:tr>
      <w:tr w:rsidR="003B155E" w:rsidRPr="00567E52" w14:paraId="73CFABAD" w14:textId="77777777" w:rsidTr="000D79D6">
        <w:tc>
          <w:tcPr>
            <w:tcW w:w="5000" w:type="pct"/>
            <w:gridSpan w:val="4"/>
          </w:tcPr>
          <w:p w14:paraId="566A6AC0"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w:t>
            </w:r>
            <w:r w:rsidRPr="00567E52">
              <w:rPr>
                <w:rFonts w:ascii="Times New Roman" w:eastAsia="Times New Roman" w:hAnsi="Times New Roman" w:cs="Courier New"/>
                <w:color w:val="000000"/>
                <w:kern w:val="0"/>
                <w:sz w:val="20"/>
                <w:szCs w:val="20"/>
                <w:lang w:eastAsia="tr-TR"/>
                <w14:ligatures w14:val="none"/>
              </w:rPr>
              <w:t>) Ortalama periyotlar genel hususlarda tanımlanmaktadır.</w:t>
            </w:r>
          </w:p>
          <w:p w14:paraId="4B8E2124"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2</w:t>
            </w:r>
            <w:r w:rsidRPr="00567E52">
              <w:rPr>
                <w:rFonts w:ascii="Times New Roman" w:eastAsia="Times New Roman" w:hAnsi="Times New Roman" w:cs="Courier New"/>
                <w:color w:val="000000"/>
                <w:kern w:val="0"/>
                <w:sz w:val="20"/>
                <w:szCs w:val="20"/>
                <w:lang w:eastAsia="tr-TR"/>
                <w14:ligatures w14:val="none"/>
              </w:rPr>
              <w:t xml:space="preserve">) Biyokimyasal oksijen ihtiyacı (BOI) için MET-İES uygulanmaz. Bir gösterge olarak, biyolojik atıksu arıtma tesisinden çıkan </w:t>
            </w:r>
            <w:r w:rsidR="00A52C19">
              <w:rPr>
                <w:rFonts w:ascii="Times New Roman" w:eastAsia="Times New Roman" w:hAnsi="Times New Roman" w:cs="Courier New"/>
                <w:color w:val="000000"/>
                <w:kern w:val="0"/>
                <w:sz w:val="20"/>
                <w:szCs w:val="20"/>
                <w:lang w:eastAsia="tr-TR"/>
                <w14:ligatures w14:val="none"/>
              </w:rPr>
              <w:t>atıksudaki</w:t>
            </w:r>
            <w:r w:rsidRPr="00567E52">
              <w:rPr>
                <w:rFonts w:ascii="Times New Roman" w:eastAsia="Times New Roman" w:hAnsi="Times New Roman" w:cs="Courier New"/>
                <w:color w:val="000000"/>
                <w:kern w:val="0"/>
                <w:sz w:val="20"/>
                <w:szCs w:val="20"/>
                <w:lang w:eastAsia="tr-TR"/>
                <w14:ligatures w14:val="none"/>
              </w:rPr>
              <w:t xml:space="preserve"> yıllık ortalama BOI</w:t>
            </w:r>
            <w:r w:rsidRPr="00567E52">
              <w:rPr>
                <w:rFonts w:ascii="Times New Roman" w:eastAsia="Times New Roman" w:hAnsi="Times New Roman" w:cs="Courier New"/>
                <w:color w:val="000000"/>
                <w:kern w:val="0"/>
                <w:sz w:val="20"/>
                <w:szCs w:val="20"/>
                <w:vertAlign w:val="subscript"/>
                <w:lang w:eastAsia="tr-TR"/>
                <w14:ligatures w14:val="none"/>
              </w:rPr>
              <w:t>5</w:t>
            </w:r>
            <w:r w:rsidRPr="00567E52">
              <w:rPr>
                <w:rFonts w:ascii="Times New Roman" w:eastAsia="Times New Roman" w:hAnsi="Times New Roman" w:cs="Courier New"/>
                <w:color w:val="000000"/>
                <w:kern w:val="0"/>
                <w:sz w:val="20"/>
                <w:szCs w:val="20"/>
                <w:lang w:eastAsia="tr-TR"/>
                <w14:ligatures w14:val="none"/>
              </w:rPr>
              <w:t xml:space="preserve"> seviyesi genellikle ≤ 20 mg/l olacaktır.</w:t>
            </w:r>
          </w:p>
          <w:p w14:paraId="269A304E"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 KOİ için MET-İES veya TOK için MET-İES geçerlidir. TOK için MET-İES tercih edilen seçenektir çünkü TOK izlemesi çok toksik bileşiklerin kullanımına dayanmaz.</w:t>
            </w:r>
          </w:p>
          <w:p w14:paraId="043BEC18"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4</w:t>
            </w:r>
            <w:r w:rsidRPr="00567E52">
              <w:rPr>
                <w:rFonts w:ascii="Times New Roman" w:eastAsia="Times New Roman" w:hAnsi="Times New Roman" w:cs="Courier New"/>
                <w:color w:val="000000"/>
                <w:kern w:val="0"/>
                <w:sz w:val="20"/>
                <w:szCs w:val="20"/>
                <w:lang w:eastAsia="tr-TR"/>
                <w14:ligatures w14:val="none"/>
              </w:rPr>
              <w:t>) Hayvansal yan ürünler ve/veya yenilebilir yan ürünler işleyen tesisler için MET-İES aralığının üst sınırı daha yüksek olabilir ve 120 mg/l’ye kadar çıkabilir; ancak bunun için KOİ azaltma verimliliğinin yıllık ortalama veya üretim dönemi ortalaması olarak ≥ %95 olması gerekir.</w:t>
            </w:r>
          </w:p>
          <w:p w14:paraId="09DCFA5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5</w:t>
            </w:r>
            <w:r w:rsidRPr="00567E52">
              <w:rPr>
                <w:rFonts w:ascii="Times New Roman" w:eastAsia="Times New Roman" w:hAnsi="Times New Roman" w:cs="Courier New"/>
                <w:color w:val="000000"/>
                <w:kern w:val="0"/>
                <w:sz w:val="20"/>
                <w:szCs w:val="20"/>
                <w:lang w:eastAsia="tr-TR"/>
                <w14:ligatures w14:val="none"/>
              </w:rPr>
              <w:t>) Balık unu ve balık yağı üretiminden kaynaklanan deniz suyu deşarjları için MET-İES aralığı geçerli olmayabilir.</w:t>
            </w:r>
          </w:p>
          <w:p w14:paraId="7D7C6FC2"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6</w:t>
            </w:r>
            <w:r w:rsidRPr="00567E52">
              <w:rPr>
                <w:rFonts w:ascii="Times New Roman" w:eastAsia="Times New Roman" w:hAnsi="Times New Roman" w:cs="Courier New"/>
                <w:color w:val="000000"/>
                <w:kern w:val="0"/>
                <w:sz w:val="20"/>
                <w:szCs w:val="20"/>
                <w:lang w:eastAsia="tr-TR"/>
                <w14:ligatures w14:val="none"/>
              </w:rPr>
              <w:t xml:space="preserve">) Hayvansal yan ürünler ve/veya yenilebilir yan ürünler işleyen tesisler için MET-İES aralığının üst sınırı daha yüksek olabilir ve 40 mg/l'ye kadar çıkabilir; ancak bunun için </w:t>
            </w:r>
            <w:r w:rsidR="009D570E">
              <w:rPr>
                <w:rFonts w:ascii="Times New Roman" w:eastAsia="Times New Roman" w:hAnsi="Times New Roman" w:cs="Courier New"/>
                <w:color w:val="000000"/>
                <w:kern w:val="0"/>
                <w:sz w:val="20"/>
                <w:szCs w:val="20"/>
                <w:lang w:eastAsia="tr-TR"/>
                <w14:ligatures w14:val="none"/>
              </w:rPr>
              <w:t>TOK</w:t>
            </w:r>
            <w:r w:rsidRPr="00567E52">
              <w:rPr>
                <w:rFonts w:ascii="Times New Roman" w:eastAsia="Times New Roman" w:hAnsi="Times New Roman" w:cs="Courier New"/>
                <w:color w:val="000000"/>
                <w:kern w:val="0"/>
                <w:sz w:val="20"/>
                <w:szCs w:val="20"/>
                <w:lang w:eastAsia="tr-TR"/>
                <w14:ligatures w14:val="none"/>
              </w:rPr>
              <w:t xml:space="preserve"> azaltma verimliliğinin yıllık ortalama veya üretim dönemi ortalaması olarak ≥ %95 olması gerekir. </w:t>
            </w:r>
          </w:p>
          <w:p w14:paraId="29D8605C"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7</w:t>
            </w:r>
            <w:r w:rsidRPr="00567E52">
              <w:rPr>
                <w:rFonts w:ascii="Times New Roman" w:eastAsia="Times New Roman" w:hAnsi="Times New Roman" w:cs="Courier New"/>
                <w:color w:val="000000"/>
                <w:kern w:val="0"/>
                <w:sz w:val="20"/>
                <w:szCs w:val="20"/>
                <w:lang w:eastAsia="tr-TR"/>
                <w14:ligatures w14:val="none"/>
              </w:rPr>
              <w:t>) MET-İES aralığının alt sınırına genellikle filtreleme (örneğin kum filtreleme, mikro filtreleme, ultra filtreleme) kullanıldığında ulaşılır.</w:t>
            </w:r>
          </w:p>
          <w:p w14:paraId="6CF57F10"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8</w:t>
            </w:r>
            <w:r w:rsidRPr="00567E52">
              <w:rPr>
                <w:rFonts w:ascii="Times New Roman" w:eastAsia="Times New Roman" w:hAnsi="Times New Roman" w:cs="Courier New"/>
                <w:color w:val="000000"/>
                <w:kern w:val="0"/>
                <w:sz w:val="20"/>
                <w:szCs w:val="20"/>
                <w:lang w:eastAsia="tr-TR"/>
                <w14:ligatures w14:val="none"/>
              </w:rPr>
              <w:t>) Jelatin imalatında MET-İES aralığının üst sınırı daha yüksek olup 40 mg/l'ye kadar çıkabilir.</w:t>
            </w:r>
          </w:p>
          <w:p w14:paraId="21187A42"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9</w:t>
            </w:r>
            <w:r w:rsidRPr="00567E52">
              <w:rPr>
                <w:rFonts w:ascii="Times New Roman" w:eastAsia="Times New Roman" w:hAnsi="Times New Roman" w:cs="Courier New"/>
                <w:color w:val="000000"/>
                <w:kern w:val="0"/>
                <w:sz w:val="20"/>
                <w:szCs w:val="20"/>
                <w:lang w:eastAsia="tr-TR"/>
                <w14:ligatures w14:val="none"/>
              </w:rPr>
              <w:t>) Atıksu sıcaklığının uzun süre düşük (örneğin 12 °C'nin altında) olması durumunda MET-İES geçerli olmayabilir.</w:t>
            </w:r>
          </w:p>
          <w:p w14:paraId="4316E9C1"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10</w:t>
            </w:r>
            <w:r w:rsidRPr="00567E52">
              <w:rPr>
                <w:rFonts w:ascii="Times New Roman" w:eastAsia="Times New Roman" w:hAnsi="Times New Roman" w:cs="Courier New"/>
                <w:color w:val="000000"/>
                <w:kern w:val="0"/>
                <w:sz w:val="20"/>
                <w:szCs w:val="20"/>
                <w:lang w:eastAsia="tr-TR"/>
                <w14:ligatures w14:val="none"/>
              </w:rPr>
              <w:t>) Yalnızca Toplam N azaltma verimliliği yıllık ortalama olarak veya üretim dönemi ortalaması olarak %90 veya üzeri ise, hayvansal yan ürünler ve/veya yenilebilir yan ürünler işleyen tesisler için MET-İES aralığının üst sınırı daha yüksek ve 40 mg/l’ye kadar olabilir.</w:t>
            </w:r>
          </w:p>
          <w:p w14:paraId="6112584B"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11</w:t>
            </w:r>
            <w:r w:rsidRPr="00567E52">
              <w:rPr>
                <w:rFonts w:ascii="Times New Roman" w:eastAsia="Times New Roman" w:hAnsi="Times New Roman" w:cs="Courier New"/>
                <w:color w:val="000000"/>
                <w:kern w:val="0"/>
                <w:sz w:val="20"/>
                <w:szCs w:val="20"/>
                <w:lang w:eastAsia="tr-TR"/>
                <w14:ligatures w14:val="none"/>
              </w:rPr>
              <w:t xml:space="preserve">) MET-İES, yalnızca ilgili madde/parametrenin MET 2’de belirtilen girdi ve çıktı envanterine dayanarak atıksu </w:t>
            </w:r>
            <w:r w:rsidR="00A37025">
              <w:rPr>
                <w:rFonts w:ascii="Times New Roman" w:eastAsia="Times New Roman" w:hAnsi="Times New Roman" w:cs="Courier New"/>
                <w:color w:val="000000"/>
                <w:kern w:val="0"/>
                <w:sz w:val="20"/>
                <w:szCs w:val="20"/>
                <w:lang w:eastAsia="tr-TR"/>
                <w14:ligatures w14:val="none"/>
              </w:rPr>
              <w:t>debisinde</w:t>
            </w:r>
            <w:r w:rsidRPr="00567E52">
              <w:rPr>
                <w:rFonts w:ascii="Times New Roman" w:eastAsia="Times New Roman" w:hAnsi="Times New Roman" w:cs="Courier New"/>
                <w:color w:val="000000"/>
                <w:kern w:val="0"/>
                <w:sz w:val="20"/>
                <w:szCs w:val="20"/>
                <w:lang w:eastAsia="tr-TR"/>
                <w14:ligatures w14:val="none"/>
              </w:rPr>
              <w:t xml:space="preserve"> alakalı olarak tanımlanması durumunda geçerlidir.</w:t>
            </w:r>
          </w:p>
          <w:p w14:paraId="17D22484"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12</w:t>
            </w:r>
            <w:r w:rsidRPr="00567E52">
              <w:rPr>
                <w:rFonts w:ascii="Times New Roman" w:eastAsia="Times New Roman" w:hAnsi="Times New Roman" w:cs="Courier New"/>
                <w:color w:val="000000"/>
                <w:kern w:val="0"/>
                <w:sz w:val="20"/>
                <w:szCs w:val="20"/>
                <w:lang w:eastAsia="tr-TR"/>
                <w14:ligatures w14:val="none"/>
              </w:rPr>
              <w:t>) MET-İES sadece mezbahalar için geçerlidir.</w:t>
            </w:r>
          </w:p>
        </w:tc>
      </w:tr>
    </w:tbl>
    <w:p w14:paraId="00F9EFE2"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0F745119"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7’de verilmiştir.</w:t>
      </w:r>
    </w:p>
    <w:p w14:paraId="55614901"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Tablo 1.2</w:t>
      </w:r>
    </w:p>
    <w:p w14:paraId="103A9A09" w14:textId="77777777" w:rsidR="003B155E" w:rsidRPr="00567E52" w:rsidRDefault="003B155E" w:rsidP="003B155E">
      <w:pPr>
        <w:spacing w:after="0" w:line="276" w:lineRule="auto"/>
        <w:jc w:val="both"/>
        <w:rPr>
          <w:rFonts w:ascii="Times New Roman" w:eastAsia="Times New Roman" w:hAnsi="Times New Roman" w:cs="Times New Roman"/>
          <w:spacing w:val="2"/>
          <w:kern w:val="0"/>
          <w:sz w:val="24"/>
          <w:lang w:bidi="tr-TR"/>
          <w14:ligatures w14:val="none"/>
        </w:rPr>
      </w:pPr>
      <w:r w:rsidRPr="00567E52">
        <w:rPr>
          <w:rFonts w:ascii="Times New Roman" w:eastAsia="Times New Roman" w:hAnsi="Times New Roman" w:cs="Times New Roman"/>
          <w:spacing w:val="2"/>
          <w:kern w:val="0"/>
          <w:sz w:val="24"/>
          <w:lang w:bidi="tr-TR"/>
          <w14:ligatures w14:val="none"/>
        </w:rPr>
        <w:t>Dolaylı deşarjlar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97"/>
        <w:gridCol w:w="1484"/>
        <w:gridCol w:w="2662"/>
        <w:gridCol w:w="3019"/>
      </w:tblGrid>
      <w:tr w:rsidR="003B155E" w:rsidRPr="00567E52" w14:paraId="3EDCDAE2" w14:textId="77777777" w:rsidTr="000D79D6">
        <w:tc>
          <w:tcPr>
            <w:tcW w:w="1865" w:type="pct"/>
            <w:gridSpan w:val="2"/>
          </w:tcPr>
          <w:p w14:paraId="3334099C"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Parametre</w:t>
            </w:r>
          </w:p>
        </w:tc>
        <w:tc>
          <w:tcPr>
            <w:tcW w:w="1469" w:type="pct"/>
          </w:tcPr>
          <w:p w14:paraId="6E61844E"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w:t>
            </w:r>
          </w:p>
        </w:tc>
        <w:tc>
          <w:tcPr>
            <w:tcW w:w="1666" w:type="pct"/>
          </w:tcPr>
          <w:p w14:paraId="2E1D8DFC"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MET-İES (</w:t>
            </w:r>
            <w:r w:rsidRPr="00567E52">
              <w:rPr>
                <w:rFonts w:ascii="Times New Roman" w:eastAsia="Times New Roman" w:hAnsi="Times New Roman" w:cs="Courier New"/>
                <w:color w:val="000000"/>
                <w:kern w:val="0"/>
                <w:vertAlign w:val="superscript"/>
                <w:lang w:eastAsia="tr-TR"/>
                <w14:ligatures w14:val="none"/>
              </w:rPr>
              <w:t>1</w:t>
            </w:r>
            <w:r w:rsidRPr="00567E52">
              <w:rPr>
                <w:rFonts w:ascii="Times New Roman" w:eastAsia="Times New Roman" w:hAnsi="Times New Roman" w:cs="Courier New"/>
                <w:color w:val="000000"/>
                <w:kern w:val="0"/>
                <w:lang w:eastAsia="tr-TR"/>
                <w14:ligatures w14:val="none"/>
              </w:rPr>
              <w:t>) (</w:t>
            </w:r>
            <w:r w:rsidRPr="00567E52">
              <w:rPr>
                <w:rFonts w:ascii="Times New Roman" w:eastAsia="Times New Roman" w:hAnsi="Times New Roman" w:cs="Courier New"/>
                <w:color w:val="000000"/>
                <w:kern w:val="0"/>
                <w:vertAlign w:val="superscript"/>
                <w:lang w:eastAsia="tr-TR"/>
                <w14:ligatures w14:val="none"/>
              </w:rPr>
              <w:t>2</w:t>
            </w:r>
            <w:r w:rsidRPr="00567E52">
              <w:rPr>
                <w:rFonts w:ascii="Times New Roman" w:eastAsia="Times New Roman" w:hAnsi="Times New Roman" w:cs="Courier New"/>
                <w:color w:val="000000"/>
                <w:kern w:val="0"/>
                <w:lang w:eastAsia="tr-TR"/>
                <w14:ligatures w14:val="none"/>
              </w:rPr>
              <w:t>)</w:t>
            </w:r>
          </w:p>
        </w:tc>
      </w:tr>
      <w:tr w:rsidR="003B155E" w:rsidRPr="00567E52" w14:paraId="2073A4AA" w14:textId="77777777" w:rsidTr="000D79D6">
        <w:tc>
          <w:tcPr>
            <w:tcW w:w="1865" w:type="pct"/>
            <w:gridSpan w:val="2"/>
          </w:tcPr>
          <w:p w14:paraId="39C5DDE1"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Adsorbe edilebilir organik bağlı halojenler (AOX) (</w:t>
            </w:r>
            <w:r w:rsidRPr="00567E52">
              <w:rPr>
                <w:rFonts w:ascii="Times New Roman" w:eastAsia="Times New Roman" w:hAnsi="Times New Roman" w:cs="Courier New"/>
                <w:bCs/>
                <w:color w:val="000000"/>
                <w:kern w:val="0"/>
                <w:vertAlign w:val="superscript"/>
                <w:lang w:eastAsia="tr-TR"/>
                <w14:ligatures w14:val="none"/>
              </w:rPr>
              <w:t>3</w:t>
            </w:r>
            <w:r w:rsidRPr="00567E52">
              <w:rPr>
                <w:rFonts w:ascii="Times New Roman" w:eastAsia="Times New Roman" w:hAnsi="Times New Roman" w:cs="Courier New"/>
                <w:bCs/>
                <w:color w:val="000000"/>
                <w:kern w:val="0"/>
                <w:lang w:eastAsia="tr-TR"/>
                <w14:ligatures w14:val="none"/>
              </w:rPr>
              <w:t>)</w:t>
            </w:r>
          </w:p>
        </w:tc>
        <w:tc>
          <w:tcPr>
            <w:tcW w:w="1469" w:type="pct"/>
            <w:vMerge w:val="restart"/>
            <w:vAlign w:val="center"/>
          </w:tcPr>
          <w:p w14:paraId="76DDC90B"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mg/l</w:t>
            </w:r>
          </w:p>
        </w:tc>
        <w:tc>
          <w:tcPr>
            <w:tcW w:w="1666" w:type="pct"/>
          </w:tcPr>
          <w:p w14:paraId="35768FB3"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0,02-0,3</w:t>
            </w:r>
          </w:p>
        </w:tc>
      </w:tr>
      <w:tr w:rsidR="003B155E" w:rsidRPr="00567E52" w14:paraId="7242B78A" w14:textId="77777777" w:rsidTr="000D79D6">
        <w:tc>
          <w:tcPr>
            <w:tcW w:w="1046" w:type="pct"/>
            <w:vMerge w:val="restart"/>
            <w:tcBorders>
              <w:right w:val="single" w:sz="4" w:space="0" w:color="auto"/>
            </w:tcBorders>
            <w:vAlign w:val="center"/>
          </w:tcPr>
          <w:p w14:paraId="0F80D10C"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Metaller</w:t>
            </w:r>
          </w:p>
        </w:tc>
        <w:tc>
          <w:tcPr>
            <w:tcW w:w="819" w:type="pct"/>
            <w:tcBorders>
              <w:left w:val="single" w:sz="4" w:space="0" w:color="auto"/>
            </w:tcBorders>
          </w:tcPr>
          <w:p w14:paraId="5BE0712E"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 xml:space="preserve">Bakır (Cu) </w:t>
            </w:r>
            <w:r w:rsidRPr="00567E52">
              <w:rPr>
                <w:rFonts w:ascii="Times New Roman" w:eastAsia="Times New Roman" w:hAnsi="Times New Roman" w:cs="Courier New"/>
                <w:bCs/>
                <w:color w:val="000000"/>
                <w:kern w:val="0"/>
                <w:lang w:eastAsia="tr-TR"/>
                <w14:ligatures w14:val="none"/>
              </w:rPr>
              <w:t>(</w:t>
            </w:r>
            <w:r w:rsidRPr="00567E52">
              <w:rPr>
                <w:rFonts w:ascii="Times New Roman" w:eastAsia="Times New Roman" w:hAnsi="Times New Roman" w:cs="Courier New"/>
                <w:bCs/>
                <w:color w:val="000000"/>
                <w:kern w:val="0"/>
                <w:vertAlign w:val="superscript"/>
                <w:lang w:eastAsia="tr-TR"/>
                <w14:ligatures w14:val="none"/>
              </w:rPr>
              <w:t>3</w:t>
            </w:r>
            <w:r w:rsidRPr="00567E52">
              <w:rPr>
                <w:rFonts w:ascii="Times New Roman" w:eastAsia="Times New Roman" w:hAnsi="Times New Roman" w:cs="Courier New"/>
                <w:bCs/>
                <w:color w:val="000000"/>
                <w:kern w:val="0"/>
                <w:lang w:eastAsia="tr-TR"/>
                <w14:ligatures w14:val="none"/>
              </w:rPr>
              <w:t>)</w:t>
            </w:r>
          </w:p>
        </w:tc>
        <w:tc>
          <w:tcPr>
            <w:tcW w:w="1469" w:type="pct"/>
            <w:vMerge/>
          </w:tcPr>
          <w:p w14:paraId="4C62D7EA"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0701FC8F"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0,01-</w:t>
            </w:r>
            <w:r>
              <w:rPr>
                <w:rFonts w:ascii="Times New Roman" w:eastAsia="Times New Roman" w:hAnsi="Times New Roman" w:cs="Courier New"/>
                <w:color w:val="000000"/>
                <w:kern w:val="0"/>
                <w:lang w:eastAsia="tr-TR"/>
                <w14:ligatures w14:val="none"/>
              </w:rPr>
              <w:t>0,</w:t>
            </w:r>
            <w:r w:rsidRPr="00567E52">
              <w:rPr>
                <w:rFonts w:ascii="Times New Roman" w:eastAsia="Times New Roman" w:hAnsi="Times New Roman" w:cs="Courier New"/>
                <w:color w:val="000000"/>
                <w:kern w:val="0"/>
                <w:lang w:eastAsia="tr-TR"/>
                <w14:ligatures w14:val="none"/>
              </w:rPr>
              <w:t>2 (</w:t>
            </w:r>
            <w:r w:rsidRPr="00567E52">
              <w:rPr>
                <w:rFonts w:ascii="Times New Roman" w:eastAsia="Times New Roman" w:hAnsi="Times New Roman" w:cs="Courier New"/>
                <w:color w:val="000000"/>
                <w:kern w:val="0"/>
                <w:vertAlign w:val="superscript"/>
                <w:lang w:eastAsia="tr-TR"/>
                <w14:ligatures w14:val="none"/>
              </w:rPr>
              <w:t>4</w:t>
            </w:r>
            <w:r w:rsidRPr="00567E52">
              <w:rPr>
                <w:rFonts w:ascii="Times New Roman" w:eastAsia="Times New Roman" w:hAnsi="Times New Roman" w:cs="Courier New"/>
                <w:color w:val="000000"/>
                <w:kern w:val="0"/>
                <w:lang w:eastAsia="tr-TR"/>
                <w14:ligatures w14:val="none"/>
              </w:rPr>
              <w:t>)</w:t>
            </w:r>
          </w:p>
        </w:tc>
      </w:tr>
      <w:tr w:rsidR="003B155E" w:rsidRPr="00567E52" w14:paraId="5AC22790" w14:textId="77777777" w:rsidTr="000D79D6">
        <w:tc>
          <w:tcPr>
            <w:tcW w:w="1046" w:type="pct"/>
            <w:vMerge/>
            <w:tcBorders>
              <w:right w:val="single" w:sz="4" w:space="0" w:color="auto"/>
            </w:tcBorders>
          </w:tcPr>
          <w:p w14:paraId="04880ED1"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819" w:type="pct"/>
            <w:tcBorders>
              <w:left w:val="single" w:sz="4" w:space="0" w:color="auto"/>
            </w:tcBorders>
          </w:tcPr>
          <w:p w14:paraId="72AD07C4"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 xml:space="preserve">Çinko (Zn) </w:t>
            </w:r>
            <w:r w:rsidRPr="00567E52">
              <w:rPr>
                <w:rFonts w:ascii="Times New Roman" w:eastAsia="Times New Roman" w:hAnsi="Times New Roman" w:cs="Courier New"/>
                <w:bCs/>
                <w:color w:val="000000"/>
                <w:kern w:val="0"/>
                <w:lang w:eastAsia="tr-TR"/>
                <w14:ligatures w14:val="none"/>
              </w:rPr>
              <w:t>(</w:t>
            </w:r>
            <w:r w:rsidRPr="00567E52">
              <w:rPr>
                <w:rFonts w:ascii="Times New Roman" w:eastAsia="Times New Roman" w:hAnsi="Times New Roman" w:cs="Courier New"/>
                <w:bCs/>
                <w:color w:val="000000"/>
                <w:kern w:val="0"/>
                <w:vertAlign w:val="superscript"/>
                <w:lang w:eastAsia="tr-TR"/>
                <w14:ligatures w14:val="none"/>
              </w:rPr>
              <w:t>3</w:t>
            </w:r>
            <w:r w:rsidRPr="00567E52">
              <w:rPr>
                <w:rFonts w:ascii="Times New Roman" w:eastAsia="Times New Roman" w:hAnsi="Times New Roman" w:cs="Courier New"/>
                <w:bCs/>
                <w:color w:val="000000"/>
                <w:kern w:val="0"/>
                <w:lang w:eastAsia="tr-TR"/>
                <w14:ligatures w14:val="none"/>
              </w:rPr>
              <w:t>)</w:t>
            </w:r>
          </w:p>
        </w:tc>
        <w:tc>
          <w:tcPr>
            <w:tcW w:w="1469" w:type="pct"/>
            <w:vMerge/>
          </w:tcPr>
          <w:p w14:paraId="730FF1F8"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66" w:type="pct"/>
          </w:tcPr>
          <w:p w14:paraId="45C2BC64" w14:textId="77777777" w:rsidR="003B155E" w:rsidRPr="00567E52"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0,05-0,5 (</w:t>
            </w:r>
            <w:r w:rsidRPr="00567E52">
              <w:rPr>
                <w:rFonts w:ascii="Times New Roman" w:eastAsia="Times New Roman" w:hAnsi="Times New Roman" w:cs="Courier New"/>
                <w:color w:val="000000"/>
                <w:kern w:val="0"/>
                <w:vertAlign w:val="superscript"/>
                <w:lang w:eastAsia="tr-TR"/>
                <w14:ligatures w14:val="none"/>
              </w:rPr>
              <w:t>4</w:t>
            </w:r>
            <w:r w:rsidRPr="00567E52">
              <w:rPr>
                <w:rFonts w:ascii="Times New Roman" w:eastAsia="Times New Roman" w:hAnsi="Times New Roman" w:cs="Courier New"/>
                <w:color w:val="000000"/>
                <w:kern w:val="0"/>
                <w:lang w:eastAsia="tr-TR"/>
                <w14:ligatures w14:val="none"/>
              </w:rPr>
              <w:t>)</w:t>
            </w:r>
          </w:p>
        </w:tc>
      </w:tr>
      <w:tr w:rsidR="003B155E" w:rsidRPr="00567E52" w14:paraId="7529FC13" w14:textId="77777777" w:rsidTr="000D79D6">
        <w:tc>
          <w:tcPr>
            <w:tcW w:w="5000" w:type="pct"/>
            <w:gridSpan w:val="4"/>
          </w:tcPr>
          <w:p w14:paraId="657493F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w:t>
            </w:r>
            <w:r w:rsidRPr="00567E52">
              <w:rPr>
                <w:rFonts w:ascii="Times New Roman" w:eastAsia="Times New Roman" w:hAnsi="Times New Roman" w:cs="Courier New"/>
                <w:color w:val="000000"/>
                <w:kern w:val="0"/>
                <w:sz w:val="20"/>
                <w:szCs w:val="20"/>
                <w:lang w:eastAsia="tr-TR"/>
                <w14:ligatures w14:val="none"/>
              </w:rPr>
              <w:t>) Ortalama periyotlar genel hususlarda tanımlanmaktadır.</w:t>
            </w:r>
          </w:p>
          <w:p w14:paraId="445DE7C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2</w:t>
            </w:r>
            <w:r w:rsidRPr="00567E52">
              <w:rPr>
                <w:rFonts w:ascii="Times New Roman" w:eastAsia="Times New Roman" w:hAnsi="Times New Roman" w:cs="Courier New"/>
                <w:color w:val="000000"/>
                <w:kern w:val="0"/>
                <w:sz w:val="20"/>
                <w:szCs w:val="20"/>
                <w:lang w:eastAsia="tr-TR"/>
                <w14:ligatures w14:val="none"/>
              </w:rPr>
              <w:t>) Atıksu arıtma tesisinin ilgili kirleticileri azaltmak için uygun şekilde tasarlanması ve donatılması halinde, bu durumun çevrede daha yüksek düzeyde kirliliğe yol açmaması koşuluyla MET-İES uygulanmayabilir.</w:t>
            </w:r>
          </w:p>
          <w:p w14:paraId="61910D0A"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 xml:space="preserve">) MET-İES, yalnızca ilgili madde/parametrenin MET 2’de belirtilen girdi ve çıktı envanterine dayanarak atıksu </w:t>
            </w:r>
            <w:r w:rsidR="00A37025">
              <w:rPr>
                <w:rFonts w:ascii="Times New Roman" w:eastAsia="Times New Roman" w:hAnsi="Times New Roman" w:cs="Courier New"/>
                <w:color w:val="000000"/>
                <w:kern w:val="0"/>
                <w:sz w:val="20"/>
                <w:szCs w:val="20"/>
                <w:lang w:eastAsia="tr-TR"/>
                <w14:ligatures w14:val="none"/>
              </w:rPr>
              <w:t>debisinde</w:t>
            </w:r>
            <w:r w:rsidRPr="00567E52">
              <w:rPr>
                <w:rFonts w:ascii="Times New Roman" w:eastAsia="Times New Roman" w:hAnsi="Times New Roman" w:cs="Courier New"/>
                <w:color w:val="000000"/>
                <w:kern w:val="0"/>
                <w:sz w:val="20"/>
                <w:szCs w:val="20"/>
                <w:lang w:eastAsia="tr-TR"/>
                <w14:ligatures w14:val="none"/>
              </w:rPr>
              <w:t xml:space="preserve"> alakalı olarak tanımlanması durumunda geçerlidir.</w:t>
            </w:r>
          </w:p>
          <w:p w14:paraId="14AE1360" w14:textId="77777777" w:rsidR="003B155E" w:rsidRPr="00567E52"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4</w:t>
            </w:r>
            <w:r w:rsidRPr="00567E52">
              <w:rPr>
                <w:rFonts w:ascii="Times New Roman" w:eastAsia="Times New Roman" w:hAnsi="Times New Roman" w:cs="Courier New"/>
                <w:color w:val="000000"/>
                <w:kern w:val="0"/>
                <w:sz w:val="20"/>
                <w:szCs w:val="20"/>
                <w:lang w:eastAsia="tr-TR"/>
                <w14:ligatures w14:val="none"/>
              </w:rPr>
              <w:t xml:space="preserve">) MET-İES sadece mezbahalar için geçerlidir. </w:t>
            </w:r>
          </w:p>
        </w:tc>
      </w:tr>
    </w:tbl>
    <w:p w14:paraId="66B85990"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4950E279"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7’de verilmiştir.</w:t>
      </w:r>
    </w:p>
    <w:p w14:paraId="3F0D0AC8"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726377CA"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1.1.8. Hava Emisyonları</w:t>
      </w:r>
    </w:p>
    <w:p w14:paraId="6CF7781E" w14:textId="77777777" w:rsidR="003B155E" w:rsidRDefault="003B155E" w:rsidP="003B155E">
      <w:pPr>
        <w:widowControl w:val="0"/>
        <w:spacing w:after="12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color w:val="000000"/>
          <w:spacing w:val="2"/>
          <w:kern w:val="0"/>
          <w:sz w:val="24"/>
          <w:szCs w:val="24"/>
          <w14:ligatures w14:val="none"/>
        </w:rPr>
        <w:t xml:space="preserve">MET 15: </w:t>
      </w:r>
      <w:r w:rsidRPr="00567E52">
        <w:rPr>
          <w:rFonts w:ascii="Times New Roman" w:eastAsia="Times New Roman" w:hAnsi="Times New Roman" w:cs="Times New Roman"/>
          <w:color w:val="000000"/>
          <w:spacing w:val="2"/>
          <w:kern w:val="0"/>
          <w:sz w:val="24"/>
          <w:szCs w:val="24"/>
          <w14:ligatures w14:val="none"/>
        </w:rPr>
        <w:t>Kötü kokulu gazların (yoğuşmayan gazlar dahil) yanması sonucu (örneğin termal oksitleyicilerde veya buhar kazanlarında) havaya CO, toz, NO</w:t>
      </w:r>
      <w:r w:rsidRPr="00567E52">
        <w:rPr>
          <w:rFonts w:ascii="Times New Roman" w:eastAsia="Times New Roman" w:hAnsi="Times New Roman" w:cs="Times New Roman"/>
          <w:color w:val="000000"/>
          <w:spacing w:val="2"/>
          <w:kern w:val="0"/>
          <w:sz w:val="24"/>
          <w:szCs w:val="24"/>
          <w:vertAlign w:val="subscript"/>
          <w14:ligatures w14:val="none"/>
        </w:rPr>
        <w:t>X</w:t>
      </w:r>
      <w:r w:rsidRPr="00567E52">
        <w:rPr>
          <w:rFonts w:ascii="Times New Roman" w:eastAsia="Times New Roman" w:hAnsi="Times New Roman" w:cs="Times New Roman"/>
          <w:color w:val="000000"/>
          <w:spacing w:val="2"/>
          <w:kern w:val="0"/>
          <w:sz w:val="24"/>
          <w:szCs w:val="24"/>
          <w14:ligatures w14:val="none"/>
        </w:rPr>
        <w:t xml:space="preserve"> ve SO</w:t>
      </w:r>
      <w:r w:rsidRPr="00567E52">
        <w:rPr>
          <w:rFonts w:ascii="Times New Roman" w:eastAsia="Times New Roman" w:hAnsi="Times New Roman" w:cs="Times New Roman"/>
          <w:color w:val="000000"/>
          <w:spacing w:val="2"/>
          <w:kern w:val="0"/>
          <w:sz w:val="24"/>
          <w:szCs w:val="24"/>
          <w:vertAlign w:val="subscript"/>
          <w14:ligatures w14:val="none"/>
        </w:rPr>
        <w:t>X</w:t>
      </w:r>
      <w:r w:rsidRPr="00567E52">
        <w:rPr>
          <w:rFonts w:ascii="Times New Roman" w:eastAsia="Times New Roman" w:hAnsi="Times New Roman" w:cs="Times New Roman"/>
          <w:color w:val="000000"/>
          <w:spacing w:val="2"/>
          <w:kern w:val="0"/>
          <w:sz w:val="24"/>
          <w:szCs w:val="24"/>
          <w14:ligatures w14:val="none"/>
        </w:rPr>
        <w:t xml:space="preserve"> emisyonlarını azaltmak için, aşağıda verilen (a) tekniğini ve (b) ila (d) tekniklerinden biri veya uygun bir kombinasyonu kullanılır.</w:t>
      </w:r>
    </w:p>
    <w:p w14:paraId="6CC7FAED" w14:textId="77777777" w:rsidR="003B155E" w:rsidRPr="00567E52" w:rsidRDefault="003B155E" w:rsidP="003B155E">
      <w:pPr>
        <w:widowControl w:val="0"/>
        <w:spacing w:after="120" w:line="276" w:lineRule="auto"/>
        <w:jc w:val="both"/>
        <w:rPr>
          <w:rFonts w:ascii="Times New Roman" w:eastAsia="Times New Roman" w:hAnsi="Times New Roman" w:cs="Times New Roman"/>
          <w:color w:val="000000"/>
          <w:spacing w:val="2"/>
          <w:kern w:val="0"/>
          <w:sz w:val="24"/>
          <w:szCs w:val="24"/>
          <w14:ligatures w14:val="none"/>
        </w:rPr>
      </w:pPr>
    </w:p>
    <w:tbl>
      <w:tblPr>
        <w:tblStyle w:val="TabloKlavuzu9"/>
        <w:tblW w:w="0" w:type="auto"/>
        <w:tblLook w:val="04A0" w:firstRow="1" w:lastRow="0" w:firstColumn="1" w:lastColumn="0" w:noHBand="0" w:noVBand="1"/>
      </w:tblPr>
      <w:tblGrid>
        <w:gridCol w:w="450"/>
        <w:gridCol w:w="1649"/>
        <w:gridCol w:w="3763"/>
        <w:gridCol w:w="1213"/>
        <w:gridCol w:w="1987"/>
      </w:tblGrid>
      <w:tr w:rsidR="003B155E" w:rsidRPr="00567E52" w14:paraId="04F752D4" w14:textId="77777777" w:rsidTr="000D79D6">
        <w:tc>
          <w:tcPr>
            <w:tcW w:w="0" w:type="auto"/>
            <w:gridSpan w:val="2"/>
          </w:tcPr>
          <w:p w14:paraId="4EF242D1"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Teknik</w:t>
            </w:r>
          </w:p>
        </w:tc>
        <w:tc>
          <w:tcPr>
            <w:tcW w:w="0" w:type="auto"/>
          </w:tcPr>
          <w:p w14:paraId="3EFA3B58"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Tanım</w:t>
            </w:r>
          </w:p>
        </w:tc>
        <w:tc>
          <w:tcPr>
            <w:tcW w:w="0" w:type="auto"/>
          </w:tcPr>
          <w:p w14:paraId="20C37CA2"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Hedeflenen ana bileşikler</w:t>
            </w:r>
          </w:p>
        </w:tc>
        <w:tc>
          <w:tcPr>
            <w:tcW w:w="0" w:type="auto"/>
          </w:tcPr>
          <w:p w14:paraId="06910847"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Uygulanabilirlik</w:t>
            </w:r>
          </w:p>
        </w:tc>
      </w:tr>
      <w:tr w:rsidR="003B155E" w:rsidRPr="00567E52" w14:paraId="62612E5F" w14:textId="77777777" w:rsidTr="000D79D6">
        <w:tc>
          <w:tcPr>
            <w:tcW w:w="0" w:type="auto"/>
          </w:tcPr>
          <w:p w14:paraId="1F3149FD"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(a)</w:t>
            </w:r>
          </w:p>
        </w:tc>
        <w:tc>
          <w:tcPr>
            <w:tcW w:w="0" w:type="auto"/>
          </w:tcPr>
          <w:p w14:paraId="40F02083" w14:textId="77777777" w:rsidR="003B155E" w:rsidRPr="00567E52" w:rsidRDefault="003B155E" w:rsidP="000D79D6">
            <w:pPr>
              <w:widowControl w:val="0"/>
              <w:shd w:val="clear" w:color="auto" w:fill="FFFFFF"/>
              <w:ind w:hanging="14"/>
              <w:jc w:val="both"/>
              <w:rPr>
                <w:rFonts w:ascii="Times New Roman" w:hAnsi="Times New Roman" w:cs="Times New Roman"/>
                <w:color w:val="000000"/>
              </w:rPr>
            </w:pPr>
            <w:r w:rsidRPr="00567E52">
              <w:rPr>
                <w:rFonts w:ascii="Times New Roman" w:hAnsi="Times New Roman" w:cs="Times New Roman"/>
                <w:color w:val="000000"/>
              </w:rPr>
              <w:t>Kazanlarda termal oksidasyon veya yanmanın optimizasyonu</w:t>
            </w:r>
          </w:p>
        </w:tc>
        <w:tc>
          <w:tcPr>
            <w:tcW w:w="0" w:type="auto"/>
          </w:tcPr>
          <w:p w14:paraId="571C24DE" w14:textId="77777777" w:rsidR="003B155E" w:rsidRPr="00567E52" w:rsidRDefault="003B155E" w:rsidP="000D79D6">
            <w:pPr>
              <w:widowControl w:val="0"/>
              <w:pBdr>
                <w:top w:val="nil"/>
                <w:left w:val="nil"/>
                <w:bottom w:val="nil"/>
                <w:right w:val="nil"/>
                <w:between w:val="nil"/>
              </w:pBdr>
              <w:ind w:left="38"/>
              <w:jc w:val="both"/>
              <w:rPr>
                <w:rFonts w:ascii="Times New Roman" w:hAnsi="Times New Roman" w:cs="Times New Roman"/>
                <w:color w:val="000000"/>
              </w:rPr>
            </w:pPr>
            <w:r w:rsidRPr="00567E52">
              <w:rPr>
                <w:rFonts w:ascii="Times New Roman" w:hAnsi="Times New Roman"/>
                <w:color w:val="000000"/>
              </w:rPr>
              <w:t>Organik bileşiklerin oksidasyonunu teşvik etmek ve NO</w:t>
            </w:r>
            <w:r w:rsidRPr="00567E52">
              <w:rPr>
                <w:rFonts w:ascii="Times New Roman" w:hAnsi="Times New Roman"/>
                <w:color w:val="000000"/>
                <w:vertAlign w:val="subscript"/>
              </w:rPr>
              <w:t>X</w:t>
            </w:r>
            <w:r w:rsidRPr="00567E52">
              <w:rPr>
                <w:rFonts w:ascii="Times New Roman" w:hAnsi="Times New Roman"/>
                <w:color w:val="000000"/>
              </w:rPr>
              <w:t xml:space="preserve"> ve CO gibi kirleticilerin oluşumunu azaltmak için kazanların veya termal oksitleyicilerin tasarım ve işletiminin optimize edilmesi.</w:t>
            </w:r>
          </w:p>
        </w:tc>
        <w:tc>
          <w:tcPr>
            <w:tcW w:w="0" w:type="auto"/>
          </w:tcPr>
          <w:p w14:paraId="6DBF4C56" w14:textId="77777777" w:rsidR="003B155E" w:rsidRPr="00567E52" w:rsidRDefault="003B155E" w:rsidP="000D79D6">
            <w:pPr>
              <w:widowControl w:val="0"/>
              <w:shd w:val="clear" w:color="auto" w:fill="FFFFFF"/>
              <w:tabs>
                <w:tab w:val="left" w:pos="562"/>
              </w:tabs>
              <w:rPr>
                <w:rFonts w:ascii="Times New Roman" w:hAnsi="Times New Roman" w:cs="Times New Roman"/>
                <w:color w:val="000000"/>
              </w:rPr>
            </w:pPr>
            <w:r w:rsidRPr="00567E52">
              <w:rPr>
                <w:rFonts w:ascii="Times New Roman" w:hAnsi="Times New Roman" w:cs="Times New Roman"/>
                <w:color w:val="000000"/>
              </w:rPr>
              <w:t>CO, NO</w:t>
            </w:r>
            <w:r w:rsidRPr="00567E52">
              <w:rPr>
                <w:rFonts w:ascii="Times New Roman" w:hAnsi="Times New Roman" w:cs="Times New Roman"/>
                <w:color w:val="000000"/>
                <w:vertAlign w:val="subscript"/>
              </w:rPr>
              <w:t>X</w:t>
            </w:r>
            <w:r w:rsidRPr="00567E52">
              <w:rPr>
                <w:rFonts w:ascii="Times New Roman" w:hAnsi="Times New Roman" w:cs="Times New Roman"/>
                <w:color w:val="000000"/>
              </w:rPr>
              <w:t xml:space="preserve"> </w:t>
            </w:r>
          </w:p>
        </w:tc>
        <w:tc>
          <w:tcPr>
            <w:tcW w:w="0" w:type="auto"/>
            <w:vMerge w:val="restart"/>
            <w:vAlign w:val="center"/>
          </w:tcPr>
          <w:p w14:paraId="5EE06A77" w14:textId="77777777" w:rsidR="003B155E" w:rsidRPr="00567E52" w:rsidRDefault="003B155E" w:rsidP="000D79D6">
            <w:pPr>
              <w:widowControl w:val="0"/>
              <w:shd w:val="clear" w:color="auto" w:fill="FFFFFF"/>
              <w:tabs>
                <w:tab w:val="left" w:pos="562"/>
              </w:tabs>
              <w:rPr>
                <w:rFonts w:ascii="Times New Roman" w:hAnsi="Times New Roman" w:cs="Times New Roman"/>
                <w:color w:val="000000"/>
              </w:rPr>
            </w:pPr>
            <w:r w:rsidRPr="00567E52">
              <w:rPr>
                <w:rFonts w:ascii="Times New Roman" w:hAnsi="Times New Roman" w:cs="Times New Roman"/>
                <w:color w:val="000000"/>
              </w:rPr>
              <w:t>Genel olarak uygulanabilir.</w:t>
            </w:r>
          </w:p>
        </w:tc>
      </w:tr>
      <w:tr w:rsidR="003B155E" w:rsidRPr="00567E52" w14:paraId="469E6D98" w14:textId="77777777" w:rsidTr="000D79D6">
        <w:tc>
          <w:tcPr>
            <w:tcW w:w="0" w:type="auto"/>
          </w:tcPr>
          <w:p w14:paraId="453CD5DE"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(b)</w:t>
            </w:r>
          </w:p>
        </w:tc>
        <w:tc>
          <w:tcPr>
            <w:tcW w:w="0" w:type="auto"/>
          </w:tcPr>
          <w:p w14:paraId="49E579F1"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Yüksek düzeyde toz, NO</w:t>
            </w:r>
            <w:r w:rsidRPr="00567E52">
              <w:rPr>
                <w:rFonts w:ascii="Times New Roman" w:hAnsi="Times New Roman" w:cs="Times New Roman"/>
                <w:color w:val="000000"/>
                <w:vertAlign w:val="subscript"/>
              </w:rPr>
              <w:t>X</w:t>
            </w:r>
            <w:r w:rsidRPr="00567E52">
              <w:rPr>
                <w:rFonts w:ascii="Times New Roman" w:hAnsi="Times New Roman" w:cs="Times New Roman"/>
                <w:color w:val="000000"/>
              </w:rPr>
              <w:t xml:space="preserve"> ve SO</w:t>
            </w:r>
            <w:r w:rsidRPr="00567E52">
              <w:rPr>
                <w:rFonts w:ascii="Times New Roman" w:hAnsi="Times New Roman" w:cs="Times New Roman"/>
                <w:color w:val="000000"/>
                <w:vertAlign w:val="subscript"/>
              </w:rPr>
              <w:t>X</w:t>
            </w:r>
            <w:r w:rsidRPr="00567E52">
              <w:rPr>
                <w:rFonts w:ascii="Times New Roman" w:hAnsi="Times New Roman" w:cs="Times New Roman"/>
                <w:color w:val="000000"/>
              </w:rPr>
              <w:t xml:space="preserve"> giderilmesi</w:t>
            </w:r>
          </w:p>
        </w:tc>
        <w:tc>
          <w:tcPr>
            <w:tcW w:w="0" w:type="auto"/>
          </w:tcPr>
          <w:p w14:paraId="0383F9A8" w14:textId="77777777" w:rsidR="003B155E" w:rsidRPr="00567E52" w:rsidRDefault="003B155E" w:rsidP="000D79D6">
            <w:pPr>
              <w:widowControl w:val="0"/>
              <w:pBdr>
                <w:top w:val="nil"/>
                <w:left w:val="nil"/>
                <w:bottom w:val="nil"/>
                <w:right w:val="nil"/>
                <w:between w:val="nil"/>
              </w:pBdr>
              <w:ind w:left="38"/>
              <w:jc w:val="both"/>
              <w:rPr>
                <w:rFonts w:ascii="Times New Roman" w:hAnsi="Times New Roman"/>
                <w:color w:val="000000"/>
                <w:sz w:val="24"/>
                <w:szCs w:val="24"/>
              </w:rPr>
            </w:pPr>
            <w:r w:rsidRPr="00567E52">
              <w:rPr>
                <w:rFonts w:ascii="Times New Roman" w:hAnsi="Times New Roman"/>
                <w:color w:val="000000"/>
              </w:rPr>
              <w:t xml:space="preserve"> Kötü kokulu gazların yanması veya termal oksidasyondan önce (örneğin yoğuşma yoluyla) yüksek düzeyde toz, NO</w:t>
            </w:r>
            <w:r w:rsidRPr="00567E52">
              <w:rPr>
                <w:rFonts w:ascii="Times New Roman" w:hAnsi="Times New Roman"/>
                <w:color w:val="000000"/>
                <w:vertAlign w:val="subscript"/>
              </w:rPr>
              <w:t>X</w:t>
            </w:r>
            <w:r w:rsidRPr="00567E52">
              <w:rPr>
                <w:rFonts w:ascii="Times New Roman" w:hAnsi="Times New Roman"/>
                <w:color w:val="000000"/>
              </w:rPr>
              <w:t xml:space="preserve"> ve SO</w:t>
            </w:r>
            <w:r w:rsidRPr="00567E52">
              <w:rPr>
                <w:rFonts w:ascii="Times New Roman" w:hAnsi="Times New Roman"/>
                <w:color w:val="000000"/>
                <w:vertAlign w:val="subscript"/>
              </w:rPr>
              <w:t>X</w:t>
            </w:r>
            <w:r w:rsidRPr="00567E52">
              <w:rPr>
                <w:rFonts w:ascii="Times New Roman" w:hAnsi="Times New Roman"/>
                <w:color w:val="000000"/>
              </w:rPr>
              <w:t xml:space="preserve"> (mümkünse yeniden kullanım için) giderilmesi. Örneğin yaş yıkama kullanılarak toz, NO</w:t>
            </w:r>
            <w:r w:rsidRPr="00567E52">
              <w:rPr>
                <w:rFonts w:ascii="Times New Roman" w:hAnsi="Times New Roman"/>
                <w:color w:val="000000"/>
                <w:vertAlign w:val="subscript"/>
              </w:rPr>
              <w:t>X</w:t>
            </w:r>
            <w:r w:rsidRPr="00567E52">
              <w:rPr>
                <w:rFonts w:ascii="Times New Roman" w:hAnsi="Times New Roman"/>
                <w:color w:val="000000"/>
              </w:rPr>
              <w:t xml:space="preserve"> ve SO</w:t>
            </w:r>
            <w:r w:rsidRPr="00567E52">
              <w:rPr>
                <w:rFonts w:ascii="Times New Roman" w:hAnsi="Times New Roman"/>
                <w:color w:val="000000"/>
                <w:vertAlign w:val="subscript"/>
              </w:rPr>
              <w:t>X</w:t>
            </w:r>
            <w:r w:rsidRPr="00567E52">
              <w:rPr>
                <w:rFonts w:ascii="Times New Roman" w:hAnsi="Times New Roman"/>
                <w:color w:val="000000"/>
              </w:rPr>
              <w:t>'in yanma sonrası ek giderimi gerçekleştirilebilir.</w:t>
            </w:r>
          </w:p>
        </w:tc>
        <w:tc>
          <w:tcPr>
            <w:tcW w:w="0" w:type="auto"/>
          </w:tcPr>
          <w:p w14:paraId="790D531B" w14:textId="77777777" w:rsidR="003B155E" w:rsidRPr="00567E52" w:rsidRDefault="003B155E" w:rsidP="000D79D6">
            <w:pPr>
              <w:widowControl w:val="0"/>
              <w:shd w:val="clear" w:color="auto" w:fill="FFFFFF"/>
              <w:tabs>
                <w:tab w:val="left" w:pos="562"/>
              </w:tabs>
              <w:rPr>
                <w:rFonts w:ascii="Times New Roman" w:hAnsi="Times New Roman" w:cs="Times New Roman"/>
                <w:color w:val="000000"/>
              </w:rPr>
            </w:pPr>
            <w:r w:rsidRPr="00567E52">
              <w:rPr>
                <w:rFonts w:ascii="Times New Roman" w:hAnsi="Times New Roman" w:cs="Times New Roman"/>
                <w:color w:val="000000"/>
              </w:rPr>
              <w:t>Toz, NO</w:t>
            </w:r>
            <w:r w:rsidRPr="00567E52">
              <w:rPr>
                <w:rFonts w:ascii="Times New Roman" w:hAnsi="Times New Roman" w:cs="Times New Roman"/>
                <w:color w:val="000000"/>
                <w:vertAlign w:val="subscript"/>
              </w:rPr>
              <w:t>X</w:t>
            </w:r>
            <w:r w:rsidRPr="00567E52">
              <w:rPr>
                <w:rFonts w:ascii="Times New Roman" w:hAnsi="Times New Roman" w:cs="Times New Roman"/>
                <w:color w:val="000000"/>
              </w:rPr>
              <w:t xml:space="preserve"> ve SO</w:t>
            </w:r>
            <w:r w:rsidRPr="00567E52">
              <w:rPr>
                <w:rFonts w:ascii="Times New Roman" w:hAnsi="Times New Roman" w:cs="Times New Roman"/>
                <w:color w:val="000000"/>
                <w:vertAlign w:val="subscript"/>
              </w:rPr>
              <w:t>X</w:t>
            </w:r>
          </w:p>
        </w:tc>
        <w:tc>
          <w:tcPr>
            <w:tcW w:w="0" w:type="auto"/>
            <w:vMerge/>
          </w:tcPr>
          <w:p w14:paraId="0F3A320A" w14:textId="77777777" w:rsidR="003B155E" w:rsidRPr="00567E52" w:rsidRDefault="003B155E" w:rsidP="000D79D6">
            <w:pPr>
              <w:widowControl w:val="0"/>
              <w:shd w:val="clear" w:color="auto" w:fill="FFFFFF"/>
              <w:tabs>
                <w:tab w:val="left" w:pos="562"/>
              </w:tabs>
              <w:rPr>
                <w:rFonts w:ascii="Times New Roman" w:hAnsi="Times New Roman" w:cs="Times New Roman"/>
                <w:color w:val="000000"/>
              </w:rPr>
            </w:pPr>
          </w:p>
        </w:tc>
      </w:tr>
      <w:tr w:rsidR="003B155E" w:rsidRPr="00567E52" w14:paraId="325201F7" w14:textId="77777777" w:rsidTr="000D79D6">
        <w:tc>
          <w:tcPr>
            <w:tcW w:w="0" w:type="auto"/>
          </w:tcPr>
          <w:p w14:paraId="46DF3064"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(c)</w:t>
            </w:r>
          </w:p>
        </w:tc>
        <w:tc>
          <w:tcPr>
            <w:tcW w:w="0" w:type="auto"/>
          </w:tcPr>
          <w:p w14:paraId="7B5053CD"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Yakıt seçimi</w:t>
            </w:r>
          </w:p>
        </w:tc>
        <w:tc>
          <w:tcPr>
            <w:tcW w:w="0" w:type="auto"/>
          </w:tcPr>
          <w:p w14:paraId="53ABD9C1" w14:textId="77777777" w:rsidR="003B155E" w:rsidRPr="00567E52" w:rsidRDefault="003B155E" w:rsidP="000D79D6">
            <w:pPr>
              <w:widowControl w:val="0"/>
              <w:pBdr>
                <w:top w:val="nil"/>
                <w:left w:val="nil"/>
                <w:bottom w:val="nil"/>
                <w:right w:val="nil"/>
                <w:between w:val="nil"/>
              </w:pBdr>
              <w:ind w:left="38"/>
              <w:jc w:val="both"/>
              <w:rPr>
                <w:rFonts w:ascii="Times New Roman" w:hAnsi="Times New Roman"/>
                <w:color w:val="000000"/>
              </w:rPr>
            </w:pPr>
            <w:r w:rsidRPr="00567E52">
              <w:rPr>
                <w:rFonts w:ascii="Times New Roman" w:hAnsi="Times New Roman"/>
                <w:color w:val="000000"/>
              </w:rPr>
              <w:t>Potansiyel kirlilik yaratan bileşiklerin düşük oranda bulunduğu yakıtların (destekleyici/yardımcı yakıtlar dahil) kullanılması (örneğin yakıtta düşük kükürt, kül, azot, flor veya klor içeriği).</w:t>
            </w:r>
          </w:p>
        </w:tc>
        <w:tc>
          <w:tcPr>
            <w:tcW w:w="0" w:type="auto"/>
          </w:tcPr>
          <w:p w14:paraId="02CDABBE" w14:textId="77777777" w:rsidR="003B155E" w:rsidRPr="00567E52" w:rsidRDefault="003B155E" w:rsidP="000D79D6">
            <w:pPr>
              <w:widowControl w:val="0"/>
              <w:shd w:val="clear" w:color="auto" w:fill="FFFFFF"/>
              <w:tabs>
                <w:tab w:val="left" w:pos="562"/>
              </w:tabs>
              <w:rPr>
                <w:rFonts w:ascii="Times New Roman" w:hAnsi="Times New Roman" w:cs="Times New Roman"/>
                <w:color w:val="000000"/>
              </w:rPr>
            </w:pPr>
            <w:r w:rsidRPr="00567E52">
              <w:rPr>
                <w:rFonts w:ascii="Times New Roman" w:hAnsi="Times New Roman" w:cs="Times New Roman"/>
                <w:color w:val="000000"/>
              </w:rPr>
              <w:t>Toz, NO</w:t>
            </w:r>
            <w:r w:rsidRPr="00567E52">
              <w:rPr>
                <w:rFonts w:ascii="Times New Roman" w:hAnsi="Times New Roman" w:cs="Times New Roman"/>
                <w:color w:val="000000"/>
                <w:vertAlign w:val="subscript"/>
              </w:rPr>
              <w:t>X</w:t>
            </w:r>
            <w:r w:rsidRPr="00567E52">
              <w:rPr>
                <w:rFonts w:ascii="Times New Roman" w:hAnsi="Times New Roman" w:cs="Times New Roman"/>
                <w:color w:val="000000"/>
              </w:rPr>
              <w:t xml:space="preserve"> ve SO</w:t>
            </w:r>
            <w:r w:rsidRPr="00567E52">
              <w:rPr>
                <w:rFonts w:ascii="Times New Roman" w:hAnsi="Times New Roman" w:cs="Times New Roman"/>
                <w:color w:val="000000"/>
                <w:vertAlign w:val="subscript"/>
              </w:rPr>
              <w:t>X</w:t>
            </w:r>
          </w:p>
        </w:tc>
        <w:tc>
          <w:tcPr>
            <w:tcW w:w="0" w:type="auto"/>
            <w:vMerge/>
          </w:tcPr>
          <w:p w14:paraId="27423758" w14:textId="77777777" w:rsidR="003B155E" w:rsidRPr="00567E52" w:rsidRDefault="003B155E" w:rsidP="000D79D6">
            <w:pPr>
              <w:widowControl w:val="0"/>
              <w:shd w:val="clear" w:color="auto" w:fill="FFFFFF"/>
              <w:tabs>
                <w:tab w:val="left" w:pos="562"/>
              </w:tabs>
              <w:rPr>
                <w:rFonts w:ascii="Times New Roman" w:hAnsi="Times New Roman" w:cs="Times New Roman"/>
                <w:color w:val="000000"/>
              </w:rPr>
            </w:pPr>
          </w:p>
        </w:tc>
      </w:tr>
      <w:tr w:rsidR="003B155E" w:rsidRPr="00567E52" w14:paraId="3AD666DE" w14:textId="77777777" w:rsidTr="000D79D6">
        <w:tc>
          <w:tcPr>
            <w:tcW w:w="0" w:type="auto"/>
          </w:tcPr>
          <w:p w14:paraId="0F2226CB"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(d)</w:t>
            </w:r>
          </w:p>
        </w:tc>
        <w:tc>
          <w:tcPr>
            <w:tcW w:w="0" w:type="auto"/>
          </w:tcPr>
          <w:p w14:paraId="2C36E6DB"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Düşük NO</w:t>
            </w:r>
            <w:r w:rsidRPr="00567E52">
              <w:rPr>
                <w:rFonts w:ascii="Times New Roman" w:hAnsi="Times New Roman" w:cs="Times New Roman"/>
                <w:color w:val="000000"/>
                <w:vertAlign w:val="subscript"/>
              </w:rPr>
              <w:t>X</w:t>
            </w:r>
            <w:r w:rsidRPr="00567E52">
              <w:rPr>
                <w:rFonts w:ascii="Times New Roman" w:hAnsi="Times New Roman" w:cs="Times New Roman"/>
                <w:color w:val="000000"/>
              </w:rPr>
              <w:t xml:space="preserve"> brolürü</w:t>
            </w:r>
          </w:p>
        </w:tc>
        <w:tc>
          <w:tcPr>
            <w:tcW w:w="0" w:type="auto"/>
          </w:tcPr>
          <w:p w14:paraId="5143205F" w14:textId="77777777" w:rsidR="003B155E" w:rsidRPr="00567E52" w:rsidRDefault="003B155E" w:rsidP="000D79D6">
            <w:pPr>
              <w:widowControl w:val="0"/>
              <w:pBdr>
                <w:top w:val="nil"/>
                <w:left w:val="nil"/>
                <w:bottom w:val="nil"/>
                <w:right w:val="nil"/>
                <w:between w:val="nil"/>
              </w:pBdr>
              <w:ind w:left="38"/>
              <w:jc w:val="both"/>
              <w:rPr>
                <w:rFonts w:ascii="Times New Roman" w:hAnsi="Times New Roman"/>
                <w:color w:val="000000"/>
              </w:rPr>
            </w:pPr>
            <w:r w:rsidRPr="00567E52">
              <w:rPr>
                <w:rFonts w:ascii="Times New Roman" w:hAnsi="Times New Roman"/>
                <w:color w:val="000000"/>
              </w:rPr>
              <w:t xml:space="preserve">Teknik, tepe alev sıcaklıklarını azaltma </w:t>
            </w:r>
            <w:r w:rsidR="00836290">
              <w:rPr>
                <w:rFonts w:ascii="Times New Roman" w:hAnsi="Times New Roman"/>
                <w:color w:val="000000"/>
              </w:rPr>
              <w:t>ilkeleri</w:t>
            </w:r>
            <w:r w:rsidRPr="00567E52">
              <w:rPr>
                <w:rFonts w:ascii="Times New Roman" w:hAnsi="Times New Roman"/>
                <w:color w:val="000000"/>
              </w:rPr>
              <w:t>ne dayanmaktadır. Hava/yakıt karışımı oksijenin bulunabilirliğini azaltır ve tepe alev sıcaklığını düşürür, böylece yakıt bağlı nitrojenin NO</w:t>
            </w:r>
            <w:r w:rsidRPr="00567E52">
              <w:rPr>
                <w:rFonts w:ascii="Times New Roman" w:hAnsi="Times New Roman"/>
                <w:color w:val="000000"/>
                <w:vertAlign w:val="subscript"/>
              </w:rPr>
              <w:t>X</w:t>
            </w:r>
            <w:r w:rsidRPr="00567E52">
              <w:rPr>
                <w:rFonts w:ascii="Times New Roman" w:hAnsi="Times New Roman"/>
                <w:color w:val="000000"/>
              </w:rPr>
              <w:t>’e dönüşümünü ve termal NO</w:t>
            </w:r>
            <w:r w:rsidRPr="00567E52">
              <w:rPr>
                <w:rFonts w:ascii="Times New Roman" w:hAnsi="Times New Roman"/>
                <w:color w:val="000000"/>
                <w:vertAlign w:val="subscript"/>
              </w:rPr>
              <w:t>X</w:t>
            </w:r>
            <w:r w:rsidRPr="00567E52">
              <w:rPr>
                <w:rFonts w:ascii="Times New Roman" w:hAnsi="Times New Roman"/>
                <w:color w:val="000000"/>
              </w:rPr>
              <w:t xml:space="preserve"> oluşumunu geciktirirken yüksek yanma verimliliğini korur. Bu, fırın yanma odasının değiştirilmiş tasarımıyla ilişkili olabilir.</w:t>
            </w:r>
          </w:p>
        </w:tc>
        <w:tc>
          <w:tcPr>
            <w:tcW w:w="0" w:type="auto"/>
          </w:tcPr>
          <w:p w14:paraId="173DBAED"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NO</w:t>
            </w:r>
            <w:r w:rsidRPr="00567E52">
              <w:rPr>
                <w:rFonts w:ascii="Times New Roman" w:hAnsi="Times New Roman" w:cs="Times New Roman"/>
                <w:color w:val="000000"/>
                <w:vertAlign w:val="subscript"/>
              </w:rPr>
              <w:t>X</w:t>
            </w:r>
          </w:p>
        </w:tc>
        <w:tc>
          <w:tcPr>
            <w:tcW w:w="0" w:type="auto"/>
          </w:tcPr>
          <w:p w14:paraId="3638C47B" w14:textId="77777777" w:rsidR="003B155E" w:rsidRPr="00567E52" w:rsidRDefault="003B155E" w:rsidP="000D79D6">
            <w:pPr>
              <w:widowControl w:val="0"/>
              <w:tabs>
                <w:tab w:val="left" w:pos="562"/>
              </w:tabs>
              <w:jc w:val="both"/>
              <w:rPr>
                <w:rFonts w:ascii="Times New Roman" w:hAnsi="Times New Roman" w:cs="Times New Roman"/>
                <w:color w:val="000000"/>
              </w:rPr>
            </w:pPr>
            <w:r w:rsidRPr="00567E52">
              <w:rPr>
                <w:rFonts w:ascii="Times New Roman" w:hAnsi="Times New Roman" w:cs="Times New Roman"/>
                <w:color w:val="000000"/>
              </w:rPr>
              <w:t>Mevcut tesislere uygulanabilirlik, tasarım ve/veya operasyonel kısıtlamalar nedeniyle kısıtlanabilir.</w:t>
            </w:r>
          </w:p>
        </w:tc>
      </w:tr>
    </w:tbl>
    <w:p w14:paraId="4E3537BA" w14:textId="77777777" w:rsidR="003B155E" w:rsidRPr="00567E52" w:rsidRDefault="003B155E" w:rsidP="003B155E">
      <w:pPr>
        <w:widowControl w:val="0"/>
        <w:spacing w:after="120" w:line="276" w:lineRule="auto"/>
        <w:jc w:val="both"/>
        <w:rPr>
          <w:rFonts w:ascii="Times New Roman" w:eastAsia="Times New Roman" w:hAnsi="Times New Roman" w:cs="Times New Roman"/>
          <w:b/>
          <w:bCs/>
          <w:color w:val="000000"/>
          <w:spacing w:val="2"/>
          <w:kern w:val="0"/>
          <w:sz w:val="24"/>
          <w:szCs w:val="24"/>
          <w14:ligatures w14:val="none"/>
        </w:rPr>
      </w:pPr>
    </w:p>
    <w:p w14:paraId="6AA7B5AE"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Tablo 1.3</w:t>
      </w:r>
    </w:p>
    <w:p w14:paraId="3EF1CF9E" w14:textId="77777777" w:rsidR="003B155E" w:rsidRPr="00567E52" w:rsidRDefault="003B155E" w:rsidP="003B155E">
      <w:pPr>
        <w:widowControl w:val="0"/>
        <w:spacing w:after="12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Kötü kokulu gazların (yoğuşmayan gazlar dahil) termal oksitleyicilerde yanması sonucu oluşan toz, NO</w:t>
      </w:r>
      <w:r w:rsidRPr="00567E52">
        <w:rPr>
          <w:rFonts w:ascii="Times New Roman" w:eastAsia="Times New Roman" w:hAnsi="Times New Roman" w:cs="Times New Roman"/>
          <w:color w:val="000000"/>
          <w:spacing w:val="2"/>
          <w:kern w:val="0"/>
          <w:sz w:val="24"/>
          <w:szCs w:val="24"/>
          <w:vertAlign w:val="subscript"/>
          <w14:ligatures w14:val="none"/>
        </w:rPr>
        <w:t>X</w:t>
      </w:r>
      <w:r w:rsidRPr="00567E52">
        <w:rPr>
          <w:rFonts w:ascii="Times New Roman" w:eastAsia="Times New Roman" w:hAnsi="Times New Roman" w:cs="Times New Roman"/>
          <w:color w:val="000000"/>
          <w:spacing w:val="2"/>
          <w:kern w:val="0"/>
          <w:sz w:val="24"/>
          <w:szCs w:val="24"/>
          <w14:ligatures w14:val="none"/>
        </w:rPr>
        <w:t xml:space="preserve"> ve SO</w:t>
      </w:r>
      <w:r w:rsidRPr="00567E52">
        <w:rPr>
          <w:rFonts w:ascii="Times New Roman" w:eastAsia="Times New Roman" w:hAnsi="Times New Roman" w:cs="Times New Roman"/>
          <w:color w:val="000000"/>
          <w:spacing w:val="2"/>
          <w:kern w:val="0"/>
          <w:sz w:val="24"/>
          <w:szCs w:val="24"/>
          <w:vertAlign w:val="subscript"/>
          <w14:ligatures w14:val="none"/>
        </w:rPr>
        <w:t>X</w:t>
      </w:r>
      <w:r w:rsidRPr="00567E52">
        <w:rPr>
          <w:rFonts w:ascii="Times New Roman" w:eastAsia="Times New Roman" w:hAnsi="Times New Roman" w:cs="Times New Roman"/>
          <w:color w:val="000000"/>
          <w:spacing w:val="2"/>
          <w:kern w:val="0"/>
          <w:sz w:val="24"/>
          <w:szCs w:val="24"/>
          <w14:ligatures w14:val="none"/>
        </w:rPr>
        <w:t>’in havaya salınan baca gazı emisyonları için MET ile ilişkili emisyon seviyeleri (MET-İES)</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064"/>
        <w:gridCol w:w="1982"/>
        <w:gridCol w:w="5006"/>
      </w:tblGrid>
      <w:tr w:rsidR="003B155E" w:rsidRPr="00567E52" w14:paraId="5A43879F" w14:textId="77777777" w:rsidTr="000D79D6">
        <w:trPr>
          <w:trHeight w:val="323"/>
          <w:jc w:val="center"/>
        </w:trPr>
        <w:tc>
          <w:tcPr>
            <w:tcW w:w="114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DB6C074"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Madde/Parametre</w:t>
            </w:r>
          </w:p>
        </w:tc>
        <w:tc>
          <w:tcPr>
            <w:tcW w:w="109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7021D19"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Birim</w:t>
            </w:r>
          </w:p>
        </w:tc>
        <w:tc>
          <w:tcPr>
            <w:tcW w:w="276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372324B2"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MET-İES (örnekleme dönemi boyunca ortalama)</w:t>
            </w:r>
          </w:p>
        </w:tc>
      </w:tr>
      <w:tr w:rsidR="003B155E" w:rsidRPr="00567E52" w14:paraId="26FE37E6"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6BB6B91F"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Toz</w:t>
            </w:r>
          </w:p>
        </w:tc>
        <w:tc>
          <w:tcPr>
            <w:tcW w:w="1095" w:type="pct"/>
            <w:vMerge w:val="restart"/>
            <w:tcBorders>
              <w:top w:val="nil"/>
              <w:left w:val="nil"/>
              <w:right w:val="single" w:sz="8" w:space="0" w:color="000000"/>
            </w:tcBorders>
            <w:tcMar>
              <w:top w:w="0" w:type="dxa"/>
              <w:left w:w="100" w:type="dxa"/>
              <w:bottom w:w="0" w:type="dxa"/>
              <w:right w:w="100" w:type="dxa"/>
            </w:tcMar>
            <w:vAlign w:val="center"/>
          </w:tcPr>
          <w:p w14:paraId="5BE8DCB6"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mg/Nm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0F68151A"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&lt;1-5 (</w:t>
            </w:r>
            <w:r w:rsidRPr="00567E52">
              <w:rPr>
                <w:rFonts w:ascii="Times New Roman" w:eastAsia="Times New Roman" w:hAnsi="Times New Roman" w:cs="Courier New"/>
                <w:bCs/>
                <w:color w:val="000000"/>
                <w:kern w:val="0"/>
                <w:vertAlign w:val="superscript"/>
                <w:lang w:eastAsia="tr-TR"/>
                <w14:ligatures w14:val="none"/>
              </w:rPr>
              <w:t>1</w:t>
            </w:r>
            <w:r w:rsidRPr="00567E52">
              <w:rPr>
                <w:rFonts w:ascii="Times New Roman" w:eastAsia="Times New Roman" w:hAnsi="Times New Roman" w:cs="Courier New"/>
                <w:bCs/>
                <w:color w:val="000000"/>
                <w:kern w:val="0"/>
                <w:lang w:eastAsia="tr-TR"/>
                <w14:ligatures w14:val="none"/>
              </w:rPr>
              <w:t>)</w:t>
            </w:r>
          </w:p>
        </w:tc>
      </w:tr>
      <w:tr w:rsidR="003B155E" w:rsidRPr="00567E52" w14:paraId="5FB8EC68"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01B347E7"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Times New Roman"/>
                <w:color w:val="000000"/>
                <w:spacing w:val="2"/>
                <w:kern w:val="0"/>
                <w:sz w:val="24"/>
                <w:szCs w:val="24"/>
                <w14:ligatures w14:val="none"/>
              </w:rPr>
              <w:t>NO</w:t>
            </w:r>
            <w:r w:rsidRPr="00567E52">
              <w:rPr>
                <w:rFonts w:ascii="Times New Roman" w:eastAsia="Times New Roman" w:hAnsi="Times New Roman" w:cs="Times New Roman"/>
                <w:color w:val="000000"/>
                <w:spacing w:val="2"/>
                <w:kern w:val="0"/>
                <w:sz w:val="24"/>
                <w:szCs w:val="24"/>
                <w:vertAlign w:val="subscript"/>
                <w14:ligatures w14:val="none"/>
              </w:rPr>
              <w:t>X</w:t>
            </w:r>
          </w:p>
        </w:tc>
        <w:tc>
          <w:tcPr>
            <w:tcW w:w="1095" w:type="pct"/>
            <w:vMerge/>
            <w:tcBorders>
              <w:left w:val="nil"/>
              <w:right w:val="single" w:sz="8" w:space="0" w:color="000000"/>
            </w:tcBorders>
            <w:tcMar>
              <w:top w:w="0" w:type="dxa"/>
              <w:left w:w="100" w:type="dxa"/>
              <w:bottom w:w="0" w:type="dxa"/>
              <w:right w:w="100" w:type="dxa"/>
            </w:tcMar>
            <w:vAlign w:val="center"/>
          </w:tcPr>
          <w:p w14:paraId="55DA181F"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2ADC47BD"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50-200 (</w:t>
            </w:r>
            <w:r w:rsidRPr="00567E52">
              <w:rPr>
                <w:rFonts w:ascii="Times New Roman" w:eastAsia="Times New Roman" w:hAnsi="Times New Roman" w:cs="Courier New"/>
                <w:bCs/>
                <w:color w:val="000000"/>
                <w:kern w:val="0"/>
                <w:vertAlign w:val="superscript"/>
                <w:lang w:eastAsia="tr-TR"/>
                <w14:ligatures w14:val="none"/>
              </w:rPr>
              <w:t>1</w:t>
            </w:r>
            <w:r w:rsidRPr="00567E52">
              <w:rPr>
                <w:rFonts w:ascii="Times New Roman" w:eastAsia="Times New Roman" w:hAnsi="Times New Roman" w:cs="Courier New"/>
                <w:bCs/>
                <w:color w:val="000000"/>
                <w:kern w:val="0"/>
                <w:lang w:eastAsia="tr-TR"/>
                <w14:ligatures w14:val="none"/>
              </w:rPr>
              <w:t>) (</w:t>
            </w:r>
            <w:r w:rsidRPr="00567E52">
              <w:rPr>
                <w:rFonts w:ascii="Times New Roman" w:eastAsia="Times New Roman" w:hAnsi="Times New Roman" w:cs="Courier New"/>
                <w:bCs/>
                <w:color w:val="000000"/>
                <w:kern w:val="0"/>
                <w:vertAlign w:val="superscript"/>
                <w:lang w:eastAsia="tr-TR"/>
                <w14:ligatures w14:val="none"/>
              </w:rPr>
              <w:t>2</w:t>
            </w:r>
            <w:r w:rsidRPr="00567E52">
              <w:rPr>
                <w:rFonts w:ascii="Times New Roman" w:eastAsia="Times New Roman" w:hAnsi="Times New Roman" w:cs="Courier New"/>
                <w:bCs/>
                <w:color w:val="000000"/>
                <w:kern w:val="0"/>
                <w:lang w:eastAsia="tr-TR"/>
                <w14:ligatures w14:val="none"/>
              </w:rPr>
              <w:t>)</w:t>
            </w:r>
          </w:p>
        </w:tc>
      </w:tr>
      <w:tr w:rsidR="003B155E" w:rsidRPr="00567E52" w14:paraId="0CEE5B97"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54524E50" w14:textId="77777777" w:rsidR="003B155E" w:rsidRPr="00567E52" w:rsidRDefault="003B155E" w:rsidP="000D79D6">
            <w:pPr>
              <w:widowControl w:val="0"/>
              <w:spacing w:after="0" w:line="240"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SO</w:t>
            </w:r>
            <w:r w:rsidRPr="00567E52">
              <w:rPr>
                <w:rFonts w:ascii="Times New Roman" w:eastAsia="Times New Roman" w:hAnsi="Times New Roman" w:cs="Times New Roman"/>
                <w:color w:val="000000"/>
                <w:spacing w:val="2"/>
                <w:kern w:val="0"/>
                <w:sz w:val="24"/>
                <w:szCs w:val="24"/>
                <w:vertAlign w:val="subscript"/>
                <w14:ligatures w14:val="none"/>
              </w:rPr>
              <w:t>X</w:t>
            </w:r>
          </w:p>
        </w:tc>
        <w:tc>
          <w:tcPr>
            <w:tcW w:w="1095" w:type="pct"/>
            <w:vMerge/>
            <w:tcBorders>
              <w:left w:val="nil"/>
              <w:bottom w:val="single" w:sz="4" w:space="0" w:color="auto"/>
              <w:right w:val="single" w:sz="8" w:space="0" w:color="000000"/>
            </w:tcBorders>
            <w:tcMar>
              <w:top w:w="0" w:type="dxa"/>
              <w:left w:w="100" w:type="dxa"/>
              <w:bottom w:w="0" w:type="dxa"/>
              <w:right w:w="100" w:type="dxa"/>
            </w:tcMar>
            <w:vAlign w:val="center"/>
          </w:tcPr>
          <w:p w14:paraId="7493288E"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4C87B317"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6-100</w:t>
            </w:r>
          </w:p>
        </w:tc>
      </w:tr>
      <w:tr w:rsidR="003B155E" w:rsidRPr="00567E52" w14:paraId="236D024A" w14:textId="77777777" w:rsidTr="000D79D6">
        <w:trPr>
          <w:trHeight w:val="450"/>
          <w:jc w:val="center"/>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2F3C685A"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567E52">
              <w:rPr>
                <w:rFonts w:ascii="Times New Roman" w:eastAsia="Times New Roman" w:hAnsi="Times New Roman" w:cs="Courier New"/>
                <w:bCs/>
                <w:color w:val="000000"/>
                <w:kern w:val="0"/>
                <w:sz w:val="20"/>
                <w:szCs w:val="20"/>
                <w:lang w:eastAsia="tr-TR"/>
                <w14:ligatures w14:val="none"/>
              </w:rPr>
              <w:t>(</w:t>
            </w:r>
            <w:r w:rsidRPr="00567E52">
              <w:rPr>
                <w:rFonts w:ascii="Times New Roman" w:eastAsia="Times New Roman" w:hAnsi="Times New Roman" w:cs="Courier New"/>
                <w:bCs/>
                <w:color w:val="000000"/>
                <w:kern w:val="0"/>
                <w:sz w:val="20"/>
                <w:szCs w:val="20"/>
                <w:vertAlign w:val="superscript"/>
                <w:lang w:eastAsia="tr-TR"/>
                <w14:ligatures w14:val="none"/>
              </w:rPr>
              <w:t>1</w:t>
            </w:r>
            <w:r w:rsidRPr="00567E52">
              <w:rPr>
                <w:rFonts w:ascii="Times New Roman" w:eastAsia="Times New Roman" w:hAnsi="Times New Roman" w:cs="Courier New"/>
                <w:bCs/>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lang w:eastAsia="tr-TR"/>
                <w14:ligatures w14:val="none"/>
              </w:rPr>
              <w:t xml:space="preserve"> </w:t>
            </w:r>
            <w:r w:rsidRPr="00567E52">
              <w:rPr>
                <w:rFonts w:ascii="Times New Roman" w:eastAsia="Times New Roman" w:hAnsi="Times New Roman" w:cs="Courier New"/>
                <w:bCs/>
                <w:color w:val="000000"/>
                <w:kern w:val="0"/>
                <w:sz w:val="20"/>
                <w:szCs w:val="20"/>
                <w:lang w:eastAsia="tr-TR"/>
                <w14:ligatures w14:val="none"/>
              </w:rPr>
              <w:t>MET-İES yalnızca yakıt olarak sadece doğal gaz kullanıldığında geçerlidir.</w:t>
            </w:r>
          </w:p>
          <w:p w14:paraId="3B7C1CE3"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567E52">
              <w:rPr>
                <w:rFonts w:ascii="Times New Roman" w:eastAsia="Times New Roman" w:hAnsi="Times New Roman" w:cs="Courier New"/>
                <w:bCs/>
                <w:color w:val="000000"/>
                <w:kern w:val="0"/>
                <w:sz w:val="20"/>
                <w:szCs w:val="20"/>
                <w:lang w:eastAsia="tr-TR"/>
                <w14:ligatures w14:val="none"/>
              </w:rPr>
              <w:t>(</w:t>
            </w:r>
            <w:r w:rsidRPr="00567E52">
              <w:rPr>
                <w:rFonts w:ascii="Times New Roman" w:eastAsia="Times New Roman" w:hAnsi="Times New Roman" w:cs="Courier New"/>
                <w:bCs/>
                <w:color w:val="000000"/>
                <w:kern w:val="0"/>
                <w:sz w:val="20"/>
                <w:szCs w:val="20"/>
                <w:vertAlign w:val="superscript"/>
                <w:lang w:eastAsia="tr-TR"/>
                <w14:ligatures w14:val="none"/>
              </w:rPr>
              <w:t>2</w:t>
            </w:r>
            <w:r w:rsidRPr="00567E52">
              <w:rPr>
                <w:rFonts w:ascii="Times New Roman" w:eastAsia="Times New Roman" w:hAnsi="Times New Roman" w:cs="Courier New"/>
                <w:bCs/>
                <w:color w:val="000000"/>
                <w:kern w:val="0"/>
                <w:sz w:val="20"/>
                <w:szCs w:val="20"/>
                <w:lang w:eastAsia="tr-TR"/>
                <w14:ligatures w14:val="none"/>
              </w:rPr>
              <w:t>) MET-İES aralığının üst sınırı, reküperatif termal oksitleyiciler için 350 mg/Nm</w:t>
            </w:r>
            <w:r w:rsidRPr="00567E52">
              <w:rPr>
                <w:rFonts w:ascii="Times New Roman" w:eastAsia="Times New Roman" w:hAnsi="Times New Roman" w:cs="Courier New"/>
                <w:bCs/>
                <w:color w:val="000000"/>
                <w:kern w:val="0"/>
                <w:sz w:val="20"/>
                <w:szCs w:val="20"/>
                <w:vertAlign w:val="superscript"/>
                <w:lang w:eastAsia="tr-TR"/>
                <w14:ligatures w14:val="none"/>
              </w:rPr>
              <w:t>3</w:t>
            </w:r>
            <w:r w:rsidRPr="00567E52">
              <w:rPr>
                <w:rFonts w:ascii="Times New Roman" w:eastAsia="Times New Roman" w:hAnsi="Times New Roman" w:cs="Courier New"/>
                <w:bCs/>
                <w:color w:val="000000"/>
                <w:kern w:val="0"/>
                <w:sz w:val="20"/>
                <w:szCs w:val="20"/>
                <w:lang w:eastAsia="tr-TR"/>
                <w14:ligatures w14:val="none"/>
              </w:rPr>
              <w:t xml:space="preserve"> ve daha fazla olabilir.</w:t>
            </w:r>
          </w:p>
        </w:tc>
      </w:tr>
    </w:tbl>
    <w:p w14:paraId="27FD91D9" w14:textId="77777777" w:rsidR="003B155E" w:rsidRPr="00567E52" w:rsidRDefault="003B155E" w:rsidP="003B155E">
      <w:pPr>
        <w:widowControl w:val="0"/>
        <w:spacing w:after="120" w:line="276" w:lineRule="auto"/>
        <w:jc w:val="both"/>
        <w:rPr>
          <w:rFonts w:ascii="Times New Roman" w:eastAsia="Times New Roman" w:hAnsi="Times New Roman" w:cs="Times New Roman"/>
          <w:color w:val="000000"/>
          <w:spacing w:val="2"/>
          <w:kern w:val="0"/>
          <w:sz w:val="24"/>
          <w:szCs w:val="24"/>
          <w14:ligatures w14:val="none"/>
        </w:rPr>
      </w:pPr>
    </w:p>
    <w:p w14:paraId="45D0F7D1"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8’de verilmiştir.</w:t>
      </w:r>
    </w:p>
    <w:p w14:paraId="670515E5"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Tablo 1.4</w:t>
      </w:r>
    </w:p>
    <w:p w14:paraId="4925D03A" w14:textId="77777777" w:rsidR="003B155E" w:rsidRDefault="003B155E" w:rsidP="003B155E">
      <w:pPr>
        <w:widowControl w:val="0"/>
        <w:spacing w:after="12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Kötü kokulu gazların (yoğuşmayan gazlar dahil) termal oksitleyicilerde yanması sonucu havaya salınan CO emisyonları için gösterge emisyon seviyesi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064"/>
        <w:gridCol w:w="1982"/>
        <w:gridCol w:w="5006"/>
      </w:tblGrid>
      <w:tr w:rsidR="003B155E" w:rsidRPr="00567E52" w14:paraId="52FC7DAD" w14:textId="77777777" w:rsidTr="000D79D6">
        <w:trPr>
          <w:trHeight w:val="323"/>
          <w:jc w:val="center"/>
        </w:trPr>
        <w:tc>
          <w:tcPr>
            <w:tcW w:w="114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E9A031D"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Madde</w:t>
            </w:r>
          </w:p>
        </w:tc>
        <w:tc>
          <w:tcPr>
            <w:tcW w:w="109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57635E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Birim</w:t>
            </w:r>
          </w:p>
        </w:tc>
        <w:tc>
          <w:tcPr>
            <w:tcW w:w="276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2FE5B2B"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Gösterge emisyon seviyesi (örnekleme dönemi boyunca ortalama)</w:t>
            </w:r>
            <w:r w:rsidRPr="00567E52">
              <w:rPr>
                <w:rFonts w:ascii="Times New Roman" w:eastAsia="Times New Roman" w:hAnsi="Times New Roman" w:cs="Courier New"/>
                <w:color w:val="000000"/>
                <w:kern w:val="0"/>
                <w:sz w:val="24"/>
                <w:szCs w:val="24"/>
                <w:lang w:eastAsia="tr-TR"/>
                <w14:ligatures w14:val="none"/>
              </w:rPr>
              <w:t xml:space="preserve"> </w:t>
            </w:r>
          </w:p>
        </w:tc>
      </w:tr>
      <w:tr w:rsidR="003B155E" w:rsidRPr="00567E52" w14:paraId="2DCB0A77"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3B6E35C2"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CO</w:t>
            </w:r>
          </w:p>
        </w:tc>
        <w:tc>
          <w:tcPr>
            <w:tcW w:w="1095" w:type="pct"/>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0E111A23"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mg/Nm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41246F3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3-30</w:t>
            </w:r>
          </w:p>
        </w:tc>
      </w:tr>
    </w:tbl>
    <w:p w14:paraId="615D3246" w14:textId="77777777" w:rsidR="003B155E"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8’de verilmiştir.</w:t>
      </w:r>
    </w:p>
    <w:p w14:paraId="78557CF1"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1.1.9. Gürültü</w:t>
      </w:r>
    </w:p>
    <w:p w14:paraId="02A71D9E" w14:textId="77777777" w:rsidR="003B155E" w:rsidRPr="00567E52" w:rsidRDefault="003B155E" w:rsidP="003B155E">
      <w:pPr>
        <w:widowControl w:val="0"/>
        <w:spacing w:after="120" w:line="276" w:lineRule="auto"/>
        <w:jc w:val="both"/>
        <w:rPr>
          <w:rFonts w:ascii="Times New Roman" w:eastAsia="Times New Roman" w:hAnsi="Times New Roman" w:cs="Courier New"/>
          <w:b/>
          <w:color w:val="FF0000"/>
          <w:kern w:val="0"/>
          <w:sz w:val="24"/>
          <w:szCs w:val="24"/>
          <w:lang w:eastAsia="tr-TR"/>
          <w14:ligatures w14:val="none"/>
        </w:rPr>
      </w:pPr>
      <w:r w:rsidRPr="00567E52">
        <w:rPr>
          <w:rFonts w:ascii="Times New Roman" w:eastAsia="Times New Roman" w:hAnsi="Times New Roman" w:cs="Times New Roman"/>
          <w:b/>
          <w:bCs/>
          <w:color w:val="000000"/>
          <w:spacing w:val="2"/>
          <w:kern w:val="0"/>
          <w:sz w:val="24"/>
          <w:szCs w:val="24"/>
          <w14:ligatures w14:val="none"/>
        </w:rPr>
        <w:t xml:space="preserve">MET 16: </w:t>
      </w:r>
      <w:r w:rsidRPr="00567E52">
        <w:rPr>
          <w:rFonts w:ascii="Times New Roman" w:eastAsia="Times New Roman" w:hAnsi="Times New Roman" w:cs="Courier New"/>
          <w:bCs/>
          <w:color w:val="000000"/>
          <w:kern w:val="0"/>
          <w:sz w:val="24"/>
          <w:szCs w:val="24"/>
          <w:lang w:eastAsia="tr-TR"/>
          <w14:ligatures w14:val="none"/>
        </w:rPr>
        <w:t>Gürültü emisyonlarını önlemek veya bu mümkün olmadığında azaltmak için, çevre yönetim sisteminin bir parçası olarak (bkz. MET 1) aşağıdaki unsurların tümünü içeren bir gürültü yönetim planı oluşturulur, uygulanır ve düzenli olarak gözden geçirilir:</w:t>
      </w:r>
    </w:p>
    <w:p w14:paraId="6027F7CF" w14:textId="77777777" w:rsidR="003B155E" w:rsidRPr="00567E52"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Eylemleri ve zaman çizelgelerini içeren bir protokol;</w:t>
      </w:r>
    </w:p>
    <w:p w14:paraId="785AAFFE" w14:textId="77777777" w:rsidR="003B155E" w:rsidRPr="00567E52"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 xml:space="preserve">Gürültü emisyonlarının izlenmesini yürütme protokolü; </w:t>
      </w:r>
    </w:p>
    <w:p w14:paraId="4A1E946A" w14:textId="77777777" w:rsidR="003B155E" w:rsidRPr="00567E52"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Tespit edilen gürültü olaylarına (örneğin şikayetler) yanıt verme protokolü;</w:t>
      </w:r>
    </w:p>
    <w:p w14:paraId="12308B24" w14:textId="77777777" w:rsidR="003B155E" w:rsidRPr="00567E52"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567E52">
        <w:rPr>
          <w:rFonts w:ascii="Times New Roman" w:eastAsia="Times New Roman" w:hAnsi="Times New Roman" w:cs="Times New Roman"/>
          <w:spacing w:val="2"/>
          <w:kern w:val="0"/>
          <w:position w:val="-1"/>
          <w:sz w:val="24"/>
          <w:szCs w:val="24"/>
          <w:lang w:val="en-US"/>
          <w14:ligatures w14:val="none"/>
        </w:rPr>
        <w:t>Kaynağı/kaynakları belirlemek, gürültü ve titreşim maruziyetini ölçmek/tahmin etmek, kaynakların katkılarını karakterize etmek ve önleme ve/veya azaltma önlemlerini uygulamak üzere tasarlanmış bir gürültü azaltma programı.</w:t>
      </w:r>
    </w:p>
    <w:p w14:paraId="73AD9801"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i/>
          <w:iCs/>
          <w:color w:val="000000"/>
          <w:spacing w:val="2"/>
          <w:kern w:val="0"/>
          <w:sz w:val="24"/>
          <w:szCs w:val="24"/>
          <w14:ligatures w14:val="none"/>
        </w:rPr>
      </w:pPr>
      <w:r w:rsidRPr="00567E52">
        <w:rPr>
          <w:rFonts w:ascii="Times New Roman" w:eastAsia="Times New Roman" w:hAnsi="Times New Roman" w:cs="Times New Roman"/>
          <w:i/>
          <w:iCs/>
          <w:color w:val="000000"/>
          <w:spacing w:val="2"/>
          <w:kern w:val="0"/>
          <w:sz w:val="24"/>
          <w:szCs w:val="24"/>
          <w14:ligatures w14:val="none"/>
        </w:rPr>
        <w:t>Uygulanabilirlik</w:t>
      </w:r>
    </w:p>
    <w:p w14:paraId="65AD629C"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Uygulanabilirlik, hassas alıcılarda gürültü rahatsızlığının beklendiği ve/veya kanıtlandığı durumlarla sınırlıdır.</w:t>
      </w:r>
    </w:p>
    <w:p w14:paraId="4FD10FB0"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color w:val="000000"/>
          <w:kern w:val="0"/>
          <w:sz w:val="24"/>
          <w:szCs w:val="24"/>
          <w14:ligatures w14:val="none"/>
        </w:rPr>
        <w:t>MET 17:</w:t>
      </w:r>
      <w:r w:rsidRPr="00567E52">
        <w:rPr>
          <w:rFonts w:ascii="Times New Roman" w:eastAsia="Times New Roman" w:hAnsi="Times New Roman" w:cs="Times New Roman"/>
          <w:color w:val="000000"/>
          <w:kern w:val="0"/>
          <w:sz w:val="24"/>
          <w:szCs w:val="24"/>
          <w14:ligatures w14:val="none"/>
        </w:rPr>
        <w:t xml:space="preserve"> Gürültü emisyonlarını önlemek veya bu mümkün olmadığında azaltmak için, aşağıda verilen tekniklerden biri veya bir kombinasyonu kullanılır.</w:t>
      </w:r>
    </w:p>
    <w:tbl>
      <w:tblPr>
        <w:tblStyle w:val="TabloKlavuzu9"/>
        <w:tblW w:w="0" w:type="auto"/>
        <w:tblLook w:val="04A0" w:firstRow="1" w:lastRow="0" w:firstColumn="1" w:lastColumn="0" w:noHBand="0" w:noVBand="1"/>
      </w:tblPr>
      <w:tblGrid>
        <w:gridCol w:w="450"/>
        <w:gridCol w:w="1529"/>
        <w:gridCol w:w="3727"/>
        <w:gridCol w:w="3356"/>
      </w:tblGrid>
      <w:tr w:rsidR="003B155E" w:rsidRPr="00567E52" w14:paraId="62B2DFBA" w14:textId="77777777" w:rsidTr="000D79D6">
        <w:tc>
          <w:tcPr>
            <w:tcW w:w="0" w:type="auto"/>
            <w:gridSpan w:val="2"/>
            <w:vAlign w:val="center"/>
          </w:tcPr>
          <w:p w14:paraId="2253B14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Teknik</w:t>
            </w:r>
          </w:p>
        </w:tc>
        <w:tc>
          <w:tcPr>
            <w:tcW w:w="0" w:type="auto"/>
            <w:vAlign w:val="center"/>
          </w:tcPr>
          <w:p w14:paraId="7FC4983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Tanım</w:t>
            </w:r>
          </w:p>
        </w:tc>
        <w:tc>
          <w:tcPr>
            <w:tcW w:w="0" w:type="auto"/>
            <w:vAlign w:val="center"/>
          </w:tcPr>
          <w:p w14:paraId="340FF19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Uygulanabilirlik</w:t>
            </w:r>
          </w:p>
        </w:tc>
      </w:tr>
      <w:tr w:rsidR="003B155E" w:rsidRPr="00567E52" w14:paraId="4A42CC85" w14:textId="77777777" w:rsidTr="000D79D6">
        <w:tc>
          <w:tcPr>
            <w:tcW w:w="0" w:type="auto"/>
            <w:vAlign w:val="center"/>
          </w:tcPr>
          <w:p w14:paraId="033DC82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0" w:type="auto"/>
            <w:vAlign w:val="center"/>
          </w:tcPr>
          <w:p w14:paraId="74352582" w14:textId="77777777" w:rsidR="003B155E" w:rsidRPr="00567E52" w:rsidRDefault="003B155E" w:rsidP="000D79D6">
            <w:pPr>
              <w:widowControl w:val="0"/>
              <w:shd w:val="clear" w:color="auto" w:fill="FFFFFF"/>
              <w:ind w:hanging="14"/>
              <w:rPr>
                <w:rFonts w:ascii="Times New Roman" w:hAnsi="Times New Roman" w:cs="Times New Roman"/>
              </w:rPr>
            </w:pPr>
            <w:r w:rsidRPr="00567E52">
              <w:rPr>
                <w:rFonts w:ascii="Times New Roman" w:hAnsi="Times New Roman" w:cs="Times New Roman"/>
              </w:rPr>
              <w:t xml:space="preserve">Ekipman ve binaların uygun yerleşimi. </w:t>
            </w:r>
          </w:p>
        </w:tc>
        <w:tc>
          <w:tcPr>
            <w:tcW w:w="0" w:type="auto"/>
            <w:vAlign w:val="center"/>
          </w:tcPr>
          <w:p w14:paraId="35ECF127" w14:textId="77777777" w:rsidR="003B155E" w:rsidRPr="00567E52" w:rsidRDefault="003B155E" w:rsidP="000D79D6">
            <w:pPr>
              <w:pBdr>
                <w:top w:val="nil"/>
                <w:left w:val="nil"/>
                <w:bottom w:val="nil"/>
                <w:right w:val="nil"/>
                <w:between w:val="nil"/>
              </w:pBdr>
              <w:ind w:left="38"/>
              <w:rPr>
                <w:rFonts w:ascii="Times New Roman" w:hAnsi="Times New Roman" w:cs="Times New Roman"/>
                <w:color w:val="000000"/>
              </w:rPr>
            </w:pPr>
            <w:r w:rsidRPr="00567E52">
              <w:rPr>
                <w:rFonts w:ascii="Times New Roman" w:hAnsi="Times New Roman" w:cs="Times New Roman"/>
                <w:color w:val="000000"/>
              </w:rPr>
              <w:t>Gürültü seviyeleri, verici ile alıcı arasındaki mesafenin artırılması, binaların gürültü perdesi olarak kullanılması ve binaların giriş veya çıkışlarının yerinin değiştirilmesi yoluyla azaltılabilir.</w:t>
            </w:r>
          </w:p>
        </w:tc>
        <w:tc>
          <w:tcPr>
            <w:tcW w:w="0" w:type="auto"/>
            <w:vAlign w:val="center"/>
          </w:tcPr>
          <w:p w14:paraId="5DEC389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Mevcut tesisler için, ekipmanların ve bina çıkışlarının veya girişlerinin yerlerinin değiştirilmesi, alan yetersizliği ve/veya aşırı maliyetler nedeniyle uygulanamayabilir.</w:t>
            </w:r>
          </w:p>
        </w:tc>
      </w:tr>
      <w:tr w:rsidR="003B155E" w:rsidRPr="00567E52" w14:paraId="5ADCF78D" w14:textId="77777777" w:rsidTr="000D79D6">
        <w:tc>
          <w:tcPr>
            <w:tcW w:w="0" w:type="auto"/>
            <w:vAlign w:val="center"/>
          </w:tcPr>
          <w:p w14:paraId="7FACECD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0" w:type="auto"/>
            <w:vAlign w:val="center"/>
          </w:tcPr>
          <w:p w14:paraId="2807153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Operasyonel önlemler</w:t>
            </w:r>
          </w:p>
        </w:tc>
        <w:tc>
          <w:tcPr>
            <w:tcW w:w="0" w:type="auto"/>
            <w:vAlign w:val="center"/>
          </w:tcPr>
          <w:p w14:paraId="32C533BF" w14:textId="77777777" w:rsidR="003B155E" w:rsidRPr="00567E52" w:rsidRDefault="003B155E" w:rsidP="000D79D6">
            <w:pPr>
              <w:widowControl w:val="0"/>
              <w:tabs>
                <w:tab w:val="left" w:pos="562"/>
              </w:tabs>
              <w:rPr>
                <w:rFonts w:ascii="Times New Roman" w:hAnsi="Times New Roman" w:cs="Times New Roman"/>
                <w:color w:val="000000"/>
              </w:rPr>
            </w:pPr>
            <w:r w:rsidRPr="00567E52">
              <w:rPr>
                <w:rFonts w:ascii="Times New Roman" w:hAnsi="Times New Roman" w:cs="Times New Roman"/>
                <w:color w:val="000000"/>
              </w:rPr>
              <w:t>Aşağıdaki maddeleri kapsamaktadır:</w:t>
            </w:r>
          </w:p>
          <w:p w14:paraId="525F07A5" w14:textId="77777777" w:rsidR="003B155E" w:rsidRPr="00567E52" w:rsidRDefault="003B155E" w:rsidP="003B155E">
            <w:pPr>
              <w:widowControl w:val="0"/>
              <w:numPr>
                <w:ilvl w:val="0"/>
                <w:numId w:val="111"/>
              </w:numPr>
              <w:pBdr>
                <w:top w:val="nil"/>
                <w:left w:val="nil"/>
                <w:bottom w:val="nil"/>
                <w:right w:val="nil"/>
                <w:between w:val="nil"/>
              </w:pBdr>
              <w:ind w:left="355" w:hanging="355"/>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 xml:space="preserve">ekipmanın daha iyi denetlenmesi ve bakımı; </w:t>
            </w:r>
          </w:p>
          <w:p w14:paraId="22B515F1" w14:textId="77777777" w:rsidR="003B155E" w:rsidRPr="00567E52" w:rsidRDefault="003B155E" w:rsidP="003B155E">
            <w:pPr>
              <w:widowControl w:val="0"/>
              <w:numPr>
                <w:ilvl w:val="0"/>
                <w:numId w:val="111"/>
              </w:numPr>
              <w:pBdr>
                <w:top w:val="nil"/>
                <w:left w:val="nil"/>
                <w:bottom w:val="nil"/>
                <w:right w:val="nil"/>
                <w:between w:val="nil"/>
              </w:pBdr>
              <w:ind w:left="355" w:hanging="355"/>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 xml:space="preserve">mümkünse kapalı alanların kapı ve pencerelerinin kapatılması; </w:t>
            </w:r>
          </w:p>
          <w:p w14:paraId="18177F97" w14:textId="77777777" w:rsidR="003B155E" w:rsidRPr="00567E52" w:rsidRDefault="003B155E" w:rsidP="003B155E">
            <w:pPr>
              <w:widowControl w:val="0"/>
              <w:numPr>
                <w:ilvl w:val="0"/>
                <w:numId w:val="111"/>
              </w:numPr>
              <w:pBdr>
                <w:top w:val="nil"/>
                <w:left w:val="nil"/>
                <w:bottom w:val="nil"/>
                <w:right w:val="nil"/>
                <w:between w:val="nil"/>
              </w:pBdr>
              <w:ind w:left="355" w:hanging="355"/>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 xml:space="preserve">ekipmanın deneyimli personel tarafından çalıştırılması; </w:t>
            </w:r>
          </w:p>
          <w:p w14:paraId="588690CE" w14:textId="77777777" w:rsidR="003B155E" w:rsidRPr="00567E52" w:rsidRDefault="003B155E" w:rsidP="003B155E">
            <w:pPr>
              <w:widowControl w:val="0"/>
              <w:numPr>
                <w:ilvl w:val="0"/>
                <w:numId w:val="111"/>
              </w:numPr>
              <w:pBdr>
                <w:top w:val="nil"/>
                <w:left w:val="nil"/>
                <w:bottom w:val="nil"/>
                <w:right w:val="nil"/>
                <w:between w:val="nil"/>
              </w:pBdr>
              <w:ind w:left="355" w:hanging="355"/>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 xml:space="preserve">mümkünse geceleri gürültülü faaliyetlerden kaçınılması; </w:t>
            </w:r>
          </w:p>
          <w:p w14:paraId="3D6E1D95" w14:textId="77777777" w:rsidR="003B155E" w:rsidRPr="00567E52" w:rsidRDefault="003B155E" w:rsidP="003B155E">
            <w:pPr>
              <w:widowControl w:val="0"/>
              <w:numPr>
                <w:ilvl w:val="0"/>
                <w:numId w:val="111"/>
              </w:numPr>
              <w:pBdr>
                <w:top w:val="nil"/>
                <w:left w:val="nil"/>
                <w:bottom w:val="nil"/>
                <w:right w:val="nil"/>
                <w:between w:val="nil"/>
              </w:pBdr>
              <w:ind w:left="355" w:hanging="355"/>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örneğin üretim ve bakım faaliyetleri sırasında gürültü kontrolüne yönelik tedbirler;</w:t>
            </w:r>
          </w:p>
          <w:p w14:paraId="4471A270" w14:textId="77777777" w:rsidR="003B155E" w:rsidRPr="00567E52" w:rsidRDefault="003B155E" w:rsidP="003B155E">
            <w:pPr>
              <w:widowControl w:val="0"/>
              <w:numPr>
                <w:ilvl w:val="0"/>
                <w:numId w:val="111"/>
              </w:numPr>
              <w:pBdr>
                <w:top w:val="nil"/>
                <w:left w:val="nil"/>
                <w:bottom w:val="nil"/>
                <w:right w:val="nil"/>
                <w:between w:val="nil"/>
              </w:pBdr>
              <w:ind w:left="355" w:hanging="355"/>
              <w:contextualSpacing/>
              <w:jc w:val="both"/>
              <w:rPr>
                <w:rFonts w:ascii="Times New Roman" w:hAnsi="Times New Roman" w:cs="Times New Roman"/>
                <w:spacing w:val="2"/>
                <w:position w:val="-1"/>
              </w:rPr>
            </w:pPr>
            <w:r w:rsidRPr="00567E52">
              <w:rPr>
                <w:rFonts w:ascii="Times New Roman" w:hAnsi="Times New Roman" w:cs="Times New Roman"/>
                <w:spacing w:val="2"/>
                <w:position w:val="-1"/>
              </w:rPr>
              <w:t>mezbahalarda hayvanlardan kaynaklanan gürültünün sınırlandırılması (örneğin dikkatli taşıma ve elleçleme yoluyla).</w:t>
            </w:r>
          </w:p>
        </w:tc>
        <w:tc>
          <w:tcPr>
            <w:tcW w:w="0" w:type="auto"/>
            <w:vMerge w:val="restart"/>
            <w:vAlign w:val="center"/>
          </w:tcPr>
          <w:p w14:paraId="56717D33"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Genel olarak uygulanabilir.</w:t>
            </w:r>
          </w:p>
        </w:tc>
      </w:tr>
      <w:tr w:rsidR="003B155E" w:rsidRPr="00567E52" w14:paraId="6BF3A2D1" w14:textId="77777777" w:rsidTr="000D79D6">
        <w:tc>
          <w:tcPr>
            <w:tcW w:w="0" w:type="auto"/>
            <w:vAlign w:val="center"/>
          </w:tcPr>
          <w:p w14:paraId="6A11B6E2"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0" w:type="auto"/>
            <w:vAlign w:val="center"/>
          </w:tcPr>
          <w:p w14:paraId="44A1F41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Düşük gürültülü ekipman</w:t>
            </w:r>
          </w:p>
        </w:tc>
        <w:tc>
          <w:tcPr>
            <w:tcW w:w="0" w:type="auto"/>
            <w:vAlign w:val="center"/>
          </w:tcPr>
          <w:p w14:paraId="141CDC3D" w14:textId="77777777" w:rsidR="003B155E" w:rsidRPr="00567E52" w:rsidRDefault="003B155E" w:rsidP="000D79D6">
            <w:pPr>
              <w:pBdr>
                <w:top w:val="nil"/>
                <w:left w:val="nil"/>
                <w:bottom w:val="nil"/>
                <w:right w:val="nil"/>
                <w:between w:val="nil"/>
              </w:pBdr>
              <w:ind w:left="28"/>
              <w:rPr>
                <w:rFonts w:ascii="Times New Roman" w:hAnsi="Times New Roman" w:cs="Times New Roman"/>
                <w:color w:val="000000"/>
              </w:rPr>
            </w:pPr>
            <w:r w:rsidRPr="00567E52">
              <w:rPr>
                <w:rFonts w:ascii="Times New Roman" w:hAnsi="Times New Roman" w:cs="Times New Roman"/>
                <w:color w:val="000000"/>
              </w:rPr>
              <w:t>Düşük gürültülü kompresörler, pompalar ve fanlar da dahildir</w:t>
            </w:r>
          </w:p>
        </w:tc>
        <w:tc>
          <w:tcPr>
            <w:tcW w:w="0" w:type="auto"/>
            <w:vMerge/>
            <w:vAlign w:val="center"/>
          </w:tcPr>
          <w:p w14:paraId="3239BC25" w14:textId="77777777" w:rsidR="003B155E" w:rsidRPr="00567E52" w:rsidRDefault="003B155E" w:rsidP="000D79D6">
            <w:pPr>
              <w:widowControl w:val="0"/>
              <w:tabs>
                <w:tab w:val="left" w:pos="562"/>
              </w:tabs>
              <w:rPr>
                <w:rFonts w:ascii="Times New Roman" w:hAnsi="Times New Roman" w:cs="Times New Roman"/>
              </w:rPr>
            </w:pPr>
          </w:p>
        </w:tc>
      </w:tr>
      <w:tr w:rsidR="003B155E" w:rsidRPr="00567E52" w14:paraId="6EE8CA06" w14:textId="77777777" w:rsidTr="000D79D6">
        <w:tc>
          <w:tcPr>
            <w:tcW w:w="0" w:type="auto"/>
            <w:vAlign w:val="center"/>
          </w:tcPr>
          <w:p w14:paraId="7CBA21C9"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w:t>
            </w:r>
          </w:p>
        </w:tc>
        <w:tc>
          <w:tcPr>
            <w:tcW w:w="0" w:type="auto"/>
            <w:vAlign w:val="center"/>
          </w:tcPr>
          <w:p w14:paraId="0BAF119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 xml:space="preserve">Gürültü kontrol </w:t>
            </w:r>
            <w:r w:rsidRPr="00567E52">
              <w:rPr>
                <w:rFonts w:ascii="Times New Roman" w:hAnsi="Times New Roman" w:cs="Times New Roman"/>
              </w:rPr>
              <w:lastRenderedPageBreak/>
              <w:t>ekipmanlar</w:t>
            </w:r>
            <w:r w:rsidRPr="00567E52">
              <w:rPr>
                <w:rFonts w:ascii="Times New Roman" w:hAnsi="Times New Roman" w:cs="Times New Roman"/>
                <w:color w:val="000000"/>
              </w:rPr>
              <w:t>ı</w:t>
            </w:r>
          </w:p>
        </w:tc>
        <w:tc>
          <w:tcPr>
            <w:tcW w:w="0" w:type="auto"/>
            <w:vAlign w:val="center"/>
          </w:tcPr>
          <w:p w14:paraId="56425AD1" w14:textId="77777777" w:rsidR="003B155E" w:rsidRPr="00567E52" w:rsidRDefault="003B155E" w:rsidP="000D79D6">
            <w:pPr>
              <w:pBdr>
                <w:top w:val="nil"/>
                <w:left w:val="nil"/>
                <w:bottom w:val="nil"/>
                <w:right w:val="nil"/>
                <w:between w:val="nil"/>
              </w:pBdr>
              <w:rPr>
                <w:rFonts w:ascii="Times New Roman" w:hAnsi="Times New Roman"/>
                <w:color w:val="000000"/>
              </w:rPr>
            </w:pPr>
            <w:r w:rsidRPr="00567E52">
              <w:rPr>
                <w:rFonts w:ascii="Times New Roman" w:hAnsi="Times New Roman" w:cs="Times New Roman"/>
                <w:color w:val="000000"/>
              </w:rPr>
              <w:lastRenderedPageBreak/>
              <w:t xml:space="preserve">Aşağıdaki maddeleri kapsamaktadır. </w:t>
            </w:r>
          </w:p>
          <w:p w14:paraId="4AA2EE06" w14:textId="77777777" w:rsidR="003B155E" w:rsidRPr="00567E52" w:rsidRDefault="003B155E" w:rsidP="003B155E">
            <w:pPr>
              <w:widowControl w:val="0"/>
              <w:numPr>
                <w:ilvl w:val="0"/>
                <w:numId w:val="113"/>
              </w:numPr>
              <w:pBdr>
                <w:top w:val="nil"/>
                <w:left w:val="nil"/>
                <w:bottom w:val="nil"/>
                <w:right w:val="nil"/>
                <w:between w:val="nil"/>
              </w:pBdr>
              <w:ind w:left="402" w:hanging="402"/>
              <w:contextualSpacing/>
              <w:jc w:val="both"/>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lastRenderedPageBreak/>
              <w:t xml:space="preserve">gürültü azaltıcılar; </w:t>
            </w:r>
          </w:p>
          <w:p w14:paraId="67923DCF" w14:textId="77777777" w:rsidR="003B155E" w:rsidRPr="00567E52" w:rsidRDefault="003B155E" w:rsidP="003B155E">
            <w:pPr>
              <w:widowControl w:val="0"/>
              <w:numPr>
                <w:ilvl w:val="0"/>
                <w:numId w:val="113"/>
              </w:numPr>
              <w:pBdr>
                <w:top w:val="nil"/>
                <w:left w:val="nil"/>
                <w:bottom w:val="nil"/>
                <w:right w:val="nil"/>
                <w:between w:val="nil"/>
              </w:pBdr>
              <w:ind w:left="402" w:hanging="402"/>
              <w:contextualSpacing/>
              <w:jc w:val="both"/>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t xml:space="preserve">ekipmanlarının akustik izolasyonu; </w:t>
            </w:r>
          </w:p>
          <w:p w14:paraId="705A2209" w14:textId="77777777" w:rsidR="003B155E" w:rsidRPr="00567E52" w:rsidRDefault="003B155E" w:rsidP="003B155E">
            <w:pPr>
              <w:widowControl w:val="0"/>
              <w:numPr>
                <w:ilvl w:val="0"/>
                <w:numId w:val="113"/>
              </w:numPr>
              <w:pBdr>
                <w:top w:val="nil"/>
                <w:left w:val="nil"/>
                <w:bottom w:val="nil"/>
                <w:right w:val="nil"/>
                <w:between w:val="nil"/>
              </w:pBdr>
              <w:ind w:left="402" w:hanging="402"/>
              <w:contextualSpacing/>
              <w:jc w:val="both"/>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t xml:space="preserve">gürültülü ekipmanın muhafazası; </w:t>
            </w:r>
          </w:p>
          <w:p w14:paraId="4CD8AC6E" w14:textId="77777777" w:rsidR="003B155E" w:rsidRPr="00567E52" w:rsidRDefault="003B155E" w:rsidP="003B155E">
            <w:pPr>
              <w:widowControl w:val="0"/>
              <w:numPr>
                <w:ilvl w:val="0"/>
                <w:numId w:val="113"/>
              </w:numPr>
              <w:pBdr>
                <w:top w:val="nil"/>
                <w:left w:val="nil"/>
                <w:bottom w:val="nil"/>
                <w:right w:val="nil"/>
                <w:between w:val="nil"/>
              </w:pBdr>
              <w:ind w:left="402" w:hanging="402"/>
              <w:contextualSpacing/>
              <w:jc w:val="both"/>
              <w:rPr>
                <w:rFonts w:ascii="Times New Roman" w:hAnsi="Times New Roman" w:cs="Times New Roman"/>
                <w:spacing w:val="2"/>
                <w:position w:val="-1"/>
                <w:lang w:val="en-US"/>
              </w:rPr>
            </w:pPr>
            <w:r w:rsidRPr="00567E52">
              <w:rPr>
                <w:rFonts w:ascii="Times New Roman" w:hAnsi="Times New Roman" w:cs="Times New Roman"/>
                <w:spacing w:val="2"/>
                <w:position w:val="-1"/>
                <w:lang w:val="en-US"/>
              </w:rPr>
              <w:t>binaların ses yalıtımı.</w:t>
            </w:r>
          </w:p>
        </w:tc>
        <w:tc>
          <w:tcPr>
            <w:tcW w:w="0" w:type="auto"/>
            <w:vAlign w:val="center"/>
          </w:tcPr>
          <w:p w14:paraId="2F5BC6DD"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lastRenderedPageBreak/>
              <w:t xml:space="preserve">Alan yetersizliği nedeniyle mevcut </w:t>
            </w:r>
            <w:r w:rsidRPr="00567E52">
              <w:rPr>
                <w:rFonts w:ascii="Times New Roman" w:hAnsi="Times New Roman" w:cs="Times New Roman"/>
              </w:rPr>
              <w:lastRenderedPageBreak/>
              <w:t>tesislere uygulanamayabilir.</w:t>
            </w:r>
          </w:p>
        </w:tc>
      </w:tr>
      <w:tr w:rsidR="003B155E" w:rsidRPr="00567E52" w14:paraId="017F38D0" w14:textId="77777777" w:rsidTr="000D79D6">
        <w:tc>
          <w:tcPr>
            <w:tcW w:w="0" w:type="auto"/>
            <w:vAlign w:val="center"/>
          </w:tcPr>
          <w:p w14:paraId="739B3BC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lastRenderedPageBreak/>
              <w:t>(e)</w:t>
            </w:r>
          </w:p>
        </w:tc>
        <w:tc>
          <w:tcPr>
            <w:tcW w:w="0" w:type="auto"/>
            <w:vAlign w:val="center"/>
          </w:tcPr>
          <w:p w14:paraId="2551BF1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G</w:t>
            </w:r>
            <w:r w:rsidRPr="00567E52">
              <w:rPr>
                <w:rFonts w:ascii="Times New Roman" w:hAnsi="Times New Roman" w:cs="Times New Roman"/>
              </w:rPr>
              <w:t>ürültü azaltma</w:t>
            </w:r>
          </w:p>
        </w:tc>
        <w:tc>
          <w:tcPr>
            <w:tcW w:w="0" w:type="auto"/>
            <w:vAlign w:val="center"/>
          </w:tcPr>
          <w:p w14:paraId="4C1C1E22" w14:textId="77777777" w:rsidR="003B155E" w:rsidRPr="00567E52" w:rsidRDefault="003B155E" w:rsidP="000D79D6">
            <w:pPr>
              <w:pBdr>
                <w:top w:val="nil"/>
                <w:left w:val="nil"/>
                <w:bottom w:val="nil"/>
                <w:right w:val="nil"/>
                <w:between w:val="nil"/>
              </w:pBdr>
              <w:ind w:left="39"/>
              <w:rPr>
                <w:rFonts w:ascii="Times New Roman" w:hAnsi="Times New Roman"/>
                <w:color w:val="000000"/>
              </w:rPr>
            </w:pPr>
            <w:r w:rsidRPr="00567E52">
              <w:rPr>
                <w:rFonts w:ascii="Times New Roman" w:hAnsi="Times New Roman" w:cs="Times New Roman"/>
                <w:color w:val="000000"/>
              </w:rPr>
              <w:t>Verici ve alıcılar arasına engellerin yerleştirilmesi (örneğin koruma duvarları, setler).</w:t>
            </w:r>
          </w:p>
        </w:tc>
        <w:tc>
          <w:tcPr>
            <w:tcW w:w="0" w:type="auto"/>
            <w:vAlign w:val="center"/>
          </w:tcPr>
          <w:p w14:paraId="6DBCDD35"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Genel olarak uygulanabilir.</w:t>
            </w:r>
          </w:p>
        </w:tc>
      </w:tr>
    </w:tbl>
    <w:p w14:paraId="5D229A03"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1.1.10. Koku</w:t>
      </w:r>
    </w:p>
    <w:p w14:paraId="137B58D2" w14:textId="77777777" w:rsidR="003B155E" w:rsidRPr="00567E52" w:rsidRDefault="003B155E" w:rsidP="003B155E">
      <w:pPr>
        <w:widowControl w:val="0"/>
        <w:spacing w:after="0" w:line="276" w:lineRule="auto"/>
        <w:jc w:val="both"/>
        <w:rPr>
          <w:rFonts w:ascii="Times New Roman" w:eastAsia="Times New Roman" w:hAnsi="Times New Roman" w:cs="Times New Roman"/>
          <w:bCs/>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MET 18:</w:t>
      </w:r>
      <w:r w:rsidRPr="00567E52">
        <w:rPr>
          <w:rFonts w:ascii="Times New Roman" w:eastAsia="Times New Roman" w:hAnsi="Times New Roman" w:cs="Times New Roman"/>
          <w:bCs/>
          <w:color w:val="000000"/>
          <w:kern w:val="0"/>
          <w:sz w:val="24"/>
          <w:szCs w:val="24"/>
          <w:lang w:eastAsia="tr-TR"/>
          <w14:ligatures w14:val="none"/>
        </w:rPr>
        <w:t xml:space="preserve"> </w:t>
      </w:r>
      <w:r w:rsidRPr="00567E52">
        <w:rPr>
          <w:rFonts w:ascii="Times New Roman" w:eastAsia="Times New Roman" w:hAnsi="Times New Roman" w:cs="Courier New"/>
          <w:bCs/>
          <w:color w:val="000000"/>
          <w:kern w:val="0"/>
          <w:sz w:val="24"/>
          <w:szCs w:val="24"/>
          <w:lang w:eastAsia="tr-TR"/>
          <w14:ligatures w14:val="none"/>
        </w:rPr>
        <w:t>Koku emisyonlarını önlemek veya bu mümkün olmadığında azaltmak için, çevre yönetim sisteminin bir parçası olarak (bkz. MET 1) aşağıdaki tüm unsurları içeren bir koku yönetim planı oluşturulur, uygulanır ve düzenli olarak gözden geçirilir:</w:t>
      </w:r>
    </w:p>
    <w:p w14:paraId="7E0B257C" w14:textId="77777777" w:rsidR="003B155E" w:rsidRPr="00567E52"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es-ES"/>
          <w14:ligatures w14:val="none"/>
        </w:rPr>
      </w:pPr>
      <w:r w:rsidRPr="00567E52">
        <w:rPr>
          <w:rFonts w:ascii="Times New Roman" w:eastAsia="Times New Roman" w:hAnsi="Times New Roman" w:cs="Times New Roman"/>
          <w:bCs/>
          <w:color w:val="000000"/>
          <w:spacing w:val="2"/>
          <w:kern w:val="0"/>
          <w:position w:val="-1"/>
          <w:sz w:val="24"/>
          <w:szCs w:val="24"/>
          <w:lang w:val="es-ES"/>
          <w14:ligatures w14:val="none"/>
        </w:rPr>
        <w:t>Eylemler ve zaman çizelgeleri içeren bir protokol.</w:t>
      </w:r>
    </w:p>
    <w:p w14:paraId="0CAA04E7" w14:textId="77777777" w:rsidR="003B155E" w:rsidRPr="00567E52"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fi-FI"/>
          <w14:ligatures w14:val="none"/>
        </w:rPr>
      </w:pPr>
      <w:r w:rsidRPr="00567E52">
        <w:rPr>
          <w:rFonts w:ascii="Times New Roman" w:eastAsia="Times New Roman" w:hAnsi="Times New Roman" w:cs="Times New Roman"/>
          <w:bCs/>
          <w:color w:val="000000"/>
          <w:spacing w:val="2"/>
          <w:kern w:val="0"/>
          <w:position w:val="-1"/>
          <w:sz w:val="24"/>
          <w:szCs w:val="24"/>
          <w:lang w:val="es-ES"/>
          <w14:ligatures w14:val="none"/>
        </w:rPr>
        <w:t xml:space="preserve">Koku izlemeyi yürütmek için bir protokol. </w:t>
      </w:r>
      <w:r w:rsidRPr="00567E52">
        <w:rPr>
          <w:rFonts w:ascii="Times New Roman" w:eastAsia="Times New Roman" w:hAnsi="Times New Roman" w:cs="Times New Roman"/>
          <w:bCs/>
          <w:color w:val="000000"/>
          <w:spacing w:val="2"/>
          <w:kern w:val="0"/>
          <w:position w:val="-1"/>
          <w:sz w:val="24"/>
          <w:szCs w:val="24"/>
          <w:lang w:val="fi-FI"/>
          <w14:ligatures w14:val="none"/>
        </w:rPr>
        <w:t xml:space="preserve">Koku maruziyetinin ölçülmesi/tahmini veya koku etkisinin tahmini ile tamamlanabilir. </w:t>
      </w:r>
    </w:p>
    <w:p w14:paraId="718AD952" w14:textId="77777777" w:rsidR="003B155E" w:rsidRPr="00567E52"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fi-FI"/>
          <w14:ligatures w14:val="none"/>
        </w:rPr>
      </w:pPr>
      <w:r w:rsidRPr="00567E52">
        <w:rPr>
          <w:rFonts w:ascii="Times New Roman" w:eastAsia="Times New Roman" w:hAnsi="Times New Roman" w:cs="Times New Roman"/>
          <w:bCs/>
          <w:color w:val="000000"/>
          <w:spacing w:val="2"/>
          <w:kern w:val="0"/>
          <w:position w:val="-1"/>
          <w:sz w:val="24"/>
          <w:szCs w:val="24"/>
          <w:lang w:val="fi-FI"/>
          <w14:ligatures w14:val="none"/>
        </w:rPr>
        <w:t>Belirlenen koku olaylarına, örneğin şikayetlere yanıt vermek için bir protokol oluşturulabilir.</w:t>
      </w:r>
    </w:p>
    <w:p w14:paraId="76C022F6" w14:textId="77777777" w:rsidR="003B155E" w:rsidRPr="00567E52"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fi-FI"/>
          <w14:ligatures w14:val="none"/>
        </w:rPr>
      </w:pPr>
      <w:r w:rsidRPr="00567E52">
        <w:rPr>
          <w:rFonts w:ascii="Times New Roman" w:eastAsia="Times New Roman" w:hAnsi="Times New Roman" w:cs="Times New Roman"/>
          <w:bCs/>
          <w:color w:val="000000"/>
          <w:spacing w:val="2"/>
          <w:kern w:val="0"/>
          <w:position w:val="-1"/>
          <w:sz w:val="24"/>
          <w:szCs w:val="24"/>
          <w:lang w:val="fi-FI"/>
          <w14:ligatures w14:val="none"/>
        </w:rPr>
        <w:t>Kaynağı/kaynakları belirlemek; koku maruziyetini ölçmek/tahmin etmek; kaynakların katkılarını karakterize etmek; ve önleme ve/veya azaltma önlemlerini uygulamak için tasarlanmış bir koku önleme ve azaltma programı uygulanabilmektedir.</w:t>
      </w:r>
    </w:p>
    <w:p w14:paraId="440A2117"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53A45495"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i/>
          <w:iCs/>
          <w:color w:val="000000"/>
          <w:spacing w:val="2"/>
          <w:kern w:val="0"/>
          <w:sz w:val="24"/>
          <w:szCs w:val="24"/>
          <w14:ligatures w14:val="none"/>
        </w:rPr>
      </w:pPr>
      <w:r w:rsidRPr="00567E52">
        <w:rPr>
          <w:rFonts w:ascii="Times New Roman" w:eastAsia="Times New Roman" w:hAnsi="Times New Roman" w:cs="Times New Roman"/>
          <w:i/>
          <w:iCs/>
          <w:color w:val="000000"/>
          <w:spacing w:val="2"/>
          <w:kern w:val="0"/>
          <w:sz w:val="24"/>
          <w:szCs w:val="24"/>
          <w14:ligatures w14:val="none"/>
        </w:rPr>
        <w:t>Uygulanabilirlik</w:t>
      </w:r>
    </w:p>
    <w:p w14:paraId="624DC12D"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Uygulanabilirlik, hassas reseptörlerde koku rahatsızlığının beklendiği ve/veya kanıtlandığı durumlarla sınırlıdır.</w:t>
      </w:r>
    </w:p>
    <w:p w14:paraId="5BF8CE83"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73175865"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kern w:val="0"/>
          <w:sz w:val="24"/>
          <w:szCs w:val="24"/>
          <w:lang w:eastAsia="tr-TR"/>
          <w14:ligatures w14:val="none"/>
        </w:rPr>
        <w:t xml:space="preserve">MET 19: </w:t>
      </w:r>
      <w:r w:rsidRPr="00567E52">
        <w:rPr>
          <w:rFonts w:ascii="Times New Roman" w:eastAsia="Times New Roman" w:hAnsi="Times New Roman" w:cs="Times New Roman"/>
          <w:kern w:val="0"/>
          <w:sz w:val="24"/>
          <w:szCs w:val="24"/>
          <w:lang w:eastAsia="tr-TR"/>
          <w14:ligatures w14:val="none"/>
        </w:rPr>
        <w:t>Koku emisyonlarını önlemek veya bu mümkün olmadığında azaltmak için, aşağıda verilen tekniklerin uygun bir kombinasyonu kullanılır.</w:t>
      </w:r>
    </w:p>
    <w:tbl>
      <w:tblPr>
        <w:tblStyle w:val="TabloKlavuzu9"/>
        <w:tblW w:w="0" w:type="auto"/>
        <w:tblLook w:val="04A0" w:firstRow="1" w:lastRow="0" w:firstColumn="1" w:lastColumn="0" w:noHBand="0" w:noVBand="1"/>
      </w:tblPr>
      <w:tblGrid>
        <w:gridCol w:w="450"/>
        <w:gridCol w:w="2877"/>
        <w:gridCol w:w="3585"/>
        <w:gridCol w:w="2150"/>
      </w:tblGrid>
      <w:tr w:rsidR="003B155E" w:rsidRPr="00567E52" w14:paraId="0395B2B7" w14:textId="77777777" w:rsidTr="000D79D6">
        <w:tc>
          <w:tcPr>
            <w:tcW w:w="0" w:type="auto"/>
            <w:gridSpan w:val="2"/>
            <w:vAlign w:val="center"/>
          </w:tcPr>
          <w:p w14:paraId="61A70E9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Teknik</w:t>
            </w:r>
          </w:p>
        </w:tc>
        <w:tc>
          <w:tcPr>
            <w:tcW w:w="0" w:type="auto"/>
            <w:vAlign w:val="center"/>
          </w:tcPr>
          <w:p w14:paraId="60E82A25"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Tanım</w:t>
            </w:r>
          </w:p>
        </w:tc>
        <w:tc>
          <w:tcPr>
            <w:tcW w:w="0" w:type="auto"/>
            <w:vAlign w:val="center"/>
          </w:tcPr>
          <w:p w14:paraId="45A5C57A"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Uygulanabilirlik</w:t>
            </w:r>
          </w:p>
        </w:tc>
      </w:tr>
      <w:tr w:rsidR="003B155E" w:rsidRPr="00567E52" w14:paraId="1AFD5C87" w14:textId="77777777" w:rsidTr="000D79D6">
        <w:tc>
          <w:tcPr>
            <w:tcW w:w="0" w:type="auto"/>
            <w:vAlign w:val="center"/>
          </w:tcPr>
          <w:p w14:paraId="20F5BE5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0" w:type="auto"/>
            <w:vAlign w:val="center"/>
          </w:tcPr>
          <w:p w14:paraId="0E9401B9" w14:textId="77777777" w:rsidR="003B155E" w:rsidRPr="00567E52" w:rsidRDefault="003B155E" w:rsidP="000D79D6">
            <w:pPr>
              <w:widowControl w:val="0"/>
              <w:shd w:val="clear" w:color="auto" w:fill="FFFFFF"/>
              <w:ind w:hanging="14"/>
              <w:rPr>
                <w:rFonts w:ascii="Times New Roman" w:hAnsi="Times New Roman" w:cs="Times New Roman"/>
              </w:rPr>
            </w:pPr>
            <w:r w:rsidRPr="00567E52">
              <w:rPr>
                <w:rFonts w:ascii="Times New Roman" w:hAnsi="Times New Roman" w:cs="Times New Roman"/>
              </w:rPr>
              <w:t>Tesisat ve ekipmanların düzenli temizliği</w:t>
            </w:r>
          </w:p>
        </w:tc>
        <w:tc>
          <w:tcPr>
            <w:tcW w:w="0" w:type="auto"/>
            <w:vAlign w:val="center"/>
          </w:tcPr>
          <w:p w14:paraId="5F12E22F" w14:textId="77777777" w:rsidR="003B155E" w:rsidRPr="00567E52" w:rsidRDefault="003B155E" w:rsidP="000D79D6">
            <w:pPr>
              <w:pBdr>
                <w:top w:val="nil"/>
                <w:left w:val="nil"/>
                <w:bottom w:val="nil"/>
                <w:right w:val="nil"/>
                <w:between w:val="nil"/>
              </w:pBdr>
              <w:ind w:left="38"/>
              <w:rPr>
                <w:rFonts w:ascii="Times New Roman" w:hAnsi="Times New Roman" w:cs="Times New Roman"/>
                <w:color w:val="000000"/>
              </w:rPr>
            </w:pPr>
            <w:r w:rsidRPr="00567E52">
              <w:rPr>
                <w:rFonts w:ascii="Times New Roman" w:hAnsi="Times New Roman" w:cs="Times New Roman"/>
                <w:color w:val="000000"/>
              </w:rPr>
              <w:t>Hayvansal yan ürünlerin ve/veya yenilebilir yan ürünlerin depolandığı ve işlendiği alanlar dahil olmak üzere tesis ve ekipmanların düzenli olarak (örneğin günlük) temizlenmesi.</w:t>
            </w:r>
          </w:p>
        </w:tc>
        <w:tc>
          <w:tcPr>
            <w:tcW w:w="0" w:type="auto"/>
            <w:vMerge w:val="restart"/>
            <w:vAlign w:val="center"/>
          </w:tcPr>
          <w:p w14:paraId="727C05F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323D9B9E" w14:textId="77777777" w:rsidTr="000D79D6">
        <w:tc>
          <w:tcPr>
            <w:tcW w:w="0" w:type="auto"/>
            <w:vAlign w:val="center"/>
          </w:tcPr>
          <w:p w14:paraId="04D35654"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0" w:type="auto"/>
            <w:vAlign w:val="center"/>
          </w:tcPr>
          <w:p w14:paraId="3AA3793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Hayvansal yan ürünlerin ve/veya yenilebilir yan ürünlerin taşınması ve tesliminde kullanılan araç ve ekipmanların temizliği ve dezenfeksiyonu</w:t>
            </w:r>
          </w:p>
        </w:tc>
        <w:tc>
          <w:tcPr>
            <w:tcW w:w="0" w:type="auto"/>
            <w:vAlign w:val="center"/>
          </w:tcPr>
          <w:p w14:paraId="2C6EA66D" w14:textId="77777777" w:rsidR="003B155E" w:rsidRPr="00567E52" w:rsidRDefault="003B155E" w:rsidP="000D79D6">
            <w:pPr>
              <w:pBdr>
                <w:top w:val="nil"/>
                <w:left w:val="nil"/>
                <w:bottom w:val="nil"/>
                <w:right w:val="nil"/>
                <w:between w:val="nil"/>
              </w:pBdr>
              <w:contextualSpacing/>
              <w:rPr>
                <w:rFonts w:ascii="Times New Roman" w:hAnsi="Times New Roman" w:cs="Times New Roman"/>
                <w:spacing w:val="2"/>
                <w:position w:val="-1"/>
              </w:rPr>
            </w:pPr>
            <w:r w:rsidRPr="00567E52">
              <w:rPr>
                <w:rFonts w:ascii="Times New Roman" w:hAnsi="Times New Roman" w:cs="Times New Roman"/>
                <w:color w:val="000000"/>
              </w:rPr>
              <w:t>Taşıma araçları ve teslimat ekipmanları (örneğin konteynerler) boşaltıldıktan sonra temizlenir ve dezenfekte edilir.</w:t>
            </w:r>
          </w:p>
        </w:tc>
        <w:tc>
          <w:tcPr>
            <w:tcW w:w="0" w:type="auto"/>
            <w:vMerge/>
            <w:vAlign w:val="center"/>
          </w:tcPr>
          <w:p w14:paraId="2BF35CD8"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152D7115" w14:textId="77777777" w:rsidTr="000D79D6">
        <w:tc>
          <w:tcPr>
            <w:tcW w:w="0" w:type="auto"/>
            <w:vAlign w:val="center"/>
          </w:tcPr>
          <w:p w14:paraId="0087CB6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0" w:type="auto"/>
            <w:vAlign w:val="center"/>
          </w:tcPr>
          <w:p w14:paraId="7491E695"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Hayvansal yan ürünlerin ve/veya yenilebilir yan ürünlerin nakliye, kabul, yükleme/boşaltma ve depolama sırasında muhafaza edilmesi</w:t>
            </w:r>
          </w:p>
        </w:tc>
        <w:tc>
          <w:tcPr>
            <w:tcW w:w="0" w:type="auto"/>
            <w:vAlign w:val="center"/>
          </w:tcPr>
          <w:p w14:paraId="1C47D1A0" w14:textId="77777777" w:rsidR="003B155E" w:rsidRPr="00567E52" w:rsidRDefault="003B155E" w:rsidP="000D79D6">
            <w:pPr>
              <w:pBdr>
                <w:top w:val="nil"/>
                <w:left w:val="nil"/>
                <w:bottom w:val="nil"/>
                <w:right w:val="nil"/>
                <w:between w:val="nil"/>
              </w:pBdr>
              <w:ind w:left="28"/>
              <w:rPr>
                <w:rFonts w:ascii="Times New Roman" w:hAnsi="Times New Roman" w:cs="Times New Roman"/>
                <w:color w:val="000000"/>
              </w:rPr>
            </w:pPr>
            <w:r w:rsidRPr="00567E52">
              <w:rPr>
                <w:rFonts w:ascii="Times New Roman" w:hAnsi="Times New Roman" w:cs="Times New Roman"/>
                <w:color w:val="000000"/>
              </w:rPr>
              <w:t>Yükleme/boşaltma ve kabul alanları kapalı havalandırmalı binalarda yer almaktadır. Hayvansal yan ürünlerin ve/veya yenilebilir yan ürünlerin taşınması ve depolanması için uygun ekipmanlar kullanılmaktadır.</w:t>
            </w:r>
          </w:p>
        </w:tc>
        <w:tc>
          <w:tcPr>
            <w:tcW w:w="0" w:type="auto"/>
            <w:vAlign w:val="center"/>
          </w:tcPr>
          <w:p w14:paraId="0A41B0EF"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Yer sıkıntısı nedeniyle mevcut tesislere uygulanamayabilir.</w:t>
            </w:r>
          </w:p>
        </w:tc>
      </w:tr>
      <w:tr w:rsidR="003B155E" w:rsidRPr="00567E52" w14:paraId="4A01EF50" w14:textId="77777777" w:rsidTr="000D79D6">
        <w:tc>
          <w:tcPr>
            <w:tcW w:w="0" w:type="auto"/>
            <w:vAlign w:val="center"/>
          </w:tcPr>
          <w:p w14:paraId="0B57E53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(d)</w:t>
            </w:r>
          </w:p>
        </w:tc>
        <w:tc>
          <w:tcPr>
            <w:tcW w:w="0" w:type="auto"/>
            <w:vAlign w:val="center"/>
          </w:tcPr>
          <w:p w14:paraId="4600ED0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Hayvansal yan ürünlerin ve/veya yenilebilir yan ürünlerin biyolojik bozunmasının en aza indirilmesi</w:t>
            </w:r>
          </w:p>
        </w:tc>
        <w:tc>
          <w:tcPr>
            <w:tcW w:w="0" w:type="auto"/>
            <w:vAlign w:val="center"/>
          </w:tcPr>
          <w:p w14:paraId="2C923063" w14:textId="77777777" w:rsidR="003B155E" w:rsidRPr="00567E52" w:rsidRDefault="003B155E" w:rsidP="000D79D6">
            <w:pPr>
              <w:pBdr>
                <w:top w:val="nil"/>
                <w:left w:val="nil"/>
                <w:bottom w:val="nil"/>
                <w:right w:val="nil"/>
                <w:between w:val="nil"/>
              </w:pBdr>
              <w:rPr>
                <w:rFonts w:ascii="Times New Roman" w:hAnsi="Times New Roman"/>
                <w:color w:val="000000"/>
              </w:rPr>
            </w:pPr>
            <w:r w:rsidRPr="00567E52">
              <w:rPr>
                <w:rFonts w:ascii="Times New Roman" w:hAnsi="Times New Roman" w:cs="Times New Roman"/>
                <w:color w:val="000000"/>
              </w:rPr>
              <w:t xml:space="preserve">Bkz. MET 12 (a) </w:t>
            </w:r>
          </w:p>
        </w:tc>
        <w:tc>
          <w:tcPr>
            <w:tcW w:w="0" w:type="auto"/>
            <w:vAlign w:val="center"/>
          </w:tcPr>
          <w:p w14:paraId="7F570FB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3B68D965" w14:textId="77777777" w:rsidTr="000D79D6">
        <w:tc>
          <w:tcPr>
            <w:tcW w:w="0" w:type="auto"/>
            <w:vAlign w:val="center"/>
          </w:tcPr>
          <w:p w14:paraId="4746AD33"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(e)</w:t>
            </w:r>
          </w:p>
        </w:tc>
        <w:tc>
          <w:tcPr>
            <w:tcW w:w="0" w:type="auto"/>
            <w:vAlign w:val="center"/>
          </w:tcPr>
          <w:p w14:paraId="7D6F4EE5"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Havanın mümkün olduğunca koku oluşma noktasına yakın bir noktada çekilmesi.</w:t>
            </w:r>
          </w:p>
        </w:tc>
        <w:tc>
          <w:tcPr>
            <w:tcW w:w="0" w:type="auto"/>
            <w:vAlign w:val="center"/>
          </w:tcPr>
          <w:p w14:paraId="3232B16F" w14:textId="77777777" w:rsidR="003B155E" w:rsidRPr="00567E52" w:rsidRDefault="003B155E" w:rsidP="000D79D6">
            <w:pPr>
              <w:pBdr>
                <w:top w:val="nil"/>
                <w:left w:val="nil"/>
                <w:bottom w:val="nil"/>
                <w:right w:val="nil"/>
                <w:between w:val="nil"/>
              </w:pBdr>
              <w:ind w:left="39"/>
              <w:rPr>
                <w:rFonts w:ascii="Times New Roman" w:hAnsi="Times New Roman"/>
                <w:color w:val="000000"/>
              </w:rPr>
            </w:pPr>
            <w:r w:rsidRPr="00567E52">
              <w:rPr>
                <w:rFonts w:ascii="Times New Roman" w:hAnsi="Times New Roman" w:cs="Times New Roman"/>
                <w:color w:val="000000"/>
              </w:rPr>
              <w:t>Koku oluşumu noktasına mümkün olduğunca yakın bir noktada tam veya kısmi kapalı hava çekimi. Çekilen hava arıtılabilir (bkz. MET 25).</w:t>
            </w:r>
          </w:p>
        </w:tc>
        <w:tc>
          <w:tcPr>
            <w:tcW w:w="0" w:type="auto"/>
            <w:vAlign w:val="center"/>
          </w:tcPr>
          <w:p w14:paraId="5DCDCE1B" w14:textId="77777777" w:rsidR="003B155E" w:rsidRPr="00567E52" w:rsidRDefault="003B155E" w:rsidP="000D79D6">
            <w:pPr>
              <w:widowControl w:val="0"/>
              <w:shd w:val="clear" w:color="auto" w:fill="FFFFFF"/>
              <w:rPr>
                <w:rFonts w:ascii="Times New Roman" w:hAnsi="Times New Roman" w:cs="Times New Roman"/>
              </w:rPr>
            </w:pPr>
            <w:r w:rsidRPr="00567E52">
              <w:rPr>
                <w:rFonts w:ascii="Times New Roman" w:hAnsi="Times New Roman" w:cs="Times New Roman"/>
              </w:rPr>
              <w:t>Genel olarak uygulanabilir.</w:t>
            </w:r>
          </w:p>
        </w:tc>
      </w:tr>
    </w:tbl>
    <w:p w14:paraId="4068CDA2"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0FA5A6CE"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Baca gazı koku emisyonlarına ilişkin MET-İES için Tablo 1.10 ve Tablo 1.11’e bakınız.</w:t>
      </w:r>
    </w:p>
    <w:p w14:paraId="60FCF657"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638348B6"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1.1.11. Soğutucuların Kullanımı</w:t>
      </w:r>
    </w:p>
    <w:p w14:paraId="3E89578B"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kern w:val="0"/>
          <w:sz w:val="24"/>
          <w:szCs w:val="24"/>
          <w:lang w:eastAsia="tr-TR"/>
          <w14:ligatures w14:val="none"/>
        </w:rPr>
        <w:t xml:space="preserve">MET 20: </w:t>
      </w:r>
      <w:r w:rsidRPr="00567E52">
        <w:rPr>
          <w:rFonts w:ascii="Times New Roman" w:eastAsia="Times New Roman" w:hAnsi="Times New Roman" w:cs="Times New Roman"/>
          <w:kern w:val="0"/>
          <w:sz w:val="24"/>
          <w:szCs w:val="24"/>
          <w:lang w:eastAsia="tr-TR"/>
          <w14:ligatures w14:val="none"/>
        </w:rPr>
        <w:t>Soğutma ve dondurmadan kaynaklanan ozon tabakasına zarar veren maddelerin ve küresel ısınma potansiyeli yüksek maddelerin emisyonunu önlemek amacıyla, ozon tabakasına zarar verme potansiyeli olmayan ve küresel ısınma potansiyeli düşük soğutucu akışkanlar kullanılır.</w:t>
      </w:r>
    </w:p>
    <w:p w14:paraId="35F038C7"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5BBEF67E"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i/>
          <w:iCs/>
          <w:color w:val="000000"/>
          <w:spacing w:val="2"/>
          <w:kern w:val="0"/>
          <w:sz w:val="24"/>
          <w:szCs w:val="24"/>
          <w14:ligatures w14:val="none"/>
        </w:rPr>
      </w:pPr>
      <w:r w:rsidRPr="00567E52">
        <w:rPr>
          <w:rFonts w:ascii="Times New Roman" w:eastAsia="Times New Roman" w:hAnsi="Times New Roman" w:cs="Times New Roman"/>
          <w:i/>
          <w:iCs/>
          <w:color w:val="000000"/>
          <w:spacing w:val="2"/>
          <w:kern w:val="0"/>
          <w:sz w:val="24"/>
          <w:szCs w:val="24"/>
          <w14:ligatures w14:val="none"/>
        </w:rPr>
        <w:t>Tanım</w:t>
      </w:r>
    </w:p>
    <w:p w14:paraId="4803358F"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Uygun soğutucu maddeler arasında örneğin su, karbondioksit, propan ve amonyak bulunur.</w:t>
      </w:r>
    </w:p>
    <w:p w14:paraId="3E2A9D78"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03E7DB5D" w14:textId="77777777" w:rsidR="003B155E" w:rsidRPr="00567E52"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567E52">
        <w:rPr>
          <w:rFonts w:ascii="Times New Roman" w:eastAsia="Times New Roman" w:hAnsi="Times New Roman" w:cs="Times New Roman"/>
          <w:b/>
          <w:color w:val="000000"/>
          <w:kern w:val="0"/>
          <w:sz w:val="24"/>
          <w:szCs w:val="26"/>
          <w:lang w:eastAsia="tr-TR"/>
          <w14:ligatures w14:val="none"/>
        </w:rPr>
        <w:t>1.2. Mezbahalar İçin MET Sonuçları</w:t>
      </w:r>
    </w:p>
    <w:p w14:paraId="70D73F4C"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Bu bölümdeki MET sonuçları, Bölüm 1.1’de verilen genel MET sonuçlarına ek olarak uygulanır.</w:t>
      </w:r>
    </w:p>
    <w:p w14:paraId="0CA42F83"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11BF7375"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1.2.1. Enerji Verimliliği</w:t>
      </w:r>
    </w:p>
    <w:p w14:paraId="78BD1230"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kern w:val="0"/>
          <w:sz w:val="24"/>
          <w:szCs w:val="24"/>
          <w:lang w:eastAsia="tr-TR"/>
          <w14:ligatures w14:val="none"/>
        </w:rPr>
        <w:t xml:space="preserve">MET 21: </w:t>
      </w:r>
      <w:r w:rsidRPr="00567E52">
        <w:rPr>
          <w:rFonts w:ascii="Times New Roman" w:eastAsia="Times New Roman" w:hAnsi="Times New Roman" w:cs="Times New Roman"/>
          <w:color w:val="000000"/>
          <w:spacing w:val="2"/>
          <w:kern w:val="0"/>
          <w:sz w:val="24"/>
          <w:szCs w:val="24"/>
          <w14:ligatures w14:val="none"/>
        </w:rPr>
        <w:t>Enerji verimliliğini artırmak için, MET 9’da verilen her iki teknik, aşağıda verilen her iki teknikle birlikte kullanılır.</w:t>
      </w:r>
    </w:p>
    <w:tbl>
      <w:tblPr>
        <w:tblStyle w:val="TabloKlavuzu9"/>
        <w:tblW w:w="0" w:type="auto"/>
        <w:tblLook w:val="04A0" w:firstRow="1" w:lastRow="0" w:firstColumn="1" w:lastColumn="0" w:noHBand="0" w:noVBand="1"/>
      </w:tblPr>
      <w:tblGrid>
        <w:gridCol w:w="456"/>
        <w:gridCol w:w="2463"/>
        <w:gridCol w:w="3324"/>
        <w:gridCol w:w="2819"/>
      </w:tblGrid>
      <w:tr w:rsidR="003B155E" w:rsidRPr="00567E52" w14:paraId="20856997" w14:textId="77777777" w:rsidTr="000D79D6">
        <w:tc>
          <w:tcPr>
            <w:tcW w:w="0" w:type="auto"/>
            <w:tcBorders>
              <w:right w:val="nil"/>
            </w:tcBorders>
          </w:tcPr>
          <w:p w14:paraId="086FAE9B" w14:textId="77777777" w:rsidR="003B155E" w:rsidRPr="00567E52" w:rsidRDefault="003B155E" w:rsidP="000D79D6">
            <w:pPr>
              <w:jc w:val="both"/>
              <w:rPr>
                <w:rFonts w:ascii="Times New Roman" w:hAnsi="Times New Roman" w:cs="Times New Roman"/>
                <w:color w:val="000000"/>
                <w:spacing w:val="2"/>
              </w:rPr>
            </w:pPr>
          </w:p>
        </w:tc>
        <w:tc>
          <w:tcPr>
            <w:tcW w:w="0" w:type="auto"/>
            <w:tcBorders>
              <w:left w:val="nil"/>
            </w:tcBorders>
          </w:tcPr>
          <w:p w14:paraId="3F8A2AD4"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eknik</w:t>
            </w:r>
          </w:p>
        </w:tc>
        <w:tc>
          <w:tcPr>
            <w:tcW w:w="0" w:type="auto"/>
          </w:tcPr>
          <w:p w14:paraId="3299DB89"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anım</w:t>
            </w:r>
          </w:p>
        </w:tc>
        <w:tc>
          <w:tcPr>
            <w:tcW w:w="0" w:type="auto"/>
          </w:tcPr>
          <w:p w14:paraId="5387EC69"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U</w:t>
            </w:r>
            <w:r w:rsidRPr="00567E52">
              <w:rPr>
                <w:rFonts w:ascii="Times New Roman" w:hAnsi="Times New Roman" w:cs="Times New Roman"/>
                <w:spacing w:val="2"/>
              </w:rPr>
              <w:t>ygulanabilirlik</w:t>
            </w:r>
          </w:p>
        </w:tc>
      </w:tr>
      <w:tr w:rsidR="003B155E" w:rsidRPr="00567E52" w14:paraId="2C1A3ED5" w14:textId="77777777" w:rsidTr="000D79D6">
        <w:tc>
          <w:tcPr>
            <w:tcW w:w="0" w:type="auto"/>
          </w:tcPr>
          <w:p w14:paraId="3930797B"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a)</w:t>
            </w:r>
          </w:p>
        </w:tc>
        <w:tc>
          <w:tcPr>
            <w:tcW w:w="0" w:type="auto"/>
          </w:tcPr>
          <w:p w14:paraId="13B1434C"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spacing w:val="2"/>
              </w:rPr>
              <w:t>Soğutma yönetim planı</w:t>
            </w:r>
          </w:p>
        </w:tc>
        <w:tc>
          <w:tcPr>
            <w:tcW w:w="0" w:type="auto"/>
          </w:tcPr>
          <w:p w14:paraId="126F6566"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Bkz. Bölüm 1.4.3.</w:t>
            </w:r>
          </w:p>
        </w:tc>
        <w:tc>
          <w:tcPr>
            <w:tcW w:w="0" w:type="auto"/>
          </w:tcPr>
          <w:p w14:paraId="5691A2AA" w14:textId="77777777" w:rsidR="003B155E" w:rsidRPr="00567E52" w:rsidRDefault="003B155E" w:rsidP="000D79D6">
            <w:pPr>
              <w:jc w:val="both"/>
              <w:rPr>
                <w:rFonts w:ascii="Times New Roman" w:hAnsi="Times New Roman" w:cs="Times New Roman"/>
                <w:spacing w:val="2"/>
              </w:rPr>
            </w:pPr>
            <w:r w:rsidRPr="00567E52">
              <w:rPr>
                <w:rFonts w:ascii="Times New Roman" w:hAnsi="Times New Roman" w:cs="Times New Roman"/>
                <w:spacing w:val="2"/>
              </w:rPr>
              <w:t>Genel olarak uygulanabilir.</w:t>
            </w:r>
          </w:p>
        </w:tc>
      </w:tr>
      <w:tr w:rsidR="003B155E" w:rsidRPr="00567E52" w14:paraId="49BD7E45" w14:textId="77777777" w:rsidTr="000D79D6">
        <w:tc>
          <w:tcPr>
            <w:tcW w:w="0" w:type="auto"/>
          </w:tcPr>
          <w:p w14:paraId="05E93A83"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b)</w:t>
            </w:r>
          </w:p>
        </w:tc>
        <w:tc>
          <w:tcPr>
            <w:tcW w:w="0" w:type="auto"/>
          </w:tcPr>
          <w:p w14:paraId="5F7671DB"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Domuz ve/veya kümes hayvanlarının etkili bir şekilde haşlanması için teknikler</w:t>
            </w:r>
          </w:p>
        </w:tc>
        <w:tc>
          <w:tcPr>
            <w:tcW w:w="0" w:type="auto"/>
          </w:tcPr>
          <w:p w14:paraId="5DFAB639" w14:textId="77777777" w:rsidR="003B155E" w:rsidRPr="00567E52" w:rsidRDefault="003B155E" w:rsidP="000D79D6">
            <w:pPr>
              <w:ind w:left="33"/>
              <w:jc w:val="both"/>
              <w:rPr>
                <w:rFonts w:ascii="Times New Roman" w:hAnsi="Times New Roman" w:cs="Times New Roman"/>
                <w:spacing w:val="2"/>
              </w:rPr>
            </w:pPr>
            <w:r w:rsidRPr="00567E52">
              <w:rPr>
                <w:rFonts w:ascii="Times New Roman" w:hAnsi="Times New Roman" w:cs="Times New Roman"/>
                <w:spacing w:val="2"/>
              </w:rPr>
              <w:t>Bunlar aşağıdaki gibi teknikleri içerir:</w:t>
            </w:r>
          </w:p>
          <w:p w14:paraId="762D9679" w14:textId="77777777" w:rsidR="003B155E" w:rsidRPr="00567E52" w:rsidRDefault="003B155E" w:rsidP="003B155E">
            <w:pPr>
              <w:widowControl w:val="0"/>
              <w:numPr>
                <w:ilvl w:val="0"/>
                <w:numId w:val="103"/>
              </w:numPr>
              <w:ind w:left="368" w:hanging="335"/>
              <w:jc w:val="both"/>
              <w:rPr>
                <w:rFonts w:ascii="Times New Roman" w:hAnsi="Times New Roman" w:cs="Times New Roman"/>
                <w:spacing w:val="2"/>
              </w:rPr>
            </w:pPr>
            <w:r w:rsidRPr="00567E52">
              <w:rPr>
                <w:rFonts w:ascii="Times New Roman" w:hAnsi="Times New Roman" w:cs="Times New Roman"/>
                <w:spacing w:val="2"/>
              </w:rPr>
              <w:t>domuzların buharla haşlanması;</w:t>
            </w:r>
          </w:p>
          <w:p w14:paraId="4DF2A421" w14:textId="77777777" w:rsidR="003B155E" w:rsidRPr="00567E52" w:rsidRDefault="003B155E" w:rsidP="003B155E">
            <w:pPr>
              <w:widowControl w:val="0"/>
              <w:numPr>
                <w:ilvl w:val="0"/>
                <w:numId w:val="103"/>
              </w:numPr>
              <w:ind w:left="368" w:hanging="335"/>
              <w:jc w:val="both"/>
              <w:rPr>
                <w:rFonts w:ascii="Times New Roman" w:hAnsi="Times New Roman" w:cs="Times New Roman"/>
                <w:spacing w:val="2"/>
              </w:rPr>
            </w:pPr>
            <w:r w:rsidRPr="00567E52">
              <w:rPr>
                <w:rFonts w:ascii="Times New Roman" w:hAnsi="Times New Roman" w:cs="Times New Roman"/>
                <w:spacing w:val="2"/>
              </w:rPr>
              <w:t>optimize edilmiş su akış sistemleri ile domuz ve/veya kümes hayvanlarının daldırma yöntemiyle haşlanması.</w:t>
            </w:r>
          </w:p>
        </w:tc>
        <w:tc>
          <w:tcPr>
            <w:tcW w:w="0" w:type="auto"/>
          </w:tcPr>
          <w:p w14:paraId="708F6FB6" w14:textId="77777777" w:rsidR="003B155E" w:rsidRPr="00567E52" w:rsidRDefault="003B155E" w:rsidP="000D79D6">
            <w:pPr>
              <w:jc w:val="both"/>
              <w:rPr>
                <w:rFonts w:ascii="Times New Roman" w:hAnsi="Times New Roman" w:cs="Times New Roman"/>
                <w:spacing w:val="2"/>
              </w:rPr>
            </w:pPr>
            <w:r w:rsidRPr="00567E52">
              <w:rPr>
                <w:rFonts w:ascii="Times New Roman" w:hAnsi="Times New Roman" w:cs="Times New Roman"/>
                <w:spacing w:val="2"/>
              </w:rPr>
              <w:t>Mevcut tesislere uygulanabilirlik, tesis yerleşimi/alan yetersizliği nedeniyle kısıtlanabilir.</w:t>
            </w:r>
          </w:p>
        </w:tc>
      </w:tr>
    </w:tbl>
    <w:p w14:paraId="32CBE578"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Tablo 1.5</w:t>
      </w:r>
    </w:p>
    <w:p w14:paraId="532F04C9"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Mezbahalarda spesifik net enerji tüketimi için MET ile ilişkili çevresel performans seviyeleri (MET-İÇPS)</w:t>
      </w:r>
    </w:p>
    <w:tbl>
      <w:tblPr>
        <w:tblW w:w="0" w:type="auto"/>
        <w:tblBorders>
          <w:top w:val="nil"/>
          <w:left w:val="nil"/>
          <w:bottom w:val="nil"/>
          <w:right w:val="nil"/>
          <w:insideH w:val="nil"/>
          <w:insideV w:val="nil"/>
        </w:tblBorders>
        <w:tblLook w:val="0600" w:firstRow="0" w:lastRow="0" w:firstColumn="0" w:lastColumn="0" w:noHBand="1" w:noVBand="1"/>
      </w:tblPr>
      <w:tblGrid>
        <w:gridCol w:w="2429"/>
        <w:gridCol w:w="2220"/>
        <w:gridCol w:w="4403"/>
      </w:tblGrid>
      <w:tr w:rsidR="003B155E" w:rsidRPr="00567E52" w14:paraId="50DCB633" w14:textId="77777777" w:rsidTr="000D79D6">
        <w:trPr>
          <w:trHeight w:val="240"/>
        </w:trPr>
        <w:tc>
          <w:tcPr>
            <w:tcW w:w="0" w:type="auto"/>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vAlign w:val="center"/>
          </w:tcPr>
          <w:p w14:paraId="4DD764D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Mezbaha hayvanları</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5B44736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 (</w:t>
            </w:r>
            <w:r w:rsidRPr="00567E52">
              <w:rPr>
                <w:rFonts w:ascii="Times New Roman" w:eastAsia="Times New Roman" w:hAnsi="Times New Roman" w:cs="Courier New"/>
                <w:color w:val="000000"/>
                <w:kern w:val="0"/>
                <w:vertAlign w:val="superscript"/>
                <w:lang w:eastAsia="tr-TR"/>
                <w14:ligatures w14:val="none"/>
              </w:rPr>
              <w:t>1</w:t>
            </w:r>
            <w:r w:rsidRPr="00567E52">
              <w:rPr>
                <w:rFonts w:ascii="Times New Roman" w:eastAsia="Times New Roman" w:hAnsi="Times New Roman" w:cs="Courier New"/>
                <w:color w:val="000000"/>
                <w:kern w:val="0"/>
                <w:lang w:eastAsia="tr-TR"/>
                <w14:ligatures w14:val="none"/>
              </w:rPr>
              <w:t>)</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6C0D2F4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Spesifik net enerji tüketimi (yıllık ortalama) (</w:t>
            </w:r>
            <w:r w:rsidRPr="00567E52">
              <w:rPr>
                <w:rFonts w:ascii="Times New Roman" w:eastAsia="Times New Roman" w:hAnsi="Times New Roman" w:cs="Courier New"/>
                <w:color w:val="000000"/>
                <w:kern w:val="0"/>
                <w:vertAlign w:val="superscript"/>
                <w:lang w:eastAsia="tr-TR"/>
                <w14:ligatures w14:val="none"/>
              </w:rPr>
              <w:t>2</w:t>
            </w:r>
            <w:r w:rsidRPr="00567E52">
              <w:rPr>
                <w:rFonts w:ascii="Times New Roman" w:eastAsia="Times New Roman" w:hAnsi="Times New Roman" w:cs="Courier New"/>
                <w:color w:val="000000"/>
                <w:kern w:val="0"/>
                <w:lang w:eastAsia="tr-TR"/>
                <w14:ligatures w14:val="none"/>
              </w:rPr>
              <w:t>)</w:t>
            </w:r>
          </w:p>
        </w:tc>
      </w:tr>
      <w:tr w:rsidR="003B155E" w:rsidRPr="00567E52" w14:paraId="04F308E3" w14:textId="77777777" w:rsidTr="000D79D6">
        <w:trPr>
          <w:trHeight w:val="211"/>
        </w:trPr>
        <w:tc>
          <w:tcPr>
            <w:tcW w:w="0" w:type="auto"/>
            <w:vMerge w:val="restart"/>
            <w:tcBorders>
              <w:top w:val="nil"/>
              <w:left w:val="single" w:sz="8" w:space="0" w:color="000000"/>
              <w:right w:val="single" w:sz="8" w:space="0" w:color="000000"/>
            </w:tcBorders>
            <w:tcMar>
              <w:top w:w="0" w:type="dxa"/>
              <w:left w:w="100" w:type="dxa"/>
              <w:bottom w:w="0" w:type="dxa"/>
              <w:right w:w="100" w:type="dxa"/>
            </w:tcMar>
            <w:vAlign w:val="center"/>
          </w:tcPr>
          <w:p w14:paraId="3E46ADE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Büyükbaş hayvan</w:t>
            </w:r>
          </w:p>
        </w:tc>
        <w:tc>
          <w:tcPr>
            <w:tcW w:w="0" w:type="auto"/>
            <w:tcBorders>
              <w:top w:val="nil"/>
              <w:left w:val="nil"/>
              <w:bottom w:val="single" w:sz="4" w:space="0" w:color="auto"/>
              <w:right w:val="single" w:sz="8" w:space="0" w:color="000000"/>
            </w:tcBorders>
            <w:tcMar>
              <w:top w:w="0" w:type="dxa"/>
              <w:left w:w="100" w:type="dxa"/>
              <w:bottom w:w="0" w:type="dxa"/>
              <w:right w:w="100" w:type="dxa"/>
            </w:tcMar>
            <w:vAlign w:val="center"/>
          </w:tcPr>
          <w:p w14:paraId="388A358F"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kWh/ton karkas</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29358318"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116-240 (</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w:t>
            </w:r>
          </w:p>
        </w:tc>
      </w:tr>
      <w:tr w:rsidR="003B155E" w:rsidRPr="00567E52" w14:paraId="19501320" w14:textId="77777777" w:rsidTr="000D79D6">
        <w:trPr>
          <w:trHeight w:val="39"/>
        </w:trPr>
        <w:tc>
          <w:tcPr>
            <w:tcW w:w="0" w:type="auto"/>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AA8A5C8"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2ECE82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kWh/hayvan</w:t>
            </w: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4592519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567E52">
              <w:rPr>
                <w:rFonts w:ascii="Times New Roman" w:eastAsia="Times New Roman" w:hAnsi="Times New Roman" w:cs="Courier New"/>
                <w:color w:val="000000"/>
                <w:kern w:val="0"/>
                <w:lang w:eastAsia="tr-TR"/>
                <w14:ligatures w14:val="none"/>
              </w:rPr>
              <w:t>30-80 (</w:t>
            </w:r>
            <w:r w:rsidRPr="00567E52">
              <w:rPr>
                <w:rFonts w:ascii="Times New Roman" w:eastAsia="Times New Roman" w:hAnsi="Times New Roman" w:cs="Courier New"/>
                <w:color w:val="000000"/>
                <w:kern w:val="0"/>
                <w:vertAlign w:val="superscript"/>
                <w:lang w:eastAsia="tr-TR"/>
                <w14:ligatures w14:val="none"/>
              </w:rPr>
              <w:t>4</w:t>
            </w:r>
            <w:r w:rsidRPr="00567E52">
              <w:rPr>
                <w:rFonts w:ascii="Times New Roman" w:eastAsia="Times New Roman" w:hAnsi="Times New Roman" w:cs="Courier New"/>
                <w:color w:val="000000"/>
                <w:kern w:val="0"/>
                <w:lang w:eastAsia="tr-TR"/>
                <w14:ligatures w14:val="none"/>
              </w:rPr>
              <w:t>)</w:t>
            </w:r>
          </w:p>
        </w:tc>
      </w:tr>
      <w:tr w:rsidR="003B155E" w:rsidRPr="00567E52" w14:paraId="63675B2D" w14:textId="77777777" w:rsidTr="000D79D6">
        <w:trPr>
          <w:trHeight w:val="196"/>
        </w:trPr>
        <w:tc>
          <w:tcPr>
            <w:tcW w:w="0" w:type="auto"/>
            <w:vMerge w:val="restart"/>
            <w:tcBorders>
              <w:top w:val="nil"/>
              <w:left w:val="single" w:sz="8" w:space="0" w:color="000000"/>
              <w:right w:val="single" w:sz="8" w:space="0" w:color="000000"/>
            </w:tcBorders>
            <w:shd w:val="clear" w:color="auto" w:fill="auto"/>
            <w:tcMar>
              <w:top w:w="0" w:type="dxa"/>
              <w:left w:w="100" w:type="dxa"/>
              <w:bottom w:w="0" w:type="dxa"/>
              <w:right w:w="100" w:type="dxa"/>
            </w:tcMar>
            <w:vAlign w:val="center"/>
          </w:tcPr>
          <w:p w14:paraId="2FFA783C"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Domuz</w:t>
            </w: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6E365D2"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kWh/ton karkas</w:t>
            </w: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4CC602D4"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65-370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w:t>
            </w:r>
          </w:p>
        </w:tc>
      </w:tr>
      <w:tr w:rsidR="003B155E" w:rsidRPr="00567E52" w14:paraId="3ACE0AEE" w14:textId="77777777" w:rsidTr="000D79D6">
        <w:trPr>
          <w:trHeight w:val="196"/>
        </w:trPr>
        <w:tc>
          <w:tcPr>
            <w:tcW w:w="0" w:type="auto"/>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F21B73A"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B7ED270"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kWh/hayvan</w:t>
            </w: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6B5BC62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4-35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w:t>
            </w:r>
          </w:p>
        </w:tc>
      </w:tr>
      <w:tr w:rsidR="003B155E" w:rsidRPr="00567E52" w14:paraId="07FDE25F" w14:textId="77777777" w:rsidTr="000D79D6">
        <w:trPr>
          <w:trHeight w:val="301"/>
        </w:trPr>
        <w:tc>
          <w:tcPr>
            <w:tcW w:w="0" w:type="auto"/>
            <w:vMerge w:val="restart"/>
            <w:tcBorders>
              <w:top w:val="nil"/>
              <w:left w:val="single" w:sz="8" w:space="0" w:color="000000"/>
              <w:right w:val="single" w:sz="8" w:space="0" w:color="000000"/>
            </w:tcBorders>
            <w:shd w:val="clear" w:color="auto" w:fill="auto"/>
            <w:tcMar>
              <w:top w:w="0" w:type="dxa"/>
              <w:left w:w="100" w:type="dxa"/>
              <w:bottom w:w="0" w:type="dxa"/>
              <w:right w:w="100" w:type="dxa"/>
            </w:tcMar>
            <w:vAlign w:val="center"/>
          </w:tcPr>
          <w:p w14:paraId="0D86260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Tavuk</w:t>
            </w: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6E6CAA2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kWh/ton karkas</w:t>
            </w:r>
          </w:p>
        </w:tc>
        <w:tc>
          <w:tcPr>
            <w:tcW w:w="0" w:type="auto"/>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59C8D0C4"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170-490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w:t>
            </w:r>
          </w:p>
        </w:tc>
      </w:tr>
      <w:tr w:rsidR="003B155E" w:rsidRPr="00567E52" w14:paraId="31A53866" w14:textId="77777777" w:rsidTr="000D79D6">
        <w:trPr>
          <w:trHeight w:val="301"/>
        </w:trPr>
        <w:tc>
          <w:tcPr>
            <w:tcW w:w="0" w:type="auto"/>
            <w:vMerge/>
            <w:tcBorders>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31E210F5"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8B1548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kWh/hayvan</w:t>
            </w:r>
          </w:p>
        </w:tc>
        <w:tc>
          <w:tcPr>
            <w:tcW w:w="0" w:type="auto"/>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5605A55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0,25-0,90 (</w:t>
            </w:r>
            <w:r w:rsidRPr="00567E52">
              <w:rPr>
                <w:rFonts w:ascii="Times New Roman" w:eastAsia="Times New Roman" w:hAnsi="Times New Roman" w:cs="Courier New"/>
                <w:color w:val="000000"/>
                <w:kern w:val="0"/>
                <w:vertAlign w:val="superscript"/>
                <w:lang w:eastAsia="tr-TR"/>
                <w14:ligatures w14:val="none"/>
              </w:rPr>
              <w:t>5</w:t>
            </w:r>
            <w:r w:rsidRPr="00567E52">
              <w:rPr>
                <w:rFonts w:ascii="Times New Roman" w:eastAsia="Times New Roman" w:hAnsi="Times New Roman" w:cs="Courier New"/>
                <w:color w:val="000000"/>
                <w:kern w:val="0"/>
                <w:lang w:eastAsia="tr-TR"/>
                <w14:ligatures w14:val="none"/>
              </w:rPr>
              <w:t>)</w:t>
            </w:r>
          </w:p>
        </w:tc>
      </w:tr>
      <w:tr w:rsidR="003B155E" w:rsidRPr="00567E52" w14:paraId="06E3B56E" w14:textId="77777777" w:rsidTr="000D79D6">
        <w:trPr>
          <w:trHeight w:val="301"/>
        </w:trPr>
        <w:tc>
          <w:tcPr>
            <w:tcW w:w="0" w:type="auto"/>
            <w:gridSpan w:val="3"/>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2A717E9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w:t>
            </w:r>
            <w:r w:rsidRPr="00567E52">
              <w:rPr>
                <w:rFonts w:ascii="Times New Roman" w:eastAsia="Times New Roman" w:hAnsi="Times New Roman" w:cs="Courier New"/>
                <w:color w:val="000000"/>
                <w:kern w:val="0"/>
                <w:sz w:val="20"/>
                <w:szCs w:val="20"/>
                <w:lang w:eastAsia="tr-TR"/>
                <w14:ligatures w14:val="none"/>
              </w:rPr>
              <w:t>) Ya kWh/ton karkas olarak ifade edilen MET-İÇPS ya da kWh/hayvan olarak ifade edilen MET-İÇPS geçerlidir.</w:t>
            </w:r>
          </w:p>
          <w:p w14:paraId="5F114E8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2</w:t>
            </w:r>
            <w:r w:rsidRPr="00567E52">
              <w:rPr>
                <w:rFonts w:ascii="Times New Roman" w:eastAsia="Times New Roman" w:hAnsi="Times New Roman" w:cs="Courier New"/>
                <w:color w:val="000000"/>
                <w:kern w:val="0"/>
                <w:sz w:val="20"/>
                <w:szCs w:val="20"/>
                <w:lang w:eastAsia="tr-TR"/>
                <w14:ligatures w14:val="none"/>
              </w:rPr>
              <w:t>) MET-İÇPS söz konusu hayvanların yalnızca kesimi ifade eder.</w:t>
            </w:r>
          </w:p>
          <w:p w14:paraId="35FE605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 Spesifik net enerji tüketiminin FDM faaliyetleri tarafından tüketilen enerjiyi içermesi durumunda, MET-İÇPS aralığının üst sınırı daha yüksek olabilir ve 415 kWh/ton karkasa kadar çıkabilir.</w:t>
            </w:r>
          </w:p>
          <w:p w14:paraId="7AC1E40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4</w:t>
            </w:r>
            <w:r w:rsidRPr="00567E52">
              <w:rPr>
                <w:rFonts w:ascii="Times New Roman" w:eastAsia="Times New Roman" w:hAnsi="Times New Roman" w:cs="Courier New"/>
                <w:color w:val="000000"/>
                <w:kern w:val="0"/>
                <w:sz w:val="20"/>
                <w:szCs w:val="20"/>
                <w:lang w:eastAsia="tr-TR"/>
                <w14:ligatures w14:val="none"/>
              </w:rPr>
              <w:t>) Spesifik net enerji tüketiminin FDM faaliyetleri tarafından tüketilen enerjiyi içermesi durumunda MET-İÇPS aralığının üst sınırı daha yüksek olabilir ve 150 kWh/hayvana kadar çıkabilir.</w:t>
            </w:r>
          </w:p>
          <w:p w14:paraId="7B54FFB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5</w:t>
            </w:r>
            <w:r w:rsidRPr="00567E52">
              <w:rPr>
                <w:rFonts w:ascii="Times New Roman" w:eastAsia="Times New Roman" w:hAnsi="Times New Roman" w:cs="Courier New"/>
                <w:color w:val="000000"/>
                <w:kern w:val="0"/>
                <w:sz w:val="20"/>
                <w:szCs w:val="20"/>
                <w:lang w:eastAsia="tr-TR"/>
                <w14:ligatures w14:val="none"/>
              </w:rPr>
              <w:t>) MET-İÇPS aralığı, toplam FDM ürünlerinin ağırlığının %50'sinden fazlasını hazır ürünler (örneğin, basit et parçalarından daha fazla işlenmiş et ürünleri, örn. marine edilmiş ürünler, sosisler) üreten tesisler için geçerli olmayabilir.</w:t>
            </w:r>
          </w:p>
        </w:tc>
      </w:tr>
    </w:tbl>
    <w:p w14:paraId="68B3E040"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lastRenderedPageBreak/>
        <w:t>İlgili izleme MET 6’da verilmiştir.</w:t>
      </w:r>
    </w:p>
    <w:p w14:paraId="57AEE64B" w14:textId="45315BBE" w:rsidR="003B155E"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1199678F" w14:textId="77777777" w:rsidR="0094059F" w:rsidRPr="00567E52" w:rsidRDefault="0094059F"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6BC5AC6D"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1.2.2. Su Tüketimi ve Atıksu Oluşumu</w:t>
      </w:r>
    </w:p>
    <w:p w14:paraId="1974C1FE"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kern w:val="0"/>
          <w:sz w:val="24"/>
          <w:szCs w:val="24"/>
          <w:lang w:eastAsia="tr-TR"/>
          <w14:ligatures w14:val="none"/>
        </w:rPr>
        <w:t xml:space="preserve">MET 22: </w:t>
      </w:r>
      <w:r w:rsidRPr="00567E52">
        <w:rPr>
          <w:rFonts w:ascii="Times New Roman" w:eastAsia="Times New Roman" w:hAnsi="Times New Roman" w:cs="Times New Roman"/>
          <w:kern w:val="0"/>
          <w:sz w:val="24"/>
          <w:szCs w:val="24"/>
          <w:lang w:eastAsia="tr-TR"/>
          <w14:ligatures w14:val="none"/>
        </w:rPr>
        <w:t>Su tüketimini ve üretilen atıksu miktarını azaltmak için, MET 10’da verilen (a) ve (b) tekniklerinin her ikisini de, MET 10’da verilen (c) ila (k) tekniklerinin ve aşağıda verilen tekniklerin uygun bir kombinasyonuyla birlikte kullanılır.</w:t>
      </w:r>
    </w:p>
    <w:tbl>
      <w:tblPr>
        <w:tblStyle w:val="TabloKlavuzu9"/>
        <w:tblW w:w="0" w:type="auto"/>
        <w:tblLook w:val="04A0" w:firstRow="1" w:lastRow="0" w:firstColumn="1" w:lastColumn="0" w:noHBand="0" w:noVBand="1"/>
      </w:tblPr>
      <w:tblGrid>
        <w:gridCol w:w="450"/>
        <w:gridCol w:w="2421"/>
        <w:gridCol w:w="3442"/>
        <w:gridCol w:w="2749"/>
      </w:tblGrid>
      <w:tr w:rsidR="003B155E" w:rsidRPr="00567E52" w14:paraId="4AAB8F34" w14:textId="77777777" w:rsidTr="000D79D6">
        <w:tc>
          <w:tcPr>
            <w:tcW w:w="0" w:type="auto"/>
            <w:gridSpan w:val="2"/>
            <w:vAlign w:val="center"/>
          </w:tcPr>
          <w:p w14:paraId="2F42F26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Teknik</w:t>
            </w:r>
          </w:p>
        </w:tc>
        <w:tc>
          <w:tcPr>
            <w:tcW w:w="0" w:type="auto"/>
            <w:vAlign w:val="center"/>
          </w:tcPr>
          <w:p w14:paraId="365B58E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Tanım</w:t>
            </w:r>
          </w:p>
        </w:tc>
        <w:tc>
          <w:tcPr>
            <w:tcW w:w="0" w:type="auto"/>
            <w:vAlign w:val="center"/>
          </w:tcPr>
          <w:p w14:paraId="696E61D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Uygulanabilirlik</w:t>
            </w:r>
          </w:p>
        </w:tc>
      </w:tr>
      <w:tr w:rsidR="003B155E" w:rsidRPr="00567E52" w14:paraId="6D22D555" w14:textId="77777777" w:rsidTr="000D79D6">
        <w:tc>
          <w:tcPr>
            <w:tcW w:w="0" w:type="auto"/>
            <w:vAlign w:val="center"/>
          </w:tcPr>
          <w:p w14:paraId="32A19688"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(a)</w:t>
            </w:r>
          </w:p>
        </w:tc>
        <w:tc>
          <w:tcPr>
            <w:tcW w:w="0" w:type="auto"/>
            <w:vAlign w:val="center"/>
          </w:tcPr>
          <w:p w14:paraId="7C18B4AC"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Büyükbaş/domuz midelerinin kuru boşaltımı</w:t>
            </w:r>
          </w:p>
        </w:tc>
        <w:tc>
          <w:tcPr>
            <w:tcW w:w="0" w:type="auto"/>
            <w:vAlign w:val="center"/>
          </w:tcPr>
          <w:p w14:paraId="5AD81F72" w14:textId="77777777" w:rsidR="003B155E" w:rsidRPr="00567E52" w:rsidRDefault="003B155E" w:rsidP="000D79D6">
            <w:pPr>
              <w:pBdr>
                <w:top w:val="nil"/>
                <w:left w:val="nil"/>
                <w:bottom w:val="nil"/>
                <w:right w:val="nil"/>
                <w:between w:val="nil"/>
              </w:pBdr>
              <w:rPr>
                <w:rFonts w:ascii="Times New Roman" w:hAnsi="Times New Roman" w:cs="Times New Roman"/>
                <w:color w:val="000000"/>
              </w:rPr>
            </w:pPr>
            <w:r w:rsidRPr="00567E52">
              <w:rPr>
                <w:rFonts w:ascii="Times New Roman" w:hAnsi="Times New Roman" w:cs="Times New Roman"/>
                <w:color w:val="000000"/>
              </w:rPr>
              <w:t>Büyükbaş/domuz mideleri su kullanılmadan makinelerle boşaltılır.</w:t>
            </w:r>
          </w:p>
        </w:tc>
        <w:tc>
          <w:tcPr>
            <w:tcW w:w="0" w:type="auto"/>
            <w:vMerge w:val="restart"/>
            <w:vAlign w:val="center"/>
          </w:tcPr>
          <w:p w14:paraId="303B4716"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Genel olarak uygulanabilir.</w:t>
            </w:r>
          </w:p>
        </w:tc>
      </w:tr>
      <w:tr w:rsidR="003B155E" w:rsidRPr="00567E52" w14:paraId="7C50259F" w14:textId="77777777" w:rsidTr="000D79D6">
        <w:tc>
          <w:tcPr>
            <w:tcW w:w="0" w:type="auto"/>
            <w:vAlign w:val="center"/>
          </w:tcPr>
          <w:p w14:paraId="6C5EFC83"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(b)</w:t>
            </w:r>
          </w:p>
        </w:tc>
        <w:tc>
          <w:tcPr>
            <w:tcW w:w="0" w:type="auto"/>
            <w:vAlign w:val="center"/>
          </w:tcPr>
          <w:p w14:paraId="130A1751"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Domuzların ince bağırsaklarının içeriğinin kuru olarak toplanması</w:t>
            </w:r>
          </w:p>
        </w:tc>
        <w:tc>
          <w:tcPr>
            <w:tcW w:w="0" w:type="auto"/>
            <w:vAlign w:val="center"/>
          </w:tcPr>
          <w:p w14:paraId="052D3D4B"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Domuzların ince bağırsakları bir çift silindir arasından çekilerek boşaltılır. İçerikleri bir tepside toplanır ve bir kaba pompalanır.</w:t>
            </w:r>
          </w:p>
        </w:tc>
        <w:tc>
          <w:tcPr>
            <w:tcW w:w="0" w:type="auto"/>
            <w:vMerge/>
            <w:vAlign w:val="center"/>
          </w:tcPr>
          <w:p w14:paraId="339528EF" w14:textId="77777777" w:rsidR="003B155E" w:rsidRPr="00567E52" w:rsidRDefault="003B155E" w:rsidP="000D79D6">
            <w:pPr>
              <w:widowControl w:val="0"/>
              <w:shd w:val="clear" w:color="auto" w:fill="FFFFFF"/>
              <w:rPr>
                <w:rFonts w:ascii="Times New Roman" w:hAnsi="Times New Roman" w:cs="Times New Roman"/>
              </w:rPr>
            </w:pPr>
          </w:p>
        </w:tc>
      </w:tr>
      <w:tr w:rsidR="003B155E" w:rsidRPr="00567E52" w14:paraId="3CDA3AAB" w14:textId="77777777" w:rsidTr="000D79D6">
        <w:tc>
          <w:tcPr>
            <w:tcW w:w="0" w:type="auto"/>
            <w:vAlign w:val="center"/>
          </w:tcPr>
          <w:p w14:paraId="29C04BEF"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(c)</w:t>
            </w:r>
          </w:p>
        </w:tc>
        <w:tc>
          <w:tcPr>
            <w:tcW w:w="0" w:type="auto"/>
            <w:vAlign w:val="center"/>
          </w:tcPr>
          <w:p w14:paraId="512DDD60"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color w:val="000000"/>
              </w:rPr>
              <w:t>Verimli haşlama teknikleri</w:t>
            </w:r>
          </w:p>
        </w:tc>
        <w:tc>
          <w:tcPr>
            <w:tcW w:w="0" w:type="auto"/>
            <w:vAlign w:val="center"/>
          </w:tcPr>
          <w:p w14:paraId="679285A3" w14:textId="77777777" w:rsidR="003B155E" w:rsidRPr="00567E52" w:rsidRDefault="003B155E" w:rsidP="000D79D6">
            <w:pPr>
              <w:pBdr>
                <w:top w:val="nil"/>
                <w:left w:val="nil"/>
                <w:bottom w:val="nil"/>
                <w:right w:val="nil"/>
                <w:between w:val="nil"/>
              </w:pBdr>
              <w:ind w:left="28"/>
              <w:rPr>
                <w:rFonts w:ascii="Times New Roman" w:hAnsi="Times New Roman" w:cs="Times New Roman"/>
                <w:color w:val="000000"/>
              </w:rPr>
            </w:pPr>
            <w:r w:rsidRPr="00567E52">
              <w:rPr>
                <w:rFonts w:ascii="Times New Roman" w:hAnsi="Times New Roman" w:cs="Times New Roman"/>
                <w:color w:val="000000"/>
              </w:rPr>
              <w:t>Bkz. MET 21 (b).</w:t>
            </w:r>
          </w:p>
        </w:tc>
        <w:tc>
          <w:tcPr>
            <w:tcW w:w="0" w:type="auto"/>
            <w:vAlign w:val="center"/>
          </w:tcPr>
          <w:p w14:paraId="7B1DAF47" w14:textId="77777777" w:rsidR="003B155E" w:rsidRPr="00567E52" w:rsidRDefault="003B155E" w:rsidP="000D79D6">
            <w:pPr>
              <w:widowControl w:val="0"/>
              <w:tabs>
                <w:tab w:val="left" w:pos="562"/>
              </w:tabs>
              <w:rPr>
                <w:rFonts w:ascii="Times New Roman" w:hAnsi="Times New Roman" w:cs="Times New Roman"/>
              </w:rPr>
            </w:pPr>
            <w:r w:rsidRPr="00567E52">
              <w:rPr>
                <w:rFonts w:ascii="Times New Roman" w:hAnsi="Times New Roman" w:cs="Times New Roman"/>
              </w:rPr>
              <w:t>Mevcut tesislere uygulanabilirlik, tesis yerleşimi/alan yetersizliği nedeniyle kısıtlanabilir.</w:t>
            </w:r>
          </w:p>
        </w:tc>
      </w:tr>
    </w:tbl>
    <w:p w14:paraId="1B097FF9"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567F42BB"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Tablo 1.6</w:t>
      </w:r>
    </w:p>
    <w:p w14:paraId="6B2FE084"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Belirli atıksu deşarjı için MET ile ilişkili çevresel performans seviyeleri (MET-İÇPS)</w:t>
      </w:r>
    </w:p>
    <w:tbl>
      <w:tblPr>
        <w:tblW w:w="0" w:type="auto"/>
        <w:tblBorders>
          <w:top w:val="nil"/>
          <w:left w:val="nil"/>
          <w:bottom w:val="nil"/>
          <w:right w:val="nil"/>
          <w:insideH w:val="nil"/>
          <w:insideV w:val="nil"/>
        </w:tblBorders>
        <w:tblLook w:val="0600" w:firstRow="0" w:lastRow="0" w:firstColumn="0" w:lastColumn="0" w:noHBand="1" w:noVBand="1"/>
      </w:tblPr>
      <w:tblGrid>
        <w:gridCol w:w="2588"/>
        <w:gridCol w:w="2018"/>
        <w:gridCol w:w="4446"/>
      </w:tblGrid>
      <w:tr w:rsidR="003B155E" w:rsidRPr="00567E52" w14:paraId="634F7AB4" w14:textId="77777777" w:rsidTr="000D79D6">
        <w:trPr>
          <w:trHeight w:val="240"/>
        </w:trPr>
        <w:tc>
          <w:tcPr>
            <w:tcW w:w="0" w:type="auto"/>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vAlign w:val="center"/>
          </w:tcPr>
          <w:p w14:paraId="26C506F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Mezbaha hayvanları</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6FA8F17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 (</w:t>
            </w:r>
            <w:r w:rsidRPr="00567E52">
              <w:rPr>
                <w:rFonts w:ascii="Times New Roman" w:eastAsia="Times New Roman" w:hAnsi="Times New Roman" w:cs="Courier New"/>
                <w:color w:val="000000"/>
                <w:kern w:val="0"/>
                <w:vertAlign w:val="superscript"/>
                <w:lang w:eastAsia="tr-TR"/>
                <w14:ligatures w14:val="none"/>
              </w:rPr>
              <w:t>1</w:t>
            </w:r>
            <w:r w:rsidRPr="00567E52">
              <w:rPr>
                <w:rFonts w:ascii="Times New Roman" w:eastAsia="Times New Roman" w:hAnsi="Times New Roman" w:cs="Courier New"/>
                <w:color w:val="000000"/>
                <w:kern w:val="0"/>
                <w:lang w:eastAsia="tr-TR"/>
                <w14:ligatures w14:val="none"/>
              </w:rPr>
              <w:t>)</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3F455EB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Spesifik atıksu deşarjı (yıllık ortalama) (</w:t>
            </w:r>
            <w:r w:rsidRPr="00567E52">
              <w:rPr>
                <w:rFonts w:ascii="Times New Roman" w:eastAsia="Times New Roman" w:hAnsi="Times New Roman" w:cs="Courier New"/>
                <w:color w:val="000000"/>
                <w:kern w:val="0"/>
                <w:vertAlign w:val="superscript"/>
                <w:lang w:eastAsia="tr-TR"/>
                <w14:ligatures w14:val="none"/>
              </w:rPr>
              <w:t>2</w:t>
            </w:r>
            <w:r w:rsidRPr="00567E52">
              <w:rPr>
                <w:rFonts w:ascii="Times New Roman" w:eastAsia="Times New Roman" w:hAnsi="Times New Roman" w:cs="Courier New"/>
                <w:color w:val="000000"/>
                <w:kern w:val="0"/>
                <w:lang w:eastAsia="tr-TR"/>
                <w14:ligatures w14:val="none"/>
              </w:rPr>
              <w:t>)</w:t>
            </w:r>
          </w:p>
        </w:tc>
      </w:tr>
      <w:tr w:rsidR="003B155E" w:rsidRPr="00567E52" w14:paraId="04A5225D" w14:textId="77777777" w:rsidTr="000D79D6">
        <w:trPr>
          <w:trHeight w:val="211"/>
        </w:trPr>
        <w:tc>
          <w:tcPr>
            <w:tcW w:w="0" w:type="auto"/>
            <w:vMerge w:val="restart"/>
            <w:tcBorders>
              <w:top w:val="nil"/>
              <w:left w:val="single" w:sz="8" w:space="0" w:color="000000"/>
              <w:right w:val="single" w:sz="8" w:space="0" w:color="000000"/>
            </w:tcBorders>
            <w:tcMar>
              <w:top w:w="0" w:type="dxa"/>
              <w:left w:w="100" w:type="dxa"/>
              <w:bottom w:w="0" w:type="dxa"/>
              <w:right w:w="100" w:type="dxa"/>
            </w:tcMar>
            <w:vAlign w:val="center"/>
          </w:tcPr>
          <w:p w14:paraId="7B233EA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Büyükbaş hayvan</w:t>
            </w:r>
          </w:p>
        </w:tc>
        <w:tc>
          <w:tcPr>
            <w:tcW w:w="0" w:type="auto"/>
            <w:tcBorders>
              <w:top w:val="nil"/>
              <w:left w:val="nil"/>
              <w:bottom w:val="single" w:sz="4" w:space="0" w:color="auto"/>
              <w:right w:val="single" w:sz="8" w:space="0" w:color="000000"/>
            </w:tcBorders>
            <w:tcMar>
              <w:top w:w="0" w:type="dxa"/>
              <w:left w:w="100" w:type="dxa"/>
              <w:bottom w:w="0" w:type="dxa"/>
              <w:right w:w="100" w:type="dxa"/>
            </w:tcMar>
            <w:vAlign w:val="center"/>
          </w:tcPr>
          <w:p w14:paraId="12268E44"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/ton karkas</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6C2C9035"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1,85-3,90 (</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w:t>
            </w:r>
          </w:p>
        </w:tc>
      </w:tr>
      <w:tr w:rsidR="003B155E" w:rsidRPr="00567E52" w14:paraId="0AF7B016" w14:textId="77777777" w:rsidTr="000D79D6">
        <w:trPr>
          <w:trHeight w:val="39"/>
        </w:trPr>
        <w:tc>
          <w:tcPr>
            <w:tcW w:w="0" w:type="auto"/>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4E240CD8"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80DAA1C"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/hayvan</w:t>
            </w: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1F43E6BD"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567E52">
              <w:rPr>
                <w:rFonts w:ascii="Times New Roman" w:eastAsia="Times New Roman" w:hAnsi="Times New Roman" w:cs="Courier New"/>
                <w:color w:val="000000"/>
                <w:kern w:val="0"/>
                <w:lang w:eastAsia="tr-TR"/>
                <w14:ligatures w14:val="none"/>
              </w:rPr>
              <w:t>0,30-1,30 (</w:t>
            </w:r>
            <w:r w:rsidRPr="00567E52">
              <w:rPr>
                <w:rFonts w:ascii="Times New Roman" w:eastAsia="Times New Roman" w:hAnsi="Times New Roman" w:cs="Courier New"/>
                <w:color w:val="000000"/>
                <w:kern w:val="0"/>
                <w:vertAlign w:val="superscript"/>
                <w:lang w:eastAsia="tr-TR"/>
                <w14:ligatures w14:val="none"/>
              </w:rPr>
              <w:t>4</w:t>
            </w:r>
            <w:r w:rsidRPr="00567E52">
              <w:rPr>
                <w:rFonts w:ascii="Times New Roman" w:eastAsia="Times New Roman" w:hAnsi="Times New Roman" w:cs="Courier New"/>
                <w:color w:val="000000"/>
                <w:kern w:val="0"/>
                <w:lang w:eastAsia="tr-TR"/>
                <w14:ligatures w14:val="none"/>
              </w:rPr>
              <w:t>)</w:t>
            </w:r>
          </w:p>
        </w:tc>
      </w:tr>
      <w:tr w:rsidR="003B155E" w:rsidRPr="00567E52" w14:paraId="374820E9" w14:textId="77777777" w:rsidTr="000D79D6">
        <w:trPr>
          <w:trHeight w:val="196"/>
        </w:trPr>
        <w:tc>
          <w:tcPr>
            <w:tcW w:w="0" w:type="auto"/>
            <w:vMerge w:val="restart"/>
            <w:tcBorders>
              <w:top w:val="nil"/>
              <w:left w:val="single" w:sz="8" w:space="0" w:color="000000"/>
              <w:right w:val="single" w:sz="8" w:space="0" w:color="000000"/>
            </w:tcBorders>
            <w:shd w:val="clear" w:color="auto" w:fill="auto"/>
            <w:tcMar>
              <w:top w:w="0" w:type="dxa"/>
              <w:left w:w="100" w:type="dxa"/>
              <w:bottom w:w="0" w:type="dxa"/>
              <w:right w:w="100" w:type="dxa"/>
            </w:tcMar>
            <w:vAlign w:val="center"/>
          </w:tcPr>
          <w:p w14:paraId="5B2B042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Domuz</w:t>
            </w: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C4AFC9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/ton karkas</w:t>
            </w: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3C853E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0,70-3,50</w:t>
            </w:r>
          </w:p>
        </w:tc>
      </w:tr>
      <w:tr w:rsidR="003B155E" w:rsidRPr="00567E52" w14:paraId="75424906" w14:textId="77777777" w:rsidTr="000D79D6">
        <w:trPr>
          <w:trHeight w:val="196"/>
        </w:trPr>
        <w:tc>
          <w:tcPr>
            <w:tcW w:w="0" w:type="auto"/>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65234982"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5C7E94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/hayvan</w:t>
            </w: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314D1598"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0,07-0,30</w:t>
            </w:r>
          </w:p>
        </w:tc>
      </w:tr>
      <w:tr w:rsidR="003B155E" w:rsidRPr="00567E52" w14:paraId="0C14ED4E" w14:textId="77777777" w:rsidTr="000D79D6">
        <w:trPr>
          <w:trHeight w:val="301"/>
        </w:trPr>
        <w:tc>
          <w:tcPr>
            <w:tcW w:w="0" w:type="auto"/>
            <w:vMerge w:val="restart"/>
            <w:tcBorders>
              <w:top w:val="nil"/>
              <w:left w:val="single" w:sz="8" w:space="0" w:color="000000"/>
              <w:right w:val="single" w:sz="8" w:space="0" w:color="000000"/>
            </w:tcBorders>
            <w:shd w:val="clear" w:color="auto" w:fill="auto"/>
            <w:tcMar>
              <w:top w:w="0" w:type="dxa"/>
              <w:left w:w="100" w:type="dxa"/>
              <w:bottom w:w="0" w:type="dxa"/>
              <w:right w:w="100" w:type="dxa"/>
            </w:tcMar>
            <w:vAlign w:val="center"/>
          </w:tcPr>
          <w:p w14:paraId="0AF85F1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Tavuk</w:t>
            </w: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7564F58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/ton karkas</w:t>
            </w:r>
          </w:p>
        </w:tc>
        <w:tc>
          <w:tcPr>
            <w:tcW w:w="0" w:type="auto"/>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3D2D409F"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1,45-6,30</w:t>
            </w:r>
          </w:p>
        </w:tc>
      </w:tr>
      <w:tr w:rsidR="003B155E" w:rsidRPr="00567E52" w14:paraId="3EBFE1F3" w14:textId="77777777" w:rsidTr="000D79D6">
        <w:trPr>
          <w:trHeight w:val="301"/>
        </w:trPr>
        <w:tc>
          <w:tcPr>
            <w:tcW w:w="0" w:type="auto"/>
            <w:vMerge/>
            <w:tcBorders>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19E07F2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47A253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/hayvan</w:t>
            </w:r>
          </w:p>
        </w:tc>
        <w:tc>
          <w:tcPr>
            <w:tcW w:w="0" w:type="auto"/>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6CF2EEC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0,002-,013</w:t>
            </w:r>
          </w:p>
        </w:tc>
      </w:tr>
      <w:tr w:rsidR="003B155E" w:rsidRPr="00567E52" w14:paraId="2BB96E57" w14:textId="77777777" w:rsidTr="000D79D6">
        <w:trPr>
          <w:trHeight w:val="301"/>
        </w:trPr>
        <w:tc>
          <w:tcPr>
            <w:tcW w:w="0" w:type="auto"/>
            <w:gridSpan w:val="3"/>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624BF90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w:t>
            </w:r>
            <w:r w:rsidRPr="00567E52">
              <w:rPr>
                <w:rFonts w:ascii="Times New Roman" w:eastAsia="Times New Roman" w:hAnsi="Times New Roman" w:cs="Courier New"/>
                <w:color w:val="000000"/>
                <w:kern w:val="0"/>
                <w:sz w:val="20"/>
                <w:szCs w:val="20"/>
                <w:lang w:eastAsia="tr-TR"/>
                <w14:ligatures w14:val="none"/>
              </w:rPr>
              <w:t>) Ya m</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/ton karkas cinsinden ifade edilen MET-İÇPS ya da m</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/hayvan cinsinden ifade edilen MET-İÇPS uygulanır.</w:t>
            </w:r>
          </w:p>
          <w:p w14:paraId="179D3B8A"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2</w:t>
            </w:r>
            <w:r w:rsidRPr="00567E52">
              <w:rPr>
                <w:rFonts w:ascii="Times New Roman" w:eastAsia="Times New Roman" w:hAnsi="Times New Roman" w:cs="Courier New"/>
                <w:color w:val="000000"/>
                <w:kern w:val="0"/>
                <w:sz w:val="20"/>
                <w:szCs w:val="20"/>
                <w:lang w:eastAsia="tr-TR"/>
                <w14:ligatures w14:val="none"/>
              </w:rPr>
              <w:t>) MET-İÇPS söz konusu hayvanların yalnızca kesimi ifade eder.</w:t>
            </w:r>
          </w:p>
          <w:p w14:paraId="0601E73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 Spesifik atıksu deşarjının FDM faaliyetleri tarafından kullanılan suyu içermesi durumunda MET-İÇPS aralığının üst sınırı daha yüksek olabilir ve 5,25 m</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/ton karkas miktarına kadar çıkabilir.</w:t>
            </w:r>
          </w:p>
          <w:p w14:paraId="1210DB4A"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4</w:t>
            </w:r>
            <w:r w:rsidRPr="00567E52">
              <w:rPr>
                <w:rFonts w:ascii="Times New Roman" w:eastAsia="Times New Roman" w:hAnsi="Times New Roman" w:cs="Courier New"/>
                <w:color w:val="000000"/>
                <w:kern w:val="0"/>
                <w:sz w:val="20"/>
                <w:szCs w:val="20"/>
                <w:lang w:eastAsia="tr-TR"/>
                <w14:ligatures w14:val="none"/>
              </w:rPr>
              <w:t>) Belirli atıksu deşarjının FDM faaliyetlerinde kullanılan suyu içermesi durumunda MET-İÇPS aralığının üst sınırı daha yüksek ve 2,45 m</w:t>
            </w:r>
            <w:r w:rsidRPr="00567E52">
              <w:rPr>
                <w:rFonts w:ascii="Times New Roman" w:eastAsia="Times New Roman" w:hAnsi="Times New Roman" w:cs="Courier New"/>
                <w:color w:val="000000"/>
                <w:kern w:val="0"/>
                <w:sz w:val="20"/>
                <w:szCs w:val="20"/>
                <w:vertAlign w:val="superscript"/>
                <w:lang w:eastAsia="tr-TR"/>
                <w14:ligatures w14:val="none"/>
              </w:rPr>
              <w:t>3</w:t>
            </w:r>
            <w:r w:rsidRPr="00567E52">
              <w:rPr>
                <w:rFonts w:ascii="Times New Roman" w:eastAsia="Times New Roman" w:hAnsi="Times New Roman" w:cs="Courier New"/>
                <w:color w:val="000000"/>
                <w:kern w:val="0"/>
                <w:sz w:val="20"/>
                <w:szCs w:val="20"/>
                <w:lang w:eastAsia="tr-TR"/>
                <w14:ligatures w14:val="none"/>
              </w:rPr>
              <w:t>/hayvana kadar çıkabilmektedir.</w:t>
            </w:r>
          </w:p>
        </w:tc>
      </w:tr>
    </w:tbl>
    <w:p w14:paraId="15FC737F"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6’da verilmiştir.</w:t>
      </w:r>
    </w:p>
    <w:p w14:paraId="10E7932D"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1F05D621"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1.2.3. Soğutucuların Kullanımı</w:t>
      </w:r>
    </w:p>
    <w:p w14:paraId="3DF46CFB"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kern w:val="0"/>
          <w:sz w:val="24"/>
          <w:szCs w:val="24"/>
          <w:lang w:eastAsia="tr-TR"/>
          <w14:ligatures w14:val="none"/>
        </w:rPr>
        <w:t xml:space="preserve">MET 23: </w:t>
      </w:r>
      <w:r w:rsidRPr="00567E52">
        <w:rPr>
          <w:rFonts w:ascii="Times New Roman" w:eastAsia="Times New Roman" w:hAnsi="Times New Roman" w:cs="Times New Roman"/>
          <w:kern w:val="0"/>
          <w:sz w:val="24"/>
          <w:szCs w:val="24"/>
          <w:lang w:eastAsia="tr-TR"/>
          <w14:ligatures w14:val="none"/>
        </w:rPr>
        <w:t>Soğutucu akışkan kayıplarını önlemek veya bu mümkün olmadığında azaltmak için, (a) tekniğini ve aşağıda verilen (b) ve (c) tekniklerinden biri veya her ikisi kullanılır.</w:t>
      </w:r>
    </w:p>
    <w:tbl>
      <w:tblPr>
        <w:tblStyle w:val="TabloKlavuzu9"/>
        <w:tblW w:w="0" w:type="auto"/>
        <w:tblLook w:val="04A0" w:firstRow="1" w:lastRow="0" w:firstColumn="1" w:lastColumn="0" w:noHBand="0" w:noVBand="1"/>
      </w:tblPr>
      <w:tblGrid>
        <w:gridCol w:w="456"/>
        <w:gridCol w:w="2692"/>
        <w:gridCol w:w="5914"/>
      </w:tblGrid>
      <w:tr w:rsidR="003B155E" w:rsidRPr="00567E52" w14:paraId="25093BB7" w14:textId="77777777" w:rsidTr="000D79D6">
        <w:tc>
          <w:tcPr>
            <w:tcW w:w="0" w:type="auto"/>
            <w:tcBorders>
              <w:right w:val="nil"/>
            </w:tcBorders>
          </w:tcPr>
          <w:p w14:paraId="6505AD7A" w14:textId="77777777" w:rsidR="003B155E" w:rsidRPr="00567E52" w:rsidRDefault="003B155E" w:rsidP="000D79D6">
            <w:pPr>
              <w:jc w:val="both"/>
              <w:rPr>
                <w:rFonts w:ascii="Times New Roman" w:hAnsi="Times New Roman" w:cs="Times New Roman"/>
                <w:color w:val="000000"/>
                <w:spacing w:val="2"/>
              </w:rPr>
            </w:pPr>
          </w:p>
        </w:tc>
        <w:tc>
          <w:tcPr>
            <w:tcW w:w="0" w:type="auto"/>
            <w:tcBorders>
              <w:left w:val="nil"/>
            </w:tcBorders>
          </w:tcPr>
          <w:p w14:paraId="25DD086C"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eknik</w:t>
            </w:r>
          </w:p>
        </w:tc>
        <w:tc>
          <w:tcPr>
            <w:tcW w:w="0" w:type="auto"/>
          </w:tcPr>
          <w:p w14:paraId="2B98EEAD"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anım</w:t>
            </w:r>
          </w:p>
        </w:tc>
      </w:tr>
      <w:tr w:rsidR="003B155E" w:rsidRPr="00567E52" w14:paraId="2C1EBA97" w14:textId="77777777" w:rsidTr="000D79D6">
        <w:tc>
          <w:tcPr>
            <w:tcW w:w="0" w:type="auto"/>
          </w:tcPr>
          <w:p w14:paraId="6E449F4A"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a)</w:t>
            </w:r>
          </w:p>
        </w:tc>
        <w:tc>
          <w:tcPr>
            <w:tcW w:w="0" w:type="auto"/>
          </w:tcPr>
          <w:p w14:paraId="599FC27B"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spacing w:val="2"/>
              </w:rPr>
              <w:t>Soğutma yönetim planı</w:t>
            </w:r>
          </w:p>
        </w:tc>
        <w:tc>
          <w:tcPr>
            <w:tcW w:w="0" w:type="auto"/>
          </w:tcPr>
          <w:p w14:paraId="60F4D866"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Bkz. Bölüm 1.4.3.</w:t>
            </w:r>
          </w:p>
        </w:tc>
      </w:tr>
      <w:tr w:rsidR="003B155E" w:rsidRPr="00567E52" w14:paraId="3086C3BE" w14:textId="77777777" w:rsidTr="000D79D6">
        <w:tc>
          <w:tcPr>
            <w:tcW w:w="0" w:type="auto"/>
          </w:tcPr>
          <w:p w14:paraId="31E8FE29"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b)</w:t>
            </w:r>
          </w:p>
        </w:tc>
        <w:tc>
          <w:tcPr>
            <w:tcW w:w="0" w:type="auto"/>
          </w:tcPr>
          <w:p w14:paraId="526B336D"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Önleyici ve düzeltici bakım</w:t>
            </w:r>
          </w:p>
        </w:tc>
        <w:tc>
          <w:tcPr>
            <w:tcW w:w="0" w:type="auto"/>
          </w:tcPr>
          <w:p w14:paraId="75A0AFD7" w14:textId="77777777" w:rsidR="003B155E" w:rsidRPr="00567E52" w:rsidRDefault="003B155E" w:rsidP="000D79D6">
            <w:pPr>
              <w:ind w:left="33"/>
              <w:jc w:val="both"/>
              <w:rPr>
                <w:rFonts w:ascii="Times New Roman" w:hAnsi="Times New Roman" w:cs="Times New Roman"/>
                <w:spacing w:val="2"/>
              </w:rPr>
            </w:pPr>
            <w:r w:rsidRPr="00567E52">
              <w:rPr>
                <w:rFonts w:ascii="Times New Roman" w:hAnsi="Times New Roman" w:cs="Times New Roman"/>
                <w:spacing w:val="2"/>
              </w:rPr>
              <w:t>Soğutma ekipmanlarının doğru çalışması düzenli olarak gözden geçirilir ve herhangi bir sapma/arıza varsa zamanında düzeltilir/giderilir.</w:t>
            </w:r>
          </w:p>
        </w:tc>
      </w:tr>
      <w:tr w:rsidR="003B155E" w:rsidRPr="00567E52" w14:paraId="5CB0BB54" w14:textId="77777777" w:rsidTr="000D79D6">
        <w:tc>
          <w:tcPr>
            <w:tcW w:w="0" w:type="auto"/>
          </w:tcPr>
          <w:p w14:paraId="3D101495"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(c)</w:t>
            </w:r>
          </w:p>
        </w:tc>
        <w:tc>
          <w:tcPr>
            <w:tcW w:w="0" w:type="auto"/>
          </w:tcPr>
          <w:p w14:paraId="2CF279B0"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Soğutucu akışkan kaçak dedektörlerinin kullanımı</w:t>
            </w:r>
          </w:p>
        </w:tc>
        <w:tc>
          <w:tcPr>
            <w:tcW w:w="0" w:type="auto"/>
          </w:tcPr>
          <w:p w14:paraId="6D331B71" w14:textId="77777777" w:rsidR="003B155E" w:rsidRPr="00567E52" w:rsidRDefault="003B155E" w:rsidP="000D79D6">
            <w:pPr>
              <w:ind w:left="33"/>
              <w:jc w:val="both"/>
              <w:rPr>
                <w:rFonts w:ascii="Times New Roman" w:hAnsi="Times New Roman" w:cs="Times New Roman"/>
                <w:spacing w:val="2"/>
              </w:rPr>
            </w:pPr>
            <w:r w:rsidRPr="00567E52">
              <w:rPr>
                <w:rFonts w:ascii="Times New Roman" w:hAnsi="Times New Roman" w:cs="Times New Roman"/>
                <w:spacing w:val="2"/>
              </w:rPr>
              <w:t>Soğutucu akışkan kaçaklarını anında tespit edebilmek için merkezi alarm sistemi kullanılır.</w:t>
            </w:r>
          </w:p>
        </w:tc>
      </w:tr>
    </w:tbl>
    <w:p w14:paraId="030F7A55"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764CFC15" w14:textId="77777777" w:rsidR="0094059F" w:rsidRDefault="0094059F"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03D4C92D" w14:textId="4526A321"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Tablo 1.7</w:t>
      </w:r>
    </w:p>
    <w:p w14:paraId="153682F8"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Soğutucu akışkan kayıpları için gösterge emisyon seviyesi</w:t>
      </w:r>
    </w:p>
    <w:tbl>
      <w:tblPr>
        <w:tblW w:w="0" w:type="auto"/>
        <w:tblBorders>
          <w:top w:val="nil"/>
          <w:left w:val="nil"/>
          <w:bottom w:val="nil"/>
          <w:right w:val="nil"/>
          <w:insideH w:val="nil"/>
          <w:insideV w:val="nil"/>
        </w:tblBorders>
        <w:tblLook w:val="0600" w:firstRow="0" w:lastRow="0" w:firstColumn="0" w:lastColumn="0" w:noHBand="1" w:noVBand="1"/>
      </w:tblPr>
      <w:tblGrid>
        <w:gridCol w:w="1814"/>
        <w:gridCol w:w="3999"/>
        <w:gridCol w:w="3239"/>
      </w:tblGrid>
      <w:tr w:rsidR="003B155E" w:rsidRPr="00567E52" w14:paraId="4B276122" w14:textId="77777777" w:rsidTr="000D79D6">
        <w:trPr>
          <w:trHeight w:val="240"/>
        </w:trPr>
        <w:tc>
          <w:tcPr>
            <w:tcW w:w="0" w:type="auto"/>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vAlign w:val="center"/>
          </w:tcPr>
          <w:p w14:paraId="674B105D"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Soğutucu akışkan türü</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45BFBE2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67EEB1C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Gösterge emisyon seviyesi (3 yıllık hareketli ortalama)</w:t>
            </w:r>
          </w:p>
        </w:tc>
      </w:tr>
      <w:tr w:rsidR="003B155E" w:rsidRPr="00567E52" w14:paraId="7EB2159E" w14:textId="77777777" w:rsidTr="000D79D6">
        <w:trPr>
          <w:trHeight w:val="211"/>
        </w:trPr>
        <w:tc>
          <w:tcPr>
            <w:tcW w:w="0" w:type="auto"/>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40C62B85"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Herhangi bir tip soğutucu</w:t>
            </w:r>
          </w:p>
        </w:tc>
        <w:tc>
          <w:tcPr>
            <w:tcW w:w="0" w:type="auto"/>
            <w:tcBorders>
              <w:top w:val="nil"/>
              <w:left w:val="nil"/>
              <w:bottom w:val="single" w:sz="4" w:space="0" w:color="auto"/>
              <w:right w:val="single" w:sz="8" w:space="0" w:color="000000"/>
            </w:tcBorders>
            <w:tcMar>
              <w:top w:w="0" w:type="dxa"/>
              <w:left w:w="100" w:type="dxa"/>
              <w:bottom w:w="0" w:type="dxa"/>
              <w:right w:w="100" w:type="dxa"/>
            </w:tcMar>
            <w:vAlign w:val="center"/>
          </w:tcPr>
          <w:p w14:paraId="0D8062D0"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Soğutma sisteminde bulunan toplam soğutucu miktarının yüzdesi (%)</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115B82B5"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&lt;1-5</w:t>
            </w:r>
          </w:p>
        </w:tc>
      </w:tr>
    </w:tbl>
    <w:p w14:paraId="10F453A0"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0838D31B"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6’da verilmiştir.</w:t>
      </w:r>
    </w:p>
    <w:p w14:paraId="07076C35"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42CEE5FA" w14:textId="77777777" w:rsidR="003B155E" w:rsidRPr="00567E52"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567E52">
        <w:rPr>
          <w:rFonts w:ascii="Times New Roman" w:eastAsia="Times New Roman" w:hAnsi="Times New Roman" w:cs="Times New Roman"/>
          <w:b/>
          <w:color w:val="000000"/>
          <w:kern w:val="0"/>
          <w:sz w:val="24"/>
          <w:szCs w:val="26"/>
          <w:lang w:eastAsia="tr-TR"/>
          <w14:ligatures w14:val="none"/>
        </w:rPr>
        <w:t>1.3. Hayvansal Yan Ürünler Ve/Veya Yenilebilir Yan Ürünleri İşleyen Tesisler İçin MET Sonuçları</w:t>
      </w:r>
    </w:p>
    <w:p w14:paraId="16596E8E"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Bu bölümdeki MET sonuçları, Bölüm 1.1’de verilen genel MET sonuçlarına ek olarak uygulanır.</w:t>
      </w:r>
    </w:p>
    <w:p w14:paraId="7FF3030A"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28C8A573"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1.3.1. Enerji Verimliliği</w:t>
      </w:r>
    </w:p>
    <w:p w14:paraId="347FE859"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b/>
          <w:bCs/>
          <w:kern w:val="0"/>
          <w:sz w:val="24"/>
          <w:szCs w:val="24"/>
          <w:lang w:eastAsia="tr-TR"/>
          <w14:ligatures w14:val="none"/>
        </w:rPr>
        <w:t xml:space="preserve">MET 24: </w:t>
      </w:r>
      <w:r w:rsidRPr="00567E52">
        <w:rPr>
          <w:rFonts w:ascii="Times New Roman" w:eastAsia="Times New Roman" w:hAnsi="Times New Roman" w:cs="Times New Roman"/>
          <w:kern w:val="0"/>
          <w:sz w:val="24"/>
          <w:szCs w:val="24"/>
          <w:lang w:eastAsia="tr-TR"/>
          <w14:ligatures w14:val="none"/>
        </w:rPr>
        <w:t>Enerji verimliliğini artırmak için, MET 9’da verilen her iki tekniğin de, uygunsa çok etkili buharlaştırıcılarla birlikte kullanılır.</w:t>
      </w:r>
    </w:p>
    <w:p w14:paraId="2A016152"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11FF491B"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i/>
          <w:iCs/>
          <w:color w:val="000000"/>
          <w:spacing w:val="2"/>
          <w:kern w:val="0"/>
          <w:sz w:val="24"/>
          <w:szCs w:val="24"/>
          <w14:ligatures w14:val="none"/>
        </w:rPr>
      </w:pPr>
      <w:r w:rsidRPr="00567E52">
        <w:rPr>
          <w:rFonts w:ascii="Times New Roman" w:eastAsia="Times New Roman" w:hAnsi="Times New Roman" w:cs="Times New Roman"/>
          <w:i/>
          <w:iCs/>
          <w:color w:val="000000"/>
          <w:spacing w:val="2"/>
          <w:kern w:val="0"/>
          <w:sz w:val="24"/>
          <w:szCs w:val="24"/>
          <w14:ligatures w14:val="none"/>
        </w:rPr>
        <w:t>Tanım</w:t>
      </w:r>
    </w:p>
    <w:p w14:paraId="09A43AC6" w14:textId="77777777" w:rsidR="003B155E" w:rsidRPr="00567E52"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567E52">
        <w:rPr>
          <w:rFonts w:ascii="Times New Roman" w:eastAsia="Times New Roman" w:hAnsi="Times New Roman" w:cs="Times New Roman"/>
          <w:color w:val="000000"/>
          <w:spacing w:val="2"/>
          <w:kern w:val="0"/>
          <w:sz w:val="24"/>
          <w:szCs w:val="24"/>
          <w14:ligatures w14:val="none"/>
        </w:rPr>
        <w:t>Çoklu etkili buharlaştırıcılar, örneğin yağ eritme, işleme ve balık unu ve balık yağı üretiminde üretilen sıvı karışımlardan suyu çıkarmak için kullanılır. Buhar, her biri bir öncekinden daha düşük sıcaklık ve basınç gösteren bir dizi ardışık kapta verilir.</w:t>
      </w:r>
    </w:p>
    <w:p w14:paraId="7C6F669D"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58C08713"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Tablo 1.8</w:t>
      </w:r>
    </w:p>
    <w:p w14:paraId="6D0ACF6C"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Hayvansal yan ürünleri ve/veya yenilebilir yan ürünleri işleyen tesislerde özgül net enerji tüketimi için MET ile ilişkili çevresel performans seviyeleri (MET-İÇPS)</w:t>
      </w:r>
    </w:p>
    <w:tbl>
      <w:tblPr>
        <w:tblW w:w="0" w:type="auto"/>
        <w:tblBorders>
          <w:top w:val="nil"/>
          <w:left w:val="nil"/>
          <w:bottom w:val="nil"/>
          <w:right w:val="nil"/>
          <w:insideH w:val="nil"/>
          <w:insideV w:val="nil"/>
        </w:tblBorders>
        <w:tblLook w:val="0600" w:firstRow="0" w:lastRow="0" w:firstColumn="0" w:lastColumn="0" w:noHBand="1" w:noVBand="1"/>
      </w:tblPr>
      <w:tblGrid>
        <w:gridCol w:w="3758"/>
        <w:gridCol w:w="1825"/>
        <w:gridCol w:w="3469"/>
      </w:tblGrid>
      <w:tr w:rsidR="003B155E" w:rsidRPr="00567E52" w14:paraId="580407AE" w14:textId="77777777" w:rsidTr="000D79D6">
        <w:trPr>
          <w:trHeight w:val="240"/>
        </w:trPr>
        <w:tc>
          <w:tcPr>
            <w:tcW w:w="0" w:type="auto"/>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vAlign w:val="center"/>
          </w:tcPr>
          <w:p w14:paraId="52C4552C"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Kurulum/Proses Türleri</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51046B6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31990FE8"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 xml:space="preserve">Spesifik net enerji tüketimi (yıllık ortalama) </w:t>
            </w:r>
          </w:p>
        </w:tc>
      </w:tr>
      <w:tr w:rsidR="003B155E" w:rsidRPr="00567E52" w14:paraId="76BFC183" w14:textId="77777777" w:rsidTr="000D79D6">
        <w:trPr>
          <w:trHeight w:val="211"/>
        </w:trPr>
        <w:tc>
          <w:tcPr>
            <w:tcW w:w="0" w:type="auto"/>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2DA7743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Rendering, yağ eritme, kan ve/veya tüy işleme</w:t>
            </w:r>
          </w:p>
        </w:tc>
        <w:tc>
          <w:tcPr>
            <w:tcW w:w="0" w:type="auto"/>
            <w:vMerge w:val="restart"/>
            <w:tcBorders>
              <w:top w:val="nil"/>
              <w:left w:val="nil"/>
              <w:right w:val="single" w:sz="8" w:space="0" w:color="000000"/>
            </w:tcBorders>
            <w:tcMar>
              <w:top w:w="0" w:type="dxa"/>
              <w:left w:w="100" w:type="dxa"/>
              <w:bottom w:w="0" w:type="dxa"/>
              <w:right w:w="100" w:type="dxa"/>
            </w:tcMar>
            <w:vAlign w:val="center"/>
          </w:tcPr>
          <w:p w14:paraId="0C22C2F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kWh/ton hammadde</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2C9F4FA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120-910</w:t>
            </w:r>
          </w:p>
        </w:tc>
      </w:tr>
      <w:tr w:rsidR="003B155E" w:rsidRPr="00567E52" w14:paraId="6E199664" w14:textId="77777777" w:rsidTr="000D79D6">
        <w:trPr>
          <w:trHeight w:val="39"/>
        </w:trPr>
        <w:tc>
          <w:tcPr>
            <w:tcW w:w="0" w:type="auto"/>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356FA47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Balık unu ve balık yağı üretimi</w:t>
            </w:r>
          </w:p>
        </w:tc>
        <w:tc>
          <w:tcPr>
            <w:tcW w:w="0" w:type="auto"/>
            <w:vMerge/>
            <w:tcBorders>
              <w:left w:val="nil"/>
              <w:right w:val="single" w:sz="8" w:space="0" w:color="000000"/>
            </w:tcBorders>
            <w:shd w:val="clear" w:color="auto" w:fill="auto"/>
            <w:tcMar>
              <w:top w:w="100" w:type="dxa"/>
              <w:left w:w="100" w:type="dxa"/>
              <w:bottom w:w="100" w:type="dxa"/>
              <w:right w:w="100" w:type="dxa"/>
            </w:tcMar>
            <w:vAlign w:val="center"/>
          </w:tcPr>
          <w:p w14:paraId="170650D0"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685709A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567E52">
              <w:rPr>
                <w:rFonts w:ascii="Times New Roman" w:eastAsia="Times New Roman" w:hAnsi="Times New Roman" w:cs="Courier New"/>
                <w:color w:val="000000"/>
                <w:kern w:val="0"/>
                <w:lang w:eastAsia="tr-TR"/>
                <w14:ligatures w14:val="none"/>
              </w:rPr>
              <w:t>420-710</w:t>
            </w:r>
          </w:p>
        </w:tc>
      </w:tr>
      <w:tr w:rsidR="003B155E" w:rsidRPr="00567E52" w14:paraId="35FD610D" w14:textId="77777777" w:rsidTr="000D79D6">
        <w:trPr>
          <w:trHeight w:val="196"/>
        </w:trPr>
        <w:tc>
          <w:tcPr>
            <w:tcW w:w="0" w:type="auto"/>
            <w:tcBorders>
              <w:top w:val="nil"/>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66AB74E9"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Jelatin üretimi</w:t>
            </w:r>
          </w:p>
        </w:tc>
        <w:tc>
          <w:tcPr>
            <w:tcW w:w="0" w:type="auto"/>
            <w:vMerge/>
            <w:tcBorders>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AB0EEC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50C523D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1380-2500 (</w:t>
            </w:r>
            <w:r w:rsidRPr="00567E52">
              <w:rPr>
                <w:rFonts w:ascii="Times New Roman" w:eastAsia="Times New Roman" w:hAnsi="Times New Roman" w:cs="Courier New"/>
                <w:color w:val="000000"/>
                <w:kern w:val="0"/>
                <w:vertAlign w:val="superscript"/>
                <w:lang w:eastAsia="tr-TR"/>
                <w14:ligatures w14:val="none"/>
              </w:rPr>
              <w:t>1</w:t>
            </w:r>
            <w:r w:rsidRPr="00567E52">
              <w:rPr>
                <w:rFonts w:ascii="Times New Roman" w:eastAsia="Times New Roman" w:hAnsi="Times New Roman" w:cs="Courier New"/>
                <w:color w:val="000000"/>
                <w:kern w:val="0"/>
                <w:lang w:eastAsia="tr-TR"/>
                <w14:ligatures w14:val="none"/>
              </w:rPr>
              <w:t>)</w:t>
            </w:r>
          </w:p>
        </w:tc>
      </w:tr>
      <w:tr w:rsidR="003B155E" w:rsidRPr="00567E52" w14:paraId="7292AAED" w14:textId="77777777" w:rsidTr="000D79D6">
        <w:trPr>
          <w:trHeight w:val="301"/>
        </w:trPr>
        <w:tc>
          <w:tcPr>
            <w:tcW w:w="0" w:type="auto"/>
            <w:gridSpan w:val="3"/>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5480F70E"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w:t>
            </w:r>
            <w:r w:rsidRPr="00567E52">
              <w:rPr>
                <w:rFonts w:ascii="Times New Roman" w:eastAsia="Times New Roman" w:hAnsi="Times New Roman" w:cs="Courier New"/>
                <w:color w:val="000000"/>
                <w:kern w:val="0"/>
                <w:sz w:val="20"/>
                <w:szCs w:val="20"/>
                <w:lang w:eastAsia="tr-TR"/>
                <w14:ligatures w14:val="none"/>
              </w:rPr>
              <w:t>) MET-İÇPS, hammadde olarak yalnızca domuz derisi kullanan tesisler için geçerlidir.</w:t>
            </w:r>
          </w:p>
        </w:tc>
      </w:tr>
    </w:tbl>
    <w:p w14:paraId="7FB433F0"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3F39897B"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6’da verilmiştir.</w:t>
      </w:r>
    </w:p>
    <w:p w14:paraId="1D5C00F0"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6D9CB513"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Cs/>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1.3.2. Su Tüketimi ve Atıksu Oluşumu</w:t>
      </w:r>
    </w:p>
    <w:p w14:paraId="2FDB9B74"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Aşağıda verilen belirli atıksu deşarjına ait çevresel performans düzeyleri, Bölüm 1.1.4'te verilen genel MET sonuçlarıyla ilişkilidir.</w:t>
      </w:r>
    </w:p>
    <w:p w14:paraId="16E78D3B"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7F36B480" w14:textId="77777777" w:rsidR="00541520" w:rsidRDefault="00541520"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2CEDFD7C" w14:textId="70B78609" w:rsidR="0094059F"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lastRenderedPageBreak/>
        <w:t>Tablo 1.9</w:t>
      </w:r>
    </w:p>
    <w:p w14:paraId="47C163AB" w14:textId="405235FD"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Belirli atıksu deşarjı için MET ile ilişkili çevresel performans seviyeleri (MET-İÇPS)</w:t>
      </w:r>
    </w:p>
    <w:tbl>
      <w:tblPr>
        <w:tblW w:w="0" w:type="auto"/>
        <w:tblBorders>
          <w:top w:val="nil"/>
          <w:left w:val="nil"/>
          <w:bottom w:val="nil"/>
          <w:right w:val="nil"/>
          <w:insideH w:val="nil"/>
          <w:insideV w:val="nil"/>
        </w:tblBorders>
        <w:tblLook w:val="0600" w:firstRow="0" w:lastRow="0" w:firstColumn="0" w:lastColumn="0" w:noHBand="1" w:noVBand="1"/>
      </w:tblPr>
      <w:tblGrid>
        <w:gridCol w:w="3987"/>
        <w:gridCol w:w="1730"/>
        <w:gridCol w:w="3335"/>
      </w:tblGrid>
      <w:tr w:rsidR="003B155E" w:rsidRPr="00567E52" w14:paraId="2E310F64" w14:textId="77777777" w:rsidTr="000D79D6">
        <w:trPr>
          <w:trHeight w:val="240"/>
        </w:trPr>
        <w:tc>
          <w:tcPr>
            <w:tcW w:w="0" w:type="auto"/>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vAlign w:val="center"/>
          </w:tcPr>
          <w:p w14:paraId="61197095"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Kurulum/Proses Türleri</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2800FFB0"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Birim</w:t>
            </w:r>
          </w:p>
        </w:tc>
        <w:tc>
          <w:tcPr>
            <w:tcW w:w="0" w:type="auto"/>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495DCA92"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 xml:space="preserve">Spesifik atıksu deşarjı (yıllık ortalama) </w:t>
            </w:r>
          </w:p>
        </w:tc>
      </w:tr>
      <w:tr w:rsidR="003B155E" w:rsidRPr="00567E52" w14:paraId="1493FAF9" w14:textId="77777777" w:rsidTr="000D79D6">
        <w:trPr>
          <w:trHeight w:val="211"/>
        </w:trPr>
        <w:tc>
          <w:tcPr>
            <w:tcW w:w="0" w:type="auto"/>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2B284CB1"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Rendering, yağ eritme, kan ve/veya tüy işleme</w:t>
            </w:r>
          </w:p>
        </w:tc>
        <w:tc>
          <w:tcPr>
            <w:tcW w:w="0" w:type="auto"/>
            <w:vMerge w:val="restart"/>
            <w:tcBorders>
              <w:top w:val="nil"/>
              <w:left w:val="nil"/>
              <w:right w:val="single" w:sz="8" w:space="0" w:color="000000"/>
            </w:tcBorders>
            <w:tcMar>
              <w:top w:w="0" w:type="dxa"/>
              <w:left w:w="100" w:type="dxa"/>
              <w:bottom w:w="0" w:type="dxa"/>
              <w:right w:w="100" w:type="dxa"/>
            </w:tcMar>
            <w:vAlign w:val="center"/>
          </w:tcPr>
          <w:p w14:paraId="4412E237"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m</w:t>
            </w:r>
            <w:r w:rsidRPr="00567E52">
              <w:rPr>
                <w:rFonts w:ascii="Times New Roman" w:eastAsia="Times New Roman" w:hAnsi="Times New Roman" w:cs="Courier New"/>
                <w:color w:val="000000"/>
                <w:kern w:val="0"/>
                <w:vertAlign w:val="superscript"/>
                <w:lang w:eastAsia="tr-TR"/>
                <w14:ligatures w14:val="none"/>
              </w:rPr>
              <w:t>3</w:t>
            </w:r>
            <w:r w:rsidRPr="00567E52">
              <w:rPr>
                <w:rFonts w:ascii="Times New Roman" w:eastAsia="Times New Roman" w:hAnsi="Times New Roman" w:cs="Courier New"/>
                <w:color w:val="000000"/>
                <w:kern w:val="0"/>
                <w:lang w:eastAsia="tr-TR"/>
                <w14:ligatures w14:val="none"/>
              </w:rPr>
              <w:t>/ton hammadde</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237D2F80"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0,2-1,55</w:t>
            </w:r>
          </w:p>
        </w:tc>
      </w:tr>
      <w:tr w:rsidR="003B155E" w:rsidRPr="00567E52" w14:paraId="13333252" w14:textId="77777777" w:rsidTr="000D79D6">
        <w:trPr>
          <w:trHeight w:val="39"/>
        </w:trPr>
        <w:tc>
          <w:tcPr>
            <w:tcW w:w="0" w:type="auto"/>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0C0FE22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Balık unu ve balık yağı üretimi</w:t>
            </w:r>
          </w:p>
        </w:tc>
        <w:tc>
          <w:tcPr>
            <w:tcW w:w="0" w:type="auto"/>
            <w:vMerge/>
            <w:tcBorders>
              <w:left w:val="nil"/>
              <w:right w:val="single" w:sz="8" w:space="0" w:color="000000"/>
            </w:tcBorders>
            <w:shd w:val="clear" w:color="auto" w:fill="auto"/>
            <w:tcMar>
              <w:top w:w="100" w:type="dxa"/>
              <w:left w:w="100" w:type="dxa"/>
              <w:bottom w:w="100" w:type="dxa"/>
              <w:right w:w="100" w:type="dxa"/>
            </w:tcMar>
            <w:vAlign w:val="center"/>
          </w:tcPr>
          <w:p w14:paraId="58638E6A"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7E5B64B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567E52">
              <w:rPr>
                <w:rFonts w:ascii="Times New Roman" w:eastAsia="Times New Roman" w:hAnsi="Times New Roman" w:cs="Courier New"/>
                <w:color w:val="000000"/>
                <w:kern w:val="0"/>
                <w:lang w:eastAsia="tr-TR"/>
                <w14:ligatures w14:val="none"/>
              </w:rPr>
              <w:t>0,20-1,25 (</w:t>
            </w:r>
            <w:r w:rsidRPr="00567E52">
              <w:rPr>
                <w:rFonts w:ascii="Times New Roman" w:eastAsia="Times New Roman" w:hAnsi="Times New Roman" w:cs="Courier New"/>
                <w:color w:val="000000"/>
                <w:kern w:val="0"/>
                <w:vertAlign w:val="superscript"/>
                <w:lang w:eastAsia="tr-TR"/>
                <w14:ligatures w14:val="none"/>
              </w:rPr>
              <w:t>1</w:t>
            </w:r>
            <w:r w:rsidRPr="00567E52">
              <w:rPr>
                <w:rFonts w:ascii="Times New Roman" w:eastAsia="Times New Roman" w:hAnsi="Times New Roman" w:cs="Courier New"/>
                <w:color w:val="000000"/>
                <w:kern w:val="0"/>
                <w:lang w:eastAsia="tr-TR"/>
                <w14:ligatures w14:val="none"/>
              </w:rPr>
              <w:t>)</w:t>
            </w:r>
          </w:p>
        </w:tc>
      </w:tr>
      <w:tr w:rsidR="003B155E" w:rsidRPr="00567E52" w14:paraId="4708E5AE" w14:textId="77777777" w:rsidTr="000D79D6">
        <w:trPr>
          <w:trHeight w:val="196"/>
        </w:trPr>
        <w:tc>
          <w:tcPr>
            <w:tcW w:w="0" w:type="auto"/>
            <w:tcBorders>
              <w:top w:val="nil"/>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2E1E410B"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Jelatin üretimi</w:t>
            </w:r>
          </w:p>
        </w:tc>
        <w:tc>
          <w:tcPr>
            <w:tcW w:w="0" w:type="auto"/>
            <w:vMerge/>
            <w:tcBorders>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9B200E3"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1CD8DFA8"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567E52">
              <w:rPr>
                <w:rFonts w:ascii="Times New Roman" w:eastAsia="Times New Roman" w:hAnsi="Times New Roman" w:cs="Courier New"/>
                <w:color w:val="000000"/>
                <w:kern w:val="0"/>
                <w:lang w:eastAsia="tr-TR"/>
                <w14:ligatures w14:val="none"/>
              </w:rPr>
              <w:t>16,5-27 (</w:t>
            </w:r>
            <w:r w:rsidRPr="00567E52">
              <w:rPr>
                <w:rFonts w:ascii="Times New Roman" w:eastAsia="Times New Roman" w:hAnsi="Times New Roman" w:cs="Courier New"/>
                <w:color w:val="000000"/>
                <w:kern w:val="0"/>
                <w:vertAlign w:val="superscript"/>
                <w:lang w:eastAsia="tr-TR"/>
                <w14:ligatures w14:val="none"/>
              </w:rPr>
              <w:t>2</w:t>
            </w:r>
            <w:r w:rsidRPr="00567E52">
              <w:rPr>
                <w:rFonts w:ascii="Times New Roman" w:eastAsia="Times New Roman" w:hAnsi="Times New Roman" w:cs="Courier New"/>
                <w:color w:val="000000"/>
                <w:kern w:val="0"/>
                <w:lang w:eastAsia="tr-TR"/>
                <w14:ligatures w14:val="none"/>
              </w:rPr>
              <w:t>)</w:t>
            </w:r>
          </w:p>
        </w:tc>
      </w:tr>
      <w:tr w:rsidR="003B155E" w:rsidRPr="00567E52" w14:paraId="26E25305" w14:textId="77777777" w:rsidTr="000D79D6">
        <w:trPr>
          <w:trHeight w:val="301"/>
        </w:trPr>
        <w:tc>
          <w:tcPr>
            <w:tcW w:w="0" w:type="auto"/>
            <w:gridSpan w:val="3"/>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3B602026"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1</w:t>
            </w:r>
            <w:r w:rsidRPr="00567E52">
              <w:rPr>
                <w:rFonts w:ascii="Times New Roman" w:eastAsia="Times New Roman" w:hAnsi="Times New Roman" w:cs="Courier New"/>
                <w:color w:val="000000"/>
                <w:kern w:val="0"/>
                <w:sz w:val="20"/>
                <w:szCs w:val="20"/>
                <w:lang w:eastAsia="tr-TR"/>
                <w14:ligatures w14:val="none"/>
              </w:rPr>
              <w:t>) Balık unu ve balık yağı üretiminden kaynaklanan deniz suyu deşarjları için MET-İÇPS aralığı geçerli olmayabilir.</w:t>
            </w:r>
          </w:p>
          <w:p w14:paraId="71BE26C5" w14:textId="77777777" w:rsidR="003B155E" w:rsidRPr="00567E52"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567E52">
              <w:rPr>
                <w:rFonts w:ascii="Times New Roman" w:eastAsia="Times New Roman" w:hAnsi="Times New Roman" w:cs="Courier New"/>
                <w:color w:val="000000"/>
                <w:kern w:val="0"/>
                <w:sz w:val="20"/>
                <w:szCs w:val="20"/>
                <w:lang w:eastAsia="tr-TR"/>
                <w14:ligatures w14:val="none"/>
              </w:rPr>
              <w:t>(</w:t>
            </w:r>
            <w:r w:rsidRPr="00567E52">
              <w:rPr>
                <w:rFonts w:ascii="Times New Roman" w:eastAsia="Times New Roman" w:hAnsi="Times New Roman" w:cs="Courier New"/>
                <w:color w:val="000000"/>
                <w:kern w:val="0"/>
                <w:sz w:val="20"/>
                <w:szCs w:val="20"/>
                <w:vertAlign w:val="superscript"/>
                <w:lang w:eastAsia="tr-TR"/>
                <w14:ligatures w14:val="none"/>
              </w:rPr>
              <w:t>2</w:t>
            </w:r>
            <w:r w:rsidRPr="00567E52">
              <w:rPr>
                <w:rFonts w:ascii="Times New Roman" w:eastAsia="Times New Roman" w:hAnsi="Times New Roman" w:cs="Courier New"/>
                <w:color w:val="000000"/>
                <w:kern w:val="0"/>
                <w:sz w:val="20"/>
                <w:szCs w:val="20"/>
                <w:lang w:eastAsia="tr-TR"/>
                <w14:ligatures w14:val="none"/>
              </w:rPr>
              <w:t>) MET-İÇPS, hammadde olarak yalnızca domuz derisi kullanan tesisler için geçerlidir.</w:t>
            </w:r>
          </w:p>
        </w:tc>
      </w:tr>
    </w:tbl>
    <w:p w14:paraId="7F9E8083"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6’da verilmiştir.</w:t>
      </w:r>
    </w:p>
    <w:p w14:paraId="02F2DC1F"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Cs/>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1.3.3. Hava Emisyonları</w:t>
      </w:r>
    </w:p>
    <w:p w14:paraId="39F348A2"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
          <w:spacing w:val="2"/>
          <w:kern w:val="0"/>
          <w:sz w:val="24"/>
          <w:szCs w:val="24"/>
          <w14:ligatures w14:val="none"/>
        </w:rPr>
        <w:t>MET 25:</w:t>
      </w:r>
      <w:r w:rsidRPr="00567E52">
        <w:rPr>
          <w:rFonts w:ascii="Times New Roman" w:eastAsia="Times New Roman" w:hAnsi="Times New Roman" w:cs="Times New Roman"/>
          <w:bCs/>
          <w:spacing w:val="2"/>
          <w:kern w:val="0"/>
          <w:sz w:val="24"/>
          <w:szCs w:val="24"/>
          <w14:ligatures w14:val="none"/>
        </w:rPr>
        <w:t xml:space="preserve"> H</w:t>
      </w:r>
      <w:r w:rsidRPr="00567E52">
        <w:rPr>
          <w:rFonts w:ascii="Times New Roman" w:eastAsia="Times New Roman" w:hAnsi="Times New Roman" w:cs="Times New Roman"/>
          <w:bCs/>
          <w:spacing w:val="2"/>
          <w:kern w:val="0"/>
          <w:sz w:val="24"/>
          <w:szCs w:val="24"/>
          <w:vertAlign w:val="subscript"/>
          <w14:ligatures w14:val="none"/>
        </w:rPr>
        <w:t>2</w:t>
      </w:r>
      <w:r w:rsidRPr="00567E52">
        <w:rPr>
          <w:rFonts w:ascii="Times New Roman" w:eastAsia="Times New Roman" w:hAnsi="Times New Roman" w:cs="Times New Roman"/>
          <w:bCs/>
          <w:spacing w:val="2"/>
          <w:kern w:val="0"/>
          <w:sz w:val="24"/>
          <w:szCs w:val="24"/>
          <w14:ligatures w14:val="none"/>
        </w:rPr>
        <w:t>S ve NH</w:t>
      </w:r>
      <w:r w:rsidRPr="00567E52">
        <w:rPr>
          <w:rFonts w:ascii="Times New Roman" w:eastAsia="Times New Roman" w:hAnsi="Times New Roman" w:cs="Times New Roman"/>
          <w:bCs/>
          <w:spacing w:val="2"/>
          <w:kern w:val="0"/>
          <w:sz w:val="24"/>
          <w:szCs w:val="24"/>
          <w:vertAlign w:val="subscript"/>
          <w14:ligatures w14:val="none"/>
        </w:rPr>
        <w:t>3</w:t>
      </w:r>
      <w:r w:rsidRPr="00567E52">
        <w:rPr>
          <w:rFonts w:ascii="Times New Roman" w:eastAsia="Times New Roman" w:hAnsi="Times New Roman" w:cs="Times New Roman"/>
          <w:bCs/>
          <w:spacing w:val="2"/>
          <w:kern w:val="0"/>
          <w:sz w:val="24"/>
          <w:szCs w:val="24"/>
          <w14:ligatures w14:val="none"/>
        </w:rPr>
        <w:t xml:space="preserve"> dahil olmak üzere organik bileşiklerin ve kötü kokulu bileşiklerin havaya emisyonlarını azaltmak için, aşağıda verilen tekniklerden biri veya birkaçı kullanılır.</w:t>
      </w:r>
    </w:p>
    <w:tbl>
      <w:tblPr>
        <w:tblStyle w:val="TabloKlavuzu9"/>
        <w:tblW w:w="0" w:type="auto"/>
        <w:tblLook w:val="04A0" w:firstRow="1" w:lastRow="0" w:firstColumn="1" w:lastColumn="0" w:noHBand="0" w:noVBand="1"/>
      </w:tblPr>
      <w:tblGrid>
        <w:gridCol w:w="456"/>
        <w:gridCol w:w="3635"/>
        <w:gridCol w:w="4971"/>
      </w:tblGrid>
      <w:tr w:rsidR="003B155E" w:rsidRPr="00567E52" w14:paraId="15D4339F" w14:textId="77777777" w:rsidTr="000D79D6">
        <w:tc>
          <w:tcPr>
            <w:tcW w:w="0" w:type="auto"/>
            <w:tcBorders>
              <w:right w:val="nil"/>
            </w:tcBorders>
          </w:tcPr>
          <w:p w14:paraId="4536519C" w14:textId="77777777" w:rsidR="003B155E" w:rsidRPr="00567E52" w:rsidRDefault="003B155E" w:rsidP="000D79D6">
            <w:pPr>
              <w:jc w:val="both"/>
              <w:rPr>
                <w:rFonts w:ascii="Times New Roman" w:hAnsi="Times New Roman" w:cs="Times New Roman"/>
                <w:color w:val="000000"/>
                <w:spacing w:val="2"/>
              </w:rPr>
            </w:pPr>
          </w:p>
        </w:tc>
        <w:tc>
          <w:tcPr>
            <w:tcW w:w="0" w:type="auto"/>
            <w:tcBorders>
              <w:left w:val="nil"/>
            </w:tcBorders>
          </w:tcPr>
          <w:p w14:paraId="4FE5A796"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eknik</w:t>
            </w:r>
          </w:p>
        </w:tc>
        <w:tc>
          <w:tcPr>
            <w:tcW w:w="0" w:type="auto"/>
          </w:tcPr>
          <w:p w14:paraId="385AFE22"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anım</w:t>
            </w:r>
          </w:p>
        </w:tc>
      </w:tr>
      <w:tr w:rsidR="003B155E" w:rsidRPr="00567E52" w14:paraId="777E9431" w14:textId="77777777" w:rsidTr="000D79D6">
        <w:tc>
          <w:tcPr>
            <w:tcW w:w="0" w:type="auto"/>
          </w:tcPr>
          <w:p w14:paraId="08CD295D"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a)</w:t>
            </w:r>
          </w:p>
        </w:tc>
        <w:tc>
          <w:tcPr>
            <w:tcW w:w="0" w:type="auto"/>
          </w:tcPr>
          <w:p w14:paraId="41B89D04"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spacing w:val="2"/>
              </w:rPr>
              <w:t>Yoğuşma</w:t>
            </w:r>
          </w:p>
        </w:tc>
        <w:tc>
          <w:tcPr>
            <w:tcW w:w="0" w:type="auto"/>
          </w:tcPr>
          <w:p w14:paraId="626C8030"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B</w:t>
            </w:r>
            <w:r w:rsidRPr="00567E52">
              <w:rPr>
                <w:rFonts w:ascii="Times New Roman" w:hAnsi="Times New Roman" w:cs="Times New Roman"/>
                <w:spacing w:val="2"/>
              </w:rPr>
              <w:t xml:space="preserve">kz. </w:t>
            </w:r>
            <w:r w:rsidRPr="00567E52">
              <w:rPr>
                <w:rFonts w:ascii="Times New Roman" w:hAnsi="Times New Roman" w:cs="Times New Roman"/>
                <w:color w:val="000000"/>
                <w:spacing w:val="2"/>
              </w:rPr>
              <w:t>Bölüm 1.4.2. Bu teknik, yoğunlaşmayan gazların arıtımı için (b) ila (g) tekniklerinden biri veya bir kombinasyonu ile birlikte kullanılır.</w:t>
            </w:r>
          </w:p>
        </w:tc>
      </w:tr>
      <w:tr w:rsidR="003B155E" w:rsidRPr="00567E52" w14:paraId="50181B77" w14:textId="77777777" w:rsidTr="000D79D6">
        <w:tc>
          <w:tcPr>
            <w:tcW w:w="0" w:type="auto"/>
          </w:tcPr>
          <w:p w14:paraId="4E080513"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b)</w:t>
            </w:r>
          </w:p>
        </w:tc>
        <w:tc>
          <w:tcPr>
            <w:tcW w:w="0" w:type="auto"/>
          </w:tcPr>
          <w:p w14:paraId="24B78BB0"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A</w:t>
            </w:r>
            <w:r w:rsidRPr="00567E52">
              <w:rPr>
                <w:rFonts w:ascii="Times New Roman" w:hAnsi="Times New Roman" w:cs="Times New Roman"/>
                <w:spacing w:val="2"/>
              </w:rPr>
              <w:t>dsorpsiyon</w:t>
            </w:r>
          </w:p>
        </w:tc>
        <w:tc>
          <w:tcPr>
            <w:tcW w:w="0" w:type="auto"/>
            <w:vMerge w:val="restart"/>
          </w:tcPr>
          <w:p w14:paraId="307693FD" w14:textId="77777777" w:rsidR="003B155E" w:rsidRPr="00567E52" w:rsidRDefault="003B155E" w:rsidP="000D79D6">
            <w:pPr>
              <w:ind w:left="33"/>
              <w:jc w:val="both"/>
              <w:rPr>
                <w:rFonts w:ascii="Times New Roman" w:hAnsi="Times New Roman" w:cs="Times New Roman"/>
                <w:spacing w:val="2"/>
              </w:rPr>
            </w:pPr>
            <w:r w:rsidRPr="00567E52">
              <w:rPr>
                <w:rFonts w:ascii="Times New Roman" w:hAnsi="Times New Roman" w:cs="Times New Roman"/>
                <w:color w:val="000000"/>
                <w:spacing w:val="2"/>
              </w:rPr>
              <w:t>B</w:t>
            </w:r>
            <w:r w:rsidRPr="00567E52">
              <w:rPr>
                <w:rFonts w:ascii="Times New Roman" w:hAnsi="Times New Roman" w:cs="Times New Roman"/>
                <w:spacing w:val="2"/>
              </w:rPr>
              <w:t xml:space="preserve">kz. </w:t>
            </w:r>
            <w:r w:rsidRPr="00567E52">
              <w:rPr>
                <w:rFonts w:ascii="Times New Roman" w:hAnsi="Times New Roman" w:cs="Times New Roman"/>
                <w:color w:val="000000"/>
                <w:spacing w:val="2"/>
              </w:rPr>
              <w:t>Bölüm 1.4.2.</w:t>
            </w:r>
          </w:p>
        </w:tc>
      </w:tr>
      <w:tr w:rsidR="003B155E" w:rsidRPr="00567E52" w14:paraId="2D16D62D" w14:textId="77777777" w:rsidTr="000D79D6">
        <w:tc>
          <w:tcPr>
            <w:tcW w:w="0" w:type="auto"/>
          </w:tcPr>
          <w:p w14:paraId="47E273CE"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(c)</w:t>
            </w:r>
          </w:p>
        </w:tc>
        <w:tc>
          <w:tcPr>
            <w:tcW w:w="0" w:type="auto"/>
          </w:tcPr>
          <w:p w14:paraId="55817BED"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B</w:t>
            </w:r>
            <w:r w:rsidRPr="00567E52">
              <w:rPr>
                <w:rFonts w:ascii="Times New Roman" w:hAnsi="Times New Roman" w:cs="Times New Roman"/>
                <w:spacing w:val="2"/>
              </w:rPr>
              <w:t>iyofiltre</w:t>
            </w:r>
          </w:p>
        </w:tc>
        <w:tc>
          <w:tcPr>
            <w:tcW w:w="0" w:type="auto"/>
            <w:vMerge/>
          </w:tcPr>
          <w:p w14:paraId="637C27FC" w14:textId="77777777" w:rsidR="003B155E" w:rsidRPr="00567E52" w:rsidRDefault="003B155E" w:rsidP="000D79D6">
            <w:pPr>
              <w:ind w:left="33"/>
              <w:jc w:val="both"/>
              <w:rPr>
                <w:rFonts w:ascii="Times New Roman" w:hAnsi="Times New Roman" w:cs="Times New Roman"/>
                <w:spacing w:val="2"/>
              </w:rPr>
            </w:pPr>
          </w:p>
        </w:tc>
      </w:tr>
      <w:tr w:rsidR="003B155E" w:rsidRPr="00567E52" w14:paraId="6408886A" w14:textId="77777777" w:rsidTr="000D79D6">
        <w:tc>
          <w:tcPr>
            <w:tcW w:w="0" w:type="auto"/>
          </w:tcPr>
          <w:p w14:paraId="602337D7"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d)</w:t>
            </w:r>
          </w:p>
        </w:tc>
        <w:tc>
          <w:tcPr>
            <w:tcW w:w="0" w:type="auto"/>
          </w:tcPr>
          <w:p w14:paraId="4222157D"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Yoğunlaşmayan gazlar da dahil olmak üzere kötü kokulu gazların buhar kazanında yanması</w:t>
            </w:r>
          </w:p>
        </w:tc>
        <w:tc>
          <w:tcPr>
            <w:tcW w:w="0" w:type="auto"/>
            <w:vMerge/>
          </w:tcPr>
          <w:p w14:paraId="309F22D8" w14:textId="77777777" w:rsidR="003B155E" w:rsidRPr="00567E52" w:rsidRDefault="003B155E" w:rsidP="000D79D6">
            <w:pPr>
              <w:ind w:left="33"/>
              <w:jc w:val="both"/>
              <w:rPr>
                <w:rFonts w:ascii="Times New Roman" w:hAnsi="Times New Roman" w:cs="Times New Roman"/>
                <w:spacing w:val="2"/>
              </w:rPr>
            </w:pPr>
          </w:p>
        </w:tc>
      </w:tr>
      <w:tr w:rsidR="003B155E" w:rsidRPr="00567E52" w14:paraId="2CA27D7D" w14:textId="77777777" w:rsidTr="000D79D6">
        <w:tc>
          <w:tcPr>
            <w:tcW w:w="0" w:type="auto"/>
          </w:tcPr>
          <w:p w14:paraId="36664371"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e)</w:t>
            </w:r>
          </w:p>
        </w:tc>
        <w:tc>
          <w:tcPr>
            <w:tcW w:w="0" w:type="auto"/>
          </w:tcPr>
          <w:p w14:paraId="0C362656"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T</w:t>
            </w:r>
            <w:r w:rsidRPr="00567E52">
              <w:rPr>
                <w:rFonts w:ascii="Times New Roman" w:hAnsi="Times New Roman" w:cs="Times New Roman"/>
                <w:spacing w:val="2"/>
              </w:rPr>
              <w:t>ermal oksidasyon</w:t>
            </w:r>
          </w:p>
        </w:tc>
        <w:tc>
          <w:tcPr>
            <w:tcW w:w="0" w:type="auto"/>
            <w:vMerge/>
          </w:tcPr>
          <w:p w14:paraId="14697462" w14:textId="77777777" w:rsidR="003B155E" w:rsidRPr="00567E52" w:rsidRDefault="003B155E" w:rsidP="000D79D6">
            <w:pPr>
              <w:ind w:left="33"/>
              <w:jc w:val="both"/>
              <w:rPr>
                <w:rFonts w:ascii="Times New Roman" w:hAnsi="Times New Roman" w:cs="Times New Roman"/>
                <w:spacing w:val="2"/>
              </w:rPr>
            </w:pPr>
          </w:p>
        </w:tc>
      </w:tr>
      <w:tr w:rsidR="003B155E" w:rsidRPr="00567E52" w14:paraId="7174D2AA" w14:textId="77777777" w:rsidTr="000D79D6">
        <w:tc>
          <w:tcPr>
            <w:tcW w:w="0" w:type="auto"/>
          </w:tcPr>
          <w:p w14:paraId="70B4EC7D"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f)</w:t>
            </w:r>
          </w:p>
        </w:tc>
        <w:tc>
          <w:tcPr>
            <w:tcW w:w="0" w:type="auto"/>
          </w:tcPr>
          <w:p w14:paraId="67E16D92"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Yaş yıkayıcı</w:t>
            </w:r>
          </w:p>
        </w:tc>
        <w:tc>
          <w:tcPr>
            <w:tcW w:w="0" w:type="auto"/>
            <w:vMerge/>
          </w:tcPr>
          <w:p w14:paraId="4E35651C" w14:textId="77777777" w:rsidR="003B155E" w:rsidRPr="00567E52" w:rsidRDefault="003B155E" w:rsidP="000D79D6">
            <w:pPr>
              <w:ind w:left="33"/>
              <w:jc w:val="both"/>
              <w:rPr>
                <w:rFonts w:ascii="Times New Roman" w:hAnsi="Times New Roman" w:cs="Times New Roman"/>
                <w:spacing w:val="2"/>
              </w:rPr>
            </w:pPr>
          </w:p>
        </w:tc>
      </w:tr>
      <w:tr w:rsidR="003B155E" w:rsidRPr="00567E52" w14:paraId="0C685EAE" w14:textId="77777777" w:rsidTr="000D79D6">
        <w:tc>
          <w:tcPr>
            <w:tcW w:w="0" w:type="auto"/>
          </w:tcPr>
          <w:p w14:paraId="29C2A863"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w:t>
            </w:r>
            <w:r w:rsidRPr="00567E52">
              <w:rPr>
                <w:rFonts w:ascii="Times New Roman" w:hAnsi="Times New Roman" w:cs="Times New Roman"/>
                <w:spacing w:val="2"/>
              </w:rPr>
              <w:t>g)</w:t>
            </w:r>
          </w:p>
        </w:tc>
        <w:tc>
          <w:tcPr>
            <w:tcW w:w="0" w:type="auto"/>
          </w:tcPr>
          <w:p w14:paraId="2BC2B5B5" w14:textId="77777777" w:rsidR="003B155E" w:rsidRPr="00567E52" w:rsidRDefault="003B155E" w:rsidP="000D79D6">
            <w:pPr>
              <w:jc w:val="both"/>
              <w:rPr>
                <w:rFonts w:ascii="Times New Roman" w:hAnsi="Times New Roman" w:cs="Times New Roman"/>
                <w:color w:val="000000"/>
                <w:spacing w:val="2"/>
              </w:rPr>
            </w:pPr>
            <w:r w:rsidRPr="00567E52">
              <w:rPr>
                <w:rFonts w:ascii="Times New Roman" w:hAnsi="Times New Roman" w:cs="Times New Roman"/>
                <w:color w:val="000000"/>
                <w:spacing w:val="2"/>
              </w:rPr>
              <w:t>Biyo yıkayıcı</w:t>
            </w:r>
          </w:p>
        </w:tc>
        <w:tc>
          <w:tcPr>
            <w:tcW w:w="0" w:type="auto"/>
            <w:vMerge/>
          </w:tcPr>
          <w:p w14:paraId="67C1AF20" w14:textId="77777777" w:rsidR="003B155E" w:rsidRPr="00567E52" w:rsidRDefault="003B155E" w:rsidP="000D79D6">
            <w:pPr>
              <w:ind w:left="33"/>
              <w:jc w:val="both"/>
              <w:rPr>
                <w:rFonts w:ascii="Times New Roman" w:hAnsi="Times New Roman" w:cs="Times New Roman"/>
                <w:spacing w:val="2"/>
              </w:rPr>
            </w:pPr>
          </w:p>
        </w:tc>
      </w:tr>
    </w:tbl>
    <w:p w14:paraId="2968B18C"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Tablo 1.10</w:t>
      </w:r>
    </w:p>
    <w:p w14:paraId="30701556" w14:textId="77777777" w:rsidR="003B155E" w:rsidRPr="00567E52" w:rsidRDefault="003B155E" w:rsidP="00EA5A0B">
      <w:pPr>
        <w:spacing w:after="0" w:line="240"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Rendering, yağ eritme, kan ve/veya tüy işleme süreçlerinden kaynaklanan koku, organik bileşikler, NH</w:t>
      </w:r>
      <w:r w:rsidRPr="00567E52">
        <w:rPr>
          <w:rFonts w:ascii="Times New Roman" w:eastAsia="Times New Roman" w:hAnsi="Times New Roman" w:cs="Times New Roman"/>
          <w:bCs/>
          <w:spacing w:val="2"/>
          <w:kern w:val="0"/>
          <w:sz w:val="24"/>
          <w:szCs w:val="24"/>
          <w:vertAlign w:val="subscript"/>
          <w14:ligatures w14:val="none"/>
        </w:rPr>
        <w:t>3</w:t>
      </w:r>
      <w:r w:rsidRPr="00567E52">
        <w:rPr>
          <w:rFonts w:ascii="Times New Roman" w:eastAsia="Times New Roman" w:hAnsi="Times New Roman" w:cs="Times New Roman"/>
          <w:bCs/>
          <w:spacing w:val="2"/>
          <w:kern w:val="0"/>
          <w:sz w:val="24"/>
          <w:szCs w:val="24"/>
          <w14:ligatures w14:val="none"/>
        </w:rPr>
        <w:t xml:space="preserve"> ve H</w:t>
      </w:r>
      <w:r w:rsidRPr="00567E52">
        <w:rPr>
          <w:rFonts w:ascii="Times New Roman" w:eastAsia="Times New Roman" w:hAnsi="Times New Roman" w:cs="Times New Roman"/>
          <w:bCs/>
          <w:spacing w:val="2"/>
          <w:kern w:val="0"/>
          <w:sz w:val="24"/>
          <w:szCs w:val="24"/>
          <w:vertAlign w:val="subscript"/>
          <w14:ligatures w14:val="none"/>
        </w:rPr>
        <w:t>2</w:t>
      </w:r>
      <w:r w:rsidRPr="00567E52">
        <w:rPr>
          <w:rFonts w:ascii="Times New Roman" w:eastAsia="Times New Roman" w:hAnsi="Times New Roman" w:cs="Times New Roman"/>
          <w:bCs/>
          <w:spacing w:val="2"/>
          <w:kern w:val="0"/>
          <w:sz w:val="24"/>
          <w:szCs w:val="24"/>
          <w14:ligatures w14:val="none"/>
        </w:rPr>
        <w:t>S’nin baca gazı emisyonları için MET ile ilişkili emisyon seviyeleri (MET-İES'ler).</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064"/>
        <w:gridCol w:w="1982"/>
        <w:gridCol w:w="5006"/>
      </w:tblGrid>
      <w:tr w:rsidR="003B155E" w:rsidRPr="00567E52" w14:paraId="5BA406F3" w14:textId="77777777" w:rsidTr="000D79D6">
        <w:trPr>
          <w:trHeight w:val="323"/>
          <w:jc w:val="center"/>
        </w:trPr>
        <w:tc>
          <w:tcPr>
            <w:tcW w:w="114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6EF5709"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Madde/</w:t>
            </w:r>
            <w:r w:rsidRPr="00567E52">
              <w:rPr>
                <w:rFonts w:ascii="Times New Roman" w:eastAsia="Times New Roman" w:hAnsi="Times New Roman" w:cs="Courier New"/>
                <w:color w:val="000000"/>
                <w:kern w:val="0"/>
                <w:lang w:eastAsia="tr-TR"/>
                <w14:ligatures w14:val="none"/>
              </w:rPr>
              <w:t>Parametre</w:t>
            </w:r>
          </w:p>
        </w:tc>
        <w:tc>
          <w:tcPr>
            <w:tcW w:w="109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36EAE97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Birim</w:t>
            </w:r>
          </w:p>
        </w:tc>
        <w:tc>
          <w:tcPr>
            <w:tcW w:w="276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D0B0AA3"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w:t>
            </w:r>
            <w:r w:rsidRPr="00567E52">
              <w:rPr>
                <w:rFonts w:ascii="Times New Roman" w:eastAsia="Times New Roman" w:hAnsi="Times New Roman" w:cs="Courier New"/>
                <w:color w:val="000000"/>
                <w:kern w:val="0"/>
                <w:lang w:eastAsia="tr-TR"/>
                <w14:ligatures w14:val="none"/>
              </w:rPr>
              <w:t>ET-İES</w:t>
            </w:r>
            <w:r w:rsidRPr="00567E52">
              <w:rPr>
                <w:rFonts w:ascii="Times New Roman" w:eastAsia="Times New Roman" w:hAnsi="Times New Roman" w:cs="Courier New"/>
                <w:color w:val="000000"/>
                <w:kern w:val="0"/>
                <w:sz w:val="24"/>
                <w:szCs w:val="24"/>
                <w:lang w:eastAsia="tr-TR"/>
                <w14:ligatures w14:val="none"/>
              </w:rPr>
              <w:t xml:space="preserve"> </w:t>
            </w:r>
          </w:p>
        </w:tc>
      </w:tr>
      <w:tr w:rsidR="003B155E" w:rsidRPr="00567E52" w14:paraId="37F281C3"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3EAB7C4F"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K</w:t>
            </w:r>
            <w:r w:rsidRPr="00567E52">
              <w:rPr>
                <w:rFonts w:ascii="Times New Roman" w:eastAsia="Times New Roman" w:hAnsi="Times New Roman" w:cs="Courier New"/>
                <w:color w:val="000000"/>
                <w:kern w:val="0"/>
                <w:lang w:eastAsia="tr-TR"/>
                <w14:ligatures w14:val="none"/>
              </w:rPr>
              <w:t>oku konsantrasyonu</w:t>
            </w:r>
          </w:p>
        </w:tc>
        <w:tc>
          <w:tcPr>
            <w:tcW w:w="1095" w:type="pct"/>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53CCA8FB"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ou</w:t>
            </w:r>
            <w:r w:rsidRPr="00567E52">
              <w:rPr>
                <w:rFonts w:ascii="Times New Roman" w:eastAsia="Times New Roman" w:hAnsi="Times New Roman" w:cs="Courier New"/>
                <w:bCs/>
                <w:color w:val="000000"/>
                <w:kern w:val="0"/>
                <w:vertAlign w:val="subscript"/>
                <w:lang w:eastAsia="tr-TR"/>
                <w14:ligatures w14:val="none"/>
              </w:rPr>
              <w:t>E</w:t>
            </w:r>
            <w:r w:rsidRPr="00567E52">
              <w:rPr>
                <w:rFonts w:ascii="Times New Roman" w:eastAsia="Times New Roman" w:hAnsi="Times New Roman" w:cs="Courier New"/>
                <w:bCs/>
                <w:color w:val="000000"/>
                <w:kern w:val="0"/>
                <w:lang w:eastAsia="tr-TR"/>
                <w14:ligatures w14:val="none"/>
              </w:rPr>
              <w:t>/m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6D7B8D8E"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200-1100 (</w:t>
            </w:r>
            <w:r w:rsidRPr="00567E52">
              <w:rPr>
                <w:rFonts w:ascii="Times New Roman" w:eastAsia="Times New Roman" w:hAnsi="Times New Roman" w:cs="Courier New"/>
                <w:bCs/>
                <w:color w:val="000000"/>
                <w:kern w:val="0"/>
                <w:vertAlign w:val="superscript"/>
                <w:lang w:eastAsia="tr-TR"/>
                <w14:ligatures w14:val="none"/>
              </w:rPr>
              <w:t>1</w:t>
            </w:r>
            <w:r w:rsidRPr="00567E52">
              <w:rPr>
                <w:rFonts w:ascii="Times New Roman" w:eastAsia="Times New Roman" w:hAnsi="Times New Roman" w:cs="Courier New"/>
                <w:bCs/>
                <w:color w:val="000000"/>
                <w:kern w:val="0"/>
                <w:lang w:eastAsia="tr-TR"/>
                <w14:ligatures w14:val="none"/>
              </w:rPr>
              <w:t>) (</w:t>
            </w:r>
            <w:r w:rsidRPr="00567E52">
              <w:rPr>
                <w:rFonts w:ascii="Times New Roman" w:eastAsia="Times New Roman" w:hAnsi="Times New Roman" w:cs="Courier New"/>
                <w:bCs/>
                <w:color w:val="000000"/>
                <w:kern w:val="0"/>
                <w:vertAlign w:val="superscript"/>
                <w:lang w:eastAsia="tr-TR"/>
                <w14:ligatures w14:val="none"/>
              </w:rPr>
              <w:t>2</w:t>
            </w:r>
            <w:r w:rsidRPr="00567E52">
              <w:rPr>
                <w:rFonts w:ascii="Times New Roman" w:eastAsia="Times New Roman" w:hAnsi="Times New Roman" w:cs="Courier New"/>
                <w:bCs/>
                <w:color w:val="000000"/>
                <w:kern w:val="0"/>
                <w:lang w:eastAsia="tr-TR"/>
                <w14:ligatures w14:val="none"/>
              </w:rPr>
              <w:t>)</w:t>
            </w:r>
          </w:p>
        </w:tc>
      </w:tr>
      <w:tr w:rsidR="003B155E" w:rsidRPr="00567E52" w14:paraId="2391693A" w14:textId="77777777" w:rsidTr="000D79D6">
        <w:trPr>
          <w:trHeight w:val="450"/>
          <w:jc w:val="center"/>
        </w:trPr>
        <w:tc>
          <w:tcPr>
            <w:tcW w:w="1140" w:type="pct"/>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6D68F55F"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T</w:t>
            </w:r>
            <w:r w:rsidR="009D570E">
              <w:rPr>
                <w:rFonts w:ascii="Times New Roman" w:eastAsia="Times New Roman" w:hAnsi="Times New Roman" w:cs="Courier New"/>
                <w:bCs/>
                <w:color w:val="000000"/>
                <w:kern w:val="0"/>
                <w:lang w:eastAsia="tr-TR"/>
                <w14:ligatures w14:val="none"/>
              </w:rPr>
              <w:t>UOB</w:t>
            </w:r>
          </w:p>
        </w:tc>
        <w:tc>
          <w:tcPr>
            <w:tcW w:w="109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6E9A2E0D"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mg C/Nm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2BE5A25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0,5-16</w:t>
            </w:r>
          </w:p>
        </w:tc>
      </w:tr>
      <w:tr w:rsidR="003B155E" w:rsidRPr="00567E52" w14:paraId="4A973C04" w14:textId="77777777" w:rsidTr="000D79D6">
        <w:trPr>
          <w:trHeight w:val="450"/>
          <w:jc w:val="center"/>
        </w:trPr>
        <w:tc>
          <w:tcPr>
            <w:tcW w:w="1140" w:type="pct"/>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1C7EA173"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NH</w:t>
            </w:r>
            <w:r w:rsidRPr="00567E52">
              <w:rPr>
                <w:rFonts w:ascii="Times New Roman" w:eastAsia="Times New Roman" w:hAnsi="Times New Roman" w:cs="Courier New"/>
                <w:bCs/>
                <w:color w:val="000000"/>
                <w:kern w:val="0"/>
                <w:vertAlign w:val="subscript"/>
                <w:lang w:eastAsia="tr-TR"/>
                <w14:ligatures w14:val="none"/>
              </w:rPr>
              <w:t>3</w:t>
            </w:r>
          </w:p>
        </w:tc>
        <w:tc>
          <w:tcPr>
            <w:tcW w:w="1095" w:type="pct"/>
            <w:vMerge w:val="restart"/>
            <w:tcBorders>
              <w:top w:val="single" w:sz="4" w:space="0" w:color="auto"/>
              <w:left w:val="nil"/>
              <w:right w:val="single" w:sz="8" w:space="0" w:color="000000"/>
            </w:tcBorders>
            <w:tcMar>
              <w:top w:w="0" w:type="dxa"/>
              <w:left w:w="100" w:type="dxa"/>
              <w:bottom w:w="0" w:type="dxa"/>
              <w:right w:w="100" w:type="dxa"/>
            </w:tcMar>
            <w:vAlign w:val="center"/>
          </w:tcPr>
          <w:p w14:paraId="41048847"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mg/Nm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65ECDAEA"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0,1-4 (</w:t>
            </w:r>
            <w:r w:rsidRPr="00567E52">
              <w:rPr>
                <w:rFonts w:ascii="Times New Roman" w:eastAsia="Times New Roman" w:hAnsi="Times New Roman" w:cs="Courier New"/>
                <w:bCs/>
                <w:color w:val="000000"/>
                <w:kern w:val="0"/>
                <w:vertAlign w:val="superscript"/>
                <w:lang w:eastAsia="tr-TR"/>
                <w14:ligatures w14:val="none"/>
              </w:rPr>
              <w:t>3</w:t>
            </w:r>
            <w:r w:rsidRPr="00567E52">
              <w:rPr>
                <w:rFonts w:ascii="Times New Roman" w:eastAsia="Times New Roman" w:hAnsi="Times New Roman" w:cs="Courier New"/>
                <w:bCs/>
                <w:color w:val="000000"/>
                <w:kern w:val="0"/>
                <w:lang w:eastAsia="tr-TR"/>
                <w14:ligatures w14:val="none"/>
              </w:rPr>
              <w:t>)</w:t>
            </w:r>
          </w:p>
        </w:tc>
      </w:tr>
      <w:tr w:rsidR="003B155E" w:rsidRPr="00567E52" w14:paraId="774C245B" w14:textId="77777777" w:rsidTr="000D79D6">
        <w:trPr>
          <w:trHeight w:val="450"/>
          <w:jc w:val="center"/>
        </w:trPr>
        <w:tc>
          <w:tcPr>
            <w:tcW w:w="1140" w:type="pct"/>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26E64CB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H</w:t>
            </w:r>
            <w:r w:rsidRPr="00567E52">
              <w:rPr>
                <w:rFonts w:ascii="Times New Roman" w:eastAsia="Times New Roman" w:hAnsi="Times New Roman" w:cs="Courier New"/>
                <w:bCs/>
                <w:color w:val="000000"/>
                <w:kern w:val="0"/>
                <w:vertAlign w:val="subscript"/>
                <w:lang w:eastAsia="tr-TR"/>
                <w14:ligatures w14:val="none"/>
              </w:rPr>
              <w:t>2</w:t>
            </w:r>
            <w:r w:rsidRPr="00567E52">
              <w:rPr>
                <w:rFonts w:ascii="Times New Roman" w:eastAsia="Times New Roman" w:hAnsi="Times New Roman" w:cs="Courier New"/>
                <w:bCs/>
                <w:color w:val="000000"/>
                <w:kern w:val="0"/>
                <w:lang w:eastAsia="tr-TR"/>
                <w14:ligatures w14:val="none"/>
              </w:rPr>
              <w:t>S</w:t>
            </w:r>
          </w:p>
        </w:tc>
        <w:tc>
          <w:tcPr>
            <w:tcW w:w="1095" w:type="pct"/>
            <w:vMerge/>
            <w:tcBorders>
              <w:left w:val="nil"/>
              <w:bottom w:val="single" w:sz="4" w:space="0" w:color="auto"/>
              <w:right w:val="single" w:sz="8" w:space="0" w:color="000000"/>
            </w:tcBorders>
            <w:tcMar>
              <w:top w:w="0" w:type="dxa"/>
              <w:left w:w="100" w:type="dxa"/>
              <w:bottom w:w="0" w:type="dxa"/>
              <w:right w:w="100" w:type="dxa"/>
            </w:tcMar>
            <w:vAlign w:val="center"/>
          </w:tcPr>
          <w:p w14:paraId="6C197AC4"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p>
        </w:tc>
        <w:tc>
          <w:tcPr>
            <w:tcW w:w="276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2887A831"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&lt; 0,1-1 (</w:t>
            </w:r>
            <w:r w:rsidRPr="00567E52">
              <w:rPr>
                <w:rFonts w:ascii="Times New Roman" w:eastAsia="Times New Roman" w:hAnsi="Times New Roman" w:cs="Courier New"/>
                <w:bCs/>
                <w:color w:val="000000"/>
                <w:kern w:val="0"/>
                <w:vertAlign w:val="superscript"/>
                <w:lang w:eastAsia="tr-TR"/>
                <w14:ligatures w14:val="none"/>
              </w:rPr>
              <w:t>4</w:t>
            </w:r>
            <w:r w:rsidRPr="00567E52">
              <w:rPr>
                <w:rFonts w:ascii="Times New Roman" w:eastAsia="Times New Roman" w:hAnsi="Times New Roman" w:cs="Courier New"/>
                <w:bCs/>
                <w:color w:val="000000"/>
                <w:kern w:val="0"/>
                <w:lang w:eastAsia="tr-TR"/>
                <w14:ligatures w14:val="none"/>
              </w:rPr>
              <w:t>)</w:t>
            </w:r>
          </w:p>
        </w:tc>
      </w:tr>
      <w:tr w:rsidR="003B155E" w:rsidRPr="00567E52" w14:paraId="0A633384" w14:textId="77777777" w:rsidTr="000D79D6">
        <w:trPr>
          <w:trHeight w:val="450"/>
          <w:jc w:val="center"/>
        </w:trPr>
        <w:tc>
          <w:tcPr>
            <w:tcW w:w="5000" w:type="pct"/>
            <w:gridSpan w:val="3"/>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3F1BBEFB"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w:t>
            </w:r>
            <w:r w:rsidRPr="00EA5A0B">
              <w:rPr>
                <w:rFonts w:ascii="Times New Roman" w:eastAsia="Times New Roman" w:hAnsi="Times New Roman" w:cs="Courier New"/>
                <w:bCs/>
                <w:color w:val="000000"/>
                <w:kern w:val="0"/>
                <w:sz w:val="20"/>
                <w:szCs w:val="20"/>
                <w:vertAlign w:val="superscript"/>
                <w:lang w:eastAsia="tr-TR"/>
                <w14:ligatures w14:val="none"/>
              </w:rPr>
              <w:t>1</w:t>
            </w:r>
            <w:r w:rsidRPr="0082590D">
              <w:rPr>
                <w:rFonts w:ascii="Times New Roman" w:eastAsia="Times New Roman" w:hAnsi="Times New Roman" w:cs="Courier New"/>
                <w:bCs/>
                <w:color w:val="000000"/>
                <w:kern w:val="0"/>
                <w:sz w:val="20"/>
                <w:szCs w:val="20"/>
                <w:lang w:eastAsia="tr-TR"/>
                <w14:ligatures w14:val="none"/>
              </w:rPr>
              <w:t>) Aşağıdaki iki koşulun da karşılanması durumunda, kötü kokulu gazların yanması durumunda (örneğin termal oksitleyicilerde veya buhar kazanlarında) MET-İES aralığı geçerli olmayabilir:</w:t>
            </w:r>
          </w:p>
          <w:p w14:paraId="267A69D8"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 yanma sıcaklığı yeterince yüksektir (tipik olarak 750-850°C aralığında) ve yeterli kalma süresine sahiptir (tipik olarak 1 ila 2 saniye arasında); ve</w:t>
            </w:r>
          </w:p>
          <w:p w14:paraId="413B41F6"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 koku giderme etkinliği ≥%99’dur veya alternatif olarak arıtılmış atık gazlarda proses kokusu algılanamamaktadır.</w:t>
            </w:r>
          </w:p>
          <w:p w14:paraId="195E4094"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w:t>
            </w:r>
            <w:r w:rsidRPr="00EA5A0B">
              <w:rPr>
                <w:rFonts w:ascii="Times New Roman" w:eastAsia="Times New Roman" w:hAnsi="Times New Roman" w:cs="Courier New"/>
                <w:bCs/>
                <w:color w:val="000000"/>
                <w:kern w:val="0"/>
                <w:sz w:val="20"/>
                <w:szCs w:val="20"/>
                <w:vertAlign w:val="superscript"/>
                <w:lang w:eastAsia="tr-TR"/>
                <w14:ligatures w14:val="none"/>
              </w:rPr>
              <w:t>2</w:t>
            </w:r>
            <w:r w:rsidRPr="0082590D">
              <w:rPr>
                <w:rFonts w:ascii="Times New Roman" w:eastAsia="Times New Roman" w:hAnsi="Times New Roman" w:cs="Courier New"/>
                <w:bCs/>
                <w:color w:val="000000"/>
                <w:kern w:val="0"/>
                <w:sz w:val="20"/>
                <w:szCs w:val="20"/>
                <w:lang w:eastAsia="tr-TR"/>
                <w14:ligatures w14:val="none"/>
              </w:rPr>
              <w:t>) Kötü kokulu gazların yakılması dışındaki azaltma tekniği (teknikleri) durumunda, azaltma verimliliği ≥ %92 ise veya alternatif olarak arıtılmış atık gazlarda işlem kokusu algılanamıyorsa, MET-İES aralığının üst ucu daha yüksek ve 3.000 ou</w:t>
            </w:r>
            <w:r w:rsidRPr="0082590D">
              <w:rPr>
                <w:rFonts w:ascii="Times New Roman" w:eastAsia="Times New Roman" w:hAnsi="Times New Roman" w:cs="Courier New"/>
                <w:bCs/>
                <w:color w:val="000000"/>
                <w:kern w:val="0"/>
                <w:sz w:val="20"/>
                <w:szCs w:val="20"/>
                <w:vertAlign w:val="subscript"/>
                <w:lang w:eastAsia="tr-TR"/>
                <w14:ligatures w14:val="none"/>
              </w:rPr>
              <w:t>E</w:t>
            </w:r>
            <w:r w:rsidRPr="0082590D">
              <w:rPr>
                <w:rFonts w:ascii="Times New Roman" w:eastAsia="Times New Roman" w:hAnsi="Times New Roman" w:cs="Courier New"/>
                <w:bCs/>
                <w:color w:val="000000"/>
                <w:kern w:val="0"/>
                <w:sz w:val="20"/>
                <w:szCs w:val="20"/>
                <w:lang w:eastAsia="tr-TR"/>
                <w14:ligatures w14:val="none"/>
              </w:rPr>
              <w:t>/m</w:t>
            </w:r>
            <w:r w:rsidRPr="0082590D">
              <w:rPr>
                <w:rFonts w:ascii="Times New Roman" w:eastAsia="Times New Roman" w:hAnsi="Times New Roman" w:cs="Courier New"/>
                <w:bCs/>
                <w:color w:val="000000"/>
                <w:kern w:val="0"/>
                <w:sz w:val="20"/>
                <w:szCs w:val="20"/>
                <w:vertAlign w:val="superscript"/>
                <w:lang w:eastAsia="tr-TR"/>
                <w14:ligatures w14:val="none"/>
              </w:rPr>
              <w:t>3</w:t>
            </w:r>
            <w:r w:rsidRPr="0082590D">
              <w:rPr>
                <w:rFonts w:ascii="Times New Roman" w:eastAsia="Times New Roman" w:hAnsi="Times New Roman" w:cs="Courier New"/>
                <w:bCs/>
                <w:color w:val="000000"/>
                <w:kern w:val="0"/>
                <w:sz w:val="20"/>
                <w:szCs w:val="20"/>
                <w:lang w:eastAsia="tr-TR"/>
                <w14:ligatures w14:val="none"/>
              </w:rPr>
              <w:t>’e kadar olabilir.</w:t>
            </w:r>
          </w:p>
          <w:p w14:paraId="4FE028CF"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w:t>
            </w:r>
            <w:r w:rsidRPr="00EA5A0B">
              <w:rPr>
                <w:rFonts w:ascii="Times New Roman" w:eastAsia="Times New Roman" w:hAnsi="Times New Roman" w:cs="Courier New"/>
                <w:bCs/>
                <w:color w:val="000000"/>
                <w:kern w:val="0"/>
                <w:sz w:val="20"/>
                <w:szCs w:val="20"/>
                <w:vertAlign w:val="superscript"/>
                <w:lang w:eastAsia="tr-TR"/>
                <w14:ligatures w14:val="none"/>
              </w:rPr>
              <w:t>3</w:t>
            </w:r>
            <w:r w:rsidRPr="0082590D">
              <w:rPr>
                <w:rFonts w:ascii="Times New Roman" w:eastAsia="Times New Roman" w:hAnsi="Times New Roman" w:cs="Courier New"/>
                <w:bCs/>
                <w:color w:val="000000"/>
                <w:kern w:val="0"/>
                <w:sz w:val="20"/>
                <w:szCs w:val="20"/>
                <w:lang w:eastAsia="tr-TR"/>
                <w14:ligatures w14:val="none"/>
              </w:rPr>
              <w:t>) Kötü kokulu gazların yanması durumunda (örneğin termal oksitleyicilerde veya buhar kazanlarında) MET-İES aralığının üst sınırı daha yüksek olabilir ve 7 mg/Nm</w:t>
            </w:r>
            <w:r w:rsidRPr="0082590D">
              <w:rPr>
                <w:rFonts w:ascii="Times New Roman" w:eastAsia="Times New Roman" w:hAnsi="Times New Roman" w:cs="Courier New"/>
                <w:bCs/>
                <w:color w:val="000000"/>
                <w:kern w:val="0"/>
                <w:sz w:val="20"/>
                <w:szCs w:val="20"/>
                <w:vertAlign w:val="superscript"/>
                <w:lang w:eastAsia="tr-TR"/>
                <w14:ligatures w14:val="none"/>
              </w:rPr>
              <w:t>3</w:t>
            </w:r>
            <w:r w:rsidRPr="0082590D">
              <w:rPr>
                <w:rFonts w:ascii="Times New Roman" w:eastAsia="Times New Roman" w:hAnsi="Times New Roman" w:cs="Courier New"/>
                <w:bCs/>
                <w:color w:val="000000"/>
                <w:kern w:val="0"/>
                <w:sz w:val="20"/>
                <w:szCs w:val="20"/>
                <w:lang w:eastAsia="tr-TR"/>
                <w14:ligatures w14:val="none"/>
              </w:rPr>
              <w:t>’e kadar çıkabilir.</w:t>
            </w:r>
          </w:p>
          <w:p w14:paraId="658A6C22"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w:t>
            </w:r>
            <w:r w:rsidRPr="00EA5A0B">
              <w:rPr>
                <w:rFonts w:ascii="Times New Roman" w:eastAsia="Times New Roman" w:hAnsi="Times New Roman" w:cs="Courier New"/>
                <w:bCs/>
                <w:color w:val="000000"/>
                <w:kern w:val="0"/>
                <w:sz w:val="20"/>
                <w:szCs w:val="20"/>
                <w:vertAlign w:val="superscript"/>
                <w:lang w:eastAsia="tr-TR"/>
                <w14:ligatures w14:val="none"/>
              </w:rPr>
              <w:t>4</w:t>
            </w:r>
            <w:r w:rsidRPr="0082590D">
              <w:rPr>
                <w:rFonts w:ascii="Times New Roman" w:eastAsia="Times New Roman" w:hAnsi="Times New Roman" w:cs="Courier New"/>
                <w:bCs/>
                <w:color w:val="000000"/>
                <w:kern w:val="0"/>
                <w:sz w:val="20"/>
                <w:szCs w:val="20"/>
                <w:lang w:eastAsia="tr-TR"/>
                <w14:ligatures w14:val="none"/>
              </w:rPr>
              <w:t>) MET-İES aralığı, yalnızca MET 2’de belirtilen girdi ve çıktıların envanterine dayanarak atık gaz akışında H</w:t>
            </w:r>
            <w:r w:rsidRPr="0082590D">
              <w:rPr>
                <w:rFonts w:ascii="Times New Roman" w:eastAsia="Times New Roman" w:hAnsi="Times New Roman" w:cs="Courier New"/>
                <w:bCs/>
                <w:color w:val="000000"/>
                <w:kern w:val="0"/>
                <w:sz w:val="20"/>
                <w:szCs w:val="20"/>
                <w:vertAlign w:val="subscript"/>
                <w:lang w:eastAsia="tr-TR"/>
                <w14:ligatures w14:val="none"/>
              </w:rPr>
              <w:t>2</w:t>
            </w:r>
            <w:r w:rsidRPr="0082590D">
              <w:rPr>
                <w:rFonts w:ascii="Times New Roman" w:eastAsia="Times New Roman" w:hAnsi="Times New Roman" w:cs="Courier New"/>
                <w:bCs/>
                <w:color w:val="000000"/>
                <w:kern w:val="0"/>
                <w:sz w:val="20"/>
                <w:szCs w:val="20"/>
                <w:lang w:eastAsia="tr-TR"/>
                <w14:ligatures w14:val="none"/>
              </w:rPr>
              <w:t>S’nin ilgili olarak tanımlanması durumunda geçerlidir.</w:t>
            </w:r>
          </w:p>
        </w:tc>
      </w:tr>
    </w:tbl>
    <w:p w14:paraId="37E45C96"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lastRenderedPageBreak/>
        <w:t>İlgili izleme MET 8’de verilmiştir.</w:t>
      </w:r>
    </w:p>
    <w:p w14:paraId="4EC0A8F4"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501E76E6"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Tablo 1.11</w:t>
      </w:r>
    </w:p>
    <w:p w14:paraId="3BC442BA"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567E52">
        <w:rPr>
          <w:rFonts w:ascii="Times New Roman" w:eastAsia="Times New Roman" w:hAnsi="Times New Roman" w:cs="Times New Roman"/>
          <w:bCs/>
          <w:spacing w:val="2"/>
          <w:kern w:val="0"/>
          <w:sz w:val="24"/>
          <w:szCs w:val="24"/>
          <w14:ligatures w14:val="none"/>
        </w:rPr>
        <w:t>Balık unu ve balık yağı üretiminden kaynaklanan koku, organik bileşikler ve NH3'ün havaya yönlendirilen baca gazı emisyonları için MET ile ilişkili emisyon seviyeleri (MET-İES'ler)</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064"/>
        <w:gridCol w:w="1982"/>
        <w:gridCol w:w="5006"/>
      </w:tblGrid>
      <w:tr w:rsidR="003B155E" w:rsidRPr="00567E52" w14:paraId="1FCC903B" w14:textId="77777777" w:rsidTr="000D79D6">
        <w:trPr>
          <w:trHeight w:val="323"/>
          <w:jc w:val="center"/>
        </w:trPr>
        <w:tc>
          <w:tcPr>
            <w:tcW w:w="114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340A5FF"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Madde/</w:t>
            </w:r>
            <w:r w:rsidRPr="00567E52">
              <w:rPr>
                <w:rFonts w:ascii="Times New Roman" w:eastAsia="Times New Roman" w:hAnsi="Times New Roman" w:cs="Courier New"/>
                <w:color w:val="000000"/>
                <w:kern w:val="0"/>
                <w:lang w:eastAsia="tr-TR"/>
                <w14:ligatures w14:val="none"/>
              </w:rPr>
              <w:t>Parametre</w:t>
            </w:r>
          </w:p>
        </w:tc>
        <w:tc>
          <w:tcPr>
            <w:tcW w:w="109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22D0BF8"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Birim</w:t>
            </w:r>
          </w:p>
        </w:tc>
        <w:tc>
          <w:tcPr>
            <w:tcW w:w="276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530E4F6"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w:t>
            </w:r>
            <w:r w:rsidRPr="00567E52">
              <w:rPr>
                <w:rFonts w:ascii="Times New Roman" w:eastAsia="Times New Roman" w:hAnsi="Times New Roman" w:cs="Courier New"/>
                <w:color w:val="000000"/>
                <w:kern w:val="0"/>
                <w:lang w:eastAsia="tr-TR"/>
                <w14:ligatures w14:val="none"/>
              </w:rPr>
              <w:t>ET-İES</w:t>
            </w:r>
            <w:r w:rsidRPr="00567E52">
              <w:rPr>
                <w:rFonts w:ascii="Times New Roman" w:eastAsia="Times New Roman" w:hAnsi="Times New Roman" w:cs="Courier New"/>
                <w:color w:val="000000"/>
                <w:kern w:val="0"/>
                <w:sz w:val="24"/>
                <w:szCs w:val="24"/>
                <w:lang w:eastAsia="tr-TR"/>
                <w14:ligatures w14:val="none"/>
              </w:rPr>
              <w:t xml:space="preserve"> </w:t>
            </w:r>
          </w:p>
        </w:tc>
      </w:tr>
      <w:tr w:rsidR="003B155E" w:rsidRPr="00567E52" w14:paraId="178CA5B1"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05C5D944"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K</w:t>
            </w:r>
            <w:r w:rsidRPr="00567E52">
              <w:rPr>
                <w:rFonts w:ascii="Times New Roman" w:eastAsia="Times New Roman" w:hAnsi="Times New Roman" w:cs="Courier New"/>
                <w:color w:val="000000"/>
                <w:kern w:val="0"/>
                <w:lang w:eastAsia="tr-TR"/>
                <w14:ligatures w14:val="none"/>
              </w:rPr>
              <w:t>oku konsantrasyonu</w:t>
            </w:r>
          </w:p>
        </w:tc>
        <w:tc>
          <w:tcPr>
            <w:tcW w:w="1095" w:type="pct"/>
            <w:tcBorders>
              <w:top w:val="single" w:sz="8" w:space="0" w:color="000000"/>
              <w:left w:val="nil"/>
              <w:bottom w:val="single" w:sz="4" w:space="0" w:color="auto"/>
              <w:right w:val="single" w:sz="8" w:space="0" w:color="000000"/>
            </w:tcBorders>
            <w:tcMar>
              <w:top w:w="0" w:type="dxa"/>
              <w:left w:w="100" w:type="dxa"/>
              <w:bottom w:w="0" w:type="dxa"/>
              <w:right w:w="100" w:type="dxa"/>
            </w:tcMar>
            <w:vAlign w:val="center"/>
          </w:tcPr>
          <w:p w14:paraId="122CB12A"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ou</w:t>
            </w:r>
            <w:r w:rsidRPr="00567E52">
              <w:rPr>
                <w:rFonts w:ascii="Times New Roman" w:eastAsia="Times New Roman" w:hAnsi="Times New Roman" w:cs="Courier New"/>
                <w:bCs/>
                <w:color w:val="000000"/>
                <w:kern w:val="0"/>
                <w:vertAlign w:val="subscript"/>
                <w:lang w:eastAsia="tr-TR"/>
                <w14:ligatures w14:val="none"/>
              </w:rPr>
              <w:t>E</w:t>
            </w:r>
            <w:r w:rsidRPr="00567E52">
              <w:rPr>
                <w:rFonts w:ascii="Times New Roman" w:eastAsia="Times New Roman" w:hAnsi="Times New Roman" w:cs="Courier New"/>
                <w:bCs/>
                <w:color w:val="000000"/>
                <w:kern w:val="0"/>
                <w:lang w:eastAsia="tr-TR"/>
                <w14:ligatures w14:val="none"/>
              </w:rPr>
              <w:t>/m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57955938"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567E52">
              <w:rPr>
                <w:rFonts w:ascii="Times New Roman" w:eastAsia="Times New Roman" w:hAnsi="Times New Roman" w:cs="Courier New"/>
                <w:bCs/>
                <w:color w:val="000000"/>
                <w:kern w:val="0"/>
                <w:lang w:eastAsia="tr-TR"/>
                <w14:ligatures w14:val="none"/>
              </w:rPr>
              <w:t>400-3500 (</w:t>
            </w:r>
            <w:r w:rsidRPr="00567E52">
              <w:rPr>
                <w:rFonts w:ascii="Times New Roman" w:eastAsia="Times New Roman" w:hAnsi="Times New Roman" w:cs="Courier New"/>
                <w:bCs/>
                <w:color w:val="000000"/>
                <w:kern w:val="0"/>
                <w:vertAlign w:val="superscript"/>
                <w:lang w:eastAsia="tr-TR"/>
                <w14:ligatures w14:val="none"/>
              </w:rPr>
              <w:t>1</w:t>
            </w:r>
            <w:r w:rsidRPr="00567E52">
              <w:rPr>
                <w:rFonts w:ascii="Times New Roman" w:eastAsia="Times New Roman" w:hAnsi="Times New Roman" w:cs="Courier New"/>
                <w:bCs/>
                <w:color w:val="000000"/>
                <w:kern w:val="0"/>
                <w:lang w:eastAsia="tr-TR"/>
                <w14:ligatures w14:val="none"/>
              </w:rPr>
              <w:t>)</w:t>
            </w:r>
          </w:p>
        </w:tc>
      </w:tr>
      <w:tr w:rsidR="003B155E" w:rsidRPr="00567E52" w14:paraId="33E02D36" w14:textId="77777777" w:rsidTr="000D79D6">
        <w:trPr>
          <w:trHeight w:val="450"/>
          <w:jc w:val="center"/>
        </w:trPr>
        <w:tc>
          <w:tcPr>
            <w:tcW w:w="1140" w:type="pct"/>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09BD43CE"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T</w:t>
            </w:r>
            <w:r w:rsidR="009D570E">
              <w:rPr>
                <w:rFonts w:ascii="Times New Roman" w:eastAsia="Times New Roman" w:hAnsi="Times New Roman" w:cs="Courier New"/>
                <w:bCs/>
                <w:color w:val="000000"/>
                <w:kern w:val="0"/>
                <w:lang w:eastAsia="tr-TR"/>
                <w14:ligatures w14:val="none"/>
              </w:rPr>
              <w:t>UOB</w:t>
            </w:r>
            <w:r w:rsidRPr="00567E52">
              <w:rPr>
                <w:rFonts w:ascii="Times New Roman" w:eastAsia="Times New Roman" w:hAnsi="Times New Roman" w:cs="Courier New"/>
                <w:bCs/>
                <w:color w:val="000000"/>
                <w:kern w:val="0"/>
                <w:lang w:eastAsia="tr-TR"/>
                <w14:ligatures w14:val="none"/>
              </w:rPr>
              <w:t xml:space="preserve"> (</w:t>
            </w:r>
            <w:r w:rsidRPr="00567E52">
              <w:rPr>
                <w:rFonts w:ascii="Times New Roman" w:eastAsia="Times New Roman" w:hAnsi="Times New Roman" w:cs="Courier New"/>
                <w:bCs/>
                <w:color w:val="000000"/>
                <w:kern w:val="0"/>
                <w:vertAlign w:val="superscript"/>
                <w:lang w:eastAsia="tr-TR"/>
                <w14:ligatures w14:val="none"/>
              </w:rPr>
              <w:t>2</w:t>
            </w:r>
            <w:r w:rsidRPr="00567E52">
              <w:rPr>
                <w:rFonts w:ascii="Times New Roman" w:eastAsia="Times New Roman" w:hAnsi="Times New Roman" w:cs="Courier New"/>
                <w:bCs/>
                <w:color w:val="000000"/>
                <w:kern w:val="0"/>
                <w:lang w:eastAsia="tr-TR"/>
                <w14:ligatures w14:val="none"/>
              </w:rPr>
              <w:t>)</w:t>
            </w:r>
          </w:p>
        </w:tc>
        <w:tc>
          <w:tcPr>
            <w:tcW w:w="109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3CDEFAC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mg C/Nm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5147359A"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1-14</w:t>
            </w:r>
          </w:p>
        </w:tc>
      </w:tr>
      <w:tr w:rsidR="003B155E" w:rsidRPr="00567E52" w14:paraId="379BB50C" w14:textId="77777777" w:rsidTr="000D79D6">
        <w:trPr>
          <w:trHeight w:val="450"/>
          <w:jc w:val="center"/>
        </w:trPr>
        <w:tc>
          <w:tcPr>
            <w:tcW w:w="1140" w:type="pct"/>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3A334968"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NH</w:t>
            </w:r>
            <w:r w:rsidRPr="00567E52">
              <w:rPr>
                <w:rFonts w:ascii="Times New Roman" w:eastAsia="Times New Roman" w:hAnsi="Times New Roman" w:cs="Courier New"/>
                <w:bCs/>
                <w:color w:val="000000"/>
                <w:kern w:val="0"/>
                <w:vertAlign w:val="subscript"/>
                <w:lang w:eastAsia="tr-TR"/>
                <w14:ligatures w14:val="none"/>
              </w:rPr>
              <w:t xml:space="preserve">3 </w:t>
            </w:r>
            <w:r w:rsidRPr="00567E52">
              <w:rPr>
                <w:rFonts w:ascii="Times New Roman" w:eastAsia="Times New Roman" w:hAnsi="Times New Roman" w:cs="Courier New"/>
                <w:bCs/>
                <w:color w:val="000000"/>
                <w:kern w:val="0"/>
                <w:lang w:eastAsia="tr-TR"/>
                <w14:ligatures w14:val="none"/>
              </w:rPr>
              <w:t>(</w:t>
            </w:r>
            <w:r w:rsidRPr="00567E52">
              <w:rPr>
                <w:rFonts w:ascii="Times New Roman" w:eastAsia="Times New Roman" w:hAnsi="Times New Roman" w:cs="Courier New"/>
                <w:bCs/>
                <w:color w:val="000000"/>
                <w:kern w:val="0"/>
                <w:vertAlign w:val="superscript"/>
                <w:lang w:eastAsia="tr-TR"/>
                <w14:ligatures w14:val="none"/>
              </w:rPr>
              <w:t>2</w:t>
            </w:r>
            <w:r w:rsidRPr="00567E52">
              <w:rPr>
                <w:rFonts w:ascii="Times New Roman" w:eastAsia="Times New Roman" w:hAnsi="Times New Roman" w:cs="Courier New"/>
                <w:bCs/>
                <w:color w:val="000000"/>
                <w:kern w:val="0"/>
                <w:lang w:eastAsia="tr-TR"/>
                <w14:ligatures w14:val="none"/>
              </w:rPr>
              <w:t>)</w:t>
            </w:r>
          </w:p>
        </w:tc>
        <w:tc>
          <w:tcPr>
            <w:tcW w:w="1095" w:type="pct"/>
            <w:tcBorders>
              <w:top w:val="single" w:sz="4" w:space="0" w:color="auto"/>
              <w:left w:val="nil"/>
              <w:right w:val="single" w:sz="8" w:space="0" w:color="000000"/>
            </w:tcBorders>
            <w:tcMar>
              <w:top w:w="0" w:type="dxa"/>
              <w:left w:w="100" w:type="dxa"/>
              <w:bottom w:w="0" w:type="dxa"/>
              <w:right w:w="100" w:type="dxa"/>
            </w:tcMar>
            <w:vAlign w:val="center"/>
          </w:tcPr>
          <w:p w14:paraId="5C93FDFC"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mg/Nm</w:t>
            </w:r>
            <w:r w:rsidRPr="00567E52">
              <w:rPr>
                <w:rFonts w:ascii="Times New Roman" w:eastAsia="Times New Roman" w:hAnsi="Times New Roman" w:cs="Courier New"/>
                <w:bCs/>
                <w:color w:val="000000"/>
                <w:kern w:val="0"/>
                <w:vertAlign w:val="superscript"/>
                <w:lang w:eastAsia="tr-TR"/>
                <w14:ligatures w14:val="none"/>
              </w:rPr>
              <w:t>3</w:t>
            </w:r>
          </w:p>
        </w:tc>
        <w:tc>
          <w:tcPr>
            <w:tcW w:w="2765" w:type="pct"/>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14:paraId="34839945"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567E52">
              <w:rPr>
                <w:rFonts w:ascii="Times New Roman" w:eastAsia="Times New Roman" w:hAnsi="Times New Roman" w:cs="Courier New"/>
                <w:bCs/>
                <w:color w:val="000000"/>
                <w:kern w:val="0"/>
                <w:lang w:eastAsia="tr-TR"/>
                <w14:ligatures w14:val="none"/>
              </w:rPr>
              <w:t>0,1-7</w:t>
            </w:r>
          </w:p>
        </w:tc>
      </w:tr>
      <w:tr w:rsidR="003B155E" w:rsidRPr="00567E52" w14:paraId="07B7BED7" w14:textId="77777777" w:rsidTr="000D79D6">
        <w:trPr>
          <w:trHeight w:val="450"/>
          <w:jc w:val="center"/>
        </w:trPr>
        <w:tc>
          <w:tcPr>
            <w:tcW w:w="5000" w:type="pct"/>
            <w:gridSpan w:val="3"/>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vAlign w:val="center"/>
          </w:tcPr>
          <w:p w14:paraId="6B7D640D"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(1) Aşağıdaki iki koşulun da karşılanması durumunda, kötü kokulu gazların yanması durumunda (örneğin termal oksitleyicilerde veya buhar kazanlarında) MET-İES aralığı geçerli olmayabilir:</w:t>
            </w:r>
          </w:p>
          <w:p w14:paraId="447426A2"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 yanma sıcaklığı yeterince yüksektir (tipik olarak 750– 850°C aralığında) ve yeterli kalma süresine sahiptir (tipik olarak 1 ila 2 saniye arasında); ve</w:t>
            </w:r>
          </w:p>
          <w:p w14:paraId="36FADB83" w14:textId="77777777" w:rsidR="003B155E" w:rsidRPr="0082590D"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 koku giderme etkinliği≥%99’dur veya alternatif olarak arıtılmış atık gazlarda proses kokusu algılanamamaktadır.</w:t>
            </w:r>
          </w:p>
          <w:p w14:paraId="50C3EF14" w14:textId="77777777" w:rsidR="003B155E" w:rsidRPr="00567E52"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82590D">
              <w:rPr>
                <w:rFonts w:ascii="Times New Roman" w:eastAsia="Times New Roman" w:hAnsi="Times New Roman" w:cs="Courier New"/>
                <w:bCs/>
                <w:color w:val="000000"/>
                <w:kern w:val="0"/>
                <w:sz w:val="20"/>
                <w:szCs w:val="20"/>
                <w:lang w:eastAsia="tr-TR"/>
                <w14:ligatures w14:val="none"/>
              </w:rPr>
              <w:t>(2) MET-İES, yalnızca kötü kokulu gazların (yoğuşmayan gazlar dahil) yanması (örneğin termal oksitleyicilerde veya buhar kazanlarında) için geçerlidir.</w:t>
            </w:r>
          </w:p>
        </w:tc>
      </w:tr>
    </w:tbl>
    <w:p w14:paraId="2F20F926"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1F0305BE" w14:textId="77777777" w:rsidR="003B155E" w:rsidRPr="00567E52"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567E52">
        <w:rPr>
          <w:rFonts w:ascii="Times New Roman" w:eastAsia="Times New Roman" w:hAnsi="Times New Roman" w:cs="Times New Roman"/>
          <w:bCs/>
          <w:spacing w:val="2"/>
          <w:kern w:val="0"/>
          <w:sz w:val="24"/>
          <w:lang w:bidi="tr-TR"/>
          <w14:ligatures w14:val="none"/>
        </w:rPr>
        <w:t>İlgili izleme MET 8’de verilmiştir.</w:t>
      </w:r>
    </w:p>
    <w:p w14:paraId="520002D1" w14:textId="77777777" w:rsidR="003B155E" w:rsidRPr="00567E52"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578FFFD" w14:textId="77777777" w:rsidR="003B155E" w:rsidRPr="00567E52"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567E52">
        <w:rPr>
          <w:rFonts w:ascii="Times New Roman" w:eastAsia="Times New Roman" w:hAnsi="Times New Roman" w:cs="Times New Roman"/>
          <w:b/>
          <w:color w:val="000000"/>
          <w:kern w:val="0"/>
          <w:sz w:val="24"/>
          <w:szCs w:val="26"/>
          <w:lang w:eastAsia="tr-TR"/>
          <w14:ligatures w14:val="none"/>
        </w:rPr>
        <w:t>1.4. Tekniklerin Tanımları</w:t>
      </w:r>
    </w:p>
    <w:p w14:paraId="6E01749C"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1.4.1. Su Emisyonları</w:t>
      </w:r>
    </w:p>
    <w:tbl>
      <w:tblPr>
        <w:tblStyle w:val="TabloKlavuzu23"/>
        <w:tblW w:w="5000" w:type="pct"/>
        <w:tblLook w:val="04A0" w:firstRow="1" w:lastRow="0" w:firstColumn="1" w:lastColumn="0" w:noHBand="0" w:noVBand="1"/>
      </w:tblPr>
      <w:tblGrid>
        <w:gridCol w:w="3217"/>
        <w:gridCol w:w="5845"/>
      </w:tblGrid>
      <w:tr w:rsidR="003B155E" w:rsidRPr="00567E52" w14:paraId="26E312BC" w14:textId="77777777" w:rsidTr="000D79D6">
        <w:tc>
          <w:tcPr>
            <w:tcW w:w="1775" w:type="pct"/>
            <w:vAlign w:val="center"/>
          </w:tcPr>
          <w:p w14:paraId="48E36D7F" w14:textId="77777777" w:rsidR="003B155E" w:rsidRPr="00567E52" w:rsidRDefault="003B155E" w:rsidP="000D79D6">
            <w:pPr>
              <w:jc w:val="center"/>
              <w:rPr>
                <w:rFonts w:ascii="Times New Roman" w:hAnsi="Times New Roman" w:cs="Times New Roman"/>
                <w:bCs/>
              </w:rPr>
            </w:pPr>
            <w:r w:rsidRPr="00567E52">
              <w:rPr>
                <w:rFonts w:ascii="Times New Roman" w:hAnsi="Times New Roman" w:cs="Times New Roman"/>
                <w:bCs/>
              </w:rPr>
              <w:t>Kullanılan Terim</w:t>
            </w:r>
          </w:p>
        </w:tc>
        <w:tc>
          <w:tcPr>
            <w:tcW w:w="3225" w:type="pct"/>
            <w:vAlign w:val="center"/>
          </w:tcPr>
          <w:p w14:paraId="57EC7F78" w14:textId="77777777" w:rsidR="003B155E" w:rsidRPr="00567E52" w:rsidRDefault="003B155E" w:rsidP="000D79D6">
            <w:pPr>
              <w:jc w:val="center"/>
              <w:rPr>
                <w:rFonts w:ascii="Times New Roman" w:hAnsi="Times New Roman" w:cs="Times New Roman"/>
                <w:bCs/>
              </w:rPr>
            </w:pPr>
            <w:r w:rsidRPr="00567E52">
              <w:rPr>
                <w:rFonts w:ascii="Times New Roman" w:hAnsi="Times New Roman" w:cs="Times New Roman"/>
                <w:bCs/>
              </w:rPr>
              <w:t>Tanım</w:t>
            </w:r>
          </w:p>
        </w:tc>
      </w:tr>
      <w:tr w:rsidR="003B155E" w:rsidRPr="00567E52" w14:paraId="67D1C4F0" w14:textId="77777777" w:rsidTr="000D79D6">
        <w:tc>
          <w:tcPr>
            <w:tcW w:w="1775" w:type="pct"/>
            <w:vAlign w:val="center"/>
          </w:tcPr>
          <w:p w14:paraId="70527E9A" w14:textId="77777777" w:rsidR="003B155E" w:rsidRPr="00567E52" w:rsidRDefault="003B155E" w:rsidP="000D79D6">
            <w:pPr>
              <w:rPr>
                <w:rFonts w:ascii="Times New Roman" w:hAnsi="Times New Roman" w:cs="Times New Roman"/>
                <w:bCs/>
              </w:rPr>
            </w:pPr>
            <w:r w:rsidRPr="00567E52">
              <w:rPr>
                <w:rFonts w:ascii="Times New Roman" w:hAnsi="Times New Roman" w:cs="Times New Roman"/>
                <w:bCs/>
                <w:color w:val="000000"/>
              </w:rPr>
              <w:t>Aktif çamur prosesi</w:t>
            </w:r>
          </w:p>
        </w:tc>
        <w:tc>
          <w:tcPr>
            <w:tcW w:w="3225" w:type="pct"/>
            <w:vAlign w:val="center"/>
          </w:tcPr>
          <w:p w14:paraId="27CFBEA7" w14:textId="77777777" w:rsidR="003B155E" w:rsidRPr="00E44312" w:rsidRDefault="003B155E" w:rsidP="000D79D6">
            <w:pPr>
              <w:jc w:val="both"/>
              <w:rPr>
                <w:rFonts w:ascii="Times New Roman" w:hAnsi="Times New Roman" w:cs="Times New Roman"/>
                <w:bCs/>
              </w:rPr>
            </w:pPr>
            <w:r w:rsidRPr="00E44312">
              <w:rPr>
                <w:rFonts w:ascii="Times New Roman" w:hAnsi="Times New Roman" w:cs="Times New Roman"/>
                <w:bCs/>
                <w:color w:val="000000"/>
              </w:rPr>
              <w:t>Mikroorganizmaların atıksuda askıda halde bulunduğa ve karışımın mekanik olarak havalandırıldığı biyolojik bir işlemdir. Aktif çamur karışımı, çamurun havalandırma tankına geri dönüştürüldüğü bir ayırma tesisine gönderilir.</w:t>
            </w:r>
          </w:p>
        </w:tc>
      </w:tr>
      <w:tr w:rsidR="003B155E" w:rsidRPr="00567E52" w14:paraId="28F5F160" w14:textId="77777777" w:rsidTr="000D79D6">
        <w:tc>
          <w:tcPr>
            <w:tcW w:w="1775" w:type="pct"/>
            <w:vAlign w:val="center"/>
          </w:tcPr>
          <w:p w14:paraId="757D14D5"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Aerobik lagün</w:t>
            </w:r>
          </w:p>
        </w:tc>
        <w:tc>
          <w:tcPr>
            <w:tcW w:w="3225" w:type="pct"/>
            <w:vAlign w:val="center"/>
          </w:tcPr>
          <w:p w14:paraId="5A9533ED" w14:textId="77777777" w:rsidR="003B155E" w:rsidRPr="00567E52" w:rsidRDefault="003B155E" w:rsidP="000D79D6">
            <w:pPr>
              <w:jc w:val="both"/>
              <w:rPr>
                <w:rFonts w:ascii="Times New Roman" w:hAnsi="Times New Roman" w:cs="Times New Roman"/>
                <w:bCs/>
              </w:rPr>
            </w:pPr>
            <w:r w:rsidRPr="00567E52">
              <w:rPr>
                <w:rFonts w:ascii="Times New Roman" w:hAnsi="Times New Roman" w:cs="Times New Roman"/>
                <w:bCs/>
                <w:color w:val="000000"/>
              </w:rPr>
              <w:t>Atıksuların biyolojik arıtımında kullanılan, içeriği belirli aralıklarla karıştırılarak atmosferik difüzyon yoluyla sıvıya oksijen verilmesini sağlayan sığ toprak havuzlardır.</w:t>
            </w:r>
          </w:p>
        </w:tc>
      </w:tr>
      <w:tr w:rsidR="003B155E" w:rsidRPr="00567E52" w14:paraId="53223605" w14:textId="77777777" w:rsidTr="000D79D6">
        <w:tc>
          <w:tcPr>
            <w:tcW w:w="1775" w:type="pct"/>
            <w:vAlign w:val="center"/>
          </w:tcPr>
          <w:p w14:paraId="7E39C763"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Anaerobik çürütücü</w:t>
            </w:r>
          </w:p>
        </w:tc>
        <w:tc>
          <w:tcPr>
            <w:tcW w:w="3225" w:type="pct"/>
            <w:vAlign w:val="center"/>
          </w:tcPr>
          <w:p w14:paraId="09A3272A" w14:textId="77777777" w:rsidR="003B155E" w:rsidRPr="00567E52" w:rsidRDefault="003B155E" w:rsidP="000D79D6">
            <w:pPr>
              <w:jc w:val="both"/>
              <w:rPr>
                <w:rFonts w:ascii="Times New Roman" w:hAnsi="Times New Roman" w:cs="Times New Roman"/>
                <w:bCs/>
              </w:rPr>
            </w:pPr>
            <w:r w:rsidRPr="00567E52">
              <w:rPr>
                <w:rFonts w:ascii="Times New Roman" w:hAnsi="Times New Roman" w:cs="Times New Roman"/>
                <w:bCs/>
                <w:color w:val="000000"/>
              </w:rPr>
              <w:t>Atıksuyun geri dönüştürülmüş çamurla karıştırıldığı ve daha sonra kapalı bir reaktörde çürütüldüğü anaerobik bir süreçtir. Su/çamur karışımı dışarıdan ayrılmaktadır.</w:t>
            </w:r>
          </w:p>
        </w:tc>
      </w:tr>
      <w:tr w:rsidR="003B155E" w:rsidRPr="00567E52" w14:paraId="794A4D86" w14:textId="77777777" w:rsidTr="000D79D6">
        <w:tc>
          <w:tcPr>
            <w:tcW w:w="1775" w:type="pct"/>
            <w:vAlign w:val="center"/>
          </w:tcPr>
          <w:p w14:paraId="627F4DC2"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Kimyasal oksidasyon (örneğin ozonla)</w:t>
            </w:r>
          </w:p>
        </w:tc>
        <w:tc>
          <w:tcPr>
            <w:tcW w:w="3225" w:type="pct"/>
            <w:vAlign w:val="center"/>
          </w:tcPr>
          <w:p w14:paraId="48D6F38D"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Kimyasal oksidasyon, oksijen/hava veya bakteri dışındaki kimyasal oksitleyici ajanlar tarafından kirleticilerin benzer ancak daha az zararlı veya tehlikeli bileşiklere ve/veya kısa zincirli ve daha kolay parçalanabilir veya biyolojik olarak parçalanabilir organik bileşenlere dönüştürülmesidir. Ozon, uygulanan bir kimyasal oksitleyici ajan örneğidir.</w:t>
            </w:r>
          </w:p>
        </w:tc>
      </w:tr>
      <w:tr w:rsidR="003B155E" w:rsidRPr="00567E52" w14:paraId="640BD4CE" w14:textId="77777777" w:rsidTr="000D79D6">
        <w:tc>
          <w:tcPr>
            <w:tcW w:w="1775" w:type="pct"/>
            <w:vAlign w:val="center"/>
          </w:tcPr>
          <w:p w14:paraId="328CFDB3"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rPr>
              <w:t>Koagülasyon ve flokülasyon</w:t>
            </w:r>
          </w:p>
        </w:tc>
        <w:tc>
          <w:tcPr>
            <w:tcW w:w="3225" w:type="pct"/>
            <w:vAlign w:val="center"/>
          </w:tcPr>
          <w:p w14:paraId="65ED84C8"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rPr>
              <w:t>Askıda katı maddeleri atıksudan ayırmak için kullanılır ve genellikle ardışık adımlar halinde gerçekleştirilir. Koagülasyon, askıda katı maddelerin yüklerine zıt yükleri olan pıhtılaştırıcılar eklenerek gerçekleştirilir. Flokülasyon, polimerler eklenerek daha büyük floklar üretmek için bağlanmalarına neden olur.</w:t>
            </w:r>
          </w:p>
        </w:tc>
      </w:tr>
      <w:tr w:rsidR="003B155E" w:rsidRPr="00567E52" w14:paraId="02182AD0" w14:textId="77777777" w:rsidTr="000D79D6">
        <w:tc>
          <w:tcPr>
            <w:tcW w:w="1775" w:type="pct"/>
            <w:vAlign w:val="center"/>
          </w:tcPr>
          <w:p w14:paraId="34EFCF1C"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Dengeleme</w:t>
            </w:r>
          </w:p>
        </w:tc>
        <w:tc>
          <w:tcPr>
            <w:tcW w:w="3225" w:type="pct"/>
            <w:vAlign w:val="center"/>
          </w:tcPr>
          <w:p w14:paraId="6EE92AB4"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Akışların ve kirletici yüklerin tanklar veya diğer yönetim teknikleri kullanılarak dengelenmesidir.</w:t>
            </w:r>
          </w:p>
        </w:tc>
      </w:tr>
      <w:tr w:rsidR="003B155E" w:rsidRPr="00567E52" w14:paraId="18FD791F" w14:textId="77777777" w:rsidTr="000D79D6">
        <w:tc>
          <w:tcPr>
            <w:tcW w:w="1775" w:type="pct"/>
            <w:vAlign w:val="center"/>
          </w:tcPr>
          <w:p w14:paraId="742F24EF"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İleri biyolojik fosfor giderimi</w:t>
            </w:r>
          </w:p>
        </w:tc>
        <w:tc>
          <w:tcPr>
            <w:tcW w:w="3225" w:type="pct"/>
            <w:vAlign w:val="center"/>
          </w:tcPr>
          <w:p w14:paraId="4FA8C795"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 xml:space="preserve">Aktif çamur içindeki bakteri topluluğunda polifosfat biriktiren mikroorganizmaları seçici olarak zenginleştirmek için aerobik ve anaerobik işlemin bir kombinasyonudur. Bu </w:t>
            </w:r>
            <w:r w:rsidRPr="00567E52">
              <w:rPr>
                <w:rFonts w:ascii="Times New Roman" w:hAnsi="Times New Roman" w:cs="Times New Roman"/>
                <w:bCs/>
                <w:color w:val="000000"/>
              </w:rPr>
              <w:lastRenderedPageBreak/>
              <w:t>mikroorganizmalar normal büyüme için gerekenden daha fazla fosfor alırlar.</w:t>
            </w:r>
          </w:p>
        </w:tc>
      </w:tr>
      <w:tr w:rsidR="003B155E" w:rsidRPr="00567E52" w14:paraId="34A2F8DA" w14:textId="77777777" w:rsidTr="000D79D6">
        <w:tc>
          <w:tcPr>
            <w:tcW w:w="1775" w:type="pct"/>
            <w:vAlign w:val="center"/>
          </w:tcPr>
          <w:p w14:paraId="4F1C5382"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lastRenderedPageBreak/>
              <w:t xml:space="preserve">Filtrasyon: </w:t>
            </w:r>
          </w:p>
        </w:tc>
        <w:tc>
          <w:tcPr>
            <w:tcW w:w="3225" w:type="pct"/>
            <w:vAlign w:val="center"/>
          </w:tcPr>
          <w:p w14:paraId="0CBC7361"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Atıksuyun gözenekli bir ortamdan geçirilmesiyle katıların ayrılmasıdır. Örneğin kum filtrasyonu, mikrofiltrasyon ve ultrafiltrasyon.</w:t>
            </w:r>
          </w:p>
        </w:tc>
      </w:tr>
      <w:tr w:rsidR="003B155E" w:rsidRPr="00567E52" w14:paraId="7DDED8C5" w14:textId="77777777" w:rsidTr="000D79D6">
        <w:tc>
          <w:tcPr>
            <w:tcW w:w="1775" w:type="pct"/>
            <w:vAlign w:val="center"/>
          </w:tcPr>
          <w:p w14:paraId="6B3187E7"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Flotasyon:</w:t>
            </w:r>
          </w:p>
        </w:tc>
        <w:tc>
          <w:tcPr>
            <w:tcW w:w="3225" w:type="pct"/>
            <w:vAlign w:val="center"/>
          </w:tcPr>
          <w:p w14:paraId="66379869"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Katı veya sıvı parçacıkların, genellikle havayla ince gaz kabarcıklarına bağlanarak atıksudan ayrılır.. Yüzen parçacıklar su yüzeyinde birikir ve sıyırıcılarla toplanır</w:t>
            </w:r>
          </w:p>
        </w:tc>
      </w:tr>
      <w:tr w:rsidR="003B155E" w:rsidRPr="00567E52" w14:paraId="4E1AFE76" w14:textId="77777777" w:rsidTr="000D79D6">
        <w:tc>
          <w:tcPr>
            <w:tcW w:w="1775" w:type="pct"/>
            <w:vAlign w:val="center"/>
          </w:tcPr>
          <w:p w14:paraId="692EFB98"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 xml:space="preserve">Membran biyoreaktör: </w:t>
            </w:r>
          </w:p>
        </w:tc>
        <w:tc>
          <w:tcPr>
            <w:tcW w:w="3225" w:type="pct"/>
            <w:vAlign w:val="center"/>
          </w:tcPr>
          <w:p w14:paraId="4A76E423"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Aktif çamur arıtımı ve membran filtrasyonunun bir kombinasyonu. İki şekilde kullanılır: a) aktif çamur tankı ile membran modülü arasında harici bir devridaim döngüsü şeklinde; ve b) membran modülünün havalandırmalı aktif çamur tankına daldırılması, burada atıksu içi boş bir elyaf membrandan filtrelenir ve biyokütle tankta kalır.</w:t>
            </w:r>
          </w:p>
        </w:tc>
      </w:tr>
      <w:tr w:rsidR="003B155E" w:rsidRPr="00567E52" w14:paraId="1ACBAAD6" w14:textId="77777777" w:rsidTr="000D79D6">
        <w:tc>
          <w:tcPr>
            <w:tcW w:w="1775" w:type="pct"/>
            <w:vAlign w:val="center"/>
          </w:tcPr>
          <w:p w14:paraId="7CA0D658"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 xml:space="preserve">Nötralizasyon: </w:t>
            </w:r>
          </w:p>
        </w:tc>
        <w:tc>
          <w:tcPr>
            <w:tcW w:w="3225" w:type="pct"/>
            <w:vAlign w:val="center"/>
          </w:tcPr>
          <w:p w14:paraId="414BFA3C"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Atıksuyun pH'ının kimyasal madde ilavesi ile nötr hale (yaklaşık 7) ayarlanmasıdır. pH'ı arttırmak için genellikle sodyum hidroksit (NaOH) veya kalsiyum hidroksit (Ca(OH)</w:t>
            </w:r>
            <w:r w:rsidRPr="00567E52">
              <w:rPr>
                <w:rFonts w:ascii="Times New Roman" w:hAnsi="Times New Roman" w:cs="Times New Roman"/>
                <w:bCs/>
                <w:color w:val="000000"/>
                <w:vertAlign w:val="subscript"/>
              </w:rPr>
              <w:t>2</w:t>
            </w:r>
            <w:r w:rsidRPr="00567E52">
              <w:rPr>
                <w:rFonts w:ascii="Times New Roman" w:hAnsi="Times New Roman" w:cs="Times New Roman"/>
                <w:bCs/>
                <w:color w:val="000000"/>
              </w:rPr>
              <w:t>) kullanılırken, pH'ı düşürmek için genellikle sülfürik asit (H</w:t>
            </w:r>
            <w:r w:rsidRPr="00567E52">
              <w:rPr>
                <w:rFonts w:ascii="Times New Roman" w:hAnsi="Times New Roman" w:cs="Times New Roman"/>
                <w:bCs/>
                <w:color w:val="000000"/>
                <w:vertAlign w:val="subscript"/>
              </w:rPr>
              <w:t>2</w:t>
            </w:r>
            <w:r w:rsidRPr="00567E52">
              <w:rPr>
                <w:rFonts w:ascii="Times New Roman" w:hAnsi="Times New Roman" w:cs="Times New Roman"/>
                <w:bCs/>
                <w:color w:val="000000"/>
              </w:rPr>
              <w:t>SO</w:t>
            </w:r>
            <w:r w:rsidRPr="00567E52">
              <w:rPr>
                <w:rFonts w:ascii="Times New Roman" w:hAnsi="Times New Roman" w:cs="Times New Roman"/>
                <w:bCs/>
                <w:color w:val="000000"/>
                <w:vertAlign w:val="subscript"/>
              </w:rPr>
              <w:t>4</w:t>
            </w:r>
            <w:r w:rsidRPr="00567E52">
              <w:rPr>
                <w:rFonts w:ascii="Times New Roman" w:hAnsi="Times New Roman" w:cs="Times New Roman"/>
                <w:bCs/>
                <w:color w:val="000000"/>
              </w:rPr>
              <w:t>), hidroklorik asit (HCl) veya karbondioksit (CO</w:t>
            </w:r>
            <w:r w:rsidRPr="00567E52">
              <w:rPr>
                <w:rFonts w:ascii="Times New Roman" w:hAnsi="Times New Roman" w:cs="Times New Roman"/>
                <w:bCs/>
                <w:color w:val="000000"/>
                <w:vertAlign w:val="subscript"/>
              </w:rPr>
              <w:t>2</w:t>
            </w:r>
            <w:r w:rsidRPr="00567E52">
              <w:rPr>
                <w:rFonts w:ascii="Times New Roman" w:hAnsi="Times New Roman" w:cs="Times New Roman"/>
                <w:bCs/>
                <w:color w:val="000000"/>
              </w:rPr>
              <w:t>) kullanılır. Nötrleştirme sırasında bazı maddelerin çökelmesi meydana gelebilir.</w:t>
            </w:r>
          </w:p>
        </w:tc>
      </w:tr>
      <w:tr w:rsidR="003B155E" w:rsidRPr="00567E52" w14:paraId="22CCE708" w14:textId="77777777" w:rsidTr="000D79D6">
        <w:tc>
          <w:tcPr>
            <w:tcW w:w="1775" w:type="pct"/>
            <w:vAlign w:val="center"/>
          </w:tcPr>
          <w:p w14:paraId="1265A1D2" w14:textId="77777777" w:rsidR="003B155E" w:rsidRPr="00567E52" w:rsidRDefault="003B155E" w:rsidP="000D79D6">
            <w:pPr>
              <w:rPr>
                <w:rFonts w:ascii="Times New Roman" w:hAnsi="Times New Roman" w:cs="Times New Roman"/>
                <w:bCs/>
              </w:rPr>
            </w:pPr>
            <w:r w:rsidRPr="00567E52">
              <w:rPr>
                <w:rFonts w:ascii="Times New Roman" w:hAnsi="Times New Roman" w:cs="Times New Roman"/>
                <w:bCs/>
                <w:color w:val="000000"/>
              </w:rPr>
              <w:t xml:space="preserve">Nitrifikasyon/Denitrifikasyon: </w:t>
            </w:r>
          </w:p>
        </w:tc>
        <w:tc>
          <w:tcPr>
            <w:tcW w:w="3225" w:type="pct"/>
            <w:vAlign w:val="center"/>
          </w:tcPr>
          <w:p w14:paraId="5FFDB31A" w14:textId="77777777" w:rsidR="003B155E" w:rsidRPr="00567E52" w:rsidRDefault="003B155E" w:rsidP="000D79D6">
            <w:pPr>
              <w:widowControl w:val="0"/>
              <w:jc w:val="both"/>
              <w:rPr>
                <w:rFonts w:ascii="Times New Roman" w:hAnsi="Times New Roman" w:cs="Times New Roman"/>
                <w:bCs/>
              </w:rPr>
            </w:pPr>
            <w:r w:rsidRPr="00567E52">
              <w:rPr>
                <w:rFonts w:ascii="Times New Roman" w:hAnsi="Times New Roman" w:cs="Arial"/>
                <w:bCs/>
                <w:color w:val="000000"/>
              </w:rPr>
              <w:t>Tipik olarak biyolojik atıksu arıtma tesislerine dahil edilen iki aşamalı bir işlemdir. İlk adım, mikroorganizmaların amonyumu (NH</w:t>
            </w:r>
            <w:r w:rsidRPr="00567E52">
              <w:rPr>
                <w:rFonts w:ascii="Times New Roman" w:hAnsi="Times New Roman" w:cs="Arial"/>
                <w:bCs/>
                <w:color w:val="000000"/>
                <w:vertAlign w:val="subscript"/>
              </w:rPr>
              <w:t>4</w:t>
            </w:r>
            <w:r w:rsidRPr="00567E52">
              <w:rPr>
                <w:rFonts w:ascii="Times New Roman" w:hAnsi="Times New Roman" w:cs="Arial"/>
                <w:bCs/>
                <w:color w:val="000000"/>
                <w:vertAlign w:val="superscript"/>
              </w:rPr>
              <w:t>+</w:t>
            </w:r>
            <w:r w:rsidRPr="00567E52">
              <w:rPr>
                <w:rFonts w:ascii="Times New Roman" w:hAnsi="Times New Roman" w:cs="Arial"/>
                <w:bCs/>
                <w:color w:val="000000"/>
              </w:rPr>
              <w:t>), nitrite (NO</w:t>
            </w:r>
            <w:r w:rsidRPr="00567E52">
              <w:rPr>
                <w:rFonts w:ascii="Times New Roman" w:hAnsi="Times New Roman" w:cs="Arial"/>
                <w:bCs/>
                <w:color w:val="000000"/>
                <w:vertAlign w:val="subscript"/>
              </w:rPr>
              <w:t>2</w:t>
            </w:r>
            <w:r w:rsidRPr="00567E52">
              <w:rPr>
                <w:rFonts w:ascii="Times New Roman" w:hAnsi="Times New Roman" w:cs="Arial"/>
                <w:bCs/>
                <w:color w:val="000000"/>
                <w:vertAlign w:val="superscript"/>
              </w:rPr>
              <w:t>-</w:t>
            </w:r>
            <w:r w:rsidRPr="00567E52">
              <w:rPr>
                <w:rFonts w:ascii="Times New Roman" w:hAnsi="Times New Roman" w:cs="Arial"/>
                <w:bCs/>
                <w:color w:val="000000"/>
              </w:rPr>
              <w:t>) ve ardından nitrata (NO</w:t>
            </w:r>
            <w:r w:rsidRPr="00567E52">
              <w:rPr>
                <w:rFonts w:ascii="Times New Roman" w:hAnsi="Times New Roman" w:cs="Arial"/>
                <w:bCs/>
                <w:color w:val="000000"/>
                <w:vertAlign w:val="subscript"/>
              </w:rPr>
              <w:t>3</w:t>
            </w:r>
            <w:r w:rsidRPr="00567E52">
              <w:rPr>
                <w:rFonts w:ascii="Times New Roman" w:hAnsi="Times New Roman" w:cs="Arial"/>
                <w:bCs/>
                <w:color w:val="000000"/>
                <w:vertAlign w:val="superscript"/>
              </w:rPr>
              <w:t>-</w:t>
            </w:r>
            <w:r w:rsidRPr="00567E52">
              <w:rPr>
                <w:rFonts w:ascii="Times New Roman" w:hAnsi="Times New Roman" w:cs="Arial"/>
                <w:bCs/>
                <w:color w:val="000000"/>
              </w:rPr>
              <w:t>) oksitlediği aerobik nitrifikasyondur. Anoksik denitrifikasyon adımında, mikroorganizmalar kimyasal olarak nitratı nitrojen gazına indirgemektedir.</w:t>
            </w:r>
          </w:p>
        </w:tc>
      </w:tr>
      <w:tr w:rsidR="003B155E" w:rsidRPr="00567E52" w14:paraId="7A860BA2" w14:textId="77777777" w:rsidTr="000D79D6">
        <w:tc>
          <w:tcPr>
            <w:tcW w:w="1775" w:type="pct"/>
            <w:vAlign w:val="center"/>
          </w:tcPr>
          <w:p w14:paraId="29C7D7AD" w14:textId="77777777" w:rsidR="003B155E" w:rsidRPr="00567E52" w:rsidRDefault="003B155E" w:rsidP="000D79D6">
            <w:pPr>
              <w:rPr>
                <w:rFonts w:ascii="Times New Roman" w:hAnsi="Times New Roman" w:cs="Times New Roman"/>
                <w:bCs/>
              </w:rPr>
            </w:pPr>
            <w:r w:rsidRPr="00567E52">
              <w:rPr>
                <w:rFonts w:ascii="Times New Roman" w:hAnsi="Times New Roman" w:cs="Times New Roman"/>
                <w:bCs/>
                <w:color w:val="000000"/>
              </w:rPr>
              <w:t xml:space="preserve">Strüvit olarak fosfor geri kazanımı: </w:t>
            </w:r>
          </w:p>
        </w:tc>
        <w:tc>
          <w:tcPr>
            <w:tcW w:w="3225" w:type="pct"/>
            <w:vAlign w:val="center"/>
          </w:tcPr>
          <w:p w14:paraId="72A9E368" w14:textId="77777777" w:rsidR="003B155E" w:rsidRPr="00567E52" w:rsidRDefault="003B155E" w:rsidP="000D79D6">
            <w:pPr>
              <w:jc w:val="both"/>
              <w:rPr>
                <w:rFonts w:ascii="Times New Roman" w:hAnsi="Times New Roman" w:cs="Times New Roman"/>
                <w:bCs/>
              </w:rPr>
            </w:pPr>
            <w:r w:rsidRPr="00567E52">
              <w:rPr>
                <w:rFonts w:ascii="Times New Roman" w:hAnsi="Times New Roman" w:cs="Times New Roman"/>
                <w:bCs/>
                <w:color w:val="000000"/>
              </w:rPr>
              <w:t>Fosfor, strüvit (magnezyum amonyum fosfat) formunda çöktürme yoluyla geri kazanılır.</w:t>
            </w:r>
          </w:p>
        </w:tc>
      </w:tr>
      <w:tr w:rsidR="003B155E" w:rsidRPr="00567E52" w14:paraId="2B9002A3" w14:textId="77777777" w:rsidTr="000D79D6">
        <w:tc>
          <w:tcPr>
            <w:tcW w:w="1775" w:type="pct"/>
            <w:vAlign w:val="center"/>
          </w:tcPr>
          <w:p w14:paraId="037933A0"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Çöktürme</w:t>
            </w:r>
          </w:p>
        </w:tc>
        <w:tc>
          <w:tcPr>
            <w:tcW w:w="3225" w:type="pct"/>
            <w:vAlign w:val="center"/>
          </w:tcPr>
          <w:p w14:paraId="5BBE38A5" w14:textId="77777777" w:rsidR="003B155E" w:rsidRPr="00567E52" w:rsidRDefault="003B155E" w:rsidP="000D79D6">
            <w:pPr>
              <w:jc w:val="both"/>
              <w:rPr>
                <w:rFonts w:ascii="Times New Roman" w:hAnsi="Times New Roman" w:cs="Times New Roman"/>
                <w:bCs/>
              </w:rPr>
            </w:pPr>
            <w:r w:rsidRPr="00567E52">
              <w:rPr>
                <w:rFonts w:ascii="Times New Roman" w:hAnsi="Times New Roman" w:cs="Times New Roman"/>
                <w:bCs/>
                <w:color w:val="000000"/>
              </w:rPr>
              <w:t>Çözünmüş kirleticilerin kimyasal çöktürücüler eklenerek çözünmeyen bileşiklere dönüştürülmesi. Oluşan katı çöktürücüler daha sonra sedimantasyon, hava flotasyonu veya filtrasyonla ayrılır. Çok değerli metal iyonları (örneğin kalsiyum, alüminyum, demir) fosfor çöktürmesi için kullanılır.</w:t>
            </w:r>
          </w:p>
        </w:tc>
      </w:tr>
      <w:tr w:rsidR="003B155E" w:rsidRPr="00567E52" w14:paraId="43F4A45A" w14:textId="77777777" w:rsidTr="000D79D6">
        <w:tc>
          <w:tcPr>
            <w:tcW w:w="1775" w:type="pct"/>
            <w:vAlign w:val="center"/>
          </w:tcPr>
          <w:p w14:paraId="4EC1E1E2" w14:textId="77777777" w:rsidR="003B155E" w:rsidRPr="00567E52" w:rsidRDefault="003B155E" w:rsidP="000D79D6">
            <w:pPr>
              <w:widowControl w:val="0"/>
              <w:jc w:val="both"/>
              <w:rPr>
                <w:rFonts w:ascii="Times New Roman" w:hAnsi="Times New Roman" w:cs="Times New Roman"/>
                <w:bCs/>
                <w:color w:val="000000"/>
              </w:rPr>
            </w:pPr>
            <w:r w:rsidRPr="00567E52">
              <w:rPr>
                <w:rFonts w:ascii="Times New Roman" w:hAnsi="Times New Roman" w:cs="Times New Roman"/>
                <w:bCs/>
                <w:color w:val="000000"/>
              </w:rPr>
              <w:t xml:space="preserve">Sedimentasyon: </w:t>
            </w:r>
          </w:p>
        </w:tc>
        <w:tc>
          <w:tcPr>
            <w:tcW w:w="3225" w:type="pct"/>
            <w:vAlign w:val="center"/>
          </w:tcPr>
          <w:p w14:paraId="7F037D8E" w14:textId="77777777" w:rsidR="003B155E" w:rsidRPr="00567E52" w:rsidRDefault="003B155E" w:rsidP="000D79D6">
            <w:pPr>
              <w:jc w:val="both"/>
              <w:rPr>
                <w:rFonts w:ascii="Times New Roman" w:hAnsi="Times New Roman" w:cs="Times New Roman"/>
                <w:bCs/>
              </w:rPr>
            </w:pPr>
            <w:r w:rsidRPr="00567E52">
              <w:rPr>
                <w:rFonts w:ascii="Times New Roman" w:hAnsi="Times New Roman" w:cs="Times New Roman"/>
                <w:bCs/>
                <w:color w:val="000000"/>
              </w:rPr>
              <w:t>Askıdaki parçacıkların yerçekimi yardımıyla  ayrılması.</w:t>
            </w:r>
          </w:p>
        </w:tc>
      </w:tr>
    </w:tbl>
    <w:p w14:paraId="1B51DC9A" w14:textId="77777777" w:rsidR="003B155E" w:rsidRPr="00567E52"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E88B37F"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1.4.2. Hava Emisyonları</w:t>
      </w:r>
    </w:p>
    <w:tbl>
      <w:tblPr>
        <w:tblStyle w:val="TabloKlavuzu23"/>
        <w:tblW w:w="5000" w:type="pct"/>
        <w:tblLook w:val="04A0" w:firstRow="1" w:lastRow="0" w:firstColumn="1" w:lastColumn="0" w:noHBand="0" w:noVBand="1"/>
      </w:tblPr>
      <w:tblGrid>
        <w:gridCol w:w="3110"/>
        <w:gridCol w:w="5952"/>
      </w:tblGrid>
      <w:tr w:rsidR="003B155E" w:rsidRPr="00567E52" w14:paraId="00556CEB" w14:textId="77777777" w:rsidTr="000D79D6">
        <w:tc>
          <w:tcPr>
            <w:tcW w:w="1716" w:type="pct"/>
            <w:vAlign w:val="center"/>
          </w:tcPr>
          <w:p w14:paraId="4D5AE7C7" w14:textId="77777777" w:rsidR="003B155E" w:rsidRPr="00567E52" w:rsidRDefault="003B155E" w:rsidP="000D79D6">
            <w:pPr>
              <w:jc w:val="center"/>
              <w:rPr>
                <w:rFonts w:ascii="Times New Roman" w:hAnsi="Times New Roman" w:cs="Times New Roman"/>
                <w:bCs/>
              </w:rPr>
            </w:pPr>
            <w:r w:rsidRPr="00567E52">
              <w:rPr>
                <w:rFonts w:ascii="Times New Roman" w:hAnsi="Times New Roman" w:cs="Times New Roman"/>
                <w:bCs/>
              </w:rPr>
              <w:t>Kullanılan Terim</w:t>
            </w:r>
          </w:p>
        </w:tc>
        <w:tc>
          <w:tcPr>
            <w:tcW w:w="3284" w:type="pct"/>
            <w:vAlign w:val="center"/>
          </w:tcPr>
          <w:p w14:paraId="337A9290" w14:textId="77777777" w:rsidR="003B155E" w:rsidRPr="00567E52" w:rsidRDefault="003B155E" w:rsidP="000D79D6">
            <w:pPr>
              <w:jc w:val="center"/>
              <w:rPr>
                <w:rFonts w:ascii="Times New Roman" w:hAnsi="Times New Roman" w:cs="Times New Roman"/>
                <w:bCs/>
              </w:rPr>
            </w:pPr>
            <w:r w:rsidRPr="00567E52">
              <w:rPr>
                <w:rFonts w:ascii="Times New Roman" w:hAnsi="Times New Roman" w:cs="Times New Roman"/>
                <w:bCs/>
              </w:rPr>
              <w:t>Tanım</w:t>
            </w:r>
          </w:p>
        </w:tc>
      </w:tr>
      <w:tr w:rsidR="003B155E" w:rsidRPr="00567E52" w14:paraId="0B251C56" w14:textId="77777777" w:rsidTr="000D79D6">
        <w:tc>
          <w:tcPr>
            <w:tcW w:w="1716" w:type="pct"/>
            <w:vAlign w:val="center"/>
          </w:tcPr>
          <w:p w14:paraId="6840153D"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Adsorpsiyon</w:t>
            </w:r>
          </w:p>
        </w:tc>
        <w:tc>
          <w:tcPr>
            <w:tcW w:w="3284" w:type="pct"/>
            <w:vAlign w:val="center"/>
          </w:tcPr>
          <w:p w14:paraId="7D7BA2E5"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Atık gaz akımından organik bileşikler, katı bir yüzeyde (genellikle aktif karbon) tutularak uzaklaştırılır.</w:t>
            </w:r>
          </w:p>
        </w:tc>
      </w:tr>
      <w:tr w:rsidR="003B155E" w:rsidRPr="00567E52" w14:paraId="5DAED799" w14:textId="77777777" w:rsidTr="000D79D6">
        <w:tc>
          <w:tcPr>
            <w:tcW w:w="1716" w:type="pct"/>
            <w:vAlign w:val="center"/>
          </w:tcPr>
          <w:p w14:paraId="29BCCD82"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Torba filtre</w:t>
            </w:r>
          </w:p>
        </w:tc>
        <w:tc>
          <w:tcPr>
            <w:tcW w:w="3284" w:type="pct"/>
            <w:vAlign w:val="center"/>
          </w:tcPr>
          <w:p w14:paraId="4B24CBE4"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Çoğunlukla kumaş filtreler olarak adlandırılan torba filtreler, parçacıkları uzaklaştırmak için gazların içinden geçirildiği gözenekli dokuma veya keçeli kumaştan yapılmaktadır. Torbalı filtre kullanımı, atık gazın özelliklerine ve maksimum çalışma sıcaklığına uygun kumaş seçimini gerektirmektedir.</w:t>
            </w:r>
          </w:p>
        </w:tc>
      </w:tr>
      <w:tr w:rsidR="003B155E" w:rsidRPr="00567E52" w14:paraId="1354336E" w14:textId="77777777" w:rsidTr="000D79D6">
        <w:tc>
          <w:tcPr>
            <w:tcW w:w="1716" w:type="pct"/>
            <w:vAlign w:val="center"/>
          </w:tcPr>
          <w:p w14:paraId="1791E665"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Biyofiltre</w:t>
            </w:r>
          </w:p>
        </w:tc>
        <w:tc>
          <w:tcPr>
            <w:tcW w:w="3284" w:type="pct"/>
            <w:vAlign w:val="center"/>
          </w:tcPr>
          <w:p w14:paraId="5340740D"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Atık gaz akımı, organik madde (turba, funda, kompost, kök, ağaç kabuğu, yumuşak ağaç ve farklı kombinasyonları gibi) veya bazı inert maddelerden (kil, aktif karbon ve poliüretan gibi) oluşan bir yataktan geçirilir ve burada doğal olarak oluşan mikroorganizmalar tarafından biyolojik olarak oksitlenerek karbondioksit, su, inorganik tuzlar ve biyokütleye dönüştürülür.</w:t>
            </w:r>
          </w:p>
          <w:p w14:paraId="6AB0FBE0"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 xml:space="preserve">Bir biyofiltre, atık girişinin türü(türleri) dikkate alınarak tasarlanır. Uygun bir yatak malzemesi, örneğin su tutma </w:t>
            </w:r>
            <w:r w:rsidRPr="00567E52">
              <w:rPr>
                <w:rFonts w:ascii="Times New Roman" w:hAnsi="Times New Roman" w:cs="Times New Roman"/>
                <w:bCs/>
                <w:color w:val="000000"/>
              </w:rPr>
              <w:lastRenderedPageBreak/>
              <w:t>kapasitesi, yığın yoğunluğu, gözeneklilik, yapısal bütünlük açısından seçilir. Ayrıca filtre yatağının uygun yüksekliği ve yüzey alanı da önemlidir. Biyofiltre, yatak boyunca düzgün bir hava dağılımı ve atık gazın yatak içinde yeterli bir kalma süresi sağlamak için uygun bir havalandırma ve hava sirkülasyon sistemine bağlanır.</w:t>
            </w:r>
          </w:p>
          <w:p w14:paraId="22BBA275"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Biyofiltreler açık üstlü biyofiltreler ve kapalı biyofiltreler olmak üzere ikiye ayrılır.</w:t>
            </w:r>
          </w:p>
        </w:tc>
      </w:tr>
      <w:tr w:rsidR="003B155E" w:rsidRPr="00567E52" w14:paraId="5A05E130" w14:textId="77777777" w:rsidTr="000D79D6">
        <w:tc>
          <w:tcPr>
            <w:tcW w:w="1716" w:type="pct"/>
            <w:vAlign w:val="center"/>
          </w:tcPr>
          <w:p w14:paraId="2045BD08"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lastRenderedPageBreak/>
              <w:t>Biyo yıkayıcı</w:t>
            </w:r>
          </w:p>
        </w:tc>
        <w:tc>
          <w:tcPr>
            <w:tcW w:w="3284" w:type="pct"/>
            <w:vAlign w:val="center"/>
          </w:tcPr>
          <w:p w14:paraId="2E71ACFB"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Normalde sürekli olarak su serpilerek nemlendirilen inert paketleme malzemesine sahip paketlenmiş bir kule filtresi. Hava kirleticileri sıvı fazda emilir ve daha sonra filtre elemanlarına yerleşen mikroorganizmalar tarafından parçalanır.</w:t>
            </w:r>
          </w:p>
        </w:tc>
      </w:tr>
      <w:tr w:rsidR="003B155E" w:rsidRPr="00567E52" w14:paraId="43271A76" w14:textId="77777777" w:rsidTr="000D79D6">
        <w:tc>
          <w:tcPr>
            <w:tcW w:w="1716" w:type="pct"/>
            <w:vAlign w:val="center"/>
          </w:tcPr>
          <w:p w14:paraId="2E9CDDA2"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Yoğunlaşmayan gazlar da dahil olmak üzere kötü kokulu gazların buhar kazanında yanması</w:t>
            </w:r>
          </w:p>
        </w:tc>
        <w:tc>
          <w:tcPr>
            <w:tcW w:w="3284" w:type="pct"/>
            <w:vAlign w:val="center"/>
          </w:tcPr>
          <w:p w14:paraId="52EF589B"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Tesiste bulunan buhar kazanında, yoğuşmayan gazlar da dahil olmak üzere kötü kokulu gazlar yakılmaktadır.</w:t>
            </w:r>
          </w:p>
        </w:tc>
      </w:tr>
      <w:tr w:rsidR="003B155E" w:rsidRPr="00567E52" w14:paraId="68AFFF12" w14:textId="77777777" w:rsidTr="000D79D6">
        <w:tc>
          <w:tcPr>
            <w:tcW w:w="1716" w:type="pct"/>
            <w:vAlign w:val="center"/>
          </w:tcPr>
          <w:p w14:paraId="4E2EE6C6"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Yoğuşma</w:t>
            </w:r>
          </w:p>
        </w:tc>
        <w:tc>
          <w:tcPr>
            <w:tcW w:w="3284" w:type="pct"/>
            <w:vAlign w:val="center"/>
          </w:tcPr>
          <w:p w14:paraId="785825D3"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Bir prosesin atık gaz veya çıkış gaz akımından, buharların çiğlenme noktasının altına düşürülmesiyle organik ve inorganik bileşiklerin buharlarının sıvılaştırılması yoluyla uzaklaştırılması.</w:t>
            </w:r>
          </w:p>
        </w:tc>
      </w:tr>
      <w:tr w:rsidR="003B155E" w:rsidRPr="00567E52" w14:paraId="4F01DF59" w14:textId="77777777" w:rsidTr="000D79D6">
        <w:tc>
          <w:tcPr>
            <w:tcW w:w="1716" w:type="pct"/>
            <w:vAlign w:val="center"/>
          </w:tcPr>
          <w:p w14:paraId="42D93346"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 xml:space="preserve">Termal oksidasyon: </w:t>
            </w:r>
          </w:p>
        </w:tc>
        <w:tc>
          <w:tcPr>
            <w:tcW w:w="3284" w:type="pct"/>
            <w:vAlign w:val="center"/>
          </w:tcPr>
          <w:p w14:paraId="2190E730"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Atık gaz akımındaki yanıcı gazların ve koku maddelerinin, kirletici maddelerin hava veya oksijenle karışımının bir yanma odasında kendiliğinden tutuşma noktasının üzerine kadar ısıtılması ve yanma işleminin karbondioksit ve suya dönüşmesi için yeterince uzun bir süre yüksek bir sıcaklıkta tutulmasıyla oksidasyonu.</w:t>
            </w:r>
          </w:p>
        </w:tc>
      </w:tr>
      <w:tr w:rsidR="003B155E" w:rsidRPr="00567E52" w14:paraId="48EBA4F1" w14:textId="77777777" w:rsidTr="000D79D6">
        <w:tc>
          <w:tcPr>
            <w:tcW w:w="1716" w:type="pct"/>
            <w:vAlign w:val="center"/>
          </w:tcPr>
          <w:p w14:paraId="15E23B0B"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Y</w:t>
            </w:r>
            <w:r w:rsidRPr="00567E52">
              <w:rPr>
                <w:rFonts w:ascii="Times New Roman" w:hAnsi="Times New Roman" w:cs="Arial"/>
                <w:color w:val="000000"/>
              </w:rPr>
              <w:t xml:space="preserve">aş </w:t>
            </w:r>
            <w:r w:rsidRPr="00567E52">
              <w:rPr>
                <w:rFonts w:ascii="Times New Roman" w:hAnsi="Times New Roman" w:cs="Times New Roman"/>
                <w:bCs/>
                <w:color w:val="000000"/>
              </w:rPr>
              <w:t>yıkayıcı</w:t>
            </w:r>
          </w:p>
        </w:tc>
        <w:tc>
          <w:tcPr>
            <w:tcW w:w="3284" w:type="pct"/>
            <w:vAlign w:val="center"/>
          </w:tcPr>
          <w:p w14:paraId="22FFC314"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Gaz halindeki veya parçacık halindeki kirleticilerin bir gaz akışından sıvı bir çözücüye, genellikle suya veya sulu bir çözeltiye kütle aktarımı yoluyla uzaklaştırılması. Kimyasal bir reaksiyon içerebilir (örn. asit veya alkali temizleyicide). Bazı durumlarda bileşikler solventten geri kazanılabilir.</w:t>
            </w:r>
          </w:p>
        </w:tc>
      </w:tr>
    </w:tbl>
    <w:p w14:paraId="132380C1" w14:textId="77777777" w:rsidR="003B155E" w:rsidRPr="00567E52"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540F1F5D" w14:textId="77777777" w:rsidR="003B155E" w:rsidRPr="00567E52"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567E52">
        <w:rPr>
          <w:rFonts w:ascii="Times New Roman" w:eastAsia="Times New Roman" w:hAnsi="Times New Roman" w:cs="Times New Roman"/>
          <w:b/>
          <w:color w:val="000000"/>
          <w:kern w:val="0"/>
          <w:sz w:val="24"/>
          <w:szCs w:val="24"/>
          <w:lang w:eastAsia="tr-TR"/>
          <w14:ligatures w14:val="none"/>
        </w:rPr>
        <w:t>1.4.3. Soğutucuların Kullanımı</w:t>
      </w:r>
    </w:p>
    <w:tbl>
      <w:tblPr>
        <w:tblStyle w:val="TabloKlavuzu23"/>
        <w:tblW w:w="5000" w:type="pct"/>
        <w:tblLook w:val="04A0" w:firstRow="1" w:lastRow="0" w:firstColumn="1" w:lastColumn="0" w:noHBand="0" w:noVBand="1"/>
      </w:tblPr>
      <w:tblGrid>
        <w:gridCol w:w="2298"/>
        <w:gridCol w:w="6764"/>
      </w:tblGrid>
      <w:tr w:rsidR="003B155E" w:rsidRPr="00567E52" w14:paraId="5EB6E0F1" w14:textId="77777777" w:rsidTr="000D79D6">
        <w:tc>
          <w:tcPr>
            <w:tcW w:w="1268" w:type="pct"/>
            <w:vAlign w:val="center"/>
          </w:tcPr>
          <w:p w14:paraId="633315EA" w14:textId="77777777" w:rsidR="003B155E" w:rsidRPr="00567E52" w:rsidRDefault="003B155E" w:rsidP="000D79D6">
            <w:pPr>
              <w:jc w:val="center"/>
              <w:rPr>
                <w:rFonts w:ascii="Times New Roman" w:hAnsi="Times New Roman" w:cs="Times New Roman"/>
                <w:bCs/>
              </w:rPr>
            </w:pPr>
            <w:r w:rsidRPr="00567E52">
              <w:rPr>
                <w:rFonts w:ascii="Times New Roman" w:hAnsi="Times New Roman" w:cs="Times New Roman"/>
                <w:bCs/>
              </w:rPr>
              <w:t>Kullanılan Terim</w:t>
            </w:r>
          </w:p>
        </w:tc>
        <w:tc>
          <w:tcPr>
            <w:tcW w:w="3732" w:type="pct"/>
            <w:vAlign w:val="center"/>
          </w:tcPr>
          <w:p w14:paraId="39DC97C3" w14:textId="77777777" w:rsidR="003B155E" w:rsidRPr="00567E52" w:rsidRDefault="003B155E" w:rsidP="000D79D6">
            <w:pPr>
              <w:jc w:val="center"/>
              <w:rPr>
                <w:rFonts w:ascii="Times New Roman" w:hAnsi="Times New Roman" w:cs="Times New Roman"/>
                <w:bCs/>
              </w:rPr>
            </w:pPr>
            <w:r w:rsidRPr="00567E52">
              <w:rPr>
                <w:rFonts w:ascii="Times New Roman" w:hAnsi="Times New Roman" w:cs="Times New Roman"/>
                <w:bCs/>
              </w:rPr>
              <w:t>Tanım</w:t>
            </w:r>
          </w:p>
        </w:tc>
      </w:tr>
      <w:tr w:rsidR="003B155E" w:rsidRPr="00567E52" w14:paraId="746EE3DA" w14:textId="77777777" w:rsidTr="000D79D6">
        <w:tc>
          <w:tcPr>
            <w:tcW w:w="1268" w:type="pct"/>
            <w:vAlign w:val="center"/>
          </w:tcPr>
          <w:p w14:paraId="28E053DF" w14:textId="77777777" w:rsidR="003B155E" w:rsidRPr="00567E52" w:rsidRDefault="003B155E" w:rsidP="000D79D6">
            <w:pPr>
              <w:rPr>
                <w:rFonts w:ascii="Times New Roman" w:hAnsi="Times New Roman" w:cs="Times New Roman"/>
                <w:bCs/>
                <w:color w:val="000000"/>
              </w:rPr>
            </w:pPr>
            <w:r w:rsidRPr="00567E52">
              <w:rPr>
                <w:rFonts w:ascii="Times New Roman" w:hAnsi="Times New Roman" w:cs="Times New Roman"/>
                <w:bCs/>
                <w:color w:val="000000"/>
              </w:rPr>
              <w:t>S</w:t>
            </w:r>
            <w:r w:rsidRPr="00567E52">
              <w:rPr>
                <w:rFonts w:ascii="Times New Roman" w:hAnsi="Times New Roman" w:cs="Arial"/>
                <w:bCs/>
                <w:color w:val="000000"/>
              </w:rPr>
              <w:t>oğutma yönetim planı</w:t>
            </w:r>
          </w:p>
        </w:tc>
        <w:tc>
          <w:tcPr>
            <w:tcW w:w="3732" w:type="pct"/>
            <w:vAlign w:val="center"/>
          </w:tcPr>
          <w:p w14:paraId="40FE4F14"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Soğutma yönetim planı, çevre yönetim sisteminin bir parçasıdır (bkz. MET 1) ve şunları içerir:</w:t>
            </w:r>
          </w:p>
          <w:p w14:paraId="772C8D86"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 soğutma sisteminin enerji tüketiminin izlenmesi (bkz. MET 6);</w:t>
            </w:r>
          </w:p>
          <w:p w14:paraId="033E5707" w14:textId="77777777" w:rsidR="003B155E" w:rsidRPr="00567E52" w:rsidRDefault="003B155E" w:rsidP="000D79D6">
            <w:pPr>
              <w:ind w:left="172" w:hanging="172"/>
              <w:jc w:val="both"/>
              <w:rPr>
                <w:rFonts w:ascii="Times New Roman" w:hAnsi="Times New Roman" w:cs="Times New Roman"/>
                <w:bCs/>
                <w:color w:val="000000"/>
              </w:rPr>
            </w:pPr>
            <w:r w:rsidRPr="00567E52">
              <w:rPr>
                <w:rFonts w:ascii="Times New Roman" w:hAnsi="Times New Roman" w:cs="Times New Roman"/>
                <w:bCs/>
                <w:color w:val="000000"/>
              </w:rPr>
              <w:t>- ekipmanın muayenesi ve bakımı, mümkün olduğunda kapılarının kapatılması gibi operasyonel önlemler; ekipmanın deneyimli personel tarafından çalıştırılması;</w:t>
            </w:r>
          </w:p>
          <w:p w14:paraId="099D5913" w14:textId="77777777" w:rsidR="003B155E" w:rsidRPr="00567E52" w:rsidRDefault="003B155E" w:rsidP="000D79D6">
            <w:pPr>
              <w:jc w:val="both"/>
              <w:rPr>
                <w:rFonts w:ascii="Times New Roman" w:hAnsi="Times New Roman" w:cs="Times New Roman"/>
                <w:bCs/>
                <w:color w:val="000000"/>
              </w:rPr>
            </w:pPr>
            <w:r w:rsidRPr="00567E52">
              <w:rPr>
                <w:rFonts w:ascii="Times New Roman" w:hAnsi="Times New Roman" w:cs="Times New Roman"/>
                <w:bCs/>
                <w:color w:val="000000"/>
              </w:rPr>
              <w:t>- soğutucu akışkan kayıplarının izlenmesi (bkz. MET 6).</w:t>
            </w:r>
          </w:p>
        </w:tc>
      </w:tr>
    </w:tbl>
    <w:p w14:paraId="5D280AA2" w14:textId="77777777" w:rsidR="003B155E" w:rsidRPr="00A81419" w:rsidRDefault="003B155E" w:rsidP="003B155E">
      <w:pPr>
        <w:spacing w:after="120" w:line="276" w:lineRule="auto"/>
        <w:jc w:val="both"/>
        <w:rPr>
          <w:rFonts w:ascii="Times New Roman" w:hAnsi="Times New Roman" w:cs="Times New Roman"/>
          <w:sz w:val="24"/>
          <w:szCs w:val="24"/>
        </w:rPr>
      </w:pPr>
    </w:p>
    <w:p w14:paraId="642CE1DC" w14:textId="77777777" w:rsidR="003B155E" w:rsidRDefault="003B155E" w:rsidP="003B155E"/>
    <w:p w14:paraId="28E19C2D" w14:textId="77777777" w:rsidR="00C61D9E" w:rsidRDefault="00C61D9E" w:rsidP="00F9333E">
      <w:pPr>
        <w:spacing w:after="120" w:line="276" w:lineRule="auto"/>
        <w:jc w:val="both"/>
        <w:rPr>
          <w:rFonts w:ascii="Times New Roman" w:hAnsi="Times New Roman" w:cs="Times New Roman"/>
          <w:sz w:val="24"/>
          <w:szCs w:val="24"/>
        </w:rPr>
        <w:sectPr w:rsidR="00C61D9E">
          <w:pgSz w:w="11906" w:h="16838"/>
          <w:pgMar w:top="1417" w:right="1417" w:bottom="1417" w:left="1417" w:header="708" w:footer="708" w:gutter="0"/>
          <w:cols w:space="708"/>
          <w:docGrid w:linePitch="360"/>
        </w:sectPr>
      </w:pPr>
    </w:p>
    <w:p w14:paraId="7231295C" w14:textId="77777777" w:rsidR="003B155E" w:rsidRPr="00F77F69" w:rsidRDefault="003B155E" w:rsidP="003B155E">
      <w:pPr>
        <w:pStyle w:val="Balk1"/>
        <w:spacing w:before="0" w:after="120" w:line="276" w:lineRule="auto"/>
        <w:jc w:val="right"/>
        <w:rPr>
          <w:rFonts w:cs="Times New Roman"/>
          <w:bCs/>
          <w:szCs w:val="24"/>
        </w:rPr>
      </w:pPr>
      <w:r w:rsidRPr="00F77F69">
        <w:rPr>
          <w:rFonts w:cs="Times New Roman"/>
          <w:bCs/>
          <w:szCs w:val="24"/>
        </w:rPr>
        <w:lastRenderedPageBreak/>
        <w:t>EK-7</w:t>
      </w:r>
    </w:p>
    <w:p w14:paraId="630CA568" w14:textId="77777777" w:rsidR="003B155E" w:rsidRPr="00F77F69" w:rsidRDefault="003B155E" w:rsidP="003B155E">
      <w:pPr>
        <w:pStyle w:val="Balk1"/>
        <w:spacing w:before="0" w:after="120" w:line="276" w:lineRule="auto"/>
        <w:jc w:val="center"/>
        <w:rPr>
          <w:rFonts w:cs="Times New Roman"/>
          <w:bCs/>
          <w:szCs w:val="24"/>
        </w:rPr>
      </w:pPr>
      <w:r w:rsidRPr="00F77F69">
        <w:rPr>
          <w:rFonts w:cs="Times New Roman"/>
          <w:bCs/>
          <w:szCs w:val="24"/>
        </w:rPr>
        <w:t>GIDA, İÇECEK VE SÜT ÜRÜNLERİ SEKTÖRLERİ İÇİN MEVCUT EN İYİ TEKNİKLER</w:t>
      </w:r>
    </w:p>
    <w:p w14:paraId="773271B3" w14:textId="0CEEACB4"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w:t>
      </w:r>
      <w:r w:rsidR="00F30039">
        <w:rPr>
          <w:rFonts w:ascii="Times New Roman" w:hAnsi="Times New Roman" w:cs="Times New Roman"/>
          <w:sz w:val="24"/>
          <w:szCs w:val="24"/>
        </w:rPr>
        <w:t>K</w:t>
      </w:r>
      <w:r>
        <w:rPr>
          <w:rFonts w:ascii="Times New Roman" w:hAnsi="Times New Roman" w:cs="Times New Roman"/>
          <w:sz w:val="24"/>
          <w:szCs w:val="24"/>
        </w:rPr>
        <w:t>-1’inde yer alan aşağıdaki endüstriyel faaliyetleri kapsar:</w:t>
      </w:r>
    </w:p>
    <w:p w14:paraId="6540E7F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6.4. (b) Hammaddelerin önceden işlenmiş olup olmadığına bakılmaksızın gıda veya hayvan yemi üretimi için işlemden geçirilmesi (yalnızca ambalajlama yapılması hariç):</w:t>
      </w:r>
    </w:p>
    <w:p w14:paraId="060F1BF0" w14:textId="77777777" w:rsidR="003B155E" w:rsidRDefault="003B155E" w:rsidP="003B155E">
      <w:pPr>
        <w:pStyle w:val="ListeParagraf"/>
        <w:numPr>
          <w:ilvl w:val="0"/>
          <w:numId w:val="11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Günlük üretim kapasitesi 75 ton üzerinde yalnızca hayvansal hammaddelerin (sadece sütten yapılan üretim hariç) işlenmesi,</w:t>
      </w:r>
    </w:p>
    <w:p w14:paraId="0CAF84AE" w14:textId="77777777" w:rsidR="003B155E" w:rsidRDefault="003B155E" w:rsidP="003B155E">
      <w:pPr>
        <w:pStyle w:val="ListeParagraf"/>
        <w:numPr>
          <w:ilvl w:val="0"/>
          <w:numId w:val="11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Günlük bitmiş/nihai ürün kapasitesi 300 ton üzerinde ya da tesisin bir yıl içinde art arda 90 günden fazla faaliyet göstermediği hallerde günlük bitmiş/nihai ürün kapasitesi 600 ton üzerinde yalnızca bitkisel hammaddelerin işlenmesi,</w:t>
      </w:r>
    </w:p>
    <w:p w14:paraId="4481CD6B" w14:textId="77777777" w:rsidR="003B155E" w:rsidRDefault="003B155E" w:rsidP="003B155E">
      <w:pPr>
        <w:pStyle w:val="ListeParagraf"/>
        <w:numPr>
          <w:ilvl w:val="0"/>
          <w:numId w:val="11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Hayvansal ve bitkisel hammaddelerin günlük bitmiş/nihai ürün kapasitesi ton cinsinden aşağıdaki değerlerden fazla olmak üzere, aynı üründe veya ayrı ayrı işlenmesi:</w:t>
      </w:r>
    </w:p>
    <w:p w14:paraId="42B26347" w14:textId="77777777" w:rsidR="003B155E" w:rsidRDefault="003B155E" w:rsidP="003B155E">
      <w:pPr>
        <w:pStyle w:val="ListeParagraf"/>
        <w:spacing w:after="120" w:line="276" w:lineRule="auto"/>
        <w:jc w:val="both"/>
        <w:rPr>
          <w:rFonts w:ascii="Times New Roman" w:hAnsi="Times New Roman" w:cs="Times New Roman"/>
          <w:sz w:val="24"/>
          <w:szCs w:val="24"/>
        </w:rPr>
      </w:pPr>
      <w:r>
        <w:rPr>
          <w:rFonts w:ascii="Times New Roman" w:hAnsi="Times New Roman" w:cs="Times New Roman"/>
          <w:sz w:val="24"/>
          <w:szCs w:val="24"/>
        </w:rPr>
        <w:t>-- A, 10’a eşitse veya 10’dan büyükse 75 ya da</w:t>
      </w:r>
    </w:p>
    <w:p w14:paraId="509779BA" w14:textId="77777777" w:rsidR="003B155E" w:rsidRDefault="003B155E" w:rsidP="003B155E">
      <w:pPr>
        <w:pStyle w:val="ListeParagraf"/>
        <w:spacing w:after="120" w:line="276" w:lineRule="auto"/>
        <w:jc w:val="both"/>
        <w:rPr>
          <w:rFonts w:ascii="Times New Roman" w:hAnsi="Times New Roman" w:cs="Times New Roman"/>
          <w:sz w:val="24"/>
          <w:szCs w:val="24"/>
        </w:rPr>
      </w:pPr>
      <w:r>
        <w:rPr>
          <w:rFonts w:ascii="Times New Roman" w:hAnsi="Times New Roman" w:cs="Times New Roman"/>
          <w:sz w:val="24"/>
          <w:szCs w:val="24"/>
        </w:rPr>
        <w:t>-- Diğer durumlarda [300 – (22,5 x A)]</w:t>
      </w:r>
    </w:p>
    <w:p w14:paraId="5E25B3BA" w14:textId="77777777" w:rsidR="003B155E" w:rsidRDefault="003B155E" w:rsidP="003B155E">
      <w:pPr>
        <w:pStyle w:val="ListeParagraf"/>
        <w:spacing w:after="120" w:line="276" w:lineRule="auto"/>
        <w:jc w:val="both"/>
        <w:rPr>
          <w:rFonts w:ascii="Times New Roman" w:hAnsi="Times New Roman" w:cs="Times New Roman"/>
          <w:sz w:val="24"/>
          <w:szCs w:val="24"/>
        </w:rPr>
      </w:pPr>
      <w:r>
        <w:rPr>
          <w:rFonts w:ascii="Times New Roman" w:hAnsi="Times New Roman" w:cs="Times New Roman"/>
          <w:sz w:val="24"/>
          <w:szCs w:val="24"/>
        </w:rPr>
        <w:t>A, bitmiş/nihai ürün kapasitesindeki hayvansal hammaddelerin ağırlık üzerinden yüzde olarak payıdır. Ambalaj ağırlığı, ürünün nihai ağırlığına dahil edilmeyecektir.</w:t>
      </w:r>
    </w:p>
    <w:p w14:paraId="676CDAA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alt bölüm, kullanılan hammaddenin sadece süt olduğu durumlarda uygulanmayacaktır.</w:t>
      </w:r>
    </w:p>
    <w:p w14:paraId="560C608D" w14:textId="77777777" w:rsidR="003B155E" w:rsidRDefault="003B155E" w:rsidP="003B155E">
      <w:pPr>
        <w:spacing w:after="120" w:line="276"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7A23F12D" wp14:editId="4FE838F8">
            <wp:extent cx="5760720" cy="3754120"/>
            <wp:effectExtent l="0" t="0" r="0" b="0"/>
            <wp:docPr id="1279001375" name="Resim 1" descr="çizg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01375" name="Resim 1" descr="çizgi içeren bir resim&#10;&#10;Yapay zeka tarafından oluşturulan içerik yanlış olabilir."/>
                    <pic:cNvPicPr/>
                  </pic:nvPicPr>
                  <pic:blipFill>
                    <a:blip r:embed="rId8">
                      <a:extLst>
                        <a:ext uri="{28A0092B-C50C-407E-A947-70E740481C1C}">
                          <a14:useLocalDpi xmlns:a14="http://schemas.microsoft.com/office/drawing/2010/main" val="0"/>
                        </a:ext>
                      </a:extLst>
                    </a:blip>
                    <a:stretch>
                      <a:fillRect/>
                    </a:stretch>
                  </pic:blipFill>
                  <pic:spPr>
                    <a:xfrm>
                      <a:off x="0" y="0"/>
                      <a:ext cx="5760720" cy="3754120"/>
                    </a:xfrm>
                    <a:prstGeom prst="rect">
                      <a:avLst/>
                    </a:prstGeom>
                  </pic:spPr>
                </pic:pic>
              </a:graphicData>
            </a:graphic>
          </wp:inline>
        </w:drawing>
      </w:r>
    </w:p>
    <w:p w14:paraId="33E0EA0C" w14:textId="77777777" w:rsidR="003B155E" w:rsidRPr="001F7E13" w:rsidRDefault="003B155E" w:rsidP="003B155E">
      <w:pPr>
        <w:pStyle w:val="ListeParagraf"/>
        <w:numPr>
          <w:ilvl w:val="0"/>
          <w:numId w:val="115"/>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Alınan süt miktarının günlük 200 ton üzerinde (yıllık bazda ortalama değer) olduğu hallerde yalnızca sütün işlenmesi.</w:t>
      </w:r>
    </w:p>
    <w:p w14:paraId="567FAC9E" w14:textId="77777777" w:rsidR="003B155E" w:rsidRPr="007421ED"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6.11. Esas kirletici yükünün (6.4)-(b) veya (c) maddeleri kapsamındaki faaliyetlerden kaynaklanması halinde, Kentsel Atıksu Arıtımı Yönetmeliği kapsamında bulunmayan ve bağımsız işletilen atık su arıtma tesisleri.</w:t>
      </w:r>
    </w:p>
    <w:p w14:paraId="7B0E169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aşağıdakileri de kapsar:</w:t>
      </w:r>
    </w:p>
    <w:p w14:paraId="6684AB7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Esas kirletici yükünün (6.4)-(b) veya (c) maddeleri kapsamındaki faaliyetlerden kaynaklanması halinde ve atık su arıtımının Kentsel Atıksu Arıtımı Yönetmeliği kapsamında olmaması halinde, farklı kaynaklardan gelen atık suyun ortak arıtımı.</w:t>
      </w:r>
    </w:p>
    <w:p w14:paraId="0AB2D890"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(6.4)-(b)-(ii) maddesi kapsamındaki bir tesiste veya böyle bir tesisle doğrudan ilişkili bir faaliyet olarak, etanol üretimi.</w:t>
      </w:r>
    </w:p>
    <w:p w14:paraId="0A2AC81C"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 faaliyetleri kapsamaz:</w:t>
      </w:r>
    </w:p>
    <w:p w14:paraId="264B8BB4"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Doğrudan temaslı ısıtma, kurutma veya nesne veya materyallerin herhangi bir diğer işlemi için kullanılmayan sıcak gazları üreten saha içi yakma tesisleri.</w:t>
      </w:r>
    </w:p>
    <w:p w14:paraId="3B3B2E5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Hayvansal yan ürünlerden elde edilen birincil ürünlerin üretimi; rendering ve yağ eritme, balık yemi ve balık yağı üretimi, kan işleme ve jelatin üretimi gibi.</w:t>
      </w:r>
    </w:p>
    <w:p w14:paraId="686D910D"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Büyük hayvanlar için standart kesimlerin veya kümes hayvanları için kesimlerin gerçekleştirilmesi.</w:t>
      </w:r>
    </w:p>
    <w:p w14:paraId="4E628A9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örneğin hijyen veya gıda/yem güvenliği ile ilişkili diğer mevzuata halel getirmeksizin uygulanır.</w:t>
      </w:r>
    </w:p>
    <w:p w14:paraId="356ADDA1"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1. Genel MET Sonuçları</w:t>
      </w:r>
    </w:p>
    <w:p w14:paraId="5FC5341E"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1.1. </w:t>
      </w:r>
      <w:r w:rsidRPr="002C07D9">
        <w:rPr>
          <w:rFonts w:ascii="Times New Roman" w:eastAsia="Times New Roman" w:hAnsi="Times New Roman" w:cs="Times New Roman"/>
          <w:b/>
          <w:bCs/>
          <w:color w:val="000000"/>
          <w:kern w:val="0"/>
          <w:sz w:val="24"/>
          <w:szCs w:val="24"/>
          <w:lang w:eastAsia="tr-TR"/>
          <w14:ligatures w14:val="none"/>
        </w:rPr>
        <w:t>Çevre Yönetim Sistemi</w:t>
      </w:r>
    </w:p>
    <w:p w14:paraId="2B6D3971" w14:textId="77777777" w:rsidR="003B155E" w:rsidRPr="002C07D9" w:rsidRDefault="003B155E" w:rsidP="003B155E">
      <w:pPr>
        <w:spacing w:after="0" w:line="276" w:lineRule="auto"/>
        <w:jc w:val="both"/>
        <w:rPr>
          <w:rFonts w:ascii="Times New Roman" w:eastAsia="Calibri" w:hAnsi="Times New Roman" w:cs="Times New Roman"/>
          <w:spacing w:val="2"/>
          <w:kern w:val="0"/>
          <w:sz w:val="24"/>
          <w14:ligatures w14:val="none"/>
        </w:rPr>
      </w:pPr>
      <w:r w:rsidRPr="002C07D9">
        <w:rPr>
          <w:rFonts w:ascii="Times New Roman" w:eastAsia="Times New Roman" w:hAnsi="Times New Roman" w:cs="Times New Roman"/>
          <w:b/>
          <w:bCs/>
          <w:spacing w:val="2"/>
          <w:kern w:val="0"/>
          <w:sz w:val="24"/>
          <w:szCs w:val="24"/>
          <w14:ligatures w14:val="none"/>
        </w:rPr>
        <w:t>MET 1:</w:t>
      </w:r>
      <w:r w:rsidRPr="002C07D9">
        <w:rPr>
          <w:rFonts w:ascii="Times New Roman" w:eastAsia="Calibri" w:hAnsi="Times New Roman" w:cs="Times New Roman"/>
          <w:spacing w:val="2"/>
          <w:kern w:val="0"/>
          <w:sz w:val="24"/>
          <w14:ligatures w14:val="none"/>
        </w:rPr>
        <w:t xml:space="preserve"> Genel çevre performansını iyileştirmek için aşağıdaki özelliklerin tümünü içeren bir çevre yönetim sistemi (ÇYS) hazırlamalı ve uygulamalıdır:</w:t>
      </w:r>
    </w:p>
    <w:p w14:paraId="18417606"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Etkili bir ÇYS’nin uygulanması için, üst düzey yönetim de dahil olmak üzere, idarenin bağlılığı, liderliği ve hesap verebilirliği;</w:t>
      </w:r>
    </w:p>
    <w:p w14:paraId="22599315"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Kurumsal bağlamın belirlenmesi, ilgili paydaşların ihtiyaç ve beklentilerinin tanımlanması ile tesisin çevre sağlığına (veya insan sağlığına) yönelik olası risklerle ilişkili özelliklerinin yanı sıra çevre ile ilgili uygulanabilir yasal gerekliliklerin belirlenmesini kapsayan bir analizi;</w:t>
      </w:r>
    </w:p>
    <w:p w14:paraId="616C4A5E"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Hedefleri arasında, tesisin çevresel performansının sürekli olarak iyileştirilmesi bulunan bir çevre politikası;</w:t>
      </w:r>
    </w:p>
    <w:p w14:paraId="126DEBC4"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Uygulanabilir yasal gerekliliklere uyumluluğu da kapsayan önemli çevresel hususlar ile ilişkili hedefler ve performans göstergeleri;</w:t>
      </w:r>
    </w:p>
    <w:p w14:paraId="1DFA7C19"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Çevresel hedeflere ulaşmak ve çevresel riskleri engellemek için gerekli prosedür ve eylemlerin (düzenleyici ve önleyici eylemler de gerektiğinde dahil olmak üzere) planlanması ve uygulanması;</w:t>
      </w:r>
    </w:p>
    <w:p w14:paraId="2D777FE8"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Çevresel hususlar ve hedefler ile ilişkili olarak düzenleme, rol ve sorumlulukların belirlenmesi ve gerekli olan mali ve insan kaynaklarının sağlanması;</w:t>
      </w:r>
    </w:p>
    <w:p w14:paraId="5C72C34B"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Tesisin çevresel performansını etkileyebilecek çalışma faaliyetlerinde bulunan personele yönelik gerekli yetkinlik ve farkındalığın sağlanması (örneğin, bilgi paylaşımı ve eğitim yoluyla);</w:t>
      </w:r>
    </w:p>
    <w:p w14:paraId="39BAF02F"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İç ve dış iletişimi;</w:t>
      </w:r>
    </w:p>
    <w:p w14:paraId="539D100B"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İyi çevre yönetimi uygulamalarına personel katılımının teşvik edilmesi;</w:t>
      </w:r>
    </w:p>
    <w:p w14:paraId="4B7D4F16"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lastRenderedPageBreak/>
        <w:t>Önemli çevresel etkiye sahip faaliyetler ile ilgili kayıtları kontrol altında tutmak adına yönetim el kitabı ve yazılı prosedürlerin oluşturulması ve sürdürülebilirliklerinin sağlanması;</w:t>
      </w:r>
    </w:p>
    <w:p w14:paraId="214FD7B6"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fi-FI"/>
          <w14:ligatures w14:val="none"/>
        </w:rPr>
      </w:pPr>
      <w:r w:rsidRPr="002C07D9">
        <w:rPr>
          <w:rFonts w:ascii="Times New Roman" w:eastAsia="Times New Roman" w:hAnsi="Times New Roman" w:cs="Times New Roman"/>
          <w:spacing w:val="2"/>
          <w:kern w:val="0"/>
          <w:position w:val="-1"/>
          <w:sz w:val="24"/>
          <w:szCs w:val="24"/>
          <w:lang w:val="fi-FI"/>
          <w14:ligatures w14:val="none"/>
        </w:rPr>
        <w:t>Etkili operasyonel planlama ve proses kontrolü;</w:t>
      </w:r>
    </w:p>
    <w:p w14:paraId="0F1316FE"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s-ES"/>
          <w14:ligatures w14:val="none"/>
        </w:rPr>
      </w:pPr>
      <w:r w:rsidRPr="002C07D9">
        <w:rPr>
          <w:rFonts w:ascii="Times New Roman" w:eastAsia="Times New Roman" w:hAnsi="Times New Roman" w:cs="Times New Roman"/>
          <w:spacing w:val="2"/>
          <w:kern w:val="0"/>
          <w:position w:val="-1"/>
          <w:sz w:val="24"/>
          <w:szCs w:val="24"/>
          <w:lang w:val="es-ES"/>
          <w14:ligatures w14:val="none"/>
        </w:rPr>
        <w:t>Uygun bakım ve onarım programı uygulamaları;</w:t>
      </w:r>
    </w:p>
    <w:p w14:paraId="6A65D8C0" w14:textId="77777777" w:rsidR="003B155E" w:rsidRPr="002C07D9" w:rsidRDefault="003B155E" w:rsidP="00F30039">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s-ES"/>
          <w14:ligatures w14:val="none"/>
        </w:rPr>
      </w:pPr>
      <w:r w:rsidRPr="002C07D9">
        <w:rPr>
          <w:rFonts w:ascii="Times New Roman" w:eastAsia="Times New Roman" w:hAnsi="Times New Roman" w:cs="Times New Roman"/>
          <w:spacing w:val="2"/>
          <w:kern w:val="0"/>
          <w:position w:val="-1"/>
          <w:sz w:val="24"/>
          <w:szCs w:val="24"/>
          <w:lang w:val="es-ES"/>
          <w14:ligatures w14:val="none"/>
        </w:rPr>
        <w:t>Acil durumlardan kaynaklanan olumsuz çevresel etkilerin önlenmesi ve/veya azaltılması/hafifletilmesi de dahil olmak üzere, acil durumlara hazırlık ve müdahale protokolleri;</w:t>
      </w:r>
    </w:p>
    <w:p w14:paraId="60392CB8"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s-ES"/>
          <w14:ligatures w14:val="none"/>
        </w:rPr>
      </w:pPr>
      <w:r w:rsidRPr="002C07D9">
        <w:rPr>
          <w:rFonts w:ascii="Times New Roman" w:eastAsia="Times New Roman" w:hAnsi="Times New Roman" w:cs="Times New Roman"/>
          <w:spacing w:val="2"/>
          <w:kern w:val="0"/>
          <w:position w:val="-1"/>
          <w:sz w:val="24"/>
          <w:szCs w:val="24"/>
          <w:lang w:val="es-ES"/>
          <w14:ligatures w14:val="none"/>
        </w:rPr>
        <w:t>Yeni bir tesis veya bir bölümü (yeniden) tasarlanırken inşaat, bakım ve onarım, operasyon ve kullanım sonu aşamaları da dahil edilerek yaşam döngüsü boyunca sebep ol</w:t>
      </w:r>
      <w:r w:rsidRPr="002C07D9">
        <w:rPr>
          <w:rFonts w:ascii="Times New Roman" w:eastAsia="Times New Roman" w:hAnsi="Times New Roman" w:cs="Times New Roman"/>
          <w:color w:val="000000"/>
          <w:spacing w:val="2"/>
          <w:kern w:val="0"/>
          <w:position w:val="-1"/>
          <w:sz w:val="24"/>
          <w:szCs w:val="24"/>
          <w:lang w:val="es-ES"/>
          <w14:ligatures w14:val="none"/>
        </w:rPr>
        <w:t>an</w:t>
      </w:r>
      <w:r w:rsidRPr="002C07D9">
        <w:rPr>
          <w:rFonts w:ascii="Times New Roman" w:eastAsia="Times New Roman" w:hAnsi="Times New Roman" w:cs="Times New Roman"/>
          <w:spacing w:val="2"/>
          <w:kern w:val="0"/>
          <w:position w:val="-1"/>
          <w:sz w:val="24"/>
          <w:szCs w:val="24"/>
          <w:lang w:val="es-ES"/>
          <w14:ligatures w14:val="none"/>
        </w:rPr>
        <w:t xml:space="preserve"> çevresel etkilerin göz önünde bulundurulması;</w:t>
      </w:r>
    </w:p>
    <w:p w14:paraId="0C756910"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Gerektiğinde izleme ve ölçüm programları;</w:t>
      </w:r>
    </w:p>
    <w:p w14:paraId="0F4C329A"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Sektörel karşılaştırmalı değerlendirmenin düzenli aralıklarla uygulanması;</w:t>
      </w:r>
    </w:p>
    <w:p w14:paraId="793E02BA"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Çevresel performansı değerlendirmek ve ÇYS’nin planlanan düzenlemelere uyumlu olarak doğru bir şekilde uygulanıp uygulanmadığını belirlemek için periyodik bağımsız (ve uygulanabilir olduğu sürece) bir iç denetim ile periyodik bağımsız bir dış denetim;</w:t>
      </w:r>
    </w:p>
    <w:p w14:paraId="5AFB9008"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Uygunsuzluk sebeplerinin değerlendirilmesi, bunlara yönelik düzeltici eylemlerin uygulanması, söz konusu düzeltici eylemlerin etkinliklerinin gözden geçirilmesi ve benzer uygunsuzlukların mevcut olup olmadığının veya potansiyel olarak ortaya çıkıp çıkmayacağının belirlenmesi;</w:t>
      </w:r>
    </w:p>
    <w:p w14:paraId="7FD1637C"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ÇYS’ye ve devam eden uygunluğuna, yeterliliğine ve etkinliğine yönelik üst düzey yönetim tarafından yapılan periyodik değerlendirme;</w:t>
      </w:r>
    </w:p>
    <w:p w14:paraId="1EE2916C" w14:textId="77777777" w:rsidR="003B155E" w:rsidRPr="002C07D9" w:rsidRDefault="003B155E" w:rsidP="003B155E">
      <w:pPr>
        <w:widowControl w:val="0"/>
        <w:numPr>
          <w:ilvl w:val="0"/>
          <w:numId w:val="319"/>
        </w:numPr>
        <w:spacing w:after="0" w:line="240" w:lineRule="auto"/>
        <w:contextualSpacing/>
        <w:jc w:val="both"/>
        <w:rPr>
          <w:rFonts w:ascii="Times New Roman" w:eastAsia="Times New Roman" w:hAnsi="Times New Roman" w:cs="Times New Roman"/>
          <w:color w:val="000000"/>
          <w:spacing w:val="2"/>
          <w:kern w:val="0"/>
          <w:position w:val="-1"/>
          <w:sz w:val="24"/>
          <w:szCs w:val="24"/>
          <w:lang w:val="fi-FI"/>
          <w14:ligatures w14:val="none"/>
        </w:rPr>
      </w:pPr>
      <w:r w:rsidRPr="002C07D9">
        <w:rPr>
          <w:rFonts w:ascii="Times New Roman" w:eastAsia="Times New Roman" w:hAnsi="Times New Roman" w:cs="Times New Roman"/>
          <w:color w:val="000000"/>
          <w:spacing w:val="2"/>
          <w:kern w:val="0"/>
          <w:position w:val="-1"/>
          <w:sz w:val="24"/>
          <w:szCs w:val="24"/>
          <w:lang w:val="fi-FI"/>
          <w14:ligatures w14:val="none"/>
        </w:rPr>
        <w:t>Daha temiz yöntemlerin takip edilmesi ve dikkate alınması.</w:t>
      </w:r>
    </w:p>
    <w:p w14:paraId="74F19BFF" w14:textId="77777777" w:rsidR="003B155E" w:rsidRPr="002C07D9" w:rsidRDefault="003B155E" w:rsidP="003B155E">
      <w:pPr>
        <w:spacing w:after="0" w:line="276" w:lineRule="auto"/>
        <w:jc w:val="both"/>
        <w:rPr>
          <w:rFonts w:ascii="Times New Roman" w:eastAsia="Calibri" w:hAnsi="Times New Roman" w:cs="Times New Roman"/>
          <w:spacing w:val="2"/>
          <w:kern w:val="0"/>
          <w:sz w:val="24"/>
          <w:lang w:val="fi-FI"/>
          <w14:ligatures w14:val="none"/>
        </w:rPr>
      </w:pPr>
    </w:p>
    <w:p w14:paraId="73FA7594" w14:textId="77777777" w:rsidR="003B155E" w:rsidRPr="002C07D9" w:rsidRDefault="003B155E" w:rsidP="003B155E">
      <w:pPr>
        <w:widowControl w:val="0"/>
        <w:spacing w:after="0" w:line="240" w:lineRule="auto"/>
        <w:contextualSpacing/>
        <w:jc w:val="both"/>
        <w:rPr>
          <w:rFonts w:ascii="Times New Roman" w:eastAsia="Times New Roman" w:hAnsi="Times New Roman" w:cs="Times New Roman"/>
          <w:spacing w:val="2"/>
          <w:kern w:val="0"/>
          <w:position w:val="-1"/>
          <w:sz w:val="24"/>
          <w:szCs w:val="24"/>
          <w:lang w:val="fi-FI"/>
          <w14:ligatures w14:val="none"/>
        </w:rPr>
      </w:pPr>
      <w:r w:rsidRPr="002C07D9">
        <w:rPr>
          <w:rFonts w:ascii="Times New Roman" w:eastAsia="Times New Roman" w:hAnsi="Times New Roman" w:cs="Times New Roman"/>
          <w:spacing w:val="2"/>
          <w:kern w:val="0"/>
          <w:position w:val="-1"/>
          <w:sz w:val="24"/>
          <w:szCs w:val="24"/>
          <w:lang w:val="fi-FI"/>
          <w14:ligatures w14:val="none"/>
        </w:rPr>
        <w:t>Özellikle gıda, içecek ve süt sektörü için MET, ÇYS’de aşağıdaki özellikleri de dikkate alacaktır:</w:t>
      </w:r>
    </w:p>
    <w:p w14:paraId="6A7D96FD" w14:textId="77777777" w:rsidR="003B155E" w:rsidRPr="002C07D9" w:rsidRDefault="003B155E" w:rsidP="003B155E">
      <w:pPr>
        <w:widowControl w:val="0"/>
        <w:numPr>
          <w:ilvl w:val="0"/>
          <w:numId w:val="105"/>
        </w:numPr>
        <w:spacing w:after="0" w:line="240" w:lineRule="auto"/>
        <w:contextualSpacing/>
        <w:jc w:val="both"/>
        <w:rPr>
          <w:rFonts w:ascii="Times New Roman" w:eastAsia="Times New Roman" w:hAnsi="Times New Roman" w:cs="Times New Roman"/>
          <w:spacing w:val="2"/>
          <w:kern w:val="0"/>
          <w:position w:val="-1"/>
          <w:sz w:val="24"/>
          <w:szCs w:val="24"/>
          <w:lang w:val="fi-FI"/>
          <w14:ligatures w14:val="none"/>
        </w:rPr>
      </w:pPr>
      <w:r w:rsidRPr="002C07D9">
        <w:rPr>
          <w:rFonts w:ascii="Times New Roman" w:eastAsia="Times New Roman" w:hAnsi="Times New Roman" w:cs="Times New Roman"/>
          <w:spacing w:val="2"/>
          <w:kern w:val="0"/>
          <w:position w:val="-1"/>
          <w:sz w:val="24"/>
          <w:szCs w:val="24"/>
          <w:lang w:val="fi-FI"/>
          <w14:ligatures w14:val="none"/>
        </w:rPr>
        <w:t>Gürültü yönetim planı (bkz. MET 13);</w:t>
      </w:r>
    </w:p>
    <w:p w14:paraId="6F165B39" w14:textId="77777777" w:rsidR="003B155E" w:rsidRPr="002C07D9" w:rsidRDefault="003B155E" w:rsidP="003B155E">
      <w:pPr>
        <w:widowControl w:val="0"/>
        <w:numPr>
          <w:ilvl w:val="0"/>
          <w:numId w:val="105"/>
        </w:numPr>
        <w:spacing w:after="0" w:line="240" w:lineRule="auto"/>
        <w:contextualSpacing/>
        <w:jc w:val="both"/>
        <w:rPr>
          <w:rFonts w:ascii="Times New Roman" w:eastAsia="Times New Roman" w:hAnsi="Times New Roman" w:cs="Times New Roman"/>
          <w:spacing w:val="2"/>
          <w:kern w:val="0"/>
          <w:position w:val="-1"/>
          <w:sz w:val="24"/>
          <w:szCs w:val="24"/>
          <w:lang w:val="fi-FI"/>
          <w14:ligatures w14:val="none"/>
        </w:rPr>
      </w:pPr>
      <w:r w:rsidRPr="002C07D9">
        <w:rPr>
          <w:rFonts w:ascii="Times New Roman" w:eastAsia="Times New Roman" w:hAnsi="Times New Roman" w:cs="Times New Roman"/>
          <w:spacing w:val="2"/>
          <w:kern w:val="0"/>
          <w:position w:val="-1"/>
          <w:sz w:val="24"/>
          <w:szCs w:val="24"/>
          <w:lang w:val="fi-FI"/>
          <w14:ligatures w14:val="none"/>
        </w:rPr>
        <w:t>Koku yönetim planı (bkz. MET 15);</w:t>
      </w:r>
    </w:p>
    <w:p w14:paraId="47B68873" w14:textId="77777777" w:rsidR="003B155E" w:rsidRPr="002C07D9" w:rsidRDefault="003B155E" w:rsidP="003B155E">
      <w:pPr>
        <w:widowControl w:val="0"/>
        <w:numPr>
          <w:ilvl w:val="0"/>
          <w:numId w:val="105"/>
        </w:numPr>
        <w:spacing w:after="0" w:line="240" w:lineRule="auto"/>
        <w:contextualSpacing/>
        <w:jc w:val="both"/>
        <w:rPr>
          <w:rFonts w:ascii="Times New Roman" w:eastAsia="Times New Roman" w:hAnsi="Times New Roman" w:cs="Times New Roman"/>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fi-FI"/>
          <w14:ligatures w14:val="none"/>
        </w:rPr>
        <w:t xml:space="preserve">Su, enerji ve hammadde tüketiminin yanı sıra atıksu ve atık gaz akışlarının envanteri (bkz. </w:t>
      </w:r>
      <w:r w:rsidRPr="002C07D9">
        <w:rPr>
          <w:rFonts w:ascii="Times New Roman" w:eastAsia="Times New Roman" w:hAnsi="Times New Roman" w:cs="Times New Roman"/>
          <w:spacing w:val="2"/>
          <w:kern w:val="0"/>
          <w:position w:val="-1"/>
          <w:sz w:val="24"/>
          <w:szCs w:val="24"/>
          <w:lang w:val="en-US"/>
          <w14:ligatures w14:val="none"/>
        </w:rPr>
        <w:t>MET 2);</w:t>
      </w:r>
    </w:p>
    <w:p w14:paraId="409D8F99" w14:textId="77777777" w:rsidR="003B155E" w:rsidRPr="002C07D9" w:rsidRDefault="003B155E" w:rsidP="003B155E">
      <w:pPr>
        <w:widowControl w:val="0"/>
        <w:numPr>
          <w:ilvl w:val="0"/>
          <w:numId w:val="105"/>
        </w:numPr>
        <w:spacing w:after="0" w:line="240" w:lineRule="auto"/>
        <w:contextualSpacing/>
        <w:jc w:val="both"/>
        <w:rPr>
          <w:rFonts w:ascii="Times New Roman" w:eastAsia="Times New Roman" w:hAnsi="Times New Roman" w:cs="Times New Roman"/>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Enerji verimliliği planı (bkz. MET 6.a).</w:t>
      </w:r>
    </w:p>
    <w:p w14:paraId="779AC907" w14:textId="77777777" w:rsidR="003B155E" w:rsidRPr="002C07D9" w:rsidRDefault="003B155E" w:rsidP="003B155E">
      <w:pPr>
        <w:widowControl w:val="0"/>
        <w:spacing w:after="0" w:line="276" w:lineRule="auto"/>
        <w:jc w:val="both"/>
        <w:rPr>
          <w:rFonts w:ascii="Times New Roman" w:eastAsia="Calibri" w:hAnsi="Times New Roman" w:cs="Courier New"/>
          <w:color w:val="000000"/>
          <w:kern w:val="0"/>
          <w:sz w:val="24"/>
          <w:szCs w:val="24"/>
          <w:lang w:val="en-US" w:eastAsia="tr-TR"/>
          <w14:ligatures w14:val="none"/>
        </w:rPr>
      </w:pPr>
    </w:p>
    <w:p w14:paraId="081F19B1" w14:textId="77777777" w:rsidR="003B155E" w:rsidRPr="002C07D9" w:rsidRDefault="003B155E" w:rsidP="003B155E">
      <w:pPr>
        <w:widowControl w:val="0"/>
        <w:spacing w:after="0" w:line="276" w:lineRule="auto"/>
        <w:jc w:val="both"/>
        <w:rPr>
          <w:rFonts w:ascii="Times New Roman" w:eastAsia="Calibri" w:hAnsi="Times New Roman" w:cs="Courier New"/>
          <w:i/>
          <w:iCs/>
          <w:color w:val="000000"/>
          <w:kern w:val="0"/>
          <w:sz w:val="24"/>
          <w:szCs w:val="24"/>
          <w:lang w:val="en-US" w:eastAsia="tr-TR"/>
          <w14:ligatures w14:val="none"/>
        </w:rPr>
      </w:pPr>
      <w:r w:rsidRPr="002C07D9">
        <w:rPr>
          <w:rFonts w:ascii="Times New Roman" w:eastAsia="Calibri" w:hAnsi="Times New Roman" w:cs="Courier New"/>
          <w:i/>
          <w:iCs/>
          <w:color w:val="000000"/>
          <w:kern w:val="0"/>
          <w:sz w:val="24"/>
          <w:szCs w:val="24"/>
          <w:lang w:val="en-US" w:eastAsia="tr-TR"/>
          <w14:ligatures w14:val="none"/>
        </w:rPr>
        <w:t>Not</w:t>
      </w:r>
    </w:p>
    <w:p w14:paraId="2C29506D" w14:textId="77777777" w:rsidR="003B155E" w:rsidRPr="002C07D9" w:rsidRDefault="003B155E" w:rsidP="003B155E">
      <w:pPr>
        <w:widowControl w:val="0"/>
        <w:spacing w:after="0" w:line="276" w:lineRule="auto"/>
        <w:jc w:val="both"/>
        <w:rPr>
          <w:rFonts w:ascii="Times New Roman" w:eastAsia="Calibri" w:hAnsi="Times New Roman" w:cs="Courier New"/>
          <w:color w:val="000000"/>
          <w:kern w:val="0"/>
          <w:sz w:val="24"/>
          <w:szCs w:val="24"/>
          <w:lang w:val="en-US" w:eastAsia="tr-TR"/>
          <w14:ligatures w14:val="none"/>
        </w:rPr>
      </w:pPr>
      <w:r w:rsidRPr="002C07D9">
        <w:rPr>
          <w:rFonts w:ascii="Times New Roman" w:eastAsia="Calibri" w:hAnsi="Times New Roman" w:cs="Courier New"/>
          <w:color w:val="000000"/>
          <w:kern w:val="0"/>
          <w:sz w:val="24"/>
          <w:szCs w:val="24"/>
          <w:lang w:val="en-US" w:eastAsia="tr-TR"/>
          <w14:ligatures w14:val="none"/>
        </w:rPr>
        <w:t>Avrupa Parlamentosu ve Konseyi’nin (EC) 1221/2009 sayılı Yönetmeliği (3), bu MET ile uyumlu bir ÇYS örneği olan Birlik Eko-Yönetim ve Denetim Planını (Eco-Management and Audit Scheme-EMAS) oluşturmaktadır.</w:t>
      </w:r>
    </w:p>
    <w:p w14:paraId="47FF371F" w14:textId="77777777" w:rsidR="003B155E" w:rsidRPr="002C07D9" w:rsidRDefault="003B155E" w:rsidP="003B155E">
      <w:pPr>
        <w:widowControl w:val="0"/>
        <w:spacing w:after="0" w:line="276" w:lineRule="auto"/>
        <w:jc w:val="both"/>
        <w:rPr>
          <w:rFonts w:ascii="Times New Roman" w:eastAsia="Calibri" w:hAnsi="Times New Roman" w:cs="Courier New"/>
          <w:color w:val="000000"/>
          <w:kern w:val="0"/>
          <w:sz w:val="24"/>
          <w:szCs w:val="24"/>
          <w:lang w:val="en-US" w:eastAsia="tr-TR"/>
          <w14:ligatures w14:val="none"/>
        </w:rPr>
      </w:pPr>
    </w:p>
    <w:p w14:paraId="24F26BB7" w14:textId="77777777" w:rsidR="003B155E" w:rsidRPr="002C07D9" w:rsidRDefault="003B155E" w:rsidP="003B155E">
      <w:pPr>
        <w:widowControl w:val="0"/>
        <w:spacing w:after="0" w:line="276" w:lineRule="auto"/>
        <w:jc w:val="both"/>
        <w:rPr>
          <w:rFonts w:ascii="Times New Roman" w:eastAsia="Calibri" w:hAnsi="Times New Roman" w:cs="Courier New"/>
          <w:i/>
          <w:iCs/>
          <w:color w:val="000000"/>
          <w:kern w:val="0"/>
          <w:sz w:val="24"/>
          <w:szCs w:val="24"/>
          <w:lang w:val="en-US" w:eastAsia="tr-TR"/>
          <w14:ligatures w14:val="none"/>
        </w:rPr>
      </w:pPr>
      <w:r w:rsidRPr="002C07D9">
        <w:rPr>
          <w:rFonts w:ascii="Times New Roman" w:eastAsia="Calibri" w:hAnsi="Times New Roman" w:cs="Courier New"/>
          <w:i/>
          <w:iCs/>
          <w:color w:val="000000"/>
          <w:kern w:val="0"/>
          <w:sz w:val="24"/>
          <w:szCs w:val="24"/>
          <w:lang w:val="en-US" w:eastAsia="tr-TR"/>
          <w14:ligatures w14:val="none"/>
        </w:rPr>
        <w:t>Uygulanabilirlik</w:t>
      </w:r>
    </w:p>
    <w:p w14:paraId="031B21F4" w14:textId="77777777" w:rsidR="003B155E" w:rsidRPr="002C07D9" w:rsidRDefault="003B155E" w:rsidP="003B155E">
      <w:pPr>
        <w:widowControl w:val="0"/>
        <w:spacing w:after="0" w:line="276" w:lineRule="auto"/>
        <w:jc w:val="both"/>
        <w:rPr>
          <w:rFonts w:ascii="Times New Roman" w:eastAsia="Calibri" w:hAnsi="Times New Roman" w:cs="Courier New"/>
          <w:color w:val="000000"/>
          <w:kern w:val="0"/>
          <w:sz w:val="24"/>
          <w:szCs w:val="24"/>
          <w:lang w:val="en-US" w:eastAsia="tr-TR"/>
          <w14:ligatures w14:val="none"/>
        </w:rPr>
      </w:pPr>
      <w:r w:rsidRPr="002C07D9">
        <w:rPr>
          <w:rFonts w:ascii="Times New Roman" w:eastAsia="Calibri" w:hAnsi="Times New Roman" w:cs="Courier New"/>
          <w:color w:val="000000"/>
          <w:kern w:val="0"/>
          <w:sz w:val="24"/>
          <w:szCs w:val="24"/>
          <w:lang w:val="en-US" w:eastAsia="tr-TR"/>
          <w14:ligatures w14:val="none"/>
        </w:rPr>
        <w:t>ÇYS’nin ayrıntı düzeyi ve resmileştirme derecesi genellikle tesisin niteliği, ölçeği ve karmaşıklığı ve sahip olabileceği çevresel etkilerin çeşitliliği ile ilgili olacaktır.</w:t>
      </w:r>
    </w:p>
    <w:p w14:paraId="42F23248"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07FC72D" w14:textId="77777777" w:rsidR="003B155E" w:rsidRPr="002C07D9" w:rsidRDefault="003B155E" w:rsidP="003B155E">
      <w:pPr>
        <w:spacing w:after="0" w:line="276" w:lineRule="auto"/>
        <w:jc w:val="both"/>
        <w:rPr>
          <w:rFonts w:ascii="Times New Roman" w:eastAsia="Times New Roman" w:hAnsi="Times New Roman" w:cs="Times New Roman"/>
          <w:spacing w:val="2"/>
          <w:kern w:val="0"/>
          <w:sz w:val="24"/>
          <w14:ligatures w14:val="none"/>
        </w:rPr>
      </w:pPr>
      <w:r w:rsidRPr="002C07D9">
        <w:rPr>
          <w:rFonts w:ascii="Times New Roman" w:eastAsia="Times New Roman" w:hAnsi="Times New Roman" w:cs="Times New Roman"/>
          <w:b/>
          <w:bCs/>
          <w:color w:val="000000"/>
          <w:spacing w:val="2"/>
          <w:kern w:val="0"/>
          <w:sz w:val="24"/>
          <w:szCs w:val="24"/>
          <w14:ligatures w14:val="none"/>
        </w:rPr>
        <w:t>MET 2:</w:t>
      </w:r>
      <w:r w:rsidRPr="002C07D9">
        <w:rPr>
          <w:rFonts w:ascii="Times New Roman" w:eastAsia="Times New Roman" w:hAnsi="Times New Roman" w:cs="Times New Roman"/>
          <w:color w:val="000000"/>
          <w:spacing w:val="2"/>
          <w:kern w:val="0"/>
          <w:sz w:val="24"/>
          <w:szCs w:val="24"/>
          <w14:ligatures w14:val="none"/>
        </w:rPr>
        <w:t xml:space="preserve"> Kaynak verimliliğini artırmak ve emisyonları azaltmak amacıyla, çevre yönetim sisteminin bir parçası olarak (bkz. MET 1) su, enerji ve hammadde tüketiminin yanı sıra atıksu ve atık gaz akışlarının bir envanteri oluşturulmalı, sürdürülmeli ve düzenli olarak gözden geçirilmeli (önemli bir değişiklik meydana geldiğinde dahil) ve bu envanter aşağıdaki özelliklerin tümünü içermelidir.</w:t>
      </w:r>
    </w:p>
    <w:p w14:paraId="21090415" w14:textId="77777777" w:rsidR="003B155E" w:rsidRPr="002C07D9" w:rsidRDefault="003B155E" w:rsidP="003B155E">
      <w:pPr>
        <w:widowControl w:val="0"/>
        <w:numPr>
          <w:ilvl w:val="0"/>
          <w:numId w:val="320"/>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Aşağıdakiler dahil olmak üzere gıda, içecek ve süt üretim süreçleri hakkında bilgiler:</w:t>
      </w:r>
    </w:p>
    <w:p w14:paraId="71EE6155" w14:textId="77777777" w:rsidR="003B155E" w:rsidRPr="002C07D9" w:rsidRDefault="000E2BBC" w:rsidP="00CC3323">
      <w:pPr>
        <w:widowControl w:val="0"/>
        <w:numPr>
          <w:ilvl w:val="0"/>
          <w:numId w:val="331"/>
        </w:numPr>
        <w:pBdr>
          <w:top w:val="nil"/>
          <w:left w:val="nil"/>
          <w:bottom w:val="nil"/>
          <w:right w:val="nil"/>
          <w:between w:val="nil"/>
        </w:pBdr>
        <w:spacing w:after="0" w:line="240" w:lineRule="auto"/>
        <w:ind w:left="709"/>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 xml:space="preserve">Emisyonların kaynağını gösteren basitleştirilmiş proses akış şemaları; </w:t>
      </w:r>
    </w:p>
    <w:p w14:paraId="6118F390" w14:textId="77777777" w:rsidR="003B155E" w:rsidRPr="002C07D9" w:rsidRDefault="000E2BBC" w:rsidP="00CC3323">
      <w:pPr>
        <w:widowControl w:val="0"/>
        <w:numPr>
          <w:ilvl w:val="0"/>
          <w:numId w:val="331"/>
        </w:numPr>
        <w:pBdr>
          <w:top w:val="nil"/>
          <w:left w:val="nil"/>
          <w:bottom w:val="nil"/>
          <w:right w:val="nil"/>
          <w:between w:val="nil"/>
        </w:pBdr>
        <w:spacing w:after="0" w:line="240" w:lineRule="auto"/>
        <w:ind w:left="709"/>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lastRenderedPageBreak/>
        <w:t xml:space="preserve">Performansları da dahil olmak üzere emisyonları önlemek veya azaltmak için sürece entegre </w:t>
      </w:r>
      <w:r w:rsidR="003B155E" w:rsidRPr="002C07D9">
        <w:rPr>
          <w:rFonts w:ascii="Times New Roman" w:eastAsia="Times New Roman" w:hAnsi="Times New Roman" w:cs="Times New Roman"/>
          <w:spacing w:val="2"/>
          <w:kern w:val="0"/>
          <w:position w:val="-1"/>
          <w:sz w:val="24"/>
          <w:szCs w:val="24"/>
          <w14:ligatures w14:val="none"/>
        </w:rPr>
        <w:t>tekniklerin ve atıksu/atık gaz arıtma tekniklerinin açıklamaları.</w:t>
      </w:r>
    </w:p>
    <w:p w14:paraId="1544B48E" w14:textId="77777777" w:rsidR="003B155E" w:rsidRPr="002C07D9" w:rsidRDefault="003B155E" w:rsidP="003B155E">
      <w:pPr>
        <w:widowControl w:val="0"/>
        <w:numPr>
          <w:ilvl w:val="0"/>
          <w:numId w:val="320"/>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S</w:t>
      </w:r>
      <w:r w:rsidR="000E2BBC" w:rsidRPr="002C07D9">
        <w:rPr>
          <w:rFonts w:ascii="Times New Roman" w:eastAsia="Times New Roman" w:hAnsi="Times New Roman" w:cs="Courier New"/>
          <w:color w:val="000000"/>
          <w:kern w:val="0"/>
          <w:sz w:val="24"/>
          <w:szCs w:val="24"/>
          <w:lang w:eastAsia="tr-TR"/>
          <w14:ligatures w14:val="none"/>
        </w:rPr>
        <w:t>u tüketimi ve kullanımına (örneğin, akış şemaları ve su kütle dengeleri) yönelik bilgi, su tüketimi ve atıksu hacmini azaltmaya yönelik eylemlerin tanımlanması (bkz. Met 7);</w:t>
      </w:r>
    </w:p>
    <w:p w14:paraId="07CF6BE1" w14:textId="77777777" w:rsidR="003B155E" w:rsidRPr="002C07D9" w:rsidRDefault="003B155E" w:rsidP="003B155E">
      <w:pPr>
        <w:widowControl w:val="0"/>
        <w:numPr>
          <w:ilvl w:val="0"/>
          <w:numId w:val="320"/>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Atıksu debisi ve karakteristik özelliklerine yönelik bilgi:</w:t>
      </w:r>
    </w:p>
    <w:p w14:paraId="3B6A445F" w14:textId="77777777" w:rsidR="003B155E" w:rsidRPr="002C07D9" w:rsidRDefault="000E2BBC" w:rsidP="00CC3323">
      <w:pPr>
        <w:widowControl w:val="0"/>
        <w:numPr>
          <w:ilvl w:val="0"/>
          <w:numId w:val="332"/>
        </w:numPr>
        <w:pBdr>
          <w:top w:val="nil"/>
          <w:left w:val="nil"/>
          <w:bottom w:val="nil"/>
          <w:right w:val="nil"/>
          <w:between w:val="nil"/>
        </w:pBdr>
        <w:spacing w:after="0" w:line="240" w:lineRule="auto"/>
        <w:ind w:left="851"/>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 xml:space="preserve">Akış, ph ve sıcaklığın ortalama değerleri ve değişkenliği; </w:t>
      </w:r>
    </w:p>
    <w:p w14:paraId="76CDBBBD" w14:textId="77777777" w:rsidR="003B155E" w:rsidRPr="002C07D9" w:rsidRDefault="000E2BBC" w:rsidP="00CC3323">
      <w:pPr>
        <w:widowControl w:val="0"/>
        <w:numPr>
          <w:ilvl w:val="0"/>
          <w:numId w:val="332"/>
        </w:numPr>
        <w:pBdr>
          <w:top w:val="nil"/>
          <w:left w:val="nil"/>
          <w:bottom w:val="nil"/>
          <w:right w:val="nil"/>
          <w:between w:val="nil"/>
        </w:pBdr>
        <w:spacing w:after="0" w:line="240" w:lineRule="auto"/>
        <w:ind w:left="851" w:hanging="425"/>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 xml:space="preserve">İlgili kirleticilerin/parametrelerin (örneğin tok veya koi, azot türleri, fosfor, klorür, iletkenlik) ortalama konsantrasyon ve yük değerleri ve </w:t>
      </w:r>
      <w:r w:rsidR="003B155E" w:rsidRPr="002C07D9">
        <w:rPr>
          <w:rFonts w:ascii="Times New Roman" w:eastAsia="Times New Roman" w:hAnsi="Times New Roman" w:cs="Times New Roman"/>
          <w:spacing w:val="2"/>
          <w:kern w:val="0"/>
          <w:position w:val="-1"/>
          <w:sz w:val="24"/>
          <w:szCs w:val="24"/>
          <w14:ligatures w14:val="none"/>
        </w:rPr>
        <w:t>bunların değişkenliği.</w:t>
      </w:r>
    </w:p>
    <w:p w14:paraId="4DA82996" w14:textId="77777777" w:rsidR="003B155E" w:rsidRPr="002C07D9" w:rsidRDefault="003B155E" w:rsidP="003B155E">
      <w:pPr>
        <w:widowControl w:val="0"/>
        <w:numPr>
          <w:ilvl w:val="0"/>
          <w:numId w:val="320"/>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 xml:space="preserve">Atık gaz akışlarının özellikleri hakkında bilgi, örneğin: </w:t>
      </w:r>
    </w:p>
    <w:p w14:paraId="475036EF" w14:textId="77777777" w:rsidR="003B155E" w:rsidRPr="002C07D9" w:rsidRDefault="000E2BBC" w:rsidP="00CC3323">
      <w:pPr>
        <w:widowControl w:val="0"/>
        <w:numPr>
          <w:ilvl w:val="0"/>
          <w:numId w:val="321"/>
        </w:numPr>
        <w:pBdr>
          <w:top w:val="nil"/>
          <w:left w:val="nil"/>
          <w:bottom w:val="nil"/>
          <w:right w:val="nil"/>
          <w:between w:val="nil"/>
        </w:pBdr>
        <w:spacing w:after="0" w:line="240" w:lineRule="auto"/>
        <w:ind w:left="709"/>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 xml:space="preserve">Akış ve sıcaklığın ortalama değerleri ve değişkenliği; </w:t>
      </w:r>
    </w:p>
    <w:p w14:paraId="6B5847B0" w14:textId="7058CA51" w:rsidR="003B155E" w:rsidRPr="002C07D9" w:rsidRDefault="000E2BBC" w:rsidP="00CC3323">
      <w:pPr>
        <w:widowControl w:val="0"/>
        <w:numPr>
          <w:ilvl w:val="0"/>
          <w:numId w:val="321"/>
        </w:numPr>
        <w:pBdr>
          <w:top w:val="nil"/>
          <w:left w:val="nil"/>
          <w:bottom w:val="nil"/>
          <w:right w:val="nil"/>
          <w:between w:val="nil"/>
        </w:pBdr>
        <w:spacing w:after="0" w:line="240" w:lineRule="auto"/>
        <w:ind w:left="709"/>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 xml:space="preserve">İlgili kirleticilerin/parametrelerin (örn. Toz, </w:t>
      </w:r>
      <w:r w:rsidR="00F30039">
        <w:rPr>
          <w:rFonts w:ascii="Times New Roman" w:eastAsia="Times New Roman" w:hAnsi="Times New Roman" w:cs="Times New Roman"/>
          <w:spacing w:val="2"/>
          <w:kern w:val="0"/>
          <w:position w:val="-1"/>
          <w:sz w:val="24"/>
          <w:szCs w:val="24"/>
          <w14:ligatures w14:val="none"/>
        </w:rPr>
        <w:t>TUOB</w:t>
      </w:r>
      <w:r w:rsidRPr="002C07D9">
        <w:rPr>
          <w:rFonts w:ascii="Times New Roman" w:eastAsia="Times New Roman" w:hAnsi="Times New Roman" w:cs="Times New Roman"/>
          <w:spacing w:val="2"/>
          <w:kern w:val="0"/>
          <w:position w:val="-1"/>
          <w:sz w:val="24"/>
          <w:szCs w:val="24"/>
          <w14:ligatures w14:val="none"/>
        </w:rPr>
        <w:t xml:space="preserve">, </w:t>
      </w:r>
      <w:r w:rsidR="00F30039">
        <w:rPr>
          <w:rFonts w:ascii="Times New Roman" w:eastAsia="Times New Roman" w:hAnsi="Times New Roman" w:cs="Times New Roman"/>
          <w:spacing w:val="2"/>
          <w:kern w:val="0"/>
          <w:position w:val="-1"/>
          <w:sz w:val="24"/>
          <w:szCs w:val="24"/>
          <w14:ligatures w14:val="none"/>
        </w:rPr>
        <w:t>CO</w:t>
      </w:r>
      <w:r w:rsidRPr="002C07D9">
        <w:rPr>
          <w:rFonts w:ascii="Times New Roman" w:eastAsia="Times New Roman" w:hAnsi="Times New Roman" w:cs="Times New Roman"/>
          <w:spacing w:val="2"/>
          <w:kern w:val="0"/>
          <w:position w:val="-1"/>
          <w:sz w:val="24"/>
          <w:szCs w:val="24"/>
          <w14:ligatures w14:val="none"/>
        </w:rPr>
        <w:t xml:space="preserve">, </w:t>
      </w:r>
      <w:r w:rsidR="00F30039">
        <w:rPr>
          <w:rFonts w:ascii="Times New Roman" w:eastAsia="Times New Roman" w:hAnsi="Times New Roman" w:cs="Times New Roman"/>
          <w:spacing w:val="2"/>
          <w:kern w:val="0"/>
          <w:position w:val="-1"/>
          <w:sz w:val="24"/>
          <w:szCs w:val="24"/>
          <w14:ligatures w14:val="none"/>
        </w:rPr>
        <w:t>NO</w:t>
      </w:r>
      <w:r w:rsidRPr="002C07D9">
        <w:rPr>
          <w:rFonts w:ascii="Times New Roman" w:eastAsia="Times New Roman" w:hAnsi="Times New Roman" w:cs="Times New Roman"/>
          <w:spacing w:val="2"/>
          <w:kern w:val="0"/>
          <w:position w:val="-1"/>
          <w:sz w:val="24"/>
          <w:szCs w:val="24"/>
          <w:vertAlign w:val="subscript"/>
          <w14:ligatures w14:val="none"/>
        </w:rPr>
        <w:t>x</w:t>
      </w:r>
      <w:r w:rsidRPr="002C07D9">
        <w:rPr>
          <w:rFonts w:ascii="Times New Roman" w:eastAsia="Times New Roman" w:hAnsi="Times New Roman" w:cs="Times New Roman"/>
          <w:spacing w:val="2"/>
          <w:kern w:val="0"/>
          <w:position w:val="-1"/>
          <w:sz w:val="24"/>
          <w:szCs w:val="24"/>
          <w14:ligatures w14:val="none"/>
        </w:rPr>
        <w:t xml:space="preserve">, </w:t>
      </w:r>
      <w:r w:rsidR="00F30039">
        <w:rPr>
          <w:rFonts w:ascii="Times New Roman" w:eastAsia="Times New Roman" w:hAnsi="Times New Roman" w:cs="Times New Roman"/>
          <w:spacing w:val="2"/>
          <w:kern w:val="0"/>
          <w:position w:val="-1"/>
          <w:sz w:val="24"/>
          <w:szCs w:val="24"/>
          <w14:ligatures w14:val="none"/>
        </w:rPr>
        <w:t>SO</w:t>
      </w:r>
      <w:r w:rsidRPr="002C07D9">
        <w:rPr>
          <w:rFonts w:ascii="Times New Roman" w:eastAsia="Times New Roman" w:hAnsi="Times New Roman" w:cs="Times New Roman"/>
          <w:spacing w:val="2"/>
          <w:kern w:val="0"/>
          <w:position w:val="-1"/>
          <w:sz w:val="24"/>
          <w:szCs w:val="24"/>
          <w:vertAlign w:val="subscript"/>
          <w14:ligatures w14:val="none"/>
        </w:rPr>
        <w:t>x</w:t>
      </w:r>
      <w:r w:rsidR="003B155E" w:rsidRPr="002C07D9">
        <w:rPr>
          <w:rFonts w:ascii="Times New Roman" w:eastAsia="Times New Roman" w:hAnsi="Times New Roman" w:cs="Times New Roman"/>
          <w:spacing w:val="2"/>
          <w:kern w:val="0"/>
          <w:position w:val="-1"/>
          <w:sz w:val="24"/>
          <w:szCs w:val="24"/>
          <w14:ligatures w14:val="none"/>
        </w:rPr>
        <w:t xml:space="preserve">) ortalama konsantrasyon ve yük değerleri ve bunların değişkenliği; </w:t>
      </w:r>
    </w:p>
    <w:p w14:paraId="34C3151D" w14:textId="77777777" w:rsidR="003B155E" w:rsidRPr="002C07D9" w:rsidRDefault="000E2BBC" w:rsidP="00CC3323">
      <w:pPr>
        <w:widowControl w:val="0"/>
        <w:numPr>
          <w:ilvl w:val="0"/>
          <w:numId w:val="321"/>
        </w:numPr>
        <w:pBdr>
          <w:top w:val="nil"/>
          <w:left w:val="nil"/>
          <w:bottom w:val="nil"/>
          <w:right w:val="nil"/>
          <w:between w:val="nil"/>
        </w:pBdr>
        <w:spacing w:after="0" w:line="240" w:lineRule="auto"/>
        <w:ind w:left="709"/>
        <w:contextualSpacing/>
        <w:jc w:val="both"/>
        <w:rPr>
          <w:rFonts w:ascii="Times New Roman" w:eastAsia="Times New Roman" w:hAnsi="Times New Roman" w:cs="Times New Roman"/>
          <w:spacing w:val="2"/>
          <w:kern w:val="0"/>
          <w:position w:val="-1"/>
          <w:sz w:val="24"/>
          <w:szCs w:val="24"/>
          <w14:ligatures w14:val="none"/>
        </w:rPr>
      </w:pPr>
      <w:r w:rsidRPr="002C07D9">
        <w:rPr>
          <w:rFonts w:ascii="Times New Roman" w:eastAsia="Times New Roman" w:hAnsi="Times New Roman" w:cs="Times New Roman"/>
          <w:spacing w:val="2"/>
          <w:kern w:val="0"/>
          <w:position w:val="-1"/>
          <w:sz w:val="24"/>
          <w:szCs w:val="24"/>
          <w14:ligatures w14:val="none"/>
        </w:rPr>
        <w:t>Atık gaz arıtma sistemini veya tesis güvenliğini etkileyebilecek diğer maddelerin varlığı (örn. Oksijen, su buharı, toz).</w:t>
      </w:r>
    </w:p>
    <w:p w14:paraId="3B0DBBD9" w14:textId="1209D168" w:rsidR="003B155E" w:rsidRPr="002C07D9" w:rsidRDefault="003B155E" w:rsidP="003B155E">
      <w:pPr>
        <w:widowControl w:val="0"/>
        <w:numPr>
          <w:ilvl w:val="0"/>
          <w:numId w:val="320"/>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 xml:space="preserve">Kullanılan hammadde miktarı, oluşan atıkların miktarı ve özellikleri ile kaynak verimliliğinin sürekli </w:t>
      </w:r>
      <w:r w:rsidR="000E2BBC" w:rsidRPr="002C07D9">
        <w:rPr>
          <w:rFonts w:ascii="Times New Roman" w:eastAsia="Times New Roman" w:hAnsi="Times New Roman" w:cs="Courier New"/>
          <w:color w:val="000000"/>
          <w:kern w:val="0"/>
          <w:sz w:val="24"/>
          <w:szCs w:val="24"/>
          <w:lang w:eastAsia="tr-TR"/>
          <w14:ligatures w14:val="none"/>
        </w:rPr>
        <w:t xml:space="preserve">iyileştirilmesine yönelik eylemlerin belirlenmesi (bkz. Met 6 ve </w:t>
      </w:r>
      <w:r w:rsidR="00F30039">
        <w:rPr>
          <w:rFonts w:ascii="Times New Roman" w:eastAsia="Times New Roman" w:hAnsi="Times New Roman" w:cs="Courier New"/>
          <w:color w:val="000000"/>
          <w:kern w:val="0"/>
          <w:sz w:val="24"/>
          <w:szCs w:val="24"/>
          <w:lang w:eastAsia="tr-TR"/>
          <w14:ligatures w14:val="none"/>
        </w:rPr>
        <w:t>M</w:t>
      </w:r>
      <w:r w:rsidR="000E2BBC" w:rsidRPr="002C07D9">
        <w:rPr>
          <w:rFonts w:ascii="Times New Roman" w:eastAsia="Times New Roman" w:hAnsi="Times New Roman" w:cs="Courier New"/>
          <w:color w:val="000000"/>
          <w:kern w:val="0"/>
          <w:sz w:val="24"/>
          <w:szCs w:val="24"/>
          <w:lang w:eastAsia="tr-TR"/>
          <w14:ligatures w14:val="none"/>
        </w:rPr>
        <w:t>et 10) gibi enerji tüketimi ve kullanımına yönelik bilgi;</w:t>
      </w:r>
    </w:p>
    <w:p w14:paraId="18EC4428" w14:textId="77777777" w:rsidR="003B155E" w:rsidRPr="002C07D9" w:rsidRDefault="003B155E" w:rsidP="003B155E">
      <w:pPr>
        <w:widowControl w:val="0"/>
        <w:numPr>
          <w:ilvl w:val="0"/>
          <w:numId w:val="320"/>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Kaynak verimliliğini artırmayı amaçlayan, enerji, su ve ham madde tüketimini de hesaba katan uygun bir izleme stratejisinin belirlenmesi ve uygulanması. Belirli aralıklarla veya uygun seviyede (örneğin, proses veya tesis/kurulum düzeyinde) gerçekleştirilen izleme, doğrudan ölçümleri ve hesaplamaları içerebilir.</w:t>
      </w:r>
    </w:p>
    <w:p w14:paraId="3AFF819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71AFCC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b/>
          <w:bCs/>
          <w:i/>
          <w:iCs/>
          <w:color w:val="000000"/>
          <w:kern w:val="0"/>
          <w:sz w:val="24"/>
          <w:szCs w:val="24"/>
          <w:lang w:eastAsia="tr-TR"/>
          <w14:ligatures w14:val="none"/>
        </w:rPr>
        <w:t>Uygulanabilirlik</w:t>
      </w:r>
    </w:p>
    <w:p w14:paraId="6161563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Envanterin ayrıntı düzeyi genellikle tesisin niteliği, ölçeği ve karmaşıklığı ve sahip olabileceği çevresel etkilerin çeşitliliği ile ilgili olacaktır.</w:t>
      </w:r>
    </w:p>
    <w:p w14:paraId="6E351454"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0559DBFF"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1.2. </w:t>
      </w:r>
      <w:r w:rsidRPr="002C07D9">
        <w:rPr>
          <w:rFonts w:ascii="Times New Roman" w:eastAsia="Times New Roman" w:hAnsi="Times New Roman" w:cs="Times New Roman"/>
          <w:b/>
          <w:bCs/>
          <w:color w:val="000000"/>
          <w:kern w:val="0"/>
          <w:sz w:val="24"/>
          <w:szCs w:val="24"/>
          <w:lang w:eastAsia="tr-TR"/>
          <w14:ligatures w14:val="none"/>
        </w:rPr>
        <w:t>İzleme</w:t>
      </w:r>
    </w:p>
    <w:p w14:paraId="63597451" w14:textId="77777777" w:rsidR="003B155E" w:rsidRPr="002C07D9" w:rsidRDefault="003B155E" w:rsidP="003B155E">
      <w:pPr>
        <w:widowControl w:val="0"/>
        <w:spacing w:after="0" w:line="276" w:lineRule="auto"/>
        <w:jc w:val="both"/>
        <w:rPr>
          <w:rFonts w:ascii="Times New Roman" w:eastAsia="Times New Roman" w:hAnsi="Times New Roman" w:cs="Courier New"/>
          <w:b/>
          <w:color w:val="000000"/>
          <w:kern w:val="0"/>
          <w:sz w:val="24"/>
          <w:szCs w:val="24"/>
          <w:lang w:eastAsia="tr-TR"/>
          <w14:ligatures w14:val="none"/>
        </w:rPr>
      </w:pPr>
      <w:r w:rsidRPr="002C07D9">
        <w:rPr>
          <w:rFonts w:ascii="Times New Roman" w:eastAsia="Times New Roman" w:hAnsi="Times New Roman" w:cs="Courier New"/>
          <w:b/>
          <w:color w:val="000000"/>
          <w:kern w:val="0"/>
          <w:sz w:val="24"/>
          <w:szCs w:val="24"/>
          <w:lang w:eastAsia="tr-TR"/>
          <w14:ligatures w14:val="none"/>
        </w:rPr>
        <w:t xml:space="preserve">MET 3: </w:t>
      </w:r>
      <w:r w:rsidRPr="002C07D9">
        <w:rPr>
          <w:rFonts w:ascii="Times New Roman" w:eastAsia="Times New Roman" w:hAnsi="Times New Roman" w:cs="Courier New"/>
          <w:bCs/>
          <w:color w:val="000000"/>
          <w:kern w:val="0"/>
          <w:sz w:val="24"/>
          <w:szCs w:val="24"/>
          <w:lang w:eastAsia="tr-TR"/>
          <w14:ligatures w14:val="none"/>
        </w:rPr>
        <w:t>Atıksu akışları envanterinde su ile ilgili kirleticiler için (bkz. MET 2), önemli proses parametrelerinin (örneğin atıksu debisinin, pH’ının ve sıcaklığının sürekli izlenmesi) önemli yerlerde (örneğin ön arıtmanın girişinde ve/veya çıkışında, son arıtmanın girişinde, kirleticinin  tesisten çıkış noktasında) izlenlidir.</w:t>
      </w:r>
    </w:p>
    <w:p w14:paraId="79D0277B"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418794A4"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4: </w:t>
      </w:r>
      <w:r w:rsidRPr="002C07D9">
        <w:rPr>
          <w:rFonts w:ascii="Times New Roman" w:eastAsia="Times New Roman" w:hAnsi="Times New Roman" w:cs="Times New Roman"/>
          <w:color w:val="000000"/>
          <w:kern w:val="0"/>
          <w:sz w:val="24"/>
          <w:lang w:eastAsia="tr-TR"/>
          <w14:ligatures w14:val="none"/>
        </w:rPr>
        <w:t>S</w:t>
      </w:r>
      <w:r w:rsidRPr="002C07D9">
        <w:rPr>
          <w:rFonts w:ascii="Times New Roman" w:eastAsia="Times New Roman" w:hAnsi="Times New Roman" w:cs="Times New Roman"/>
          <w:bCs/>
          <w:color w:val="000000"/>
          <w:kern w:val="0"/>
          <w:sz w:val="24"/>
          <w:szCs w:val="24"/>
          <w:lang w:eastAsia="tr-TR"/>
          <w14:ligatures w14:val="none"/>
        </w:rPr>
        <w:t>u ekosistemlerindeki kirleticilerin en az aşağıdaki tabloda verilen aralıklarla ve TS EN standartlarına uygun olarak takip edilir. TS EN standartlarının mevcut olmadığı durumlarda, eşdeğer bilimsel kalitede veri sağlanmasını mümkün kılan ISO standartlarını, ulusal veya uluslararası standartlar kullanılabilir.</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40"/>
        <w:gridCol w:w="4704"/>
        <w:gridCol w:w="1111"/>
        <w:gridCol w:w="807"/>
      </w:tblGrid>
      <w:tr w:rsidR="003B155E" w:rsidRPr="002C07D9" w14:paraId="12DF8BF3" w14:textId="77777777" w:rsidTr="000D79D6">
        <w:trPr>
          <w:tblHeader/>
          <w:jc w:val="center"/>
        </w:trPr>
        <w:tc>
          <w:tcPr>
            <w:tcW w:w="1362" w:type="pct"/>
            <w:vAlign w:val="center"/>
          </w:tcPr>
          <w:p w14:paraId="095E3445"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Madde(ler)/Parametre</w:t>
            </w:r>
          </w:p>
        </w:tc>
        <w:tc>
          <w:tcPr>
            <w:tcW w:w="2611" w:type="pct"/>
            <w:vAlign w:val="center"/>
          </w:tcPr>
          <w:p w14:paraId="7E07E2A0"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Standart(lar)</w:t>
            </w:r>
          </w:p>
        </w:tc>
        <w:tc>
          <w:tcPr>
            <w:tcW w:w="594" w:type="pct"/>
            <w:vAlign w:val="center"/>
          </w:tcPr>
          <w:p w14:paraId="0F8E10BC"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Minimum İzleme Sıklığı (</w:t>
            </w:r>
            <w:r w:rsidRPr="002C07D9">
              <w:rPr>
                <w:rFonts w:ascii="Times New Roman" w:eastAsia="Times New Roman" w:hAnsi="Times New Roman" w:cs="Times New Roman"/>
                <w:spacing w:val="2"/>
                <w:kern w:val="0"/>
                <w:vertAlign w:val="superscript"/>
                <w14:ligatures w14:val="none"/>
              </w:rPr>
              <w:t>1</w:t>
            </w:r>
            <w:r w:rsidRPr="002C07D9">
              <w:rPr>
                <w:rFonts w:ascii="Times New Roman" w:eastAsia="Times New Roman" w:hAnsi="Times New Roman" w:cs="Times New Roman"/>
                <w:spacing w:val="2"/>
                <w:kern w:val="0"/>
                <w14:ligatures w14:val="none"/>
              </w:rPr>
              <w:t>)</w:t>
            </w:r>
          </w:p>
        </w:tc>
        <w:tc>
          <w:tcPr>
            <w:tcW w:w="432" w:type="pct"/>
            <w:vAlign w:val="center"/>
          </w:tcPr>
          <w:p w14:paraId="5824B278"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İlişkili MET</w:t>
            </w:r>
          </w:p>
        </w:tc>
      </w:tr>
      <w:tr w:rsidR="003B155E" w:rsidRPr="002C07D9" w14:paraId="7F021823" w14:textId="77777777" w:rsidTr="000D79D6">
        <w:trPr>
          <w:jc w:val="center"/>
        </w:trPr>
        <w:tc>
          <w:tcPr>
            <w:tcW w:w="1362" w:type="pct"/>
            <w:vAlign w:val="center"/>
          </w:tcPr>
          <w:p w14:paraId="2508A167"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bookmarkStart w:id="10" w:name="_heading=h.2s8eyo1" w:colFirst="0" w:colLast="0"/>
            <w:bookmarkEnd w:id="10"/>
            <w:r w:rsidRPr="002C07D9">
              <w:rPr>
                <w:rFonts w:ascii="Times New Roman" w:eastAsia="Times New Roman" w:hAnsi="Times New Roman" w:cs="Times New Roman"/>
                <w:spacing w:val="2"/>
                <w:kern w:val="0"/>
                <w14:ligatures w14:val="none"/>
              </w:rPr>
              <w:t>Kimyasal Oksijen İhtiyacı (KOİ) (</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 (</w:t>
            </w:r>
            <w:r w:rsidRPr="002C07D9">
              <w:rPr>
                <w:rFonts w:ascii="Times New Roman" w:eastAsia="Times New Roman" w:hAnsi="Times New Roman" w:cs="Times New Roman"/>
                <w:spacing w:val="2"/>
                <w:kern w:val="0"/>
                <w:vertAlign w:val="superscript"/>
                <w14:ligatures w14:val="none"/>
              </w:rPr>
              <w:t>3</w:t>
            </w:r>
            <w:r w:rsidRPr="002C07D9">
              <w:rPr>
                <w:rFonts w:ascii="Times New Roman" w:eastAsia="Times New Roman" w:hAnsi="Times New Roman" w:cs="Times New Roman"/>
                <w:spacing w:val="2"/>
                <w:kern w:val="0"/>
                <w14:ligatures w14:val="none"/>
              </w:rPr>
              <w:t>)</w:t>
            </w:r>
          </w:p>
        </w:tc>
        <w:tc>
          <w:tcPr>
            <w:tcW w:w="2611" w:type="pct"/>
            <w:vAlign w:val="center"/>
          </w:tcPr>
          <w:p w14:paraId="5724A1C4"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EN standardı mevcut değil</w:t>
            </w:r>
          </w:p>
        </w:tc>
        <w:tc>
          <w:tcPr>
            <w:tcW w:w="594" w:type="pct"/>
            <w:vMerge w:val="restart"/>
            <w:vAlign w:val="center"/>
          </w:tcPr>
          <w:p w14:paraId="335EC2A2"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Günde bir kez (</w:t>
            </w:r>
            <w:r w:rsidRPr="002C07D9">
              <w:rPr>
                <w:rFonts w:ascii="Times New Roman" w:eastAsia="Times New Roman" w:hAnsi="Times New Roman" w:cs="Times New Roman"/>
                <w:spacing w:val="2"/>
                <w:kern w:val="0"/>
                <w:vertAlign w:val="superscript"/>
                <w14:ligatures w14:val="none"/>
              </w:rPr>
              <w:t>4</w:t>
            </w:r>
            <w:r w:rsidRPr="002C07D9">
              <w:rPr>
                <w:rFonts w:ascii="Times New Roman" w:eastAsia="Times New Roman" w:hAnsi="Times New Roman" w:cs="Times New Roman"/>
                <w:spacing w:val="2"/>
                <w:kern w:val="0"/>
                <w14:ligatures w14:val="none"/>
              </w:rPr>
              <w:t>)</w:t>
            </w:r>
          </w:p>
        </w:tc>
        <w:tc>
          <w:tcPr>
            <w:tcW w:w="432" w:type="pct"/>
            <w:vMerge w:val="restart"/>
            <w:vAlign w:val="center"/>
          </w:tcPr>
          <w:p w14:paraId="555D7FF1"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MET 12</w:t>
            </w:r>
          </w:p>
        </w:tc>
      </w:tr>
      <w:tr w:rsidR="003B155E" w:rsidRPr="002C07D9" w14:paraId="55ABFC64" w14:textId="77777777" w:rsidTr="000D79D6">
        <w:trPr>
          <w:jc w:val="center"/>
        </w:trPr>
        <w:tc>
          <w:tcPr>
            <w:tcW w:w="1362" w:type="pct"/>
            <w:vAlign w:val="center"/>
          </w:tcPr>
          <w:p w14:paraId="0E6503E2"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Toplam Azot (TN)</w:t>
            </w:r>
            <w:r w:rsidRPr="002C07D9">
              <w:rPr>
                <w:rFonts w:ascii="Times New Roman" w:eastAsia="Times New Roman" w:hAnsi="Times New Roman" w:cs="Times New Roman"/>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2611" w:type="pct"/>
            <w:vAlign w:val="center"/>
          </w:tcPr>
          <w:p w14:paraId="5452B0AB"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Çeşitli EN standartları mevcuttur (örneğin; TS EN ISO 11905-1)</w:t>
            </w:r>
          </w:p>
        </w:tc>
        <w:tc>
          <w:tcPr>
            <w:tcW w:w="594" w:type="pct"/>
            <w:vMerge/>
            <w:vAlign w:val="center"/>
          </w:tcPr>
          <w:p w14:paraId="03507979"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432" w:type="pct"/>
            <w:vMerge/>
            <w:vAlign w:val="center"/>
          </w:tcPr>
          <w:p w14:paraId="4150D945"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2C07D9" w14:paraId="75CAE1F2" w14:textId="77777777" w:rsidTr="000D79D6">
        <w:trPr>
          <w:jc w:val="center"/>
        </w:trPr>
        <w:tc>
          <w:tcPr>
            <w:tcW w:w="1362" w:type="pct"/>
            <w:vAlign w:val="center"/>
          </w:tcPr>
          <w:p w14:paraId="41FE6E61"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Toplam Organik Karbon (TOK)</w:t>
            </w:r>
            <w:r w:rsidRPr="002C07D9">
              <w:rPr>
                <w:rFonts w:ascii="Times New Roman" w:eastAsia="Times New Roman" w:hAnsi="Times New Roman" w:cs="Times New Roman"/>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 (</w:t>
            </w:r>
            <w:r w:rsidRPr="002C07D9">
              <w:rPr>
                <w:rFonts w:ascii="Times New Roman" w:eastAsia="Times New Roman" w:hAnsi="Times New Roman" w:cs="Times New Roman"/>
                <w:spacing w:val="2"/>
                <w:kern w:val="0"/>
                <w:vertAlign w:val="superscript"/>
                <w14:ligatures w14:val="none"/>
              </w:rPr>
              <w:t>3</w:t>
            </w:r>
            <w:r w:rsidRPr="002C07D9">
              <w:rPr>
                <w:rFonts w:ascii="Times New Roman" w:eastAsia="Times New Roman" w:hAnsi="Times New Roman" w:cs="Times New Roman"/>
                <w:spacing w:val="2"/>
                <w:kern w:val="0"/>
                <w14:ligatures w14:val="none"/>
              </w:rPr>
              <w:t>)</w:t>
            </w:r>
          </w:p>
        </w:tc>
        <w:tc>
          <w:tcPr>
            <w:tcW w:w="2611" w:type="pct"/>
            <w:vAlign w:val="center"/>
          </w:tcPr>
          <w:p w14:paraId="58DD6836"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 xml:space="preserve">EN 1484 </w:t>
            </w:r>
          </w:p>
        </w:tc>
        <w:tc>
          <w:tcPr>
            <w:tcW w:w="594" w:type="pct"/>
            <w:vMerge/>
            <w:vAlign w:val="center"/>
          </w:tcPr>
          <w:p w14:paraId="40F3CBD0"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432" w:type="pct"/>
            <w:vMerge/>
            <w:vAlign w:val="center"/>
          </w:tcPr>
          <w:p w14:paraId="63DECF7D"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2C07D9" w14:paraId="386BA589" w14:textId="77777777" w:rsidTr="000D79D6">
        <w:trPr>
          <w:jc w:val="center"/>
        </w:trPr>
        <w:tc>
          <w:tcPr>
            <w:tcW w:w="1362" w:type="pct"/>
            <w:vAlign w:val="center"/>
          </w:tcPr>
          <w:p w14:paraId="034B0491"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Toplam Fosfat (TP) (</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2611" w:type="pct"/>
            <w:vAlign w:val="center"/>
          </w:tcPr>
          <w:p w14:paraId="6FFAE7B2"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Çeşitli EN standartları mevcuttur (örneğin; TS EN ISO 6878, TS EN ISO 15681-1 ve -2, TS EN ISO 11885)</w:t>
            </w:r>
          </w:p>
        </w:tc>
        <w:tc>
          <w:tcPr>
            <w:tcW w:w="594" w:type="pct"/>
            <w:vMerge/>
            <w:vAlign w:val="center"/>
          </w:tcPr>
          <w:p w14:paraId="07977A47"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432" w:type="pct"/>
            <w:vMerge/>
            <w:vAlign w:val="center"/>
          </w:tcPr>
          <w:p w14:paraId="593A9B7B"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2C07D9" w14:paraId="02048391" w14:textId="77777777" w:rsidTr="000D79D6">
        <w:trPr>
          <w:jc w:val="center"/>
        </w:trPr>
        <w:tc>
          <w:tcPr>
            <w:tcW w:w="1362" w:type="pct"/>
            <w:vAlign w:val="center"/>
          </w:tcPr>
          <w:p w14:paraId="14BA492C"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lastRenderedPageBreak/>
              <w:t>Toplam Askıda Katı Madde (TSS)</w:t>
            </w:r>
            <w:r w:rsidRPr="002C07D9">
              <w:rPr>
                <w:rFonts w:ascii="Times New Roman" w:eastAsia="Times New Roman" w:hAnsi="Times New Roman" w:cs="Times New Roman"/>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2611" w:type="pct"/>
            <w:vAlign w:val="center"/>
          </w:tcPr>
          <w:p w14:paraId="4995CCA3"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TS EN 872</w:t>
            </w:r>
          </w:p>
        </w:tc>
        <w:tc>
          <w:tcPr>
            <w:tcW w:w="594" w:type="pct"/>
            <w:vMerge/>
            <w:vAlign w:val="center"/>
          </w:tcPr>
          <w:p w14:paraId="12D87723"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p>
        </w:tc>
        <w:tc>
          <w:tcPr>
            <w:tcW w:w="432" w:type="pct"/>
            <w:vMerge/>
            <w:vAlign w:val="center"/>
          </w:tcPr>
          <w:p w14:paraId="155F3F1A"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2C07D9" w14:paraId="3D36B2C9" w14:textId="77777777" w:rsidTr="000D79D6">
        <w:trPr>
          <w:jc w:val="center"/>
        </w:trPr>
        <w:tc>
          <w:tcPr>
            <w:tcW w:w="1362" w:type="pct"/>
            <w:vAlign w:val="center"/>
          </w:tcPr>
          <w:p w14:paraId="02381138"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Biyokimyasal Oksijen İhtiyacı (BOİ</w:t>
            </w:r>
            <w:r w:rsidRPr="002C07D9">
              <w:rPr>
                <w:rFonts w:ascii="Times New Roman" w:eastAsia="Times New Roman" w:hAnsi="Times New Roman" w:cs="Times New Roman"/>
                <w:spacing w:val="2"/>
                <w:kern w:val="0"/>
                <w:vertAlign w:val="subscript"/>
                <w14:ligatures w14:val="none"/>
              </w:rPr>
              <w:t>n</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2611" w:type="pct"/>
            <w:vAlign w:val="center"/>
          </w:tcPr>
          <w:p w14:paraId="3BF94605"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TS 4957-EN 1899-1</w:t>
            </w:r>
          </w:p>
        </w:tc>
        <w:tc>
          <w:tcPr>
            <w:tcW w:w="594" w:type="pct"/>
            <w:tcBorders>
              <w:bottom w:val="single" w:sz="4" w:space="0" w:color="auto"/>
            </w:tcBorders>
            <w:vAlign w:val="center"/>
          </w:tcPr>
          <w:p w14:paraId="650012E3"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Ayda bir kez</w:t>
            </w:r>
          </w:p>
        </w:tc>
        <w:tc>
          <w:tcPr>
            <w:tcW w:w="432" w:type="pct"/>
            <w:vMerge/>
            <w:vAlign w:val="center"/>
          </w:tcPr>
          <w:p w14:paraId="4EE1884C" w14:textId="77777777" w:rsidR="003B155E" w:rsidRPr="002C07D9" w:rsidRDefault="003B155E" w:rsidP="000D79D6">
            <w:pPr>
              <w:spacing w:after="0" w:line="240" w:lineRule="auto"/>
              <w:jc w:val="both"/>
              <w:rPr>
                <w:rFonts w:ascii="Times New Roman" w:eastAsia="Times New Roman" w:hAnsi="Times New Roman" w:cs="Times New Roman"/>
                <w:spacing w:val="2"/>
                <w:kern w:val="0"/>
                <w14:ligatures w14:val="none"/>
              </w:rPr>
            </w:pPr>
          </w:p>
        </w:tc>
      </w:tr>
      <w:tr w:rsidR="003B155E" w:rsidRPr="002C07D9" w14:paraId="16FE83B6" w14:textId="77777777" w:rsidTr="000D79D6">
        <w:trPr>
          <w:jc w:val="center"/>
        </w:trPr>
        <w:tc>
          <w:tcPr>
            <w:tcW w:w="1362" w:type="pct"/>
            <w:vAlign w:val="center"/>
          </w:tcPr>
          <w:p w14:paraId="7675A76D"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Klorür (Cl</w:t>
            </w:r>
            <w:r w:rsidRPr="002C07D9">
              <w:rPr>
                <w:rFonts w:ascii="Times New Roman" w:eastAsia="Times New Roman" w:hAnsi="Times New Roman" w:cs="Times New Roman"/>
                <w:spacing w:val="2"/>
                <w:kern w:val="0"/>
                <w:vertAlign w:val="superscript"/>
                <w14:ligatures w14:val="none"/>
              </w:rPr>
              <w:t>-</w:t>
            </w:r>
            <w:r w:rsidRPr="002C07D9">
              <w:rPr>
                <w:rFonts w:ascii="Times New Roman" w:eastAsia="Times New Roman" w:hAnsi="Times New Roman" w:cs="Times New Roman"/>
                <w:spacing w:val="2"/>
                <w:kern w:val="0"/>
                <w14:ligatures w14:val="none"/>
              </w:rPr>
              <w:t>)</w:t>
            </w:r>
          </w:p>
        </w:tc>
        <w:tc>
          <w:tcPr>
            <w:tcW w:w="2611" w:type="pct"/>
            <w:vAlign w:val="center"/>
          </w:tcPr>
          <w:p w14:paraId="1AA4FBB5" w14:textId="77777777" w:rsidR="003B155E" w:rsidRPr="002C07D9" w:rsidRDefault="003B155E" w:rsidP="000D79D6">
            <w:pPr>
              <w:spacing w:after="0" w:line="240" w:lineRule="auto"/>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Çeşitli EN standartları mevcuttur (örneğin; TS EN ISO 10304-1, TS EN ISO 15682)</w:t>
            </w:r>
          </w:p>
        </w:tc>
        <w:tc>
          <w:tcPr>
            <w:tcW w:w="594" w:type="pct"/>
            <w:tcBorders>
              <w:top w:val="single" w:sz="4" w:space="0" w:color="auto"/>
            </w:tcBorders>
            <w:vAlign w:val="center"/>
          </w:tcPr>
          <w:p w14:paraId="46591303"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Ayda bir kez</w:t>
            </w:r>
          </w:p>
        </w:tc>
        <w:tc>
          <w:tcPr>
            <w:tcW w:w="432" w:type="pct"/>
            <w:vAlign w:val="center"/>
          </w:tcPr>
          <w:p w14:paraId="623B4622" w14:textId="77777777" w:rsidR="003B155E" w:rsidRPr="002C07D9" w:rsidRDefault="003B155E" w:rsidP="000D79D6">
            <w:pPr>
              <w:spacing w:after="0" w:line="240" w:lineRule="auto"/>
              <w:jc w:val="center"/>
              <w:rPr>
                <w:rFonts w:ascii="Times New Roman" w:eastAsia="Times New Roman" w:hAnsi="Times New Roman" w:cs="Times New Roman"/>
                <w:spacing w:val="2"/>
                <w:kern w:val="0"/>
                <w14:ligatures w14:val="none"/>
              </w:rPr>
            </w:pPr>
            <w:r w:rsidRPr="002C07D9">
              <w:rPr>
                <w:rFonts w:ascii="Times New Roman" w:eastAsia="Times New Roman" w:hAnsi="Times New Roman" w:cs="Times New Roman"/>
                <w:spacing w:val="2"/>
                <w:kern w:val="0"/>
                <w14:ligatures w14:val="none"/>
              </w:rPr>
              <w:t>-</w:t>
            </w:r>
          </w:p>
        </w:tc>
      </w:tr>
      <w:tr w:rsidR="003B155E" w:rsidRPr="002C07D9" w14:paraId="5524E005" w14:textId="77777777" w:rsidTr="000D79D6">
        <w:trPr>
          <w:jc w:val="center"/>
        </w:trPr>
        <w:tc>
          <w:tcPr>
            <w:tcW w:w="5000" w:type="pct"/>
            <w:gridSpan w:val="4"/>
            <w:vAlign w:val="center"/>
          </w:tcPr>
          <w:p w14:paraId="3D0F8C2C"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sz w:val="20"/>
                <w:szCs w:val="20"/>
                <w14:ligatures w14:val="none"/>
              </w:rPr>
            </w:pPr>
            <w:r w:rsidRPr="002C07D9">
              <w:rPr>
                <w:rFonts w:ascii="Times New Roman" w:eastAsia="Times New Roman" w:hAnsi="Times New Roman" w:cs="Times New Roman"/>
                <w:spacing w:val="2"/>
                <w:kern w:val="0"/>
                <w:sz w:val="20"/>
                <w:szCs w:val="20"/>
                <w14:ligatures w14:val="none"/>
              </w:rPr>
              <w:t>(</w:t>
            </w:r>
            <w:r w:rsidRPr="002C07D9">
              <w:rPr>
                <w:rFonts w:ascii="Times New Roman" w:eastAsia="Times New Roman" w:hAnsi="Times New Roman" w:cs="Times New Roman"/>
                <w:spacing w:val="2"/>
                <w:kern w:val="0"/>
                <w:sz w:val="20"/>
                <w:szCs w:val="20"/>
                <w:vertAlign w:val="superscript"/>
                <w14:ligatures w14:val="none"/>
              </w:rPr>
              <w:t>1</w:t>
            </w:r>
            <w:r w:rsidRPr="002C07D9">
              <w:rPr>
                <w:rFonts w:ascii="Times New Roman" w:eastAsia="Times New Roman" w:hAnsi="Times New Roman" w:cs="Times New Roman"/>
                <w:spacing w:val="2"/>
                <w:kern w:val="0"/>
                <w:sz w:val="20"/>
                <w:szCs w:val="20"/>
                <w14:ligatures w14:val="none"/>
              </w:rPr>
              <w:t xml:space="preserve">) </w:t>
            </w:r>
            <w:r w:rsidRPr="002C07D9">
              <w:rPr>
                <w:rFonts w:ascii="Times New Roman" w:eastAsia="Times New Roman" w:hAnsi="Times New Roman" w:cs="Times New Roman"/>
                <w:bCs/>
                <w:spacing w:val="2"/>
                <w:kern w:val="0"/>
                <w:sz w:val="20"/>
                <w:szCs w:val="20"/>
                <w14:ligatures w14:val="none"/>
              </w:rPr>
              <w:t>İzleme, yalnızca ilgili maddenin MET 2’de belirtilen envantere göre atıksu akışı ile ilgili olarak tanımlanması durumunda geçerlidir.</w:t>
            </w:r>
          </w:p>
          <w:p w14:paraId="18815086"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sz w:val="20"/>
                <w:szCs w:val="20"/>
                <w14:ligatures w14:val="none"/>
              </w:rPr>
            </w:pPr>
            <w:r w:rsidRPr="002C07D9">
              <w:rPr>
                <w:rFonts w:ascii="Times New Roman" w:eastAsia="Times New Roman" w:hAnsi="Times New Roman" w:cs="Times New Roman"/>
                <w:spacing w:val="2"/>
                <w:kern w:val="0"/>
                <w:sz w:val="20"/>
                <w:szCs w:val="20"/>
                <w14:ligatures w14:val="none"/>
              </w:rPr>
              <w:t>(</w:t>
            </w:r>
            <w:r w:rsidRPr="002C07D9">
              <w:rPr>
                <w:rFonts w:ascii="Times New Roman" w:eastAsia="Times New Roman" w:hAnsi="Times New Roman" w:cs="Times New Roman"/>
                <w:spacing w:val="2"/>
                <w:kern w:val="0"/>
                <w:sz w:val="20"/>
                <w:szCs w:val="20"/>
                <w:vertAlign w:val="superscript"/>
                <w14:ligatures w14:val="none"/>
              </w:rPr>
              <w:t>2</w:t>
            </w:r>
            <w:r w:rsidRPr="002C07D9">
              <w:rPr>
                <w:rFonts w:ascii="Times New Roman" w:eastAsia="Times New Roman" w:hAnsi="Times New Roman" w:cs="Times New Roman"/>
                <w:spacing w:val="2"/>
                <w:kern w:val="0"/>
                <w:sz w:val="20"/>
                <w:szCs w:val="20"/>
                <w14:ligatures w14:val="none"/>
              </w:rPr>
              <w:t xml:space="preserve">) </w:t>
            </w:r>
            <w:r w:rsidRPr="002C07D9">
              <w:rPr>
                <w:rFonts w:ascii="Times New Roman" w:eastAsia="Times New Roman" w:hAnsi="Times New Roman" w:cs="Times New Roman"/>
                <w:bCs/>
                <w:spacing w:val="2"/>
                <w:kern w:val="0"/>
                <w:sz w:val="20"/>
                <w:szCs w:val="20"/>
                <w14:ligatures w14:val="none"/>
              </w:rPr>
              <w:t>İzleme, yalnızca alıcı su kütlesine doğrudan deşarj durumunda geçerlidir.</w:t>
            </w:r>
          </w:p>
          <w:p w14:paraId="33FAE4AB"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sz w:val="20"/>
                <w:szCs w:val="20"/>
                <w14:ligatures w14:val="none"/>
              </w:rPr>
            </w:pPr>
            <w:r w:rsidRPr="002C07D9">
              <w:rPr>
                <w:rFonts w:ascii="Times New Roman" w:eastAsia="Times New Roman" w:hAnsi="Times New Roman" w:cs="Times New Roman"/>
                <w:spacing w:val="2"/>
                <w:kern w:val="0"/>
                <w:sz w:val="20"/>
                <w:szCs w:val="20"/>
                <w14:ligatures w14:val="none"/>
              </w:rPr>
              <w:t>(</w:t>
            </w:r>
            <w:r w:rsidRPr="002C07D9">
              <w:rPr>
                <w:rFonts w:ascii="Times New Roman" w:eastAsia="Times New Roman" w:hAnsi="Times New Roman" w:cs="Times New Roman"/>
                <w:spacing w:val="2"/>
                <w:kern w:val="0"/>
                <w:sz w:val="20"/>
                <w:szCs w:val="20"/>
                <w:vertAlign w:val="superscript"/>
                <w14:ligatures w14:val="none"/>
              </w:rPr>
              <w:t>3</w:t>
            </w:r>
            <w:r w:rsidRPr="002C07D9">
              <w:rPr>
                <w:rFonts w:ascii="Times New Roman" w:eastAsia="Times New Roman" w:hAnsi="Times New Roman" w:cs="Times New Roman"/>
                <w:spacing w:val="2"/>
                <w:kern w:val="0"/>
                <w:sz w:val="20"/>
                <w:szCs w:val="20"/>
                <w14:ligatures w14:val="none"/>
              </w:rPr>
              <w:t xml:space="preserve">) </w:t>
            </w:r>
            <w:r w:rsidRPr="002C07D9">
              <w:rPr>
                <w:rFonts w:ascii="Times New Roman" w:eastAsia="Times New Roman" w:hAnsi="Times New Roman" w:cs="Times New Roman"/>
                <w:bCs/>
                <w:spacing w:val="2"/>
                <w:kern w:val="0"/>
                <w:sz w:val="20"/>
                <w:szCs w:val="20"/>
                <w14:ligatures w14:val="none"/>
              </w:rPr>
              <w:t>TOK ve KOİ izleme alternatiflerinden TOK izleme, çok toksik bileşiklerin kullanımına dayanmadığı için tercih edilen seçenektir</w:t>
            </w:r>
          </w:p>
          <w:p w14:paraId="3B23529B" w14:textId="77777777" w:rsidR="003B155E" w:rsidRPr="002C07D9" w:rsidRDefault="003B155E" w:rsidP="000D79D6">
            <w:pPr>
              <w:spacing w:after="0" w:line="240" w:lineRule="auto"/>
              <w:jc w:val="both"/>
              <w:rPr>
                <w:rFonts w:ascii="Times New Roman" w:eastAsia="Times New Roman" w:hAnsi="Times New Roman" w:cs="Times New Roman"/>
                <w:spacing w:val="2"/>
                <w:kern w:val="0"/>
                <w:sz w:val="20"/>
                <w:szCs w:val="20"/>
                <w14:ligatures w14:val="none"/>
              </w:rPr>
            </w:pPr>
            <w:r w:rsidRPr="002C07D9">
              <w:rPr>
                <w:rFonts w:ascii="Times New Roman" w:eastAsia="Times New Roman" w:hAnsi="Times New Roman" w:cs="Times New Roman"/>
                <w:spacing w:val="2"/>
                <w:kern w:val="0"/>
                <w:sz w:val="20"/>
                <w:szCs w:val="20"/>
                <w14:ligatures w14:val="none"/>
              </w:rPr>
              <w:t>(</w:t>
            </w:r>
            <w:r w:rsidRPr="002C07D9">
              <w:rPr>
                <w:rFonts w:ascii="Times New Roman" w:eastAsia="Times New Roman" w:hAnsi="Times New Roman" w:cs="Times New Roman"/>
                <w:spacing w:val="2"/>
                <w:kern w:val="0"/>
                <w:sz w:val="20"/>
                <w:szCs w:val="20"/>
                <w:vertAlign w:val="superscript"/>
                <w14:ligatures w14:val="none"/>
              </w:rPr>
              <w:t>4</w:t>
            </w:r>
            <w:r w:rsidRPr="002C07D9">
              <w:rPr>
                <w:rFonts w:ascii="Times New Roman" w:eastAsia="Times New Roman" w:hAnsi="Times New Roman" w:cs="Times New Roman"/>
                <w:spacing w:val="2"/>
                <w:kern w:val="0"/>
                <w:sz w:val="20"/>
                <w:szCs w:val="20"/>
                <w14:ligatures w14:val="none"/>
              </w:rPr>
              <w:t>)</w:t>
            </w:r>
            <w:r w:rsidRPr="002C07D9">
              <w:rPr>
                <w:rFonts w:ascii="Times New Roman" w:eastAsia="Times New Roman" w:hAnsi="Times New Roman" w:cs="Times New Roman"/>
                <w:bCs/>
                <w:spacing w:val="2"/>
                <w:kern w:val="0"/>
                <w:sz w:val="20"/>
                <w:szCs w:val="20"/>
                <w14:ligatures w14:val="none"/>
              </w:rPr>
              <w:t>Emisyon seviyelerinin yeterince stabil olduğu kanıtlanırsa, daha düşük bir izleme sıklığı benimsenebilir, ancak her durumda en az ayda bir kez uygulanmalıdır.</w:t>
            </w:r>
          </w:p>
        </w:tc>
      </w:tr>
    </w:tbl>
    <w:p w14:paraId="02B3063F" w14:textId="77777777" w:rsidR="003B155E" w:rsidRPr="002C07D9" w:rsidRDefault="003B155E" w:rsidP="003B155E">
      <w:pPr>
        <w:widowControl w:val="0"/>
        <w:tabs>
          <w:tab w:val="left" w:pos="722"/>
        </w:tabs>
        <w:spacing w:after="0" w:line="240" w:lineRule="auto"/>
        <w:jc w:val="both"/>
        <w:rPr>
          <w:rFonts w:ascii="Times New Roman" w:eastAsia="Times New Roman" w:hAnsi="Times New Roman" w:cs="Times New Roman"/>
          <w:b/>
          <w:bCs/>
          <w:color w:val="000000"/>
          <w:kern w:val="0"/>
          <w:sz w:val="24"/>
          <w:szCs w:val="24"/>
          <w:lang w:eastAsia="tr-TR"/>
          <w14:ligatures w14:val="none"/>
        </w:rPr>
      </w:pPr>
    </w:p>
    <w:p w14:paraId="29035DFA"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5: </w:t>
      </w:r>
      <w:r w:rsidRPr="002C07D9">
        <w:rPr>
          <w:rFonts w:ascii="Times New Roman" w:eastAsia="Times New Roman" w:hAnsi="Times New Roman" w:cs="Times New Roman"/>
          <w:color w:val="000000"/>
          <w:spacing w:val="2"/>
          <w:kern w:val="0"/>
          <w:sz w:val="24"/>
          <w:szCs w:val="24"/>
          <w14:ligatures w14:val="none"/>
        </w:rPr>
        <w:t>Havaya salınan emisyonların en az aşağıdaki tabloda verilen aralıklarla ve EN standartlarına uygun olarak izlenmesi amaçlanır.</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6"/>
        <w:gridCol w:w="1888"/>
        <w:gridCol w:w="2689"/>
        <w:gridCol w:w="1354"/>
        <w:gridCol w:w="1114"/>
        <w:gridCol w:w="891"/>
      </w:tblGrid>
      <w:tr w:rsidR="003B155E" w:rsidRPr="002C07D9" w14:paraId="1B71D9F1" w14:textId="77777777" w:rsidTr="000D79D6">
        <w:trPr>
          <w:jc w:val="center"/>
        </w:trPr>
        <w:tc>
          <w:tcPr>
            <w:tcW w:w="616" w:type="pct"/>
            <w:vAlign w:val="center"/>
          </w:tcPr>
          <w:p w14:paraId="0139176B"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Madde/</w:t>
            </w:r>
          </w:p>
          <w:p w14:paraId="064414F4"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Parametre</w:t>
            </w:r>
          </w:p>
        </w:tc>
        <w:tc>
          <w:tcPr>
            <w:tcW w:w="1049" w:type="pct"/>
            <w:vAlign w:val="center"/>
          </w:tcPr>
          <w:p w14:paraId="7CE48724"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Sektör</w:t>
            </w:r>
          </w:p>
        </w:tc>
        <w:tc>
          <w:tcPr>
            <w:tcW w:w="1491" w:type="pct"/>
            <w:vAlign w:val="center"/>
          </w:tcPr>
          <w:p w14:paraId="662165BF"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Spesifik Proses</w:t>
            </w:r>
          </w:p>
        </w:tc>
        <w:tc>
          <w:tcPr>
            <w:tcW w:w="724" w:type="pct"/>
            <w:vAlign w:val="center"/>
          </w:tcPr>
          <w:p w14:paraId="2A49401B"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Standart(lar)</w:t>
            </w:r>
          </w:p>
        </w:tc>
        <w:tc>
          <w:tcPr>
            <w:tcW w:w="622" w:type="pct"/>
            <w:vAlign w:val="center"/>
          </w:tcPr>
          <w:p w14:paraId="572D1EFA"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 xml:space="preserve">Minimum İzleme Sıklığı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1</w:t>
            </w:r>
            <w:r w:rsidRPr="002C07D9">
              <w:rPr>
                <w:rFonts w:ascii="Times New Roman" w:eastAsia="Times New Roman" w:hAnsi="Times New Roman" w:cs="Times New Roman"/>
                <w:spacing w:val="2"/>
                <w:kern w:val="0"/>
                <w14:ligatures w14:val="none"/>
              </w:rPr>
              <w:t>)</w:t>
            </w:r>
          </w:p>
        </w:tc>
        <w:tc>
          <w:tcPr>
            <w:tcW w:w="497" w:type="pct"/>
            <w:vAlign w:val="center"/>
          </w:tcPr>
          <w:p w14:paraId="790A4E7C"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İlişkili MET</w:t>
            </w:r>
          </w:p>
        </w:tc>
      </w:tr>
      <w:tr w:rsidR="003B155E" w:rsidRPr="002C07D9" w14:paraId="5BAD4C14" w14:textId="77777777" w:rsidTr="000D79D6">
        <w:trPr>
          <w:jc w:val="center"/>
        </w:trPr>
        <w:tc>
          <w:tcPr>
            <w:tcW w:w="616" w:type="pct"/>
            <w:vMerge w:val="restart"/>
            <w:vAlign w:val="center"/>
          </w:tcPr>
          <w:p w14:paraId="79C2C5CB"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Toz</w:t>
            </w:r>
          </w:p>
        </w:tc>
        <w:tc>
          <w:tcPr>
            <w:tcW w:w="1049" w:type="pct"/>
            <w:vMerge w:val="restart"/>
            <w:vAlign w:val="center"/>
          </w:tcPr>
          <w:p w14:paraId="402AF562"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Hayvan yemi</w:t>
            </w:r>
          </w:p>
        </w:tc>
        <w:tc>
          <w:tcPr>
            <w:tcW w:w="1491" w:type="pct"/>
            <w:vAlign w:val="center"/>
          </w:tcPr>
          <w:p w14:paraId="4B147529"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Yeşil yemlerin kurutulması</w:t>
            </w:r>
          </w:p>
        </w:tc>
        <w:tc>
          <w:tcPr>
            <w:tcW w:w="724" w:type="pct"/>
            <w:vMerge w:val="restart"/>
            <w:vAlign w:val="center"/>
          </w:tcPr>
          <w:p w14:paraId="6ADF8773"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TS EN 13284-1</w:t>
            </w:r>
          </w:p>
          <w:p w14:paraId="1C5C33A7"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Align w:val="center"/>
          </w:tcPr>
          <w:p w14:paraId="18363E4D"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 xml:space="preserve">Her üç ayda bir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497" w:type="pct"/>
            <w:vMerge w:val="restart"/>
            <w:vAlign w:val="center"/>
          </w:tcPr>
          <w:p w14:paraId="7400BF06"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17</w:t>
            </w:r>
          </w:p>
        </w:tc>
      </w:tr>
      <w:tr w:rsidR="003B155E" w:rsidRPr="002C07D9" w14:paraId="36A83BED" w14:textId="77777777" w:rsidTr="000D79D6">
        <w:trPr>
          <w:jc w:val="center"/>
        </w:trPr>
        <w:tc>
          <w:tcPr>
            <w:tcW w:w="616" w:type="pct"/>
            <w:vMerge/>
            <w:vAlign w:val="center"/>
          </w:tcPr>
          <w:p w14:paraId="224C81B2"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Merge/>
            <w:vAlign w:val="center"/>
          </w:tcPr>
          <w:p w14:paraId="6C1848C0"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p>
        </w:tc>
        <w:tc>
          <w:tcPr>
            <w:tcW w:w="1491" w:type="pct"/>
            <w:vAlign w:val="center"/>
          </w:tcPr>
          <w:p w14:paraId="7AABEBB4"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Karma yem üretiminde öğütme ve pelet soğutma</w:t>
            </w:r>
          </w:p>
        </w:tc>
        <w:tc>
          <w:tcPr>
            <w:tcW w:w="724" w:type="pct"/>
            <w:vMerge/>
            <w:vAlign w:val="center"/>
          </w:tcPr>
          <w:p w14:paraId="307E3F45"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restart"/>
            <w:vAlign w:val="center"/>
          </w:tcPr>
          <w:p w14:paraId="764DFCAD"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Yılda bir kez</w:t>
            </w:r>
          </w:p>
        </w:tc>
        <w:tc>
          <w:tcPr>
            <w:tcW w:w="497" w:type="pct"/>
            <w:vMerge/>
            <w:vAlign w:val="center"/>
          </w:tcPr>
          <w:p w14:paraId="28E3650C"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r>
      <w:tr w:rsidR="003B155E" w:rsidRPr="002C07D9" w14:paraId="597F08F3" w14:textId="77777777" w:rsidTr="000D79D6">
        <w:trPr>
          <w:jc w:val="center"/>
        </w:trPr>
        <w:tc>
          <w:tcPr>
            <w:tcW w:w="616" w:type="pct"/>
            <w:vMerge/>
            <w:vAlign w:val="center"/>
          </w:tcPr>
          <w:p w14:paraId="6F0FC045"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Merge/>
            <w:vAlign w:val="center"/>
          </w:tcPr>
          <w:p w14:paraId="4A501AB7"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p>
        </w:tc>
        <w:tc>
          <w:tcPr>
            <w:tcW w:w="1491" w:type="pct"/>
            <w:vAlign w:val="center"/>
          </w:tcPr>
          <w:p w14:paraId="7E1DBDDC"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Kuru evcil hayvan mamasının ekstrüzyonu</w:t>
            </w:r>
          </w:p>
        </w:tc>
        <w:tc>
          <w:tcPr>
            <w:tcW w:w="724" w:type="pct"/>
            <w:vMerge/>
            <w:vAlign w:val="center"/>
          </w:tcPr>
          <w:p w14:paraId="5609A9E4"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4BC76B2A"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Merge/>
            <w:vAlign w:val="center"/>
          </w:tcPr>
          <w:p w14:paraId="3C671435"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r>
      <w:tr w:rsidR="003B155E" w:rsidRPr="002C07D9" w14:paraId="46A0460D" w14:textId="77777777" w:rsidTr="000D79D6">
        <w:trPr>
          <w:jc w:val="center"/>
        </w:trPr>
        <w:tc>
          <w:tcPr>
            <w:tcW w:w="616" w:type="pct"/>
            <w:vMerge/>
            <w:vAlign w:val="center"/>
          </w:tcPr>
          <w:p w14:paraId="798727FE"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511633AF"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Mayalama</w:t>
            </w:r>
          </w:p>
        </w:tc>
        <w:tc>
          <w:tcPr>
            <w:tcW w:w="1491" w:type="pct"/>
            <w:vAlign w:val="center"/>
          </w:tcPr>
          <w:p w14:paraId="5BC99684"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Malt ve katkı maddelerinin elleçlenmesi ve işlenmesi</w:t>
            </w:r>
          </w:p>
        </w:tc>
        <w:tc>
          <w:tcPr>
            <w:tcW w:w="724" w:type="pct"/>
            <w:vMerge/>
            <w:vAlign w:val="center"/>
          </w:tcPr>
          <w:p w14:paraId="5FA02CE7"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1EE789CA"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Align w:val="center"/>
          </w:tcPr>
          <w:p w14:paraId="339DC521"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20</w:t>
            </w:r>
          </w:p>
        </w:tc>
      </w:tr>
      <w:tr w:rsidR="003B155E" w:rsidRPr="002C07D9" w14:paraId="5D1FDE3F" w14:textId="77777777" w:rsidTr="000D79D6">
        <w:trPr>
          <w:jc w:val="center"/>
        </w:trPr>
        <w:tc>
          <w:tcPr>
            <w:tcW w:w="616" w:type="pct"/>
            <w:vMerge/>
            <w:vAlign w:val="center"/>
          </w:tcPr>
          <w:p w14:paraId="0DAC2A02"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20D43491"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Süt Ürünleri</w:t>
            </w:r>
          </w:p>
        </w:tc>
        <w:tc>
          <w:tcPr>
            <w:tcW w:w="1491" w:type="pct"/>
            <w:vAlign w:val="center"/>
          </w:tcPr>
          <w:p w14:paraId="07F16E1B"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Kurutma işlemleri</w:t>
            </w:r>
          </w:p>
        </w:tc>
        <w:tc>
          <w:tcPr>
            <w:tcW w:w="724" w:type="pct"/>
            <w:vMerge/>
            <w:vAlign w:val="center"/>
          </w:tcPr>
          <w:p w14:paraId="5419A39A"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76A621B6"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Align w:val="center"/>
          </w:tcPr>
          <w:p w14:paraId="5E6829FE"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23</w:t>
            </w:r>
          </w:p>
        </w:tc>
      </w:tr>
      <w:tr w:rsidR="003B155E" w:rsidRPr="002C07D9" w14:paraId="3C549041" w14:textId="77777777" w:rsidTr="000D79D6">
        <w:trPr>
          <w:jc w:val="center"/>
        </w:trPr>
        <w:tc>
          <w:tcPr>
            <w:tcW w:w="616" w:type="pct"/>
            <w:vMerge/>
            <w:vAlign w:val="center"/>
          </w:tcPr>
          <w:p w14:paraId="2A9E0316"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0AE92190"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Tahıl Öğütme</w:t>
            </w:r>
          </w:p>
        </w:tc>
        <w:tc>
          <w:tcPr>
            <w:tcW w:w="1491" w:type="pct"/>
            <w:vAlign w:val="center"/>
          </w:tcPr>
          <w:p w14:paraId="2CB93820"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Tahıl temizleme ve öğütme</w:t>
            </w:r>
          </w:p>
        </w:tc>
        <w:tc>
          <w:tcPr>
            <w:tcW w:w="724" w:type="pct"/>
            <w:vMerge/>
            <w:vAlign w:val="center"/>
          </w:tcPr>
          <w:p w14:paraId="58AB00E9"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334EC9F4"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Align w:val="center"/>
          </w:tcPr>
          <w:p w14:paraId="70A67146"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28</w:t>
            </w:r>
          </w:p>
        </w:tc>
      </w:tr>
      <w:tr w:rsidR="003B155E" w:rsidRPr="002C07D9" w14:paraId="1A68B464" w14:textId="77777777" w:rsidTr="000D79D6">
        <w:trPr>
          <w:jc w:val="center"/>
        </w:trPr>
        <w:tc>
          <w:tcPr>
            <w:tcW w:w="616" w:type="pct"/>
            <w:vMerge/>
            <w:vAlign w:val="center"/>
          </w:tcPr>
          <w:p w14:paraId="132ED0FA"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0613C59D"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Yağlı tohum işleme ve bitkisel yağ rafinasyonu</w:t>
            </w:r>
          </w:p>
        </w:tc>
        <w:tc>
          <w:tcPr>
            <w:tcW w:w="1491" w:type="pct"/>
            <w:vAlign w:val="center"/>
          </w:tcPr>
          <w:p w14:paraId="3F90D3C1"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Tohumların işlenmesi ve hazırlanması, unların kurutulması ve soğutulması</w:t>
            </w:r>
          </w:p>
        </w:tc>
        <w:tc>
          <w:tcPr>
            <w:tcW w:w="724" w:type="pct"/>
            <w:vMerge/>
            <w:vAlign w:val="center"/>
          </w:tcPr>
          <w:p w14:paraId="32186409"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6CC28DB3"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Align w:val="center"/>
          </w:tcPr>
          <w:p w14:paraId="7EC30376"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31</w:t>
            </w:r>
          </w:p>
        </w:tc>
      </w:tr>
      <w:tr w:rsidR="003B155E" w:rsidRPr="002C07D9" w14:paraId="0D495130" w14:textId="77777777" w:rsidTr="000D79D6">
        <w:trPr>
          <w:jc w:val="center"/>
        </w:trPr>
        <w:tc>
          <w:tcPr>
            <w:tcW w:w="616" w:type="pct"/>
            <w:vMerge/>
            <w:vAlign w:val="center"/>
          </w:tcPr>
          <w:p w14:paraId="3DDD10CF"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64DA9CAE"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Nişasta Üretimi</w:t>
            </w:r>
          </w:p>
        </w:tc>
        <w:tc>
          <w:tcPr>
            <w:tcW w:w="1491" w:type="pct"/>
            <w:vAlign w:val="center"/>
          </w:tcPr>
          <w:p w14:paraId="31B9A3FE"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Nişasta, protein ve liflerin kurutulması</w:t>
            </w:r>
          </w:p>
        </w:tc>
        <w:tc>
          <w:tcPr>
            <w:tcW w:w="724" w:type="pct"/>
            <w:vMerge/>
            <w:vAlign w:val="center"/>
          </w:tcPr>
          <w:p w14:paraId="39D50683"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3C67B51E"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Align w:val="center"/>
          </w:tcPr>
          <w:p w14:paraId="719C1E75"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34</w:t>
            </w:r>
          </w:p>
        </w:tc>
      </w:tr>
      <w:tr w:rsidR="003B155E" w:rsidRPr="002C07D9" w14:paraId="66979993" w14:textId="77777777" w:rsidTr="000D79D6">
        <w:trPr>
          <w:jc w:val="center"/>
        </w:trPr>
        <w:tc>
          <w:tcPr>
            <w:tcW w:w="616" w:type="pct"/>
            <w:vMerge/>
            <w:vAlign w:val="center"/>
          </w:tcPr>
          <w:p w14:paraId="50BC5A74"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64E700EF"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Şeker Üretimi</w:t>
            </w:r>
          </w:p>
        </w:tc>
        <w:tc>
          <w:tcPr>
            <w:tcW w:w="1491" w:type="pct"/>
            <w:vAlign w:val="center"/>
          </w:tcPr>
          <w:p w14:paraId="0D1BC724"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Pancar posasının kurutulması</w:t>
            </w:r>
          </w:p>
        </w:tc>
        <w:tc>
          <w:tcPr>
            <w:tcW w:w="724" w:type="pct"/>
            <w:vMerge/>
            <w:vAlign w:val="center"/>
          </w:tcPr>
          <w:p w14:paraId="7DB35C48"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Align w:val="center"/>
          </w:tcPr>
          <w:p w14:paraId="64E83CCD"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Ayda bir kez</w:t>
            </w:r>
            <w:r w:rsidRPr="002C07D9">
              <w:rPr>
                <w:rFonts w:ascii="Times New Roman" w:eastAsia="Times New Roman" w:hAnsi="Times New Roman" w:cs="Times New Roman"/>
                <w:bCs/>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497" w:type="pct"/>
            <w:vAlign w:val="center"/>
          </w:tcPr>
          <w:p w14:paraId="3C716E0C"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36</w:t>
            </w:r>
          </w:p>
        </w:tc>
      </w:tr>
      <w:tr w:rsidR="003B155E" w:rsidRPr="002C07D9" w14:paraId="0EEF1649" w14:textId="77777777" w:rsidTr="000D79D6">
        <w:trPr>
          <w:jc w:val="center"/>
        </w:trPr>
        <w:tc>
          <w:tcPr>
            <w:tcW w:w="616" w:type="pct"/>
            <w:vAlign w:val="center"/>
          </w:tcPr>
          <w:p w14:paraId="60EB86B9"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PM</w:t>
            </w:r>
            <w:r w:rsidRPr="002C07D9">
              <w:rPr>
                <w:rFonts w:ascii="Times New Roman" w:eastAsia="Times New Roman" w:hAnsi="Times New Roman" w:cs="Times New Roman"/>
                <w:bCs/>
                <w:spacing w:val="2"/>
                <w:kern w:val="0"/>
                <w:vertAlign w:val="subscript"/>
                <w14:ligatures w14:val="none"/>
              </w:rPr>
              <w:t>2,5</w:t>
            </w:r>
            <w:r w:rsidRPr="002C07D9">
              <w:rPr>
                <w:rFonts w:ascii="Times New Roman" w:eastAsia="Times New Roman" w:hAnsi="Times New Roman" w:cs="Times New Roman"/>
                <w:bCs/>
                <w:spacing w:val="2"/>
                <w:kern w:val="0"/>
                <w14:ligatures w14:val="none"/>
              </w:rPr>
              <w:t xml:space="preserve"> ve PM</w:t>
            </w:r>
            <w:r w:rsidRPr="002C07D9">
              <w:rPr>
                <w:rFonts w:ascii="Times New Roman" w:eastAsia="Times New Roman" w:hAnsi="Times New Roman" w:cs="Times New Roman"/>
                <w:bCs/>
                <w:spacing w:val="2"/>
                <w:kern w:val="0"/>
                <w:vertAlign w:val="subscript"/>
                <w14:ligatures w14:val="none"/>
              </w:rPr>
              <w:t>10</w:t>
            </w:r>
          </w:p>
        </w:tc>
        <w:tc>
          <w:tcPr>
            <w:tcW w:w="1049" w:type="pct"/>
            <w:vAlign w:val="center"/>
          </w:tcPr>
          <w:p w14:paraId="469C5DBE"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Şeker Üretimi</w:t>
            </w:r>
          </w:p>
        </w:tc>
        <w:tc>
          <w:tcPr>
            <w:tcW w:w="1491" w:type="pct"/>
            <w:vAlign w:val="center"/>
          </w:tcPr>
          <w:p w14:paraId="77C5297F"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Pancar posasının kurutulması</w:t>
            </w:r>
          </w:p>
        </w:tc>
        <w:tc>
          <w:tcPr>
            <w:tcW w:w="724" w:type="pct"/>
            <w:vAlign w:val="center"/>
          </w:tcPr>
          <w:p w14:paraId="61D5E76B"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TS EN ISO 23210</w:t>
            </w:r>
          </w:p>
        </w:tc>
        <w:tc>
          <w:tcPr>
            <w:tcW w:w="622" w:type="pct"/>
            <w:vAlign w:val="center"/>
          </w:tcPr>
          <w:p w14:paraId="661BDE7E"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Yılda bir kez</w:t>
            </w:r>
          </w:p>
        </w:tc>
        <w:tc>
          <w:tcPr>
            <w:tcW w:w="497" w:type="pct"/>
            <w:vAlign w:val="center"/>
          </w:tcPr>
          <w:p w14:paraId="563373D2"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36</w:t>
            </w:r>
          </w:p>
        </w:tc>
      </w:tr>
      <w:tr w:rsidR="003B155E" w:rsidRPr="002C07D9" w14:paraId="117AC11D" w14:textId="77777777" w:rsidTr="000D79D6">
        <w:trPr>
          <w:jc w:val="center"/>
        </w:trPr>
        <w:tc>
          <w:tcPr>
            <w:tcW w:w="616" w:type="pct"/>
            <w:vMerge w:val="restart"/>
            <w:vAlign w:val="center"/>
          </w:tcPr>
          <w:p w14:paraId="05369D94"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w:t>
            </w:r>
            <w:r w:rsidR="009D570E">
              <w:rPr>
                <w:rFonts w:ascii="Times New Roman" w:eastAsia="Times New Roman" w:hAnsi="Times New Roman" w:cs="Times New Roman"/>
                <w:bCs/>
                <w:spacing w:val="2"/>
                <w:kern w:val="0"/>
                <w14:ligatures w14:val="none"/>
              </w:rPr>
              <w:t>UOB</w:t>
            </w:r>
          </w:p>
        </w:tc>
        <w:tc>
          <w:tcPr>
            <w:tcW w:w="1049" w:type="pct"/>
            <w:vAlign w:val="center"/>
          </w:tcPr>
          <w:p w14:paraId="1B47ECF1"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Balık ve kabuklu deniz ürünleri işleme</w:t>
            </w:r>
          </w:p>
        </w:tc>
        <w:tc>
          <w:tcPr>
            <w:tcW w:w="1491" w:type="pct"/>
            <w:vMerge w:val="restart"/>
            <w:vAlign w:val="center"/>
          </w:tcPr>
          <w:p w14:paraId="3159998A"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Duman odaları</w:t>
            </w:r>
          </w:p>
        </w:tc>
        <w:tc>
          <w:tcPr>
            <w:tcW w:w="724" w:type="pct"/>
            <w:vMerge w:val="restart"/>
            <w:vAlign w:val="center"/>
          </w:tcPr>
          <w:p w14:paraId="5564219E"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 xml:space="preserve">TS EN 12619 </w:t>
            </w:r>
          </w:p>
        </w:tc>
        <w:tc>
          <w:tcPr>
            <w:tcW w:w="622" w:type="pct"/>
            <w:vMerge w:val="restart"/>
            <w:vAlign w:val="center"/>
          </w:tcPr>
          <w:p w14:paraId="7D6A861B"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Yılda bir kez</w:t>
            </w:r>
          </w:p>
        </w:tc>
        <w:tc>
          <w:tcPr>
            <w:tcW w:w="497" w:type="pct"/>
            <w:vAlign w:val="center"/>
          </w:tcPr>
          <w:p w14:paraId="7AA7C698"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26</w:t>
            </w:r>
          </w:p>
        </w:tc>
      </w:tr>
      <w:tr w:rsidR="003B155E" w:rsidRPr="002C07D9" w14:paraId="619F836C" w14:textId="77777777" w:rsidTr="000D79D6">
        <w:trPr>
          <w:jc w:val="center"/>
        </w:trPr>
        <w:tc>
          <w:tcPr>
            <w:tcW w:w="616" w:type="pct"/>
            <w:vMerge/>
            <w:vAlign w:val="center"/>
          </w:tcPr>
          <w:p w14:paraId="2D4F2DCF"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519D217C"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Et İşleme</w:t>
            </w:r>
          </w:p>
        </w:tc>
        <w:tc>
          <w:tcPr>
            <w:tcW w:w="1491" w:type="pct"/>
            <w:vMerge/>
            <w:vAlign w:val="center"/>
          </w:tcPr>
          <w:p w14:paraId="141A703C"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p>
        </w:tc>
        <w:tc>
          <w:tcPr>
            <w:tcW w:w="724" w:type="pct"/>
            <w:vMerge/>
            <w:vAlign w:val="center"/>
          </w:tcPr>
          <w:p w14:paraId="55506DA3"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098AD6C4"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Align w:val="center"/>
          </w:tcPr>
          <w:p w14:paraId="2E5DDACC"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29</w:t>
            </w:r>
          </w:p>
        </w:tc>
      </w:tr>
      <w:tr w:rsidR="003B155E" w:rsidRPr="002C07D9" w14:paraId="2B780ADC" w14:textId="77777777" w:rsidTr="000D79D6">
        <w:trPr>
          <w:jc w:val="center"/>
        </w:trPr>
        <w:tc>
          <w:tcPr>
            <w:tcW w:w="616" w:type="pct"/>
            <w:vMerge/>
            <w:vAlign w:val="center"/>
          </w:tcPr>
          <w:p w14:paraId="3F81B2BB"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6DB28A5F"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 xml:space="preserve">Yağlı tohum işleme ve bitkisel yağ rafinasyonu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3</w:t>
            </w:r>
            <w:r w:rsidRPr="002C07D9">
              <w:rPr>
                <w:rFonts w:ascii="Times New Roman" w:eastAsia="Times New Roman" w:hAnsi="Times New Roman" w:cs="Times New Roman"/>
                <w:spacing w:val="2"/>
                <w:kern w:val="0"/>
                <w14:ligatures w14:val="none"/>
              </w:rPr>
              <w:t>)</w:t>
            </w:r>
          </w:p>
        </w:tc>
        <w:tc>
          <w:tcPr>
            <w:tcW w:w="1491" w:type="pct"/>
            <w:vAlign w:val="center"/>
          </w:tcPr>
          <w:p w14:paraId="75734190"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w:t>
            </w:r>
          </w:p>
        </w:tc>
        <w:tc>
          <w:tcPr>
            <w:tcW w:w="724" w:type="pct"/>
            <w:vMerge/>
            <w:vAlign w:val="center"/>
          </w:tcPr>
          <w:p w14:paraId="61A7369C"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66E6DDE7"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Merge w:val="restart"/>
            <w:vAlign w:val="center"/>
          </w:tcPr>
          <w:p w14:paraId="41DBE1F3"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w:t>
            </w:r>
          </w:p>
        </w:tc>
      </w:tr>
      <w:tr w:rsidR="003B155E" w:rsidRPr="002C07D9" w14:paraId="62F5612A" w14:textId="77777777" w:rsidTr="000D79D6">
        <w:trPr>
          <w:jc w:val="center"/>
        </w:trPr>
        <w:tc>
          <w:tcPr>
            <w:tcW w:w="616" w:type="pct"/>
            <w:vMerge/>
            <w:vAlign w:val="center"/>
          </w:tcPr>
          <w:p w14:paraId="37455CC2"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7B045936"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Şeker üretimi</w:t>
            </w:r>
          </w:p>
        </w:tc>
        <w:tc>
          <w:tcPr>
            <w:tcW w:w="1491" w:type="pct"/>
            <w:vAlign w:val="center"/>
          </w:tcPr>
          <w:p w14:paraId="70DF6B8B"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Pancar posasının yüksek sıcaklıkta kurutulması</w:t>
            </w:r>
          </w:p>
        </w:tc>
        <w:tc>
          <w:tcPr>
            <w:tcW w:w="724" w:type="pct"/>
            <w:vMerge/>
            <w:vAlign w:val="center"/>
          </w:tcPr>
          <w:p w14:paraId="462DA84F"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609EBF6E"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Merge/>
            <w:vAlign w:val="center"/>
          </w:tcPr>
          <w:p w14:paraId="4522CBE8"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r>
      <w:tr w:rsidR="003B155E" w:rsidRPr="002C07D9" w14:paraId="123CB32B" w14:textId="77777777" w:rsidTr="000D79D6">
        <w:trPr>
          <w:jc w:val="center"/>
        </w:trPr>
        <w:tc>
          <w:tcPr>
            <w:tcW w:w="616" w:type="pct"/>
            <w:vMerge w:val="restart"/>
            <w:vAlign w:val="center"/>
          </w:tcPr>
          <w:p w14:paraId="7A9D78F2"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NO</w:t>
            </w:r>
            <w:r w:rsidRPr="002C07D9">
              <w:rPr>
                <w:rFonts w:ascii="Times New Roman" w:eastAsia="Times New Roman" w:hAnsi="Times New Roman" w:cs="Times New Roman"/>
                <w:bCs/>
                <w:spacing w:val="2"/>
                <w:kern w:val="0"/>
                <w:vertAlign w:val="subscript"/>
                <w14:ligatures w14:val="none"/>
              </w:rPr>
              <w:t>x</w:t>
            </w:r>
          </w:p>
        </w:tc>
        <w:tc>
          <w:tcPr>
            <w:tcW w:w="1049" w:type="pct"/>
            <w:vAlign w:val="center"/>
          </w:tcPr>
          <w:p w14:paraId="0635E350"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bookmarkStart w:id="11" w:name="_heading=h.1y810tw" w:colFirst="0" w:colLast="0"/>
            <w:bookmarkEnd w:id="11"/>
            <w:r w:rsidRPr="002C07D9">
              <w:rPr>
                <w:rFonts w:ascii="Times New Roman" w:eastAsia="Times New Roman" w:hAnsi="Times New Roman" w:cs="Times New Roman"/>
                <w:bCs/>
                <w:spacing w:val="2"/>
                <w:kern w:val="0"/>
                <w14:ligatures w14:val="none"/>
              </w:rPr>
              <w:t xml:space="preserve">Et işleme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4</w:t>
            </w:r>
            <w:r w:rsidRPr="002C07D9">
              <w:rPr>
                <w:rFonts w:ascii="Times New Roman" w:eastAsia="Times New Roman" w:hAnsi="Times New Roman" w:cs="Times New Roman"/>
                <w:spacing w:val="2"/>
                <w:kern w:val="0"/>
                <w14:ligatures w14:val="none"/>
              </w:rPr>
              <w:t>)</w:t>
            </w:r>
          </w:p>
        </w:tc>
        <w:tc>
          <w:tcPr>
            <w:tcW w:w="1491" w:type="pct"/>
            <w:vAlign w:val="center"/>
          </w:tcPr>
          <w:p w14:paraId="5C5E303B"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Duman odaları</w:t>
            </w:r>
          </w:p>
        </w:tc>
        <w:tc>
          <w:tcPr>
            <w:tcW w:w="724" w:type="pct"/>
            <w:vMerge w:val="restart"/>
            <w:vAlign w:val="center"/>
          </w:tcPr>
          <w:p w14:paraId="246D1BCE"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TS EN 14792</w:t>
            </w:r>
          </w:p>
        </w:tc>
        <w:tc>
          <w:tcPr>
            <w:tcW w:w="622" w:type="pct"/>
            <w:vMerge w:val="restart"/>
            <w:vAlign w:val="center"/>
          </w:tcPr>
          <w:p w14:paraId="08D0758C"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Yılda bir kez</w:t>
            </w:r>
          </w:p>
        </w:tc>
        <w:tc>
          <w:tcPr>
            <w:tcW w:w="497" w:type="pct"/>
            <w:vMerge w:val="restart"/>
            <w:vAlign w:val="center"/>
          </w:tcPr>
          <w:p w14:paraId="403A28D1"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w:t>
            </w:r>
          </w:p>
        </w:tc>
      </w:tr>
      <w:tr w:rsidR="003B155E" w:rsidRPr="002C07D9" w14:paraId="01ECC0D8" w14:textId="77777777" w:rsidTr="000D79D6">
        <w:trPr>
          <w:jc w:val="center"/>
        </w:trPr>
        <w:tc>
          <w:tcPr>
            <w:tcW w:w="616" w:type="pct"/>
            <w:vMerge/>
            <w:vAlign w:val="center"/>
          </w:tcPr>
          <w:p w14:paraId="3DB238E9"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793E16A3"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Şeker üretimi</w:t>
            </w:r>
          </w:p>
        </w:tc>
        <w:tc>
          <w:tcPr>
            <w:tcW w:w="1491" w:type="pct"/>
            <w:vAlign w:val="center"/>
          </w:tcPr>
          <w:p w14:paraId="5DF75CCE"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Pancar posasının yüksek sıcaklıkta kurutulması</w:t>
            </w:r>
          </w:p>
        </w:tc>
        <w:tc>
          <w:tcPr>
            <w:tcW w:w="724" w:type="pct"/>
            <w:vMerge/>
            <w:vAlign w:val="center"/>
          </w:tcPr>
          <w:p w14:paraId="75B032C2"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03983A36"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Merge/>
            <w:vAlign w:val="center"/>
          </w:tcPr>
          <w:p w14:paraId="01FDD54E"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r>
      <w:tr w:rsidR="003B155E" w:rsidRPr="002C07D9" w14:paraId="34583CA1" w14:textId="77777777" w:rsidTr="000D79D6">
        <w:trPr>
          <w:jc w:val="center"/>
        </w:trPr>
        <w:tc>
          <w:tcPr>
            <w:tcW w:w="616" w:type="pct"/>
            <w:vMerge w:val="restart"/>
            <w:vAlign w:val="center"/>
          </w:tcPr>
          <w:p w14:paraId="72AED817"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CO</w:t>
            </w:r>
          </w:p>
        </w:tc>
        <w:tc>
          <w:tcPr>
            <w:tcW w:w="1049" w:type="pct"/>
            <w:vAlign w:val="center"/>
          </w:tcPr>
          <w:p w14:paraId="38A4CEFB"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Et işleme</w:t>
            </w:r>
            <w:r w:rsidRPr="002C07D9">
              <w:rPr>
                <w:rFonts w:ascii="Times New Roman" w:eastAsia="Times New Roman" w:hAnsi="Times New Roman" w:cs="Times New Roman"/>
                <w:bCs/>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4</w:t>
            </w:r>
            <w:r w:rsidRPr="002C07D9">
              <w:rPr>
                <w:rFonts w:ascii="Times New Roman" w:eastAsia="Times New Roman" w:hAnsi="Times New Roman" w:cs="Times New Roman"/>
                <w:spacing w:val="2"/>
                <w:kern w:val="0"/>
                <w14:ligatures w14:val="none"/>
              </w:rPr>
              <w:t>)</w:t>
            </w:r>
          </w:p>
        </w:tc>
        <w:tc>
          <w:tcPr>
            <w:tcW w:w="1491" w:type="pct"/>
            <w:vAlign w:val="center"/>
          </w:tcPr>
          <w:p w14:paraId="25A54349"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Duman odaları</w:t>
            </w:r>
          </w:p>
        </w:tc>
        <w:tc>
          <w:tcPr>
            <w:tcW w:w="724" w:type="pct"/>
            <w:vMerge w:val="restart"/>
            <w:vAlign w:val="center"/>
          </w:tcPr>
          <w:p w14:paraId="501301AA"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TS EN 15058</w:t>
            </w:r>
          </w:p>
        </w:tc>
        <w:tc>
          <w:tcPr>
            <w:tcW w:w="622" w:type="pct"/>
            <w:vMerge w:val="restart"/>
            <w:vAlign w:val="center"/>
          </w:tcPr>
          <w:p w14:paraId="0433AECD"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Yılda bir kez</w:t>
            </w:r>
          </w:p>
        </w:tc>
        <w:tc>
          <w:tcPr>
            <w:tcW w:w="497" w:type="pct"/>
            <w:vMerge w:val="restart"/>
            <w:vAlign w:val="center"/>
          </w:tcPr>
          <w:p w14:paraId="4DC5B25B"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w:t>
            </w:r>
          </w:p>
        </w:tc>
      </w:tr>
      <w:tr w:rsidR="003B155E" w:rsidRPr="002C07D9" w14:paraId="3086DC61" w14:textId="77777777" w:rsidTr="000D79D6">
        <w:trPr>
          <w:jc w:val="center"/>
        </w:trPr>
        <w:tc>
          <w:tcPr>
            <w:tcW w:w="616" w:type="pct"/>
            <w:vMerge/>
            <w:vAlign w:val="center"/>
          </w:tcPr>
          <w:p w14:paraId="381AB1B9"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1049" w:type="pct"/>
            <w:vAlign w:val="center"/>
          </w:tcPr>
          <w:p w14:paraId="7320D9C0"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Şeker üretimi</w:t>
            </w:r>
          </w:p>
        </w:tc>
        <w:tc>
          <w:tcPr>
            <w:tcW w:w="1491" w:type="pct"/>
            <w:vAlign w:val="center"/>
          </w:tcPr>
          <w:p w14:paraId="4E4E88E5"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Pancar posasının yüksek sıcaklıkta kurutulması</w:t>
            </w:r>
          </w:p>
        </w:tc>
        <w:tc>
          <w:tcPr>
            <w:tcW w:w="724" w:type="pct"/>
            <w:vMerge/>
            <w:vAlign w:val="center"/>
          </w:tcPr>
          <w:p w14:paraId="35E693A1"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p>
        </w:tc>
        <w:tc>
          <w:tcPr>
            <w:tcW w:w="622" w:type="pct"/>
            <w:vMerge/>
            <w:vAlign w:val="center"/>
          </w:tcPr>
          <w:p w14:paraId="69BA6A8B"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c>
          <w:tcPr>
            <w:tcW w:w="497" w:type="pct"/>
            <w:vMerge/>
            <w:vAlign w:val="center"/>
          </w:tcPr>
          <w:p w14:paraId="2F963548"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p>
        </w:tc>
      </w:tr>
      <w:tr w:rsidR="003B155E" w:rsidRPr="002C07D9" w14:paraId="1420F92B" w14:textId="77777777" w:rsidTr="000D79D6">
        <w:trPr>
          <w:jc w:val="center"/>
        </w:trPr>
        <w:tc>
          <w:tcPr>
            <w:tcW w:w="616" w:type="pct"/>
            <w:vAlign w:val="center"/>
          </w:tcPr>
          <w:p w14:paraId="40C14B2E"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SO</w:t>
            </w:r>
            <w:r w:rsidRPr="002C07D9">
              <w:rPr>
                <w:rFonts w:ascii="Times New Roman" w:eastAsia="Times New Roman" w:hAnsi="Times New Roman" w:cs="Times New Roman"/>
                <w:bCs/>
                <w:spacing w:val="2"/>
                <w:kern w:val="0"/>
                <w:vertAlign w:val="subscript"/>
                <w14:ligatures w14:val="none"/>
              </w:rPr>
              <w:t>x</w:t>
            </w:r>
          </w:p>
        </w:tc>
        <w:tc>
          <w:tcPr>
            <w:tcW w:w="1049" w:type="pct"/>
            <w:vAlign w:val="center"/>
          </w:tcPr>
          <w:p w14:paraId="526E0AA9"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Şeker üretimi</w:t>
            </w:r>
          </w:p>
        </w:tc>
        <w:tc>
          <w:tcPr>
            <w:tcW w:w="1491" w:type="pct"/>
            <w:vAlign w:val="center"/>
          </w:tcPr>
          <w:p w14:paraId="629BE543"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Doğal gaz kullanılmadığında pancar posasının kurutulması</w:t>
            </w:r>
          </w:p>
        </w:tc>
        <w:tc>
          <w:tcPr>
            <w:tcW w:w="724" w:type="pct"/>
            <w:vAlign w:val="center"/>
          </w:tcPr>
          <w:p w14:paraId="11B71C73" w14:textId="77777777" w:rsidR="003B155E" w:rsidRPr="002C07D9" w:rsidRDefault="003B155E" w:rsidP="000D79D6">
            <w:pPr>
              <w:spacing w:after="0" w:line="240" w:lineRule="auto"/>
              <w:jc w:val="both"/>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TS EN 14791</w:t>
            </w:r>
          </w:p>
        </w:tc>
        <w:tc>
          <w:tcPr>
            <w:tcW w:w="622" w:type="pct"/>
            <w:vAlign w:val="center"/>
          </w:tcPr>
          <w:p w14:paraId="38CB2AD7"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Yılda iki kez</w:t>
            </w:r>
            <w:r w:rsidRPr="002C07D9">
              <w:rPr>
                <w:rFonts w:ascii="Times New Roman" w:eastAsia="Times New Roman" w:hAnsi="Times New Roman" w:cs="Times New Roman"/>
                <w:bCs/>
                <w:spacing w:val="2"/>
                <w:kern w:val="0"/>
                <w:vertAlign w:val="superscript"/>
                <w14:ligatures w14:val="none"/>
              </w:rPr>
              <w:t xml:space="preserve"> </w:t>
            </w:r>
            <w:r w:rsidRPr="002C07D9">
              <w:rPr>
                <w:rFonts w:ascii="Times New Roman" w:eastAsia="Times New Roman" w:hAnsi="Times New Roman" w:cs="Times New Roman"/>
                <w:spacing w:val="2"/>
                <w:kern w:val="0"/>
                <w14:ligatures w14:val="none"/>
              </w:rPr>
              <w:t>(</w:t>
            </w:r>
            <w:r w:rsidRPr="002C07D9">
              <w:rPr>
                <w:rFonts w:ascii="Times New Roman" w:eastAsia="Times New Roman" w:hAnsi="Times New Roman" w:cs="Times New Roman"/>
                <w:spacing w:val="2"/>
                <w:kern w:val="0"/>
                <w:vertAlign w:val="superscript"/>
                <w14:ligatures w14:val="none"/>
              </w:rPr>
              <w:t>2</w:t>
            </w:r>
            <w:r w:rsidRPr="002C07D9">
              <w:rPr>
                <w:rFonts w:ascii="Times New Roman" w:eastAsia="Times New Roman" w:hAnsi="Times New Roman" w:cs="Times New Roman"/>
                <w:spacing w:val="2"/>
                <w:kern w:val="0"/>
                <w14:ligatures w14:val="none"/>
              </w:rPr>
              <w:t>)</w:t>
            </w:r>
          </w:p>
        </w:tc>
        <w:tc>
          <w:tcPr>
            <w:tcW w:w="497" w:type="pct"/>
            <w:vAlign w:val="center"/>
          </w:tcPr>
          <w:p w14:paraId="65374362" w14:textId="77777777" w:rsidR="003B155E" w:rsidRPr="002C07D9" w:rsidRDefault="003B155E" w:rsidP="000D79D6">
            <w:pPr>
              <w:spacing w:after="0" w:line="240" w:lineRule="auto"/>
              <w:jc w:val="center"/>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bCs/>
                <w:spacing w:val="2"/>
                <w:kern w:val="0"/>
                <w14:ligatures w14:val="none"/>
              </w:rPr>
              <w:t>MET 37</w:t>
            </w:r>
          </w:p>
        </w:tc>
      </w:tr>
      <w:tr w:rsidR="003B155E" w:rsidRPr="002C07D9" w14:paraId="363EF8D2" w14:textId="77777777" w:rsidTr="000D79D6">
        <w:trPr>
          <w:trHeight w:val="371"/>
          <w:jc w:val="center"/>
        </w:trPr>
        <w:tc>
          <w:tcPr>
            <w:tcW w:w="5000" w:type="pct"/>
            <w:gridSpan w:val="6"/>
            <w:vAlign w:val="center"/>
          </w:tcPr>
          <w:p w14:paraId="5003B60B" w14:textId="77777777" w:rsidR="003B155E" w:rsidRPr="002C07D9" w:rsidRDefault="003B155E" w:rsidP="000D79D6">
            <w:pPr>
              <w:spacing w:after="0" w:line="240" w:lineRule="auto"/>
              <w:rPr>
                <w:rFonts w:ascii="Times New Roman" w:eastAsia="Times New Roman" w:hAnsi="Times New Roman" w:cs="Times New Roman"/>
                <w:spacing w:val="2"/>
                <w:kern w:val="0"/>
                <w:sz w:val="20"/>
                <w:szCs w:val="20"/>
                <w14:ligatures w14:val="none"/>
              </w:rPr>
            </w:pPr>
            <w:r w:rsidRPr="002C07D9">
              <w:rPr>
                <w:rFonts w:ascii="Times New Roman" w:eastAsia="Times New Roman" w:hAnsi="Times New Roman" w:cs="Times New Roman"/>
                <w:spacing w:val="2"/>
                <w:kern w:val="0"/>
                <w:sz w:val="20"/>
                <w:szCs w:val="20"/>
                <w14:ligatures w14:val="none"/>
              </w:rPr>
              <w:t>(1) Ölçümler, normal çalışma koşulları altında beklenen en yüksek emisyon durumunda gerçekleştirilir.</w:t>
            </w:r>
          </w:p>
          <w:p w14:paraId="396BB284" w14:textId="77777777" w:rsidR="003B155E" w:rsidRPr="002C07D9" w:rsidRDefault="003B155E" w:rsidP="000D79D6">
            <w:pPr>
              <w:spacing w:after="0" w:line="240" w:lineRule="auto"/>
              <w:rPr>
                <w:rFonts w:ascii="Times New Roman" w:eastAsia="Times New Roman" w:hAnsi="Times New Roman" w:cs="Times New Roman"/>
                <w:spacing w:val="2"/>
                <w:kern w:val="0"/>
                <w:sz w:val="20"/>
                <w:szCs w:val="20"/>
                <w14:ligatures w14:val="none"/>
              </w:rPr>
            </w:pPr>
            <w:r w:rsidRPr="002C07D9">
              <w:rPr>
                <w:rFonts w:ascii="Times New Roman" w:eastAsia="Times New Roman" w:hAnsi="Times New Roman" w:cs="Times New Roman"/>
                <w:spacing w:val="2"/>
                <w:kern w:val="0"/>
                <w:sz w:val="20"/>
                <w:szCs w:val="20"/>
                <w14:ligatures w14:val="none"/>
              </w:rPr>
              <w:t>(2) Emisyon seviyelerinin yeterince kararlı olduğu kanıtlanırsa, daha düşük bir izleme sıklığı benimsenebilir ancak her durumda en az yılda bir kez ölçülmelidir.</w:t>
            </w:r>
          </w:p>
          <w:p w14:paraId="73AC48B8"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(3) Ölçüm, iki günlük bir sefer gerçekleştirilir.</w:t>
            </w:r>
          </w:p>
          <w:p w14:paraId="336EA1B9" w14:textId="77777777" w:rsidR="003B155E" w:rsidRPr="002C07D9" w:rsidRDefault="003B155E" w:rsidP="000D79D6">
            <w:pPr>
              <w:spacing w:after="0" w:line="240" w:lineRule="auto"/>
              <w:rPr>
                <w:rFonts w:ascii="Times New Roman" w:eastAsia="Times New Roman" w:hAnsi="Times New Roman" w:cs="Times New Roman"/>
                <w:bCs/>
                <w:spacing w:val="2"/>
                <w:kern w:val="0"/>
                <w14:ligatures w14:val="none"/>
              </w:rPr>
            </w:pPr>
            <w:r w:rsidRPr="002C07D9">
              <w:rPr>
                <w:rFonts w:ascii="Times New Roman" w:eastAsia="Times New Roman" w:hAnsi="Times New Roman" w:cs="Times New Roman"/>
                <w:spacing w:val="2"/>
                <w:kern w:val="0"/>
                <w:sz w:val="20"/>
                <w:szCs w:val="20"/>
                <w14:ligatures w14:val="none"/>
              </w:rPr>
              <w:t>(4) İzleme yalnızca termal oksitleyici kullanıldığında geçerlidir.</w:t>
            </w:r>
          </w:p>
        </w:tc>
      </w:tr>
    </w:tbl>
    <w:p w14:paraId="28DC5620"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27E0C831"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1.3.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756CCCF9"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6: </w:t>
      </w:r>
      <w:r w:rsidRPr="002C07D9">
        <w:rPr>
          <w:rFonts w:ascii="Times New Roman" w:eastAsia="Times New Roman" w:hAnsi="Times New Roman" w:cs="Times New Roman"/>
          <w:color w:val="000000"/>
          <w:spacing w:val="2"/>
          <w:kern w:val="0"/>
          <w:sz w:val="24"/>
          <w:szCs w:val="24"/>
          <w14:ligatures w14:val="none"/>
        </w:rPr>
        <w:t>Enerji verimliliğini artırmak için, MET 6a’yı ve aşağıdaki Teknik b’de listelenen yaygın tekniklerin uygun bir kombinasyonu kullanılır.</w:t>
      </w:r>
      <w:r w:rsidRPr="002C07D9">
        <w:rPr>
          <w:rFonts w:ascii="Times New Roman" w:eastAsia="Times New Roman" w:hAnsi="Times New Roman" w:cs="Times New Roman"/>
          <w:b/>
          <w:bCs/>
          <w:color w:val="000000"/>
          <w:spacing w:val="2"/>
          <w:kern w:val="0"/>
          <w:sz w:val="24"/>
          <w:szCs w:val="24"/>
          <w14:ligatures w14:val="none"/>
        </w:rPr>
        <w:t xml:space="preserve"> </w:t>
      </w:r>
    </w:p>
    <w:tbl>
      <w:tblPr>
        <w:tblStyle w:val="TabloKlavuzu10"/>
        <w:tblW w:w="5000" w:type="pct"/>
        <w:tblLook w:val="04A0" w:firstRow="1" w:lastRow="0" w:firstColumn="1" w:lastColumn="0" w:noHBand="0" w:noVBand="1"/>
      </w:tblPr>
      <w:tblGrid>
        <w:gridCol w:w="486"/>
        <w:gridCol w:w="1705"/>
        <w:gridCol w:w="6871"/>
      </w:tblGrid>
      <w:tr w:rsidR="003B155E" w:rsidRPr="002C07D9" w14:paraId="3E5B361F" w14:textId="77777777" w:rsidTr="000D79D6">
        <w:tc>
          <w:tcPr>
            <w:tcW w:w="268" w:type="pct"/>
            <w:tcBorders>
              <w:right w:val="nil"/>
            </w:tcBorders>
          </w:tcPr>
          <w:p w14:paraId="6A00701B" w14:textId="77777777" w:rsidR="003B155E" w:rsidRPr="002C07D9" w:rsidRDefault="003B155E" w:rsidP="000D79D6">
            <w:pPr>
              <w:jc w:val="both"/>
              <w:rPr>
                <w:rFonts w:ascii="Times New Roman" w:hAnsi="Times New Roman" w:cs="Times New Roman"/>
                <w:color w:val="000000"/>
                <w:spacing w:val="2"/>
              </w:rPr>
            </w:pPr>
          </w:p>
        </w:tc>
        <w:tc>
          <w:tcPr>
            <w:tcW w:w="941" w:type="pct"/>
            <w:tcBorders>
              <w:left w:val="nil"/>
            </w:tcBorders>
          </w:tcPr>
          <w:p w14:paraId="2DD99B32"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color w:val="000000"/>
                <w:spacing w:val="2"/>
              </w:rPr>
              <w:t>T</w:t>
            </w:r>
            <w:r w:rsidRPr="002C07D9">
              <w:rPr>
                <w:rFonts w:ascii="Times New Roman" w:hAnsi="Times New Roman" w:cs="Times New Roman"/>
                <w:spacing w:val="2"/>
              </w:rPr>
              <w:t>eknik</w:t>
            </w:r>
          </w:p>
        </w:tc>
        <w:tc>
          <w:tcPr>
            <w:tcW w:w="3791" w:type="pct"/>
          </w:tcPr>
          <w:p w14:paraId="10238969"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color w:val="000000"/>
                <w:spacing w:val="2"/>
              </w:rPr>
              <w:t>T</w:t>
            </w:r>
            <w:r w:rsidRPr="002C07D9">
              <w:rPr>
                <w:rFonts w:ascii="Times New Roman" w:hAnsi="Times New Roman" w:cs="Times New Roman"/>
                <w:spacing w:val="2"/>
              </w:rPr>
              <w:t>anım</w:t>
            </w:r>
          </w:p>
        </w:tc>
      </w:tr>
      <w:tr w:rsidR="003B155E" w:rsidRPr="002C07D9" w14:paraId="0AE710E4" w14:textId="77777777" w:rsidTr="000D79D6">
        <w:tc>
          <w:tcPr>
            <w:tcW w:w="268" w:type="pct"/>
          </w:tcPr>
          <w:p w14:paraId="4C3806D9"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color w:val="000000"/>
                <w:spacing w:val="2"/>
              </w:rPr>
              <w:t>(</w:t>
            </w:r>
            <w:r w:rsidRPr="002C07D9">
              <w:rPr>
                <w:rFonts w:ascii="Times New Roman" w:hAnsi="Times New Roman" w:cs="Times New Roman"/>
                <w:spacing w:val="2"/>
              </w:rPr>
              <w:t>a)</w:t>
            </w:r>
          </w:p>
        </w:tc>
        <w:tc>
          <w:tcPr>
            <w:tcW w:w="941" w:type="pct"/>
          </w:tcPr>
          <w:p w14:paraId="1C6B8688"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color w:val="000000"/>
                <w:spacing w:val="2"/>
              </w:rPr>
              <w:t>Enerji verimliliği planı</w:t>
            </w:r>
          </w:p>
        </w:tc>
        <w:tc>
          <w:tcPr>
            <w:tcW w:w="3791" w:type="pct"/>
          </w:tcPr>
          <w:p w14:paraId="6414BEC2"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spacing w:val="2"/>
              </w:rPr>
              <w:t>Çevre Yönetim Sistemi’nin bir parçası olarak bir enerji verimliliği planı (bkz. MET 1), faaliyetin veya faaliyetlerin özgül enerji tüketimini tanımlamayı ve hesaplamayı, yıllık bazda temel performans göstergelerini (örneğin özgül enerji tüketimi için) belirlemeyi ve periyodik iyileştirme hedeflerini ve ilgili eylemleri planlamayı gerektirir. Plan, tesisin özelliklerine göre uyarlanır.</w:t>
            </w:r>
          </w:p>
        </w:tc>
      </w:tr>
      <w:tr w:rsidR="003B155E" w:rsidRPr="002C07D9" w14:paraId="602FBF89" w14:textId="77777777" w:rsidTr="000D79D6">
        <w:tc>
          <w:tcPr>
            <w:tcW w:w="268" w:type="pct"/>
          </w:tcPr>
          <w:p w14:paraId="5D7FAA55"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color w:val="000000"/>
                <w:spacing w:val="2"/>
              </w:rPr>
              <w:t>(</w:t>
            </w:r>
            <w:r w:rsidRPr="002C07D9">
              <w:rPr>
                <w:rFonts w:ascii="Times New Roman" w:hAnsi="Times New Roman" w:cs="Times New Roman"/>
                <w:spacing w:val="2"/>
              </w:rPr>
              <w:t>b)</w:t>
            </w:r>
          </w:p>
        </w:tc>
        <w:tc>
          <w:tcPr>
            <w:tcW w:w="941" w:type="pct"/>
          </w:tcPr>
          <w:p w14:paraId="05B65EDE" w14:textId="77777777" w:rsidR="003B155E" w:rsidRPr="002C07D9" w:rsidRDefault="003B155E" w:rsidP="000D79D6">
            <w:pPr>
              <w:jc w:val="both"/>
              <w:rPr>
                <w:rFonts w:ascii="Times New Roman" w:hAnsi="Times New Roman" w:cs="Times New Roman"/>
                <w:color w:val="000000"/>
                <w:spacing w:val="2"/>
              </w:rPr>
            </w:pPr>
            <w:r w:rsidRPr="002C07D9">
              <w:rPr>
                <w:rFonts w:ascii="Times New Roman" w:hAnsi="Times New Roman" w:cs="Times New Roman"/>
                <w:color w:val="000000"/>
                <w:spacing w:val="2"/>
              </w:rPr>
              <w:t>O</w:t>
            </w:r>
            <w:r w:rsidRPr="002C07D9">
              <w:rPr>
                <w:rFonts w:ascii="Times New Roman" w:hAnsi="Times New Roman" w:cs="Times New Roman"/>
                <w:spacing w:val="2"/>
              </w:rPr>
              <w:t>rtak tekniklerin kullanımı</w:t>
            </w:r>
          </w:p>
        </w:tc>
        <w:tc>
          <w:tcPr>
            <w:tcW w:w="3791" w:type="pct"/>
          </w:tcPr>
          <w:p w14:paraId="406211E9" w14:textId="77777777" w:rsidR="003B155E" w:rsidRPr="002C07D9" w:rsidRDefault="003B155E" w:rsidP="000D79D6">
            <w:pPr>
              <w:ind w:left="33"/>
              <w:jc w:val="both"/>
              <w:rPr>
                <w:rFonts w:ascii="Times New Roman" w:hAnsi="Times New Roman" w:cs="Times New Roman"/>
                <w:spacing w:val="2"/>
              </w:rPr>
            </w:pPr>
            <w:r w:rsidRPr="002C07D9">
              <w:rPr>
                <w:rFonts w:ascii="Times New Roman" w:hAnsi="Times New Roman" w:cs="Times New Roman"/>
                <w:spacing w:val="2"/>
              </w:rPr>
              <w:t>Yaygın teknikler aşağıda verilmiştir:</w:t>
            </w:r>
          </w:p>
          <w:p w14:paraId="0D55F861"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brülör düzenlemesi ve kontrolü;</w:t>
            </w:r>
          </w:p>
          <w:p w14:paraId="362667D2"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kojenerasyon;</w:t>
            </w:r>
          </w:p>
          <w:p w14:paraId="7A69C12C"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enerji tasarruflu motorlar;</w:t>
            </w:r>
          </w:p>
          <w:p w14:paraId="4624A5AD"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ısı eşanjörleri ve/veya ısı pompaları ile ısı geri kazanımı (mekanik buhar yeniden sıkıştırması dahil);</w:t>
            </w:r>
          </w:p>
          <w:p w14:paraId="06F4BEE2"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aydınlatma;</w:t>
            </w:r>
          </w:p>
          <w:p w14:paraId="764BA031"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kazandan gelen blöfü en aza indirme;</w:t>
            </w:r>
          </w:p>
          <w:p w14:paraId="4E4D6B90"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buhar dağıtım sistemlerini optimize etme;</w:t>
            </w:r>
          </w:p>
          <w:p w14:paraId="0B246595"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besleme suyunun ön ısıtılması (ekonomizer kullanımı dahil);</w:t>
            </w:r>
          </w:p>
          <w:p w14:paraId="0E59B8AF"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proses kontrol sistemleri;</w:t>
            </w:r>
          </w:p>
          <w:p w14:paraId="230EC3DA"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basınçlı hava sistemi sızıntılarını azaltma;</w:t>
            </w:r>
          </w:p>
          <w:p w14:paraId="087C5778"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yalıtımla ısı kayıplarını azaltma;</w:t>
            </w:r>
          </w:p>
          <w:p w14:paraId="25343ED5"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değişken hızlı tahrikler;</w:t>
            </w:r>
          </w:p>
          <w:p w14:paraId="605B399C"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çoklu etkili buharlaştırma;</w:t>
            </w:r>
          </w:p>
          <w:p w14:paraId="26BDF369" w14:textId="77777777" w:rsidR="003B155E" w:rsidRPr="002C07D9" w:rsidRDefault="003B155E" w:rsidP="003B155E">
            <w:pPr>
              <w:widowControl w:val="0"/>
              <w:numPr>
                <w:ilvl w:val="0"/>
                <w:numId w:val="103"/>
              </w:numPr>
              <w:ind w:left="458" w:hanging="425"/>
              <w:jc w:val="both"/>
              <w:rPr>
                <w:rFonts w:ascii="Times New Roman" w:hAnsi="Times New Roman" w:cs="Times New Roman"/>
                <w:spacing w:val="2"/>
              </w:rPr>
            </w:pPr>
            <w:r w:rsidRPr="002C07D9">
              <w:rPr>
                <w:rFonts w:ascii="Times New Roman" w:hAnsi="Times New Roman" w:cs="Times New Roman"/>
                <w:spacing w:val="2"/>
              </w:rPr>
              <w:t xml:space="preserve">güneş enerjisinin kullanımı. </w:t>
            </w:r>
          </w:p>
        </w:tc>
      </w:tr>
    </w:tbl>
    <w:p w14:paraId="22D3D40C"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337A8BB4"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color w:val="000000"/>
          <w:spacing w:val="2"/>
          <w:kern w:val="0"/>
          <w:sz w:val="24"/>
          <w:szCs w:val="24"/>
          <w14:ligatures w14:val="none"/>
        </w:rPr>
        <w:t>Enerji verimliliğini artırmak için sektöre özgü diğer teknikler, bu MET sonuçlarının 2 ile 13. Bölümlerinde verilmiştir.</w:t>
      </w:r>
    </w:p>
    <w:p w14:paraId="7F4E4CD5"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79E67C6A"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1.4. Su Tüketimi ve Atıksu Deşarjı</w:t>
      </w:r>
    </w:p>
    <w:p w14:paraId="1A3FE439" w14:textId="77777777" w:rsidR="003B155E" w:rsidRPr="002C07D9" w:rsidRDefault="003B155E" w:rsidP="003B155E">
      <w:pPr>
        <w:spacing w:after="0" w:line="276" w:lineRule="auto"/>
        <w:jc w:val="both"/>
        <w:rPr>
          <w:rFonts w:ascii="Times New Roman" w:eastAsia="Times New Roman" w:hAnsi="Times New Roman" w:cs="Times New Roman"/>
          <w:bCs/>
          <w:color w:val="000000"/>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7: </w:t>
      </w:r>
      <w:r w:rsidRPr="002C07D9">
        <w:rPr>
          <w:rFonts w:ascii="Times New Roman" w:eastAsia="Times New Roman" w:hAnsi="Times New Roman" w:cs="Times New Roman"/>
          <w:color w:val="000000"/>
          <w:spacing w:val="2"/>
          <w:kern w:val="0"/>
          <w:sz w:val="24"/>
          <w:szCs w:val="24"/>
          <w14:ligatures w14:val="none"/>
        </w:rPr>
        <w:t>Su tüketimini ve atıksu deşarj hacmini azaltmak için, MET 7a'yı ve aşağıda verilen (b)'den (k)'ye kadar olan tekniklerden biri veya bir kombinasyonu kullanılır.</w:t>
      </w:r>
      <w:r w:rsidRPr="002C07D9">
        <w:rPr>
          <w:rFonts w:ascii="Times New Roman" w:eastAsia="Times New Roman" w:hAnsi="Times New Roman" w:cs="Times New Roman"/>
          <w:b/>
          <w:bCs/>
          <w:color w:val="000000"/>
          <w:spacing w:val="2"/>
          <w:kern w:val="0"/>
          <w:sz w:val="24"/>
          <w:szCs w:val="24"/>
          <w14:ligatures w14:val="none"/>
        </w:rPr>
        <w:t xml:space="preserve"> </w:t>
      </w:r>
    </w:p>
    <w:tbl>
      <w:tblPr>
        <w:tblStyle w:val="TabloKlavuzu10"/>
        <w:tblW w:w="5000" w:type="pct"/>
        <w:tblLook w:val="04A0" w:firstRow="1" w:lastRow="0" w:firstColumn="1" w:lastColumn="0" w:noHBand="0" w:noVBand="1"/>
      </w:tblPr>
      <w:tblGrid>
        <w:gridCol w:w="459"/>
        <w:gridCol w:w="2010"/>
        <w:gridCol w:w="4393"/>
        <w:gridCol w:w="2200"/>
      </w:tblGrid>
      <w:tr w:rsidR="003B155E" w:rsidRPr="002C07D9" w14:paraId="6CA7F3E6" w14:textId="77777777" w:rsidTr="000D79D6">
        <w:tc>
          <w:tcPr>
            <w:tcW w:w="1362" w:type="pct"/>
            <w:gridSpan w:val="2"/>
            <w:vAlign w:val="center"/>
          </w:tcPr>
          <w:p w14:paraId="20231FF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Teknik</w:t>
            </w:r>
          </w:p>
        </w:tc>
        <w:tc>
          <w:tcPr>
            <w:tcW w:w="2424" w:type="pct"/>
            <w:vAlign w:val="center"/>
          </w:tcPr>
          <w:p w14:paraId="7E8E4EF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Tanım</w:t>
            </w:r>
          </w:p>
        </w:tc>
        <w:tc>
          <w:tcPr>
            <w:tcW w:w="1214" w:type="pct"/>
            <w:vAlign w:val="center"/>
          </w:tcPr>
          <w:p w14:paraId="3477A2A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Uygulanabilirlik</w:t>
            </w:r>
          </w:p>
        </w:tc>
      </w:tr>
      <w:tr w:rsidR="003B155E" w:rsidRPr="002C07D9" w14:paraId="21E6CF32" w14:textId="77777777" w:rsidTr="000D79D6">
        <w:tc>
          <w:tcPr>
            <w:tcW w:w="5000" w:type="pct"/>
            <w:gridSpan w:val="4"/>
            <w:vAlign w:val="center"/>
          </w:tcPr>
          <w:p w14:paraId="0244BBD7"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Yaygın Teknikler</w:t>
            </w:r>
          </w:p>
        </w:tc>
      </w:tr>
      <w:tr w:rsidR="003B155E" w:rsidRPr="002C07D9" w14:paraId="26AC316B" w14:textId="77777777" w:rsidTr="000D79D6">
        <w:tc>
          <w:tcPr>
            <w:tcW w:w="253" w:type="pct"/>
            <w:vAlign w:val="center"/>
          </w:tcPr>
          <w:p w14:paraId="2EA76B7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1109" w:type="pct"/>
            <w:vAlign w:val="center"/>
          </w:tcPr>
          <w:p w14:paraId="67D2647B"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Suyun geri dönüşümü ve/veya yeniden kullanımı</w:t>
            </w:r>
          </w:p>
        </w:tc>
        <w:tc>
          <w:tcPr>
            <w:tcW w:w="2424" w:type="pct"/>
            <w:vAlign w:val="center"/>
          </w:tcPr>
          <w:p w14:paraId="0D65C1FD" w14:textId="77777777" w:rsidR="003B155E" w:rsidRPr="002C07D9" w:rsidRDefault="003B155E" w:rsidP="000D79D6">
            <w:pPr>
              <w:pBdr>
                <w:top w:val="nil"/>
                <w:left w:val="nil"/>
                <w:bottom w:val="nil"/>
                <w:right w:val="nil"/>
                <w:between w:val="nil"/>
              </w:pBdr>
              <w:ind w:left="38"/>
              <w:rPr>
                <w:rFonts w:ascii="Times New Roman" w:hAnsi="Times New Roman" w:cs="Times New Roman"/>
                <w:color w:val="000000"/>
              </w:rPr>
            </w:pPr>
            <w:r w:rsidRPr="002C07D9">
              <w:rPr>
                <w:rFonts w:ascii="Times New Roman" w:hAnsi="Times New Roman" w:cs="Times New Roman"/>
                <w:color w:val="000000"/>
              </w:rPr>
              <w:t xml:space="preserve">Öncesinde su arıtımı olsun ya da olmasın, su akışlarının geri dönüştürülmesi ve/veya yeniden </w:t>
            </w:r>
            <w:r w:rsidRPr="002C07D9">
              <w:rPr>
                <w:rFonts w:ascii="Times New Roman" w:hAnsi="Times New Roman" w:cs="Times New Roman"/>
                <w:color w:val="000000"/>
              </w:rPr>
              <w:lastRenderedPageBreak/>
              <w:t xml:space="preserve">kullanılmasını (örneğin, temizleme, yıkama, soğutma gibi işlemler) kapsamaktadır. </w:t>
            </w:r>
          </w:p>
        </w:tc>
        <w:tc>
          <w:tcPr>
            <w:tcW w:w="1214" w:type="pct"/>
            <w:vMerge w:val="restart"/>
            <w:vAlign w:val="center"/>
          </w:tcPr>
          <w:p w14:paraId="13CFD1B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lastRenderedPageBreak/>
              <w:t>Hijyen ve gıda güvenliği gereklilikleri nedeniyle uygulanamayabilir.</w:t>
            </w:r>
          </w:p>
        </w:tc>
      </w:tr>
      <w:tr w:rsidR="003B155E" w:rsidRPr="002C07D9" w14:paraId="22311BF4" w14:textId="77777777" w:rsidTr="000D79D6">
        <w:tc>
          <w:tcPr>
            <w:tcW w:w="253" w:type="pct"/>
            <w:vAlign w:val="center"/>
          </w:tcPr>
          <w:p w14:paraId="36F09F9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(b)</w:t>
            </w:r>
          </w:p>
        </w:tc>
        <w:tc>
          <w:tcPr>
            <w:tcW w:w="1109" w:type="pct"/>
            <w:vAlign w:val="center"/>
          </w:tcPr>
          <w:p w14:paraId="4827A698"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Su akışının optimizasyonu</w:t>
            </w:r>
          </w:p>
        </w:tc>
        <w:tc>
          <w:tcPr>
            <w:tcW w:w="2424" w:type="pct"/>
            <w:vAlign w:val="center"/>
          </w:tcPr>
          <w:p w14:paraId="342EF248"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Su akışını otomatik olarak ayarlamak için fotosel, akış valfi, termostatik vana gibi kontrol cihazlarının kullanılmasını kapsamaktadır.</w:t>
            </w:r>
          </w:p>
        </w:tc>
        <w:tc>
          <w:tcPr>
            <w:tcW w:w="1214" w:type="pct"/>
            <w:vMerge/>
            <w:vAlign w:val="center"/>
          </w:tcPr>
          <w:p w14:paraId="08117E90" w14:textId="77777777" w:rsidR="003B155E" w:rsidRPr="002C07D9" w:rsidRDefault="003B155E" w:rsidP="000D79D6">
            <w:pPr>
              <w:widowControl w:val="0"/>
              <w:tabs>
                <w:tab w:val="left" w:pos="562"/>
              </w:tabs>
              <w:rPr>
                <w:rFonts w:ascii="Times New Roman" w:hAnsi="Times New Roman" w:cs="Times New Roman"/>
              </w:rPr>
            </w:pPr>
          </w:p>
        </w:tc>
      </w:tr>
      <w:tr w:rsidR="003B155E" w:rsidRPr="002C07D9" w14:paraId="27B17655" w14:textId="77777777" w:rsidTr="000D79D6">
        <w:tc>
          <w:tcPr>
            <w:tcW w:w="253" w:type="pct"/>
            <w:vAlign w:val="center"/>
          </w:tcPr>
          <w:p w14:paraId="510A179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1109" w:type="pct"/>
            <w:vAlign w:val="center"/>
          </w:tcPr>
          <w:p w14:paraId="0B38AFD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Su nozulları ve hortumlarının optimizasyonu</w:t>
            </w:r>
          </w:p>
        </w:tc>
        <w:tc>
          <w:tcPr>
            <w:tcW w:w="2424" w:type="pct"/>
            <w:vAlign w:val="center"/>
          </w:tcPr>
          <w:p w14:paraId="18BD86DF" w14:textId="77777777" w:rsidR="003B155E" w:rsidRPr="002C07D9" w:rsidRDefault="003B155E" w:rsidP="000D79D6">
            <w:pPr>
              <w:pBdr>
                <w:top w:val="nil"/>
                <w:left w:val="nil"/>
                <w:bottom w:val="nil"/>
                <w:right w:val="nil"/>
                <w:between w:val="nil"/>
              </w:pBdr>
              <w:ind w:left="28"/>
              <w:rPr>
                <w:rFonts w:ascii="Times New Roman" w:hAnsi="Times New Roman" w:cs="Times New Roman"/>
                <w:color w:val="000000"/>
              </w:rPr>
            </w:pPr>
            <w:r w:rsidRPr="002C07D9">
              <w:rPr>
                <w:rFonts w:ascii="Times New Roman" w:hAnsi="Times New Roman" w:cs="Times New Roman"/>
                <w:color w:val="000000"/>
              </w:rPr>
              <w:t xml:space="preserve">Doğru sayıda ve konumda nozul kullanılması; su basıncının ayarlanmasını kapsamaktadır. </w:t>
            </w:r>
          </w:p>
        </w:tc>
        <w:tc>
          <w:tcPr>
            <w:tcW w:w="1214" w:type="pct"/>
            <w:vMerge/>
            <w:vAlign w:val="center"/>
          </w:tcPr>
          <w:p w14:paraId="39EBD75A" w14:textId="77777777" w:rsidR="003B155E" w:rsidRPr="002C07D9" w:rsidRDefault="003B155E" w:rsidP="000D79D6">
            <w:pPr>
              <w:widowControl w:val="0"/>
              <w:tabs>
                <w:tab w:val="left" w:pos="562"/>
              </w:tabs>
              <w:rPr>
                <w:rFonts w:ascii="Times New Roman" w:hAnsi="Times New Roman" w:cs="Times New Roman"/>
              </w:rPr>
            </w:pPr>
          </w:p>
        </w:tc>
      </w:tr>
      <w:tr w:rsidR="003B155E" w:rsidRPr="002C07D9" w14:paraId="79B166D8" w14:textId="77777777" w:rsidTr="000D79D6">
        <w:tc>
          <w:tcPr>
            <w:tcW w:w="253" w:type="pct"/>
            <w:vAlign w:val="center"/>
          </w:tcPr>
          <w:p w14:paraId="5E155E2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(d)</w:t>
            </w:r>
          </w:p>
        </w:tc>
        <w:tc>
          <w:tcPr>
            <w:tcW w:w="1109" w:type="pct"/>
            <w:vAlign w:val="center"/>
          </w:tcPr>
          <w:p w14:paraId="74CA4F7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Su akışlarının ayrılması</w:t>
            </w:r>
          </w:p>
        </w:tc>
        <w:tc>
          <w:tcPr>
            <w:tcW w:w="2424" w:type="pct"/>
            <w:vAlign w:val="center"/>
          </w:tcPr>
          <w:p w14:paraId="1056884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Arıtmaya ihtiyaç duyulmayan su akışları (örneğin kirlenmemiş soğutma suyu veya kirlenmemiş akan su), arıtılması gereken atıksudan ayrılarak kirlenmemiş suyun geri dönüşümünü kapsamaktadır.</w:t>
            </w:r>
          </w:p>
        </w:tc>
        <w:tc>
          <w:tcPr>
            <w:tcW w:w="1214" w:type="pct"/>
            <w:vAlign w:val="center"/>
          </w:tcPr>
          <w:p w14:paraId="62B5F62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Kirlenmemiş yağmur suyunun ayrıştırılması, mevcut atıksu toplama sistemleri durumunda uygulanamayabilir.</w:t>
            </w:r>
          </w:p>
        </w:tc>
      </w:tr>
      <w:tr w:rsidR="003B155E" w:rsidRPr="002C07D9" w14:paraId="56F2FFCC" w14:textId="77777777" w:rsidTr="000D79D6">
        <w:tc>
          <w:tcPr>
            <w:tcW w:w="5000" w:type="pct"/>
            <w:gridSpan w:val="4"/>
            <w:vAlign w:val="center"/>
          </w:tcPr>
          <w:p w14:paraId="25C37883" w14:textId="77777777" w:rsidR="003B155E" w:rsidRPr="002C07D9" w:rsidRDefault="003B155E" w:rsidP="000D79D6">
            <w:pPr>
              <w:widowControl w:val="0"/>
              <w:rPr>
                <w:rFonts w:ascii="Times New Roman" w:hAnsi="Times New Roman" w:cs="Times New Roman"/>
                <w:color w:val="000000"/>
              </w:rPr>
            </w:pPr>
            <w:r w:rsidRPr="002C07D9">
              <w:rPr>
                <w:rFonts w:ascii="Times New Roman" w:hAnsi="Times New Roman" w:cs="Times New Roman"/>
                <w:color w:val="000000"/>
              </w:rPr>
              <w:t>Temizlik İşlemleriyle İlgili Teknikler</w:t>
            </w:r>
          </w:p>
        </w:tc>
      </w:tr>
      <w:tr w:rsidR="003B155E" w:rsidRPr="002C07D9" w14:paraId="68C5405A" w14:textId="77777777" w:rsidTr="000D79D6">
        <w:tc>
          <w:tcPr>
            <w:tcW w:w="253" w:type="pct"/>
            <w:vAlign w:val="center"/>
          </w:tcPr>
          <w:p w14:paraId="434C168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(e)</w:t>
            </w:r>
          </w:p>
        </w:tc>
        <w:tc>
          <w:tcPr>
            <w:tcW w:w="1109" w:type="pct"/>
            <w:vAlign w:val="center"/>
          </w:tcPr>
          <w:p w14:paraId="5908A4E3"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Kuru temizleme</w:t>
            </w:r>
          </w:p>
        </w:tc>
        <w:tc>
          <w:tcPr>
            <w:tcW w:w="2424" w:type="pct"/>
            <w:vAlign w:val="center"/>
          </w:tcPr>
          <w:p w14:paraId="3BAA77A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Hammadde ve ekipmanlar sıvılarla temizlenmeden önce (örneğin basınçlı hava, vakum sistemleri veya ağ kapaklı toplama kapları kullanılarak) mümkün olduğunca fazla atık malzeme uzaklaştırılmasını içermektedir.</w:t>
            </w:r>
          </w:p>
        </w:tc>
        <w:tc>
          <w:tcPr>
            <w:tcW w:w="1214" w:type="pct"/>
            <w:vMerge w:val="restart"/>
            <w:vAlign w:val="center"/>
          </w:tcPr>
          <w:p w14:paraId="15BC02D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Genel olarak uygulanabilir.</w:t>
            </w:r>
          </w:p>
        </w:tc>
      </w:tr>
      <w:tr w:rsidR="003B155E" w:rsidRPr="002C07D9" w14:paraId="2B178021" w14:textId="77777777" w:rsidTr="000D79D6">
        <w:tc>
          <w:tcPr>
            <w:tcW w:w="253" w:type="pct"/>
            <w:vAlign w:val="center"/>
          </w:tcPr>
          <w:p w14:paraId="7242A58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(f)</w:t>
            </w:r>
          </w:p>
        </w:tc>
        <w:tc>
          <w:tcPr>
            <w:tcW w:w="1109" w:type="pct"/>
            <w:vAlign w:val="center"/>
          </w:tcPr>
          <w:p w14:paraId="01D4BD95"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Borular için pigleme sistemi</w:t>
            </w:r>
          </w:p>
        </w:tc>
        <w:tc>
          <w:tcPr>
            <w:tcW w:w="2424" w:type="pct"/>
            <w:vAlign w:val="center"/>
          </w:tcPr>
          <w:p w14:paraId="59799DB9"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Fırlatıcı, yakalayıcı, basınçlı hava ekipmanı ve boruları temizlemek için bir atıcıdan oluşan sistem kullanılmaktadır. Boru hattı sisteminden geçmesine ve ürün ile durulama suyunu ayırmasına izin vermek için hat içi vanalara yerleştirilmektedir.</w:t>
            </w:r>
          </w:p>
        </w:tc>
        <w:tc>
          <w:tcPr>
            <w:tcW w:w="1214" w:type="pct"/>
            <w:vMerge/>
            <w:vAlign w:val="center"/>
          </w:tcPr>
          <w:p w14:paraId="29A49C93" w14:textId="77777777" w:rsidR="003B155E" w:rsidRPr="002C07D9" w:rsidRDefault="003B155E" w:rsidP="000D79D6">
            <w:pPr>
              <w:widowControl w:val="0"/>
              <w:tabs>
                <w:tab w:val="left" w:pos="562"/>
              </w:tabs>
              <w:rPr>
                <w:rFonts w:ascii="Times New Roman" w:hAnsi="Times New Roman" w:cs="Times New Roman"/>
              </w:rPr>
            </w:pPr>
          </w:p>
        </w:tc>
      </w:tr>
      <w:tr w:rsidR="003B155E" w:rsidRPr="002C07D9" w14:paraId="4E1F82C7" w14:textId="77777777" w:rsidTr="000D79D6">
        <w:tc>
          <w:tcPr>
            <w:tcW w:w="253" w:type="pct"/>
            <w:vAlign w:val="center"/>
          </w:tcPr>
          <w:p w14:paraId="3F9B4BD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(g)</w:t>
            </w:r>
          </w:p>
        </w:tc>
        <w:tc>
          <w:tcPr>
            <w:tcW w:w="1109" w:type="pct"/>
            <w:vAlign w:val="center"/>
          </w:tcPr>
          <w:p w14:paraId="43B8D5B0"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Yüksek basınçlı temizleme</w:t>
            </w:r>
          </w:p>
        </w:tc>
        <w:tc>
          <w:tcPr>
            <w:tcW w:w="2424" w:type="pct"/>
            <w:vAlign w:val="center"/>
          </w:tcPr>
          <w:p w14:paraId="24EA9A54"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t xml:space="preserve">Temizlenecek yüzeye 15 bar ile 150 bar arasında değişen basınçlarda su püskürtülmesidir. </w:t>
            </w:r>
          </w:p>
        </w:tc>
        <w:tc>
          <w:tcPr>
            <w:tcW w:w="1214" w:type="pct"/>
            <w:vAlign w:val="center"/>
          </w:tcPr>
          <w:p w14:paraId="572F56B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Sağlık ve güvenlik gereklilikleri nedeniyle uygulanamayabilir.</w:t>
            </w:r>
          </w:p>
        </w:tc>
      </w:tr>
      <w:tr w:rsidR="003B155E" w:rsidRPr="002C07D9" w14:paraId="47143B31" w14:textId="77777777" w:rsidTr="000D79D6">
        <w:tc>
          <w:tcPr>
            <w:tcW w:w="253" w:type="pct"/>
            <w:vAlign w:val="center"/>
          </w:tcPr>
          <w:p w14:paraId="29E8D84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(h)</w:t>
            </w:r>
          </w:p>
        </w:tc>
        <w:tc>
          <w:tcPr>
            <w:tcW w:w="1109" w:type="pct"/>
            <w:vAlign w:val="center"/>
          </w:tcPr>
          <w:p w14:paraId="64BDAFF2"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Yerinde</w:t>
            </w:r>
            <w:r w:rsidRPr="002C07D9">
              <w:rPr>
                <w:rFonts w:ascii="Times New Roman" w:hAnsi="Times New Roman" w:cs="Times New Roman"/>
              </w:rPr>
              <w:t xml:space="preserve"> temizlikte kimyasal dozajlama ve su kullanımının optimizasy</w:t>
            </w:r>
            <w:r w:rsidRPr="002C07D9">
              <w:rPr>
                <w:rFonts w:ascii="Times New Roman" w:hAnsi="Times New Roman" w:cs="Times New Roman"/>
                <w:color w:val="000000"/>
              </w:rPr>
              <w:t>onu</w:t>
            </w:r>
          </w:p>
        </w:tc>
        <w:tc>
          <w:tcPr>
            <w:tcW w:w="2424" w:type="pct"/>
            <w:vAlign w:val="center"/>
          </w:tcPr>
          <w:p w14:paraId="5C13D1CC"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color w:val="000000"/>
              </w:rPr>
              <w:t>Sıcak su ve kimyasalların optimize edilmiş miktarlarda dozlanması için yerinde temizlik tasarımının optimize edilmesi ve bulanıklık, iletkenlik, sıcaklık ve/veya pH'ın ölçülmesini kapsamaktadır.</w:t>
            </w:r>
          </w:p>
        </w:tc>
        <w:tc>
          <w:tcPr>
            <w:tcW w:w="1214" w:type="pct"/>
            <w:vMerge w:val="restart"/>
            <w:vAlign w:val="center"/>
          </w:tcPr>
          <w:p w14:paraId="7F6454C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Genel olarak uygulanabilir.</w:t>
            </w:r>
          </w:p>
        </w:tc>
      </w:tr>
      <w:tr w:rsidR="003B155E" w:rsidRPr="002C07D9" w14:paraId="7C68A1D8" w14:textId="77777777" w:rsidTr="000D79D6">
        <w:tc>
          <w:tcPr>
            <w:tcW w:w="253" w:type="pct"/>
            <w:vAlign w:val="center"/>
          </w:tcPr>
          <w:p w14:paraId="6E2FA0F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(i)</w:t>
            </w:r>
          </w:p>
        </w:tc>
        <w:tc>
          <w:tcPr>
            <w:tcW w:w="1109" w:type="pct"/>
            <w:vAlign w:val="center"/>
          </w:tcPr>
          <w:p w14:paraId="343E04BC"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 xml:space="preserve">Düşük </w:t>
            </w:r>
            <w:r w:rsidRPr="002C07D9">
              <w:rPr>
                <w:rFonts w:ascii="Times New Roman" w:hAnsi="Times New Roman" w:cs="Times New Roman"/>
              </w:rPr>
              <w:t>basınçlı köpük ve/veya jel temizleme</w:t>
            </w:r>
          </w:p>
        </w:tc>
        <w:tc>
          <w:tcPr>
            <w:tcW w:w="2424" w:type="pct"/>
            <w:vAlign w:val="center"/>
          </w:tcPr>
          <w:p w14:paraId="4A48695A" w14:textId="77777777" w:rsidR="003B155E" w:rsidRPr="002C07D9" w:rsidRDefault="003B155E" w:rsidP="000D79D6">
            <w:pPr>
              <w:widowControl w:val="0"/>
              <w:shd w:val="clear" w:color="auto" w:fill="FFFFFF"/>
              <w:rPr>
                <w:rFonts w:ascii="Times New Roman" w:hAnsi="Times New Roman" w:cs="Times New Roman"/>
                <w:color w:val="000000"/>
              </w:rPr>
            </w:pPr>
            <w:r w:rsidRPr="002C07D9">
              <w:rPr>
                <w:rFonts w:ascii="Times New Roman" w:hAnsi="Times New Roman" w:cs="Times New Roman"/>
                <w:color w:val="000000"/>
              </w:rPr>
              <w:t>Duvarları, zeminleri ve/veya ekipman yüzeylerini temizlemek için düşük basınçlı köpük ve/veya jel kullanımını kapsamaktadır.</w:t>
            </w:r>
          </w:p>
        </w:tc>
        <w:tc>
          <w:tcPr>
            <w:tcW w:w="1214" w:type="pct"/>
            <w:vMerge/>
            <w:vAlign w:val="center"/>
          </w:tcPr>
          <w:p w14:paraId="56FE7F5B" w14:textId="77777777" w:rsidR="003B155E" w:rsidRPr="002C07D9" w:rsidRDefault="003B155E" w:rsidP="000D79D6">
            <w:pPr>
              <w:widowControl w:val="0"/>
              <w:tabs>
                <w:tab w:val="left" w:pos="562"/>
              </w:tabs>
              <w:rPr>
                <w:rFonts w:ascii="Times New Roman" w:hAnsi="Times New Roman" w:cs="Times New Roman"/>
              </w:rPr>
            </w:pPr>
          </w:p>
        </w:tc>
      </w:tr>
      <w:tr w:rsidR="003B155E" w:rsidRPr="002C07D9" w14:paraId="4E5BB080" w14:textId="77777777" w:rsidTr="000D79D6">
        <w:tc>
          <w:tcPr>
            <w:tcW w:w="253" w:type="pct"/>
            <w:vAlign w:val="center"/>
          </w:tcPr>
          <w:p w14:paraId="5515C8D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(j)</w:t>
            </w:r>
          </w:p>
        </w:tc>
        <w:tc>
          <w:tcPr>
            <w:tcW w:w="1109" w:type="pct"/>
            <w:vAlign w:val="center"/>
          </w:tcPr>
          <w:p w14:paraId="3FC7A79E"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Ekipman</w:t>
            </w:r>
            <w:r w:rsidRPr="002C07D9">
              <w:rPr>
                <w:rFonts w:ascii="Times New Roman" w:hAnsi="Times New Roman" w:cs="Times New Roman"/>
              </w:rPr>
              <w:t xml:space="preserve"> ve proses alanlarının optimize edilmiş tasarımı ve yapımı</w:t>
            </w:r>
          </w:p>
        </w:tc>
        <w:tc>
          <w:tcPr>
            <w:tcW w:w="2424" w:type="pct"/>
            <w:vAlign w:val="center"/>
          </w:tcPr>
          <w:p w14:paraId="6976305D" w14:textId="77777777" w:rsidR="003B155E" w:rsidRPr="002C07D9" w:rsidRDefault="003B155E" w:rsidP="000D79D6">
            <w:pPr>
              <w:widowControl w:val="0"/>
              <w:shd w:val="clear" w:color="auto" w:fill="FFFFFF"/>
              <w:rPr>
                <w:rFonts w:ascii="Times New Roman" w:hAnsi="Times New Roman" w:cs="Times New Roman"/>
                <w:color w:val="000000"/>
              </w:rPr>
            </w:pPr>
            <w:r w:rsidRPr="002C07D9">
              <w:rPr>
                <w:rFonts w:ascii="Times New Roman" w:hAnsi="Times New Roman" w:cs="Times New Roman"/>
                <w:color w:val="000000"/>
              </w:rPr>
              <w:t>Ekipman ve proses alanları temizliği kolaylaştıracak şekilde tasarlanır ve inşa edilir. Tasarım ve inşayı optimize ederken hijyen gereklilikleri dikkate alınmaktadır.</w:t>
            </w:r>
          </w:p>
        </w:tc>
        <w:tc>
          <w:tcPr>
            <w:tcW w:w="1214" w:type="pct"/>
            <w:vMerge/>
            <w:vAlign w:val="center"/>
          </w:tcPr>
          <w:p w14:paraId="762A4310" w14:textId="77777777" w:rsidR="003B155E" w:rsidRPr="002C07D9" w:rsidRDefault="003B155E" w:rsidP="000D79D6">
            <w:pPr>
              <w:widowControl w:val="0"/>
              <w:tabs>
                <w:tab w:val="left" w:pos="562"/>
              </w:tabs>
              <w:rPr>
                <w:rFonts w:ascii="Times New Roman" w:hAnsi="Times New Roman" w:cs="Times New Roman"/>
              </w:rPr>
            </w:pPr>
          </w:p>
        </w:tc>
      </w:tr>
      <w:tr w:rsidR="003B155E" w:rsidRPr="002C07D9" w14:paraId="091B3C56" w14:textId="77777777" w:rsidTr="000D79D6">
        <w:tc>
          <w:tcPr>
            <w:tcW w:w="253" w:type="pct"/>
            <w:vAlign w:val="center"/>
          </w:tcPr>
          <w:p w14:paraId="2E8F09B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(k)</w:t>
            </w:r>
          </w:p>
        </w:tc>
        <w:tc>
          <w:tcPr>
            <w:tcW w:w="1109" w:type="pct"/>
            <w:vAlign w:val="center"/>
          </w:tcPr>
          <w:p w14:paraId="4074D546"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Eki</w:t>
            </w:r>
            <w:r w:rsidRPr="002C07D9">
              <w:rPr>
                <w:rFonts w:ascii="Times New Roman" w:hAnsi="Times New Roman" w:cs="Times New Roman"/>
              </w:rPr>
              <w:t>pmanın mümkün olan en kısa sürede temizlenmesi</w:t>
            </w:r>
          </w:p>
        </w:tc>
        <w:tc>
          <w:tcPr>
            <w:tcW w:w="2424" w:type="pct"/>
            <w:vAlign w:val="center"/>
          </w:tcPr>
          <w:p w14:paraId="5D26BAD1" w14:textId="77777777" w:rsidR="003B155E" w:rsidRPr="002C07D9" w:rsidRDefault="003B155E" w:rsidP="000D79D6">
            <w:pPr>
              <w:widowControl w:val="0"/>
              <w:shd w:val="clear" w:color="auto" w:fill="FFFFFF"/>
              <w:rPr>
                <w:rFonts w:ascii="Times New Roman" w:hAnsi="Times New Roman" w:cs="Times New Roman"/>
                <w:color w:val="000000"/>
              </w:rPr>
            </w:pPr>
            <w:r w:rsidRPr="002C07D9">
              <w:rPr>
                <w:rFonts w:ascii="Times New Roman" w:hAnsi="Times New Roman" w:cs="Times New Roman"/>
                <w:color w:val="000000"/>
              </w:rPr>
              <w:t>Atıkların sertleşmesini önlemek için ekipmanların kullanımından sonra mümkün olan en kısa sürede temizlik yapılmaktadır.</w:t>
            </w:r>
          </w:p>
        </w:tc>
        <w:tc>
          <w:tcPr>
            <w:tcW w:w="1214" w:type="pct"/>
            <w:vMerge/>
            <w:vAlign w:val="center"/>
          </w:tcPr>
          <w:p w14:paraId="31D9BC58" w14:textId="77777777" w:rsidR="003B155E" w:rsidRPr="002C07D9" w:rsidRDefault="003B155E" w:rsidP="000D79D6">
            <w:pPr>
              <w:widowControl w:val="0"/>
              <w:tabs>
                <w:tab w:val="left" w:pos="562"/>
              </w:tabs>
              <w:rPr>
                <w:rFonts w:ascii="Times New Roman" w:hAnsi="Times New Roman" w:cs="Times New Roman"/>
              </w:rPr>
            </w:pPr>
          </w:p>
        </w:tc>
      </w:tr>
    </w:tbl>
    <w:p w14:paraId="74E663D7"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45911C93"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r w:rsidRPr="002C07D9">
        <w:rPr>
          <w:rFonts w:ascii="Times New Roman" w:eastAsia="Times New Roman" w:hAnsi="Times New Roman" w:cs="Times New Roman"/>
          <w:kern w:val="0"/>
          <w:sz w:val="24"/>
          <w:szCs w:val="24"/>
          <w:lang w:eastAsia="tr-TR"/>
          <w14:ligatures w14:val="none"/>
        </w:rPr>
        <w:t>Su tüketimini azaltmaya yönelik sektöre özgü diğer teknikler bu MET sonuçlarının 6.1 Bölümünde verilmiştir.</w:t>
      </w:r>
    </w:p>
    <w:p w14:paraId="6B021BC6"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1.5. Zararlı Maddeler</w:t>
      </w:r>
    </w:p>
    <w:p w14:paraId="4AF07C1B"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bCs/>
          <w:kern w:val="0"/>
          <w:sz w:val="24"/>
          <w:szCs w:val="24"/>
          <w:lang w:eastAsia="tr-TR"/>
          <w14:ligatures w14:val="none"/>
        </w:rPr>
      </w:pPr>
      <w:r w:rsidRPr="002C07D9">
        <w:rPr>
          <w:rFonts w:ascii="Times New Roman" w:eastAsia="Times New Roman" w:hAnsi="Times New Roman" w:cs="Times New Roman"/>
          <w:b/>
          <w:kern w:val="0"/>
          <w:sz w:val="24"/>
          <w:szCs w:val="24"/>
          <w:lang w:eastAsia="tr-TR"/>
          <w14:ligatures w14:val="none"/>
        </w:rPr>
        <w:t xml:space="preserve">MET 8: </w:t>
      </w:r>
      <w:r w:rsidRPr="002C07D9">
        <w:rPr>
          <w:rFonts w:ascii="Times New Roman" w:eastAsia="Times New Roman" w:hAnsi="Times New Roman" w:cs="Times New Roman"/>
          <w:bCs/>
          <w:kern w:val="0"/>
          <w:sz w:val="24"/>
          <w:szCs w:val="24"/>
          <w:lang w:eastAsia="tr-TR"/>
          <w14:ligatures w14:val="none"/>
        </w:rPr>
        <w:t>Zararlı maddelerin kullanımını önlemek veya azaltmak için aşağıda verilen tekniklerden biri veya birkaçı kullanılır (örneğin, temizlik ve dezenfeksiyon).</w:t>
      </w:r>
    </w:p>
    <w:tbl>
      <w:tblPr>
        <w:tblStyle w:val="TabloKlavuzu10"/>
        <w:tblW w:w="5000" w:type="pct"/>
        <w:tblLook w:val="04A0" w:firstRow="1" w:lastRow="0" w:firstColumn="1" w:lastColumn="0" w:noHBand="0" w:noVBand="1"/>
      </w:tblPr>
      <w:tblGrid>
        <w:gridCol w:w="545"/>
        <w:gridCol w:w="3161"/>
        <w:gridCol w:w="5356"/>
      </w:tblGrid>
      <w:tr w:rsidR="003B155E" w:rsidRPr="002C07D9" w14:paraId="6CF845E6" w14:textId="77777777" w:rsidTr="000D79D6">
        <w:tc>
          <w:tcPr>
            <w:tcW w:w="2045" w:type="pct"/>
            <w:gridSpan w:val="2"/>
          </w:tcPr>
          <w:p w14:paraId="06D5F759"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Teknik</w:t>
            </w:r>
          </w:p>
        </w:tc>
        <w:tc>
          <w:tcPr>
            <w:tcW w:w="2955" w:type="pct"/>
          </w:tcPr>
          <w:p w14:paraId="597EB526"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Tanım</w:t>
            </w:r>
          </w:p>
        </w:tc>
      </w:tr>
      <w:tr w:rsidR="003B155E" w:rsidRPr="002C07D9" w14:paraId="08758D33" w14:textId="77777777" w:rsidTr="000D79D6">
        <w:tc>
          <w:tcPr>
            <w:tcW w:w="301" w:type="pct"/>
            <w:vAlign w:val="center"/>
          </w:tcPr>
          <w:p w14:paraId="0B9E734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1744" w:type="pct"/>
            <w:vAlign w:val="center"/>
          </w:tcPr>
          <w:p w14:paraId="58B8514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Temizlik Kimyasallarının ve/veya Dezenfektanların Doğru Seçimi</w:t>
            </w:r>
          </w:p>
        </w:tc>
        <w:tc>
          <w:tcPr>
            <w:tcW w:w="2955" w:type="pct"/>
          </w:tcPr>
          <w:p w14:paraId="32127093"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s="Times New Roman"/>
                <w:color w:val="000000"/>
              </w:rPr>
              <w:t xml:space="preserve">Su ortamına zararlı temizlik kimyasallarının ve/veya dezenfektanların, özellikle de </w:t>
            </w:r>
            <w:r w:rsidRPr="00C251C6">
              <w:rPr>
                <w:rFonts w:ascii="Times New Roman" w:hAnsi="Times New Roman" w:cs="Times New Roman"/>
                <w:color w:val="000000"/>
              </w:rPr>
              <w:t>Avrupa Parlamentosu ve Konseyin Su Çerçeve Direktifi 2000/60/EC</w:t>
            </w:r>
            <w:r w:rsidRPr="002C07D9">
              <w:rPr>
                <w:rFonts w:ascii="Times New Roman" w:hAnsi="Times New Roman" w:cs="Times New Roman"/>
                <w:color w:val="000000"/>
              </w:rPr>
              <w:t xml:space="preserve"> kapsamında değerlendirilen öncelikli maddelerin kullanımının önlenmesi veya en aza indirilmesini kapsamaktadır</w:t>
            </w:r>
            <w:r w:rsidRPr="002C07D9">
              <w:rPr>
                <w:rFonts w:ascii="Times New Roman" w:hAnsi="Times New Roman" w:cs="Times New Roman"/>
                <w:color w:val="000000"/>
                <w:vertAlign w:val="superscript"/>
              </w:rPr>
              <w:t xml:space="preserve"> </w:t>
            </w:r>
            <w:r w:rsidRPr="002C07D9">
              <w:rPr>
                <w:rFonts w:ascii="Times New Roman" w:hAnsi="Times New Roman" w:cs="Times New Roman"/>
                <w:color w:val="000000"/>
              </w:rPr>
              <w:t>(</w:t>
            </w:r>
            <w:r w:rsidRPr="002C07D9">
              <w:rPr>
                <w:rFonts w:ascii="Times New Roman" w:hAnsi="Times New Roman" w:cs="Times New Roman"/>
                <w:color w:val="000000"/>
                <w:vertAlign w:val="superscript"/>
              </w:rPr>
              <w:t>1</w:t>
            </w:r>
            <w:r w:rsidRPr="002C07D9">
              <w:rPr>
                <w:rFonts w:ascii="Times New Roman" w:hAnsi="Times New Roman" w:cs="Times New Roman"/>
                <w:color w:val="000000"/>
              </w:rPr>
              <w:t>). Maddeler seçilirken hijyen ve gıda güvenliği gereklilikleri dikkate alınır.</w:t>
            </w:r>
          </w:p>
        </w:tc>
      </w:tr>
      <w:tr w:rsidR="003B155E" w:rsidRPr="002C07D9" w14:paraId="06926665" w14:textId="77777777" w:rsidTr="000D79D6">
        <w:tc>
          <w:tcPr>
            <w:tcW w:w="301" w:type="pct"/>
            <w:vAlign w:val="center"/>
          </w:tcPr>
          <w:p w14:paraId="20B6902E"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lastRenderedPageBreak/>
              <w:t>(b)</w:t>
            </w:r>
          </w:p>
        </w:tc>
        <w:tc>
          <w:tcPr>
            <w:tcW w:w="1744" w:type="pct"/>
            <w:vAlign w:val="center"/>
          </w:tcPr>
          <w:p w14:paraId="16C6067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Yerinde temizlikte temizlik kimyasallarının yeniden kullanımı</w:t>
            </w:r>
          </w:p>
        </w:tc>
        <w:tc>
          <w:tcPr>
            <w:tcW w:w="2955" w:type="pct"/>
          </w:tcPr>
          <w:p w14:paraId="45F296DD"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color w:val="000000"/>
              </w:rPr>
              <w:t>Yerinde temizlikte temizlik kimyasallarının toplanmasını ve yeniden kullanılmasını kapsamaktadır. Temizlik kimyasallarının tekrar kullanımında hijyen ve gıda güvenliği gereklilikleri dikkate alınmaktadır.</w:t>
            </w:r>
          </w:p>
        </w:tc>
      </w:tr>
      <w:tr w:rsidR="003B155E" w:rsidRPr="002C07D9" w14:paraId="4F7CF37C" w14:textId="77777777" w:rsidTr="000D79D6">
        <w:tc>
          <w:tcPr>
            <w:tcW w:w="301" w:type="pct"/>
            <w:vAlign w:val="center"/>
          </w:tcPr>
          <w:p w14:paraId="396ED675"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1744" w:type="pct"/>
            <w:vAlign w:val="center"/>
          </w:tcPr>
          <w:p w14:paraId="6C260EF5"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Kuru temizleme</w:t>
            </w:r>
          </w:p>
        </w:tc>
        <w:tc>
          <w:tcPr>
            <w:tcW w:w="2955" w:type="pct"/>
          </w:tcPr>
          <w:p w14:paraId="0B18BFA6" w14:textId="77777777" w:rsidR="003B155E" w:rsidRPr="002C07D9" w:rsidRDefault="003B155E" w:rsidP="000D79D6">
            <w:pPr>
              <w:pBdr>
                <w:top w:val="nil"/>
                <w:left w:val="nil"/>
                <w:bottom w:val="nil"/>
                <w:right w:val="nil"/>
                <w:between w:val="nil"/>
              </w:pBdr>
              <w:ind w:left="21"/>
              <w:jc w:val="both"/>
              <w:rPr>
                <w:rFonts w:ascii="Times New Roman" w:hAnsi="Times New Roman"/>
                <w:color w:val="000000"/>
              </w:rPr>
            </w:pPr>
            <w:r w:rsidRPr="002C07D9">
              <w:rPr>
                <w:rFonts w:ascii="Times New Roman" w:hAnsi="Times New Roman" w:cs="Times New Roman"/>
                <w:color w:val="000000"/>
              </w:rPr>
              <w:t>Bkz. MET 7e.</w:t>
            </w:r>
          </w:p>
        </w:tc>
      </w:tr>
      <w:tr w:rsidR="003B155E" w:rsidRPr="002C07D9" w14:paraId="25FF3BBF" w14:textId="77777777" w:rsidTr="000D79D6">
        <w:tc>
          <w:tcPr>
            <w:tcW w:w="301" w:type="pct"/>
            <w:vAlign w:val="center"/>
          </w:tcPr>
          <w:p w14:paraId="0795AE0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(d)</w:t>
            </w:r>
          </w:p>
        </w:tc>
        <w:tc>
          <w:tcPr>
            <w:tcW w:w="1744" w:type="pct"/>
            <w:vAlign w:val="center"/>
          </w:tcPr>
          <w:p w14:paraId="1441C4B8"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Ekipman ve Proses Alanlarının Optimize Edilmiş Tasarımı ve İnşası.</w:t>
            </w:r>
          </w:p>
        </w:tc>
        <w:tc>
          <w:tcPr>
            <w:tcW w:w="2955" w:type="pct"/>
          </w:tcPr>
          <w:p w14:paraId="3A248496" w14:textId="77777777" w:rsidR="003B155E" w:rsidRPr="002C07D9" w:rsidRDefault="003B155E" w:rsidP="000D79D6">
            <w:pPr>
              <w:pBdr>
                <w:top w:val="nil"/>
                <w:left w:val="nil"/>
                <w:bottom w:val="nil"/>
                <w:right w:val="nil"/>
                <w:between w:val="nil"/>
              </w:pBdr>
              <w:ind w:left="21"/>
              <w:jc w:val="both"/>
              <w:rPr>
                <w:rFonts w:ascii="Times New Roman" w:hAnsi="Times New Roman"/>
                <w:color w:val="000000"/>
              </w:rPr>
            </w:pPr>
            <w:r w:rsidRPr="002C07D9">
              <w:rPr>
                <w:rFonts w:ascii="Times New Roman" w:hAnsi="Times New Roman" w:cs="Times New Roman"/>
                <w:color w:val="000000"/>
              </w:rPr>
              <w:t>Bkz. MET 7j.</w:t>
            </w:r>
          </w:p>
        </w:tc>
      </w:tr>
      <w:tr w:rsidR="003B155E" w:rsidRPr="002C07D9" w14:paraId="65E09AFB" w14:textId="77777777" w:rsidTr="000D79D6">
        <w:tc>
          <w:tcPr>
            <w:tcW w:w="5000" w:type="pct"/>
            <w:gridSpan w:val="3"/>
          </w:tcPr>
          <w:p w14:paraId="4BA3CC47" w14:textId="77777777" w:rsidR="003B155E" w:rsidRPr="002C07D9" w:rsidRDefault="003B155E" w:rsidP="000D79D6">
            <w:pPr>
              <w:pBdr>
                <w:top w:val="nil"/>
                <w:left w:val="nil"/>
                <w:bottom w:val="nil"/>
                <w:right w:val="nil"/>
                <w:between w:val="nil"/>
              </w:pBdr>
              <w:ind w:left="21"/>
              <w:jc w:val="both"/>
              <w:rPr>
                <w:rFonts w:ascii="Times New Roman" w:hAnsi="Times New Roman" w:cs="Times New Roman"/>
                <w:color w:val="000000"/>
              </w:rPr>
            </w:pPr>
            <w:r w:rsidRPr="002C07D9">
              <w:rPr>
                <w:rFonts w:ascii="Times New Roman" w:hAnsi="Times New Roman"/>
                <w:color w:val="000000"/>
              </w:rPr>
              <w:t>(</w:t>
            </w:r>
            <w:r w:rsidRPr="002C07D9">
              <w:rPr>
                <w:rFonts w:ascii="Times New Roman" w:hAnsi="Times New Roman"/>
                <w:color w:val="000000"/>
                <w:vertAlign w:val="superscript"/>
              </w:rPr>
              <w:t>1</w:t>
            </w:r>
            <w:r w:rsidRPr="002C07D9">
              <w:rPr>
                <w:rFonts w:ascii="Times New Roman" w:hAnsi="Times New Roman"/>
                <w:color w:val="000000"/>
              </w:rPr>
              <w:t>) Su Havzalarının Korunması ve Yönetim Planlarının Hazırlanması Hakkında Yönetmelik (R.G. 17.10.2012, Sayı: 28444), Yüzeysel Su Kalitesi Yönetimi Yönetmeliği (R.G. 30.11. 2012, Sayı: 28483), İçme Suyu Elde Edilen veya Elde Edilmesi Planlanan Yüzeysel Suların Kalitesine Dair Yönetmelik (R.G. 29.06.2012, Sayı: 28338)</w:t>
            </w:r>
          </w:p>
        </w:tc>
      </w:tr>
    </w:tbl>
    <w:p w14:paraId="74A66B31"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2F6B391A"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9: </w:t>
      </w:r>
      <w:r w:rsidRPr="002C07D9">
        <w:rPr>
          <w:rFonts w:ascii="Times New Roman" w:eastAsia="Times New Roman" w:hAnsi="Times New Roman" w:cs="Times New Roman"/>
          <w:color w:val="000000"/>
          <w:spacing w:val="2"/>
          <w:kern w:val="0"/>
          <w:sz w:val="24"/>
          <w:szCs w:val="24"/>
          <w14:ligatures w14:val="none"/>
        </w:rPr>
        <w:t>Ozon tabakasını incelten maddelerin ve küresel ısınma potansiyeli yüksek olan maddelerin soğuma ve donma nedeniyle emisyonunu önlemek amacıyla, ozon tabakasını tüketme potansiyeli olmayan ve küresel ısınma potansiyeli düşük soğutucu akışkanlar kullanılır.</w:t>
      </w:r>
    </w:p>
    <w:p w14:paraId="3F7A6F7D"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5713EE78" w14:textId="77777777" w:rsidR="003B155E" w:rsidRPr="002C07D9" w:rsidRDefault="003B155E" w:rsidP="003B155E">
      <w:pPr>
        <w:widowControl w:val="0"/>
        <w:tabs>
          <w:tab w:val="left" w:pos="562"/>
        </w:tabs>
        <w:spacing w:after="0" w:line="276" w:lineRule="auto"/>
        <w:jc w:val="both"/>
        <w:rPr>
          <w:rFonts w:ascii="Times New Roman" w:eastAsia="Times New Roman" w:hAnsi="Times New Roman" w:cs="Times New Roman"/>
          <w:i/>
          <w:iCs/>
          <w:kern w:val="0"/>
          <w:sz w:val="24"/>
          <w:szCs w:val="24"/>
          <w:lang w:eastAsia="tr-TR"/>
          <w14:ligatures w14:val="none"/>
        </w:rPr>
      </w:pPr>
      <w:r w:rsidRPr="002C07D9">
        <w:rPr>
          <w:rFonts w:ascii="Times New Roman" w:eastAsia="Times New Roman" w:hAnsi="Times New Roman" w:cs="Times New Roman"/>
          <w:i/>
          <w:iCs/>
          <w:kern w:val="0"/>
          <w:sz w:val="24"/>
          <w:szCs w:val="24"/>
          <w:lang w:eastAsia="tr-TR"/>
          <w14:ligatures w14:val="none"/>
        </w:rPr>
        <w:t>Tanım</w:t>
      </w:r>
    </w:p>
    <w:p w14:paraId="32B04630" w14:textId="77777777" w:rsidR="003B155E" w:rsidRPr="002C07D9" w:rsidRDefault="003B155E" w:rsidP="003B155E">
      <w:pPr>
        <w:widowControl w:val="0"/>
        <w:tabs>
          <w:tab w:val="left" w:pos="562"/>
        </w:tabs>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color w:val="000000"/>
          <w:spacing w:val="2"/>
          <w:kern w:val="0"/>
          <w:sz w:val="24"/>
          <w:szCs w:val="24"/>
          <w14:ligatures w14:val="none"/>
        </w:rPr>
        <w:t>Uygun soğutucular arasında su, karbondioksit veya amonyak bulunmaktadır.</w:t>
      </w:r>
    </w:p>
    <w:p w14:paraId="2F817C0D"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1580C5AF"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1.6. Kaynak Verimliliği</w:t>
      </w:r>
    </w:p>
    <w:p w14:paraId="082C7E94" w14:textId="77777777" w:rsidR="003B155E" w:rsidRPr="002C07D9" w:rsidRDefault="003B155E" w:rsidP="003B155E">
      <w:pPr>
        <w:widowControl w:val="0"/>
        <w:tabs>
          <w:tab w:val="left" w:pos="562"/>
        </w:tabs>
        <w:spacing w:after="0" w:line="276" w:lineRule="auto"/>
        <w:jc w:val="both"/>
        <w:rPr>
          <w:rFonts w:ascii="Times New Roman" w:eastAsia="Times New Roman" w:hAnsi="Times New Roman" w:cs="Times New Roman"/>
          <w:bCs/>
          <w:kern w:val="0"/>
          <w:sz w:val="24"/>
          <w:szCs w:val="24"/>
          <w:lang w:eastAsia="tr-TR"/>
          <w14:ligatures w14:val="none"/>
        </w:rPr>
      </w:pPr>
      <w:r w:rsidRPr="002C07D9">
        <w:rPr>
          <w:rFonts w:ascii="Times New Roman" w:eastAsia="Times New Roman" w:hAnsi="Times New Roman" w:cs="Times New Roman"/>
          <w:b/>
          <w:kern w:val="0"/>
          <w:sz w:val="24"/>
          <w:szCs w:val="24"/>
          <w:lang w:eastAsia="tr-TR"/>
          <w14:ligatures w14:val="none"/>
        </w:rPr>
        <w:t xml:space="preserve">MET 10: </w:t>
      </w:r>
      <w:r w:rsidRPr="002C07D9">
        <w:rPr>
          <w:rFonts w:ascii="Times New Roman" w:eastAsia="Times New Roman" w:hAnsi="Times New Roman" w:cs="Times New Roman"/>
          <w:bCs/>
          <w:kern w:val="0"/>
          <w:sz w:val="24"/>
          <w:szCs w:val="24"/>
          <w:lang w:eastAsia="tr-TR"/>
          <w14:ligatures w14:val="none"/>
        </w:rPr>
        <w:t>Kaynak verimliliğini artırmak için aşağıda verilen tekniklerden biri veya birkaçı bir arada kullanılır.</w:t>
      </w:r>
    </w:p>
    <w:tbl>
      <w:tblPr>
        <w:tblStyle w:val="TabloKlavuzu10"/>
        <w:tblW w:w="0" w:type="auto"/>
        <w:tblLook w:val="04A0" w:firstRow="1" w:lastRow="0" w:firstColumn="1" w:lastColumn="0" w:noHBand="0" w:noVBand="1"/>
      </w:tblPr>
      <w:tblGrid>
        <w:gridCol w:w="450"/>
        <w:gridCol w:w="1912"/>
        <w:gridCol w:w="3411"/>
        <w:gridCol w:w="3289"/>
      </w:tblGrid>
      <w:tr w:rsidR="003B155E" w:rsidRPr="002C07D9" w14:paraId="61E455E4" w14:textId="77777777" w:rsidTr="000D79D6">
        <w:tc>
          <w:tcPr>
            <w:tcW w:w="0" w:type="auto"/>
            <w:gridSpan w:val="2"/>
            <w:vAlign w:val="center"/>
          </w:tcPr>
          <w:p w14:paraId="2E00A97E"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Teknik</w:t>
            </w:r>
          </w:p>
        </w:tc>
        <w:tc>
          <w:tcPr>
            <w:tcW w:w="0" w:type="auto"/>
            <w:vAlign w:val="center"/>
          </w:tcPr>
          <w:p w14:paraId="6A73035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Tanım</w:t>
            </w:r>
          </w:p>
        </w:tc>
        <w:tc>
          <w:tcPr>
            <w:tcW w:w="0" w:type="auto"/>
            <w:vAlign w:val="center"/>
          </w:tcPr>
          <w:p w14:paraId="59530B4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Uygulanabilirlik</w:t>
            </w:r>
          </w:p>
        </w:tc>
      </w:tr>
      <w:tr w:rsidR="003B155E" w:rsidRPr="002C07D9" w14:paraId="6B013059" w14:textId="77777777" w:rsidTr="000D79D6">
        <w:tc>
          <w:tcPr>
            <w:tcW w:w="0" w:type="auto"/>
            <w:vAlign w:val="center"/>
          </w:tcPr>
          <w:p w14:paraId="0FC00763"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0" w:type="auto"/>
            <w:vAlign w:val="center"/>
          </w:tcPr>
          <w:p w14:paraId="54E82898" w14:textId="77777777" w:rsidR="003B155E" w:rsidRPr="002C07D9" w:rsidRDefault="00A52C19" w:rsidP="000D79D6">
            <w:pPr>
              <w:widowControl w:val="0"/>
              <w:tabs>
                <w:tab w:val="left" w:pos="562"/>
              </w:tabs>
              <w:rPr>
                <w:rFonts w:ascii="Times New Roman" w:hAnsi="Times New Roman" w:cs="Times New Roman"/>
              </w:rPr>
            </w:pPr>
            <w:r>
              <w:rPr>
                <w:rFonts w:ascii="Times New Roman" w:hAnsi="Times New Roman" w:cs="Times New Roman"/>
                <w:color w:val="000000"/>
              </w:rPr>
              <w:t>Biyometanizasyon</w:t>
            </w:r>
          </w:p>
        </w:tc>
        <w:tc>
          <w:tcPr>
            <w:tcW w:w="0" w:type="auto"/>
            <w:vAlign w:val="center"/>
          </w:tcPr>
          <w:p w14:paraId="696A41EF" w14:textId="77777777" w:rsidR="003B155E" w:rsidRPr="002C07D9" w:rsidRDefault="00A52C19" w:rsidP="000D79D6">
            <w:pPr>
              <w:pBdr>
                <w:top w:val="nil"/>
                <w:left w:val="nil"/>
                <w:bottom w:val="nil"/>
                <w:right w:val="nil"/>
                <w:between w:val="nil"/>
              </w:pBdr>
              <w:rPr>
                <w:rFonts w:ascii="Times New Roman" w:hAnsi="Times New Roman" w:cs="Times New Roman"/>
                <w:color w:val="000000"/>
              </w:rPr>
            </w:pPr>
            <w:r w:rsidRPr="004D58A6">
              <w:rPr>
                <w:rFonts w:ascii="Times New Roman" w:hAnsi="Times New Roman" w:cs="Times New Roman"/>
                <w:color w:val="000000"/>
              </w:rPr>
              <w:t>Biyobozunur atıkların içerisindeki organik maddelerin</w:t>
            </w:r>
            <w:r>
              <w:rPr>
                <w:rFonts w:ascii="Times New Roman" w:hAnsi="Times New Roman" w:cs="Times New Roman"/>
                <w:color w:val="000000"/>
              </w:rPr>
              <w:t xml:space="preserve"> biyometanizasyon tesislerinde</w:t>
            </w:r>
            <w:r w:rsidRPr="004D58A6">
              <w:rPr>
                <w:rFonts w:ascii="Times New Roman" w:hAnsi="Times New Roman" w:cs="Times New Roman"/>
                <w:color w:val="000000"/>
              </w:rPr>
              <w:t xml:space="preserve"> anaerobik mikroorganizmalarla ayrışması sırasında meydana gelen çok adımlı biyokimyasal reaksiyonlardan oluşan biyolojik süreç  sonucunda biyogaz ve  katı fermente ürün ve sıvı fermente </w:t>
            </w:r>
            <w:r>
              <w:rPr>
                <w:rFonts w:ascii="Times New Roman" w:hAnsi="Times New Roman" w:cs="Times New Roman"/>
                <w:color w:val="000000"/>
              </w:rPr>
              <w:t xml:space="preserve">ürün </w:t>
            </w:r>
            <w:r w:rsidRPr="004D58A6">
              <w:rPr>
                <w:rFonts w:ascii="Times New Roman" w:hAnsi="Times New Roman" w:cs="Times New Roman"/>
                <w:color w:val="000000"/>
              </w:rPr>
              <w:t>üreti</w:t>
            </w:r>
            <w:r>
              <w:rPr>
                <w:rFonts w:ascii="Times New Roman" w:hAnsi="Times New Roman" w:cs="Times New Roman"/>
                <w:color w:val="000000"/>
              </w:rPr>
              <w:t>lir</w:t>
            </w:r>
            <w:r w:rsidRPr="004D58A6">
              <w:rPr>
                <w:rFonts w:ascii="Times New Roman" w:hAnsi="Times New Roman" w:cs="Times New Roman"/>
                <w:color w:val="000000"/>
              </w:rPr>
              <w:t>.  Katı ve sıvı fermente ürün ilgili mevzuat çerçevesinde toprakta kullanılır. Biyogaz yakıt olarak, örneğin bir gaz motorunda veya bir kazanda kullanılır</w:t>
            </w:r>
            <w:r>
              <w:rPr>
                <w:rFonts w:ascii="Times New Roman" w:hAnsi="Times New Roman" w:cs="Times New Roman"/>
                <w:color w:val="000000"/>
              </w:rPr>
              <w:t>.</w:t>
            </w:r>
          </w:p>
        </w:tc>
        <w:tc>
          <w:tcPr>
            <w:tcW w:w="0" w:type="auto"/>
            <w:vAlign w:val="center"/>
          </w:tcPr>
          <w:p w14:paraId="2C704B3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Kalıntıların miktarı ve/veya niteliği nedeniyle uygulanamayabilir.</w:t>
            </w:r>
          </w:p>
        </w:tc>
      </w:tr>
      <w:tr w:rsidR="003B155E" w:rsidRPr="002C07D9" w14:paraId="09256F1C" w14:textId="77777777" w:rsidTr="000D79D6">
        <w:tc>
          <w:tcPr>
            <w:tcW w:w="0" w:type="auto"/>
            <w:vAlign w:val="center"/>
          </w:tcPr>
          <w:p w14:paraId="27A8C437"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(b)</w:t>
            </w:r>
          </w:p>
        </w:tc>
        <w:tc>
          <w:tcPr>
            <w:tcW w:w="0" w:type="auto"/>
            <w:vAlign w:val="center"/>
          </w:tcPr>
          <w:p w14:paraId="107C2B7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Atıkların kullanımı</w:t>
            </w:r>
          </w:p>
        </w:tc>
        <w:tc>
          <w:tcPr>
            <w:tcW w:w="0" w:type="auto"/>
            <w:vAlign w:val="center"/>
          </w:tcPr>
          <w:p w14:paraId="069BC0D5"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Örneğin atıklar, hayvan yemi olarak kullanılır.</w:t>
            </w:r>
          </w:p>
        </w:tc>
        <w:tc>
          <w:tcPr>
            <w:tcW w:w="0" w:type="auto"/>
            <w:vAlign w:val="center"/>
          </w:tcPr>
          <w:p w14:paraId="20416DFE"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t>Yasal gereklilikler nedeniyle uygulanamayabilir.</w:t>
            </w:r>
          </w:p>
        </w:tc>
      </w:tr>
      <w:tr w:rsidR="003B155E" w:rsidRPr="002C07D9" w14:paraId="35FAAE9D" w14:textId="77777777" w:rsidTr="000D79D6">
        <w:tc>
          <w:tcPr>
            <w:tcW w:w="0" w:type="auto"/>
            <w:vAlign w:val="center"/>
          </w:tcPr>
          <w:p w14:paraId="7C2443BC"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0" w:type="auto"/>
            <w:vAlign w:val="center"/>
          </w:tcPr>
          <w:p w14:paraId="164776D7"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Atıkların ayrılması</w:t>
            </w:r>
          </w:p>
        </w:tc>
        <w:tc>
          <w:tcPr>
            <w:tcW w:w="0" w:type="auto"/>
            <w:vAlign w:val="center"/>
          </w:tcPr>
          <w:p w14:paraId="4EA6CD2D" w14:textId="77777777" w:rsidR="003B155E" w:rsidRPr="002C07D9" w:rsidRDefault="003B155E" w:rsidP="000D79D6">
            <w:pPr>
              <w:pBdr>
                <w:top w:val="nil"/>
                <w:left w:val="nil"/>
                <w:bottom w:val="nil"/>
                <w:right w:val="nil"/>
                <w:between w:val="nil"/>
              </w:pBdr>
              <w:rPr>
                <w:rFonts w:ascii="Times New Roman" w:hAnsi="Times New Roman" w:cs="Times New Roman"/>
                <w:color w:val="000000"/>
              </w:rPr>
            </w:pPr>
            <w:r w:rsidRPr="002C07D9">
              <w:rPr>
                <w:rFonts w:ascii="Times New Roman" w:hAnsi="Times New Roman" w:cs="Times New Roman"/>
                <w:color w:val="000000"/>
              </w:rPr>
              <w:t>Örneğin doğru konumlandırılmış sıçrama koruyucular, ekranlar, kanatlar, toplama kapları, damlama tepsileri ve olukları kullanarak atıkların ayrılmasını kapsamaktadır.</w:t>
            </w:r>
          </w:p>
        </w:tc>
        <w:tc>
          <w:tcPr>
            <w:tcW w:w="0" w:type="auto"/>
            <w:vAlign w:val="center"/>
          </w:tcPr>
          <w:p w14:paraId="701A2497"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Genel olarak uygulanabilir.</w:t>
            </w:r>
          </w:p>
        </w:tc>
      </w:tr>
      <w:tr w:rsidR="003B155E" w:rsidRPr="002C07D9" w14:paraId="06E4F54F" w14:textId="77777777" w:rsidTr="000D79D6">
        <w:tc>
          <w:tcPr>
            <w:tcW w:w="0" w:type="auto"/>
            <w:vAlign w:val="center"/>
          </w:tcPr>
          <w:p w14:paraId="6D099D5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(d)</w:t>
            </w:r>
          </w:p>
        </w:tc>
        <w:tc>
          <w:tcPr>
            <w:tcW w:w="0" w:type="auto"/>
            <w:vAlign w:val="center"/>
          </w:tcPr>
          <w:p w14:paraId="24E515E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Pastörizatörden kalan atıkların geri kazanılması ve yeniden kullanımı</w:t>
            </w:r>
          </w:p>
        </w:tc>
        <w:tc>
          <w:tcPr>
            <w:tcW w:w="0" w:type="auto"/>
            <w:vAlign w:val="center"/>
          </w:tcPr>
          <w:p w14:paraId="0386F55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Pastörizatörden kalan atıklar karıştırma ünitesine geri beslenir ve böylece ham madde olarak yeniden kullanılır.</w:t>
            </w:r>
          </w:p>
        </w:tc>
        <w:tc>
          <w:tcPr>
            <w:tcW w:w="0" w:type="auto"/>
            <w:vAlign w:val="center"/>
          </w:tcPr>
          <w:p w14:paraId="6B7F1F6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Sadece sıvı gıda ürünleri için geçerlidir.</w:t>
            </w:r>
          </w:p>
        </w:tc>
      </w:tr>
      <w:tr w:rsidR="003B155E" w:rsidRPr="002C07D9" w14:paraId="3379884E" w14:textId="77777777" w:rsidTr="000D79D6">
        <w:tc>
          <w:tcPr>
            <w:tcW w:w="0" w:type="auto"/>
            <w:vAlign w:val="center"/>
          </w:tcPr>
          <w:p w14:paraId="18A39C6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(e)</w:t>
            </w:r>
          </w:p>
        </w:tc>
        <w:tc>
          <w:tcPr>
            <w:tcW w:w="0" w:type="auto"/>
            <w:vAlign w:val="center"/>
          </w:tcPr>
          <w:p w14:paraId="57B4314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Strüvit olarak fosfor geri kazanımı.</w:t>
            </w:r>
          </w:p>
        </w:tc>
        <w:tc>
          <w:tcPr>
            <w:tcW w:w="0" w:type="auto"/>
            <w:vAlign w:val="center"/>
          </w:tcPr>
          <w:p w14:paraId="36D32F0F" w14:textId="77777777" w:rsidR="003B155E" w:rsidRPr="002C07D9" w:rsidRDefault="003B155E" w:rsidP="000D79D6">
            <w:pPr>
              <w:pBdr>
                <w:top w:val="nil"/>
                <w:left w:val="nil"/>
                <w:bottom w:val="nil"/>
                <w:right w:val="nil"/>
                <w:between w:val="nil"/>
              </w:pBdr>
              <w:rPr>
                <w:rFonts w:ascii="Times New Roman" w:hAnsi="Times New Roman"/>
                <w:color w:val="000000"/>
              </w:rPr>
            </w:pPr>
            <w:r w:rsidRPr="002C07D9">
              <w:rPr>
                <w:rFonts w:ascii="Times New Roman" w:hAnsi="Times New Roman" w:cs="Times New Roman"/>
                <w:color w:val="000000"/>
              </w:rPr>
              <w:t xml:space="preserve">Bkz. MET 12g. </w:t>
            </w:r>
          </w:p>
        </w:tc>
        <w:tc>
          <w:tcPr>
            <w:tcW w:w="0" w:type="auto"/>
            <w:vAlign w:val="center"/>
          </w:tcPr>
          <w:p w14:paraId="5EC12A1D"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t>Yalnızca yüksek toplam fosfor içeriğine (örn. 50 mg/l'nin üzerinde) ve önemli bir akışa sahip atıksu akışları için geçerlidir.</w:t>
            </w:r>
          </w:p>
        </w:tc>
      </w:tr>
      <w:tr w:rsidR="003B155E" w:rsidRPr="002C07D9" w14:paraId="69C4B6FE" w14:textId="77777777" w:rsidTr="000D79D6">
        <w:tc>
          <w:tcPr>
            <w:tcW w:w="0" w:type="auto"/>
            <w:vAlign w:val="center"/>
          </w:tcPr>
          <w:p w14:paraId="586EF625"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(f)</w:t>
            </w:r>
          </w:p>
        </w:tc>
        <w:tc>
          <w:tcPr>
            <w:tcW w:w="0" w:type="auto"/>
            <w:vAlign w:val="center"/>
          </w:tcPr>
          <w:p w14:paraId="33E5D32B"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 xml:space="preserve">Atıksuyun arazi </w:t>
            </w:r>
            <w:r w:rsidRPr="002C07D9">
              <w:rPr>
                <w:rFonts w:ascii="Times New Roman" w:hAnsi="Times New Roman" w:cs="Times New Roman"/>
                <w:color w:val="000000"/>
              </w:rPr>
              <w:lastRenderedPageBreak/>
              <w:t>yayılımında kullanımı</w:t>
            </w:r>
          </w:p>
        </w:tc>
        <w:tc>
          <w:tcPr>
            <w:tcW w:w="0" w:type="auto"/>
            <w:vAlign w:val="center"/>
          </w:tcPr>
          <w:p w14:paraId="12E2D76A"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lastRenderedPageBreak/>
              <w:t xml:space="preserve">Atıksu, uygun şekilde arıtıldıktan sonra </w:t>
            </w:r>
            <w:r w:rsidRPr="002C07D9">
              <w:rPr>
                <w:rFonts w:ascii="Times New Roman" w:hAnsi="Times New Roman" w:cs="Times New Roman"/>
                <w:color w:val="000000"/>
              </w:rPr>
              <w:lastRenderedPageBreak/>
              <w:t>besin içeriğinden yararlanmak ve/veya suyu kullanmak amacıyla arazi yayılımında kullanılır.</w:t>
            </w:r>
          </w:p>
        </w:tc>
        <w:tc>
          <w:tcPr>
            <w:tcW w:w="0" w:type="auto"/>
            <w:vAlign w:val="center"/>
          </w:tcPr>
          <w:p w14:paraId="236EB93A"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lastRenderedPageBreak/>
              <w:t xml:space="preserve">Sadece tarımsal faydası kanıtlanmış, </w:t>
            </w:r>
            <w:r w:rsidRPr="002C07D9">
              <w:rPr>
                <w:rFonts w:ascii="Times New Roman" w:hAnsi="Times New Roman" w:cs="Times New Roman"/>
              </w:rPr>
              <w:lastRenderedPageBreak/>
              <w:t>kirlilik seviyesi düşük ve çevre üzerinde olumsuz etkisi olmayan (örneğin toprak, yeraltı suyu ve yüzey suyu üzerinde) durumlarda uygulanabilir. Uygulanabilirlik, tesisin bitişiğindeki uygun arazinin sınırlı olması nedeniyle kısıtlanabilir. Uygulanabilirlik, toprak ve yerel iklim koşulları (örneğin ıslak veya donmuş araziler) veya mevzuat tarafından kısıtlanabilir.</w:t>
            </w:r>
          </w:p>
        </w:tc>
      </w:tr>
    </w:tbl>
    <w:p w14:paraId="3AAD0EB5" w14:textId="77777777" w:rsidR="003B155E" w:rsidRPr="002C07D9" w:rsidRDefault="003B155E" w:rsidP="003B155E">
      <w:pPr>
        <w:widowControl w:val="0"/>
        <w:tabs>
          <w:tab w:val="left" w:pos="562"/>
        </w:tabs>
        <w:spacing w:after="0" w:line="360" w:lineRule="auto"/>
        <w:jc w:val="both"/>
        <w:rPr>
          <w:rFonts w:ascii="Times New Roman" w:eastAsia="Times New Roman" w:hAnsi="Times New Roman" w:cs="Times New Roman"/>
          <w:kern w:val="0"/>
          <w:sz w:val="24"/>
          <w:szCs w:val="24"/>
          <w:lang w:eastAsia="tr-TR"/>
          <w14:ligatures w14:val="none"/>
        </w:rPr>
      </w:pPr>
    </w:p>
    <w:p w14:paraId="1C1A06D4" w14:textId="5D93BCAD"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color w:val="000000"/>
          <w:spacing w:val="2"/>
          <w:kern w:val="0"/>
          <w:sz w:val="24"/>
          <w:szCs w:val="24"/>
          <w14:ligatures w14:val="none"/>
        </w:rPr>
        <w:t xml:space="preserve">Bertaraf için gönderilen atıkları </w:t>
      </w:r>
      <w:r w:rsidR="00A52C19">
        <w:rPr>
          <w:rFonts w:ascii="Times New Roman" w:eastAsia="Times New Roman" w:hAnsi="Times New Roman" w:cs="Times New Roman"/>
          <w:color w:val="000000"/>
          <w:spacing w:val="2"/>
          <w:kern w:val="0"/>
          <w:sz w:val="24"/>
          <w:szCs w:val="24"/>
          <w14:ligatures w14:val="none"/>
        </w:rPr>
        <w:t>önlemeye</w:t>
      </w:r>
      <w:r w:rsidRPr="002C07D9">
        <w:rPr>
          <w:rFonts w:ascii="Times New Roman" w:eastAsia="Times New Roman" w:hAnsi="Times New Roman" w:cs="Times New Roman"/>
          <w:color w:val="000000"/>
          <w:spacing w:val="2"/>
          <w:kern w:val="0"/>
          <w:sz w:val="24"/>
          <w:szCs w:val="24"/>
          <w14:ligatures w14:val="none"/>
        </w:rPr>
        <w:t xml:space="preserve"> yönelik sektöre özgü diğer teknikler, bu MET sonuçlarının 3.3, 4.3 ve 5.1 Bölümlerinde verilmiştir.</w:t>
      </w:r>
    </w:p>
    <w:p w14:paraId="2D84BB06"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58079E02"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1.7. Su Emisyonları</w:t>
      </w:r>
    </w:p>
    <w:p w14:paraId="3745A1D9"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11: </w:t>
      </w:r>
      <w:r w:rsidRPr="002C07D9">
        <w:rPr>
          <w:rFonts w:ascii="Times New Roman" w:eastAsia="Times New Roman" w:hAnsi="Times New Roman" w:cs="Times New Roman"/>
          <w:color w:val="000000"/>
          <w:spacing w:val="2"/>
          <w:kern w:val="0"/>
          <w:sz w:val="24"/>
          <w:szCs w:val="24"/>
          <w14:ligatures w14:val="none"/>
        </w:rPr>
        <w:t>Suya kontrolsüz kirliliğin önlenmesi amacıyla, atıksu için uygun bir tampon depolama kapasitesi sağlanır.</w:t>
      </w:r>
    </w:p>
    <w:p w14:paraId="055EC39F"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1F8370AC" w14:textId="77777777" w:rsidR="003B155E" w:rsidRPr="002C07D9" w:rsidRDefault="003B155E" w:rsidP="003B155E">
      <w:pPr>
        <w:spacing w:after="0" w:line="276" w:lineRule="auto"/>
        <w:jc w:val="both"/>
        <w:rPr>
          <w:rFonts w:ascii="Times New Roman" w:eastAsia="Times New Roman" w:hAnsi="Times New Roman" w:cs="Times New Roman"/>
          <w:i/>
          <w:iCs/>
          <w:color w:val="000000"/>
          <w:spacing w:val="2"/>
          <w:kern w:val="0"/>
          <w:sz w:val="24"/>
          <w:szCs w:val="24"/>
          <w14:ligatures w14:val="none"/>
        </w:rPr>
      </w:pPr>
      <w:r w:rsidRPr="002C07D9">
        <w:rPr>
          <w:rFonts w:ascii="Times New Roman" w:eastAsia="Times New Roman" w:hAnsi="Times New Roman" w:cs="Times New Roman"/>
          <w:i/>
          <w:iCs/>
          <w:color w:val="000000"/>
          <w:spacing w:val="2"/>
          <w:kern w:val="0"/>
          <w:sz w:val="24"/>
          <w:szCs w:val="24"/>
          <w14:ligatures w14:val="none"/>
        </w:rPr>
        <w:t>Tanım</w:t>
      </w:r>
    </w:p>
    <w:p w14:paraId="10863C05"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14:ligatures w14:val="none"/>
        </w:rPr>
      </w:pPr>
      <w:r w:rsidRPr="002C07D9">
        <w:rPr>
          <w:rFonts w:ascii="Times New Roman" w:eastAsia="Times New Roman" w:hAnsi="Times New Roman" w:cs="Times New Roman"/>
          <w:bCs/>
          <w:spacing w:val="2"/>
          <w:kern w:val="0"/>
          <w:sz w:val="24"/>
          <w14:ligatures w14:val="none"/>
        </w:rPr>
        <w:t xml:space="preserve">Uygun tampon depolama kapasitesi, bir risk değerlendirmesiyle (kirleticinin/kirleticilerin niteliği, bu kirleticilerin daha sonraki atıksu arıtımı üzerindeki etkileri, alıcı ortam vb. dikkate alınarak) belirlenir. Bu tampon depolamadan gelen atıksu, uygun önlemler alındıktan sonra (örneğin izleme, arıtma, yeniden kullanım) deşarj edilir. </w:t>
      </w:r>
    </w:p>
    <w:p w14:paraId="08B954E0" w14:textId="77777777" w:rsidR="003B155E" w:rsidRPr="002C07D9" w:rsidRDefault="003B155E" w:rsidP="003B155E">
      <w:pPr>
        <w:spacing w:after="0" w:line="276" w:lineRule="auto"/>
        <w:jc w:val="both"/>
        <w:rPr>
          <w:rFonts w:ascii="Times New Roman" w:eastAsia="Times New Roman" w:hAnsi="Times New Roman" w:cs="Times New Roman"/>
          <w:color w:val="000000"/>
          <w:spacing w:val="2"/>
          <w:kern w:val="0"/>
          <w:sz w:val="24"/>
          <w:szCs w:val="24"/>
          <w14:ligatures w14:val="none"/>
        </w:rPr>
      </w:pPr>
    </w:p>
    <w:p w14:paraId="48F9CCAC" w14:textId="77777777" w:rsidR="003B155E" w:rsidRPr="002C07D9" w:rsidRDefault="003B155E" w:rsidP="003B155E">
      <w:pPr>
        <w:spacing w:after="0" w:line="276" w:lineRule="auto"/>
        <w:jc w:val="both"/>
        <w:rPr>
          <w:rFonts w:ascii="Times New Roman" w:eastAsia="Times New Roman" w:hAnsi="Times New Roman" w:cs="Times New Roman"/>
          <w:bCs/>
          <w:i/>
          <w:iCs/>
          <w:spacing w:val="2"/>
          <w:kern w:val="0"/>
          <w:sz w:val="24"/>
          <w14:ligatures w14:val="none"/>
        </w:rPr>
      </w:pPr>
      <w:r w:rsidRPr="002C07D9">
        <w:rPr>
          <w:rFonts w:ascii="Times New Roman" w:eastAsia="Times New Roman" w:hAnsi="Times New Roman" w:cs="Times New Roman"/>
          <w:bCs/>
          <w:i/>
          <w:iCs/>
          <w:spacing w:val="2"/>
          <w:kern w:val="0"/>
          <w:sz w:val="24"/>
          <w14:ligatures w14:val="none"/>
        </w:rPr>
        <w:t>Uygulanabilirlik</w:t>
      </w:r>
    </w:p>
    <w:p w14:paraId="322DBE46"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14:ligatures w14:val="none"/>
        </w:rPr>
      </w:pPr>
      <w:r w:rsidRPr="002C07D9">
        <w:rPr>
          <w:rFonts w:ascii="Times New Roman" w:eastAsia="Times New Roman" w:hAnsi="Times New Roman" w:cs="Times New Roman"/>
          <w:bCs/>
          <w:spacing w:val="2"/>
          <w:kern w:val="0"/>
          <w:sz w:val="24"/>
          <w14:ligatures w14:val="none"/>
        </w:rPr>
        <w:t>Mevcut tesisler için bu teknik, alan yetersizliği ve/veya atıksu toplama sisteminin düzeni nedeniyle uygulanamayabilir.</w:t>
      </w:r>
    </w:p>
    <w:p w14:paraId="1FE94A77" w14:textId="77777777" w:rsidR="003B155E" w:rsidRPr="002C07D9" w:rsidRDefault="003B155E" w:rsidP="003B155E">
      <w:pPr>
        <w:widowControl w:val="0"/>
        <w:spacing w:after="0" w:line="240" w:lineRule="auto"/>
        <w:ind w:right="23"/>
        <w:jc w:val="both"/>
        <w:rPr>
          <w:rFonts w:ascii="Times New Roman" w:eastAsia="Times New Roman" w:hAnsi="Times New Roman" w:cs="Times New Roman"/>
          <w:kern w:val="0"/>
          <w:sz w:val="24"/>
          <w:szCs w:val="24"/>
          <w:lang w:eastAsia="tr-TR"/>
          <w14:ligatures w14:val="none"/>
        </w:rPr>
      </w:pPr>
    </w:p>
    <w:p w14:paraId="53DA7233" w14:textId="4B9E0B11" w:rsidR="003B155E" w:rsidRDefault="003B155E" w:rsidP="003B155E">
      <w:pPr>
        <w:spacing w:after="0" w:line="276" w:lineRule="auto"/>
        <w:jc w:val="both"/>
        <w:rPr>
          <w:rFonts w:ascii="Times New Roman" w:eastAsia="Times New Roman" w:hAnsi="Times New Roman" w:cs="Times New Roman"/>
          <w:bCs/>
          <w:spacing w:val="2"/>
          <w:kern w:val="0"/>
          <w:sz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12: </w:t>
      </w:r>
      <w:r w:rsidRPr="002C07D9">
        <w:rPr>
          <w:rFonts w:ascii="Times New Roman" w:eastAsia="Times New Roman" w:hAnsi="Times New Roman" w:cs="Times New Roman"/>
          <w:bCs/>
          <w:spacing w:val="2"/>
          <w:kern w:val="0"/>
          <w:sz w:val="24"/>
          <w14:ligatures w14:val="none"/>
        </w:rPr>
        <w:t>Su emisyonlarını azaltmak için aşağıda verilen tekniklerin uygun bir kombinasyonu kullanılır.</w:t>
      </w:r>
    </w:p>
    <w:p w14:paraId="091B7880" w14:textId="77777777" w:rsidR="00541520" w:rsidRPr="002C07D9" w:rsidRDefault="00541520" w:rsidP="003B155E">
      <w:pPr>
        <w:spacing w:after="0" w:line="276" w:lineRule="auto"/>
        <w:jc w:val="both"/>
        <w:rPr>
          <w:rFonts w:ascii="Times New Roman" w:eastAsia="Times New Roman" w:hAnsi="Times New Roman" w:cs="Times New Roman"/>
          <w:bCs/>
          <w:spacing w:val="2"/>
          <w:kern w:val="0"/>
          <w:sz w:val="24"/>
          <w14:ligatures w14:val="none"/>
        </w:rPr>
      </w:pPr>
    </w:p>
    <w:tbl>
      <w:tblPr>
        <w:tblStyle w:val="TabloKlavuzu10"/>
        <w:tblW w:w="5000" w:type="pct"/>
        <w:tblLook w:val="04A0" w:firstRow="1" w:lastRow="0" w:firstColumn="1" w:lastColumn="0" w:noHBand="0" w:noVBand="1"/>
      </w:tblPr>
      <w:tblGrid>
        <w:gridCol w:w="534"/>
        <w:gridCol w:w="2769"/>
        <w:gridCol w:w="2779"/>
        <w:gridCol w:w="2980"/>
      </w:tblGrid>
      <w:tr w:rsidR="003B155E" w:rsidRPr="00541520" w14:paraId="368B403D" w14:textId="77777777" w:rsidTr="000D79D6">
        <w:tc>
          <w:tcPr>
            <w:tcW w:w="1817" w:type="pct"/>
            <w:gridSpan w:val="2"/>
            <w:vAlign w:val="center"/>
          </w:tcPr>
          <w:p w14:paraId="7E5BE67D"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Teknik (</w:t>
            </w:r>
            <w:r w:rsidRPr="00541520">
              <w:rPr>
                <w:rFonts w:ascii="Times New Roman" w:hAnsi="Times New Roman" w:cs="Times New Roman"/>
                <w:sz w:val="22"/>
                <w:szCs w:val="22"/>
                <w:vertAlign w:val="superscript"/>
              </w:rPr>
              <w:t>1</w:t>
            </w:r>
            <w:r w:rsidRPr="00541520">
              <w:rPr>
                <w:rFonts w:ascii="Times New Roman" w:hAnsi="Times New Roman" w:cs="Times New Roman"/>
                <w:sz w:val="22"/>
                <w:szCs w:val="22"/>
              </w:rPr>
              <w:t>)</w:t>
            </w:r>
          </w:p>
        </w:tc>
        <w:tc>
          <w:tcPr>
            <w:tcW w:w="1536" w:type="pct"/>
            <w:vAlign w:val="center"/>
          </w:tcPr>
          <w:p w14:paraId="26A6530E"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Tanım</w:t>
            </w:r>
          </w:p>
        </w:tc>
        <w:tc>
          <w:tcPr>
            <w:tcW w:w="1647" w:type="pct"/>
            <w:vAlign w:val="center"/>
          </w:tcPr>
          <w:p w14:paraId="55CD0D7C"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Uygulanabilirlik</w:t>
            </w:r>
          </w:p>
        </w:tc>
      </w:tr>
      <w:tr w:rsidR="003B155E" w:rsidRPr="00541520" w14:paraId="164AE393" w14:textId="77777777" w:rsidTr="000D79D6">
        <w:tc>
          <w:tcPr>
            <w:tcW w:w="5000" w:type="pct"/>
            <w:gridSpan w:val="4"/>
            <w:vAlign w:val="center"/>
          </w:tcPr>
          <w:p w14:paraId="172C371C" w14:textId="77777777" w:rsidR="003B155E" w:rsidRPr="00541520" w:rsidRDefault="003B155E" w:rsidP="000D79D6">
            <w:pPr>
              <w:widowControl w:val="0"/>
              <w:rPr>
                <w:rFonts w:ascii="Times New Roman" w:hAnsi="Times New Roman" w:cs="Times New Roman"/>
                <w:color w:val="000000"/>
                <w:sz w:val="22"/>
                <w:szCs w:val="22"/>
              </w:rPr>
            </w:pPr>
            <w:r w:rsidRPr="00541520">
              <w:rPr>
                <w:rFonts w:ascii="Times New Roman" w:hAnsi="Times New Roman" w:cs="Times New Roman"/>
                <w:color w:val="000000"/>
                <w:sz w:val="22"/>
                <w:szCs w:val="22"/>
              </w:rPr>
              <w:t>Ön, birincil ve genel arıtma</w:t>
            </w:r>
          </w:p>
        </w:tc>
      </w:tr>
      <w:tr w:rsidR="003B155E" w:rsidRPr="00541520" w14:paraId="5C100809" w14:textId="77777777" w:rsidTr="000D79D6">
        <w:tc>
          <w:tcPr>
            <w:tcW w:w="286" w:type="pct"/>
            <w:vAlign w:val="center"/>
          </w:tcPr>
          <w:p w14:paraId="52092CEF"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(a)</w:t>
            </w:r>
          </w:p>
        </w:tc>
        <w:tc>
          <w:tcPr>
            <w:tcW w:w="1531" w:type="pct"/>
            <w:vAlign w:val="center"/>
          </w:tcPr>
          <w:p w14:paraId="450D9EF2"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color w:val="000000"/>
                <w:sz w:val="22"/>
                <w:szCs w:val="22"/>
              </w:rPr>
              <w:t>Dengeleme</w:t>
            </w:r>
          </w:p>
        </w:tc>
        <w:tc>
          <w:tcPr>
            <w:tcW w:w="1536" w:type="pct"/>
            <w:vAlign w:val="center"/>
          </w:tcPr>
          <w:p w14:paraId="369786C0" w14:textId="77777777" w:rsidR="003B155E" w:rsidRPr="00541520" w:rsidRDefault="003B155E" w:rsidP="000D79D6">
            <w:pPr>
              <w:pBdr>
                <w:top w:val="nil"/>
                <w:left w:val="nil"/>
                <w:bottom w:val="nil"/>
                <w:right w:val="nil"/>
                <w:between w:val="nil"/>
              </w:pBdr>
              <w:ind w:left="38"/>
              <w:rPr>
                <w:rFonts w:ascii="Times New Roman" w:hAnsi="Times New Roman" w:cs="Times New Roman"/>
                <w:color w:val="000000"/>
                <w:sz w:val="22"/>
                <w:szCs w:val="22"/>
              </w:rPr>
            </w:pPr>
            <w:r w:rsidRPr="00541520">
              <w:rPr>
                <w:rFonts w:ascii="Times New Roman" w:hAnsi="Times New Roman" w:cs="Times New Roman"/>
                <w:color w:val="000000"/>
                <w:sz w:val="22"/>
                <w:szCs w:val="22"/>
              </w:rPr>
              <w:t>Bütün kirleticileri kapsamaktadır.</w:t>
            </w:r>
          </w:p>
        </w:tc>
        <w:tc>
          <w:tcPr>
            <w:tcW w:w="1647" w:type="pct"/>
            <w:vMerge w:val="restart"/>
            <w:vAlign w:val="center"/>
          </w:tcPr>
          <w:p w14:paraId="6E194F9C"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Genel olarak uygulanabilir.</w:t>
            </w:r>
          </w:p>
        </w:tc>
      </w:tr>
      <w:tr w:rsidR="003B155E" w:rsidRPr="00541520" w14:paraId="209A67AF" w14:textId="77777777" w:rsidTr="000D79D6">
        <w:tc>
          <w:tcPr>
            <w:tcW w:w="286" w:type="pct"/>
            <w:vAlign w:val="center"/>
          </w:tcPr>
          <w:p w14:paraId="6E111E8E"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(b)</w:t>
            </w:r>
          </w:p>
        </w:tc>
        <w:tc>
          <w:tcPr>
            <w:tcW w:w="1531" w:type="pct"/>
            <w:vAlign w:val="center"/>
          </w:tcPr>
          <w:p w14:paraId="21CE0CE6"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Nötralizasyon</w:t>
            </w:r>
          </w:p>
        </w:tc>
        <w:tc>
          <w:tcPr>
            <w:tcW w:w="1536" w:type="pct"/>
            <w:vAlign w:val="center"/>
          </w:tcPr>
          <w:p w14:paraId="78D188D3"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color w:val="000000"/>
                <w:sz w:val="22"/>
                <w:szCs w:val="22"/>
              </w:rPr>
              <w:t>Asitler ve alkali kirleticileri kapsamaktadır</w:t>
            </w:r>
          </w:p>
        </w:tc>
        <w:tc>
          <w:tcPr>
            <w:tcW w:w="1647" w:type="pct"/>
            <w:vMerge/>
            <w:vAlign w:val="center"/>
          </w:tcPr>
          <w:p w14:paraId="197B0C7A" w14:textId="77777777" w:rsidR="003B155E" w:rsidRPr="00541520" w:rsidRDefault="003B155E" w:rsidP="000D79D6">
            <w:pPr>
              <w:widowControl w:val="0"/>
              <w:tabs>
                <w:tab w:val="left" w:pos="562"/>
              </w:tabs>
              <w:rPr>
                <w:rFonts w:ascii="Times New Roman" w:hAnsi="Times New Roman" w:cs="Times New Roman"/>
                <w:sz w:val="22"/>
                <w:szCs w:val="22"/>
              </w:rPr>
            </w:pPr>
          </w:p>
        </w:tc>
      </w:tr>
      <w:tr w:rsidR="003B155E" w:rsidRPr="00541520" w14:paraId="52107507" w14:textId="77777777" w:rsidTr="000D79D6">
        <w:tc>
          <w:tcPr>
            <w:tcW w:w="286" w:type="pct"/>
            <w:vAlign w:val="center"/>
          </w:tcPr>
          <w:p w14:paraId="5E88635D"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(c)</w:t>
            </w:r>
          </w:p>
        </w:tc>
        <w:tc>
          <w:tcPr>
            <w:tcW w:w="1531" w:type="pct"/>
            <w:vAlign w:val="center"/>
          </w:tcPr>
          <w:p w14:paraId="3158C8DE"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color w:val="000000"/>
                <w:sz w:val="22"/>
                <w:szCs w:val="22"/>
              </w:rPr>
              <w:t xml:space="preserve">Fiziksel </w:t>
            </w:r>
            <w:r w:rsidRPr="00541520">
              <w:rPr>
                <w:rFonts w:ascii="Times New Roman" w:hAnsi="Times New Roman" w:cs="Times New Roman"/>
                <w:sz w:val="22"/>
                <w:szCs w:val="22"/>
              </w:rPr>
              <w:t>a</w:t>
            </w:r>
            <w:r w:rsidRPr="00541520">
              <w:rPr>
                <w:rFonts w:ascii="Times New Roman" w:hAnsi="Times New Roman" w:cs="Times New Roman"/>
                <w:color w:val="000000"/>
                <w:sz w:val="22"/>
                <w:szCs w:val="22"/>
              </w:rPr>
              <w:t>yırma (</w:t>
            </w:r>
            <w:r w:rsidRPr="00541520">
              <w:rPr>
                <w:rFonts w:ascii="Times New Roman" w:hAnsi="Times New Roman" w:cs="Times New Roman"/>
                <w:sz w:val="22"/>
                <w:szCs w:val="22"/>
              </w:rPr>
              <w:t>örneğin, ızgara, elek, kum tutucu, yağ tutucu veya birincil çökelme tankı</w:t>
            </w:r>
            <w:r w:rsidRPr="00541520">
              <w:rPr>
                <w:rFonts w:ascii="Times New Roman" w:hAnsi="Times New Roman" w:cs="Times New Roman"/>
                <w:color w:val="000000"/>
                <w:sz w:val="22"/>
                <w:szCs w:val="22"/>
              </w:rPr>
              <w:t>)</w:t>
            </w:r>
          </w:p>
        </w:tc>
        <w:tc>
          <w:tcPr>
            <w:tcW w:w="1536" w:type="pct"/>
            <w:vAlign w:val="center"/>
          </w:tcPr>
          <w:p w14:paraId="361EBD92" w14:textId="77777777" w:rsidR="003B155E" w:rsidRPr="00541520" w:rsidRDefault="003B155E" w:rsidP="000D79D6">
            <w:pPr>
              <w:pBdr>
                <w:top w:val="nil"/>
                <w:left w:val="nil"/>
                <w:bottom w:val="nil"/>
                <w:right w:val="nil"/>
                <w:between w:val="nil"/>
              </w:pBdr>
              <w:ind w:left="39"/>
              <w:rPr>
                <w:rFonts w:ascii="Times New Roman" w:hAnsi="Times New Roman" w:cs="Times New Roman"/>
                <w:color w:val="000000"/>
                <w:sz w:val="22"/>
                <w:szCs w:val="22"/>
              </w:rPr>
            </w:pPr>
            <w:r w:rsidRPr="00541520">
              <w:rPr>
                <w:rFonts w:ascii="Times New Roman" w:hAnsi="Times New Roman" w:cs="Times New Roman"/>
                <w:color w:val="000000"/>
                <w:sz w:val="22"/>
                <w:szCs w:val="22"/>
              </w:rPr>
              <w:t xml:space="preserve">Büyük katı maddeler, askıda katı maddeler, yağ/gres kirleticilerini kapsamaktadır. </w:t>
            </w:r>
          </w:p>
        </w:tc>
        <w:tc>
          <w:tcPr>
            <w:tcW w:w="1647" w:type="pct"/>
            <w:vMerge/>
            <w:vAlign w:val="center"/>
          </w:tcPr>
          <w:p w14:paraId="545B6A79" w14:textId="77777777" w:rsidR="003B155E" w:rsidRPr="00541520" w:rsidRDefault="003B155E" w:rsidP="000D79D6">
            <w:pPr>
              <w:widowControl w:val="0"/>
              <w:tabs>
                <w:tab w:val="left" w:pos="562"/>
              </w:tabs>
              <w:rPr>
                <w:rFonts w:ascii="Times New Roman" w:hAnsi="Times New Roman" w:cs="Times New Roman"/>
                <w:sz w:val="22"/>
                <w:szCs w:val="22"/>
              </w:rPr>
            </w:pPr>
          </w:p>
        </w:tc>
      </w:tr>
      <w:tr w:rsidR="003B155E" w:rsidRPr="00541520" w14:paraId="62AC88D6" w14:textId="77777777" w:rsidTr="000D79D6">
        <w:tc>
          <w:tcPr>
            <w:tcW w:w="5000" w:type="pct"/>
            <w:gridSpan w:val="4"/>
            <w:vAlign w:val="center"/>
          </w:tcPr>
          <w:p w14:paraId="5C667BE9" w14:textId="77777777" w:rsidR="003B155E" w:rsidRPr="00541520" w:rsidRDefault="003B155E" w:rsidP="000D79D6">
            <w:pPr>
              <w:widowControl w:val="0"/>
              <w:rPr>
                <w:rFonts w:ascii="Times New Roman" w:hAnsi="Times New Roman" w:cs="Times New Roman"/>
                <w:color w:val="000000"/>
                <w:sz w:val="22"/>
                <w:szCs w:val="22"/>
              </w:rPr>
            </w:pPr>
            <w:r w:rsidRPr="00541520">
              <w:rPr>
                <w:rFonts w:ascii="Times New Roman" w:hAnsi="Times New Roman" w:cs="Times New Roman"/>
                <w:color w:val="000000"/>
                <w:sz w:val="22"/>
                <w:szCs w:val="22"/>
              </w:rPr>
              <w:t>Aerobik ve/veya anaerobik arıtma (ikincil arıtma)</w:t>
            </w:r>
          </w:p>
        </w:tc>
      </w:tr>
      <w:tr w:rsidR="003B155E" w:rsidRPr="00541520" w14:paraId="6FF54B01" w14:textId="77777777" w:rsidTr="000D79D6">
        <w:tc>
          <w:tcPr>
            <w:tcW w:w="286" w:type="pct"/>
            <w:vAlign w:val="center"/>
          </w:tcPr>
          <w:p w14:paraId="100A68DD"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(d)</w:t>
            </w:r>
          </w:p>
        </w:tc>
        <w:tc>
          <w:tcPr>
            <w:tcW w:w="1531" w:type="pct"/>
            <w:vAlign w:val="center"/>
          </w:tcPr>
          <w:p w14:paraId="7A65A812"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 xml:space="preserve">Aerobik ve/veya anaerobik arıtma (ikincil arıtma). </w:t>
            </w:r>
            <w:r w:rsidRPr="00541520">
              <w:rPr>
                <w:rFonts w:ascii="Times New Roman" w:hAnsi="Times New Roman" w:cs="Times New Roman"/>
                <w:color w:val="000000"/>
                <w:sz w:val="22"/>
                <w:szCs w:val="22"/>
              </w:rPr>
              <w:t>(örneğin aktif çamur prosesi, aerobik lagün, yukarı akışlı çamur yataklı anaerobik prosesi, anaerobik çürütücü, membran biyoreaktör).</w:t>
            </w:r>
          </w:p>
        </w:tc>
        <w:tc>
          <w:tcPr>
            <w:tcW w:w="1536" w:type="pct"/>
            <w:vAlign w:val="center"/>
          </w:tcPr>
          <w:p w14:paraId="28EDA6D0" w14:textId="77777777" w:rsidR="003B155E" w:rsidRPr="00541520" w:rsidRDefault="003B155E" w:rsidP="000D79D6">
            <w:pPr>
              <w:pBdr>
                <w:top w:val="nil"/>
                <w:left w:val="nil"/>
                <w:bottom w:val="nil"/>
                <w:right w:val="nil"/>
                <w:between w:val="nil"/>
              </w:pBdr>
              <w:ind w:left="39"/>
              <w:rPr>
                <w:rFonts w:ascii="Times New Roman" w:hAnsi="Times New Roman" w:cs="Times New Roman"/>
                <w:color w:val="000000"/>
                <w:sz w:val="22"/>
                <w:szCs w:val="22"/>
              </w:rPr>
            </w:pPr>
            <w:r w:rsidRPr="00541520">
              <w:rPr>
                <w:rFonts w:ascii="Times New Roman" w:hAnsi="Times New Roman" w:cs="Times New Roman"/>
                <w:color w:val="000000"/>
                <w:sz w:val="22"/>
                <w:szCs w:val="22"/>
              </w:rPr>
              <w:t xml:space="preserve">Biyolojik olarak parçalanabilen organik bileşikleri kapsamaktadır. </w:t>
            </w:r>
          </w:p>
        </w:tc>
        <w:tc>
          <w:tcPr>
            <w:tcW w:w="1647" w:type="pct"/>
            <w:vAlign w:val="center"/>
          </w:tcPr>
          <w:p w14:paraId="40253F2C"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Genel olarak uygulanabilir.</w:t>
            </w:r>
          </w:p>
        </w:tc>
      </w:tr>
      <w:tr w:rsidR="003B155E" w:rsidRPr="00541520" w14:paraId="5778BDF0" w14:textId="77777777" w:rsidTr="000D79D6">
        <w:tc>
          <w:tcPr>
            <w:tcW w:w="5000" w:type="pct"/>
            <w:gridSpan w:val="4"/>
            <w:vAlign w:val="center"/>
          </w:tcPr>
          <w:p w14:paraId="304B6544" w14:textId="77777777" w:rsidR="003B155E" w:rsidRPr="00541520" w:rsidRDefault="003B155E" w:rsidP="000D79D6">
            <w:pPr>
              <w:widowControl w:val="0"/>
              <w:rPr>
                <w:rFonts w:ascii="Times New Roman" w:hAnsi="Times New Roman" w:cs="Times New Roman"/>
                <w:color w:val="000000"/>
                <w:sz w:val="22"/>
                <w:szCs w:val="22"/>
              </w:rPr>
            </w:pPr>
            <w:r w:rsidRPr="00541520">
              <w:rPr>
                <w:rFonts w:ascii="Times New Roman" w:hAnsi="Times New Roman" w:cs="Times New Roman"/>
                <w:color w:val="000000"/>
                <w:sz w:val="22"/>
                <w:szCs w:val="22"/>
              </w:rPr>
              <w:lastRenderedPageBreak/>
              <w:t>Azot giderimi</w:t>
            </w:r>
          </w:p>
        </w:tc>
      </w:tr>
      <w:tr w:rsidR="003B155E" w:rsidRPr="00541520" w14:paraId="521E05B2" w14:textId="77777777" w:rsidTr="000D79D6">
        <w:tc>
          <w:tcPr>
            <w:tcW w:w="286" w:type="pct"/>
            <w:vAlign w:val="center"/>
          </w:tcPr>
          <w:p w14:paraId="4E1B9107"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(e)</w:t>
            </w:r>
          </w:p>
        </w:tc>
        <w:tc>
          <w:tcPr>
            <w:tcW w:w="1531" w:type="pct"/>
            <w:vAlign w:val="center"/>
          </w:tcPr>
          <w:p w14:paraId="1297A884"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Nitrifikasyon ve/veya denitrifikasyon</w:t>
            </w:r>
          </w:p>
        </w:tc>
        <w:tc>
          <w:tcPr>
            <w:tcW w:w="1536" w:type="pct"/>
            <w:vMerge w:val="restart"/>
            <w:vAlign w:val="center"/>
          </w:tcPr>
          <w:p w14:paraId="5F2883CD"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color w:val="000000"/>
                <w:sz w:val="22"/>
                <w:szCs w:val="22"/>
              </w:rPr>
              <w:t>Toplam azot, amonyum/amonyağı kapsamaktadır.</w:t>
            </w:r>
          </w:p>
        </w:tc>
        <w:tc>
          <w:tcPr>
            <w:tcW w:w="1647" w:type="pct"/>
            <w:vAlign w:val="center"/>
          </w:tcPr>
          <w:p w14:paraId="305543FD"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Nitrifikasyon, yüksek klorür konsantrasyonları durumunda (örneğin 10 g/l’nin üzerinde) uygulanamayabilir. Atıksuyun sıcaklığı düşük olduğunda (örn. 12°C’nin altında) nitrifikasyon uygulanamayabilir.</w:t>
            </w:r>
          </w:p>
        </w:tc>
      </w:tr>
      <w:tr w:rsidR="003B155E" w:rsidRPr="00541520" w14:paraId="7520480B" w14:textId="77777777" w:rsidTr="000D79D6">
        <w:tc>
          <w:tcPr>
            <w:tcW w:w="286" w:type="pct"/>
            <w:vAlign w:val="center"/>
          </w:tcPr>
          <w:p w14:paraId="64CD4DC3"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(f)</w:t>
            </w:r>
          </w:p>
        </w:tc>
        <w:tc>
          <w:tcPr>
            <w:tcW w:w="1531" w:type="pct"/>
            <w:vAlign w:val="center"/>
          </w:tcPr>
          <w:p w14:paraId="332D1259"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sz w:val="22"/>
                <w:szCs w:val="22"/>
              </w:rPr>
              <w:t>Kısmi nitrifikasyon</w:t>
            </w:r>
            <w:r w:rsidRPr="00541520">
              <w:rPr>
                <w:rFonts w:ascii="Times New Roman" w:hAnsi="Times New Roman" w:cs="Times New Roman"/>
                <w:color w:val="000000"/>
                <w:sz w:val="22"/>
                <w:szCs w:val="22"/>
              </w:rPr>
              <w:t>-</w:t>
            </w:r>
            <w:r w:rsidRPr="00541520">
              <w:rPr>
                <w:rFonts w:ascii="Times New Roman" w:hAnsi="Times New Roman" w:cs="Times New Roman"/>
                <w:sz w:val="22"/>
                <w:szCs w:val="22"/>
              </w:rPr>
              <w:t>anaerobik amonyum oksidasyonu</w:t>
            </w:r>
          </w:p>
        </w:tc>
        <w:tc>
          <w:tcPr>
            <w:tcW w:w="1536" w:type="pct"/>
            <w:vMerge/>
            <w:vAlign w:val="center"/>
          </w:tcPr>
          <w:p w14:paraId="6325B85F" w14:textId="77777777" w:rsidR="003B155E" w:rsidRPr="00541520" w:rsidRDefault="003B155E" w:rsidP="000D79D6">
            <w:pPr>
              <w:widowControl w:val="0"/>
              <w:tabs>
                <w:tab w:val="left" w:pos="562"/>
              </w:tabs>
              <w:rPr>
                <w:rFonts w:ascii="Times New Roman" w:hAnsi="Times New Roman" w:cs="Times New Roman"/>
                <w:color w:val="000000"/>
                <w:sz w:val="22"/>
                <w:szCs w:val="22"/>
              </w:rPr>
            </w:pPr>
          </w:p>
        </w:tc>
        <w:tc>
          <w:tcPr>
            <w:tcW w:w="1647" w:type="pct"/>
            <w:vAlign w:val="center"/>
          </w:tcPr>
          <w:p w14:paraId="391EFEC3" w14:textId="77777777" w:rsidR="003B155E" w:rsidRPr="00541520" w:rsidRDefault="003B155E" w:rsidP="000D79D6">
            <w:pPr>
              <w:widowControl w:val="0"/>
              <w:shd w:val="clear" w:color="auto" w:fill="FFFFFF"/>
              <w:rPr>
                <w:rFonts w:ascii="Times New Roman" w:hAnsi="Times New Roman" w:cs="Times New Roman"/>
                <w:sz w:val="22"/>
                <w:szCs w:val="22"/>
              </w:rPr>
            </w:pPr>
            <w:r w:rsidRPr="00541520">
              <w:rPr>
                <w:rFonts w:ascii="Times New Roman" w:hAnsi="Times New Roman" w:cs="Times New Roman"/>
                <w:sz w:val="22"/>
                <w:szCs w:val="22"/>
              </w:rPr>
              <w:t>Atıksu sıcaklığı düşük olduğunda uygulanamayabilir.</w:t>
            </w:r>
          </w:p>
        </w:tc>
      </w:tr>
      <w:tr w:rsidR="003B155E" w:rsidRPr="00541520" w14:paraId="1C74CFC4" w14:textId="77777777" w:rsidTr="000D79D6">
        <w:tc>
          <w:tcPr>
            <w:tcW w:w="5000" w:type="pct"/>
            <w:gridSpan w:val="4"/>
            <w:vAlign w:val="center"/>
          </w:tcPr>
          <w:p w14:paraId="7278B997" w14:textId="77777777" w:rsidR="003B155E" w:rsidRPr="00541520" w:rsidRDefault="003B155E" w:rsidP="000D79D6">
            <w:pPr>
              <w:widowControl w:val="0"/>
              <w:rPr>
                <w:rFonts w:ascii="Times New Roman" w:hAnsi="Times New Roman" w:cs="Times New Roman"/>
                <w:color w:val="000000"/>
                <w:sz w:val="22"/>
                <w:szCs w:val="22"/>
              </w:rPr>
            </w:pPr>
            <w:r w:rsidRPr="00541520">
              <w:rPr>
                <w:rFonts w:ascii="Times New Roman" w:hAnsi="Times New Roman" w:cs="Times New Roman"/>
                <w:color w:val="000000"/>
                <w:sz w:val="22"/>
                <w:szCs w:val="22"/>
              </w:rPr>
              <w:t>Fosfor geri kazanımı ve/veya giderimi</w:t>
            </w:r>
          </w:p>
        </w:tc>
      </w:tr>
      <w:tr w:rsidR="003B155E" w:rsidRPr="00541520" w14:paraId="14FE081F" w14:textId="77777777" w:rsidTr="000D79D6">
        <w:tc>
          <w:tcPr>
            <w:tcW w:w="286" w:type="pct"/>
            <w:vAlign w:val="center"/>
          </w:tcPr>
          <w:p w14:paraId="48535A0F"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(g)</w:t>
            </w:r>
          </w:p>
        </w:tc>
        <w:tc>
          <w:tcPr>
            <w:tcW w:w="1531" w:type="pct"/>
            <w:vAlign w:val="center"/>
          </w:tcPr>
          <w:p w14:paraId="40B2D2B5"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sz w:val="22"/>
                <w:szCs w:val="22"/>
              </w:rPr>
              <w:t>Strüvit olarak fosfor geri kazanımı</w:t>
            </w:r>
          </w:p>
        </w:tc>
        <w:tc>
          <w:tcPr>
            <w:tcW w:w="1536" w:type="pct"/>
            <w:vMerge w:val="restart"/>
            <w:vAlign w:val="center"/>
          </w:tcPr>
          <w:p w14:paraId="274A3AC1" w14:textId="77777777" w:rsidR="003B155E" w:rsidRPr="00541520" w:rsidRDefault="003B155E" w:rsidP="000D79D6">
            <w:pPr>
              <w:widowControl w:val="0"/>
              <w:shd w:val="clear" w:color="auto" w:fill="FFFFFF"/>
              <w:rPr>
                <w:rFonts w:ascii="Times New Roman" w:hAnsi="Times New Roman" w:cs="Times New Roman"/>
                <w:sz w:val="22"/>
                <w:szCs w:val="22"/>
              </w:rPr>
            </w:pPr>
            <w:r w:rsidRPr="00541520">
              <w:rPr>
                <w:rFonts w:ascii="Times New Roman" w:hAnsi="Times New Roman" w:cs="Times New Roman"/>
                <w:color w:val="000000"/>
                <w:sz w:val="22"/>
                <w:szCs w:val="22"/>
              </w:rPr>
              <w:t>Toplam fosforu kapsamaktadır.</w:t>
            </w:r>
          </w:p>
        </w:tc>
        <w:tc>
          <w:tcPr>
            <w:tcW w:w="1647" w:type="pct"/>
            <w:vAlign w:val="center"/>
          </w:tcPr>
          <w:p w14:paraId="65BCBF26"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Yalnızca yüksek toplam fosfor içeriğine (örn. 50 mg/l’nin üzerinde) ve önemli bir akışa sahip atıksu akışları için geçerlidir.</w:t>
            </w:r>
          </w:p>
        </w:tc>
      </w:tr>
      <w:tr w:rsidR="003B155E" w:rsidRPr="00541520" w14:paraId="76F055D6" w14:textId="77777777" w:rsidTr="000D79D6">
        <w:tc>
          <w:tcPr>
            <w:tcW w:w="286" w:type="pct"/>
            <w:vAlign w:val="center"/>
          </w:tcPr>
          <w:p w14:paraId="708A55A4"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(h)</w:t>
            </w:r>
          </w:p>
        </w:tc>
        <w:tc>
          <w:tcPr>
            <w:tcW w:w="1531" w:type="pct"/>
            <w:vAlign w:val="center"/>
          </w:tcPr>
          <w:p w14:paraId="06046041"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color w:val="000000"/>
                <w:sz w:val="22"/>
                <w:szCs w:val="22"/>
              </w:rPr>
              <w:t>Çök</w:t>
            </w:r>
            <w:r w:rsidRPr="00541520">
              <w:rPr>
                <w:rFonts w:ascii="Times New Roman" w:hAnsi="Times New Roman" w:cs="Times New Roman"/>
                <w:sz w:val="22"/>
                <w:szCs w:val="22"/>
              </w:rPr>
              <w:t>türme</w:t>
            </w:r>
          </w:p>
        </w:tc>
        <w:tc>
          <w:tcPr>
            <w:tcW w:w="1536" w:type="pct"/>
            <w:vMerge/>
            <w:vAlign w:val="center"/>
          </w:tcPr>
          <w:p w14:paraId="70ED51D6" w14:textId="77777777" w:rsidR="003B155E" w:rsidRPr="00541520" w:rsidRDefault="003B155E" w:rsidP="000D79D6">
            <w:pPr>
              <w:widowControl w:val="0"/>
              <w:shd w:val="clear" w:color="auto" w:fill="FFFFFF"/>
              <w:rPr>
                <w:rFonts w:ascii="Times New Roman" w:hAnsi="Times New Roman" w:cs="Times New Roman"/>
                <w:sz w:val="22"/>
                <w:szCs w:val="22"/>
              </w:rPr>
            </w:pPr>
          </w:p>
        </w:tc>
        <w:tc>
          <w:tcPr>
            <w:tcW w:w="1647" w:type="pct"/>
            <w:vMerge w:val="restart"/>
            <w:vAlign w:val="center"/>
          </w:tcPr>
          <w:p w14:paraId="5B696FBC" w14:textId="77777777" w:rsidR="003B155E" w:rsidRPr="00541520" w:rsidRDefault="003B155E" w:rsidP="000D79D6">
            <w:pPr>
              <w:widowControl w:val="0"/>
              <w:shd w:val="clear" w:color="auto" w:fill="FFFFFF"/>
              <w:rPr>
                <w:rFonts w:ascii="Times New Roman" w:hAnsi="Times New Roman" w:cs="Times New Roman"/>
                <w:sz w:val="22"/>
                <w:szCs w:val="22"/>
              </w:rPr>
            </w:pPr>
            <w:r w:rsidRPr="00541520">
              <w:rPr>
                <w:rFonts w:ascii="Times New Roman" w:hAnsi="Times New Roman" w:cs="Times New Roman"/>
                <w:sz w:val="22"/>
                <w:szCs w:val="22"/>
              </w:rPr>
              <w:t>Genel olarak uygulanabilir.</w:t>
            </w:r>
          </w:p>
        </w:tc>
      </w:tr>
      <w:tr w:rsidR="003B155E" w:rsidRPr="00541520" w14:paraId="7769B8F7" w14:textId="77777777" w:rsidTr="000D79D6">
        <w:tc>
          <w:tcPr>
            <w:tcW w:w="286" w:type="pct"/>
            <w:vAlign w:val="center"/>
          </w:tcPr>
          <w:p w14:paraId="7D19EB13"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(i)</w:t>
            </w:r>
          </w:p>
        </w:tc>
        <w:tc>
          <w:tcPr>
            <w:tcW w:w="1531" w:type="pct"/>
            <w:vAlign w:val="center"/>
          </w:tcPr>
          <w:p w14:paraId="665C2D50"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color w:val="000000"/>
                <w:sz w:val="22"/>
                <w:szCs w:val="22"/>
              </w:rPr>
              <w:t>İle</w:t>
            </w:r>
            <w:r w:rsidRPr="00541520">
              <w:rPr>
                <w:rFonts w:ascii="Times New Roman" w:hAnsi="Times New Roman" w:cs="Times New Roman"/>
                <w:sz w:val="22"/>
                <w:szCs w:val="22"/>
              </w:rPr>
              <w:t>ri biyolojik fosfor giderimi</w:t>
            </w:r>
          </w:p>
        </w:tc>
        <w:tc>
          <w:tcPr>
            <w:tcW w:w="1536" w:type="pct"/>
            <w:vMerge/>
            <w:vAlign w:val="center"/>
          </w:tcPr>
          <w:p w14:paraId="7943482D" w14:textId="77777777" w:rsidR="003B155E" w:rsidRPr="00541520" w:rsidRDefault="003B155E" w:rsidP="000D79D6">
            <w:pPr>
              <w:widowControl w:val="0"/>
              <w:shd w:val="clear" w:color="auto" w:fill="FFFFFF"/>
              <w:rPr>
                <w:rFonts w:ascii="Times New Roman" w:hAnsi="Times New Roman" w:cs="Times New Roman"/>
                <w:color w:val="000000"/>
                <w:sz w:val="22"/>
                <w:szCs w:val="22"/>
              </w:rPr>
            </w:pPr>
          </w:p>
        </w:tc>
        <w:tc>
          <w:tcPr>
            <w:tcW w:w="1647" w:type="pct"/>
            <w:vMerge/>
            <w:vAlign w:val="center"/>
          </w:tcPr>
          <w:p w14:paraId="2534D8B1" w14:textId="77777777" w:rsidR="003B155E" w:rsidRPr="00541520" w:rsidRDefault="003B155E" w:rsidP="000D79D6">
            <w:pPr>
              <w:widowControl w:val="0"/>
              <w:shd w:val="clear" w:color="auto" w:fill="FFFFFF"/>
              <w:rPr>
                <w:rFonts w:ascii="Times New Roman" w:hAnsi="Times New Roman" w:cs="Times New Roman"/>
                <w:sz w:val="22"/>
                <w:szCs w:val="22"/>
              </w:rPr>
            </w:pPr>
          </w:p>
        </w:tc>
      </w:tr>
      <w:tr w:rsidR="003B155E" w:rsidRPr="00541520" w14:paraId="00F1C2C7" w14:textId="77777777" w:rsidTr="000D79D6">
        <w:tc>
          <w:tcPr>
            <w:tcW w:w="5000" w:type="pct"/>
            <w:gridSpan w:val="4"/>
            <w:vAlign w:val="center"/>
          </w:tcPr>
          <w:p w14:paraId="2DE9E48D" w14:textId="77777777" w:rsidR="003B155E" w:rsidRPr="00541520" w:rsidRDefault="003B155E" w:rsidP="000D79D6">
            <w:pPr>
              <w:widowControl w:val="0"/>
              <w:rPr>
                <w:rFonts w:ascii="Times New Roman" w:hAnsi="Times New Roman" w:cs="Times New Roman"/>
                <w:color w:val="000000"/>
                <w:sz w:val="22"/>
                <w:szCs w:val="22"/>
              </w:rPr>
            </w:pPr>
            <w:r w:rsidRPr="00541520">
              <w:rPr>
                <w:rFonts w:ascii="Times New Roman" w:hAnsi="Times New Roman" w:cs="Times New Roman"/>
                <w:color w:val="000000"/>
                <w:sz w:val="22"/>
                <w:szCs w:val="22"/>
              </w:rPr>
              <w:t>Nihai katıların uzaklaştırılması</w:t>
            </w:r>
          </w:p>
        </w:tc>
      </w:tr>
      <w:tr w:rsidR="003B155E" w:rsidRPr="00541520" w14:paraId="24BAD36F" w14:textId="77777777" w:rsidTr="000D79D6">
        <w:tc>
          <w:tcPr>
            <w:tcW w:w="286" w:type="pct"/>
            <w:vAlign w:val="center"/>
          </w:tcPr>
          <w:p w14:paraId="55C9FFB1"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(j)</w:t>
            </w:r>
          </w:p>
        </w:tc>
        <w:tc>
          <w:tcPr>
            <w:tcW w:w="1531" w:type="pct"/>
            <w:vAlign w:val="center"/>
          </w:tcPr>
          <w:p w14:paraId="41631A5E"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color w:val="000000"/>
                <w:sz w:val="22"/>
                <w:szCs w:val="22"/>
              </w:rPr>
              <w:t>Koagülasyon ve flokülasyon</w:t>
            </w:r>
          </w:p>
        </w:tc>
        <w:tc>
          <w:tcPr>
            <w:tcW w:w="1536" w:type="pct"/>
            <w:vMerge w:val="restart"/>
            <w:vAlign w:val="center"/>
          </w:tcPr>
          <w:p w14:paraId="11F77120" w14:textId="77777777" w:rsidR="003B155E" w:rsidRPr="00541520" w:rsidRDefault="003B155E" w:rsidP="000D79D6">
            <w:pPr>
              <w:widowControl w:val="0"/>
              <w:shd w:val="clear" w:color="auto" w:fill="FFFFFF"/>
              <w:rPr>
                <w:rFonts w:ascii="Times New Roman" w:hAnsi="Times New Roman" w:cs="Times New Roman"/>
                <w:color w:val="000000"/>
                <w:sz w:val="22"/>
                <w:szCs w:val="22"/>
              </w:rPr>
            </w:pPr>
            <w:r w:rsidRPr="00541520">
              <w:rPr>
                <w:rFonts w:ascii="Times New Roman" w:hAnsi="Times New Roman" w:cs="Times New Roman"/>
                <w:color w:val="000000"/>
                <w:sz w:val="22"/>
                <w:szCs w:val="22"/>
              </w:rPr>
              <w:t>Askıda katı maddeleri kapsamaktadır.</w:t>
            </w:r>
          </w:p>
        </w:tc>
        <w:tc>
          <w:tcPr>
            <w:tcW w:w="1647" w:type="pct"/>
            <w:vMerge w:val="restart"/>
            <w:vAlign w:val="center"/>
          </w:tcPr>
          <w:p w14:paraId="5CBB9E75" w14:textId="77777777" w:rsidR="003B155E" w:rsidRPr="00541520" w:rsidRDefault="003B155E" w:rsidP="000D79D6">
            <w:pPr>
              <w:widowControl w:val="0"/>
              <w:shd w:val="clear" w:color="auto" w:fill="FFFFFF"/>
              <w:rPr>
                <w:rFonts w:ascii="Times New Roman" w:hAnsi="Times New Roman" w:cs="Times New Roman"/>
                <w:sz w:val="22"/>
                <w:szCs w:val="22"/>
              </w:rPr>
            </w:pPr>
            <w:r w:rsidRPr="00541520">
              <w:rPr>
                <w:rFonts w:ascii="Times New Roman" w:hAnsi="Times New Roman" w:cs="Times New Roman"/>
                <w:sz w:val="22"/>
                <w:szCs w:val="22"/>
              </w:rPr>
              <w:t>Genel olarak uygulanabilir.</w:t>
            </w:r>
          </w:p>
        </w:tc>
      </w:tr>
      <w:tr w:rsidR="003B155E" w:rsidRPr="00541520" w14:paraId="6856BCA0" w14:textId="77777777" w:rsidTr="000D79D6">
        <w:tc>
          <w:tcPr>
            <w:tcW w:w="286" w:type="pct"/>
            <w:vAlign w:val="center"/>
          </w:tcPr>
          <w:p w14:paraId="2E4E1680"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(k)</w:t>
            </w:r>
          </w:p>
        </w:tc>
        <w:tc>
          <w:tcPr>
            <w:tcW w:w="1531" w:type="pct"/>
            <w:vAlign w:val="center"/>
          </w:tcPr>
          <w:p w14:paraId="04C209CA"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color w:val="000000"/>
                <w:sz w:val="22"/>
                <w:szCs w:val="22"/>
              </w:rPr>
              <w:t>Sedimentasyon</w:t>
            </w:r>
          </w:p>
        </w:tc>
        <w:tc>
          <w:tcPr>
            <w:tcW w:w="1536" w:type="pct"/>
            <w:vMerge/>
            <w:vAlign w:val="center"/>
          </w:tcPr>
          <w:p w14:paraId="22FE4355" w14:textId="77777777" w:rsidR="003B155E" w:rsidRPr="00541520" w:rsidRDefault="003B155E" w:rsidP="000D79D6">
            <w:pPr>
              <w:widowControl w:val="0"/>
              <w:shd w:val="clear" w:color="auto" w:fill="FFFFFF"/>
              <w:rPr>
                <w:rFonts w:ascii="Times New Roman" w:hAnsi="Times New Roman" w:cs="Times New Roman"/>
                <w:color w:val="000000"/>
                <w:sz w:val="22"/>
                <w:szCs w:val="22"/>
              </w:rPr>
            </w:pPr>
          </w:p>
        </w:tc>
        <w:tc>
          <w:tcPr>
            <w:tcW w:w="1647" w:type="pct"/>
            <w:vMerge/>
            <w:vAlign w:val="center"/>
          </w:tcPr>
          <w:p w14:paraId="0F69C928" w14:textId="77777777" w:rsidR="003B155E" w:rsidRPr="00541520" w:rsidRDefault="003B155E" w:rsidP="000D79D6">
            <w:pPr>
              <w:widowControl w:val="0"/>
              <w:tabs>
                <w:tab w:val="left" w:pos="562"/>
              </w:tabs>
              <w:rPr>
                <w:rFonts w:ascii="Times New Roman" w:hAnsi="Times New Roman" w:cs="Times New Roman"/>
                <w:sz w:val="22"/>
                <w:szCs w:val="22"/>
              </w:rPr>
            </w:pPr>
          </w:p>
        </w:tc>
      </w:tr>
      <w:tr w:rsidR="003B155E" w:rsidRPr="00541520" w14:paraId="3F5A73D7" w14:textId="77777777" w:rsidTr="000D79D6">
        <w:tc>
          <w:tcPr>
            <w:tcW w:w="286" w:type="pct"/>
            <w:vAlign w:val="center"/>
          </w:tcPr>
          <w:p w14:paraId="628F2FB2"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(l)</w:t>
            </w:r>
          </w:p>
        </w:tc>
        <w:tc>
          <w:tcPr>
            <w:tcW w:w="1531" w:type="pct"/>
            <w:vAlign w:val="center"/>
          </w:tcPr>
          <w:p w14:paraId="2A25BD3F"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color w:val="000000"/>
                <w:sz w:val="22"/>
                <w:szCs w:val="22"/>
              </w:rPr>
              <w:t>Filtrasyon (örneğin kum filtrasyonu, mikrofiltrasyon, ultrafiltrasyon)</w:t>
            </w:r>
          </w:p>
        </w:tc>
        <w:tc>
          <w:tcPr>
            <w:tcW w:w="1536" w:type="pct"/>
            <w:vMerge/>
            <w:vAlign w:val="center"/>
          </w:tcPr>
          <w:p w14:paraId="04D9DDDA" w14:textId="77777777" w:rsidR="003B155E" w:rsidRPr="00541520" w:rsidRDefault="003B155E" w:rsidP="000D79D6">
            <w:pPr>
              <w:widowControl w:val="0"/>
              <w:shd w:val="clear" w:color="auto" w:fill="FFFFFF"/>
              <w:rPr>
                <w:rFonts w:ascii="Times New Roman" w:hAnsi="Times New Roman" w:cs="Times New Roman"/>
                <w:color w:val="000000"/>
                <w:sz w:val="22"/>
                <w:szCs w:val="22"/>
              </w:rPr>
            </w:pPr>
          </w:p>
        </w:tc>
        <w:tc>
          <w:tcPr>
            <w:tcW w:w="1647" w:type="pct"/>
            <w:vMerge/>
            <w:vAlign w:val="center"/>
          </w:tcPr>
          <w:p w14:paraId="35209E02" w14:textId="77777777" w:rsidR="003B155E" w:rsidRPr="00541520" w:rsidRDefault="003B155E" w:rsidP="000D79D6">
            <w:pPr>
              <w:widowControl w:val="0"/>
              <w:tabs>
                <w:tab w:val="left" w:pos="562"/>
              </w:tabs>
              <w:rPr>
                <w:rFonts w:ascii="Times New Roman" w:hAnsi="Times New Roman" w:cs="Times New Roman"/>
                <w:sz w:val="22"/>
                <w:szCs w:val="22"/>
              </w:rPr>
            </w:pPr>
          </w:p>
        </w:tc>
      </w:tr>
      <w:tr w:rsidR="003B155E" w:rsidRPr="00541520" w14:paraId="0B2C13DD" w14:textId="77777777" w:rsidTr="000D79D6">
        <w:tc>
          <w:tcPr>
            <w:tcW w:w="286" w:type="pct"/>
            <w:vAlign w:val="center"/>
          </w:tcPr>
          <w:p w14:paraId="0C1AD307"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(m)</w:t>
            </w:r>
          </w:p>
        </w:tc>
        <w:tc>
          <w:tcPr>
            <w:tcW w:w="1531" w:type="pct"/>
            <w:vAlign w:val="center"/>
          </w:tcPr>
          <w:p w14:paraId="7C1E77CD" w14:textId="77777777" w:rsidR="003B155E" w:rsidRPr="00541520" w:rsidRDefault="003B155E" w:rsidP="000D79D6">
            <w:pPr>
              <w:widowControl w:val="0"/>
              <w:tabs>
                <w:tab w:val="left" w:pos="562"/>
              </w:tabs>
              <w:rPr>
                <w:rFonts w:ascii="Times New Roman" w:hAnsi="Times New Roman" w:cs="Times New Roman"/>
                <w:color w:val="000000"/>
                <w:sz w:val="22"/>
                <w:szCs w:val="22"/>
              </w:rPr>
            </w:pPr>
            <w:r w:rsidRPr="00541520">
              <w:rPr>
                <w:rFonts w:ascii="Times New Roman" w:hAnsi="Times New Roman" w:cs="Times New Roman"/>
                <w:color w:val="000000"/>
                <w:sz w:val="22"/>
                <w:szCs w:val="22"/>
              </w:rPr>
              <w:t>Flotasyon</w:t>
            </w:r>
          </w:p>
        </w:tc>
        <w:tc>
          <w:tcPr>
            <w:tcW w:w="1536" w:type="pct"/>
            <w:vMerge/>
            <w:vAlign w:val="center"/>
          </w:tcPr>
          <w:p w14:paraId="37E6DF85" w14:textId="77777777" w:rsidR="003B155E" w:rsidRPr="00541520" w:rsidRDefault="003B155E" w:rsidP="000D79D6">
            <w:pPr>
              <w:widowControl w:val="0"/>
              <w:shd w:val="clear" w:color="auto" w:fill="FFFFFF"/>
              <w:rPr>
                <w:rFonts w:ascii="Times New Roman" w:hAnsi="Times New Roman" w:cs="Times New Roman"/>
                <w:color w:val="000000"/>
                <w:sz w:val="22"/>
                <w:szCs w:val="22"/>
              </w:rPr>
            </w:pPr>
          </w:p>
        </w:tc>
        <w:tc>
          <w:tcPr>
            <w:tcW w:w="1647" w:type="pct"/>
            <w:vMerge/>
            <w:vAlign w:val="center"/>
          </w:tcPr>
          <w:p w14:paraId="2F19C876" w14:textId="77777777" w:rsidR="003B155E" w:rsidRPr="00541520" w:rsidRDefault="003B155E" w:rsidP="000D79D6">
            <w:pPr>
              <w:widowControl w:val="0"/>
              <w:tabs>
                <w:tab w:val="left" w:pos="562"/>
              </w:tabs>
              <w:rPr>
                <w:rFonts w:ascii="Times New Roman" w:hAnsi="Times New Roman" w:cs="Times New Roman"/>
                <w:sz w:val="22"/>
                <w:szCs w:val="22"/>
              </w:rPr>
            </w:pPr>
          </w:p>
        </w:tc>
      </w:tr>
      <w:tr w:rsidR="003B155E" w:rsidRPr="00541520" w14:paraId="43A22C15" w14:textId="77777777" w:rsidTr="000D79D6">
        <w:trPr>
          <w:trHeight w:val="305"/>
        </w:trPr>
        <w:tc>
          <w:tcPr>
            <w:tcW w:w="5000" w:type="pct"/>
            <w:gridSpan w:val="4"/>
            <w:vAlign w:val="center"/>
          </w:tcPr>
          <w:p w14:paraId="3502B338" w14:textId="77777777" w:rsidR="003B155E" w:rsidRPr="00541520" w:rsidRDefault="003B155E" w:rsidP="000D79D6">
            <w:pPr>
              <w:widowControl w:val="0"/>
              <w:tabs>
                <w:tab w:val="left" w:pos="562"/>
              </w:tabs>
              <w:rPr>
                <w:rFonts w:ascii="Times New Roman" w:hAnsi="Times New Roman" w:cs="Times New Roman"/>
                <w:sz w:val="22"/>
                <w:szCs w:val="22"/>
              </w:rPr>
            </w:pPr>
            <w:r w:rsidRPr="00541520">
              <w:rPr>
                <w:rFonts w:ascii="Times New Roman" w:hAnsi="Times New Roman" w:cs="Times New Roman"/>
                <w:sz w:val="22"/>
                <w:szCs w:val="22"/>
              </w:rPr>
              <w:t>(</w:t>
            </w:r>
            <w:r w:rsidRPr="00541520">
              <w:rPr>
                <w:rFonts w:ascii="Times New Roman" w:hAnsi="Times New Roman" w:cs="Times New Roman"/>
                <w:sz w:val="22"/>
                <w:szCs w:val="22"/>
                <w:vertAlign w:val="superscript"/>
              </w:rPr>
              <w:t>1</w:t>
            </w:r>
            <w:r w:rsidRPr="00541520">
              <w:rPr>
                <w:rFonts w:ascii="Times New Roman" w:hAnsi="Times New Roman" w:cs="Times New Roman"/>
                <w:sz w:val="22"/>
                <w:szCs w:val="22"/>
              </w:rPr>
              <w:t>) Tekniklerin açıklamaları Bölüm 14.1'de verilmiştir.</w:t>
            </w:r>
          </w:p>
        </w:tc>
      </w:tr>
    </w:tbl>
    <w:p w14:paraId="783D0067" w14:textId="77777777" w:rsidR="003B155E" w:rsidRPr="002C07D9" w:rsidRDefault="003B155E" w:rsidP="003B155E">
      <w:pPr>
        <w:widowControl w:val="0"/>
        <w:spacing w:after="12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 xml:space="preserve">Tablo 1’de suya verilen kirleticiler için MET ilişkili emisyon seviyeleri (MET-İES), alıcı su kütlesine doğrudan kirleticiler için geçerlidir. </w:t>
      </w:r>
    </w:p>
    <w:p w14:paraId="57455997" w14:textId="77777777" w:rsidR="003B155E" w:rsidRPr="002C07D9" w:rsidRDefault="003B155E" w:rsidP="003B155E">
      <w:pPr>
        <w:widowControl w:val="0"/>
        <w:spacing w:after="12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MET-İES, kirleticinin tesis çıkış noktasında geçerlidir.</w:t>
      </w:r>
    </w:p>
    <w:p w14:paraId="276A5C97"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5333FEC6"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01069E01"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66A45248"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0D134416"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07736769"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1F31EF0"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2D5A8CF2"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2F83F5A2"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7C25FFE8"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58AFE88E"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203E673A"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5F638A82"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A251C79"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59B81141"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52FA5A5D" w14:textId="77777777" w:rsidR="00541520" w:rsidRDefault="00541520"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A8ADE88" w14:textId="057ACC40"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2C07D9">
        <w:rPr>
          <w:rFonts w:ascii="Times New Roman" w:eastAsia="Times New Roman" w:hAnsi="Times New Roman" w:cs="Times New Roman"/>
          <w:bCs/>
          <w:spacing w:val="2"/>
          <w:kern w:val="0"/>
          <w:sz w:val="24"/>
          <w:lang w:bidi="tr-TR"/>
          <w14:ligatures w14:val="none"/>
        </w:rPr>
        <w:lastRenderedPageBreak/>
        <w:t>Tablo 1</w:t>
      </w:r>
    </w:p>
    <w:p w14:paraId="5C87D7BA" w14:textId="77777777" w:rsidR="003B155E" w:rsidRPr="002C07D9" w:rsidRDefault="003B155E" w:rsidP="003B155E">
      <w:pPr>
        <w:spacing w:after="0" w:line="276" w:lineRule="auto"/>
        <w:jc w:val="both"/>
        <w:rPr>
          <w:rFonts w:ascii="Times New Roman" w:eastAsia="Times New Roman" w:hAnsi="Times New Roman" w:cs="Times New Roman"/>
          <w:spacing w:val="2"/>
          <w:kern w:val="0"/>
          <w:sz w:val="24"/>
          <w:lang w:bidi="tr-TR"/>
          <w14:ligatures w14:val="none"/>
        </w:rPr>
      </w:pPr>
      <w:r w:rsidRPr="002C07D9">
        <w:rPr>
          <w:rFonts w:ascii="Times New Roman" w:eastAsia="Times New Roman" w:hAnsi="Times New Roman" w:cs="Times New Roman"/>
          <w:spacing w:val="2"/>
          <w:kern w:val="0"/>
          <w:sz w:val="24"/>
          <w:lang w:bidi="tr-TR"/>
          <w14:ligatures w14:val="none"/>
        </w:rPr>
        <w:t>Alıcı su kütlesine doğrudan kirleticiler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31"/>
        <w:gridCol w:w="4531"/>
      </w:tblGrid>
      <w:tr w:rsidR="003B155E" w:rsidRPr="002C07D9" w14:paraId="44DF1014" w14:textId="77777777" w:rsidTr="000D79D6">
        <w:tc>
          <w:tcPr>
            <w:tcW w:w="2500" w:type="pct"/>
          </w:tcPr>
          <w:p w14:paraId="626BEFFB"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2500" w:type="pct"/>
          </w:tcPr>
          <w:p w14:paraId="61E2623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(günlük ortalama)</w:t>
            </w:r>
          </w:p>
        </w:tc>
      </w:tr>
      <w:tr w:rsidR="003B155E" w:rsidRPr="002C07D9" w14:paraId="468AE3C8" w14:textId="77777777" w:rsidTr="000D79D6">
        <w:tc>
          <w:tcPr>
            <w:tcW w:w="2500" w:type="pct"/>
          </w:tcPr>
          <w:p w14:paraId="3C78B445"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Kimyasal oksijen ihtiyacı (KOİ)</w:t>
            </w:r>
          </w:p>
        </w:tc>
        <w:tc>
          <w:tcPr>
            <w:tcW w:w="2500" w:type="pct"/>
          </w:tcPr>
          <w:p w14:paraId="7DA88F35"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25-100 mg/l</w:t>
            </w:r>
          </w:p>
        </w:tc>
      </w:tr>
      <w:tr w:rsidR="003B155E" w:rsidRPr="002C07D9" w14:paraId="40AC1BD8" w14:textId="77777777" w:rsidTr="000D79D6">
        <w:tc>
          <w:tcPr>
            <w:tcW w:w="2500" w:type="pct"/>
          </w:tcPr>
          <w:p w14:paraId="59514F7D"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Toplam askıda katı maddeler (TSS)</w:t>
            </w:r>
          </w:p>
        </w:tc>
        <w:tc>
          <w:tcPr>
            <w:tcW w:w="2500" w:type="pct"/>
          </w:tcPr>
          <w:p w14:paraId="1F635477"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4-50 mg/l</w:t>
            </w:r>
          </w:p>
        </w:tc>
      </w:tr>
      <w:tr w:rsidR="003B155E" w:rsidRPr="002C07D9" w14:paraId="12DD2C19" w14:textId="77777777" w:rsidTr="000D79D6">
        <w:tc>
          <w:tcPr>
            <w:tcW w:w="2500" w:type="pct"/>
          </w:tcPr>
          <w:p w14:paraId="25B4F34E"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Toplam azot (TN)</w:t>
            </w:r>
          </w:p>
        </w:tc>
        <w:tc>
          <w:tcPr>
            <w:tcW w:w="2500" w:type="pct"/>
          </w:tcPr>
          <w:p w14:paraId="29E6B5E7"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2-20 mg/l</w:t>
            </w:r>
          </w:p>
        </w:tc>
      </w:tr>
      <w:tr w:rsidR="003B155E" w:rsidRPr="002C07D9" w14:paraId="3B5BF51F" w14:textId="77777777" w:rsidTr="000D79D6">
        <w:tc>
          <w:tcPr>
            <w:tcW w:w="2500" w:type="pct"/>
          </w:tcPr>
          <w:p w14:paraId="49F17201"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Toplam fosfor (TP)</w:t>
            </w:r>
          </w:p>
        </w:tc>
        <w:tc>
          <w:tcPr>
            <w:tcW w:w="2500" w:type="pct"/>
          </w:tcPr>
          <w:p w14:paraId="4EAF6FAC"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0,2-2 mg/l</w:t>
            </w:r>
          </w:p>
        </w:tc>
      </w:tr>
      <w:tr w:rsidR="003B155E" w:rsidRPr="002C07D9" w14:paraId="786A3906" w14:textId="77777777" w:rsidTr="000D79D6">
        <w:tc>
          <w:tcPr>
            <w:tcW w:w="5000" w:type="pct"/>
            <w:gridSpan w:val="2"/>
          </w:tcPr>
          <w:p w14:paraId="51D785B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MET-İES tahıl öğütme, yeşil yem işleme, kuru evcil hayvan maması ve karma yem üretimi kaynaklı kirliliklere uygulanmaz.</w:t>
            </w:r>
          </w:p>
          <w:p w14:paraId="5431CD6B"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MET-İES’ler sitrik asit veya maya üretimine uygulanmayabilir.</w:t>
            </w:r>
          </w:p>
          <w:p w14:paraId="15A25917" w14:textId="77777777" w:rsidR="003B155E" w:rsidRPr="002C07D9"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3</w:t>
            </w:r>
            <w:r w:rsidRPr="002C07D9">
              <w:rPr>
                <w:rFonts w:ascii="Times New Roman" w:eastAsia="Times New Roman" w:hAnsi="Times New Roman" w:cs="Courier New"/>
                <w:color w:val="000000"/>
                <w:kern w:val="0"/>
                <w:sz w:val="20"/>
                <w:szCs w:val="20"/>
                <w:lang w:eastAsia="tr-TR"/>
                <w14:ligatures w14:val="none"/>
              </w:rPr>
              <w:t xml:space="preserve">) BOI için MET-İES uygulanmaz. Bir gösterge olarak, biyolojik atıksu arıtma tesisinden çıkan </w:t>
            </w:r>
            <w:r w:rsidR="00A52C19">
              <w:rPr>
                <w:rFonts w:ascii="Times New Roman" w:eastAsia="Times New Roman" w:hAnsi="Times New Roman" w:cs="Courier New"/>
                <w:color w:val="000000"/>
                <w:kern w:val="0"/>
                <w:sz w:val="20"/>
                <w:szCs w:val="20"/>
                <w:lang w:eastAsia="tr-TR"/>
                <w14:ligatures w14:val="none"/>
              </w:rPr>
              <w:t>atıksudaki</w:t>
            </w:r>
            <w:r w:rsidRPr="002C07D9">
              <w:rPr>
                <w:rFonts w:ascii="Times New Roman" w:eastAsia="Times New Roman" w:hAnsi="Times New Roman" w:cs="Courier New"/>
                <w:color w:val="000000"/>
                <w:kern w:val="0"/>
                <w:sz w:val="20"/>
                <w:szCs w:val="20"/>
                <w:lang w:eastAsia="tr-TR"/>
                <w14:ligatures w14:val="none"/>
              </w:rPr>
              <w:t xml:space="preserve"> yıllık ortalama BOI5 seviyesi genellikle ≤ 20 mg/l olacaktır.</w:t>
            </w:r>
          </w:p>
          <w:p w14:paraId="10408B52" w14:textId="77777777" w:rsidR="003B155E" w:rsidRPr="002C07D9"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4</w:t>
            </w:r>
            <w:r w:rsidRPr="002C07D9">
              <w:rPr>
                <w:rFonts w:ascii="Times New Roman" w:eastAsia="Times New Roman" w:hAnsi="Times New Roman" w:cs="Courier New"/>
                <w:color w:val="000000"/>
                <w:kern w:val="0"/>
                <w:sz w:val="20"/>
                <w:szCs w:val="20"/>
                <w:lang w:eastAsia="tr-TR"/>
                <w14:ligatures w14:val="none"/>
              </w:rPr>
              <w:t>) KOİ için MET-İES, TOK için MET-İES ile değiştirilebilir. KOİ ve TOK arasındaki korelasyon vaka bazında belirlenir. TOK izleme çok toksik bileşiklerin kullanımına dayanmadığından TOK için MET-İES tercih edilen seçenektir.</w:t>
            </w:r>
          </w:p>
          <w:p w14:paraId="172D729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5</w:t>
            </w:r>
            <w:r w:rsidRPr="002C07D9">
              <w:rPr>
                <w:rFonts w:ascii="Times New Roman" w:eastAsia="Times New Roman" w:hAnsi="Times New Roman" w:cs="Courier New"/>
                <w:color w:val="000000"/>
                <w:kern w:val="0"/>
                <w:sz w:val="20"/>
                <w:szCs w:val="20"/>
                <w:lang w:eastAsia="tr-TR"/>
                <w14:ligatures w14:val="none"/>
              </w:rPr>
              <w:t>) Aralığın üst sınırı şudur: Süt ürünleri için 125 mg/l; Meyve ve sebze tesisleri için 120 mg/l; Yağlı tohum işleme ve bitkisel yağ rafinasyon tesisleri için 200 mg/l; Nişasta üretim tesisleri için 185 mg/l; Şeker üretim tesisleri için 155 mg/l; yalnızca azaltma verimliliği yıllık ortalama olarak veya üretim dönemi boyunca ortalama olarak %95 veya daha fazlaysa günlük ortalamalar olarak geçerlidir.</w:t>
            </w:r>
          </w:p>
          <w:p w14:paraId="45923F0F" w14:textId="77777777" w:rsidR="003B155E" w:rsidRPr="002C07D9"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6</w:t>
            </w:r>
            <w:r w:rsidRPr="002C07D9">
              <w:rPr>
                <w:rFonts w:ascii="Times New Roman" w:eastAsia="Times New Roman" w:hAnsi="Times New Roman" w:cs="Courier New"/>
                <w:color w:val="000000"/>
                <w:kern w:val="0"/>
                <w:sz w:val="20"/>
                <w:szCs w:val="20"/>
                <w:lang w:eastAsia="tr-TR"/>
                <w14:ligatures w14:val="none"/>
              </w:rPr>
              <w:t>) Aralığın minimum değeri genellikle filtrasyon (örneğin kum filtrasyonu, mikrofiltrasyon, membran biyoreaktör) kullanıldığında elde edilirken, maksimum değeri genellikle yalnızca sedimantasyon kullanıldığında elde edilir.</w:t>
            </w:r>
          </w:p>
          <w:p w14:paraId="1689F65F" w14:textId="77777777" w:rsidR="003B155E" w:rsidRPr="002C07D9"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7</w:t>
            </w:r>
            <w:r w:rsidRPr="002C07D9">
              <w:rPr>
                <w:rFonts w:ascii="Times New Roman" w:eastAsia="Times New Roman" w:hAnsi="Times New Roman" w:cs="Courier New"/>
                <w:color w:val="000000"/>
                <w:kern w:val="0"/>
                <w:sz w:val="20"/>
                <w:szCs w:val="20"/>
                <w:lang w:eastAsia="tr-TR"/>
                <w14:ligatures w14:val="none"/>
              </w:rPr>
              <w:t>) Maksimum değer yalnızca azaltma verimliliği yıllık ortalama olarak veya üretim dönemi boyunca ortalama olarak %80 veya daha fazlaysa günlük ortalama olarak 30 mg/l'dir.</w:t>
            </w:r>
          </w:p>
          <w:p w14:paraId="45BD5EC5" w14:textId="77777777" w:rsidR="003B155E" w:rsidRPr="002C07D9"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8</w:t>
            </w:r>
            <w:r w:rsidRPr="002C07D9">
              <w:rPr>
                <w:rFonts w:ascii="Times New Roman" w:eastAsia="Times New Roman" w:hAnsi="Times New Roman" w:cs="Courier New"/>
                <w:color w:val="000000"/>
                <w:kern w:val="0"/>
                <w:sz w:val="20"/>
                <w:szCs w:val="20"/>
                <w:lang w:eastAsia="tr-TR"/>
                <w14:ligatures w14:val="none"/>
              </w:rPr>
              <w:t>) Atıksuyun sıcaklığı uzun süreler boyunca düşük olduğunda (örneğin 12°C'nin altında) MET-İES uygulanmayabilir.</w:t>
            </w:r>
          </w:p>
          <w:p w14:paraId="0CE9979E" w14:textId="77777777" w:rsidR="003B155E" w:rsidRPr="002C07D9" w:rsidRDefault="003B155E" w:rsidP="000D79D6">
            <w:pPr>
              <w:widowControl w:val="0"/>
              <w:pBdr>
                <w:top w:val="nil"/>
                <w:left w:val="nil"/>
                <w:bottom w:val="nil"/>
                <w:right w:val="nil"/>
                <w:between w:val="nil"/>
              </w:pBdr>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9</w:t>
            </w:r>
            <w:r w:rsidRPr="002C07D9">
              <w:rPr>
                <w:rFonts w:ascii="Times New Roman" w:eastAsia="Times New Roman" w:hAnsi="Times New Roman" w:cs="Courier New"/>
                <w:color w:val="000000"/>
                <w:kern w:val="0"/>
                <w:sz w:val="20"/>
                <w:szCs w:val="20"/>
                <w:lang w:eastAsia="tr-TR"/>
                <w14:ligatures w14:val="none"/>
              </w:rPr>
              <w:t>) Aralığın maksimum değeri: Modifiye ve/veya hidrolize nişasta üreten süt ürünleri ve nişasta tesisleri için 4 mg/l; Meyve ve sebze tesisleri için 5 mg/l; Sabun stoğu ayırma işlemi yapan yağ tohumu işleme ve bitkisel yağ rafinasyon tesisleri için 10 mg/l; yalnızca azaltma verimliliği yıllık ortalama olarak veya üretim dönemi ortalaması olarak %95'ten fazla ise günlük ortalamalar olarak geçerlidir.</w:t>
            </w:r>
          </w:p>
        </w:tc>
      </w:tr>
    </w:tbl>
    <w:p w14:paraId="1E1A96F7"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7D1E37E6"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2C07D9">
        <w:rPr>
          <w:rFonts w:ascii="Times New Roman" w:eastAsia="Times New Roman" w:hAnsi="Times New Roman" w:cs="Times New Roman"/>
          <w:bCs/>
          <w:spacing w:val="2"/>
          <w:kern w:val="0"/>
          <w:sz w:val="24"/>
          <w:lang w:bidi="tr-TR"/>
          <w14:ligatures w14:val="none"/>
        </w:rPr>
        <w:t>İlgili izleme MET 4’te verilmiştir.</w:t>
      </w:r>
    </w:p>
    <w:p w14:paraId="0B537F46"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D4658B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1.8. Gürültü</w:t>
      </w:r>
    </w:p>
    <w:p w14:paraId="2EC5B4AD" w14:textId="77777777" w:rsidR="003B155E" w:rsidRPr="002C07D9" w:rsidRDefault="003B155E" w:rsidP="003B155E">
      <w:pPr>
        <w:widowControl w:val="0"/>
        <w:spacing w:after="120" w:line="276" w:lineRule="auto"/>
        <w:jc w:val="both"/>
        <w:rPr>
          <w:rFonts w:ascii="Times New Roman" w:eastAsia="Times New Roman" w:hAnsi="Times New Roman" w:cs="Courier New"/>
          <w:b/>
          <w:color w:val="FF0000"/>
          <w:kern w:val="0"/>
          <w:sz w:val="24"/>
          <w:szCs w:val="24"/>
          <w:lang w:eastAsia="tr-TR"/>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13: </w:t>
      </w:r>
      <w:r w:rsidRPr="002C07D9">
        <w:rPr>
          <w:rFonts w:ascii="Times New Roman" w:eastAsia="Times New Roman" w:hAnsi="Times New Roman" w:cs="Courier New"/>
          <w:bCs/>
          <w:color w:val="000000"/>
          <w:kern w:val="0"/>
          <w:sz w:val="24"/>
          <w:szCs w:val="24"/>
          <w:lang w:eastAsia="tr-TR"/>
          <w14:ligatures w14:val="none"/>
        </w:rPr>
        <w:t>Gürültü emisyonlarını önlemek veya bu mümkün olmadığında azaltmak için, çevre yönetim sisteminin bir parçası olarak (bkz. MET 1) aşağıdaki unsurların tümünü içeren bir gürültü yönetim planı oluşturulur, uygulanır ve düzenli olarak gözden geçirilir:</w:t>
      </w:r>
    </w:p>
    <w:p w14:paraId="71B12F08" w14:textId="77777777" w:rsidR="003B155E" w:rsidRPr="002C07D9"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Eylemleri ve zaman çizelgelerini içeren bir protokol;</w:t>
      </w:r>
    </w:p>
    <w:p w14:paraId="35662C1C" w14:textId="77777777" w:rsidR="003B155E" w:rsidRPr="002C07D9"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 xml:space="preserve">Gürültü emisyonlarının izlenmesini yürütme protokolü; </w:t>
      </w:r>
    </w:p>
    <w:p w14:paraId="2BB6FEB9" w14:textId="77777777" w:rsidR="003B155E" w:rsidRPr="002C07D9"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Tespit edilen gürültü olaylarına (örneğin şikayetler) yanıt verme protokolü;</w:t>
      </w:r>
    </w:p>
    <w:p w14:paraId="2656BCCD" w14:textId="77777777" w:rsidR="003B155E" w:rsidRPr="002C07D9" w:rsidRDefault="003B155E" w:rsidP="003B155E">
      <w:pPr>
        <w:widowControl w:val="0"/>
        <w:numPr>
          <w:ilvl w:val="0"/>
          <w:numId w:val="103"/>
        </w:numPr>
        <w:pBdr>
          <w:top w:val="nil"/>
          <w:left w:val="nil"/>
          <w:bottom w:val="nil"/>
          <w:right w:val="nil"/>
          <w:between w:val="nil"/>
        </w:pBdr>
        <w:spacing w:after="0" w:line="276" w:lineRule="auto"/>
        <w:ind w:left="425" w:hanging="425"/>
        <w:contextualSpacing/>
        <w:jc w:val="both"/>
        <w:rPr>
          <w:rFonts w:ascii="Times New Roman" w:eastAsia="Times New Roman" w:hAnsi="Times New Roman" w:cs="Times New Roman"/>
          <w:spacing w:val="2"/>
          <w:kern w:val="0"/>
          <w:position w:val="-1"/>
          <w:sz w:val="24"/>
          <w:szCs w:val="24"/>
          <w:lang w:val="en-US"/>
          <w14:ligatures w14:val="none"/>
        </w:rPr>
      </w:pPr>
      <w:r w:rsidRPr="002C07D9">
        <w:rPr>
          <w:rFonts w:ascii="Times New Roman" w:eastAsia="Times New Roman" w:hAnsi="Times New Roman" w:cs="Times New Roman"/>
          <w:spacing w:val="2"/>
          <w:kern w:val="0"/>
          <w:position w:val="-1"/>
          <w:sz w:val="24"/>
          <w:szCs w:val="24"/>
          <w:lang w:val="en-US"/>
          <w14:ligatures w14:val="none"/>
        </w:rPr>
        <w:t>Kaynağı/kaynakları belirlemek, gürültü ve titreşim maruziyetini ölçmek/tahmin etmek, kaynakların katkılarını karakterize etmek ve önleme ve/veya azaltma önlemlerini uygulamak üzere tasarlanmış bir gürültü azaltma programı.</w:t>
      </w:r>
    </w:p>
    <w:p w14:paraId="6895C3C9"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5484E284"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i/>
          <w:iCs/>
          <w:color w:val="000000"/>
          <w:spacing w:val="2"/>
          <w:kern w:val="0"/>
          <w:sz w:val="24"/>
          <w:szCs w:val="24"/>
          <w14:ligatures w14:val="none"/>
        </w:rPr>
      </w:pPr>
      <w:r w:rsidRPr="002C07D9">
        <w:rPr>
          <w:rFonts w:ascii="Times New Roman" w:eastAsia="Times New Roman" w:hAnsi="Times New Roman" w:cs="Times New Roman"/>
          <w:i/>
          <w:iCs/>
          <w:color w:val="000000"/>
          <w:spacing w:val="2"/>
          <w:kern w:val="0"/>
          <w:sz w:val="24"/>
          <w:szCs w:val="24"/>
          <w14:ligatures w14:val="none"/>
        </w:rPr>
        <w:t>Uygulanabilirlik</w:t>
      </w:r>
    </w:p>
    <w:p w14:paraId="08F2BC65"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color w:val="000000"/>
          <w:spacing w:val="2"/>
          <w:kern w:val="0"/>
          <w:sz w:val="24"/>
          <w:szCs w:val="24"/>
          <w14:ligatures w14:val="none"/>
        </w:rPr>
        <w:t>MET 13 sadece hassas alıcılarda gürültü rahatsızlığının beklendiği ve/veya kanıtlandığı durumlar için geçerlidir.</w:t>
      </w:r>
    </w:p>
    <w:p w14:paraId="16B72D64" w14:textId="69697494" w:rsidR="003B155E" w:rsidRDefault="003B155E" w:rsidP="003B155E">
      <w:pPr>
        <w:widowControl w:val="0"/>
        <w:tabs>
          <w:tab w:val="left" w:pos="284"/>
        </w:tabs>
        <w:spacing w:after="0" w:line="276" w:lineRule="auto"/>
        <w:jc w:val="both"/>
        <w:rPr>
          <w:rFonts w:ascii="Times New Roman" w:eastAsia="Times New Roman" w:hAnsi="Times New Roman" w:cs="Times New Roman"/>
          <w:color w:val="000000"/>
          <w:kern w:val="0"/>
          <w:sz w:val="24"/>
          <w:szCs w:val="24"/>
          <w14:ligatures w14:val="none"/>
        </w:rPr>
      </w:pPr>
      <w:r w:rsidRPr="002C07D9">
        <w:rPr>
          <w:rFonts w:ascii="Times New Roman" w:eastAsia="Times New Roman" w:hAnsi="Times New Roman" w:cs="Times New Roman"/>
          <w:b/>
          <w:bCs/>
          <w:color w:val="000000"/>
          <w:kern w:val="0"/>
          <w:sz w:val="24"/>
          <w:szCs w:val="24"/>
          <w14:ligatures w14:val="none"/>
        </w:rPr>
        <w:t>MET 14:</w:t>
      </w:r>
      <w:r w:rsidRPr="002C07D9">
        <w:rPr>
          <w:rFonts w:ascii="Times New Roman" w:eastAsia="Times New Roman" w:hAnsi="Times New Roman" w:cs="Times New Roman"/>
          <w:color w:val="000000"/>
          <w:kern w:val="0"/>
          <w:sz w:val="24"/>
          <w:szCs w:val="24"/>
          <w14:ligatures w14:val="none"/>
        </w:rPr>
        <w:t xml:space="preserve"> Gürültü emisyonlarını önlemek veya bu mümkün olmadığında azaltmak için, aşağıda verilen tekniklerden biri veya bir kombinasyonu kullanılır.</w:t>
      </w:r>
    </w:p>
    <w:p w14:paraId="0DAA46F5" w14:textId="77777777" w:rsidR="00541520" w:rsidRPr="002C07D9" w:rsidRDefault="00541520"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tbl>
      <w:tblPr>
        <w:tblStyle w:val="TabloKlavuzu10"/>
        <w:tblW w:w="0" w:type="auto"/>
        <w:tblLook w:val="04A0" w:firstRow="1" w:lastRow="0" w:firstColumn="1" w:lastColumn="0" w:noHBand="0" w:noVBand="1"/>
      </w:tblPr>
      <w:tblGrid>
        <w:gridCol w:w="450"/>
        <w:gridCol w:w="1534"/>
        <w:gridCol w:w="3460"/>
        <w:gridCol w:w="3618"/>
      </w:tblGrid>
      <w:tr w:rsidR="003B155E" w:rsidRPr="002C07D9" w14:paraId="7139504E" w14:textId="77777777" w:rsidTr="000D79D6">
        <w:tc>
          <w:tcPr>
            <w:tcW w:w="0" w:type="auto"/>
            <w:gridSpan w:val="2"/>
            <w:vAlign w:val="center"/>
          </w:tcPr>
          <w:p w14:paraId="0C55003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lastRenderedPageBreak/>
              <w:t>Teknik</w:t>
            </w:r>
          </w:p>
        </w:tc>
        <w:tc>
          <w:tcPr>
            <w:tcW w:w="0" w:type="auto"/>
            <w:vAlign w:val="center"/>
          </w:tcPr>
          <w:p w14:paraId="33F5076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Tanım</w:t>
            </w:r>
          </w:p>
        </w:tc>
        <w:tc>
          <w:tcPr>
            <w:tcW w:w="0" w:type="auto"/>
            <w:vAlign w:val="center"/>
          </w:tcPr>
          <w:p w14:paraId="5A28FB3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Uygulanabilirlik</w:t>
            </w:r>
          </w:p>
        </w:tc>
      </w:tr>
      <w:tr w:rsidR="003B155E" w:rsidRPr="002C07D9" w14:paraId="7EDBA2F7" w14:textId="77777777" w:rsidTr="000D79D6">
        <w:tc>
          <w:tcPr>
            <w:tcW w:w="0" w:type="auto"/>
            <w:vAlign w:val="center"/>
          </w:tcPr>
          <w:p w14:paraId="3ECAA17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0" w:type="auto"/>
            <w:vAlign w:val="center"/>
          </w:tcPr>
          <w:p w14:paraId="7EA05579" w14:textId="77777777" w:rsidR="003B155E" w:rsidRPr="002C07D9" w:rsidRDefault="003B155E" w:rsidP="000D79D6">
            <w:pPr>
              <w:widowControl w:val="0"/>
              <w:shd w:val="clear" w:color="auto" w:fill="FFFFFF"/>
              <w:ind w:hanging="14"/>
              <w:rPr>
                <w:rFonts w:ascii="Times New Roman" w:hAnsi="Times New Roman" w:cs="Times New Roman"/>
              </w:rPr>
            </w:pPr>
            <w:r w:rsidRPr="002C07D9">
              <w:rPr>
                <w:rFonts w:ascii="Times New Roman" w:hAnsi="Times New Roman" w:cs="Times New Roman"/>
              </w:rPr>
              <w:t xml:space="preserve">Ekipman ve binaların uygun yerleşimi. </w:t>
            </w:r>
          </w:p>
        </w:tc>
        <w:tc>
          <w:tcPr>
            <w:tcW w:w="0" w:type="auto"/>
            <w:vAlign w:val="center"/>
          </w:tcPr>
          <w:p w14:paraId="67FBF299" w14:textId="77777777" w:rsidR="003B155E" w:rsidRPr="002C07D9" w:rsidRDefault="003B155E" w:rsidP="000D79D6">
            <w:pPr>
              <w:pBdr>
                <w:top w:val="nil"/>
                <w:left w:val="nil"/>
                <w:bottom w:val="nil"/>
                <w:right w:val="nil"/>
                <w:between w:val="nil"/>
              </w:pBdr>
              <w:ind w:left="38"/>
              <w:rPr>
                <w:rFonts w:ascii="Times New Roman" w:hAnsi="Times New Roman" w:cs="Times New Roman"/>
                <w:color w:val="000000"/>
              </w:rPr>
            </w:pPr>
            <w:r w:rsidRPr="002C07D9">
              <w:rPr>
                <w:rFonts w:ascii="Times New Roman" w:hAnsi="Times New Roman" w:cs="Times New Roman"/>
                <w:color w:val="000000"/>
              </w:rPr>
              <w:t>Gürültü seviyeleri, verici ile alıcı arasındaki mesafenin artırılması, binaların gürültü perdesi olarak kullanılması ve binaların giriş veya çıkışlarının yerinin değiştirilmesi yoluyla azaltılabilir.</w:t>
            </w:r>
          </w:p>
        </w:tc>
        <w:tc>
          <w:tcPr>
            <w:tcW w:w="0" w:type="auto"/>
            <w:vAlign w:val="center"/>
          </w:tcPr>
          <w:p w14:paraId="4796CA4C"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Mevcut tesisler için, ekipmanların ve bina çıkışlarının veya girişlerinin yerlerinin değiştirilmesi, alan yetersizliği ve/veya aşırı maliyetler nedeniyle uygulanamayabilir.</w:t>
            </w:r>
          </w:p>
        </w:tc>
      </w:tr>
      <w:tr w:rsidR="003B155E" w:rsidRPr="002C07D9" w14:paraId="0C70674C" w14:textId="77777777" w:rsidTr="000D79D6">
        <w:tc>
          <w:tcPr>
            <w:tcW w:w="0" w:type="auto"/>
            <w:vAlign w:val="center"/>
          </w:tcPr>
          <w:p w14:paraId="4B07EA5F"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(b)</w:t>
            </w:r>
          </w:p>
        </w:tc>
        <w:tc>
          <w:tcPr>
            <w:tcW w:w="0" w:type="auto"/>
            <w:vAlign w:val="center"/>
          </w:tcPr>
          <w:p w14:paraId="09B7161B"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Operasyonel önlemler</w:t>
            </w:r>
          </w:p>
        </w:tc>
        <w:tc>
          <w:tcPr>
            <w:tcW w:w="0" w:type="auto"/>
            <w:vAlign w:val="center"/>
          </w:tcPr>
          <w:p w14:paraId="4FD7CA3F"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Aşağıdaki maddeleri kapsamaktadır:</w:t>
            </w:r>
          </w:p>
          <w:p w14:paraId="2476B4D2" w14:textId="77777777" w:rsidR="003B155E" w:rsidRPr="002C07D9" w:rsidRDefault="003B155E" w:rsidP="003B155E">
            <w:pPr>
              <w:widowControl w:val="0"/>
              <w:numPr>
                <w:ilvl w:val="0"/>
                <w:numId w:val="103"/>
              </w:numPr>
              <w:pBdr>
                <w:top w:val="nil"/>
                <w:left w:val="nil"/>
                <w:bottom w:val="nil"/>
                <w:right w:val="nil"/>
                <w:between w:val="nil"/>
              </w:pBdr>
              <w:ind w:left="181" w:hanging="142"/>
              <w:contextualSpacing/>
              <w:jc w:val="both"/>
              <w:rPr>
                <w:rFonts w:ascii="Times New Roman" w:hAnsi="Times New Roman" w:cs="Times New Roman"/>
                <w:spacing w:val="2"/>
                <w:position w:val="-1"/>
              </w:rPr>
            </w:pPr>
            <w:r w:rsidRPr="002C07D9">
              <w:rPr>
                <w:rFonts w:ascii="Times New Roman" w:hAnsi="Times New Roman" w:cs="Times New Roman"/>
                <w:spacing w:val="2"/>
                <w:position w:val="-1"/>
              </w:rPr>
              <w:t xml:space="preserve">Ekipmanın daha iyi denetlenmesi ve bakımı; </w:t>
            </w:r>
          </w:p>
          <w:p w14:paraId="79039F46" w14:textId="77777777" w:rsidR="003B155E" w:rsidRPr="002C07D9" w:rsidRDefault="003B155E" w:rsidP="003B155E">
            <w:pPr>
              <w:widowControl w:val="0"/>
              <w:numPr>
                <w:ilvl w:val="0"/>
                <w:numId w:val="103"/>
              </w:numPr>
              <w:pBdr>
                <w:top w:val="nil"/>
                <w:left w:val="nil"/>
                <w:bottom w:val="nil"/>
                <w:right w:val="nil"/>
                <w:between w:val="nil"/>
              </w:pBdr>
              <w:ind w:left="181" w:hanging="142"/>
              <w:contextualSpacing/>
              <w:jc w:val="both"/>
              <w:rPr>
                <w:rFonts w:ascii="Times New Roman" w:hAnsi="Times New Roman" w:cs="Times New Roman"/>
                <w:spacing w:val="2"/>
                <w:position w:val="-1"/>
              </w:rPr>
            </w:pPr>
            <w:r w:rsidRPr="002C07D9">
              <w:rPr>
                <w:rFonts w:ascii="Times New Roman" w:hAnsi="Times New Roman" w:cs="Times New Roman"/>
                <w:spacing w:val="2"/>
                <w:position w:val="-1"/>
              </w:rPr>
              <w:t xml:space="preserve">Mümkünse kapalı alanların kapı ve pencerelerinin kapatılması; </w:t>
            </w:r>
          </w:p>
          <w:p w14:paraId="1B02291B" w14:textId="77777777" w:rsidR="003B155E" w:rsidRPr="002C07D9" w:rsidRDefault="003B155E" w:rsidP="003B155E">
            <w:pPr>
              <w:widowControl w:val="0"/>
              <w:numPr>
                <w:ilvl w:val="0"/>
                <w:numId w:val="103"/>
              </w:numPr>
              <w:pBdr>
                <w:top w:val="nil"/>
                <w:left w:val="nil"/>
                <w:bottom w:val="nil"/>
                <w:right w:val="nil"/>
                <w:between w:val="nil"/>
              </w:pBdr>
              <w:ind w:left="181" w:hanging="142"/>
              <w:contextualSpacing/>
              <w:jc w:val="both"/>
              <w:rPr>
                <w:rFonts w:ascii="Times New Roman" w:hAnsi="Times New Roman" w:cs="Times New Roman"/>
                <w:spacing w:val="2"/>
                <w:position w:val="-1"/>
              </w:rPr>
            </w:pPr>
            <w:r w:rsidRPr="002C07D9">
              <w:rPr>
                <w:rFonts w:ascii="Times New Roman" w:hAnsi="Times New Roman" w:cs="Times New Roman"/>
                <w:spacing w:val="2"/>
                <w:position w:val="-1"/>
              </w:rPr>
              <w:t xml:space="preserve">Ekipmanın deneyimli personel tarafından çalıştırılması; </w:t>
            </w:r>
          </w:p>
          <w:p w14:paraId="3CEFC135" w14:textId="77777777" w:rsidR="003B155E" w:rsidRPr="002C07D9" w:rsidRDefault="003B155E" w:rsidP="003B155E">
            <w:pPr>
              <w:widowControl w:val="0"/>
              <w:numPr>
                <w:ilvl w:val="0"/>
                <w:numId w:val="103"/>
              </w:numPr>
              <w:pBdr>
                <w:top w:val="nil"/>
                <w:left w:val="nil"/>
                <w:bottom w:val="nil"/>
                <w:right w:val="nil"/>
                <w:between w:val="nil"/>
              </w:pBdr>
              <w:ind w:left="181" w:hanging="142"/>
              <w:contextualSpacing/>
              <w:jc w:val="both"/>
              <w:rPr>
                <w:rFonts w:ascii="Times New Roman" w:hAnsi="Times New Roman" w:cs="Times New Roman"/>
                <w:spacing w:val="2"/>
                <w:position w:val="-1"/>
              </w:rPr>
            </w:pPr>
            <w:r w:rsidRPr="002C07D9">
              <w:rPr>
                <w:rFonts w:ascii="Times New Roman" w:hAnsi="Times New Roman" w:cs="Times New Roman"/>
                <w:spacing w:val="2"/>
                <w:position w:val="-1"/>
              </w:rPr>
              <w:t xml:space="preserve">Mümkünse geceleri gürültülü faaliyetlerden kaçınılması; </w:t>
            </w:r>
          </w:p>
          <w:p w14:paraId="54D3E445" w14:textId="77777777" w:rsidR="003B155E" w:rsidRPr="002C07D9" w:rsidRDefault="003B155E" w:rsidP="003B155E">
            <w:pPr>
              <w:widowControl w:val="0"/>
              <w:numPr>
                <w:ilvl w:val="0"/>
                <w:numId w:val="103"/>
              </w:numPr>
              <w:pBdr>
                <w:top w:val="nil"/>
                <w:left w:val="nil"/>
                <w:bottom w:val="nil"/>
                <w:right w:val="nil"/>
                <w:between w:val="nil"/>
              </w:pBdr>
              <w:ind w:left="181" w:hanging="142"/>
              <w:contextualSpacing/>
              <w:jc w:val="both"/>
              <w:rPr>
                <w:rFonts w:ascii="Times New Roman" w:hAnsi="Times New Roman" w:cs="Times New Roman"/>
                <w:spacing w:val="2"/>
                <w:position w:val="-1"/>
              </w:rPr>
            </w:pPr>
            <w:r w:rsidRPr="002C07D9">
              <w:rPr>
                <w:rFonts w:ascii="Times New Roman" w:hAnsi="Times New Roman" w:cs="Times New Roman"/>
                <w:spacing w:val="2"/>
                <w:position w:val="-1"/>
              </w:rPr>
              <w:t>Gürültü kontrolüne yönelik tedbirler (örneğin bakım faaliyetleri sırasında).</w:t>
            </w:r>
          </w:p>
        </w:tc>
        <w:tc>
          <w:tcPr>
            <w:tcW w:w="0" w:type="auto"/>
            <w:vMerge w:val="restart"/>
            <w:vAlign w:val="center"/>
          </w:tcPr>
          <w:p w14:paraId="5FE918FC"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t>Genel olarak uygulanabilir.</w:t>
            </w:r>
          </w:p>
        </w:tc>
      </w:tr>
      <w:tr w:rsidR="003B155E" w:rsidRPr="002C07D9" w14:paraId="23D22C73" w14:textId="77777777" w:rsidTr="000D79D6">
        <w:tc>
          <w:tcPr>
            <w:tcW w:w="0" w:type="auto"/>
            <w:vAlign w:val="center"/>
          </w:tcPr>
          <w:p w14:paraId="4F3789B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0" w:type="auto"/>
            <w:vAlign w:val="center"/>
          </w:tcPr>
          <w:p w14:paraId="20AB8A7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Düşük gürültülü ekipman</w:t>
            </w:r>
          </w:p>
        </w:tc>
        <w:tc>
          <w:tcPr>
            <w:tcW w:w="0" w:type="auto"/>
            <w:vAlign w:val="center"/>
          </w:tcPr>
          <w:p w14:paraId="6FEC1EFE" w14:textId="77777777" w:rsidR="003B155E" w:rsidRPr="002C07D9" w:rsidRDefault="003B155E" w:rsidP="000D79D6">
            <w:pPr>
              <w:pBdr>
                <w:top w:val="nil"/>
                <w:left w:val="nil"/>
                <w:bottom w:val="nil"/>
                <w:right w:val="nil"/>
                <w:between w:val="nil"/>
              </w:pBdr>
              <w:ind w:left="28"/>
              <w:rPr>
                <w:rFonts w:ascii="Times New Roman" w:hAnsi="Times New Roman" w:cs="Times New Roman"/>
                <w:color w:val="000000"/>
              </w:rPr>
            </w:pPr>
            <w:r w:rsidRPr="002C07D9">
              <w:rPr>
                <w:rFonts w:ascii="Times New Roman" w:hAnsi="Times New Roman" w:cs="Times New Roman"/>
                <w:color w:val="000000"/>
              </w:rPr>
              <w:t>Düşük gürültülü kompresörler, pompalar ve fanlar da dahildir</w:t>
            </w:r>
          </w:p>
        </w:tc>
        <w:tc>
          <w:tcPr>
            <w:tcW w:w="0" w:type="auto"/>
            <w:vMerge/>
            <w:vAlign w:val="center"/>
          </w:tcPr>
          <w:p w14:paraId="506DEAB6" w14:textId="77777777" w:rsidR="003B155E" w:rsidRPr="002C07D9" w:rsidRDefault="003B155E" w:rsidP="000D79D6">
            <w:pPr>
              <w:widowControl w:val="0"/>
              <w:tabs>
                <w:tab w:val="left" w:pos="562"/>
              </w:tabs>
              <w:rPr>
                <w:rFonts w:ascii="Times New Roman" w:hAnsi="Times New Roman" w:cs="Times New Roman"/>
              </w:rPr>
            </w:pPr>
          </w:p>
        </w:tc>
      </w:tr>
      <w:tr w:rsidR="003B155E" w:rsidRPr="002C07D9" w14:paraId="0CFE0B3C" w14:textId="77777777" w:rsidTr="000D79D6">
        <w:tc>
          <w:tcPr>
            <w:tcW w:w="0" w:type="auto"/>
            <w:vAlign w:val="center"/>
          </w:tcPr>
          <w:p w14:paraId="50FFF39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(d)</w:t>
            </w:r>
          </w:p>
        </w:tc>
        <w:tc>
          <w:tcPr>
            <w:tcW w:w="0" w:type="auto"/>
            <w:vAlign w:val="center"/>
          </w:tcPr>
          <w:p w14:paraId="062FFFEF"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Gürültü kontrol ekipmanlar</w:t>
            </w:r>
            <w:r w:rsidRPr="002C07D9">
              <w:rPr>
                <w:rFonts w:ascii="Times New Roman" w:hAnsi="Times New Roman" w:cs="Times New Roman"/>
                <w:color w:val="000000"/>
              </w:rPr>
              <w:t>ı</w:t>
            </w:r>
          </w:p>
        </w:tc>
        <w:tc>
          <w:tcPr>
            <w:tcW w:w="0" w:type="auto"/>
            <w:vAlign w:val="center"/>
          </w:tcPr>
          <w:p w14:paraId="7A7A29C5" w14:textId="77777777" w:rsidR="003B155E" w:rsidRPr="002C07D9" w:rsidRDefault="003B155E" w:rsidP="000D79D6">
            <w:pPr>
              <w:pBdr>
                <w:top w:val="nil"/>
                <w:left w:val="nil"/>
                <w:bottom w:val="nil"/>
                <w:right w:val="nil"/>
                <w:between w:val="nil"/>
              </w:pBdr>
              <w:ind w:left="39"/>
              <w:rPr>
                <w:rFonts w:ascii="Times New Roman" w:hAnsi="Times New Roman"/>
                <w:color w:val="000000"/>
              </w:rPr>
            </w:pPr>
            <w:r w:rsidRPr="002C07D9">
              <w:rPr>
                <w:rFonts w:ascii="Times New Roman" w:hAnsi="Times New Roman" w:cs="Times New Roman"/>
                <w:color w:val="000000"/>
              </w:rPr>
              <w:t xml:space="preserve">Aşağıdaki maddeleri kapsamaktadır. </w:t>
            </w:r>
          </w:p>
          <w:p w14:paraId="3BA16261" w14:textId="77777777" w:rsidR="003B155E" w:rsidRPr="002C07D9" w:rsidRDefault="003B155E" w:rsidP="003B155E">
            <w:pPr>
              <w:widowControl w:val="0"/>
              <w:numPr>
                <w:ilvl w:val="0"/>
                <w:numId w:val="103"/>
              </w:numPr>
              <w:pBdr>
                <w:top w:val="nil"/>
                <w:left w:val="nil"/>
                <w:bottom w:val="nil"/>
                <w:right w:val="nil"/>
                <w:between w:val="nil"/>
              </w:pBdr>
              <w:ind w:left="363" w:hanging="299"/>
              <w:contextualSpacing/>
              <w:jc w:val="both"/>
              <w:rPr>
                <w:rFonts w:ascii="Times New Roman" w:hAnsi="Times New Roman" w:cs="Times New Roman"/>
                <w:spacing w:val="2"/>
                <w:position w:val="-1"/>
                <w:lang w:val="en-US"/>
              </w:rPr>
            </w:pPr>
            <w:r w:rsidRPr="002C07D9">
              <w:rPr>
                <w:rFonts w:ascii="Times New Roman" w:hAnsi="Times New Roman" w:cs="Times New Roman"/>
                <w:spacing w:val="2"/>
                <w:position w:val="-1"/>
                <w:lang w:val="en-US"/>
              </w:rPr>
              <w:t xml:space="preserve">gürültü azaltıcılar; </w:t>
            </w:r>
          </w:p>
          <w:p w14:paraId="3947E7CC" w14:textId="77777777" w:rsidR="003B155E" w:rsidRPr="002C07D9" w:rsidRDefault="003B155E" w:rsidP="003B155E">
            <w:pPr>
              <w:widowControl w:val="0"/>
              <w:numPr>
                <w:ilvl w:val="0"/>
                <w:numId w:val="103"/>
              </w:numPr>
              <w:pBdr>
                <w:top w:val="nil"/>
                <w:left w:val="nil"/>
                <w:bottom w:val="nil"/>
                <w:right w:val="nil"/>
                <w:between w:val="nil"/>
              </w:pBdr>
              <w:ind w:left="363" w:hanging="299"/>
              <w:contextualSpacing/>
              <w:jc w:val="both"/>
              <w:rPr>
                <w:rFonts w:ascii="Times New Roman" w:hAnsi="Times New Roman" w:cs="Times New Roman"/>
                <w:spacing w:val="2"/>
                <w:position w:val="-1"/>
                <w:lang w:val="en-US"/>
              </w:rPr>
            </w:pPr>
            <w:r w:rsidRPr="002C07D9">
              <w:rPr>
                <w:rFonts w:ascii="Times New Roman" w:hAnsi="Times New Roman" w:cs="Times New Roman"/>
                <w:spacing w:val="2"/>
                <w:position w:val="-1"/>
                <w:lang w:val="en-US"/>
              </w:rPr>
              <w:t xml:space="preserve">ekipmanın izolasyonu; </w:t>
            </w:r>
          </w:p>
          <w:p w14:paraId="16945EAB" w14:textId="77777777" w:rsidR="003B155E" w:rsidRPr="002C07D9" w:rsidRDefault="003B155E" w:rsidP="003B155E">
            <w:pPr>
              <w:widowControl w:val="0"/>
              <w:numPr>
                <w:ilvl w:val="0"/>
                <w:numId w:val="103"/>
              </w:numPr>
              <w:pBdr>
                <w:top w:val="nil"/>
                <w:left w:val="nil"/>
                <w:bottom w:val="nil"/>
                <w:right w:val="nil"/>
                <w:between w:val="nil"/>
              </w:pBdr>
              <w:ind w:left="363" w:hanging="299"/>
              <w:contextualSpacing/>
              <w:jc w:val="both"/>
              <w:rPr>
                <w:rFonts w:ascii="Times New Roman" w:hAnsi="Times New Roman" w:cs="Times New Roman"/>
                <w:spacing w:val="2"/>
                <w:position w:val="-1"/>
                <w:lang w:val="en-US"/>
              </w:rPr>
            </w:pPr>
            <w:r w:rsidRPr="002C07D9">
              <w:rPr>
                <w:rFonts w:ascii="Times New Roman" w:hAnsi="Times New Roman" w:cs="Times New Roman"/>
                <w:spacing w:val="2"/>
                <w:position w:val="-1"/>
                <w:lang w:val="en-US"/>
              </w:rPr>
              <w:t xml:space="preserve">gürültülü ekipmanın muhafazası; </w:t>
            </w:r>
          </w:p>
          <w:p w14:paraId="55008CA1" w14:textId="77777777" w:rsidR="003B155E" w:rsidRPr="002C07D9" w:rsidRDefault="003B155E" w:rsidP="003B155E">
            <w:pPr>
              <w:widowControl w:val="0"/>
              <w:numPr>
                <w:ilvl w:val="0"/>
                <w:numId w:val="103"/>
              </w:numPr>
              <w:pBdr>
                <w:top w:val="nil"/>
                <w:left w:val="nil"/>
                <w:bottom w:val="nil"/>
                <w:right w:val="nil"/>
                <w:between w:val="nil"/>
              </w:pBdr>
              <w:ind w:left="363" w:hanging="299"/>
              <w:contextualSpacing/>
              <w:jc w:val="both"/>
              <w:rPr>
                <w:rFonts w:ascii="Times New Roman" w:hAnsi="Times New Roman" w:cs="Times New Roman"/>
                <w:spacing w:val="2"/>
                <w:position w:val="-1"/>
                <w:lang w:val="en-US"/>
              </w:rPr>
            </w:pPr>
            <w:r w:rsidRPr="002C07D9">
              <w:rPr>
                <w:rFonts w:ascii="Times New Roman" w:hAnsi="Times New Roman" w:cs="Times New Roman"/>
                <w:spacing w:val="2"/>
                <w:position w:val="-1"/>
                <w:lang w:val="en-US"/>
              </w:rPr>
              <w:t>binaların ses yalıtımı.</w:t>
            </w:r>
          </w:p>
        </w:tc>
        <w:tc>
          <w:tcPr>
            <w:tcW w:w="0" w:type="auto"/>
            <w:vAlign w:val="center"/>
          </w:tcPr>
          <w:p w14:paraId="111FD36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Alan yetersizliği nedeniyle mevcut tesislere uygulanamayabilir.</w:t>
            </w:r>
          </w:p>
        </w:tc>
      </w:tr>
      <w:tr w:rsidR="003B155E" w:rsidRPr="002C07D9" w14:paraId="3F8DF06D" w14:textId="77777777" w:rsidTr="000D79D6">
        <w:tc>
          <w:tcPr>
            <w:tcW w:w="0" w:type="auto"/>
            <w:vAlign w:val="center"/>
          </w:tcPr>
          <w:p w14:paraId="0901B718"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(e)</w:t>
            </w:r>
          </w:p>
        </w:tc>
        <w:tc>
          <w:tcPr>
            <w:tcW w:w="0" w:type="auto"/>
            <w:vAlign w:val="center"/>
          </w:tcPr>
          <w:p w14:paraId="21D9D35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G</w:t>
            </w:r>
            <w:r w:rsidRPr="002C07D9">
              <w:rPr>
                <w:rFonts w:ascii="Times New Roman" w:hAnsi="Times New Roman" w:cs="Times New Roman"/>
              </w:rPr>
              <w:t>ürültü azaltma</w:t>
            </w:r>
          </w:p>
        </w:tc>
        <w:tc>
          <w:tcPr>
            <w:tcW w:w="0" w:type="auto"/>
            <w:vAlign w:val="center"/>
          </w:tcPr>
          <w:p w14:paraId="3C8D45E3" w14:textId="77777777" w:rsidR="003B155E" w:rsidRPr="002C07D9" w:rsidRDefault="003B155E" w:rsidP="000D79D6">
            <w:pPr>
              <w:pBdr>
                <w:top w:val="nil"/>
                <w:left w:val="nil"/>
                <w:bottom w:val="nil"/>
                <w:right w:val="nil"/>
                <w:between w:val="nil"/>
              </w:pBdr>
              <w:ind w:left="39"/>
              <w:rPr>
                <w:rFonts w:ascii="Times New Roman" w:hAnsi="Times New Roman"/>
                <w:color w:val="000000"/>
              </w:rPr>
            </w:pPr>
            <w:r w:rsidRPr="002C07D9">
              <w:rPr>
                <w:rFonts w:ascii="Times New Roman" w:hAnsi="Times New Roman" w:cs="Times New Roman"/>
                <w:color w:val="000000"/>
              </w:rPr>
              <w:t>Verici ve alıcılar arasına koruma duvarları, setler, binalar gibi engellerin yerleştirilmesini kapsamaktadır.</w:t>
            </w:r>
          </w:p>
        </w:tc>
        <w:tc>
          <w:tcPr>
            <w:tcW w:w="0" w:type="auto"/>
            <w:vAlign w:val="center"/>
          </w:tcPr>
          <w:p w14:paraId="12BEDF6C"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t>Yeni tesislerin tasarımı bu tekniği gereksiz kılacağından sadece mevcut tesislere uygulanabilir. Mevcut tesisler için, engellerin yerleştirilmesi alan yetersizliği nedeniyle uygulanamayabilir.</w:t>
            </w:r>
          </w:p>
        </w:tc>
      </w:tr>
    </w:tbl>
    <w:p w14:paraId="434D564C"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08F46D2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1.9. Koku</w:t>
      </w:r>
    </w:p>
    <w:p w14:paraId="240BB527"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MET 15:</w:t>
      </w:r>
      <w:r w:rsidRPr="002C07D9">
        <w:rPr>
          <w:rFonts w:ascii="Times New Roman" w:eastAsia="Times New Roman" w:hAnsi="Times New Roman" w:cs="Times New Roman"/>
          <w:bCs/>
          <w:color w:val="000000"/>
          <w:kern w:val="0"/>
          <w:sz w:val="24"/>
          <w:szCs w:val="24"/>
          <w:lang w:eastAsia="tr-TR"/>
          <w14:ligatures w14:val="none"/>
        </w:rPr>
        <w:t xml:space="preserve"> </w:t>
      </w:r>
      <w:r w:rsidRPr="002C07D9">
        <w:rPr>
          <w:rFonts w:ascii="Times New Roman" w:eastAsia="Times New Roman" w:hAnsi="Times New Roman" w:cs="Courier New"/>
          <w:bCs/>
          <w:color w:val="000000"/>
          <w:kern w:val="0"/>
          <w:sz w:val="24"/>
          <w:szCs w:val="24"/>
          <w:lang w:eastAsia="tr-TR"/>
          <w14:ligatures w14:val="none"/>
        </w:rPr>
        <w:t>Koku emisyonlarını önlemek veya bu mümkün olmadığında azaltmak için, çevre yönetim sisteminin bir parçası olarak (bkz. MET 1) aşağıdaki tüm unsurları içeren bir koku yönetim planı oluşturulur, uygulanır ve düzenli olarak gözden geçirilir:</w:t>
      </w:r>
    </w:p>
    <w:p w14:paraId="7031600C" w14:textId="77777777" w:rsidR="003B155E" w:rsidRPr="002C07D9"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es-ES"/>
          <w14:ligatures w14:val="none"/>
        </w:rPr>
      </w:pPr>
      <w:r w:rsidRPr="002C07D9">
        <w:rPr>
          <w:rFonts w:ascii="Times New Roman" w:eastAsia="Times New Roman" w:hAnsi="Times New Roman" w:cs="Times New Roman"/>
          <w:bCs/>
          <w:color w:val="000000"/>
          <w:spacing w:val="2"/>
          <w:kern w:val="0"/>
          <w:position w:val="-1"/>
          <w:sz w:val="24"/>
          <w:szCs w:val="24"/>
          <w:lang w:val="es-ES"/>
          <w14:ligatures w14:val="none"/>
        </w:rPr>
        <w:t>Eylemler ve zaman çizelgeleri içeren bir protokol.</w:t>
      </w:r>
    </w:p>
    <w:p w14:paraId="313EA61E" w14:textId="77777777" w:rsidR="003B155E" w:rsidRPr="002C07D9"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fi-FI"/>
          <w14:ligatures w14:val="none"/>
        </w:rPr>
      </w:pPr>
      <w:r w:rsidRPr="002C07D9">
        <w:rPr>
          <w:rFonts w:ascii="Times New Roman" w:eastAsia="Times New Roman" w:hAnsi="Times New Roman" w:cs="Times New Roman"/>
          <w:bCs/>
          <w:color w:val="000000"/>
          <w:spacing w:val="2"/>
          <w:kern w:val="0"/>
          <w:position w:val="-1"/>
          <w:sz w:val="24"/>
          <w:szCs w:val="24"/>
          <w:lang w:val="es-ES"/>
          <w14:ligatures w14:val="none"/>
        </w:rPr>
        <w:t xml:space="preserve">Koku izlemeyi yürütmek için bir protokol. </w:t>
      </w:r>
      <w:r w:rsidRPr="002C07D9">
        <w:rPr>
          <w:rFonts w:ascii="Times New Roman" w:eastAsia="Times New Roman" w:hAnsi="Times New Roman" w:cs="Times New Roman"/>
          <w:bCs/>
          <w:color w:val="000000"/>
          <w:spacing w:val="2"/>
          <w:kern w:val="0"/>
          <w:position w:val="-1"/>
          <w:sz w:val="24"/>
          <w:szCs w:val="24"/>
          <w:lang w:val="fi-FI"/>
          <w14:ligatures w14:val="none"/>
        </w:rPr>
        <w:t xml:space="preserve">Koku maruziyetinin ölçülmesi/tahmini veya koku etkisinin tahmini ile tamamlanabilir. </w:t>
      </w:r>
    </w:p>
    <w:p w14:paraId="4B77AD2E" w14:textId="77777777" w:rsidR="003B155E" w:rsidRPr="002C07D9"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fi-FI"/>
          <w14:ligatures w14:val="none"/>
        </w:rPr>
      </w:pPr>
      <w:r w:rsidRPr="002C07D9">
        <w:rPr>
          <w:rFonts w:ascii="Times New Roman" w:eastAsia="Times New Roman" w:hAnsi="Times New Roman" w:cs="Times New Roman"/>
          <w:bCs/>
          <w:color w:val="000000"/>
          <w:spacing w:val="2"/>
          <w:kern w:val="0"/>
          <w:position w:val="-1"/>
          <w:sz w:val="24"/>
          <w:szCs w:val="24"/>
          <w:lang w:val="fi-FI"/>
          <w14:ligatures w14:val="none"/>
        </w:rPr>
        <w:t>Belirlenen koku olaylarına, örneğin şikayetlere yanıt vermek için bir protokol oluşturulabilir.</w:t>
      </w:r>
    </w:p>
    <w:p w14:paraId="493BA736" w14:textId="77777777" w:rsidR="003B155E" w:rsidRPr="002C07D9" w:rsidRDefault="003B155E" w:rsidP="003B155E">
      <w:pPr>
        <w:widowControl w:val="0"/>
        <w:numPr>
          <w:ilvl w:val="0"/>
          <w:numId w:val="103"/>
        </w:numPr>
        <w:pBdr>
          <w:top w:val="nil"/>
          <w:left w:val="nil"/>
          <w:bottom w:val="nil"/>
          <w:right w:val="nil"/>
          <w:between w:val="nil"/>
        </w:pBdr>
        <w:spacing w:after="0" w:line="269" w:lineRule="exact"/>
        <w:ind w:left="426" w:hanging="426"/>
        <w:contextualSpacing/>
        <w:jc w:val="both"/>
        <w:rPr>
          <w:rFonts w:ascii="Times New Roman" w:eastAsia="Times New Roman" w:hAnsi="Times New Roman" w:cs="Times New Roman"/>
          <w:bCs/>
          <w:color w:val="000000"/>
          <w:spacing w:val="2"/>
          <w:kern w:val="0"/>
          <w:position w:val="-1"/>
          <w:sz w:val="24"/>
          <w:szCs w:val="24"/>
          <w:lang w:val="fi-FI"/>
          <w14:ligatures w14:val="none"/>
        </w:rPr>
      </w:pPr>
      <w:r w:rsidRPr="002C07D9">
        <w:rPr>
          <w:rFonts w:ascii="Times New Roman" w:eastAsia="Times New Roman" w:hAnsi="Times New Roman" w:cs="Times New Roman"/>
          <w:bCs/>
          <w:color w:val="000000"/>
          <w:spacing w:val="2"/>
          <w:kern w:val="0"/>
          <w:position w:val="-1"/>
          <w:sz w:val="24"/>
          <w:szCs w:val="24"/>
          <w:lang w:val="fi-FI"/>
          <w14:ligatures w14:val="none"/>
        </w:rPr>
        <w:t>Kaynağı/kaynakları belirlemek; koku maruziyetini ölçmek/tahmin etmek; kaynakların katkılarını karakterize etmek; ve önleme ve/veya azaltma önlemlerini uygulamak için tasarlanmış bir koku önleme ve azaltma programı uygulanabilmektedir.</w:t>
      </w:r>
    </w:p>
    <w:p w14:paraId="108A92DE"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2F3116BB"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i/>
          <w:iCs/>
          <w:color w:val="000000"/>
          <w:spacing w:val="2"/>
          <w:kern w:val="0"/>
          <w:sz w:val="24"/>
          <w:szCs w:val="24"/>
          <w14:ligatures w14:val="none"/>
        </w:rPr>
      </w:pPr>
      <w:r w:rsidRPr="002C07D9">
        <w:rPr>
          <w:rFonts w:ascii="Times New Roman" w:eastAsia="Times New Roman" w:hAnsi="Times New Roman" w:cs="Times New Roman"/>
          <w:i/>
          <w:iCs/>
          <w:color w:val="000000"/>
          <w:spacing w:val="2"/>
          <w:kern w:val="0"/>
          <w:sz w:val="24"/>
          <w:szCs w:val="24"/>
          <w14:ligatures w14:val="none"/>
        </w:rPr>
        <w:t>Uygulanabilirlik</w:t>
      </w:r>
    </w:p>
    <w:p w14:paraId="0941D3BC"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color w:val="000000"/>
          <w:spacing w:val="2"/>
          <w:kern w:val="0"/>
          <w:sz w:val="24"/>
          <w:szCs w:val="24"/>
          <w14:ligatures w14:val="none"/>
        </w:rPr>
        <w:t>MET 15 sadece hassas alıcılarda koku rahatsızlığının beklendiği ve/veya kanıtlandığı durumlar için geçerlidir.</w:t>
      </w:r>
    </w:p>
    <w:p w14:paraId="3D6497EF"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57256DFC"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2. Hayvan Yemleri İçin MET Sonuçları</w:t>
      </w:r>
    </w:p>
    <w:p w14:paraId="51F9454C"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r w:rsidRPr="002C07D9">
        <w:rPr>
          <w:rFonts w:ascii="Times New Roman" w:eastAsia="Times New Roman" w:hAnsi="Times New Roman" w:cs="Times New Roman"/>
          <w:color w:val="000000"/>
          <w:spacing w:val="2"/>
          <w:kern w:val="0"/>
          <w:sz w:val="24"/>
          <w:szCs w:val="24"/>
          <w14:ligatures w14:val="none"/>
        </w:rPr>
        <w:t>Bu bölümde sunulan MET sonuçları hayvan yemleri için geçerlidir. Bunlar, Bölüm 1’de verilen genel MET sonuçlarına ek olarak geçerlidir.</w:t>
      </w:r>
    </w:p>
    <w:p w14:paraId="62E44BE6" w14:textId="77777777" w:rsidR="003B155E" w:rsidRPr="002C07D9" w:rsidRDefault="003B155E" w:rsidP="003B155E">
      <w:pPr>
        <w:widowControl w:val="0"/>
        <w:tabs>
          <w:tab w:val="left" w:pos="284"/>
        </w:tabs>
        <w:spacing w:after="0" w:line="276" w:lineRule="auto"/>
        <w:jc w:val="both"/>
        <w:rPr>
          <w:rFonts w:ascii="Times New Roman" w:eastAsia="Times New Roman" w:hAnsi="Times New Roman" w:cs="Times New Roman"/>
          <w:color w:val="000000"/>
          <w:spacing w:val="2"/>
          <w:kern w:val="0"/>
          <w:sz w:val="24"/>
          <w:szCs w:val="24"/>
          <w14:ligatures w14:val="none"/>
        </w:rPr>
      </w:pPr>
    </w:p>
    <w:p w14:paraId="6B40A7D8"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lastRenderedPageBreak/>
        <w:t xml:space="preserve">2.1.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2A73FBE3" w14:textId="77777777" w:rsidR="003B155E" w:rsidRPr="002C07D9" w:rsidRDefault="003B155E" w:rsidP="003B155E">
      <w:pPr>
        <w:keepNext/>
        <w:keepLines/>
        <w:widowControl w:val="0"/>
        <w:spacing w:after="0" w:line="360" w:lineRule="auto"/>
        <w:jc w:val="both"/>
        <w:outlineLvl w:val="3"/>
        <w:rPr>
          <w:rFonts w:ascii="Times New Roman" w:eastAsia="Times New Roman" w:hAnsi="Times New Roman" w:cs="Times New Roman"/>
          <w:b/>
          <w:iCs/>
          <w:color w:val="000000"/>
          <w:spacing w:val="2"/>
          <w:kern w:val="0"/>
          <w:sz w:val="24"/>
          <w:szCs w:val="24"/>
          <w14:ligatures w14:val="none"/>
        </w:rPr>
      </w:pPr>
      <w:r w:rsidRPr="002C07D9">
        <w:rPr>
          <w:rFonts w:ascii="Times New Roman" w:eastAsia="Times New Roman" w:hAnsi="Times New Roman" w:cs="Times New Roman"/>
          <w:b/>
          <w:iCs/>
          <w:color w:val="000000"/>
          <w:spacing w:val="2"/>
          <w:kern w:val="0"/>
          <w:sz w:val="24"/>
          <w:szCs w:val="24"/>
          <w14:ligatures w14:val="none"/>
        </w:rPr>
        <w:t>2.1.1. Karma yem/evcil hayvan yemi</w:t>
      </w:r>
    </w:p>
    <w:p w14:paraId="3E92F507"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Enerji verimliliğini artırmaya yönelik genel teknikler bu MET sonuçlarının 1.3 Bölümünde verilmiştir. Gösterge niteliğindeki çevresel performans seviyeleri aşağıdaki tabloda sunulmuştur.</w:t>
      </w:r>
    </w:p>
    <w:p w14:paraId="26CEE4E9" w14:textId="77777777" w:rsidR="003B155E" w:rsidRPr="002C07D9" w:rsidRDefault="003B155E" w:rsidP="003B155E">
      <w:pPr>
        <w:spacing w:after="0" w:line="276" w:lineRule="auto"/>
        <w:jc w:val="both"/>
        <w:rPr>
          <w:rFonts w:ascii="Times New Roman" w:eastAsia="Times New Roman" w:hAnsi="Times New Roman" w:cs="Times New Roman"/>
          <w:b/>
          <w:spacing w:val="2"/>
          <w:kern w:val="0"/>
          <w:sz w:val="24"/>
          <w:szCs w:val="24"/>
          <w14:ligatures w14:val="none"/>
        </w:rPr>
      </w:pPr>
    </w:p>
    <w:p w14:paraId="6A30908A"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Tablo 2</w:t>
      </w:r>
    </w:p>
    <w:p w14:paraId="6425EC6D"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Spesifik enerji tüketimi için gösterge niteliğindeki çevresel performans seviyeleri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93"/>
        <w:gridCol w:w="2063"/>
        <w:gridCol w:w="3706"/>
      </w:tblGrid>
      <w:tr w:rsidR="003B155E" w:rsidRPr="002C07D9" w14:paraId="02447BB9" w14:textId="77777777" w:rsidTr="000D79D6">
        <w:tc>
          <w:tcPr>
            <w:tcW w:w="1817" w:type="pct"/>
          </w:tcPr>
          <w:p w14:paraId="1DEBF9D3"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Ürün</w:t>
            </w:r>
          </w:p>
        </w:tc>
        <w:tc>
          <w:tcPr>
            <w:tcW w:w="1138" w:type="pct"/>
          </w:tcPr>
          <w:p w14:paraId="00DBE088"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045" w:type="pct"/>
          </w:tcPr>
          <w:p w14:paraId="0E4182D2"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4D684E40" w14:textId="77777777" w:rsidTr="000D79D6">
        <w:tc>
          <w:tcPr>
            <w:tcW w:w="1817" w:type="pct"/>
            <w:vAlign w:val="center"/>
          </w:tcPr>
          <w:p w14:paraId="184B277D" w14:textId="77777777" w:rsidR="003B155E" w:rsidRPr="002C07D9" w:rsidRDefault="003B155E" w:rsidP="000D79D6">
            <w:pPr>
              <w:widowControl w:val="0"/>
              <w:spacing w:after="0" w:line="276"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 xml:space="preserve">Karma yem </w:t>
            </w:r>
          </w:p>
        </w:tc>
        <w:tc>
          <w:tcPr>
            <w:tcW w:w="1138" w:type="pct"/>
            <w:vMerge w:val="restart"/>
            <w:vAlign w:val="center"/>
          </w:tcPr>
          <w:p w14:paraId="163695E2"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MWh/ton ürün</w:t>
            </w:r>
          </w:p>
        </w:tc>
        <w:tc>
          <w:tcPr>
            <w:tcW w:w="2045" w:type="pct"/>
          </w:tcPr>
          <w:p w14:paraId="4720B90F"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0,01-0,10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 (</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w:t>
            </w:r>
          </w:p>
        </w:tc>
      </w:tr>
      <w:tr w:rsidR="003B155E" w:rsidRPr="002C07D9" w14:paraId="6691BB87" w14:textId="77777777" w:rsidTr="000D79D6">
        <w:tc>
          <w:tcPr>
            <w:tcW w:w="1817" w:type="pct"/>
            <w:vAlign w:val="center"/>
          </w:tcPr>
          <w:p w14:paraId="358ECEA8" w14:textId="77777777" w:rsidR="003B155E" w:rsidRPr="002C07D9" w:rsidRDefault="003B155E" w:rsidP="000D79D6">
            <w:pPr>
              <w:widowControl w:val="0"/>
              <w:spacing w:after="0" w:line="276"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 xml:space="preserve">Kuru evcil hayvan maması </w:t>
            </w:r>
          </w:p>
        </w:tc>
        <w:tc>
          <w:tcPr>
            <w:tcW w:w="1138" w:type="pct"/>
            <w:vMerge/>
          </w:tcPr>
          <w:p w14:paraId="429AE1F7"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2045" w:type="pct"/>
          </w:tcPr>
          <w:p w14:paraId="4ADB9FE4"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0,39-0,50</w:t>
            </w:r>
          </w:p>
        </w:tc>
      </w:tr>
      <w:tr w:rsidR="003B155E" w:rsidRPr="002C07D9" w14:paraId="25C8B466" w14:textId="77777777" w:rsidTr="000D79D6">
        <w:tc>
          <w:tcPr>
            <w:tcW w:w="1817" w:type="pct"/>
            <w:vAlign w:val="center"/>
          </w:tcPr>
          <w:p w14:paraId="7FD411BD" w14:textId="77777777" w:rsidR="003B155E" w:rsidRPr="002C07D9" w:rsidRDefault="003B155E" w:rsidP="000D79D6">
            <w:pPr>
              <w:widowControl w:val="0"/>
              <w:spacing w:after="0" w:line="276"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Yaş evcil hayvan maması</w:t>
            </w:r>
          </w:p>
        </w:tc>
        <w:tc>
          <w:tcPr>
            <w:tcW w:w="1138" w:type="pct"/>
            <w:vMerge/>
          </w:tcPr>
          <w:p w14:paraId="05B98EDA"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2045" w:type="pct"/>
          </w:tcPr>
          <w:p w14:paraId="3AA9F92B"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0,33-0,85</w:t>
            </w:r>
          </w:p>
        </w:tc>
      </w:tr>
      <w:tr w:rsidR="003B155E" w:rsidRPr="002C07D9" w14:paraId="6D41769F" w14:textId="77777777" w:rsidTr="000D79D6">
        <w:tc>
          <w:tcPr>
            <w:tcW w:w="5000" w:type="pct"/>
            <w:gridSpan w:val="3"/>
          </w:tcPr>
          <w:p w14:paraId="1FBD755D"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xml:space="preserve">) Aralığın alt sınırı peletleme uygulanmadığında elde edilebilir. </w:t>
            </w:r>
          </w:p>
          <w:p w14:paraId="424C2F20"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xml:space="preserve">) Spesifik enerji tüketim seviyesi, hammadde olarak balık ve diğer suda yaşayan hayvanlar kullanıldığında geçerli olmayabilir. </w:t>
            </w:r>
          </w:p>
          <w:p w14:paraId="7FB8BD42" w14:textId="77777777" w:rsidR="003B155E" w:rsidRPr="002C07D9" w:rsidRDefault="003B155E" w:rsidP="000D79D6">
            <w:pPr>
              <w:widowControl w:val="0"/>
              <w:pBdr>
                <w:top w:val="nil"/>
                <w:left w:val="nil"/>
                <w:bottom w:val="nil"/>
                <w:right w:val="nil"/>
                <w:between w:val="nil"/>
              </w:pBdr>
              <w:spacing w:after="0" w:line="276"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3</w:t>
            </w:r>
            <w:r w:rsidRPr="002C07D9">
              <w:rPr>
                <w:rFonts w:ascii="Times New Roman" w:eastAsia="Times New Roman" w:hAnsi="Times New Roman" w:cs="Courier New"/>
                <w:color w:val="000000"/>
                <w:kern w:val="0"/>
                <w:sz w:val="20"/>
                <w:szCs w:val="20"/>
                <w:lang w:eastAsia="tr-TR"/>
                <w14:ligatures w14:val="none"/>
              </w:rPr>
              <w:t>) Soğuk iklimlerde bulunan tesisler için ve/veya Salmonella dekontaminasyonu için ısıl işlem kullanıldığında aralığın üst ucu 0,12 MWh/ton üründür.</w:t>
            </w:r>
          </w:p>
        </w:tc>
      </w:tr>
    </w:tbl>
    <w:p w14:paraId="0370B677" w14:textId="16BCB0BE" w:rsidR="003B155E" w:rsidRDefault="003B155E" w:rsidP="003B155E">
      <w:pPr>
        <w:spacing w:after="0" w:line="276" w:lineRule="auto"/>
        <w:jc w:val="both"/>
        <w:rPr>
          <w:rFonts w:ascii="Times New Roman" w:eastAsia="Times New Roman" w:hAnsi="Times New Roman" w:cs="Times New Roman"/>
          <w:b/>
          <w:spacing w:val="2"/>
          <w:kern w:val="0"/>
          <w:sz w:val="24"/>
          <w:szCs w:val="24"/>
          <w14:ligatures w14:val="none"/>
        </w:rPr>
      </w:pPr>
    </w:p>
    <w:p w14:paraId="16149AB8" w14:textId="1050EE0B" w:rsidR="003B155E" w:rsidRPr="002C07D9" w:rsidRDefault="003B155E" w:rsidP="003B155E">
      <w:pPr>
        <w:keepNext/>
        <w:keepLines/>
        <w:widowControl w:val="0"/>
        <w:spacing w:after="0" w:line="360" w:lineRule="auto"/>
        <w:jc w:val="both"/>
        <w:outlineLvl w:val="3"/>
        <w:rPr>
          <w:rFonts w:ascii="Times New Roman" w:eastAsia="Times New Roman" w:hAnsi="Times New Roman" w:cs="Times New Roman"/>
          <w:b/>
          <w:iCs/>
          <w:color w:val="000000"/>
          <w:spacing w:val="2"/>
          <w:kern w:val="0"/>
          <w:sz w:val="24"/>
          <w:szCs w:val="24"/>
          <w14:ligatures w14:val="none"/>
        </w:rPr>
      </w:pPr>
      <w:r w:rsidRPr="002C07D9">
        <w:rPr>
          <w:rFonts w:ascii="Times New Roman" w:eastAsia="Times New Roman" w:hAnsi="Times New Roman" w:cs="Times New Roman"/>
          <w:b/>
          <w:iCs/>
          <w:color w:val="000000"/>
          <w:spacing w:val="2"/>
          <w:kern w:val="0"/>
          <w:sz w:val="24"/>
          <w:szCs w:val="24"/>
          <w14:ligatures w14:val="none"/>
        </w:rPr>
        <w:t>2.1.2. Karma yem/evcil hayvan yemi</w:t>
      </w:r>
    </w:p>
    <w:p w14:paraId="2F80541F" w14:textId="688026AA"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
          <w:color w:val="000000"/>
          <w:spacing w:val="2"/>
          <w:kern w:val="0"/>
          <w:sz w:val="24"/>
          <w:szCs w:val="24"/>
          <w14:ligatures w14:val="none"/>
        </w:rPr>
        <w:t>MET</w:t>
      </w:r>
      <w:r w:rsidRPr="002C07D9">
        <w:rPr>
          <w:rFonts w:ascii="Times New Roman" w:eastAsia="Times New Roman" w:hAnsi="Times New Roman" w:cs="Times New Roman"/>
          <w:b/>
          <w:spacing w:val="2"/>
          <w:kern w:val="0"/>
          <w:sz w:val="24"/>
          <w14:ligatures w14:val="none"/>
        </w:rPr>
        <w:t xml:space="preserve"> 16: </w:t>
      </w:r>
      <w:r w:rsidRPr="002C07D9">
        <w:rPr>
          <w:rFonts w:ascii="Times New Roman" w:eastAsia="Times New Roman" w:hAnsi="Times New Roman" w:cs="Times New Roman"/>
          <w:bCs/>
          <w:spacing w:val="2"/>
          <w:kern w:val="0"/>
          <w:sz w:val="24"/>
          <w14:ligatures w14:val="none"/>
        </w:rPr>
        <w:t>Yeşil yem işlemede enerji verimliliğini artırmak için, MET 6’da belirtilen tekniklerin ve aşağıda verilen tekniklerin uygun bir kombinasyonunu kullanmaktır.</w:t>
      </w:r>
    </w:p>
    <w:tbl>
      <w:tblPr>
        <w:tblStyle w:val="TabloKlavuzu10"/>
        <w:tblW w:w="9355" w:type="dxa"/>
        <w:tblLook w:val="04A0" w:firstRow="1" w:lastRow="0" w:firstColumn="1" w:lastColumn="0" w:noHBand="0" w:noVBand="1"/>
      </w:tblPr>
      <w:tblGrid>
        <w:gridCol w:w="473"/>
        <w:gridCol w:w="2357"/>
        <w:gridCol w:w="3544"/>
        <w:gridCol w:w="2981"/>
      </w:tblGrid>
      <w:tr w:rsidR="003B155E" w:rsidRPr="002C07D9" w14:paraId="7D03658A" w14:textId="77777777" w:rsidTr="000D79D6">
        <w:tc>
          <w:tcPr>
            <w:tcW w:w="2830" w:type="dxa"/>
            <w:gridSpan w:val="2"/>
            <w:vAlign w:val="center"/>
          </w:tcPr>
          <w:p w14:paraId="6927E37B"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Teknik</w:t>
            </w:r>
          </w:p>
        </w:tc>
        <w:tc>
          <w:tcPr>
            <w:tcW w:w="3544" w:type="dxa"/>
            <w:vAlign w:val="center"/>
          </w:tcPr>
          <w:p w14:paraId="3A4EC4B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Tanım</w:t>
            </w:r>
          </w:p>
        </w:tc>
        <w:tc>
          <w:tcPr>
            <w:tcW w:w="2981" w:type="dxa"/>
            <w:vAlign w:val="center"/>
          </w:tcPr>
          <w:p w14:paraId="7ADCA06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Uygulanabilirlik</w:t>
            </w:r>
          </w:p>
        </w:tc>
      </w:tr>
      <w:tr w:rsidR="003B155E" w:rsidRPr="002C07D9" w14:paraId="744D97C5" w14:textId="77777777" w:rsidTr="000D79D6">
        <w:tc>
          <w:tcPr>
            <w:tcW w:w="473" w:type="dxa"/>
            <w:vAlign w:val="center"/>
          </w:tcPr>
          <w:p w14:paraId="065B475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2357" w:type="dxa"/>
            <w:vAlign w:val="center"/>
          </w:tcPr>
          <w:p w14:paraId="76CD615F" w14:textId="77777777" w:rsidR="003B155E" w:rsidRPr="002C07D9" w:rsidRDefault="003B155E" w:rsidP="000D79D6">
            <w:pPr>
              <w:widowControl w:val="0"/>
              <w:shd w:val="clear" w:color="auto" w:fill="FFFFFF"/>
              <w:ind w:hanging="14"/>
              <w:rPr>
                <w:rFonts w:ascii="Times New Roman" w:hAnsi="Times New Roman" w:cs="Times New Roman"/>
              </w:rPr>
            </w:pPr>
            <w:r w:rsidRPr="002C07D9">
              <w:rPr>
                <w:rFonts w:ascii="Times New Roman" w:hAnsi="Times New Roman" w:cs="Times New Roman"/>
              </w:rPr>
              <w:t>Önceden kurutulmuş yem kullanımı</w:t>
            </w:r>
          </w:p>
        </w:tc>
        <w:tc>
          <w:tcPr>
            <w:tcW w:w="3544" w:type="dxa"/>
            <w:vAlign w:val="center"/>
          </w:tcPr>
          <w:p w14:paraId="401D6842" w14:textId="77777777" w:rsidR="003B155E" w:rsidRPr="002C07D9" w:rsidRDefault="003B155E" w:rsidP="000D79D6">
            <w:pPr>
              <w:pBdr>
                <w:top w:val="nil"/>
                <w:left w:val="nil"/>
                <w:bottom w:val="nil"/>
                <w:right w:val="nil"/>
                <w:between w:val="nil"/>
              </w:pBdr>
              <w:ind w:left="38"/>
              <w:rPr>
                <w:rFonts w:ascii="Times New Roman" w:hAnsi="Times New Roman" w:cs="Times New Roman"/>
                <w:color w:val="000000"/>
              </w:rPr>
            </w:pPr>
            <w:r w:rsidRPr="002C07D9">
              <w:rPr>
                <w:rFonts w:ascii="Times New Roman" w:hAnsi="Times New Roman" w:cs="Times New Roman"/>
                <w:color w:val="000000"/>
              </w:rPr>
              <w:t>Önceden kurutulmuş yem kullanımı (örn. düz ön sarma ile).</w:t>
            </w:r>
          </w:p>
        </w:tc>
        <w:tc>
          <w:tcPr>
            <w:tcW w:w="2981" w:type="dxa"/>
            <w:vAlign w:val="center"/>
          </w:tcPr>
          <w:p w14:paraId="4335716F"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Islak proses durumunda geçerli değildir.</w:t>
            </w:r>
          </w:p>
        </w:tc>
      </w:tr>
      <w:tr w:rsidR="003B155E" w:rsidRPr="002C07D9" w14:paraId="079C0FDA" w14:textId="77777777" w:rsidTr="000D79D6">
        <w:tc>
          <w:tcPr>
            <w:tcW w:w="473" w:type="dxa"/>
            <w:vAlign w:val="center"/>
          </w:tcPr>
          <w:p w14:paraId="5FC468B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(b)</w:t>
            </w:r>
          </w:p>
        </w:tc>
        <w:tc>
          <w:tcPr>
            <w:tcW w:w="2357" w:type="dxa"/>
            <w:vAlign w:val="center"/>
          </w:tcPr>
          <w:p w14:paraId="0CF1E99C"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Kurutucudan çıkan atık gazın geri dönüşümü</w:t>
            </w:r>
          </w:p>
        </w:tc>
        <w:tc>
          <w:tcPr>
            <w:tcW w:w="3544" w:type="dxa"/>
            <w:vAlign w:val="center"/>
          </w:tcPr>
          <w:p w14:paraId="379BB0D5" w14:textId="77777777" w:rsidR="003B155E" w:rsidRPr="002C07D9" w:rsidRDefault="003B155E" w:rsidP="000D79D6">
            <w:pPr>
              <w:pBdr>
                <w:top w:val="nil"/>
                <w:left w:val="nil"/>
                <w:bottom w:val="nil"/>
                <w:right w:val="nil"/>
                <w:between w:val="nil"/>
              </w:pBdr>
              <w:ind w:left="29"/>
              <w:contextualSpacing/>
              <w:rPr>
                <w:rFonts w:ascii="Times New Roman" w:hAnsi="Times New Roman" w:cs="Times New Roman"/>
                <w:spacing w:val="2"/>
                <w:position w:val="-1"/>
              </w:rPr>
            </w:pPr>
            <w:r w:rsidRPr="002C07D9">
              <w:rPr>
                <w:rFonts w:ascii="Times New Roman" w:hAnsi="Times New Roman" w:cs="Times New Roman"/>
                <w:color w:val="000000"/>
              </w:rPr>
              <w:t>Atık gazın siklondan kurutucunun brülörüne enjekte edilmesi.</w:t>
            </w:r>
          </w:p>
        </w:tc>
        <w:tc>
          <w:tcPr>
            <w:tcW w:w="2981" w:type="dxa"/>
            <w:vMerge w:val="restart"/>
            <w:vAlign w:val="center"/>
          </w:tcPr>
          <w:p w14:paraId="6ADBA6D4" w14:textId="77777777" w:rsidR="003B155E" w:rsidRPr="002C07D9" w:rsidRDefault="003B155E" w:rsidP="000D79D6">
            <w:pPr>
              <w:widowControl w:val="0"/>
              <w:shd w:val="clear" w:color="auto" w:fill="FFFFFF"/>
              <w:rPr>
                <w:rFonts w:ascii="Times New Roman" w:hAnsi="Times New Roman" w:cs="Times New Roman"/>
              </w:rPr>
            </w:pPr>
            <w:r w:rsidRPr="002C07D9">
              <w:rPr>
                <w:rFonts w:ascii="Times New Roman" w:hAnsi="Times New Roman" w:cs="Times New Roman"/>
              </w:rPr>
              <w:t>Genel olarak uygulanabilir.</w:t>
            </w:r>
          </w:p>
        </w:tc>
      </w:tr>
      <w:tr w:rsidR="003B155E" w:rsidRPr="002C07D9" w14:paraId="224ECBCC" w14:textId="77777777" w:rsidTr="000D79D6">
        <w:tc>
          <w:tcPr>
            <w:tcW w:w="473" w:type="dxa"/>
            <w:vAlign w:val="center"/>
          </w:tcPr>
          <w:p w14:paraId="0918C2F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2357" w:type="dxa"/>
            <w:vAlign w:val="center"/>
          </w:tcPr>
          <w:p w14:paraId="15FD1E8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Ön kurutma için atık ısı kullanımı</w:t>
            </w:r>
          </w:p>
        </w:tc>
        <w:tc>
          <w:tcPr>
            <w:tcW w:w="3544" w:type="dxa"/>
            <w:vAlign w:val="center"/>
          </w:tcPr>
          <w:p w14:paraId="2A88165A" w14:textId="77777777" w:rsidR="003B155E" w:rsidRPr="002C07D9" w:rsidRDefault="003B155E" w:rsidP="000D79D6">
            <w:pPr>
              <w:pBdr>
                <w:top w:val="nil"/>
                <w:left w:val="nil"/>
                <w:bottom w:val="nil"/>
                <w:right w:val="nil"/>
                <w:between w:val="nil"/>
              </w:pBdr>
              <w:ind w:left="28"/>
              <w:rPr>
                <w:rFonts w:ascii="Times New Roman" w:hAnsi="Times New Roman" w:cs="Times New Roman"/>
                <w:color w:val="000000"/>
              </w:rPr>
            </w:pPr>
            <w:r w:rsidRPr="002C07D9">
              <w:rPr>
                <w:rFonts w:ascii="Times New Roman" w:hAnsi="Times New Roman" w:cs="Times New Roman"/>
                <w:color w:val="000000"/>
              </w:rPr>
              <w:t>Yüksek sıcaklıklı kurutuculardan çıkan buharın ısısı, yeşil yemin bir kısmını veya tamamını önceden kurutmak için kullanılır.</w:t>
            </w:r>
          </w:p>
        </w:tc>
        <w:tc>
          <w:tcPr>
            <w:tcW w:w="2981" w:type="dxa"/>
            <w:vMerge/>
            <w:vAlign w:val="center"/>
          </w:tcPr>
          <w:p w14:paraId="41CE4C38" w14:textId="77777777" w:rsidR="003B155E" w:rsidRPr="002C07D9" w:rsidRDefault="003B155E" w:rsidP="000D79D6">
            <w:pPr>
              <w:widowControl w:val="0"/>
              <w:tabs>
                <w:tab w:val="left" w:pos="562"/>
              </w:tabs>
              <w:rPr>
                <w:rFonts w:ascii="Times New Roman" w:hAnsi="Times New Roman" w:cs="Times New Roman"/>
              </w:rPr>
            </w:pPr>
          </w:p>
        </w:tc>
      </w:tr>
    </w:tbl>
    <w:p w14:paraId="43ED2794" w14:textId="77777777" w:rsidR="003B155E" w:rsidRPr="002C07D9" w:rsidRDefault="003B155E" w:rsidP="003B155E">
      <w:pPr>
        <w:spacing w:after="0" w:line="276" w:lineRule="auto"/>
        <w:jc w:val="both"/>
        <w:rPr>
          <w:rFonts w:ascii="Times New Roman" w:eastAsia="Times New Roman" w:hAnsi="Times New Roman" w:cs="Times New Roman"/>
          <w:b/>
          <w:spacing w:val="2"/>
          <w:kern w:val="0"/>
          <w:sz w:val="24"/>
          <w:szCs w:val="24"/>
          <w14:ligatures w14:val="none"/>
        </w:rPr>
      </w:pPr>
    </w:p>
    <w:p w14:paraId="7C1423C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2.2. </w:t>
      </w:r>
      <w:r w:rsidRPr="002C07D9">
        <w:rPr>
          <w:rFonts w:ascii="Times New Roman" w:eastAsia="Times New Roman" w:hAnsi="Times New Roman" w:cs="Times New Roman"/>
          <w:b/>
          <w:bCs/>
          <w:color w:val="000000"/>
          <w:kern w:val="0"/>
          <w:sz w:val="24"/>
          <w:szCs w:val="24"/>
          <w:lang w:eastAsia="tr-TR"/>
          <w14:ligatures w14:val="none"/>
        </w:rPr>
        <w:t>Su Tüketimi ve Atıksu Deşarjı</w:t>
      </w:r>
    </w:p>
    <w:p w14:paraId="2BAD0F97"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Su tüketimini ve deşarj edilen atıksu hacmini azaltmaya yönelik genel teknikler bu MET sonuçlarının 1.4 Bölümünde verilmiştir. Gösterge niteliğindeki çevresel performans seviyesi aşağıdaki tabloda sunulmuştur.</w:t>
      </w:r>
    </w:p>
    <w:p w14:paraId="293BD139"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0"/>
          <w:szCs w:val="20"/>
          <w14:ligatures w14:val="none"/>
        </w:rPr>
      </w:pPr>
    </w:p>
    <w:p w14:paraId="76D6487A"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Tablo 3</w:t>
      </w:r>
    </w:p>
    <w:p w14:paraId="15A7692F"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Spesifik atıksu deşarjı için gösterge niteliğindeki çevresel performans seviyesi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93"/>
        <w:gridCol w:w="2063"/>
        <w:gridCol w:w="3706"/>
      </w:tblGrid>
      <w:tr w:rsidR="003B155E" w:rsidRPr="002C07D9" w14:paraId="09C6F424" w14:textId="77777777" w:rsidTr="000D79D6">
        <w:tc>
          <w:tcPr>
            <w:tcW w:w="1817" w:type="pct"/>
          </w:tcPr>
          <w:p w14:paraId="527AE31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Ürün</w:t>
            </w:r>
          </w:p>
        </w:tc>
        <w:tc>
          <w:tcPr>
            <w:tcW w:w="1138" w:type="pct"/>
          </w:tcPr>
          <w:p w14:paraId="4F672AAB"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045" w:type="pct"/>
          </w:tcPr>
          <w:p w14:paraId="43DCD43D"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235F4D70" w14:textId="77777777" w:rsidTr="000D79D6">
        <w:tc>
          <w:tcPr>
            <w:tcW w:w="1817" w:type="pct"/>
            <w:tcBorders>
              <w:bottom w:val="single" w:sz="4" w:space="0" w:color="auto"/>
            </w:tcBorders>
            <w:vAlign w:val="center"/>
          </w:tcPr>
          <w:p w14:paraId="3090C399" w14:textId="77777777" w:rsidR="003B155E" w:rsidRPr="002C07D9" w:rsidRDefault="003B155E" w:rsidP="000D79D6">
            <w:pPr>
              <w:widowControl w:val="0"/>
              <w:spacing w:after="0" w:line="276"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Yaş evcil hayvan maması</w:t>
            </w:r>
          </w:p>
        </w:tc>
        <w:tc>
          <w:tcPr>
            <w:tcW w:w="1138" w:type="pct"/>
            <w:tcBorders>
              <w:bottom w:val="single" w:sz="4" w:space="0" w:color="auto"/>
            </w:tcBorders>
            <w:vAlign w:val="center"/>
          </w:tcPr>
          <w:p w14:paraId="3CAC991A"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/ton ürün</w:t>
            </w:r>
          </w:p>
        </w:tc>
        <w:tc>
          <w:tcPr>
            <w:tcW w:w="2045" w:type="pct"/>
          </w:tcPr>
          <w:p w14:paraId="447A5017"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1,3-1,4</w:t>
            </w:r>
          </w:p>
        </w:tc>
      </w:tr>
    </w:tbl>
    <w:p w14:paraId="1A2A7551" w14:textId="77777777" w:rsidR="003B155E" w:rsidRPr="002C07D9" w:rsidRDefault="003B155E" w:rsidP="003B155E">
      <w:pPr>
        <w:spacing w:after="0" w:line="276" w:lineRule="auto"/>
        <w:jc w:val="both"/>
        <w:rPr>
          <w:rFonts w:ascii="Times New Roman" w:eastAsia="Times New Roman" w:hAnsi="Times New Roman" w:cs="Times New Roman"/>
          <w:b/>
          <w:spacing w:val="2"/>
          <w:kern w:val="0"/>
          <w:sz w:val="24"/>
          <w:szCs w:val="24"/>
          <w14:ligatures w14:val="none"/>
        </w:rPr>
      </w:pPr>
    </w:p>
    <w:p w14:paraId="69E35DAB"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2.3. </w:t>
      </w:r>
      <w:r w:rsidRPr="002C07D9">
        <w:rPr>
          <w:rFonts w:ascii="Times New Roman" w:eastAsia="Times New Roman" w:hAnsi="Times New Roman" w:cs="Times New Roman"/>
          <w:b/>
          <w:bCs/>
          <w:color w:val="000000"/>
          <w:kern w:val="0"/>
          <w:sz w:val="24"/>
          <w:szCs w:val="24"/>
          <w:lang w:eastAsia="tr-TR"/>
          <w14:ligatures w14:val="none"/>
        </w:rPr>
        <w:t>Hava Emisyonları</w:t>
      </w:r>
    </w:p>
    <w:p w14:paraId="528D60A2" w14:textId="5870DBC6" w:rsidR="003B155E"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17: </w:t>
      </w:r>
      <w:r w:rsidRPr="002C07D9">
        <w:rPr>
          <w:rFonts w:ascii="Times New Roman" w:eastAsia="Times New Roman" w:hAnsi="Times New Roman" w:cs="Times New Roman"/>
          <w:bCs/>
          <w:spacing w:val="2"/>
          <w:kern w:val="0"/>
          <w:sz w:val="24"/>
          <w:szCs w:val="24"/>
          <w14:ligatures w14:val="none"/>
        </w:rPr>
        <w:t>Havaya kanalize olan toz emisyonlarını azaltmak için aşağıda verilen tekniklerden biri kullanılır.</w:t>
      </w:r>
    </w:p>
    <w:p w14:paraId="7CAC32A9" w14:textId="77777777" w:rsidR="00541520" w:rsidRPr="002C07D9" w:rsidRDefault="00541520" w:rsidP="003B155E">
      <w:pPr>
        <w:spacing w:after="0" w:line="276" w:lineRule="auto"/>
        <w:jc w:val="both"/>
        <w:rPr>
          <w:rFonts w:ascii="Times New Roman" w:eastAsia="Times New Roman" w:hAnsi="Times New Roman" w:cs="Times New Roman"/>
          <w:bCs/>
          <w:spacing w:val="2"/>
          <w:kern w:val="0"/>
          <w:sz w:val="24"/>
          <w:szCs w:val="24"/>
          <w14:ligatures w14:val="none"/>
        </w:rPr>
      </w:pPr>
    </w:p>
    <w:tbl>
      <w:tblPr>
        <w:tblStyle w:val="TabloKlavuzu10"/>
        <w:tblW w:w="9355" w:type="dxa"/>
        <w:tblLook w:val="04A0" w:firstRow="1" w:lastRow="0" w:firstColumn="1" w:lastColumn="0" w:noHBand="0" w:noVBand="1"/>
      </w:tblPr>
      <w:tblGrid>
        <w:gridCol w:w="473"/>
        <w:gridCol w:w="1649"/>
        <w:gridCol w:w="2409"/>
        <w:gridCol w:w="4824"/>
      </w:tblGrid>
      <w:tr w:rsidR="003B155E" w:rsidRPr="002C07D9" w14:paraId="062619A9" w14:textId="77777777" w:rsidTr="000D79D6">
        <w:tc>
          <w:tcPr>
            <w:tcW w:w="2122" w:type="dxa"/>
            <w:gridSpan w:val="2"/>
          </w:tcPr>
          <w:p w14:paraId="14C0F5D4"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lastRenderedPageBreak/>
              <w:t>Teknik</w:t>
            </w:r>
          </w:p>
        </w:tc>
        <w:tc>
          <w:tcPr>
            <w:tcW w:w="2409" w:type="dxa"/>
          </w:tcPr>
          <w:p w14:paraId="49A38AB9"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Tanım</w:t>
            </w:r>
          </w:p>
        </w:tc>
        <w:tc>
          <w:tcPr>
            <w:tcW w:w="4824" w:type="dxa"/>
          </w:tcPr>
          <w:p w14:paraId="220DCAB4"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Uygulanabilirlik</w:t>
            </w:r>
          </w:p>
        </w:tc>
      </w:tr>
      <w:tr w:rsidR="003B155E" w:rsidRPr="002C07D9" w14:paraId="2232CCF3" w14:textId="77777777" w:rsidTr="000D79D6">
        <w:tc>
          <w:tcPr>
            <w:tcW w:w="473" w:type="dxa"/>
          </w:tcPr>
          <w:p w14:paraId="7EB319B2"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(a)</w:t>
            </w:r>
          </w:p>
        </w:tc>
        <w:tc>
          <w:tcPr>
            <w:tcW w:w="1649" w:type="dxa"/>
          </w:tcPr>
          <w:p w14:paraId="37EDAF6F" w14:textId="77777777" w:rsidR="003B155E" w:rsidRPr="002C07D9" w:rsidRDefault="003B155E" w:rsidP="000D79D6">
            <w:pPr>
              <w:widowControl w:val="0"/>
              <w:shd w:val="clear" w:color="auto" w:fill="FFFFFF"/>
              <w:ind w:hanging="14"/>
              <w:jc w:val="both"/>
              <w:rPr>
                <w:rFonts w:ascii="Times New Roman" w:hAnsi="Times New Roman" w:cs="Times New Roman"/>
              </w:rPr>
            </w:pPr>
            <w:r w:rsidRPr="002C07D9">
              <w:rPr>
                <w:rFonts w:ascii="Times New Roman" w:hAnsi="Times New Roman" w:cs="Times New Roman"/>
              </w:rPr>
              <w:t>Torba filtre</w:t>
            </w:r>
          </w:p>
        </w:tc>
        <w:tc>
          <w:tcPr>
            <w:tcW w:w="2409" w:type="dxa"/>
            <w:vMerge w:val="restart"/>
            <w:vAlign w:val="center"/>
          </w:tcPr>
          <w:p w14:paraId="34701336" w14:textId="77777777" w:rsidR="003B155E" w:rsidRPr="002C07D9" w:rsidRDefault="003B155E" w:rsidP="000D79D6">
            <w:pPr>
              <w:pBdr>
                <w:top w:val="nil"/>
                <w:left w:val="nil"/>
                <w:bottom w:val="nil"/>
                <w:right w:val="nil"/>
                <w:between w:val="nil"/>
              </w:pBdr>
              <w:ind w:left="38"/>
              <w:rPr>
                <w:rFonts w:ascii="Times New Roman" w:hAnsi="Times New Roman" w:cs="Times New Roman"/>
                <w:color w:val="000000"/>
              </w:rPr>
            </w:pPr>
            <w:r w:rsidRPr="002C07D9">
              <w:rPr>
                <w:rFonts w:ascii="Times New Roman" w:hAnsi="Times New Roman" w:cs="Times New Roman"/>
                <w:color w:val="000000"/>
              </w:rPr>
              <w:t>Bkz. B</w:t>
            </w:r>
            <w:r w:rsidRPr="002C07D9">
              <w:rPr>
                <w:rFonts w:ascii="Times New Roman" w:hAnsi="Times New Roman"/>
                <w:color w:val="000000"/>
              </w:rPr>
              <w:t>ölüm 14.2</w:t>
            </w:r>
          </w:p>
        </w:tc>
        <w:tc>
          <w:tcPr>
            <w:tcW w:w="4824" w:type="dxa"/>
            <w:vAlign w:val="center"/>
          </w:tcPr>
          <w:p w14:paraId="4A9DC8F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Yapışkan tozun azaltılması için geçerli olmayabilir.</w:t>
            </w:r>
          </w:p>
        </w:tc>
      </w:tr>
      <w:tr w:rsidR="003B155E" w:rsidRPr="002C07D9" w14:paraId="601DDBC6" w14:textId="77777777" w:rsidTr="000D79D6">
        <w:tc>
          <w:tcPr>
            <w:tcW w:w="473" w:type="dxa"/>
          </w:tcPr>
          <w:p w14:paraId="11ED425F"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(b)</w:t>
            </w:r>
          </w:p>
        </w:tc>
        <w:tc>
          <w:tcPr>
            <w:tcW w:w="1649" w:type="dxa"/>
          </w:tcPr>
          <w:p w14:paraId="561803E9"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color w:val="000000"/>
              </w:rPr>
              <w:t>S</w:t>
            </w:r>
            <w:r w:rsidRPr="002C07D9">
              <w:rPr>
                <w:rFonts w:ascii="Times New Roman" w:hAnsi="Times New Roman" w:cs="Times New Roman"/>
              </w:rPr>
              <w:t>iklon</w:t>
            </w:r>
          </w:p>
        </w:tc>
        <w:tc>
          <w:tcPr>
            <w:tcW w:w="2409" w:type="dxa"/>
            <w:vMerge/>
          </w:tcPr>
          <w:p w14:paraId="725AF3D5" w14:textId="77777777" w:rsidR="003B155E" w:rsidRPr="002C07D9" w:rsidRDefault="003B155E" w:rsidP="000D79D6">
            <w:pPr>
              <w:pBdr>
                <w:top w:val="nil"/>
                <w:left w:val="nil"/>
                <w:bottom w:val="nil"/>
                <w:right w:val="nil"/>
                <w:between w:val="nil"/>
              </w:pBdr>
              <w:ind w:left="29"/>
              <w:contextualSpacing/>
              <w:jc w:val="both"/>
              <w:rPr>
                <w:rFonts w:ascii="Times New Roman" w:hAnsi="Times New Roman" w:cs="Times New Roman"/>
                <w:spacing w:val="2"/>
                <w:position w:val="-1"/>
                <w:lang w:val="en-US"/>
              </w:rPr>
            </w:pPr>
          </w:p>
        </w:tc>
        <w:tc>
          <w:tcPr>
            <w:tcW w:w="4824" w:type="dxa"/>
          </w:tcPr>
          <w:p w14:paraId="26492BB1" w14:textId="77777777" w:rsidR="003B155E" w:rsidRPr="002C07D9" w:rsidRDefault="003B155E" w:rsidP="000D79D6">
            <w:pPr>
              <w:widowControl w:val="0"/>
              <w:shd w:val="clear" w:color="auto" w:fill="FFFFFF"/>
              <w:jc w:val="both"/>
              <w:rPr>
                <w:rFonts w:ascii="Times New Roman" w:hAnsi="Times New Roman" w:cs="Times New Roman"/>
              </w:rPr>
            </w:pPr>
            <w:r w:rsidRPr="002C07D9">
              <w:rPr>
                <w:rFonts w:ascii="Times New Roman" w:hAnsi="Times New Roman" w:cs="Times New Roman"/>
              </w:rPr>
              <w:t>Genel olarak uygulanabilir.</w:t>
            </w:r>
          </w:p>
        </w:tc>
      </w:tr>
    </w:tbl>
    <w:p w14:paraId="748516CA" w14:textId="77777777" w:rsidR="003B155E" w:rsidRPr="002C07D9" w:rsidRDefault="003B155E" w:rsidP="003B155E">
      <w:pPr>
        <w:spacing w:after="0" w:line="276" w:lineRule="auto"/>
        <w:jc w:val="both"/>
        <w:rPr>
          <w:rFonts w:ascii="Times New Roman" w:eastAsia="Times New Roman" w:hAnsi="Times New Roman" w:cs="Times New Roman"/>
          <w:b/>
          <w:spacing w:val="2"/>
          <w:kern w:val="0"/>
          <w:sz w:val="24"/>
          <w:szCs w:val="24"/>
          <w14:ligatures w14:val="none"/>
        </w:rPr>
      </w:pPr>
    </w:p>
    <w:p w14:paraId="30C837BF"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Tablo 4</w:t>
      </w:r>
    </w:p>
    <w:p w14:paraId="0C0F77AD"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Karma yem üretiminde öğütme ve pelet soğutmadan kaynaklanan havaya kanalize toz emisyonları için MET-ilişkili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070"/>
        <w:gridCol w:w="2075"/>
        <w:gridCol w:w="1040"/>
        <w:gridCol w:w="2246"/>
        <w:gridCol w:w="1631"/>
      </w:tblGrid>
      <w:tr w:rsidR="003B155E" w:rsidRPr="002C07D9" w14:paraId="1FA10904" w14:textId="77777777" w:rsidTr="000D79D6">
        <w:tc>
          <w:tcPr>
            <w:tcW w:w="1142" w:type="pct"/>
            <w:vMerge w:val="restart"/>
            <w:vAlign w:val="center"/>
          </w:tcPr>
          <w:p w14:paraId="486EE0CB"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1145" w:type="pct"/>
            <w:vMerge w:val="restart"/>
            <w:vAlign w:val="center"/>
          </w:tcPr>
          <w:p w14:paraId="60B2A762"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w:t>
            </w:r>
          </w:p>
        </w:tc>
        <w:tc>
          <w:tcPr>
            <w:tcW w:w="574" w:type="pct"/>
            <w:vMerge w:val="restart"/>
            <w:vAlign w:val="center"/>
          </w:tcPr>
          <w:p w14:paraId="40CC3A0F"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139" w:type="pct"/>
            <w:gridSpan w:val="2"/>
            <w:vAlign w:val="center"/>
          </w:tcPr>
          <w:p w14:paraId="75DC3B05"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 xml:space="preserve">MET-İES </w:t>
            </w:r>
          </w:p>
          <w:p w14:paraId="1CD12C66"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(örnekleme dönemi boyunca ortalama)</w:t>
            </w:r>
          </w:p>
        </w:tc>
      </w:tr>
      <w:tr w:rsidR="003B155E" w:rsidRPr="002C07D9" w14:paraId="54433FC9" w14:textId="77777777" w:rsidTr="000D79D6">
        <w:tc>
          <w:tcPr>
            <w:tcW w:w="1142" w:type="pct"/>
            <w:vMerge/>
            <w:vAlign w:val="center"/>
          </w:tcPr>
          <w:p w14:paraId="7FE3AE9F"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p>
        </w:tc>
        <w:tc>
          <w:tcPr>
            <w:tcW w:w="1145" w:type="pct"/>
            <w:vMerge/>
            <w:vAlign w:val="center"/>
          </w:tcPr>
          <w:p w14:paraId="5CAF1799"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p>
        </w:tc>
        <w:tc>
          <w:tcPr>
            <w:tcW w:w="574" w:type="pct"/>
            <w:vMerge/>
            <w:vAlign w:val="center"/>
          </w:tcPr>
          <w:p w14:paraId="442942F1"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p>
        </w:tc>
        <w:tc>
          <w:tcPr>
            <w:tcW w:w="1239" w:type="pct"/>
            <w:tcBorders>
              <w:right w:val="single" w:sz="4" w:space="0" w:color="auto"/>
            </w:tcBorders>
            <w:vAlign w:val="center"/>
          </w:tcPr>
          <w:p w14:paraId="7DF9E2C6"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Yeni tesisler</w:t>
            </w:r>
          </w:p>
        </w:tc>
        <w:tc>
          <w:tcPr>
            <w:tcW w:w="900" w:type="pct"/>
            <w:tcBorders>
              <w:left w:val="single" w:sz="4" w:space="0" w:color="auto"/>
            </w:tcBorders>
            <w:vAlign w:val="center"/>
          </w:tcPr>
          <w:p w14:paraId="767DD437"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Mevcut tesisler</w:t>
            </w:r>
          </w:p>
        </w:tc>
      </w:tr>
      <w:tr w:rsidR="003B155E" w:rsidRPr="002C07D9" w14:paraId="4863ECE0" w14:textId="77777777" w:rsidTr="000D79D6">
        <w:tc>
          <w:tcPr>
            <w:tcW w:w="1142" w:type="pct"/>
            <w:vMerge w:val="restart"/>
            <w:vAlign w:val="center"/>
          </w:tcPr>
          <w:p w14:paraId="32F2DAF6"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1145" w:type="pct"/>
            <w:vAlign w:val="center"/>
          </w:tcPr>
          <w:p w14:paraId="29C6DA26"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Öğütme</w:t>
            </w:r>
          </w:p>
        </w:tc>
        <w:tc>
          <w:tcPr>
            <w:tcW w:w="574" w:type="pct"/>
            <w:vMerge w:val="restart"/>
            <w:vAlign w:val="center"/>
          </w:tcPr>
          <w:p w14:paraId="4CABA1EB"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mg/N</w:t>
            </w:r>
            <w:r w:rsidRPr="002C07D9">
              <w:rPr>
                <w:rFonts w:ascii="Times New Roman" w:eastAsia="Times New Roman" w:hAnsi="Times New Roman" w:cs="Courier New"/>
                <w:color w:val="000000"/>
                <w:kern w:val="0"/>
                <w:vertAlign w:val="superscript"/>
                <w:lang w:eastAsia="tr-TR"/>
                <w14:ligatures w14:val="none"/>
              </w:rPr>
              <w:t>3</w:t>
            </w:r>
          </w:p>
        </w:tc>
        <w:tc>
          <w:tcPr>
            <w:tcW w:w="1239" w:type="pct"/>
            <w:tcBorders>
              <w:right w:val="single" w:sz="4" w:space="0" w:color="auto"/>
            </w:tcBorders>
            <w:vAlign w:val="center"/>
          </w:tcPr>
          <w:p w14:paraId="6F6FA476"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&lt;2-5</w:t>
            </w:r>
          </w:p>
        </w:tc>
        <w:tc>
          <w:tcPr>
            <w:tcW w:w="900" w:type="pct"/>
            <w:tcBorders>
              <w:left w:val="single" w:sz="4" w:space="0" w:color="auto"/>
            </w:tcBorders>
            <w:vAlign w:val="center"/>
          </w:tcPr>
          <w:p w14:paraId="290538E2"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&lt;2-10</w:t>
            </w:r>
          </w:p>
        </w:tc>
      </w:tr>
      <w:tr w:rsidR="003B155E" w:rsidRPr="002C07D9" w14:paraId="5CD21EA5" w14:textId="77777777" w:rsidTr="000D79D6">
        <w:tc>
          <w:tcPr>
            <w:tcW w:w="1142" w:type="pct"/>
            <w:vMerge/>
            <w:vAlign w:val="center"/>
          </w:tcPr>
          <w:p w14:paraId="3C831EBF"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p>
        </w:tc>
        <w:tc>
          <w:tcPr>
            <w:tcW w:w="1145" w:type="pct"/>
            <w:vAlign w:val="center"/>
          </w:tcPr>
          <w:p w14:paraId="0D3F6945"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Pelet soğutma</w:t>
            </w:r>
          </w:p>
        </w:tc>
        <w:tc>
          <w:tcPr>
            <w:tcW w:w="574" w:type="pct"/>
            <w:vMerge/>
            <w:vAlign w:val="center"/>
          </w:tcPr>
          <w:p w14:paraId="54B63469"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p>
        </w:tc>
        <w:tc>
          <w:tcPr>
            <w:tcW w:w="1239" w:type="pct"/>
            <w:tcBorders>
              <w:right w:val="single" w:sz="4" w:space="0" w:color="auto"/>
            </w:tcBorders>
            <w:vAlign w:val="center"/>
          </w:tcPr>
          <w:p w14:paraId="6D0590C2"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&lt;2-20</w:t>
            </w:r>
          </w:p>
        </w:tc>
        <w:tc>
          <w:tcPr>
            <w:tcW w:w="900" w:type="pct"/>
            <w:tcBorders>
              <w:left w:val="single" w:sz="4" w:space="0" w:color="auto"/>
            </w:tcBorders>
            <w:vAlign w:val="center"/>
          </w:tcPr>
          <w:p w14:paraId="098F62E8"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p>
        </w:tc>
      </w:tr>
    </w:tbl>
    <w:p w14:paraId="03EE7AE9"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6EEDDD63"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3. Mayalanma İçin MET Sonuçları</w:t>
      </w:r>
    </w:p>
    <w:p w14:paraId="36530744"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Bu bölümde sunulan MET sonuçları mayalama için geçerlidir. Bölüm 1’de verilen genel MET sonuçlarına ek olarak geçerlidir.</w:t>
      </w:r>
    </w:p>
    <w:p w14:paraId="2A4A8F8D"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0971D185"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3.1.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6E7F7EC1" w14:textId="249D3F8D" w:rsidR="003B155E"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
          <w:spacing w:val="2"/>
          <w:kern w:val="0"/>
          <w:sz w:val="24"/>
          <w14:ligatures w14:val="none"/>
        </w:rPr>
        <w:t xml:space="preserve">MET 18 : </w:t>
      </w:r>
      <w:r w:rsidRPr="002C07D9">
        <w:rPr>
          <w:rFonts w:ascii="Times New Roman" w:eastAsia="Times New Roman" w:hAnsi="Times New Roman" w:cs="Times New Roman"/>
          <w:bCs/>
          <w:spacing w:val="2"/>
          <w:kern w:val="0"/>
          <w:sz w:val="24"/>
          <w:szCs w:val="24"/>
          <w14:ligatures w14:val="none"/>
        </w:rPr>
        <w:t>Enerji verimliliğini artırmak için, MET 6’da belirtilen tekniklerin ve aşağıda verilen tekniklerin uygun bir kombinasyonu kullanılır.</w:t>
      </w:r>
    </w:p>
    <w:p w14:paraId="3F9BBEF7" w14:textId="54F9F327" w:rsidR="00F30039" w:rsidRDefault="00F30039" w:rsidP="003B155E">
      <w:pPr>
        <w:spacing w:after="0" w:line="276" w:lineRule="auto"/>
        <w:jc w:val="both"/>
        <w:rPr>
          <w:rFonts w:ascii="Times New Roman" w:eastAsia="Times New Roman" w:hAnsi="Times New Roman" w:cs="Times New Roman"/>
          <w:bCs/>
          <w:spacing w:val="2"/>
          <w:kern w:val="0"/>
          <w:sz w:val="24"/>
          <w:szCs w:val="24"/>
          <w14:ligatures w14:val="none"/>
        </w:rPr>
      </w:pPr>
    </w:p>
    <w:tbl>
      <w:tblPr>
        <w:tblStyle w:val="TabloKlavuzu10"/>
        <w:tblW w:w="9355" w:type="dxa"/>
        <w:tblLook w:val="04A0" w:firstRow="1" w:lastRow="0" w:firstColumn="1" w:lastColumn="0" w:noHBand="0" w:noVBand="1"/>
      </w:tblPr>
      <w:tblGrid>
        <w:gridCol w:w="473"/>
        <w:gridCol w:w="2641"/>
        <w:gridCol w:w="4252"/>
        <w:gridCol w:w="1989"/>
      </w:tblGrid>
      <w:tr w:rsidR="003B155E" w:rsidRPr="002C07D9" w14:paraId="65578676" w14:textId="77777777" w:rsidTr="000D79D6">
        <w:tc>
          <w:tcPr>
            <w:tcW w:w="3114" w:type="dxa"/>
            <w:gridSpan w:val="2"/>
            <w:vAlign w:val="center"/>
          </w:tcPr>
          <w:p w14:paraId="2C2EAF18"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Teknik</w:t>
            </w:r>
          </w:p>
        </w:tc>
        <w:tc>
          <w:tcPr>
            <w:tcW w:w="4252" w:type="dxa"/>
            <w:vAlign w:val="center"/>
          </w:tcPr>
          <w:p w14:paraId="160004A9"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Tanım</w:t>
            </w:r>
          </w:p>
        </w:tc>
        <w:tc>
          <w:tcPr>
            <w:tcW w:w="1989" w:type="dxa"/>
            <w:vAlign w:val="center"/>
          </w:tcPr>
          <w:p w14:paraId="19BF922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Uygulanabilirlik</w:t>
            </w:r>
          </w:p>
        </w:tc>
      </w:tr>
      <w:tr w:rsidR="003B155E" w:rsidRPr="002C07D9" w14:paraId="536BA822" w14:textId="77777777" w:rsidTr="000D79D6">
        <w:tc>
          <w:tcPr>
            <w:tcW w:w="473" w:type="dxa"/>
            <w:vAlign w:val="center"/>
          </w:tcPr>
          <w:p w14:paraId="69CE4CF5"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2641" w:type="dxa"/>
            <w:vAlign w:val="center"/>
          </w:tcPr>
          <w:p w14:paraId="2A6B4905" w14:textId="77777777" w:rsidR="003B155E" w:rsidRPr="002C07D9" w:rsidRDefault="003B155E" w:rsidP="000D79D6">
            <w:pPr>
              <w:widowControl w:val="0"/>
              <w:shd w:val="clear" w:color="auto" w:fill="FFFFFF"/>
              <w:ind w:hanging="14"/>
              <w:rPr>
                <w:rFonts w:ascii="Times New Roman" w:hAnsi="Times New Roman" w:cs="Times New Roman"/>
              </w:rPr>
            </w:pPr>
            <w:r w:rsidRPr="002C07D9">
              <w:rPr>
                <w:rFonts w:ascii="Times New Roman" w:hAnsi="Times New Roman" w:cs="Times New Roman"/>
              </w:rPr>
              <w:t>Daha yüksek sıcaklıklarda ezme</w:t>
            </w:r>
          </w:p>
        </w:tc>
        <w:tc>
          <w:tcPr>
            <w:tcW w:w="4252" w:type="dxa"/>
            <w:vAlign w:val="center"/>
          </w:tcPr>
          <w:p w14:paraId="70DCFB83" w14:textId="77777777" w:rsidR="003B155E" w:rsidRPr="002C07D9" w:rsidRDefault="003B155E" w:rsidP="000D79D6">
            <w:pPr>
              <w:pBdr>
                <w:top w:val="nil"/>
                <w:left w:val="nil"/>
                <w:bottom w:val="nil"/>
                <w:right w:val="nil"/>
                <w:between w:val="nil"/>
              </w:pBdr>
              <w:ind w:left="38"/>
              <w:rPr>
                <w:rFonts w:ascii="Times New Roman" w:hAnsi="Times New Roman" w:cs="Times New Roman"/>
                <w:color w:val="000000"/>
              </w:rPr>
            </w:pPr>
            <w:r w:rsidRPr="002C07D9">
              <w:rPr>
                <w:rFonts w:ascii="Times New Roman" w:hAnsi="Times New Roman" w:cs="Times New Roman"/>
                <w:color w:val="000000"/>
              </w:rPr>
              <w:t>Tahılın ezilmesi yaklaşık 60°C sıcaklıkta gerçekleştirilir, bu da soğuk su kullanımını azaltır.</w:t>
            </w:r>
          </w:p>
        </w:tc>
        <w:tc>
          <w:tcPr>
            <w:tcW w:w="1989" w:type="dxa"/>
            <w:vMerge w:val="restart"/>
            <w:vAlign w:val="center"/>
          </w:tcPr>
          <w:p w14:paraId="68A9C15B"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Ürün özellikleri nedeniyle uygulanamayabilir</w:t>
            </w:r>
          </w:p>
        </w:tc>
      </w:tr>
      <w:tr w:rsidR="003B155E" w:rsidRPr="002C07D9" w14:paraId="593DBEE6" w14:textId="77777777" w:rsidTr="000D79D6">
        <w:tc>
          <w:tcPr>
            <w:tcW w:w="473" w:type="dxa"/>
            <w:vAlign w:val="center"/>
          </w:tcPr>
          <w:p w14:paraId="641E05A7"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(b)</w:t>
            </w:r>
          </w:p>
        </w:tc>
        <w:tc>
          <w:tcPr>
            <w:tcW w:w="2641" w:type="dxa"/>
            <w:vAlign w:val="center"/>
          </w:tcPr>
          <w:p w14:paraId="6ECBC7AF"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color w:val="000000"/>
              </w:rPr>
              <w:t>Şıra kaynatma sırasında buharlaşma oranının azalması</w:t>
            </w:r>
          </w:p>
        </w:tc>
        <w:tc>
          <w:tcPr>
            <w:tcW w:w="4252" w:type="dxa"/>
            <w:vAlign w:val="center"/>
          </w:tcPr>
          <w:p w14:paraId="1AB8739F" w14:textId="77777777" w:rsidR="003B155E" w:rsidRPr="002C07D9" w:rsidRDefault="003B155E" w:rsidP="000D79D6">
            <w:pPr>
              <w:pBdr>
                <w:top w:val="nil"/>
                <w:left w:val="nil"/>
                <w:bottom w:val="nil"/>
                <w:right w:val="nil"/>
                <w:between w:val="nil"/>
              </w:pBdr>
              <w:ind w:left="29"/>
              <w:contextualSpacing/>
              <w:rPr>
                <w:rFonts w:ascii="Times New Roman" w:hAnsi="Times New Roman" w:cs="Times New Roman"/>
                <w:spacing w:val="2"/>
                <w:position w:val="-1"/>
              </w:rPr>
            </w:pPr>
            <w:r w:rsidRPr="002C07D9">
              <w:rPr>
                <w:rFonts w:ascii="Times New Roman" w:hAnsi="Times New Roman" w:cs="Times New Roman"/>
                <w:color w:val="000000"/>
              </w:rPr>
              <w:t>Buharlaşma oranı saatte %10’dan yaklaşık %4’e kadar düşürülebilir (örneğin iki fazlı kaynatma sistemleri, dinamik düşük basınçlı kaynatma).</w:t>
            </w:r>
          </w:p>
        </w:tc>
        <w:tc>
          <w:tcPr>
            <w:tcW w:w="1989" w:type="dxa"/>
            <w:vMerge/>
            <w:vAlign w:val="center"/>
          </w:tcPr>
          <w:p w14:paraId="313855BB" w14:textId="77777777" w:rsidR="003B155E" w:rsidRPr="002C07D9" w:rsidRDefault="003B155E" w:rsidP="000D79D6">
            <w:pPr>
              <w:widowControl w:val="0"/>
              <w:shd w:val="clear" w:color="auto" w:fill="FFFFFF"/>
              <w:rPr>
                <w:rFonts w:ascii="Times New Roman" w:hAnsi="Times New Roman" w:cs="Times New Roman"/>
              </w:rPr>
            </w:pPr>
          </w:p>
        </w:tc>
      </w:tr>
      <w:tr w:rsidR="003B155E" w:rsidRPr="002C07D9" w14:paraId="0FB32B86" w14:textId="77777777" w:rsidTr="000D79D6">
        <w:tc>
          <w:tcPr>
            <w:tcW w:w="473" w:type="dxa"/>
            <w:vAlign w:val="center"/>
          </w:tcPr>
          <w:p w14:paraId="30D160D6"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2641" w:type="dxa"/>
            <w:vAlign w:val="center"/>
          </w:tcPr>
          <w:p w14:paraId="6B7CBF1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Yüksek yerçekimli mayalama derecesinin artırılması</w:t>
            </w:r>
          </w:p>
        </w:tc>
        <w:tc>
          <w:tcPr>
            <w:tcW w:w="4252" w:type="dxa"/>
            <w:vAlign w:val="center"/>
          </w:tcPr>
          <w:p w14:paraId="2BBADA66" w14:textId="77777777" w:rsidR="003B155E" w:rsidRPr="002C07D9" w:rsidRDefault="003B155E" w:rsidP="000D79D6">
            <w:pPr>
              <w:pBdr>
                <w:top w:val="nil"/>
                <w:left w:val="nil"/>
                <w:bottom w:val="nil"/>
                <w:right w:val="nil"/>
                <w:between w:val="nil"/>
              </w:pBdr>
              <w:ind w:left="28"/>
              <w:rPr>
                <w:rFonts w:ascii="Times New Roman" w:hAnsi="Times New Roman" w:cs="Times New Roman"/>
                <w:color w:val="000000"/>
              </w:rPr>
            </w:pPr>
            <w:r w:rsidRPr="002C07D9">
              <w:rPr>
                <w:rFonts w:ascii="Times New Roman" w:hAnsi="Times New Roman" w:cs="Times New Roman"/>
                <w:color w:val="000000"/>
              </w:rPr>
              <w:t>Hacmini azaltan ve böylece enerji tasarrufu sağlayan konsantre şıra üretimi.</w:t>
            </w:r>
          </w:p>
        </w:tc>
        <w:tc>
          <w:tcPr>
            <w:tcW w:w="1989" w:type="dxa"/>
            <w:vMerge/>
            <w:vAlign w:val="center"/>
          </w:tcPr>
          <w:p w14:paraId="3A595232" w14:textId="77777777" w:rsidR="003B155E" w:rsidRPr="002C07D9" w:rsidRDefault="003B155E" w:rsidP="000D79D6">
            <w:pPr>
              <w:widowControl w:val="0"/>
              <w:tabs>
                <w:tab w:val="left" w:pos="562"/>
              </w:tabs>
              <w:rPr>
                <w:rFonts w:ascii="Times New Roman" w:hAnsi="Times New Roman" w:cs="Times New Roman"/>
              </w:rPr>
            </w:pPr>
          </w:p>
        </w:tc>
      </w:tr>
    </w:tbl>
    <w:p w14:paraId="6799619C"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024284C7"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Tablo 5</w:t>
      </w:r>
    </w:p>
    <w:p w14:paraId="4CEC775F"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Spesifik enerji tüketimi için gösterge niteliğindeki çevresel performans seviyesi</w:t>
      </w:r>
    </w:p>
    <w:tbl>
      <w:tblPr>
        <w:tblW w:w="51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69"/>
        <w:gridCol w:w="6481"/>
      </w:tblGrid>
      <w:tr w:rsidR="003B155E" w:rsidRPr="002C07D9" w14:paraId="4934F642" w14:textId="77777777" w:rsidTr="00F30039">
        <w:tc>
          <w:tcPr>
            <w:tcW w:w="1534" w:type="pct"/>
          </w:tcPr>
          <w:p w14:paraId="26AC5062"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3466" w:type="pct"/>
          </w:tcPr>
          <w:p w14:paraId="3B94740D"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217E3DD3" w14:textId="77777777" w:rsidTr="00F30039">
        <w:tc>
          <w:tcPr>
            <w:tcW w:w="1534" w:type="pct"/>
          </w:tcPr>
          <w:p w14:paraId="0FD80C2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MWh/hl ürün</w:t>
            </w:r>
          </w:p>
        </w:tc>
        <w:tc>
          <w:tcPr>
            <w:tcW w:w="3466" w:type="pct"/>
            <w:tcBorders>
              <w:right w:val="single" w:sz="4" w:space="0" w:color="auto"/>
            </w:tcBorders>
          </w:tcPr>
          <w:p w14:paraId="6E572DA0"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0,02-0,05</w:t>
            </w:r>
          </w:p>
        </w:tc>
      </w:tr>
    </w:tbl>
    <w:p w14:paraId="0316944F"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14444736"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3.2. Su Tüketimi ve Atıksu Deşarjı</w:t>
      </w:r>
    </w:p>
    <w:p w14:paraId="1A6C920D"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Su tüketimini ve deşarj edilen atıksu hacmini azaltmaya yönelik genel teknikler bu MET sonuçları Bölüm 1.4’te verilmiştir. Gösterge niteliğindeki çevresel performans seviyesi aşağıdaki tabloda sunulmuştur.</w:t>
      </w:r>
    </w:p>
    <w:p w14:paraId="522BC660"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74663FEA"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Tablo 6</w:t>
      </w:r>
    </w:p>
    <w:p w14:paraId="11AEFB8E"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r w:rsidRPr="002C07D9">
        <w:rPr>
          <w:rFonts w:ascii="Times New Roman" w:eastAsia="Times New Roman" w:hAnsi="Times New Roman" w:cs="Times New Roman"/>
          <w:bCs/>
          <w:spacing w:val="2"/>
          <w:kern w:val="0"/>
          <w:sz w:val="24"/>
          <w:szCs w:val="24"/>
          <w14:ligatures w14:val="none"/>
        </w:rPr>
        <w:t>Spesifik atıksu deşarjı için gösterge niteliğindeki çevresel performans seviyesi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69"/>
        <w:gridCol w:w="6193"/>
      </w:tblGrid>
      <w:tr w:rsidR="003B155E" w:rsidRPr="002C07D9" w14:paraId="5F614E6B" w14:textId="77777777" w:rsidTr="000D79D6">
        <w:tc>
          <w:tcPr>
            <w:tcW w:w="1583" w:type="pct"/>
          </w:tcPr>
          <w:p w14:paraId="00F540B2"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3417" w:type="pct"/>
          </w:tcPr>
          <w:p w14:paraId="5BBF926D"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42CFDCD5" w14:textId="77777777" w:rsidTr="000D79D6">
        <w:tc>
          <w:tcPr>
            <w:tcW w:w="1583" w:type="pct"/>
          </w:tcPr>
          <w:p w14:paraId="330A369D"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/hl ürün</w:t>
            </w:r>
          </w:p>
        </w:tc>
        <w:tc>
          <w:tcPr>
            <w:tcW w:w="3417" w:type="pct"/>
            <w:tcBorders>
              <w:right w:val="single" w:sz="4" w:space="0" w:color="auto"/>
            </w:tcBorders>
          </w:tcPr>
          <w:p w14:paraId="29DDF36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0,15-0,50</w:t>
            </w:r>
          </w:p>
        </w:tc>
      </w:tr>
    </w:tbl>
    <w:p w14:paraId="3B57C17A"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30A646F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lastRenderedPageBreak/>
        <w:t>3.3. Atık</w:t>
      </w:r>
    </w:p>
    <w:p w14:paraId="75FCCC1D"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bookmarkStart w:id="12" w:name="bookmark1434"/>
      <w:r w:rsidRPr="002C07D9">
        <w:rPr>
          <w:rFonts w:ascii="Times New Roman" w:eastAsia="Times New Roman" w:hAnsi="Times New Roman" w:cs="Times New Roman"/>
          <w:b/>
          <w:bCs/>
          <w:color w:val="000000"/>
          <w:spacing w:val="2"/>
          <w:kern w:val="0"/>
          <w:sz w:val="24"/>
          <w:szCs w:val="24"/>
          <w14:ligatures w14:val="none"/>
        </w:rPr>
        <w:t xml:space="preserve">MET 19: </w:t>
      </w:r>
      <w:bookmarkEnd w:id="12"/>
      <w:r w:rsidRPr="002C07D9">
        <w:rPr>
          <w:rFonts w:ascii="Times New Roman" w:eastAsia="Times New Roman" w:hAnsi="Times New Roman" w:cs="Times New Roman"/>
          <w:bCs/>
          <w:spacing w:val="2"/>
          <w:kern w:val="0"/>
          <w:sz w:val="24"/>
          <w:szCs w:val="24"/>
          <w14:ligatures w14:val="none"/>
        </w:rPr>
        <w:t>Bertaraf</w:t>
      </w:r>
      <w:r w:rsidR="00A52C19">
        <w:rPr>
          <w:rFonts w:ascii="Times New Roman" w:eastAsia="Times New Roman" w:hAnsi="Times New Roman" w:cs="Times New Roman"/>
          <w:bCs/>
          <w:spacing w:val="2"/>
          <w:kern w:val="0"/>
          <w:sz w:val="24"/>
          <w:szCs w:val="24"/>
          <w14:ligatures w14:val="none"/>
        </w:rPr>
        <w:t xml:space="preserve">a </w:t>
      </w:r>
      <w:r w:rsidRPr="002C07D9">
        <w:rPr>
          <w:rFonts w:ascii="Times New Roman" w:eastAsia="Times New Roman" w:hAnsi="Times New Roman" w:cs="Times New Roman"/>
          <w:bCs/>
          <w:spacing w:val="2"/>
          <w:kern w:val="0"/>
          <w:sz w:val="24"/>
          <w:szCs w:val="24"/>
          <w14:ligatures w14:val="none"/>
        </w:rPr>
        <w:t>gönderilen atık miktarını azaltmak için, aşağıda verilen tekniklerden biri veya her ikisi birden kullanılır.</w:t>
      </w:r>
    </w:p>
    <w:tbl>
      <w:tblPr>
        <w:tblStyle w:val="TabloKlavuzu10"/>
        <w:tblW w:w="5000" w:type="pct"/>
        <w:tblLook w:val="04A0" w:firstRow="1" w:lastRow="0" w:firstColumn="1" w:lastColumn="0" w:noHBand="0" w:noVBand="1"/>
      </w:tblPr>
      <w:tblGrid>
        <w:gridCol w:w="459"/>
        <w:gridCol w:w="2423"/>
        <w:gridCol w:w="6180"/>
      </w:tblGrid>
      <w:tr w:rsidR="003B155E" w:rsidRPr="002C07D9" w14:paraId="3E71BC7E" w14:textId="77777777" w:rsidTr="000D79D6">
        <w:tc>
          <w:tcPr>
            <w:tcW w:w="1590" w:type="pct"/>
            <w:gridSpan w:val="2"/>
          </w:tcPr>
          <w:p w14:paraId="7E2F6DB1"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Teknik</w:t>
            </w:r>
          </w:p>
        </w:tc>
        <w:tc>
          <w:tcPr>
            <w:tcW w:w="3410" w:type="pct"/>
          </w:tcPr>
          <w:p w14:paraId="7C90148F"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Tanım</w:t>
            </w:r>
          </w:p>
        </w:tc>
      </w:tr>
      <w:tr w:rsidR="003B155E" w:rsidRPr="002C07D9" w14:paraId="7034DABC" w14:textId="77777777" w:rsidTr="000D79D6">
        <w:tc>
          <w:tcPr>
            <w:tcW w:w="253" w:type="pct"/>
          </w:tcPr>
          <w:p w14:paraId="2C590212"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(a)</w:t>
            </w:r>
          </w:p>
        </w:tc>
        <w:tc>
          <w:tcPr>
            <w:tcW w:w="1337" w:type="pct"/>
          </w:tcPr>
          <w:p w14:paraId="6DB12D46" w14:textId="77777777" w:rsidR="003B155E" w:rsidRPr="002C07D9" w:rsidRDefault="003B155E" w:rsidP="000D79D6">
            <w:pPr>
              <w:widowControl w:val="0"/>
              <w:shd w:val="clear" w:color="auto" w:fill="FFFFFF"/>
              <w:ind w:hanging="14"/>
              <w:jc w:val="both"/>
              <w:rPr>
                <w:rFonts w:ascii="Times New Roman" w:hAnsi="Times New Roman" w:cs="Times New Roman"/>
              </w:rPr>
            </w:pPr>
            <w:r w:rsidRPr="002C07D9">
              <w:rPr>
                <w:rFonts w:ascii="Times New Roman" w:hAnsi="Times New Roman" w:cs="Times New Roman"/>
              </w:rPr>
              <w:t>Fermantasyondan sonra mayanın geri kazanımı ve (yeniden) kullanımı</w:t>
            </w:r>
          </w:p>
        </w:tc>
        <w:tc>
          <w:tcPr>
            <w:tcW w:w="3410" w:type="pct"/>
          </w:tcPr>
          <w:p w14:paraId="4122D43C"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s="Times New Roman"/>
                <w:color w:val="000000"/>
              </w:rPr>
              <w:t>Fermantasyondan sonra maya toplanır ve fermantasyon sürecinde kısmen yeniden kullanılabilir ve/veya örneğin hayvan yemi olarak, ilaç endüstrisinde, gıda bileşeni olarak, biyogaz üretimi için anaerobik bir atıksu arıtma tesisinde gibi birçok amaç için kullanılabilir.</w:t>
            </w:r>
          </w:p>
        </w:tc>
      </w:tr>
      <w:tr w:rsidR="003B155E" w:rsidRPr="002C07D9" w14:paraId="1ABCEF21" w14:textId="77777777" w:rsidTr="000D79D6">
        <w:trPr>
          <w:trHeight w:val="1022"/>
        </w:trPr>
        <w:tc>
          <w:tcPr>
            <w:tcW w:w="253" w:type="pct"/>
          </w:tcPr>
          <w:p w14:paraId="36B84F71"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rPr>
              <w:t>(b)</w:t>
            </w:r>
          </w:p>
        </w:tc>
        <w:tc>
          <w:tcPr>
            <w:tcW w:w="1337" w:type="pct"/>
          </w:tcPr>
          <w:p w14:paraId="57CC6051" w14:textId="77777777" w:rsidR="003B155E" w:rsidRPr="002C07D9" w:rsidRDefault="003B155E" w:rsidP="000D79D6">
            <w:pPr>
              <w:widowControl w:val="0"/>
              <w:tabs>
                <w:tab w:val="left" w:pos="562"/>
              </w:tabs>
              <w:jc w:val="both"/>
              <w:rPr>
                <w:rFonts w:ascii="Times New Roman" w:hAnsi="Times New Roman" w:cs="Times New Roman"/>
              </w:rPr>
            </w:pPr>
            <w:r w:rsidRPr="002C07D9">
              <w:rPr>
                <w:rFonts w:ascii="Times New Roman" w:hAnsi="Times New Roman" w:cs="Times New Roman"/>
                <w:color w:val="000000"/>
              </w:rPr>
              <w:t>Doğal filtre malzemesinin geri kazanımı ve (yeniden) kullanımı</w:t>
            </w:r>
          </w:p>
        </w:tc>
        <w:tc>
          <w:tcPr>
            <w:tcW w:w="3410" w:type="pct"/>
          </w:tcPr>
          <w:p w14:paraId="5697DB17" w14:textId="77777777" w:rsidR="003B155E" w:rsidRPr="002C07D9" w:rsidRDefault="003B155E" w:rsidP="000D79D6">
            <w:pPr>
              <w:pBdr>
                <w:top w:val="nil"/>
                <w:left w:val="nil"/>
                <w:bottom w:val="nil"/>
                <w:right w:val="nil"/>
                <w:between w:val="nil"/>
              </w:pBdr>
              <w:ind w:left="29"/>
              <w:contextualSpacing/>
              <w:jc w:val="both"/>
              <w:rPr>
                <w:rFonts w:ascii="Times New Roman" w:hAnsi="Times New Roman" w:cs="Times New Roman"/>
                <w:spacing w:val="2"/>
                <w:position w:val="-1"/>
                <w:lang w:val="en-US"/>
              </w:rPr>
            </w:pPr>
            <w:r w:rsidRPr="002C07D9">
              <w:rPr>
                <w:rFonts w:ascii="Times New Roman" w:hAnsi="Times New Roman" w:cs="Times New Roman"/>
                <w:color w:val="000000"/>
              </w:rPr>
              <w:t>Kimyasal, enzimatik veya termal işlemden sonra, doğal filtre malzemesi (örneğin diyatomlu toprak) filtrasyon işleminde kısmen yeniden kullanılabilir. Doğal filtre malzemesi, örneğin toprak iyileştirici olarak da kullanılabilir.</w:t>
            </w:r>
          </w:p>
        </w:tc>
      </w:tr>
    </w:tbl>
    <w:p w14:paraId="5D2E7C6F"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szCs w:val="24"/>
          <w14:ligatures w14:val="none"/>
        </w:rPr>
      </w:pPr>
    </w:p>
    <w:p w14:paraId="5B68980C" w14:textId="77777777" w:rsidR="003B155E" w:rsidRPr="002C07D9" w:rsidRDefault="003B155E" w:rsidP="003B155E">
      <w:pPr>
        <w:spacing w:after="0" w:line="276" w:lineRule="auto"/>
        <w:jc w:val="both"/>
        <w:rPr>
          <w:rFonts w:ascii="Times New Roman" w:eastAsia="Times New Roman" w:hAnsi="Times New Roman" w:cs="Times New Roman"/>
          <w:b/>
          <w:spacing w:val="2"/>
          <w:kern w:val="0"/>
          <w:sz w:val="24"/>
          <w:szCs w:val="24"/>
          <w14:ligatures w14:val="none"/>
        </w:rPr>
      </w:pPr>
      <w:bookmarkStart w:id="13" w:name="bookmark1435"/>
      <w:r w:rsidRPr="002C07D9">
        <w:rPr>
          <w:rFonts w:ascii="Times New Roman" w:eastAsia="Times New Roman" w:hAnsi="Times New Roman" w:cs="Times New Roman"/>
          <w:b/>
          <w:bCs/>
          <w:color w:val="000000"/>
          <w:spacing w:val="2"/>
          <w:kern w:val="0"/>
          <w:sz w:val="24"/>
          <w:szCs w:val="24"/>
          <w14:ligatures w14:val="none"/>
        </w:rPr>
        <w:t>MET 20:</w:t>
      </w:r>
      <w:bookmarkEnd w:id="13"/>
      <w:r w:rsidRPr="002C07D9">
        <w:rPr>
          <w:rFonts w:ascii="Times New Roman" w:eastAsia="Times New Roman" w:hAnsi="Times New Roman" w:cs="Times New Roman"/>
          <w:b/>
          <w:bCs/>
          <w:color w:val="000000"/>
          <w:spacing w:val="2"/>
          <w:kern w:val="0"/>
          <w:sz w:val="24"/>
          <w:szCs w:val="24"/>
          <w14:ligatures w14:val="none"/>
        </w:rPr>
        <w:t xml:space="preserve"> </w:t>
      </w:r>
      <w:r w:rsidRPr="002C07D9">
        <w:rPr>
          <w:rFonts w:ascii="Times New Roman" w:eastAsia="Times New Roman" w:hAnsi="Times New Roman" w:cs="Times New Roman"/>
          <w:color w:val="000000"/>
          <w:spacing w:val="2"/>
          <w:kern w:val="0"/>
          <w:sz w:val="24"/>
          <w:szCs w:val="24"/>
          <w14:ligatures w14:val="none"/>
        </w:rPr>
        <w:t>Havaya kanalize edilen toz emisyonları azaltmak için, bir torba filtre veya hem bir siklon hem de bir torba filtre kullanılır.</w:t>
      </w:r>
    </w:p>
    <w:p w14:paraId="569DE98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031428AD" w14:textId="77777777" w:rsidR="003B155E" w:rsidRPr="002C07D9" w:rsidRDefault="003B155E" w:rsidP="003B155E">
      <w:pPr>
        <w:widowControl w:val="0"/>
        <w:spacing w:after="0" w:line="276" w:lineRule="auto"/>
        <w:jc w:val="both"/>
        <w:rPr>
          <w:rFonts w:ascii="Times New Roman" w:eastAsia="Times New Roman" w:hAnsi="Times New Roman" w:cs="Times New Roman"/>
          <w:bCs/>
          <w:i/>
          <w:iCs/>
          <w:color w:val="000000"/>
          <w:kern w:val="0"/>
          <w:sz w:val="24"/>
          <w:szCs w:val="24"/>
          <w:lang w:eastAsia="tr-TR"/>
          <w14:ligatures w14:val="none"/>
        </w:rPr>
      </w:pPr>
      <w:r w:rsidRPr="002C07D9">
        <w:rPr>
          <w:rFonts w:ascii="Times New Roman" w:eastAsia="Times New Roman" w:hAnsi="Times New Roman" w:cs="Times New Roman"/>
          <w:bCs/>
          <w:i/>
          <w:iCs/>
          <w:color w:val="000000"/>
          <w:kern w:val="0"/>
          <w:sz w:val="24"/>
          <w:szCs w:val="24"/>
          <w:lang w:eastAsia="tr-TR"/>
          <w14:ligatures w14:val="none"/>
        </w:rPr>
        <w:t>Tanım</w:t>
      </w:r>
    </w:p>
    <w:p w14:paraId="37691F68"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Bkz. Bölüm 14.2</w:t>
      </w:r>
    </w:p>
    <w:p w14:paraId="56E6B93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C5C5B0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7</w:t>
      </w:r>
    </w:p>
    <w:p w14:paraId="2E1E0D64" w14:textId="7A20643F" w:rsidR="003B155E"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Malt ve yardımcı maddelerin işlenmesi ve işlenmesinden kaynaklanan havaya kanalize toz emisyonları için MET-ilişkili emisyon seviyeleri (MET-İES).</w:t>
      </w:r>
    </w:p>
    <w:p w14:paraId="47B2BA86" w14:textId="77777777" w:rsidR="0096283A" w:rsidRPr="002C07D9" w:rsidRDefault="0096283A"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84"/>
        <w:gridCol w:w="1348"/>
        <w:gridCol w:w="2913"/>
        <w:gridCol w:w="2117"/>
      </w:tblGrid>
      <w:tr w:rsidR="003B155E" w:rsidRPr="002C07D9" w14:paraId="3BDAF3A5" w14:textId="77777777" w:rsidTr="000D79D6">
        <w:tc>
          <w:tcPr>
            <w:tcW w:w="1481" w:type="pct"/>
            <w:vMerge w:val="restart"/>
          </w:tcPr>
          <w:p w14:paraId="51F47EFB"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744" w:type="pct"/>
            <w:vMerge w:val="restart"/>
          </w:tcPr>
          <w:p w14:paraId="2BB8523B"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775" w:type="pct"/>
            <w:gridSpan w:val="2"/>
          </w:tcPr>
          <w:p w14:paraId="59375C40"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(örnekleme dönemi boyunca ortalama)</w:t>
            </w:r>
          </w:p>
        </w:tc>
      </w:tr>
      <w:tr w:rsidR="003B155E" w:rsidRPr="002C07D9" w14:paraId="3E391202" w14:textId="77777777" w:rsidTr="000D79D6">
        <w:tc>
          <w:tcPr>
            <w:tcW w:w="1481" w:type="pct"/>
            <w:vMerge/>
          </w:tcPr>
          <w:p w14:paraId="59C1C61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744" w:type="pct"/>
            <w:vMerge/>
          </w:tcPr>
          <w:p w14:paraId="79D9A005"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p>
        </w:tc>
        <w:tc>
          <w:tcPr>
            <w:tcW w:w="1607" w:type="pct"/>
            <w:tcBorders>
              <w:right w:val="single" w:sz="4" w:space="0" w:color="auto"/>
            </w:tcBorders>
          </w:tcPr>
          <w:p w14:paraId="2CDCD215"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Yeni tesisler</w:t>
            </w:r>
          </w:p>
        </w:tc>
        <w:tc>
          <w:tcPr>
            <w:tcW w:w="1168" w:type="pct"/>
            <w:tcBorders>
              <w:left w:val="single" w:sz="4" w:space="0" w:color="auto"/>
            </w:tcBorders>
          </w:tcPr>
          <w:p w14:paraId="2E74499F"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Mevcut tesisler</w:t>
            </w:r>
          </w:p>
        </w:tc>
      </w:tr>
      <w:tr w:rsidR="003B155E" w:rsidRPr="002C07D9" w14:paraId="72613545" w14:textId="77777777" w:rsidTr="000D79D6">
        <w:tc>
          <w:tcPr>
            <w:tcW w:w="1481" w:type="pct"/>
          </w:tcPr>
          <w:p w14:paraId="2E74A7E0"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744" w:type="pct"/>
          </w:tcPr>
          <w:p w14:paraId="4C590B5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1607" w:type="pct"/>
            <w:tcBorders>
              <w:right w:val="single" w:sz="4" w:space="0" w:color="auto"/>
            </w:tcBorders>
          </w:tcPr>
          <w:p w14:paraId="0F154068"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&lt;2-5</w:t>
            </w:r>
          </w:p>
        </w:tc>
        <w:tc>
          <w:tcPr>
            <w:tcW w:w="1168" w:type="pct"/>
            <w:tcBorders>
              <w:left w:val="single" w:sz="4" w:space="0" w:color="auto"/>
            </w:tcBorders>
          </w:tcPr>
          <w:p w14:paraId="3D549EE9" w14:textId="77777777" w:rsidR="003B155E" w:rsidRPr="002C07D9"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&lt;2-10</w:t>
            </w:r>
          </w:p>
        </w:tc>
      </w:tr>
    </w:tbl>
    <w:p w14:paraId="16459619" w14:textId="77777777" w:rsidR="003B155E" w:rsidRPr="002C07D9" w:rsidRDefault="003B155E" w:rsidP="003B155E">
      <w:pPr>
        <w:widowControl w:val="0"/>
        <w:spacing w:after="0" w:line="276" w:lineRule="auto"/>
        <w:jc w:val="both"/>
        <w:rPr>
          <w:rFonts w:ascii="Times New Roman" w:eastAsia="Times New Roman" w:hAnsi="Times New Roman" w:cs="Times New Roman"/>
          <w:kern w:val="0"/>
          <w:sz w:val="24"/>
          <w:szCs w:val="24"/>
          <w:lang w:eastAsia="tr-TR"/>
          <w14:ligatures w14:val="none"/>
        </w:rPr>
      </w:pPr>
    </w:p>
    <w:p w14:paraId="069C04A4"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2C07D9">
        <w:rPr>
          <w:rFonts w:ascii="Times New Roman" w:eastAsia="Times New Roman" w:hAnsi="Times New Roman" w:cs="Times New Roman"/>
          <w:bCs/>
          <w:spacing w:val="2"/>
          <w:kern w:val="0"/>
          <w:sz w:val="24"/>
          <w:lang w:bidi="tr-TR"/>
          <w14:ligatures w14:val="none"/>
        </w:rPr>
        <w:t>İlgili izleme MET 5’te verilmiştir.</w:t>
      </w:r>
    </w:p>
    <w:p w14:paraId="2A6ACCF7"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5E45DAD9"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4. Süt Ürünleri İçin MET Sonuçları</w:t>
      </w:r>
    </w:p>
    <w:p w14:paraId="38E99CBC"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2C07D9">
        <w:rPr>
          <w:rFonts w:ascii="Times New Roman" w:eastAsia="Times New Roman" w:hAnsi="Times New Roman" w:cs="Times New Roman"/>
          <w:bCs/>
          <w:spacing w:val="2"/>
          <w:kern w:val="0"/>
          <w:sz w:val="24"/>
          <w:lang w:bidi="tr-TR"/>
          <w14:ligatures w14:val="none"/>
        </w:rPr>
        <w:t>Bu bölümde sunulan MET sonuçları süt işletmeleri için geçerlidir. Bölüm 1’de verilen genel MET sonuçlarına ek olarak geçerlidir.</w:t>
      </w:r>
    </w:p>
    <w:p w14:paraId="752EB355"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p>
    <w:p w14:paraId="1BA2B852"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4.1.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4C85DFC1" w14:textId="77777777" w:rsidR="003B155E" w:rsidRPr="002C07D9" w:rsidRDefault="003B155E" w:rsidP="003B155E">
      <w:pPr>
        <w:spacing w:after="0" w:line="276" w:lineRule="auto"/>
        <w:jc w:val="both"/>
        <w:rPr>
          <w:rFonts w:ascii="Times New Roman" w:eastAsia="Times New Roman" w:hAnsi="Times New Roman" w:cs="Times New Roman"/>
          <w:bCs/>
          <w:spacing w:val="2"/>
          <w:kern w:val="0"/>
          <w:sz w:val="24"/>
          <w:lang w:bidi="tr-TR"/>
          <w14:ligatures w14:val="none"/>
        </w:rPr>
      </w:pPr>
      <w:r w:rsidRPr="002C07D9">
        <w:rPr>
          <w:rFonts w:ascii="Times New Roman" w:eastAsia="Times New Roman" w:hAnsi="Times New Roman" w:cs="Times New Roman"/>
          <w:b/>
          <w:bCs/>
          <w:color w:val="000000"/>
          <w:spacing w:val="2"/>
          <w:kern w:val="0"/>
          <w:sz w:val="24"/>
          <w:szCs w:val="24"/>
          <w14:ligatures w14:val="none"/>
        </w:rPr>
        <w:t xml:space="preserve">MET 21: </w:t>
      </w:r>
      <w:r w:rsidRPr="002C07D9">
        <w:rPr>
          <w:rFonts w:ascii="Times New Roman" w:eastAsia="Times New Roman" w:hAnsi="Times New Roman" w:cs="Times New Roman"/>
          <w:bCs/>
          <w:spacing w:val="2"/>
          <w:kern w:val="0"/>
          <w:sz w:val="24"/>
          <w:lang w:bidi="tr-TR"/>
          <w14:ligatures w14:val="none"/>
        </w:rPr>
        <w:t>Enerji verimliliğini artırmak amacıyla kullanılan MET, MET 6’da belirtilen teknikler ile aşağıda verilen tekniklerin uygun bir kombinasyonu kullanılır.</w:t>
      </w:r>
    </w:p>
    <w:tbl>
      <w:tblPr>
        <w:tblStyle w:val="TabloKlavuzu10"/>
        <w:tblW w:w="5000" w:type="pct"/>
        <w:tblLook w:val="04A0" w:firstRow="1" w:lastRow="0" w:firstColumn="1" w:lastColumn="0" w:noHBand="0" w:noVBand="1"/>
      </w:tblPr>
      <w:tblGrid>
        <w:gridCol w:w="458"/>
        <w:gridCol w:w="3248"/>
        <w:gridCol w:w="5356"/>
      </w:tblGrid>
      <w:tr w:rsidR="003B155E" w:rsidRPr="002C07D9" w14:paraId="282F6251" w14:textId="77777777" w:rsidTr="000D79D6">
        <w:tc>
          <w:tcPr>
            <w:tcW w:w="2045" w:type="pct"/>
            <w:gridSpan w:val="2"/>
            <w:vAlign w:val="center"/>
          </w:tcPr>
          <w:p w14:paraId="46E5D145"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Teknik</w:t>
            </w:r>
          </w:p>
        </w:tc>
        <w:tc>
          <w:tcPr>
            <w:tcW w:w="2955" w:type="pct"/>
            <w:vAlign w:val="center"/>
          </w:tcPr>
          <w:p w14:paraId="799A1BF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Tanım</w:t>
            </w:r>
          </w:p>
        </w:tc>
      </w:tr>
      <w:tr w:rsidR="003B155E" w:rsidRPr="002C07D9" w14:paraId="004D3939" w14:textId="77777777" w:rsidTr="000D79D6">
        <w:tc>
          <w:tcPr>
            <w:tcW w:w="253" w:type="pct"/>
            <w:vAlign w:val="center"/>
          </w:tcPr>
          <w:p w14:paraId="3CDB8EE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(a)</w:t>
            </w:r>
          </w:p>
        </w:tc>
        <w:tc>
          <w:tcPr>
            <w:tcW w:w="1792" w:type="pct"/>
            <w:vAlign w:val="center"/>
          </w:tcPr>
          <w:p w14:paraId="4E04EBDC" w14:textId="77777777" w:rsidR="003B155E" w:rsidRPr="002C07D9" w:rsidRDefault="003B155E" w:rsidP="000D79D6">
            <w:pPr>
              <w:widowControl w:val="0"/>
              <w:shd w:val="clear" w:color="auto" w:fill="FFFFFF"/>
              <w:ind w:hanging="14"/>
              <w:rPr>
                <w:rFonts w:ascii="Times New Roman" w:hAnsi="Times New Roman" w:cs="Times New Roman"/>
              </w:rPr>
            </w:pPr>
            <w:r w:rsidRPr="002C07D9">
              <w:rPr>
                <w:rFonts w:ascii="Times New Roman" w:hAnsi="Times New Roman" w:cs="Times New Roman"/>
              </w:rPr>
              <w:t>Kısmi süt homojenizasyonu</w:t>
            </w:r>
          </w:p>
        </w:tc>
        <w:tc>
          <w:tcPr>
            <w:tcW w:w="2955" w:type="pct"/>
            <w:vAlign w:val="center"/>
          </w:tcPr>
          <w:p w14:paraId="2DD93183" w14:textId="77777777" w:rsidR="003B155E" w:rsidRPr="002C07D9" w:rsidRDefault="003B155E" w:rsidP="000D79D6">
            <w:pPr>
              <w:pBdr>
                <w:top w:val="nil"/>
                <w:left w:val="nil"/>
                <w:bottom w:val="nil"/>
                <w:right w:val="nil"/>
                <w:between w:val="nil"/>
              </w:pBdr>
              <w:ind w:left="38"/>
              <w:rPr>
                <w:rFonts w:ascii="Times New Roman" w:hAnsi="Times New Roman" w:cs="Times New Roman"/>
                <w:color w:val="000000"/>
              </w:rPr>
            </w:pPr>
            <w:r w:rsidRPr="002C07D9">
              <w:rPr>
                <w:rFonts w:ascii="Times New Roman" w:hAnsi="Times New Roman"/>
                <w:color w:val="000000"/>
              </w:rPr>
              <w:t>Krema, az miktarda yağsız sütle birlikte homojenleştirilir. Homojenizatörün boyutu önemli ölçüde küçültülerek enerji tasarrufu sağlanabilir.</w:t>
            </w:r>
          </w:p>
        </w:tc>
      </w:tr>
      <w:tr w:rsidR="003B155E" w:rsidRPr="002C07D9" w14:paraId="4CEDD1C4" w14:textId="77777777" w:rsidTr="000D79D6">
        <w:tc>
          <w:tcPr>
            <w:tcW w:w="253" w:type="pct"/>
            <w:vAlign w:val="center"/>
          </w:tcPr>
          <w:p w14:paraId="2D98EFE3"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(b)</w:t>
            </w:r>
          </w:p>
        </w:tc>
        <w:tc>
          <w:tcPr>
            <w:tcW w:w="1792" w:type="pct"/>
            <w:vAlign w:val="center"/>
          </w:tcPr>
          <w:p w14:paraId="5F37A970"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Enerji tasarruflu homojenizatör</w:t>
            </w:r>
          </w:p>
        </w:tc>
        <w:tc>
          <w:tcPr>
            <w:tcW w:w="2955" w:type="pct"/>
            <w:vAlign w:val="center"/>
          </w:tcPr>
          <w:p w14:paraId="756C0AF8" w14:textId="77777777" w:rsidR="003B155E" w:rsidRPr="002C07D9" w:rsidRDefault="003B155E" w:rsidP="000D79D6">
            <w:pPr>
              <w:pBdr>
                <w:top w:val="nil"/>
                <w:left w:val="nil"/>
                <w:bottom w:val="nil"/>
                <w:right w:val="nil"/>
                <w:between w:val="nil"/>
              </w:pBdr>
              <w:ind w:left="28"/>
              <w:contextualSpacing/>
              <w:rPr>
                <w:rFonts w:ascii="Times New Roman" w:hAnsi="Times New Roman" w:cs="Times New Roman"/>
                <w:spacing w:val="2"/>
                <w:position w:val="-1"/>
              </w:rPr>
            </w:pPr>
            <w:r w:rsidRPr="002C07D9">
              <w:rPr>
                <w:rFonts w:ascii="Times New Roman" w:hAnsi="Times New Roman" w:cs="Times New Roman"/>
                <w:spacing w:val="2"/>
                <w:position w:val="-1"/>
              </w:rPr>
              <w:t>Homojenleştiricinin çalışma basıncı, optimize edilmiş tasarım sayesinde azaltılır ve böylece sistemi çalıştırmak için gereken elektrik enerjisi de azalır.</w:t>
            </w:r>
          </w:p>
        </w:tc>
      </w:tr>
      <w:tr w:rsidR="003B155E" w:rsidRPr="002C07D9" w14:paraId="4F0816AE" w14:textId="77777777" w:rsidTr="000D79D6">
        <w:tc>
          <w:tcPr>
            <w:tcW w:w="253" w:type="pct"/>
            <w:vAlign w:val="center"/>
          </w:tcPr>
          <w:p w14:paraId="5A9527D7"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(c)</w:t>
            </w:r>
          </w:p>
        </w:tc>
        <w:tc>
          <w:tcPr>
            <w:tcW w:w="1792" w:type="pct"/>
            <w:vAlign w:val="center"/>
          </w:tcPr>
          <w:p w14:paraId="27264291"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Sürekli pastörizatörlerin kullanımı</w:t>
            </w:r>
          </w:p>
        </w:tc>
        <w:tc>
          <w:tcPr>
            <w:tcW w:w="2955" w:type="pct"/>
            <w:vAlign w:val="center"/>
          </w:tcPr>
          <w:p w14:paraId="01D477E4" w14:textId="77777777" w:rsidR="003B155E" w:rsidRPr="002C07D9" w:rsidRDefault="003B155E" w:rsidP="000D79D6">
            <w:pPr>
              <w:pBdr>
                <w:top w:val="nil"/>
                <w:left w:val="nil"/>
                <w:bottom w:val="nil"/>
                <w:right w:val="nil"/>
                <w:between w:val="nil"/>
              </w:pBdr>
              <w:ind w:left="28"/>
              <w:rPr>
                <w:rFonts w:ascii="Times New Roman" w:hAnsi="Times New Roman" w:cs="Times New Roman"/>
                <w:color w:val="000000"/>
              </w:rPr>
            </w:pPr>
            <w:r w:rsidRPr="002C07D9">
              <w:rPr>
                <w:rFonts w:ascii="Times New Roman" w:hAnsi="Times New Roman"/>
                <w:color w:val="000000"/>
              </w:rPr>
              <w:t>Sürekli akışlı ısı eşanjörleri kullanılır (örneğin boru şeklinde, plakalı ve çerçeveli). Pastörizasyon süresi, toplu sistemlere göre çok daha kısadır.</w:t>
            </w:r>
          </w:p>
        </w:tc>
      </w:tr>
      <w:tr w:rsidR="003B155E" w:rsidRPr="002C07D9" w14:paraId="5F52E3E5" w14:textId="77777777" w:rsidTr="000D79D6">
        <w:tc>
          <w:tcPr>
            <w:tcW w:w="253" w:type="pct"/>
            <w:vAlign w:val="center"/>
          </w:tcPr>
          <w:p w14:paraId="045AFB8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(d)</w:t>
            </w:r>
          </w:p>
        </w:tc>
        <w:tc>
          <w:tcPr>
            <w:tcW w:w="1792" w:type="pct"/>
            <w:vAlign w:val="center"/>
          </w:tcPr>
          <w:p w14:paraId="31709DF2"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Pastörizasyonda rejeneratif ısı değişimi</w:t>
            </w:r>
          </w:p>
        </w:tc>
        <w:tc>
          <w:tcPr>
            <w:tcW w:w="2955" w:type="pct"/>
            <w:vAlign w:val="center"/>
          </w:tcPr>
          <w:p w14:paraId="48682B53" w14:textId="77777777" w:rsidR="003B155E" w:rsidRPr="002C07D9" w:rsidRDefault="003B155E" w:rsidP="000D79D6">
            <w:pPr>
              <w:widowControl w:val="0"/>
              <w:ind w:left="28"/>
              <w:rPr>
                <w:rFonts w:ascii="Times New Roman" w:hAnsi="Times New Roman"/>
                <w:color w:val="000000"/>
              </w:rPr>
            </w:pPr>
            <w:r w:rsidRPr="002C07D9">
              <w:rPr>
                <w:rFonts w:ascii="Times New Roman" w:hAnsi="Times New Roman"/>
                <w:color w:val="000000"/>
              </w:rPr>
              <w:t>Gelen süt, pastörizasyon bölümünden çıkan sıcak süt tarafından önceden ısıtılır.</w:t>
            </w:r>
          </w:p>
        </w:tc>
      </w:tr>
      <w:tr w:rsidR="003B155E" w:rsidRPr="002C07D9" w14:paraId="7AC982F8" w14:textId="77777777" w:rsidTr="000D79D6">
        <w:tc>
          <w:tcPr>
            <w:tcW w:w="253" w:type="pct"/>
            <w:vAlign w:val="center"/>
          </w:tcPr>
          <w:p w14:paraId="09FDB2BE"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lastRenderedPageBreak/>
              <w:t>(e)</w:t>
            </w:r>
          </w:p>
        </w:tc>
        <w:tc>
          <w:tcPr>
            <w:tcW w:w="1792" w:type="pct"/>
            <w:vAlign w:val="center"/>
          </w:tcPr>
          <w:p w14:paraId="64BEE1BD"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Sütün ara pastörizasyon olmadan ultra yüksek sıcaklıkta (Ultra-High-Temperature UHT) işlenmesi</w:t>
            </w:r>
          </w:p>
        </w:tc>
        <w:tc>
          <w:tcPr>
            <w:tcW w:w="2955" w:type="pct"/>
            <w:vAlign w:val="center"/>
          </w:tcPr>
          <w:p w14:paraId="09E6EAC7" w14:textId="77777777" w:rsidR="003B155E" w:rsidRPr="002C07D9" w:rsidRDefault="003B155E" w:rsidP="000D79D6">
            <w:pPr>
              <w:pBdr>
                <w:top w:val="nil"/>
                <w:left w:val="nil"/>
                <w:bottom w:val="nil"/>
                <w:right w:val="nil"/>
                <w:between w:val="nil"/>
              </w:pBdr>
              <w:ind w:left="39"/>
              <w:rPr>
                <w:rFonts w:ascii="Times New Roman" w:hAnsi="Times New Roman"/>
                <w:color w:val="000000"/>
              </w:rPr>
            </w:pPr>
            <w:r w:rsidRPr="002C07D9">
              <w:rPr>
                <w:rFonts w:ascii="Times New Roman" w:hAnsi="Times New Roman"/>
                <w:color w:val="000000"/>
              </w:rPr>
              <w:t>UHT süt, çiğ sütten tek adımda üretilerek pastörizasyon için gereken enerjiden tasarruf edilir.</w:t>
            </w:r>
          </w:p>
        </w:tc>
      </w:tr>
      <w:tr w:rsidR="003B155E" w:rsidRPr="002C07D9" w14:paraId="7BF365B1" w14:textId="77777777" w:rsidTr="000D79D6">
        <w:tc>
          <w:tcPr>
            <w:tcW w:w="253" w:type="pct"/>
            <w:vAlign w:val="center"/>
          </w:tcPr>
          <w:p w14:paraId="1FB26A84"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(f)</w:t>
            </w:r>
          </w:p>
        </w:tc>
        <w:tc>
          <w:tcPr>
            <w:tcW w:w="1792" w:type="pct"/>
            <w:vAlign w:val="center"/>
          </w:tcPr>
          <w:p w14:paraId="1AAD1EB3"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rPr>
              <w:t>Toz üretiminde çok aşamalı kurutma</w:t>
            </w:r>
          </w:p>
        </w:tc>
        <w:tc>
          <w:tcPr>
            <w:tcW w:w="2955" w:type="pct"/>
            <w:vAlign w:val="center"/>
          </w:tcPr>
          <w:p w14:paraId="7E7F7D35" w14:textId="77777777" w:rsidR="003B155E" w:rsidRPr="002C07D9" w:rsidRDefault="003B155E" w:rsidP="000D79D6">
            <w:pPr>
              <w:pBdr>
                <w:top w:val="nil"/>
                <w:left w:val="nil"/>
                <w:bottom w:val="nil"/>
                <w:right w:val="nil"/>
                <w:between w:val="nil"/>
              </w:pBdr>
              <w:ind w:left="39"/>
              <w:rPr>
                <w:rFonts w:ascii="Times New Roman" w:hAnsi="Times New Roman" w:cs="Times New Roman"/>
                <w:color w:val="000000"/>
              </w:rPr>
            </w:pPr>
            <w:r w:rsidRPr="002C07D9">
              <w:rPr>
                <w:rFonts w:ascii="Times New Roman" w:hAnsi="Times New Roman"/>
                <w:color w:val="000000"/>
              </w:rPr>
              <w:t>Püskürtmeli kurutma işlemi, örneğin akışkan yataklı kurutucu gibi aşağı yönde bir kurutucuyla birlikte kullanılır.</w:t>
            </w:r>
          </w:p>
        </w:tc>
      </w:tr>
      <w:tr w:rsidR="003B155E" w:rsidRPr="002C07D9" w14:paraId="105726AA" w14:textId="77777777" w:rsidTr="000D79D6">
        <w:tc>
          <w:tcPr>
            <w:tcW w:w="253" w:type="pct"/>
            <w:vAlign w:val="center"/>
          </w:tcPr>
          <w:p w14:paraId="439138DA" w14:textId="77777777" w:rsidR="003B155E" w:rsidRPr="002C07D9" w:rsidRDefault="003B155E" w:rsidP="000D79D6">
            <w:pPr>
              <w:widowControl w:val="0"/>
              <w:tabs>
                <w:tab w:val="left" w:pos="562"/>
              </w:tabs>
              <w:rPr>
                <w:rFonts w:ascii="Times New Roman" w:hAnsi="Times New Roman" w:cs="Times New Roman"/>
              </w:rPr>
            </w:pPr>
            <w:r w:rsidRPr="002C07D9">
              <w:rPr>
                <w:rFonts w:ascii="Times New Roman" w:hAnsi="Times New Roman" w:cs="Times New Roman"/>
              </w:rPr>
              <w:t>(g)</w:t>
            </w:r>
          </w:p>
        </w:tc>
        <w:tc>
          <w:tcPr>
            <w:tcW w:w="1792" w:type="pct"/>
            <w:vAlign w:val="center"/>
          </w:tcPr>
          <w:p w14:paraId="353EDF48"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rPr>
              <w:t>Buzlu suyun ön soğutulması</w:t>
            </w:r>
          </w:p>
        </w:tc>
        <w:tc>
          <w:tcPr>
            <w:tcW w:w="2955" w:type="pct"/>
            <w:vAlign w:val="center"/>
          </w:tcPr>
          <w:p w14:paraId="4808B010" w14:textId="77777777" w:rsidR="003B155E" w:rsidRPr="002C07D9" w:rsidRDefault="003B155E" w:rsidP="000D79D6">
            <w:pPr>
              <w:pBdr>
                <w:top w:val="nil"/>
                <w:left w:val="nil"/>
                <w:bottom w:val="nil"/>
                <w:right w:val="nil"/>
                <w:between w:val="nil"/>
              </w:pBdr>
              <w:ind w:left="39"/>
              <w:rPr>
                <w:rFonts w:ascii="Times New Roman" w:hAnsi="Times New Roman" w:cs="Times New Roman"/>
                <w:color w:val="000000"/>
              </w:rPr>
            </w:pPr>
            <w:r w:rsidRPr="002C07D9">
              <w:rPr>
                <w:rFonts w:ascii="Times New Roman" w:hAnsi="Times New Roman"/>
                <w:color w:val="000000"/>
              </w:rPr>
              <w:t>Buzlu su kullanıldığında, geri dönen buzlu su, bobinli buharlaştırıcıya sahip bir biriktirme buzlu su tankında son soğutulmadan önce ön soğutmaya (örneğin plakalı ısı değiştirici ile) tabi tutulur.</w:t>
            </w:r>
          </w:p>
        </w:tc>
      </w:tr>
    </w:tbl>
    <w:p w14:paraId="280E9F1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8</w:t>
      </w:r>
    </w:p>
    <w:p w14:paraId="53FB099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enerji tüketimi için gösterge niteliğindeki çevresel performans seviyeleri.</w:t>
      </w:r>
    </w:p>
    <w:tbl>
      <w:tblPr>
        <w:tblW w:w="5000" w:type="pct"/>
        <w:tblBorders>
          <w:top w:val="nil"/>
          <w:left w:val="nil"/>
          <w:bottom w:val="nil"/>
          <w:right w:val="nil"/>
          <w:insideH w:val="nil"/>
          <w:insideV w:val="nil"/>
        </w:tblBorders>
        <w:tblLook w:val="0600" w:firstRow="0" w:lastRow="0" w:firstColumn="0" w:lastColumn="0" w:noHBand="1" w:noVBand="1"/>
      </w:tblPr>
      <w:tblGrid>
        <w:gridCol w:w="3127"/>
        <w:gridCol w:w="2154"/>
        <w:gridCol w:w="3771"/>
      </w:tblGrid>
      <w:tr w:rsidR="003B155E" w:rsidRPr="002C07D9" w14:paraId="029367B5" w14:textId="77777777" w:rsidTr="000D79D6">
        <w:trPr>
          <w:trHeight w:val="240"/>
        </w:trPr>
        <w:tc>
          <w:tcPr>
            <w:tcW w:w="1727"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0AC52A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Ana ürün (üretimin en az %80'i)</w:t>
            </w:r>
          </w:p>
        </w:tc>
        <w:tc>
          <w:tcPr>
            <w:tcW w:w="1190"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DEAC3B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083"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2639D3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21B4EB83" w14:textId="77777777" w:rsidTr="000D79D6">
        <w:trPr>
          <w:trHeight w:val="211"/>
        </w:trPr>
        <w:tc>
          <w:tcPr>
            <w:tcW w:w="1727"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BFE2F9E"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Market sütü</w:t>
            </w:r>
          </w:p>
        </w:tc>
        <w:tc>
          <w:tcPr>
            <w:tcW w:w="1190"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1175A85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MWh/ton hammadde</w:t>
            </w:r>
          </w:p>
        </w:tc>
        <w:tc>
          <w:tcPr>
            <w:tcW w:w="2083"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69C76685"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0,1-0,6</w:t>
            </w:r>
          </w:p>
        </w:tc>
      </w:tr>
      <w:tr w:rsidR="003B155E" w:rsidRPr="002C07D9" w14:paraId="61310184" w14:textId="77777777" w:rsidTr="000D79D6">
        <w:trPr>
          <w:trHeight w:val="390"/>
        </w:trPr>
        <w:tc>
          <w:tcPr>
            <w:tcW w:w="1727"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4BBC95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Peynir</w:t>
            </w:r>
          </w:p>
        </w:tc>
        <w:tc>
          <w:tcPr>
            <w:tcW w:w="1190"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3281D1F"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83"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54F1F42B"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0,10-0,22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w:t>
            </w:r>
          </w:p>
        </w:tc>
      </w:tr>
      <w:tr w:rsidR="003B155E" w:rsidRPr="002C07D9" w14:paraId="20CB07F7" w14:textId="77777777" w:rsidTr="000D79D6">
        <w:trPr>
          <w:trHeight w:val="196"/>
        </w:trPr>
        <w:tc>
          <w:tcPr>
            <w:tcW w:w="1727" w:type="pc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3014145F"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1190"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D5E5E2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83"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784F99C5"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0,2-0,5</w:t>
            </w:r>
          </w:p>
        </w:tc>
      </w:tr>
      <w:tr w:rsidR="003B155E" w:rsidRPr="002C07D9" w14:paraId="515742E9" w14:textId="77777777" w:rsidTr="000D79D6">
        <w:trPr>
          <w:trHeight w:val="301"/>
        </w:trPr>
        <w:tc>
          <w:tcPr>
            <w:tcW w:w="1727" w:type="pct"/>
            <w:tcBorders>
              <w:top w:val="nil"/>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27FD49B3"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Fermente Süt</w:t>
            </w:r>
          </w:p>
        </w:tc>
        <w:tc>
          <w:tcPr>
            <w:tcW w:w="1190" w:type="pct"/>
            <w:vMerge/>
            <w:tcBorders>
              <w:top w:val="nil"/>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B012FFE"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83"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379B068E"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0,2-1,6</w:t>
            </w:r>
          </w:p>
        </w:tc>
      </w:tr>
      <w:tr w:rsidR="003B155E" w:rsidRPr="002C07D9" w14:paraId="1C694EB8" w14:textId="77777777" w:rsidTr="000D79D6">
        <w:trPr>
          <w:trHeight w:val="301"/>
        </w:trPr>
        <w:tc>
          <w:tcPr>
            <w:tcW w:w="5000" w:type="pct"/>
            <w:gridSpan w:val="3"/>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1BAECFDF"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(1) Süt dışındaki ham maddelerin kullanılması durumunda özgül enerji tüketim düzeyi geçerli olmayabilir.</w:t>
            </w:r>
          </w:p>
        </w:tc>
      </w:tr>
    </w:tbl>
    <w:p w14:paraId="0EFD9ED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32C48311"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4.2. </w:t>
      </w:r>
      <w:r w:rsidRPr="002C07D9">
        <w:rPr>
          <w:rFonts w:ascii="Times New Roman" w:eastAsia="Times New Roman" w:hAnsi="Times New Roman" w:cs="Times New Roman"/>
          <w:b/>
          <w:bCs/>
          <w:color w:val="000000"/>
          <w:kern w:val="0"/>
          <w:sz w:val="24"/>
          <w:szCs w:val="24"/>
          <w:lang w:eastAsia="tr-TR"/>
          <w14:ligatures w14:val="none"/>
        </w:rPr>
        <w:t>Su Tüketimi ve Atıksu Deşarjı</w:t>
      </w:r>
    </w:p>
    <w:p w14:paraId="37E4E38A"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Su tüketimini ve deşarj edilen atıksu hacmini azaltmaya yönelik genel teknikler bu MET sonuçlarının 1.4 Bölümünde verilmiştir. Gösterge niteliğindeki çevresel performans seviyeleri aşağıdaki tabloda sunulmuştur.</w:t>
      </w:r>
    </w:p>
    <w:p w14:paraId="2BE28631"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9</w:t>
      </w:r>
    </w:p>
    <w:p w14:paraId="2C42C7B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atıksu deşarjı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3215"/>
        <w:gridCol w:w="2013"/>
        <w:gridCol w:w="3824"/>
      </w:tblGrid>
      <w:tr w:rsidR="003B155E" w:rsidRPr="002C07D9" w14:paraId="0EFB80E2" w14:textId="77777777" w:rsidTr="000D79D6">
        <w:trPr>
          <w:trHeight w:val="319"/>
          <w:jc w:val="center"/>
        </w:trPr>
        <w:tc>
          <w:tcPr>
            <w:tcW w:w="1776"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8F57182"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Ana ürün (üretimin en az %80’i)</w:t>
            </w:r>
          </w:p>
        </w:tc>
        <w:tc>
          <w:tcPr>
            <w:tcW w:w="1112"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B104585"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112"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A47C91F"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710D710E" w14:textId="77777777" w:rsidTr="000D79D6">
        <w:trPr>
          <w:trHeight w:val="285"/>
          <w:jc w:val="center"/>
        </w:trPr>
        <w:tc>
          <w:tcPr>
            <w:tcW w:w="1776"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18C10A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Market sütü</w:t>
            </w:r>
          </w:p>
        </w:tc>
        <w:tc>
          <w:tcPr>
            <w:tcW w:w="1112"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5568ADF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/ton hammadde</w:t>
            </w:r>
          </w:p>
        </w:tc>
        <w:tc>
          <w:tcPr>
            <w:tcW w:w="2112"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2BE7A76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0,3-3</w:t>
            </w:r>
          </w:p>
        </w:tc>
      </w:tr>
      <w:tr w:rsidR="003B155E" w:rsidRPr="002C07D9" w14:paraId="7B64995B" w14:textId="77777777" w:rsidTr="000D79D6">
        <w:trPr>
          <w:trHeight w:val="285"/>
          <w:jc w:val="center"/>
        </w:trPr>
        <w:tc>
          <w:tcPr>
            <w:tcW w:w="1776"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2BB71C1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Peynir</w:t>
            </w:r>
          </w:p>
        </w:tc>
        <w:tc>
          <w:tcPr>
            <w:tcW w:w="1112"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ABDC83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112"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4DB6DDB7"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0,75-2,5</w:t>
            </w:r>
          </w:p>
        </w:tc>
      </w:tr>
      <w:tr w:rsidR="003B155E" w:rsidRPr="002C07D9" w14:paraId="0E880A18" w14:textId="77777777" w:rsidTr="000D79D6">
        <w:trPr>
          <w:trHeight w:val="285"/>
          <w:jc w:val="center"/>
        </w:trPr>
        <w:tc>
          <w:tcPr>
            <w:tcW w:w="1776" w:type="pc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5D5C3D2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1112"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6A20B9B"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112"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1A41360"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1,2-2,7</w:t>
            </w:r>
          </w:p>
        </w:tc>
      </w:tr>
    </w:tbl>
    <w:p w14:paraId="13F7E16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78E477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4.3. </w:t>
      </w:r>
      <w:r w:rsidRPr="002C07D9">
        <w:rPr>
          <w:rFonts w:ascii="Times New Roman" w:eastAsia="Times New Roman" w:hAnsi="Times New Roman" w:cs="Times New Roman"/>
          <w:b/>
          <w:bCs/>
          <w:color w:val="000000"/>
          <w:kern w:val="0"/>
          <w:sz w:val="24"/>
          <w:szCs w:val="24"/>
          <w:lang w:eastAsia="tr-TR"/>
          <w14:ligatures w14:val="none"/>
        </w:rPr>
        <w:t>Atık</w:t>
      </w:r>
    </w:p>
    <w:p w14:paraId="1857FCFB" w14:textId="77777777" w:rsidR="003B155E" w:rsidRPr="002C07D9" w:rsidRDefault="003B155E" w:rsidP="003B155E">
      <w:pPr>
        <w:widowControl w:val="0"/>
        <w:spacing w:after="0" w:line="276" w:lineRule="auto"/>
        <w:jc w:val="both"/>
        <w:rPr>
          <w:rFonts w:ascii="Times New Roman" w:eastAsia="Times New Roman" w:hAnsi="Times New Roman" w:cs="Times New Roman"/>
          <w:bCs/>
          <w:color w:val="000000"/>
          <w:kern w:val="0"/>
          <w:sz w:val="24"/>
          <w:szCs w:val="24"/>
          <w:lang w:eastAsia="tr-TR"/>
          <w14:ligatures w14:val="none"/>
        </w:rPr>
      </w:pPr>
      <w:bookmarkStart w:id="14" w:name="bookmark1439"/>
      <w:r w:rsidRPr="002C07D9">
        <w:rPr>
          <w:rFonts w:ascii="Times New Roman" w:eastAsia="Times New Roman" w:hAnsi="Times New Roman" w:cs="Times New Roman"/>
          <w:b/>
          <w:color w:val="000000"/>
          <w:kern w:val="0"/>
          <w:sz w:val="24"/>
          <w:szCs w:val="24"/>
          <w:lang w:eastAsia="tr-TR"/>
          <w14:ligatures w14:val="none"/>
        </w:rPr>
        <w:t>MET 22:</w:t>
      </w:r>
      <w:bookmarkEnd w:id="14"/>
      <w:r w:rsidRPr="002C07D9">
        <w:rPr>
          <w:rFonts w:ascii="Times New Roman" w:eastAsia="Times New Roman" w:hAnsi="Times New Roman" w:cs="Times New Roman"/>
          <w:b/>
          <w:color w:val="000000"/>
          <w:kern w:val="0"/>
          <w:sz w:val="24"/>
          <w:szCs w:val="24"/>
          <w:lang w:eastAsia="tr-TR"/>
          <w14:ligatures w14:val="none"/>
        </w:rPr>
        <w:t xml:space="preserve"> </w:t>
      </w:r>
      <w:r w:rsidRPr="002C07D9">
        <w:rPr>
          <w:rFonts w:ascii="Times New Roman" w:eastAsia="Times New Roman" w:hAnsi="Times New Roman" w:cs="Times New Roman"/>
          <w:bCs/>
          <w:color w:val="000000"/>
          <w:kern w:val="0"/>
          <w:sz w:val="24"/>
          <w:szCs w:val="24"/>
          <w:lang w:eastAsia="tr-TR"/>
          <w14:ligatures w14:val="none"/>
        </w:rPr>
        <w:t>Bertaraf edilmek üzere gönderilen atık miktarını azaltmak için, aşağıda verilen tekniklerden biri veya birkaçı bir arada kullanılır.</w:t>
      </w:r>
    </w:p>
    <w:tbl>
      <w:tblPr>
        <w:tblStyle w:val="TabloKlavuzu10"/>
        <w:tblW w:w="5000" w:type="pct"/>
        <w:tblLook w:val="04A0" w:firstRow="1" w:lastRow="0" w:firstColumn="1" w:lastColumn="0" w:noHBand="0" w:noVBand="1"/>
      </w:tblPr>
      <w:tblGrid>
        <w:gridCol w:w="458"/>
        <w:gridCol w:w="3248"/>
        <w:gridCol w:w="5356"/>
      </w:tblGrid>
      <w:tr w:rsidR="003B155E" w:rsidRPr="002C07D9" w14:paraId="21EEA370" w14:textId="77777777" w:rsidTr="000D79D6">
        <w:tc>
          <w:tcPr>
            <w:tcW w:w="2045" w:type="pct"/>
            <w:gridSpan w:val="2"/>
            <w:vAlign w:val="center"/>
          </w:tcPr>
          <w:p w14:paraId="0290DE20"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Teknik</w:t>
            </w:r>
          </w:p>
        </w:tc>
        <w:tc>
          <w:tcPr>
            <w:tcW w:w="2955" w:type="pct"/>
            <w:vAlign w:val="center"/>
          </w:tcPr>
          <w:p w14:paraId="0AA61E8C"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Tanım</w:t>
            </w:r>
          </w:p>
        </w:tc>
      </w:tr>
      <w:tr w:rsidR="003B155E" w:rsidRPr="002C07D9" w14:paraId="47B2F7B0" w14:textId="77777777" w:rsidTr="000D79D6">
        <w:tc>
          <w:tcPr>
            <w:tcW w:w="5000" w:type="pct"/>
            <w:gridSpan w:val="3"/>
            <w:vAlign w:val="center"/>
          </w:tcPr>
          <w:p w14:paraId="5B00C5D9" w14:textId="77777777" w:rsidR="003B155E" w:rsidRPr="002C07D9" w:rsidRDefault="003B155E" w:rsidP="000D79D6">
            <w:pPr>
              <w:widowControl w:val="0"/>
              <w:rPr>
                <w:rFonts w:ascii="Times New Roman" w:hAnsi="Times New Roman"/>
                <w:color w:val="000000"/>
              </w:rPr>
            </w:pPr>
            <w:r w:rsidRPr="002C07D9">
              <w:rPr>
                <w:rFonts w:ascii="Times New Roman" w:hAnsi="Times New Roman"/>
                <w:color w:val="000000"/>
              </w:rPr>
              <w:t>Santrifüj kullanım ile ilgili teknikler</w:t>
            </w:r>
          </w:p>
        </w:tc>
      </w:tr>
      <w:tr w:rsidR="003B155E" w:rsidRPr="002C07D9" w14:paraId="5892329A" w14:textId="77777777" w:rsidTr="000D79D6">
        <w:tc>
          <w:tcPr>
            <w:tcW w:w="253" w:type="pct"/>
            <w:vAlign w:val="center"/>
          </w:tcPr>
          <w:p w14:paraId="37D4FD52"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(a)</w:t>
            </w:r>
          </w:p>
        </w:tc>
        <w:tc>
          <w:tcPr>
            <w:tcW w:w="1792" w:type="pct"/>
            <w:vAlign w:val="center"/>
          </w:tcPr>
          <w:p w14:paraId="0106F93A" w14:textId="77777777" w:rsidR="003B155E" w:rsidRPr="002C07D9" w:rsidRDefault="003B155E" w:rsidP="000D79D6">
            <w:pPr>
              <w:widowControl w:val="0"/>
              <w:shd w:val="clear" w:color="auto" w:fill="FFFFFF"/>
              <w:ind w:hanging="14"/>
              <w:rPr>
                <w:rFonts w:ascii="Times New Roman" w:hAnsi="Times New Roman" w:cs="Times New Roman"/>
                <w:color w:val="000000"/>
              </w:rPr>
            </w:pPr>
            <w:r w:rsidRPr="002C07D9">
              <w:rPr>
                <w:rFonts w:ascii="Times New Roman" w:hAnsi="Times New Roman" w:cs="Times New Roman"/>
                <w:color w:val="000000"/>
              </w:rPr>
              <w:t>Santrifüjlerin optimum çalışması.</w:t>
            </w:r>
          </w:p>
        </w:tc>
        <w:tc>
          <w:tcPr>
            <w:tcW w:w="2955" w:type="pct"/>
            <w:vAlign w:val="center"/>
          </w:tcPr>
          <w:p w14:paraId="0393CFA9"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Santrifüjlerin özelliklerine uygun olarak çalıştırılarak ürün reddinin en aza indirilmektedir</w:t>
            </w:r>
          </w:p>
        </w:tc>
      </w:tr>
      <w:tr w:rsidR="003B155E" w:rsidRPr="002C07D9" w14:paraId="16C98EC1" w14:textId="77777777" w:rsidTr="000D79D6">
        <w:tc>
          <w:tcPr>
            <w:tcW w:w="5000" w:type="pct"/>
            <w:gridSpan w:val="3"/>
            <w:vAlign w:val="center"/>
          </w:tcPr>
          <w:p w14:paraId="7BAC29B9" w14:textId="77777777" w:rsidR="003B155E" w:rsidRPr="002C07D9" w:rsidRDefault="003B155E" w:rsidP="000D79D6">
            <w:pPr>
              <w:widowControl w:val="0"/>
              <w:rPr>
                <w:rFonts w:ascii="Times New Roman" w:hAnsi="Times New Roman"/>
                <w:color w:val="000000"/>
              </w:rPr>
            </w:pPr>
            <w:r w:rsidRPr="002C07D9">
              <w:rPr>
                <w:rFonts w:ascii="Times New Roman" w:hAnsi="Times New Roman"/>
                <w:color w:val="000000"/>
              </w:rPr>
              <w:t>Tereyağı üretimi ile ilgili teknikler</w:t>
            </w:r>
          </w:p>
        </w:tc>
      </w:tr>
      <w:tr w:rsidR="003B155E" w:rsidRPr="002C07D9" w14:paraId="5093ADB5" w14:textId="77777777" w:rsidTr="000D79D6">
        <w:tc>
          <w:tcPr>
            <w:tcW w:w="253" w:type="pct"/>
            <w:vAlign w:val="center"/>
          </w:tcPr>
          <w:p w14:paraId="4D762EFF"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(b)</w:t>
            </w:r>
          </w:p>
        </w:tc>
        <w:tc>
          <w:tcPr>
            <w:tcW w:w="1792" w:type="pct"/>
            <w:vAlign w:val="center"/>
          </w:tcPr>
          <w:p w14:paraId="49F5BEE8"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Krema ısıtıcısının yağsız süt veya su ile durulanması</w:t>
            </w:r>
          </w:p>
        </w:tc>
        <w:tc>
          <w:tcPr>
            <w:tcW w:w="2955" w:type="pct"/>
            <w:vAlign w:val="center"/>
          </w:tcPr>
          <w:p w14:paraId="73A9B50D" w14:textId="77777777" w:rsidR="003B155E" w:rsidRPr="002C07D9" w:rsidRDefault="003B155E" w:rsidP="000D79D6">
            <w:pPr>
              <w:pBdr>
                <w:top w:val="nil"/>
                <w:left w:val="nil"/>
                <w:bottom w:val="nil"/>
                <w:right w:val="nil"/>
                <w:between w:val="nil"/>
              </w:pBdr>
              <w:ind w:left="28"/>
              <w:contextualSpacing/>
              <w:jc w:val="both"/>
              <w:rPr>
                <w:rFonts w:ascii="Times New Roman" w:hAnsi="Times New Roman" w:cs="Times New Roman"/>
                <w:color w:val="000000"/>
                <w:spacing w:val="2"/>
                <w:position w:val="-1"/>
              </w:rPr>
            </w:pPr>
            <w:r w:rsidRPr="002C07D9">
              <w:rPr>
                <w:rFonts w:ascii="Times New Roman" w:hAnsi="Times New Roman" w:cs="Times New Roman"/>
                <w:color w:val="000000"/>
                <w:spacing w:val="2"/>
                <w:position w:val="-1"/>
              </w:rPr>
              <w:t>Temizleme işlemlerinden önce krema ısıtıcısının yağsız süt veya su ile durulanması, daha sonra geri kazanılarak tekrar kullanılmasını kapsamaktadır.</w:t>
            </w:r>
          </w:p>
        </w:tc>
      </w:tr>
      <w:tr w:rsidR="003B155E" w:rsidRPr="002C07D9" w14:paraId="43A17608" w14:textId="77777777" w:rsidTr="000D79D6">
        <w:tc>
          <w:tcPr>
            <w:tcW w:w="5000" w:type="pct"/>
            <w:gridSpan w:val="3"/>
            <w:vAlign w:val="center"/>
          </w:tcPr>
          <w:p w14:paraId="4C7BC781" w14:textId="77777777" w:rsidR="003B155E" w:rsidRPr="002C07D9" w:rsidRDefault="003B155E" w:rsidP="000D79D6">
            <w:pPr>
              <w:widowControl w:val="0"/>
              <w:rPr>
                <w:rFonts w:ascii="Times New Roman" w:hAnsi="Times New Roman"/>
                <w:color w:val="000000"/>
              </w:rPr>
            </w:pPr>
            <w:r w:rsidRPr="002C07D9">
              <w:rPr>
                <w:rFonts w:ascii="Times New Roman" w:hAnsi="Times New Roman"/>
                <w:color w:val="000000"/>
              </w:rPr>
              <w:t>Dondurma üretimi ile ilgili teknikler</w:t>
            </w:r>
          </w:p>
        </w:tc>
      </w:tr>
      <w:tr w:rsidR="003B155E" w:rsidRPr="002C07D9" w14:paraId="7AD6DD91" w14:textId="77777777" w:rsidTr="000D79D6">
        <w:tc>
          <w:tcPr>
            <w:tcW w:w="253" w:type="pct"/>
            <w:vAlign w:val="center"/>
          </w:tcPr>
          <w:p w14:paraId="2439E667"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(c)</w:t>
            </w:r>
          </w:p>
        </w:tc>
        <w:tc>
          <w:tcPr>
            <w:tcW w:w="1792" w:type="pct"/>
            <w:vAlign w:val="center"/>
          </w:tcPr>
          <w:p w14:paraId="5C48BA8F"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Dondurmanın devamlı soğutulması</w:t>
            </w:r>
          </w:p>
        </w:tc>
        <w:tc>
          <w:tcPr>
            <w:tcW w:w="2955" w:type="pct"/>
            <w:vAlign w:val="center"/>
          </w:tcPr>
          <w:p w14:paraId="6D29E22E" w14:textId="77777777" w:rsidR="003B155E" w:rsidRPr="002C07D9" w:rsidRDefault="003B155E" w:rsidP="000D79D6">
            <w:pPr>
              <w:pBdr>
                <w:top w:val="nil"/>
                <w:left w:val="nil"/>
                <w:bottom w:val="nil"/>
                <w:right w:val="nil"/>
                <w:between w:val="nil"/>
              </w:pBdr>
              <w:ind w:left="28"/>
              <w:jc w:val="both"/>
              <w:rPr>
                <w:rFonts w:ascii="Times New Roman" w:hAnsi="Times New Roman" w:cs="Times New Roman"/>
                <w:color w:val="000000"/>
              </w:rPr>
            </w:pPr>
            <w:r w:rsidRPr="002C07D9">
              <w:rPr>
                <w:rFonts w:ascii="Times New Roman" w:hAnsi="Times New Roman"/>
                <w:color w:val="000000"/>
              </w:rPr>
              <w:t>Optimize edilmiş başlatma prosedürleri ve durma sıklığını azaltan kontrol döngüleri kullanılarak dondurmanın sürekli soğutulmasını kapsamaktadır.</w:t>
            </w:r>
          </w:p>
        </w:tc>
      </w:tr>
      <w:tr w:rsidR="003B155E" w:rsidRPr="002C07D9" w14:paraId="150B2313" w14:textId="77777777" w:rsidTr="000D79D6">
        <w:tc>
          <w:tcPr>
            <w:tcW w:w="5000" w:type="pct"/>
            <w:gridSpan w:val="3"/>
            <w:vAlign w:val="center"/>
          </w:tcPr>
          <w:p w14:paraId="1FFF0262" w14:textId="77777777" w:rsidR="003B155E" w:rsidRPr="002C07D9" w:rsidRDefault="003B155E" w:rsidP="000D79D6">
            <w:pPr>
              <w:widowControl w:val="0"/>
              <w:rPr>
                <w:rFonts w:ascii="Times New Roman" w:hAnsi="Times New Roman"/>
                <w:color w:val="000000"/>
              </w:rPr>
            </w:pPr>
            <w:r w:rsidRPr="002C07D9">
              <w:rPr>
                <w:rFonts w:ascii="Times New Roman" w:hAnsi="Times New Roman"/>
                <w:color w:val="000000"/>
              </w:rPr>
              <w:t>Peynir üretimi ile ilgili teknikler</w:t>
            </w:r>
          </w:p>
        </w:tc>
      </w:tr>
      <w:tr w:rsidR="003B155E" w:rsidRPr="002C07D9" w14:paraId="65DD658B" w14:textId="77777777" w:rsidTr="000D79D6">
        <w:tc>
          <w:tcPr>
            <w:tcW w:w="253" w:type="pct"/>
            <w:vAlign w:val="center"/>
          </w:tcPr>
          <w:p w14:paraId="674D4F97"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(d)</w:t>
            </w:r>
          </w:p>
        </w:tc>
        <w:tc>
          <w:tcPr>
            <w:tcW w:w="1792" w:type="pct"/>
            <w:vAlign w:val="center"/>
          </w:tcPr>
          <w:p w14:paraId="1BF33CD5"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 xml:space="preserve">Asit peynir altı suyu oluşumunun en </w:t>
            </w:r>
            <w:r w:rsidRPr="002C07D9">
              <w:rPr>
                <w:rFonts w:ascii="Times New Roman" w:hAnsi="Times New Roman" w:cs="Times New Roman"/>
                <w:color w:val="000000"/>
              </w:rPr>
              <w:lastRenderedPageBreak/>
              <w:t>aza indirilmesi</w:t>
            </w:r>
          </w:p>
        </w:tc>
        <w:tc>
          <w:tcPr>
            <w:tcW w:w="2955" w:type="pct"/>
            <w:vAlign w:val="center"/>
          </w:tcPr>
          <w:p w14:paraId="5D717D36" w14:textId="77777777" w:rsidR="003B155E" w:rsidRPr="002C07D9" w:rsidRDefault="003B155E" w:rsidP="000D79D6">
            <w:pPr>
              <w:widowControl w:val="0"/>
              <w:ind w:left="28"/>
              <w:jc w:val="both"/>
              <w:rPr>
                <w:rFonts w:ascii="Times New Roman" w:hAnsi="Times New Roman"/>
                <w:color w:val="000000"/>
              </w:rPr>
            </w:pPr>
            <w:r w:rsidRPr="002C07D9">
              <w:rPr>
                <w:rFonts w:ascii="Times New Roman" w:hAnsi="Times New Roman"/>
                <w:color w:val="000000"/>
              </w:rPr>
              <w:lastRenderedPageBreak/>
              <w:t xml:space="preserve">Asit tipi peynirlerin (örneğin süzme peynir, lor peyniri ve </w:t>
            </w:r>
            <w:r w:rsidRPr="002C07D9">
              <w:rPr>
                <w:rFonts w:ascii="Times New Roman" w:hAnsi="Times New Roman"/>
                <w:color w:val="000000"/>
              </w:rPr>
              <w:lastRenderedPageBreak/>
              <w:t>mozzarella peyniri) üretiminden elde edilen peynir altı suyu, laktik asit oluşumunu azaltmak için mümkün olduğunca hızlı bir şekilde işlenmesini kapsamaktadır.</w:t>
            </w:r>
          </w:p>
        </w:tc>
      </w:tr>
      <w:tr w:rsidR="003B155E" w:rsidRPr="002C07D9" w14:paraId="2F8F9DB3" w14:textId="77777777" w:rsidTr="000D79D6">
        <w:tc>
          <w:tcPr>
            <w:tcW w:w="253" w:type="pct"/>
            <w:vAlign w:val="center"/>
          </w:tcPr>
          <w:p w14:paraId="798D7908"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lastRenderedPageBreak/>
              <w:t>(e)</w:t>
            </w:r>
          </w:p>
        </w:tc>
        <w:tc>
          <w:tcPr>
            <w:tcW w:w="1792" w:type="pct"/>
            <w:vAlign w:val="center"/>
          </w:tcPr>
          <w:p w14:paraId="43692B8E"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Peynir altı suyunun geri kazanımı ve kullanımı</w:t>
            </w:r>
          </w:p>
        </w:tc>
        <w:tc>
          <w:tcPr>
            <w:tcW w:w="2955" w:type="pct"/>
            <w:vAlign w:val="center"/>
          </w:tcPr>
          <w:p w14:paraId="34B8C5F8" w14:textId="77777777" w:rsidR="003B155E" w:rsidRPr="002C07D9" w:rsidRDefault="003B155E" w:rsidP="000D79D6">
            <w:pPr>
              <w:pBdr>
                <w:top w:val="nil"/>
                <w:left w:val="nil"/>
                <w:bottom w:val="nil"/>
                <w:right w:val="nil"/>
                <w:between w:val="nil"/>
              </w:pBdr>
              <w:ind w:left="39"/>
              <w:jc w:val="both"/>
              <w:rPr>
                <w:rFonts w:ascii="Times New Roman" w:hAnsi="Times New Roman"/>
                <w:color w:val="000000"/>
              </w:rPr>
            </w:pPr>
            <w:r w:rsidRPr="002C07D9">
              <w:rPr>
                <w:rFonts w:ascii="Times New Roman" w:hAnsi="Times New Roman"/>
                <w:color w:val="000000"/>
              </w:rPr>
              <w:t xml:space="preserve">Peynir altı suyu geri kazanılabilir (buharlaştırma veya membran filtrasyonu gibi teknikler kullanılarak). Örneğin peynir altı suyu tozu, demineralize peynir altı suyu tozu, peynir altı suyu protein konsantreleri veya laktoz üretmek için kullanılmaktadır. Peynir altı suyu ve konsantreleri ayrıca hayvan yemi olarak veya bir </w:t>
            </w:r>
            <w:r w:rsidR="00A52C19">
              <w:rPr>
                <w:rFonts w:ascii="Times New Roman" w:hAnsi="Times New Roman"/>
                <w:color w:val="000000"/>
              </w:rPr>
              <w:t xml:space="preserve">biyometanizasyon </w:t>
            </w:r>
            <w:r w:rsidRPr="002C07D9">
              <w:rPr>
                <w:rFonts w:ascii="Times New Roman" w:hAnsi="Times New Roman"/>
                <w:color w:val="000000"/>
              </w:rPr>
              <w:t>tesisinde karbon kaynağı olarak kullanılabilmektedir.</w:t>
            </w:r>
          </w:p>
        </w:tc>
      </w:tr>
    </w:tbl>
    <w:p w14:paraId="33A1B75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5E0454BB"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4.4. </w:t>
      </w:r>
      <w:r w:rsidRPr="002C07D9">
        <w:rPr>
          <w:rFonts w:ascii="Times New Roman" w:eastAsia="Times New Roman" w:hAnsi="Times New Roman" w:cs="Times New Roman"/>
          <w:b/>
          <w:bCs/>
          <w:color w:val="000000"/>
          <w:kern w:val="0"/>
          <w:sz w:val="24"/>
          <w:szCs w:val="24"/>
          <w:lang w:eastAsia="tr-TR"/>
          <w14:ligatures w14:val="none"/>
        </w:rPr>
        <w:t>Hava Emisyonları</w:t>
      </w:r>
    </w:p>
    <w:p w14:paraId="673383FD" w14:textId="77777777" w:rsidR="003B155E" w:rsidRPr="002C07D9" w:rsidRDefault="003B155E" w:rsidP="003B155E">
      <w:pPr>
        <w:widowControl w:val="0"/>
        <w:spacing w:after="0" w:line="276" w:lineRule="auto"/>
        <w:jc w:val="both"/>
        <w:rPr>
          <w:rFonts w:ascii="Times New Roman" w:eastAsia="Times New Roman" w:hAnsi="Times New Roman" w:cs="Times New Roman"/>
          <w:bCs/>
          <w:color w:val="000000"/>
          <w:kern w:val="0"/>
          <w:sz w:val="24"/>
          <w:lang w:eastAsia="tr-TR"/>
          <w14:ligatures w14:val="none"/>
        </w:rPr>
      </w:pPr>
      <w:r w:rsidRPr="002C07D9">
        <w:rPr>
          <w:rFonts w:ascii="Times New Roman" w:eastAsia="Times New Roman" w:hAnsi="Times New Roman" w:cs="Times New Roman"/>
          <w:b/>
          <w:color w:val="000000"/>
          <w:kern w:val="0"/>
          <w:sz w:val="24"/>
          <w:lang w:eastAsia="tr-TR"/>
          <w14:ligatures w14:val="none"/>
        </w:rPr>
        <w:t xml:space="preserve">MET 23: </w:t>
      </w:r>
      <w:r w:rsidRPr="002C07D9">
        <w:rPr>
          <w:rFonts w:ascii="Times New Roman" w:eastAsia="Times New Roman" w:hAnsi="Times New Roman" w:cs="Times New Roman"/>
          <w:bCs/>
          <w:color w:val="000000"/>
          <w:kern w:val="0"/>
          <w:sz w:val="24"/>
          <w:lang w:eastAsia="tr-TR"/>
          <w14:ligatures w14:val="none"/>
        </w:rPr>
        <w:t>Kurutmadan kaynaklanan havaya yönlendirilen toz emisyonlarını azaltmak için, aşağıda verilen tekniklerden biri veya birkaçı kullanılır.</w:t>
      </w:r>
    </w:p>
    <w:tbl>
      <w:tblPr>
        <w:tblStyle w:val="TabloKlavuzu10"/>
        <w:tblW w:w="9355" w:type="dxa"/>
        <w:tblLook w:val="04A0" w:firstRow="1" w:lastRow="0" w:firstColumn="1" w:lastColumn="0" w:noHBand="0" w:noVBand="1"/>
      </w:tblPr>
      <w:tblGrid>
        <w:gridCol w:w="473"/>
        <w:gridCol w:w="1365"/>
        <w:gridCol w:w="2410"/>
        <w:gridCol w:w="5107"/>
      </w:tblGrid>
      <w:tr w:rsidR="003B155E" w:rsidRPr="002C07D9" w14:paraId="1C572E04" w14:textId="77777777" w:rsidTr="000D79D6">
        <w:tc>
          <w:tcPr>
            <w:tcW w:w="1838" w:type="dxa"/>
            <w:gridSpan w:val="2"/>
          </w:tcPr>
          <w:p w14:paraId="3E5B7CFE"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2410" w:type="dxa"/>
          </w:tcPr>
          <w:p w14:paraId="56D6EE52"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c>
          <w:tcPr>
            <w:tcW w:w="5107" w:type="dxa"/>
          </w:tcPr>
          <w:p w14:paraId="0E8195A9"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04A710C9" w14:textId="77777777" w:rsidTr="000D79D6">
        <w:tc>
          <w:tcPr>
            <w:tcW w:w="473" w:type="dxa"/>
          </w:tcPr>
          <w:p w14:paraId="578D1D14"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365" w:type="dxa"/>
          </w:tcPr>
          <w:p w14:paraId="5BA168FF" w14:textId="77777777" w:rsidR="003B155E" w:rsidRPr="002C07D9" w:rsidRDefault="003B155E" w:rsidP="000D79D6">
            <w:pPr>
              <w:widowControl w:val="0"/>
              <w:shd w:val="clear" w:color="auto" w:fill="FFFFFF"/>
              <w:ind w:hanging="14"/>
              <w:jc w:val="both"/>
              <w:rPr>
                <w:rFonts w:ascii="Times New Roman" w:hAnsi="Times New Roman" w:cs="Times New Roman"/>
                <w:color w:val="000000"/>
              </w:rPr>
            </w:pPr>
            <w:r w:rsidRPr="002C07D9">
              <w:rPr>
                <w:rFonts w:ascii="Times New Roman" w:hAnsi="Times New Roman" w:cs="Times New Roman"/>
                <w:color w:val="000000"/>
              </w:rPr>
              <w:t>Torba Filtre</w:t>
            </w:r>
          </w:p>
        </w:tc>
        <w:tc>
          <w:tcPr>
            <w:tcW w:w="2410" w:type="dxa"/>
          </w:tcPr>
          <w:p w14:paraId="5A45EB95"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Bkz. bölüm 14.2</w:t>
            </w:r>
          </w:p>
        </w:tc>
        <w:tc>
          <w:tcPr>
            <w:tcW w:w="5107" w:type="dxa"/>
            <w:vAlign w:val="center"/>
          </w:tcPr>
          <w:p w14:paraId="476B9104"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Yapışkan tozun azaltılması için geçerli olmayabilir.</w:t>
            </w:r>
          </w:p>
        </w:tc>
      </w:tr>
      <w:tr w:rsidR="003B155E" w:rsidRPr="002C07D9" w14:paraId="5B15D4CE" w14:textId="77777777" w:rsidTr="000D79D6">
        <w:tc>
          <w:tcPr>
            <w:tcW w:w="473" w:type="dxa"/>
          </w:tcPr>
          <w:p w14:paraId="183BA9B1"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365" w:type="dxa"/>
          </w:tcPr>
          <w:p w14:paraId="43E9A765"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Siklon</w:t>
            </w:r>
          </w:p>
        </w:tc>
        <w:tc>
          <w:tcPr>
            <w:tcW w:w="2410" w:type="dxa"/>
          </w:tcPr>
          <w:p w14:paraId="75C79B17" w14:textId="77777777" w:rsidR="003B155E" w:rsidRPr="002C07D9" w:rsidRDefault="003B155E" w:rsidP="000D79D6">
            <w:pPr>
              <w:pBdr>
                <w:top w:val="nil"/>
                <w:left w:val="nil"/>
                <w:bottom w:val="nil"/>
                <w:right w:val="nil"/>
                <w:between w:val="nil"/>
              </w:pBdr>
              <w:ind w:left="29"/>
              <w:contextualSpacing/>
              <w:jc w:val="both"/>
              <w:rPr>
                <w:rFonts w:ascii="Times New Roman" w:hAnsi="Times New Roman" w:cs="Times New Roman"/>
                <w:color w:val="000000"/>
                <w:spacing w:val="2"/>
                <w:position w:val="-1"/>
                <w:lang w:val="en-US"/>
              </w:rPr>
            </w:pPr>
            <w:r w:rsidRPr="002C07D9">
              <w:rPr>
                <w:rFonts w:ascii="Times New Roman" w:hAnsi="Times New Roman" w:cs="Times New Roman"/>
                <w:color w:val="000000"/>
                <w:spacing w:val="2"/>
                <w:position w:val="-1"/>
                <w:lang w:val="en-US"/>
              </w:rPr>
              <w:t>Bkz. bölüm 14.2</w:t>
            </w:r>
          </w:p>
        </w:tc>
        <w:tc>
          <w:tcPr>
            <w:tcW w:w="5107" w:type="dxa"/>
            <w:vMerge w:val="restart"/>
          </w:tcPr>
          <w:p w14:paraId="0595B38D"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6E202C37" w14:textId="77777777" w:rsidTr="000D79D6">
        <w:tc>
          <w:tcPr>
            <w:tcW w:w="473" w:type="dxa"/>
          </w:tcPr>
          <w:p w14:paraId="6F91BF9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365" w:type="dxa"/>
          </w:tcPr>
          <w:p w14:paraId="4570257A"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Yaş yıkayıcı</w:t>
            </w:r>
          </w:p>
        </w:tc>
        <w:tc>
          <w:tcPr>
            <w:tcW w:w="2410" w:type="dxa"/>
          </w:tcPr>
          <w:p w14:paraId="7A5A8B83" w14:textId="77777777" w:rsidR="003B155E" w:rsidRPr="002C07D9" w:rsidRDefault="003B155E" w:rsidP="000D79D6">
            <w:pPr>
              <w:pBdr>
                <w:top w:val="nil"/>
                <w:left w:val="nil"/>
                <w:bottom w:val="nil"/>
                <w:right w:val="nil"/>
                <w:between w:val="nil"/>
              </w:pBdr>
              <w:ind w:left="28"/>
              <w:jc w:val="both"/>
              <w:rPr>
                <w:rFonts w:ascii="Times New Roman" w:hAnsi="Times New Roman" w:cs="Times New Roman"/>
                <w:color w:val="000000"/>
              </w:rPr>
            </w:pPr>
            <w:r w:rsidRPr="002C07D9">
              <w:rPr>
                <w:rFonts w:ascii="Times New Roman" w:hAnsi="Times New Roman"/>
                <w:color w:val="000000"/>
              </w:rPr>
              <w:t>Bkz. bölüm 14.2</w:t>
            </w:r>
          </w:p>
        </w:tc>
        <w:tc>
          <w:tcPr>
            <w:tcW w:w="5107" w:type="dxa"/>
            <w:vMerge/>
          </w:tcPr>
          <w:p w14:paraId="7EA72AC1" w14:textId="77777777" w:rsidR="003B155E" w:rsidRPr="002C07D9" w:rsidRDefault="003B155E" w:rsidP="000D79D6">
            <w:pPr>
              <w:widowControl w:val="0"/>
              <w:tabs>
                <w:tab w:val="left" w:pos="562"/>
              </w:tabs>
              <w:jc w:val="both"/>
              <w:rPr>
                <w:rFonts w:ascii="Times New Roman" w:hAnsi="Times New Roman" w:cs="Times New Roman"/>
                <w:color w:val="000000"/>
              </w:rPr>
            </w:pPr>
          </w:p>
        </w:tc>
      </w:tr>
    </w:tbl>
    <w:p w14:paraId="634D2EC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309027B"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10</w:t>
      </w:r>
    </w:p>
    <w:p w14:paraId="2BB0EF45" w14:textId="2EAA876A" w:rsidR="003B155E"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Kurutma sırasında havaya salınan toz emisyonlar için MET ile ilişkili emisyon seviyeleri (MET-İES).</w:t>
      </w:r>
    </w:p>
    <w:p w14:paraId="5F19B417" w14:textId="781EB43D" w:rsidR="0096283A" w:rsidRDefault="0096283A"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064"/>
        <w:gridCol w:w="1982"/>
        <w:gridCol w:w="5006"/>
      </w:tblGrid>
      <w:tr w:rsidR="003B155E" w:rsidRPr="002C07D9" w14:paraId="00231245" w14:textId="77777777" w:rsidTr="000D79D6">
        <w:trPr>
          <w:trHeight w:val="323"/>
          <w:jc w:val="center"/>
        </w:trPr>
        <w:tc>
          <w:tcPr>
            <w:tcW w:w="114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DD7E197"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2C07D9">
              <w:rPr>
                <w:rFonts w:ascii="Times New Roman" w:eastAsia="Times New Roman" w:hAnsi="Times New Roman" w:cs="Courier New"/>
                <w:bCs/>
                <w:color w:val="000000"/>
                <w:kern w:val="0"/>
                <w:lang w:eastAsia="tr-TR"/>
                <w14:ligatures w14:val="none"/>
              </w:rPr>
              <w:t>Parametre</w:t>
            </w:r>
          </w:p>
        </w:tc>
        <w:tc>
          <w:tcPr>
            <w:tcW w:w="109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DF62830"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2C07D9">
              <w:rPr>
                <w:rFonts w:ascii="Times New Roman" w:eastAsia="Times New Roman" w:hAnsi="Times New Roman" w:cs="Courier New"/>
                <w:bCs/>
                <w:color w:val="000000"/>
                <w:kern w:val="0"/>
                <w:lang w:eastAsia="tr-TR"/>
                <w14:ligatures w14:val="none"/>
              </w:rPr>
              <w:t>Birim</w:t>
            </w:r>
          </w:p>
        </w:tc>
        <w:tc>
          <w:tcPr>
            <w:tcW w:w="276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0770741C"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2C07D9">
              <w:rPr>
                <w:rFonts w:ascii="Times New Roman" w:eastAsia="Times New Roman" w:hAnsi="Times New Roman" w:cs="Courier New"/>
                <w:bCs/>
                <w:color w:val="000000"/>
                <w:kern w:val="0"/>
                <w:lang w:eastAsia="tr-TR"/>
                <w14:ligatures w14:val="none"/>
              </w:rPr>
              <w:t>MET-İES (örnekleme dönemi boyunca ortalama)</w:t>
            </w:r>
          </w:p>
        </w:tc>
      </w:tr>
      <w:tr w:rsidR="003B155E" w:rsidRPr="002C07D9" w14:paraId="69F99FD3" w14:textId="77777777" w:rsidTr="000D79D6">
        <w:trPr>
          <w:trHeight w:val="450"/>
          <w:jc w:val="center"/>
        </w:trPr>
        <w:tc>
          <w:tcPr>
            <w:tcW w:w="1140"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5C80881A"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lang w:eastAsia="tr-TR"/>
                <w14:ligatures w14:val="none"/>
              </w:rPr>
            </w:pPr>
            <w:r w:rsidRPr="002C07D9">
              <w:rPr>
                <w:rFonts w:ascii="Times New Roman" w:eastAsia="Times New Roman" w:hAnsi="Times New Roman" w:cs="Courier New"/>
                <w:bCs/>
                <w:color w:val="000000"/>
                <w:kern w:val="0"/>
                <w:lang w:eastAsia="tr-TR"/>
                <w14:ligatures w14:val="none"/>
              </w:rPr>
              <w:t>Toz</w:t>
            </w:r>
          </w:p>
        </w:tc>
        <w:tc>
          <w:tcPr>
            <w:tcW w:w="109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49F23FA3"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2C07D9">
              <w:rPr>
                <w:rFonts w:ascii="Times New Roman" w:eastAsia="Times New Roman" w:hAnsi="Times New Roman" w:cs="Courier New"/>
                <w:bCs/>
                <w:color w:val="000000"/>
                <w:kern w:val="0"/>
                <w:lang w:eastAsia="tr-TR"/>
                <w14:ligatures w14:val="none"/>
              </w:rPr>
              <w:t>mg/Nm</w:t>
            </w:r>
            <w:r w:rsidRPr="002C07D9">
              <w:rPr>
                <w:rFonts w:ascii="Times New Roman" w:eastAsia="Times New Roman" w:hAnsi="Times New Roman" w:cs="Courier New"/>
                <w:bCs/>
                <w:color w:val="000000"/>
                <w:kern w:val="0"/>
                <w:vertAlign w:val="superscript"/>
                <w:lang w:eastAsia="tr-TR"/>
                <w14:ligatures w14:val="none"/>
              </w:rPr>
              <w:t>3</w:t>
            </w:r>
          </w:p>
        </w:tc>
        <w:tc>
          <w:tcPr>
            <w:tcW w:w="276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6D80318B"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vertAlign w:val="superscript"/>
                <w:lang w:eastAsia="tr-TR"/>
                <w14:ligatures w14:val="none"/>
              </w:rPr>
            </w:pPr>
            <w:r w:rsidRPr="002C07D9">
              <w:rPr>
                <w:rFonts w:ascii="Times New Roman" w:eastAsia="Times New Roman" w:hAnsi="Times New Roman" w:cs="Courier New"/>
                <w:bCs/>
                <w:color w:val="000000"/>
                <w:kern w:val="0"/>
                <w:lang w:eastAsia="tr-TR"/>
                <w14:ligatures w14:val="none"/>
              </w:rPr>
              <w:t>&lt;2-10 (</w:t>
            </w:r>
            <w:r w:rsidRPr="002C07D9">
              <w:rPr>
                <w:rFonts w:ascii="Times New Roman" w:eastAsia="Times New Roman" w:hAnsi="Times New Roman" w:cs="Courier New"/>
                <w:bCs/>
                <w:color w:val="000000"/>
                <w:kern w:val="0"/>
                <w:vertAlign w:val="superscript"/>
                <w:lang w:eastAsia="tr-TR"/>
                <w14:ligatures w14:val="none"/>
              </w:rPr>
              <w:t>1</w:t>
            </w:r>
            <w:r w:rsidRPr="002C07D9">
              <w:rPr>
                <w:rFonts w:ascii="Times New Roman" w:eastAsia="Times New Roman" w:hAnsi="Times New Roman" w:cs="Courier New"/>
                <w:bCs/>
                <w:color w:val="000000"/>
                <w:kern w:val="0"/>
                <w:lang w:eastAsia="tr-TR"/>
                <w14:ligatures w14:val="none"/>
              </w:rPr>
              <w:t>)</w:t>
            </w:r>
          </w:p>
        </w:tc>
      </w:tr>
      <w:tr w:rsidR="003B155E" w:rsidRPr="002C07D9" w14:paraId="35E811E4" w14:textId="77777777" w:rsidTr="000D79D6">
        <w:trPr>
          <w:trHeight w:val="450"/>
          <w:jc w:val="center"/>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28754515" w14:textId="77777777" w:rsidR="003B155E" w:rsidRPr="002C07D9" w:rsidRDefault="003B155E" w:rsidP="000D79D6">
            <w:pPr>
              <w:widowControl w:val="0"/>
              <w:spacing w:after="0" w:line="240" w:lineRule="auto"/>
              <w:jc w:val="both"/>
              <w:rPr>
                <w:rFonts w:ascii="Times New Roman" w:eastAsia="Times New Roman" w:hAnsi="Times New Roman" w:cs="Courier New"/>
                <w:bCs/>
                <w:color w:val="000000"/>
                <w:kern w:val="0"/>
                <w:sz w:val="20"/>
                <w:szCs w:val="20"/>
                <w:lang w:eastAsia="tr-TR"/>
                <w14:ligatures w14:val="none"/>
              </w:rPr>
            </w:pPr>
            <w:r w:rsidRPr="002C07D9">
              <w:rPr>
                <w:rFonts w:ascii="Times New Roman" w:eastAsia="Times New Roman" w:hAnsi="Times New Roman" w:cs="Courier New"/>
                <w:bCs/>
                <w:color w:val="000000"/>
                <w:kern w:val="0"/>
                <w:sz w:val="20"/>
                <w:szCs w:val="20"/>
                <w:lang w:eastAsia="tr-TR"/>
                <w14:ligatures w14:val="none"/>
              </w:rPr>
              <w:t>(</w:t>
            </w:r>
            <w:r w:rsidRPr="002C07D9">
              <w:rPr>
                <w:rFonts w:ascii="Times New Roman" w:eastAsia="Times New Roman" w:hAnsi="Times New Roman" w:cs="Courier New"/>
                <w:bCs/>
                <w:color w:val="000000"/>
                <w:kern w:val="0"/>
                <w:sz w:val="20"/>
                <w:szCs w:val="20"/>
                <w:vertAlign w:val="superscript"/>
                <w:lang w:eastAsia="tr-TR"/>
                <w14:ligatures w14:val="none"/>
              </w:rPr>
              <w:t>1</w:t>
            </w:r>
            <w:r w:rsidRPr="002C07D9">
              <w:rPr>
                <w:rFonts w:ascii="Times New Roman" w:eastAsia="Times New Roman" w:hAnsi="Times New Roman" w:cs="Courier New"/>
                <w:bCs/>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lang w:eastAsia="tr-TR"/>
                <w14:ligatures w14:val="none"/>
              </w:rPr>
              <w:t xml:space="preserve"> </w:t>
            </w:r>
            <w:r w:rsidRPr="002C07D9">
              <w:rPr>
                <w:rFonts w:ascii="Times New Roman" w:eastAsia="Times New Roman" w:hAnsi="Times New Roman" w:cs="Courier New"/>
                <w:bCs/>
                <w:color w:val="000000"/>
                <w:kern w:val="0"/>
                <w:sz w:val="20"/>
                <w:szCs w:val="20"/>
                <w:lang w:eastAsia="tr-TR"/>
                <w14:ligatures w14:val="none"/>
              </w:rPr>
              <w:t>Demineralize peynir altı suyu tozu, kazein ve laktozun kurutulmasında maksimum değer 20 mg/Nm</w:t>
            </w:r>
            <w:r w:rsidRPr="002C07D9">
              <w:rPr>
                <w:rFonts w:ascii="Times New Roman" w:eastAsia="Times New Roman" w:hAnsi="Times New Roman" w:cs="Courier New"/>
                <w:bCs/>
                <w:color w:val="000000"/>
                <w:kern w:val="0"/>
                <w:sz w:val="20"/>
                <w:szCs w:val="20"/>
                <w:vertAlign w:val="superscript"/>
                <w:lang w:eastAsia="tr-TR"/>
                <w14:ligatures w14:val="none"/>
              </w:rPr>
              <w:t>3’</w:t>
            </w:r>
            <w:r w:rsidRPr="002C07D9">
              <w:rPr>
                <w:rFonts w:ascii="Times New Roman" w:eastAsia="Times New Roman" w:hAnsi="Times New Roman" w:cs="Courier New"/>
                <w:bCs/>
                <w:color w:val="000000"/>
                <w:kern w:val="0"/>
                <w:sz w:val="20"/>
                <w:szCs w:val="20"/>
                <w:lang w:eastAsia="tr-TR"/>
                <w14:ligatures w14:val="none"/>
              </w:rPr>
              <w:t>tür.</w:t>
            </w:r>
          </w:p>
        </w:tc>
      </w:tr>
    </w:tbl>
    <w:p w14:paraId="23033ACF"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4DF3EF04"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Courier New"/>
          <w:bCs/>
          <w:color w:val="000000"/>
          <w:kern w:val="0"/>
          <w:sz w:val="24"/>
          <w:szCs w:val="24"/>
          <w:lang w:eastAsia="tr-TR"/>
          <w14:ligatures w14:val="none"/>
        </w:rPr>
        <w:t>İlgili izleme MET 5’te verilmiştir.</w:t>
      </w:r>
    </w:p>
    <w:p w14:paraId="222541CC"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0A5A04AE"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5. Etanol Üretimi İçin MET Sonuçları</w:t>
      </w:r>
    </w:p>
    <w:p w14:paraId="3A724B52"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Courier New"/>
          <w:bCs/>
          <w:color w:val="000000"/>
          <w:kern w:val="0"/>
          <w:sz w:val="24"/>
          <w:szCs w:val="24"/>
          <w:lang w:eastAsia="tr-TR"/>
          <w14:ligatures w14:val="none"/>
        </w:rPr>
        <w:t>Bu bölümde sunulan MET sonuçları etanol üretimi için geçerlidir. Bölüm 1’de verilen genel MET sonuçlarına ek olarak geçerlidir.</w:t>
      </w:r>
    </w:p>
    <w:p w14:paraId="4DC066E6"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693864C9"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5.1. </w:t>
      </w:r>
      <w:r w:rsidRPr="002C07D9">
        <w:rPr>
          <w:rFonts w:ascii="Times New Roman" w:eastAsia="Times New Roman" w:hAnsi="Times New Roman" w:cs="Times New Roman"/>
          <w:b/>
          <w:bCs/>
          <w:color w:val="000000"/>
          <w:kern w:val="0"/>
          <w:sz w:val="24"/>
          <w:szCs w:val="24"/>
          <w:lang w:eastAsia="tr-TR"/>
          <w14:ligatures w14:val="none"/>
        </w:rPr>
        <w:t>Atık</w:t>
      </w:r>
    </w:p>
    <w:p w14:paraId="337F6E0E" w14:textId="77777777" w:rsidR="003B155E" w:rsidRPr="002C07D9" w:rsidRDefault="003B155E" w:rsidP="003B155E">
      <w:pPr>
        <w:widowControl w:val="0"/>
        <w:spacing w:after="0" w:line="276" w:lineRule="auto"/>
        <w:jc w:val="both"/>
        <w:rPr>
          <w:rFonts w:ascii="Times New Roman" w:eastAsia="Times New Roman" w:hAnsi="Times New Roman" w:cs="Courier New"/>
          <w:b/>
          <w:bCs/>
          <w:color w:val="000000"/>
          <w:kern w:val="0"/>
          <w:sz w:val="24"/>
          <w:szCs w:val="24"/>
          <w:lang w:eastAsia="tr-TR"/>
          <w14:ligatures w14:val="none"/>
        </w:rPr>
      </w:pPr>
      <w:r w:rsidRPr="002C07D9">
        <w:rPr>
          <w:rFonts w:ascii="Times New Roman" w:eastAsia="Times New Roman" w:hAnsi="Times New Roman" w:cs="Courier New"/>
          <w:b/>
          <w:bCs/>
          <w:color w:val="000000"/>
          <w:kern w:val="0"/>
          <w:sz w:val="24"/>
          <w:szCs w:val="24"/>
          <w:lang w:eastAsia="tr-TR"/>
          <w14:ligatures w14:val="none"/>
        </w:rPr>
        <w:t xml:space="preserve">MET 24: </w:t>
      </w:r>
      <w:r w:rsidRPr="002C07D9">
        <w:rPr>
          <w:rFonts w:ascii="Times New Roman" w:eastAsia="Times New Roman" w:hAnsi="Times New Roman" w:cs="Courier New"/>
          <w:color w:val="000000"/>
          <w:kern w:val="0"/>
          <w:sz w:val="24"/>
          <w:szCs w:val="24"/>
          <w:lang w:eastAsia="tr-TR"/>
          <w14:ligatures w14:val="none"/>
        </w:rPr>
        <w:t>Bertaraf</w:t>
      </w:r>
      <w:r w:rsidR="00A52C19">
        <w:rPr>
          <w:rFonts w:ascii="Times New Roman" w:eastAsia="Times New Roman" w:hAnsi="Times New Roman" w:cs="Courier New"/>
          <w:color w:val="000000"/>
          <w:kern w:val="0"/>
          <w:sz w:val="24"/>
          <w:szCs w:val="24"/>
          <w:lang w:eastAsia="tr-TR"/>
          <w14:ligatures w14:val="none"/>
        </w:rPr>
        <w:t xml:space="preserve">a </w:t>
      </w:r>
      <w:r w:rsidRPr="002C07D9">
        <w:rPr>
          <w:rFonts w:ascii="Times New Roman" w:eastAsia="Times New Roman" w:hAnsi="Times New Roman" w:cs="Courier New"/>
          <w:color w:val="000000"/>
          <w:kern w:val="0"/>
          <w:sz w:val="24"/>
          <w:szCs w:val="24"/>
          <w:lang w:eastAsia="tr-TR"/>
          <w14:ligatures w14:val="none"/>
        </w:rPr>
        <w:t>gönderilen atık miktarını azaltmak amacıyla, fermantasyondan sonra maya geri kazanılır ve (yeniden) kullanılır.</w:t>
      </w:r>
    </w:p>
    <w:p w14:paraId="3AADCC4E"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38838F2C" w14:textId="77777777" w:rsidR="003B155E" w:rsidRPr="002C07D9" w:rsidRDefault="003B155E" w:rsidP="003B155E">
      <w:pPr>
        <w:widowControl w:val="0"/>
        <w:spacing w:after="0" w:line="276" w:lineRule="auto"/>
        <w:jc w:val="both"/>
        <w:rPr>
          <w:rFonts w:ascii="Times New Roman" w:eastAsia="Times New Roman" w:hAnsi="Times New Roman" w:cs="Courier New"/>
          <w:bCs/>
          <w:i/>
          <w:iCs/>
          <w:color w:val="000000"/>
          <w:kern w:val="0"/>
          <w:sz w:val="24"/>
          <w:szCs w:val="24"/>
          <w:lang w:eastAsia="tr-TR"/>
          <w14:ligatures w14:val="none"/>
        </w:rPr>
      </w:pPr>
      <w:r w:rsidRPr="002C07D9">
        <w:rPr>
          <w:rFonts w:ascii="Times New Roman" w:eastAsia="Times New Roman" w:hAnsi="Times New Roman" w:cs="Courier New"/>
          <w:bCs/>
          <w:i/>
          <w:iCs/>
          <w:color w:val="000000"/>
          <w:kern w:val="0"/>
          <w:sz w:val="24"/>
          <w:szCs w:val="24"/>
          <w:lang w:eastAsia="tr-TR"/>
          <w14:ligatures w14:val="none"/>
        </w:rPr>
        <w:t>Tanım</w:t>
      </w:r>
    </w:p>
    <w:p w14:paraId="2A1865B9"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Courier New"/>
          <w:bCs/>
          <w:color w:val="000000"/>
          <w:kern w:val="0"/>
          <w:sz w:val="24"/>
          <w:szCs w:val="24"/>
          <w:lang w:eastAsia="tr-TR"/>
          <w14:ligatures w14:val="none"/>
        </w:rPr>
        <w:t>MET 19a’ya bakınız. Dip suyu hayvan yemi olarak kullanıldığında maya geri kazanılamayabilir.</w:t>
      </w:r>
    </w:p>
    <w:p w14:paraId="050342C7"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6925743A"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6. Balık ve Kabuklu Deniz Ürünleri İçin MET Sonuçları</w:t>
      </w:r>
    </w:p>
    <w:p w14:paraId="5CE8CE27"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Courier New"/>
          <w:bCs/>
          <w:color w:val="000000"/>
          <w:kern w:val="0"/>
          <w:sz w:val="24"/>
          <w:szCs w:val="24"/>
          <w:lang w:eastAsia="tr-TR"/>
          <w14:ligatures w14:val="none"/>
        </w:rPr>
        <w:t>Bu bölümde sunulan MET sonuçları balık ve kabuklu deniz hayvanlarının işlenmesi için geçerlidir. Bunlar Bölüm 1'de verilen genel MET sonuçlarına ek olarak geçerlidir.</w:t>
      </w:r>
    </w:p>
    <w:p w14:paraId="6A399C63"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3F316339"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lastRenderedPageBreak/>
        <w:t xml:space="preserve">6.1. </w:t>
      </w:r>
      <w:r w:rsidRPr="002C07D9">
        <w:rPr>
          <w:rFonts w:ascii="Times New Roman" w:eastAsia="Times New Roman" w:hAnsi="Times New Roman" w:cs="Times New Roman"/>
          <w:b/>
          <w:bCs/>
          <w:color w:val="000000"/>
          <w:kern w:val="0"/>
          <w:sz w:val="24"/>
          <w:szCs w:val="24"/>
          <w:lang w:eastAsia="tr-TR"/>
          <w14:ligatures w14:val="none"/>
        </w:rPr>
        <w:t>Su Tüketimi ve Atıksu Deşarjı</w:t>
      </w:r>
    </w:p>
    <w:p w14:paraId="64B852B4"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b/>
          <w:bCs/>
          <w:color w:val="000000"/>
          <w:kern w:val="0"/>
          <w:sz w:val="24"/>
          <w:szCs w:val="24"/>
          <w:lang w:eastAsia="tr-TR"/>
          <w14:ligatures w14:val="none"/>
        </w:rPr>
        <w:t xml:space="preserve">MET 25: </w:t>
      </w:r>
      <w:r w:rsidRPr="002C07D9">
        <w:rPr>
          <w:rFonts w:ascii="Times New Roman" w:eastAsia="Times New Roman" w:hAnsi="Times New Roman" w:cs="Courier New"/>
          <w:color w:val="000000"/>
          <w:kern w:val="0"/>
          <w:sz w:val="24"/>
          <w:szCs w:val="24"/>
          <w:lang w:eastAsia="tr-TR"/>
          <w14:ligatures w14:val="none"/>
        </w:rPr>
        <w:t>Su tüketimini ve deşarj edilen atıksu hacmini azaltmak amacıyla, MET 7’de belirtilen tekniklerin ve aşağıda verilen tekniklerin uygun bir kombinasyonu kullanılır.</w:t>
      </w:r>
    </w:p>
    <w:tbl>
      <w:tblPr>
        <w:tblStyle w:val="TabloKlavuzu10"/>
        <w:tblW w:w="5000" w:type="pct"/>
        <w:tblLook w:val="04A0" w:firstRow="1" w:lastRow="0" w:firstColumn="1" w:lastColumn="0" w:noHBand="0" w:noVBand="1"/>
      </w:tblPr>
      <w:tblGrid>
        <w:gridCol w:w="450"/>
        <w:gridCol w:w="3212"/>
        <w:gridCol w:w="5400"/>
      </w:tblGrid>
      <w:tr w:rsidR="003B155E" w:rsidRPr="002C07D9" w14:paraId="54836D68" w14:textId="77777777" w:rsidTr="000D79D6">
        <w:tc>
          <w:tcPr>
            <w:tcW w:w="1971" w:type="pct"/>
            <w:gridSpan w:val="2"/>
          </w:tcPr>
          <w:p w14:paraId="0E49AAC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3029" w:type="pct"/>
          </w:tcPr>
          <w:p w14:paraId="3B29FAB3"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r>
      <w:tr w:rsidR="003B155E" w:rsidRPr="002C07D9" w14:paraId="1A162EF7" w14:textId="77777777" w:rsidTr="000D79D6">
        <w:tc>
          <w:tcPr>
            <w:tcW w:w="149" w:type="pct"/>
          </w:tcPr>
          <w:p w14:paraId="51091A74"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822" w:type="pct"/>
          </w:tcPr>
          <w:p w14:paraId="6548AEA7" w14:textId="77777777" w:rsidR="003B155E" w:rsidRPr="002C07D9" w:rsidRDefault="003B155E" w:rsidP="000D79D6">
            <w:pPr>
              <w:widowControl w:val="0"/>
              <w:shd w:val="clear" w:color="auto" w:fill="FFFFFF"/>
              <w:ind w:hanging="14"/>
              <w:jc w:val="both"/>
              <w:rPr>
                <w:rFonts w:ascii="Times New Roman" w:hAnsi="Times New Roman" w:cs="Times New Roman"/>
                <w:color w:val="000000"/>
              </w:rPr>
            </w:pPr>
            <w:r w:rsidRPr="002C07D9">
              <w:rPr>
                <w:rFonts w:ascii="Times New Roman" w:hAnsi="Times New Roman" w:cs="Times New Roman"/>
                <w:bCs/>
              </w:rPr>
              <w:t>Yağ ve iç organların vakumla uzaklaştırılması</w:t>
            </w:r>
          </w:p>
        </w:tc>
        <w:tc>
          <w:tcPr>
            <w:tcW w:w="3029" w:type="pct"/>
          </w:tcPr>
          <w:p w14:paraId="306126B1"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bCs/>
                <w:color w:val="000000"/>
              </w:rPr>
              <w:t>Balıktan yağ ve iç organların uzaklaştırılmasında su yerine vakum kullanılmasını kapsamaktadır.</w:t>
            </w:r>
          </w:p>
        </w:tc>
      </w:tr>
      <w:tr w:rsidR="003B155E" w:rsidRPr="002C07D9" w14:paraId="5869B725" w14:textId="77777777" w:rsidTr="000D79D6">
        <w:tc>
          <w:tcPr>
            <w:tcW w:w="149" w:type="pct"/>
          </w:tcPr>
          <w:p w14:paraId="60148B53"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822" w:type="pct"/>
          </w:tcPr>
          <w:p w14:paraId="0F31E7F1"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bCs/>
              </w:rPr>
              <w:t>Yağ, iç organ, deri ve filetoların kuru taşınması</w:t>
            </w:r>
          </w:p>
        </w:tc>
        <w:tc>
          <w:tcPr>
            <w:tcW w:w="3029" w:type="pct"/>
          </w:tcPr>
          <w:p w14:paraId="089BB48A" w14:textId="77777777" w:rsidR="003B155E" w:rsidRPr="002C07D9" w:rsidRDefault="003B155E" w:rsidP="000D79D6">
            <w:pPr>
              <w:pBdr>
                <w:top w:val="nil"/>
                <w:left w:val="nil"/>
                <w:bottom w:val="nil"/>
                <w:right w:val="nil"/>
                <w:between w:val="nil"/>
              </w:pBdr>
              <w:ind w:left="29"/>
              <w:contextualSpacing/>
              <w:jc w:val="both"/>
              <w:rPr>
                <w:rFonts w:ascii="Times New Roman" w:hAnsi="Times New Roman" w:cs="Times New Roman"/>
                <w:color w:val="000000"/>
                <w:spacing w:val="2"/>
                <w:position w:val="-1"/>
                <w:lang w:val="fi-FI"/>
              </w:rPr>
            </w:pPr>
            <w:r w:rsidRPr="002C07D9">
              <w:rPr>
                <w:rFonts w:ascii="Times New Roman" w:hAnsi="Times New Roman" w:cs="Times New Roman"/>
                <w:bCs/>
                <w:spacing w:val="2"/>
                <w:position w:val="-1"/>
                <w:lang w:val="fi-FI"/>
              </w:rPr>
              <w:t>Su yerine konveyör sisteminin kullanılmasını kapsamaktadır.</w:t>
            </w:r>
          </w:p>
        </w:tc>
      </w:tr>
    </w:tbl>
    <w:p w14:paraId="6AA3FC4D"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p>
    <w:p w14:paraId="30130B76"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6.2. </w:t>
      </w:r>
      <w:r w:rsidRPr="002C07D9">
        <w:rPr>
          <w:rFonts w:ascii="Times New Roman" w:eastAsia="Times New Roman" w:hAnsi="Times New Roman" w:cs="Times New Roman"/>
          <w:b/>
          <w:bCs/>
          <w:color w:val="000000"/>
          <w:kern w:val="0"/>
          <w:sz w:val="24"/>
          <w:szCs w:val="24"/>
          <w:lang w:eastAsia="tr-TR"/>
          <w14:ligatures w14:val="none"/>
        </w:rPr>
        <w:t>Hava Emisyonları</w:t>
      </w:r>
    </w:p>
    <w:p w14:paraId="65AB808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b/>
          <w:bCs/>
          <w:color w:val="000000"/>
          <w:kern w:val="0"/>
          <w:sz w:val="24"/>
          <w:szCs w:val="24"/>
          <w:lang w:eastAsia="tr-TR"/>
          <w14:ligatures w14:val="none"/>
        </w:rPr>
        <w:t xml:space="preserve">MET 26: </w:t>
      </w:r>
      <w:r w:rsidRPr="002C07D9">
        <w:rPr>
          <w:rFonts w:ascii="Times New Roman" w:eastAsia="Times New Roman" w:hAnsi="Times New Roman" w:cs="Courier New"/>
          <w:color w:val="000000"/>
          <w:kern w:val="0"/>
          <w:sz w:val="24"/>
          <w:szCs w:val="24"/>
          <w:lang w:eastAsia="tr-TR"/>
          <w14:ligatures w14:val="none"/>
        </w:rPr>
        <w:t>Balık tütsüleme işlemi sırasında havaya yayılan organik bileşik emisyonlarını azaltmak için, aşağıda verilen tekniklerden biri veya birkaçı kullanılır.</w:t>
      </w:r>
      <w:bookmarkStart w:id="15" w:name="bookmark1441"/>
    </w:p>
    <w:tbl>
      <w:tblPr>
        <w:tblStyle w:val="TabloKlavuzu10"/>
        <w:tblW w:w="5000" w:type="pct"/>
        <w:tblLook w:val="04A0" w:firstRow="1" w:lastRow="0" w:firstColumn="1" w:lastColumn="0" w:noHBand="0" w:noVBand="1"/>
      </w:tblPr>
      <w:tblGrid>
        <w:gridCol w:w="459"/>
        <w:gridCol w:w="2972"/>
        <w:gridCol w:w="5631"/>
      </w:tblGrid>
      <w:tr w:rsidR="003B155E" w:rsidRPr="002C07D9" w14:paraId="6E1D36BE" w14:textId="77777777" w:rsidTr="000D79D6">
        <w:tc>
          <w:tcPr>
            <w:tcW w:w="1893" w:type="pct"/>
            <w:gridSpan w:val="2"/>
          </w:tcPr>
          <w:bookmarkEnd w:id="15"/>
          <w:p w14:paraId="7F6E08D6"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3107" w:type="pct"/>
          </w:tcPr>
          <w:p w14:paraId="3B56057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r>
      <w:tr w:rsidR="003B155E" w:rsidRPr="002C07D9" w14:paraId="582608F3" w14:textId="77777777" w:rsidTr="000D79D6">
        <w:tc>
          <w:tcPr>
            <w:tcW w:w="253" w:type="pct"/>
          </w:tcPr>
          <w:p w14:paraId="71CA08E9"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640" w:type="pct"/>
          </w:tcPr>
          <w:p w14:paraId="6EC4D671" w14:textId="77777777" w:rsidR="003B155E" w:rsidRPr="002C07D9" w:rsidRDefault="003B155E" w:rsidP="000D79D6">
            <w:pPr>
              <w:widowControl w:val="0"/>
              <w:shd w:val="clear" w:color="auto" w:fill="FFFFFF"/>
              <w:ind w:hanging="14"/>
              <w:rPr>
                <w:rFonts w:ascii="Times New Roman" w:hAnsi="Times New Roman" w:cs="Times New Roman"/>
                <w:color w:val="000000"/>
              </w:rPr>
            </w:pPr>
            <w:r w:rsidRPr="002C07D9">
              <w:rPr>
                <w:rFonts w:ascii="Times New Roman" w:hAnsi="Times New Roman" w:cs="Times New Roman"/>
                <w:color w:val="000000"/>
              </w:rPr>
              <w:t>Biyofiltre</w:t>
            </w:r>
          </w:p>
        </w:tc>
        <w:tc>
          <w:tcPr>
            <w:tcW w:w="3107" w:type="pct"/>
          </w:tcPr>
          <w:p w14:paraId="10639A60"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Atık gaz, organik madde (turba, funda, kök, ağaç kabuğu, kompost, yumuşak ağaç ve bunların farklı kombinasyonları gibi) veya bazı inert maddelerden (kil, aktif karbon ve poliüretan gibi) oluşan bir yataktan geçirilir ve burada organik (ve bazı inorganik bileşenler) bileşenler, doğal olarak oluşan mikroorganizmalar tarafından karbondioksite, suya, diğer metabolitlere ve biyokütleye dönüştürülmektedir.</w:t>
            </w:r>
          </w:p>
        </w:tc>
      </w:tr>
      <w:tr w:rsidR="003B155E" w:rsidRPr="002C07D9" w14:paraId="42041120" w14:textId="77777777" w:rsidTr="000D79D6">
        <w:tc>
          <w:tcPr>
            <w:tcW w:w="253" w:type="pct"/>
          </w:tcPr>
          <w:p w14:paraId="46323555"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640" w:type="pct"/>
          </w:tcPr>
          <w:p w14:paraId="0F34DCAB"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Termal oksidasyon</w:t>
            </w:r>
          </w:p>
        </w:tc>
        <w:tc>
          <w:tcPr>
            <w:tcW w:w="3107" w:type="pct"/>
            <w:vMerge w:val="restart"/>
          </w:tcPr>
          <w:p w14:paraId="7A0236FA" w14:textId="77777777" w:rsidR="003B155E" w:rsidRPr="002C07D9" w:rsidRDefault="003B155E" w:rsidP="000D79D6">
            <w:pPr>
              <w:pBdr>
                <w:top w:val="nil"/>
                <w:left w:val="nil"/>
                <w:bottom w:val="nil"/>
                <w:right w:val="nil"/>
                <w:between w:val="nil"/>
              </w:pBdr>
              <w:ind w:left="28"/>
              <w:contextualSpacing/>
              <w:jc w:val="both"/>
              <w:rPr>
                <w:rFonts w:ascii="Times New Roman" w:hAnsi="Times New Roman" w:cs="Times New Roman"/>
                <w:color w:val="000000"/>
                <w:spacing w:val="2"/>
                <w:position w:val="-1"/>
                <w:lang w:val="en-US"/>
              </w:rPr>
            </w:pPr>
            <w:r w:rsidRPr="002C07D9">
              <w:rPr>
                <w:rFonts w:ascii="Times New Roman" w:hAnsi="Times New Roman" w:cs="Times New Roman"/>
                <w:color w:val="000000"/>
                <w:spacing w:val="2"/>
                <w:position w:val="-1"/>
                <w:lang w:val="en-US"/>
              </w:rPr>
              <w:t>Bkz. bölüm 14.2</w:t>
            </w:r>
          </w:p>
        </w:tc>
      </w:tr>
      <w:tr w:rsidR="003B155E" w:rsidRPr="002C07D9" w14:paraId="087F739D" w14:textId="77777777" w:rsidTr="000D79D6">
        <w:tc>
          <w:tcPr>
            <w:tcW w:w="253" w:type="pct"/>
          </w:tcPr>
          <w:p w14:paraId="3111DFA7"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640" w:type="pct"/>
          </w:tcPr>
          <w:p w14:paraId="15BDDA25"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Termal olmayan plazma işlemi</w:t>
            </w:r>
          </w:p>
        </w:tc>
        <w:tc>
          <w:tcPr>
            <w:tcW w:w="3107" w:type="pct"/>
            <w:vMerge/>
          </w:tcPr>
          <w:p w14:paraId="2F667411" w14:textId="77777777" w:rsidR="003B155E" w:rsidRPr="002C07D9" w:rsidRDefault="003B155E" w:rsidP="000D79D6">
            <w:pPr>
              <w:pBdr>
                <w:top w:val="nil"/>
                <w:left w:val="nil"/>
                <w:bottom w:val="nil"/>
                <w:right w:val="nil"/>
                <w:between w:val="nil"/>
              </w:pBdr>
              <w:ind w:left="28"/>
              <w:jc w:val="both"/>
              <w:rPr>
                <w:rFonts w:ascii="Times New Roman" w:hAnsi="Times New Roman" w:cs="Times New Roman"/>
                <w:color w:val="000000"/>
              </w:rPr>
            </w:pPr>
          </w:p>
        </w:tc>
      </w:tr>
      <w:tr w:rsidR="003B155E" w:rsidRPr="002C07D9" w14:paraId="45A00CB5" w14:textId="77777777" w:rsidTr="000D79D6">
        <w:tc>
          <w:tcPr>
            <w:tcW w:w="253" w:type="pct"/>
          </w:tcPr>
          <w:p w14:paraId="1C8313C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(d)</w:t>
            </w:r>
          </w:p>
        </w:tc>
        <w:tc>
          <w:tcPr>
            <w:tcW w:w="1640" w:type="pct"/>
          </w:tcPr>
          <w:p w14:paraId="6B9B30B4"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Yaş yıkayıcılar</w:t>
            </w:r>
          </w:p>
        </w:tc>
        <w:tc>
          <w:tcPr>
            <w:tcW w:w="3107" w:type="pct"/>
          </w:tcPr>
          <w:p w14:paraId="3BA8610D" w14:textId="77777777" w:rsidR="003B155E" w:rsidRPr="002C07D9" w:rsidRDefault="003B155E" w:rsidP="000D79D6">
            <w:pPr>
              <w:widowControl w:val="0"/>
              <w:ind w:left="28"/>
              <w:jc w:val="both"/>
              <w:rPr>
                <w:rFonts w:ascii="Times New Roman" w:hAnsi="Times New Roman"/>
                <w:color w:val="000000"/>
              </w:rPr>
            </w:pPr>
            <w:r w:rsidRPr="002C07D9">
              <w:rPr>
                <w:rFonts w:ascii="Times New Roman" w:hAnsi="Times New Roman"/>
                <w:color w:val="000000"/>
              </w:rPr>
              <w:t>Bkz. bölüm 14.2. Elektrostatik çöktürücü genellikle ön işlem adımı olarak kullanılmaktadır.</w:t>
            </w:r>
          </w:p>
        </w:tc>
      </w:tr>
      <w:tr w:rsidR="003B155E" w:rsidRPr="002C07D9" w14:paraId="6C3862C1" w14:textId="77777777" w:rsidTr="000D79D6">
        <w:tc>
          <w:tcPr>
            <w:tcW w:w="253" w:type="pct"/>
          </w:tcPr>
          <w:p w14:paraId="2814658E"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(e)</w:t>
            </w:r>
          </w:p>
        </w:tc>
        <w:tc>
          <w:tcPr>
            <w:tcW w:w="1640" w:type="pct"/>
          </w:tcPr>
          <w:p w14:paraId="3188BE58"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Arıtılmış duman kullanımı</w:t>
            </w:r>
          </w:p>
        </w:tc>
        <w:tc>
          <w:tcPr>
            <w:tcW w:w="3107" w:type="pct"/>
          </w:tcPr>
          <w:p w14:paraId="65FB13ED" w14:textId="77777777" w:rsidR="003B155E" w:rsidRPr="002C07D9" w:rsidRDefault="003B155E" w:rsidP="000D79D6">
            <w:pPr>
              <w:pBdr>
                <w:top w:val="nil"/>
                <w:left w:val="nil"/>
                <w:bottom w:val="nil"/>
                <w:right w:val="nil"/>
                <w:between w:val="nil"/>
              </w:pBdr>
              <w:ind w:left="39"/>
              <w:jc w:val="both"/>
              <w:rPr>
                <w:rFonts w:ascii="Times New Roman" w:hAnsi="Times New Roman"/>
                <w:color w:val="000000"/>
              </w:rPr>
            </w:pPr>
            <w:r w:rsidRPr="002C07D9">
              <w:rPr>
                <w:rFonts w:ascii="Times New Roman" w:hAnsi="Times New Roman"/>
                <w:color w:val="000000"/>
              </w:rPr>
              <w:t>Arıtılmış birincil duman yoğunlaşmalarından üretilen duman, ürünü bir duman odasında tütsülemek için kullanılır.</w:t>
            </w:r>
          </w:p>
        </w:tc>
      </w:tr>
    </w:tbl>
    <w:p w14:paraId="4A31896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9707DC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11</w:t>
      </w:r>
    </w:p>
    <w:p w14:paraId="1B96C4F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Bir duman odasından havaya salınan T</w:t>
      </w:r>
      <w:r w:rsidR="009D570E">
        <w:rPr>
          <w:rFonts w:ascii="Times New Roman" w:eastAsia="Times New Roman" w:hAnsi="Times New Roman" w:cs="Courier New"/>
          <w:color w:val="000000"/>
          <w:kern w:val="0"/>
          <w:sz w:val="24"/>
          <w:szCs w:val="24"/>
          <w:lang w:eastAsia="tr-TR"/>
          <w14:ligatures w14:val="none"/>
        </w:rPr>
        <w:t>UOB</w:t>
      </w:r>
      <w:r w:rsidRPr="002C07D9">
        <w:rPr>
          <w:rFonts w:ascii="Times New Roman" w:eastAsia="Times New Roman" w:hAnsi="Times New Roman" w:cs="Courier New"/>
          <w:color w:val="000000"/>
          <w:kern w:val="0"/>
          <w:sz w:val="24"/>
          <w:szCs w:val="24"/>
          <w:lang w:eastAsia="tr-TR"/>
          <w14:ligatures w14:val="none"/>
        </w:rPr>
        <w:t xml:space="preserve"> emisyonları için MET ile ilişkili emisyon seviyeleri (MET-İES).</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1917"/>
        <w:gridCol w:w="1818"/>
        <w:gridCol w:w="5317"/>
      </w:tblGrid>
      <w:tr w:rsidR="003B155E" w:rsidRPr="002C07D9" w14:paraId="3232D37E" w14:textId="77777777" w:rsidTr="000D79D6">
        <w:trPr>
          <w:trHeight w:val="270"/>
          <w:jc w:val="center"/>
        </w:trPr>
        <w:tc>
          <w:tcPr>
            <w:tcW w:w="1059"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20FFB80"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1004"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3A300BF5"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937"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047812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w:t>
            </w:r>
            <w:r w:rsidRPr="002C07D9">
              <w:rPr>
                <w:rFonts w:ascii="Times New Roman" w:eastAsia="Times New Roman" w:hAnsi="Times New Roman" w:cs="Courier New"/>
                <w:bCs/>
                <w:color w:val="000000"/>
                <w:kern w:val="0"/>
                <w:lang w:eastAsia="tr-TR"/>
                <w14:ligatures w14:val="none"/>
              </w:rPr>
              <w:t>örnekleme dönemi boyunca ortalama</w:t>
            </w:r>
            <w:r w:rsidRPr="002C07D9">
              <w:rPr>
                <w:rFonts w:ascii="Times New Roman" w:eastAsia="Times New Roman" w:hAnsi="Times New Roman" w:cs="Courier New"/>
                <w:color w:val="000000"/>
                <w:kern w:val="0"/>
                <w:lang w:eastAsia="tr-TR"/>
                <w14:ligatures w14:val="none"/>
              </w:rPr>
              <w:t>)</w:t>
            </w:r>
          </w:p>
        </w:tc>
      </w:tr>
      <w:tr w:rsidR="003B155E" w:rsidRPr="002C07D9" w14:paraId="2EA5CC98" w14:textId="77777777" w:rsidTr="000D79D6">
        <w:trPr>
          <w:trHeight w:val="450"/>
          <w:jc w:val="center"/>
        </w:trPr>
        <w:tc>
          <w:tcPr>
            <w:tcW w:w="1059"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62E85B3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w:t>
            </w:r>
            <w:r w:rsidR="009D570E">
              <w:rPr>
                <w:rFonts w:ascii="Times New Roman" w:eastAsia="Times New Roman" w:hAnsi="Times New Roman" w:cs="Courier New"/>
                <w:color w:val="000000"/>
                <w:kern w:val="0"/>
                <w:lang w:eastAsia="tr-TR"/>
                <w14:ligatures w14:val="none"/>
              </w:rPr>
              <w:t>UOB</w:t>
            </w:r>
          </w:p>
        </w:tc>
        <w:tc>
          <w:tcPr>
            <w:tcW w:w="1004" w:type="pct"/>
            <w:tcBorders>
              <w:top w:val="nil"/>
              <w:left w:val="nil"/>
              <w:bottom w:val="single" w:sz="4" w:space="0" w:color="auto"/>
              <w:right w:val="single" w:sz="8" w:space="0" w:color="000000"/>
            </w:tcBorders>
            <w:tcMar>
              <w:top w:w="0" w:type="dxa"/>
              <w:left w:w="100" w:type="dxa"/>
              <w:bottom w:w="0" w:type="dxa"/>
              <w:right w:w="100" w:type="dxa"/>
            </w:tcMar>
            <w:vAlign w:val="center"/>
          </w:tcPr>
          <w:p w14:paraId="06FF5F8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2937" w:type="pct"/>
            <w:tcBorders>
              <w:top w:val="nil"/>
              <w:left w:val="nil"/>
              <w:bottom w:val="single" w:sz="4" w:space="0" w:color="auto"/>
              <w:right w:val="single" w:sz="8" w:space="0" w:color="000000"/>
            </w:tcBorders>
            <w:tcMar>
              <w:top w:w="0" w:type="dxa"/>
              <w:left w:w="100" w:type="dxa"/>
              <w:bottom w:w="0" w:type="dxa"/>
              <w:right w:w="100" w:type="dxa"/>
            </w:tcMar>
            <w:vAlign w:val="center"/>
          </w:tcPr>
          <w:p w14:paraId="0DFFEFF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15–50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w:t>
            </w:r>
          </w:p>
        </w:tc>
      </w:tr>
      <w:tr w:rsidR="003B155E" w:rsidRPr="002C07D9" w14:paraId="632EEA49" w14:textId="77777777" w:rsidTr="000D79D6">
        <w:trPr>
          <w:trHeight w:val="450"/>
          <w:jc w:val="center"/>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29A6B258" w14:textId="77777777" w:rsidR="003B155E" w:rsidRPr="002C07D9" w:rsidRDefault="003B155E" w:rsidP="000D79D6">
            <w:pPr>
              <w:widowControl w:val="0"/>
              <w:spacing w:after="0" w:line="276" w:lineRule="auto"/>
              <w:jc w:val="both"/>
              <w:rPr>
                <w:rFonts w:ascii="Times New Roman" w:eastAsia="Times New Roman" w:hAnsi="Times New Roman" w:cs="Courier New"/>
                <w:color w:val="0000FF"/>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Aralığın minimum değerine genellikle termal oksidasyon kullanılarak ulaşılmaktadır.</w:t>
            </w:r>
          </w:p>
          <w:p w14:paraId="7B14AC9D"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T</w:t>
            </w:r>
            <w:r w:rsidR="009D570E">
              <w:rPr>
                <w:rFonts w:ascii="Times New Roman" w:eastAsia="Times New Roman" w:hAnsi="Times New Roman" w:cs="Courier New"/>
                <w:color w:val="000000"/>
                <w:kern w:val="0"/>
                <w:sz w:val="20"/>
                <w:szCs w:val="20"/>
                <w:lang w:eastAsia="tr-TR"/>
                <w14:ligatures w14:val="none"/>
              </w:rPr>
              <w:t>UOB</w:t>
            </w:r>
            <w:r w:rsidRPr="002C07D9">
              <w:rPr>
                <w:rFonts w:ascii="Times New Roman" w:eastAsia="Times New Roman" w:hAnsi="Times New Roman" w:cs="Courier New"/>
                <w:color w:val="000000"/>
                <w:kern w:val="0"/>
                <w:sz w:val="20"/>
                <w:szCs w:val="20"/>
                <w:lang w:eastAsia="tr-TR"/>
                <w14:ligatures w14:val="none"/>
              </w:rPr>
              <w:t xml:space="preserve"> emisyon yükünün 500 g/sa altında olması durumunda MET-İES uygulanmaz.</w:t>
            </w:r>
          </w:p>
        </w:tc>
      </w:tr>
    </w:tbl>
    <w:p w14:paraId="19DED80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151322EC"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İlgili izleme MET 5’te verilmiştir.</w:t>
      </w:r>
    </w:p>
    <w:p w14:paraId="1A2F740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983F908"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7. Meyve ve Sebze Sektörü İçin MET Sonuçları</w:t>
      </w:r>
    </w:p>
    <w:p w14:paraId="46F5675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Bu bölümde sunulan MET sonuçları meyve ve sebze sektörü için geçerlidir. Bunlar, Bölüm 1’de verilen genel MET sonuçlarına ek olarak geçerlidir.</w:t>
      </w:r>
    </w:p>
    <w:p w14:paraId="4F8B7B9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3510D55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7.1.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61D4B4F5"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MET 27: </w:t>
      </w:r>
      <w:r w:rsidRPr="002C07D9">
        <w:rPr>
          <w:rFonts w:ascii="Times New Roman" w:eastAsia="Times New Roman" w:hAnsi="Times New Roman" w:cs="Times New Roman"/>
          <w:bCs/>
          <w:color w:val="000000"/>
          <w:kern w:val="0"/>
          <w:sz w:val="24"/>
          <w:szCs w:val="24"/>
          <w:lang w:eastAsia="tr-TR"/>
          <w14:ligatures w14:val="none"/>
        </w:rPr>
        <w:t>Enerji verimliliğini artırmak amacıyla MET 6’da belirtilen tekniklerin uygun bir kombinasyonu kullanılır ve meyveler/sebzele derin dondurmadan önce soğutulur.</w:t>
      </w:r>
    </w:p>
    <w:p w14:paraId="382EF2B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C2357C2" w14:textId="77777777" w:rsidR="003B155E" w:rsidRPr="002C07D9" w:rsidRDefault="003B155E" w:rsidP="003B155E">
      <w:pPr>
        <w:widowControl w:val="0"/>
        <w:spacing w:after="0" w:line="276" w:lineRule="auto"/>
        <w:jc w:val="both"/>
        <w:rPr>
          <w:rFonts w:ascii="Times New Roman" w:eastAsia="Times New Roman" w:hAnsi="Times New Roman" w:cs="Courier New"/>
          <w:i/>
          <w:iCs/>
          <w:color w:val="000000"/>
          <w:kern w:val="0"/>
          <w:sz w:val="24"/>
          <w:szCs w:val="24"/>
          <w:lang w:eastAsia="tr-TR"/>
          <w14:ligatures w14:val="none"/>
        </w:rPr>
      </w:pPr>
      <w:r w:rsidRPr="002C07D9">
        <w:rPr>
          <w:rFonts w:ascii="Times New Roman" w:eastAsia="Times New Roman" w:hAnsi="Times New Roman" w:cs="Courier New"/>
          <w:i/>
          <w:iCs/>
          <w:color w:val="000000"/>
          <w:kern w:val="0"/>
          <w:sz w:val="24"/>
          <w:szCs w:val="24"/>
          <w:lang w:eastAsia="tr-TR"/>
          <w14:ligatures w14:val="none"/>
        </w:rPr>
        <w:t>Tanım</w:t>
      </w:r>
    </w:p>
    <w:p w14:paraId="72EAAD8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 xml:space="preserve">Meyve ve sebzelerin sıcaklığı, doğrudan veya dolaylı olarak soğuk su veya soğutma havasıyla </w:t>
      </w:r>
      <w:r w:rsidRPr="002C07D9">
        <w:rPr>
          <w:rFonts w:ascii="Times New Roman" w:eastAsia="Times New Roman" w:hAnsi="Times New Roman" w:cs="Courier New"/>
          <w:color w:val="000000"/>
          <w:kern w:val="0"/>
          <w:sz w:val="24"/>
          <w:szCs w:val="24"/>
          <w:lang w:eastAsia="tr-TR"/>
          <w14:ligatures w14:val="none"/>
        </w:rPr>
        <w:lastRenderedPageBreak/>
        <w:t>temas ettirilerek dondurma tüneline girmeden önce yaklaşık 4°C’ye düşürülür. Su, gıdadan uzaklaştırılabilir ve daha sonra soğutma sürecinde yeniden kullanılmak üzere toplanabilir.</w:t>
      </w:r>
    </w:p>
    <w:p w14:paraId="300FFE38"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0986CA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12</w:t>
      </w:r>
    </w:p>
    <w:p w14:paraId="228D395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enerji tüketimi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3485"/>
        <w:gridCol w:w="1713"/>
        <w:gridCol w:w="3854"/>
      </w:tblGrid>
      <w:tr w:rsidR="003B155E" w:rsidRPr="002C07D9" w14:paraId="1524C7E6" w14:textId="77777777" w:rsidTr="000D79D6">
        <w:trPr>
          <w:trHeight w:val="285"/>
          <w:jc w:val="center"/>
        </w:trPr>
        <w:tc>
          <w:tcPr>
            <w:tcW w:w="1925"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EDE271C"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Prosesler</w:t>
            </w:r>
          </w:p>
        </w:tc>
        <w:tc>
          <w:tcPr>
            <w:tcW w:w="946"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B8F28D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129"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E1EF83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03BEFA5A" w14:textId="77777777" w:rsidTr="000D79D6">
        <w:trPr>
          <w:trHeight w:val="390"/>
          <w:jc w:val="center"/>
        </w:trPr>
        <w:tc>
          <w:tcPr>
            <w:tcW w:w="1925"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F157056"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Patates işleme (nişasta üretimi hariç)</w:t>
            </w:r>
          </w:p>
        </w:tc>
        <w:tc>
          <w:tcPr>
            <w:tcW w:w="946"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34836C6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MWh/ton ürün</w:t>
            </w:r>
          </w:p>
        </w:tc>
        <w:tc>
          <w:tcPr>
            <w:tcW w:w="2129"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30E2B177"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1,0-2,1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w:t>
            </w:r>
          </w:p>
        </w:tc>
      </w:tr>
      <w:tr w:rsidR="003B155E" w:rsidRPr="002C07D9" w14:paraId="2977FDE8" w14:textId="77777777" w:rsidTr="000D79D6">
        <w:trPr>
          <w:trHeight w:val="390"/>
          <w:jc w:val="center"/>
        </w:trPr>
        <w:tc>
          <w:tcPr>
            <w:tcW w:w="1925"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5096F32F"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Domates işleme</w:t>
            </w:r>
          </w:p>
        </w:tc>
        <w:tc>
          <w:tcPr>
            <w:tcW w:w="946" w:type="pct"/>
            <w:vMerge/>
            <w:tcBorders>
              <w:top w:val="nil"/>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9FC3D85" w14:textId="77777777" w:rsidR="003B155E" w:rsidRPr="002C07D9" w:rsidRDefault="003B155E" w:rsidP="000D79D6">
            <w:pPr>
              <w:widowControl w:val="0"/>
              <w:spacing w:after="0" w:line="240" w:lineRule="auto"/>
              <w:jc w:val="both"/>
              <w:rPr>
                <w:rFonts w:ascii="Times New Roman" w:eastAsia="Times New Roman" w:hAnsi="Times New Roman" w:cs="Courier New"/>
                <w:b/>
                <w:color w:val="000000"/>
                <w:kern w:val="0"/>
                <w:u w:val="single"/>
                <w:lang w:eastAsia="tr-TR"/>
                <w14:ligatures w14:val="none"/>
              </w:rPr>
            </w:pPr>
          </w:p>
        </w:tc>
        <w:tc>
          <w:tcPr>
            <w:tcW w:w="2129"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6CD1034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0,15-2,4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 (</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w:t>
            </w:r>
          </w:p>
        </w:tc>
      </w:tr>
      <w:tr w:rsidR="003B155E" w:rsidRPr="002C07D9" w14:paraId="0DC59637" w14:textId="77777777" w:rsidTr="000D79D6">
        <w:trPr>
          <w:trHeight w:val="390"/>
          <w:jc w:val="center"/>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7B5486D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Patates püresi ve tozu üretiminde özgül enerji tüketim düzeyi geçerli olmayabilir.</w:t>
            </w:r>
          </w:p>
          <w:p w14:paraId="74C50273"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Aralığın minimum değeri genellikle soyulmuş domates üretimiyle ilişkilendirilmektedir.</w:t>
            </w:r>
          </w:p>
          <w:p w14:paraId="44FBDFC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3</w:t>
            </w:r>
            <w:r w:rsidRPr="002C07D9">
              <w:rPr>
                <w:rFonts w:ascii="Times New Roman" w:eastAsia="Times New Roman" w:hAnsi="Times New Roman" w:cs="Courier New"/>
                <w:color w:val="000000"/>
                <w:kern w:val="0"/>
                <w:sz w:val="20"/>
                <w:szCs w:val="20"/>
                <w:lang w:eastAsia="tr-TR"/>
                <w14:ligatures w14:val="none"/>
              </w:rPr>
              <w:t>) Aralığın maksimum değeri genellikle domates tozu veya konsantre üretimiyle ilişkilendirilmektedir.</w:t>
            </w:r>
          </w:p>
        </w:tc>
      </w:tr>
    </w:tbl>
    <w:p w14:paraId="70206E2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72FCF60"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7.2. Su Tüketimi ve Atıksu Deşarjı</w:t>
      </w:r>
    </w:p>
    <w:p w14:paraId="703368A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Su tüketimini ve deşarj edilen atıksu hacmini azaltmaya yönelik genel teknikler genel MET sonuçlarında verilmiştir. Gösterge niteliğindeki çevresel performans seviyeleri aşağıdaki Tablo 10’da verilmiştir.</w:t>
      </w:r>
    </w:p>
    <w:p w14:paraId="7F435D4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565F7CD6"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13</w:t>
      </w:r>
    </w:p>
    <w:p w14:paraId="2844EF31"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atıksu deşarjı için gösterge niteliğindeki çevresel performans düzeyleri.</w:t>
      </w:r>
    </w:p>
    <w:tbl>
      <w:tblPr>
        <w:tblW w:w="5000" w:type="pct"/>
        <w:tblBorders>
          <w:top w:val="nil"/>
          <w:left w:val="nil"/>
          <w:bottom w:val="nil"/>
          <w:right w:val="nil"/>
          <w:insideH w:val="nil"/>
          <w:insideV w:val="nil"/>
        </w:tblBorders>
        <w:tblLook w:val="0600" w:firstRow="0" w:lastRow="0" w:firstColumn="0" w:lastColumn="0" w:noHBand="1" w:noVBand="1"/>
      </w:tblPr>
      <w:tblGrid>
        <w:gridCol w:w="4113"/>
        <w:gridCol w:w="1374"/>
        <w:gridCol w:w="3565"/>
      </w:tblGrid>
      <w:tr w:rsidR="003B155E" w:rsidRPr="002C07D9" w14:paraId="0F0408E4" w14:textId="77777777" w:rsidTr="000D79D6">
        <w:trPr>
          <w:trHeight w:val="255"/>
        </w:trPr>
        <w:tc>
          <w:tcPr>
            <w:tcW w:w="2272"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98EF4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Prosesler</w:t>
            </w:r>
          </w:p>
        </w:tc>
        <w:tc>
          <w:tcPr>
            <w:tcW w:w="759"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1209E1C"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1969"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B5E62E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2FDEEAAF" w14:textId="77777777" w:rsidTr="000D79D6">
        <w:trPr>
          <w:trHeight w:val="361"/>
        </w:trPr>
        <w:tc>
          <w:tcPr>
            <w:tcW w:w="2272" w:type="pc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8D5BA5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Patates işleme (nişasta üretimi hariç)</w:t>
            </w:r>
          </w:p>
        </w:tc>
        <w:tc>
          <w:tcPr>
            <w:tcW w:w="759"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2A5984B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/ton ürün</w:t>
            </w:r>
          </w:p>
        </w:tc>
        <w:tc>
          <w:tcPr>
            <w:tcW w:w="1969" w:type="pct"/>
            <w:tcBorders>
              <w:top w:val="nil"/>
              <w:left w:val="nil"/>
              <w:bottom w:val="single" w:sz="8" w:space="0" w:color="000000"/>
              <w:right w:val="single" w:sz="8" w:space="0" w:color="000000"/>
            </w:tcBorders>
            <w:tcMar>
              <w:top w:w="0" w:type="dxa"/>
              <w:left w:w="100" w:type="dxa"/>
              <w:bottom w:w="0" w:type="dxa"/>
              <w:right w:w="100" w:type="dxa"/>
            </w:tcMar>
          </w:tcPr>
          <w:p w14:paraId="4744A79C"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4,0–6,0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w:t>
            </w:r>
          </w:p>
        </w:tc>
      </w:tr>
      <w:tr w:rsidR="003B155E" w:rsidRPr="002C07D9" w14:paraId="66DF701B" w14:textId="77777777" w:rsidTr="000D79D6">
        <w:trPr>
          <w:trHeight w:val="581"/>
        </w:trPr>
        <w:tc>
          <w:tcPr>
            <w:tcW w:w="2272" w:type="pct"/>
            <w:tcBorders>
              <w:top w:val="nil"/>
              <w:left w:val="single" w:sz="8" w:space="0" w:color="000000"/>
              <w:bottom w:val="single" w:sz="4" w:space="0" w:color="auto"/>
              <w:right w:val="single" w:sz="8" w:space="0" w:color="000000"/>
            </w:tcBorders>
            <w:tcMar>
              <w:top w:w="0" w:type="dxa"/>
              <w:left w:w="100" w:type="dxa"/>
              <w:bottom w:w="0" w:type="dxa"/>
              <w:right w:w="100" w:type="dxa"/>
            </w:tcMar>
          </w:tcPr>
          <w:p w14:paraId="15DDFB57"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Su geri dönüşümünün mümkün olduğu domates işleme</w:t>
            </w:r>
          </w:p>
        </w:tc>
        <w:tc>
          <w:tcPr>
            <w:tcW w:w="759" w:type="pct"/>
            <w:vMerge/>
            <w:tcBorders>
              <w:top w:val="nil"/>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0000230"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1969" w:type="pct"/>
            <w:tcBorders>
              <w:top w:val="nil"/>
              <w:left w:val="nil"/>
              <w:bottom w:val="single" w:sz="4" w:space="0" w:color="auto"/>
              <w:right w:val="single" w:sz="8" w:space="0" w:color="000000"/>
            </w:tcBorders>
            <w:shd w:val="clear" w:color="auto" w:fill="auto"/>
            <w:tcMar>
              <w:top w:w="0" w:type="dxa"/>
              <w:left w:w="100" w:type="dxa"/>
              <w:bottom w:w="0" w:type="dxa"/>
              <w:right w:w="100" w:type="dxa"/>
            </w:tcMar>
          </w:tcPr>
          <w:p w14:paraId="1B60AD27"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8,0–10,0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w:t>
            </w:r>
          </w:p>
        </w:tc>
      </w:tr>
      <w:tr w:rsidR="003B155E" w:rsidRPr="002C07D9" w14:paraId="4A6225BA" w14:textId="77777777" w:rsidTr="000D79D6">
        <w:trPr>
          <w:trHeight w:val="102"/>
        </w:trPr>
        <w:tc>
          <w:tcPr>
            <w:tcW w:w="5000" w:type="pct"/>
            <w:gridSpan w:val="3"/>
            <w:tcBorders>
              <w:top w:val="single" w:sz="4" w:space="0" w:color="auto"/>
              <w:left w:val="single" w:sz="8" w:space="0" w:color="000000"/>
              <w:bottom w:val="single" w:sz="4" w:space="0" w:color="auto"/>
              <w:right w:val="single" w:sz="8" w:space="0" w:color="000000"/>
            </w:tcBorders>
            <w:tcMar>
              <w:top w:w="0" w:type="dxa"/>
              <w:left w:w="100" w:type="dxa"/>
              <w:bottom w:w="0" w:type="dxa"/>
              <w:right w:w="100" w:type="dxa"/>
            </w:tcMar>
          </w:tcPr>
          <w:p w14:paraId="24DCB99D"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Patates püresi ve tozu üretimi için belirli atıksu deşarj seviyesi geçerli olmayabilir.</w:t>
            </w:r>
          </w:p>
          <w:p w14:paraId="42C994E6"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Domates tozu üretimi için belirli atıksu deşarj seviyesi geçerli olmayabilir.</w:t>
            </w:r>
          </w:p>
        </w:tc>
      </w:tr>
    </w:tbl>
    <w:p w14:paraId="324E392C"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DF41656"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8. Tahıl Öğütme İçin MET Sonuçları</w:t>
      </w:r>
    </w:p>
    <w:p w14:paraId="1809DAC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Bu bölümde sunulan MET sonuçları tahıl öğütme için geçerlidir. Bunlar Bölüm 1’de verilen genel MET sonuçlarına ek olarak geçerlidir.</w:t>
      </w:r>
    </w:p>
    <w:p w14:paraId="4D1ACFB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18A0A8DB"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8.1.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667AA48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Enerji verimliliğini artırmaya yönelik genel teknikler bu MET sonuçlarının 1.3 Bölümünde verilmiştir. Gösterge niteliğindeki çevresel performans seviyesi aşağıdaki tabloda sunulmuştur.</w:t>
      </w:r>
    </w:p>
    <w:p w14:paraId="0A07FB56"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F41CF9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14</w:t>
      </w:r>
    </w:p>
    <w:p w14:paraId="4AC66472"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enerji tüketimi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989"/>
        <w:gridCol w:w="6063"/>
      </w:tblGrid>
      <w:tr w:rsidR="003B155E" w:rsidRPr="002C07D9" w14:paraId="060FA269" w14:textId="77777777" w:rsidTr="000D79D6">
        <w:trPr>
          <w:trHeight w:val="285"/>
          <w:jc w:val="center"/>
        </w:trPr>
        <w:tc>
          <w:tcPr>
            <w:tcW w:w="1651"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8083C10"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Birim</w:t>
            </w:r>
          </w:p>
        </w:tc>
        <w:tc>
          <w:tcPr>
            <w:tcW w:w="3349"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EF4F2B4"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enerji tüketimi (yıllık ortalama)</w:t>
            </w:r>
          </w:p>
        </w:tc>
      </w:tr>
      <w:tr w:rsidR="003B155E" w:rsidRPr="002C07D9" w14:paraId="5F3ADD29" w14:textId="77777777" w:rsidTr="000D79D6">
        <w:trPr>
          <w:trHeight w:val="285"/>
          <w:jc w:val="center"/>
        </w:trPr>
        <w:tc>
          <w:tcPr>
            <w:tcW w:w="1651" w:type="pc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0D64068"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MWh/ton ürün</w:t>
            </w:r>
          </w:p>
        </w:tc>
        <w:tc>
          <w:tcPr>
            <w:tcW w:w="3349" w:type="pct"/>
            <w:tcBorders>
              <w:top w:val="nil"/>
              <w:left w:val="nil"/>
              <w:bottom w:val="single" w:sz="8" w:space="0" w:color="000000"/>
              <w:right w:val="single" w:sz="8" w:space="0" w:color="000000"/>
            </w:tcBorders>
            <w:tcMar>
              <w:top w:w="0" w:type="dxa"/>
              <w:left w:w="100" w:type="dxa"/>
              <w:bottom w:w="0" w:type="dxa"/>
              <w:right w:w="100" w:type="dxa"/>
            </w:tcMar>
          </w:tcPr>
          <w:p w14:paraId="56719A57"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0,05-0,13</w:t>
            </w:r>
          </w:p>
        </w:tc>
      </w:tr>
    </w:tbl>
    <w:p w14:paraId="70435AC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2FDE81E"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8.2. </w:t>
      </w:r>
      <w:r w:rsidRPr="002C07D9">
        <w:rPr>
          <w:rFonts w:ascii="Times New Roman" w:eastAsia="Times New Roman" w:hAnsi="Times New Roman" w:cs="Times New Roman"/>
          <w:b/>
          <w:bCs/>
          <w:color w:val="000000"/>
          <w:kern w:val="0"/>
          <w:sz w:val="24"/>
          <w:szCs w:val="24"/>
          <w:lang w:eastAsia="tr-TR"/>
          <w14:ligatures w14:val="none"/>
        </w:rPr>
        <w:t>Hava Emisyonları</w:t>
      </w:r>
    </w:p>
    <w:p w14:paraId="41BEBBB6" w14:textId="77777777" w:rsidR="003B155E" w:rsidRPr="002C07D9" w:rsidRDefault="003B155E" w:rsidP="003B155E">
      <w:pPr>
        <w:widowControl w:val="0"/>
        <w:spacing w:after="0" w:line="276" w:lineRule="auto"/>
        <w:jc w:val="both"/>
        <w:rPr>
          <w:rFonts w:ascii="Times New Roman" w:eastAsia="Times New Roman" w:hAnsi="Times New Roman" w:cs="Courier New"/>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MET 28: </w:t>
      </w:r>
      <w:r w:rsidRPr="002C07D9">
        <w:rPr>
          <w:rFonts w:ascii="Times New Roman" w:eastAsia="Times New Roman" w:hAnsi="Times New Roman" w:cs="Times New Roman"/>
          <w:bCs/>
          <w:color w:val="000000"/>
          <w:kern w:val="0"/>
          <w:sz w:val="24"/>
          <w:szCs w:val="24"/>
          <w:lang w:eastAsia="tr-TR"/>
          <w14:ligatures w14:val="none"/>
        </w:rPr>
        <w:t>Havaya salınan toz emisyonlarını azaltmak için torba filtre kullanılır.</w:t>
      </w:r>
    </w:p>
    <w:p w14:paraId="4D3415C6"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23432E8" w14:textId="77777777" w:rsidR="003B155E" w:rsidRPr="002C07D9" w:rsidRDefault="003B155E" w:rsidP="003B155E">
      <w:pPr>
        <w:widowControl w:val="0"/>
        <w:spacing w:after="0" w:line="276" w:lineRule="auto"/>
        <w:jc w:val="both"/>
        <w:rPr>
          <w:rFonts w:ascii="Times New Roman" w:eastAsia="Times New Roman" w:hAnsi="Times New Roman" w:cs="Courier New"/>
          <w:i/>
          <w:iCs/>
          <w:color w:val="000000"/>
          <w:kern w:val="0"/>
          <w:sz w:val="24"/>
          <w:szCs w:val="24"/>
          <w:lang w:eastAsia="tr-TR"/>
          <w14:ligatures w14:val="none"/>
        </w:rPr>
      </w:pPr>
      <w:r w:rsidRPr="002C07D9">
        <w:rPr>
          <w:rFonts w:ascii="Times New Roman" w:eastAsia="Times New Roman" w:hAnsi="Times New Roman" w:cs="Courier New"/>
          <w:i/>
          <w:iCs/>
          <w:color w:val="000000"/>
          <w:kern w:val="0"/>
          <w:sz w:val="24"/>
          <w:szCs w:val="24"/>
          <w:lang w:eastAsia="tr-TR"/>
          <w14:ligatures w14:val="none"/>
        </w:rPr>
        <w:t>Tanım</w:t>
      </w:r>
    </w:p>
    <w:p w14:paraId="0791D04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Bölüm 14.2’ye bakınız.</w:t>
      </w:r>
    </w:p>
    <w:p w14:paraId="7FF070D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625A64C"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15</w:t>
      </w:r>
    </w:p>
    <w:p w14:paraId="2D69827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Tahıl öğütme işleminden havaya salınan toz emisyonları için MET ile ilişkili emisyon seviyeleri (MET-İES).</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409"/>
        <w:gridCol w:w="2095"/>
        <w:gridCol w:w="4548"/>
      </w:tblGrid>
      <w:tr w:rsidR="003B155E" w:rsidRPr="002C07D9" w14:paraId="7F15784E" w14:textId="77777777" w:rsidTr="000D79D6">
        <w:trPr>
          <w:trHeight w:val="225"/>
          <w:jc w:val="center"/>
        </w:trPr>
        <w:tc>
          <w:tcPr>
            <w:tcW w:w="1331"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3BE9BF8"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1157"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02724E4B"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512"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7632348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w:t>
            </w:r>
            <w:r w:rsidRPr="002C07D9">
              <w:rPr>
                <w:rFonts w:ascii="Times New Roman" w:eastAsia="Times New Roman" w:hAnsi="Times New Roman" w:cs="Courier New"/>
                <w:bCs/>
                <w:color w:val="000000"/>
                <w:kern w:val="0"/>
                <w:lang w:eastAsia="tr-TR"/>
                <w14:ligatures w14:val="none"/>
              </w:rPr>
              <w:t>örnekleme dönemi boyunca ortalama</w:t>
            </w:r>
            <w:r w:rsidRPr="002C07D9">
              <w:rPr>
                <w:rFonts w:ascii="Times New Roman" w:eastAsia="Times New Roman" w:hAnsi="Times New Roman" w:cs="Courier New"/>
                <w:color w:val="000000"/>
                <w:kern w:val="0"/>
                <w:lang w:eastAsia="tr-TR"/>
                <w14:ligatures w14:val="none"/>
              </w:rPr>
              <w:t>)</w:t>
            </w:r>
          </w:p>
        </w:tc>
      </w:tr>
      <w:tr w:rsidR="003B155E" w:rsidRPr="002C07D9" w14:paraId="6A514004" w14:textId="77777777" w:rsidTr="000D79D6">
        <w:trPr>
          <w:trHeight w:val="319"/>
          <w:jc w:val="center"/>
        </w:trPr>
        <w:tc>
          <w:tcPr>
            <w:tcW w:w="1331"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5B53CB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1157"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44E67C5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2512"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593BE87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&lt;2-5</w:t>
            </w:r>
          </w:p>
        </w:tc>
      </w:tr>
    </w:tbl>
    <w:p w14:paraId="4A11DB2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A11511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İlgili izleme MET 5’te verilmiştir.</w:t>
      </w:r>
    </w:p>
    <w:p w14:paraId="7561BF9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1FFFFF0"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9. Et İşleme İçin MET Sonuçları</w:t>
      </w:r>
    </w:p>
    <w:p w14:paraId="150A6C3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Bu bölümde sunulan MET sonuçları et işleme için geçerlidir. Bunlar Bölüm 1’de verilen genel MET sonuçlarına ek olarak geçerlidir.</w:t>
      </w:r>
    </w:p>
    <w:p w14:paraId="4BE70FAA"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A50CCBD"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9.1.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08CB62A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Enerji verimliliğini artırmaya yönelik genel teknikler bu MET sonuçlarının 1.3 Bölümünde verilmiştir. Gösterge niteliğindeki çevresel performans seviyesi aşağıdaki tabloda sunulmuştur.</w:t>
      </w:r>
    </w:p>
    <w:p w14:paraId="7D945B09"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3F75553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16</w:t>
      </w:r>
    </w:p>
    <w:p w14:paraId="1352FD0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enerji tüketimi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989"/>
        <w:gridCol w:w="6063"/>
      </w:tblGrid>
      <w:tr w:rsidR="003B155E" w:rsidRPr="002C07D9" w14:paraId="2EF7B322" w14:textId="77777777" w:rsidTr="000D79D6">
        <w:trPr>
          <w:trHeight w:val="285"/>
          <w:jc w:val="center"/>
        </w:trPr>
        <w:tc>
          <w:tcPr>
            <w:tcW w:w="1651"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1C15AB7"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3349"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1C21DA3"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06084DAF" w14:textId="77777777" w:rsidTr="000D79D6">
        <w:trPr>
          <w:trHeight w:val="390"/>
          <w:jc w:val="center"/>
        </w:trPr>
        <w:tc>
          <w:tcPr>
            <w:tcW w:w="1651"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6F9FECA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MWh/ton ürün</w:t>
            </w:r>
          </w:p>
        </w:tc>
        <w:tc>
          <w:tcPr>
            <w:tcW w:w="3349" w:type="pct"/>
            <w:tcBorders>
              <w:top w:val="nil"/>
              <w:left w:val="nil"/>
              <w:bottom w:val="single" w:sz="4" w:space="0" w:color="auto"/>
              <w:right w:val="single" w:sz="8" w:space="0" w:color="000000"/>
            </w:tcBorders>
            <w:tcMar>
              <w:top w:w="0" w:type="dxa"/>
              <w:left w:w="100" w:type="dxa"/>
              <w:bottom w:w="0" w:type="dxa"/>
              <w:right w:w="100" w:type="dxa"/>
            </w:tcMar>
            <w:vAlign w:val="center"/>
          </w:tcPr>
          <w:p w14:paraId="6547941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0,25-2,6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w:t>
            </w:r>
          </w:p>
        </w:tc>
      </w:tr>
      <w:tr w:rsidR="003B155E" w:rsidRPr="002C07D9" w14:paraId="485A4E32" w14:textId="77777777" w:rsidTr="000D79D6">
        <w:trPr>
          <w:trHeight w:val="390"/>
          <w:jc w:val="center"/>
        </w:trPr>
        <w:tc>
          <w:tcPr>
            <w:tcW w:w="5000" w:type="pct"/>
            <w:gridSpan w:val="2"/>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0798EF92" w14:textId="77777777" w:rsidR="003B155E" w:rsidRPr="002C07D9" w:rsidRDefault="003B155E" w:rsidP="000D79D6">
            <w:pPr>
              <w:widowControl w:val="0"/>
              <w:spacing w:after="0" w:line="276"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xml:space="preserve">) Spesifik enerji tüketimi düzeyi hazır yemek ve çorbaların üretimi için geçerli değildir. </w:t>
            </w:r>
          </w:p>
          <w:p w14:paraId="112B61F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Aralığın maksimum değeri, yüksek oranda pişmiş ürün olması durumunda geçerli olmayabilir.</w:t>
            </w:r>
          </w:p>
        </w:tc>
      </w:tr>
    </w:tbl>
    <w:p w14:paraId="4B76AB9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2A2322D"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9.2. Su Tüketimi ve Atıksu Deşarjı</w:t>
      </w:r>
    </w:p>
    <w:p w14:paraId="436BAC28"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Su tüketimini ve deşarj edilen atıksu hacmini azaltmaya yönelik genel teknikler bu MET sonuçlarının 1.4 Bölümünde verilmiştir. Gösterge niteliğindeki çevresel performans seviyesi aşağıdaki tabloda sunulmuştur.</w:t>
      </w:r>
    </w:p>
    <w:p w14:paraId="14B86322"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00BFD8B6"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17</w:t>
      </w:r>
    </w:p>
    <w:p w14:paraId="5AE96AEC"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atıksu deşarjı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989"/>
        <w:gridCol w:w="6063"/>
      </w:tblGrid>
      <w:tr w:rsidR="003B155E" w:rsidRPr="002C07D9" w14:paraId="19F31DBD" w14:textId="77777777" w:rsidTr="000D79D6">
        <w:trPr>
          <w:trHeight w:val="285"/>
          <w:jc w:val="center"/>
        </w:trPr>
        <w:tc>
          <w:tcPr>
            <w:tcW w:w="1651"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7B7D167"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3349"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71E9306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08CC89CD" w14:textId="77777777" w:rsidTr="000D79D6">
        <w:trPr>
          <w:trHeight w:val="390"/>
          <w:jc w:val="center"/>
        </w:trPr>
        <w:tc>
          <w:tcPr>
            <w:tcW w:w="1651"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1EC89D3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/ton hammadde</w:t>
            </w:r>
          </w:p>
        </w:tc>
        <w:tc>
          <w:tcPr>
            <w:tcW w:w="3349" w:type="pct"/>
            <w:tcBorders>
              <w:top w:val="nil"/>
              <w:left w:val="nil"/>
              <w:bottom w:val="single" w:sz="4" w:space="0" w:color="auto"/>
              <w:right w:val="single" w:sz="8" w:space="0" w:color="000000"/>
            </w:tcBorders>
            <w:tcMar>
              <w:top w:w="0" w:type="dxa"/>
              <w:left w:w="100" w:type="dxa"/>
              <w:bottom w:w="0" w:type="dxa"/>
              <w:right w:w="100" w:type="dxa"/>
            </w:tcMar>
            <w:vAlign w:val="center"/>
          </w:tcPr>
          <w:p w14:paraId="11446B1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1,5-8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w:t>
            </w:r>
          </w:p>
        </w:tc>
      </w:tr>
      <w:tr w:rsidR="003B155E" w:rsidRPr="002C07D9" w14:paraId="0FA668A6" w14:textId="77777777" w:rsidTr="000D79D6">
        <w:trPr>
          <w:trHeight w:val="390"/>
          <w:jc w:val="center"/>
        </w:trPr>
        <w:tc>
          <w:tcPr>
            <w:tcW w:w="5000" w:type="pct"/>
            <w:gridSpan w:val="2"/>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29CF456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Spesifik atıksu deşarj seviyesi, doğrudan su soğutması kullanan prosesler ile hazır yemek ve çorba üretimi için geçerli değildir.</w:t>
            </w:r>
          </w:p>
        </w:tc>
      </w:tr>
    </w:tbl>
    <w:p w14:paraId="7E094ED0"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6218FB4"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9.3. </w:t>
      </w:r>
      <w:r w:rsidRPr="002C07D9">
        <w:rPr>
          <w:rFonts w:ascii="Times New Roman" w:eastAsia="Times New Roman" w:hAnsi="Times New Roman" w:cs="Times New Roman"/>
          <w:b/>
          <w:bCs/>
          <w:color w:val="000000"/>
          <w:kern w:val="0"/>
          <w:sz w:val="24"/>
          <w:szCs w:val="24"/>
          <w:lang w:eastAsia="tr-TR"/>
          <w14:ligatures w14:val="none"/>
        </w:rPr>
        <w:t>Hava Emisyonları</w:t>
      </w:r>
    </w:p>
    <w:p w14:paraId="1092B5E6" w14:textId="752087A2" w:rsidR="003B155E"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b/>
          <w:bCs/>
          <w:color w:val="000000"/>
          <w:kern w:val="0"/>
          <w:sz w:val="24"/>
          <w:szCs w:val="24"/>
          <w:lang w:eastAsia="tr-TR"/>
          <w14:ligatures w14:val="none"/>
        </w:rPr>
        <w:t xml:space="preserve">MET 29: </w:t>
      </w:r>
      <w:r w:rsidRPr="002C07D9">
        <w:rPr>
          <w:rFonts w:ascii="Times New Roman" w:eastAsia="Times New Roman" w:hAnsi="Times New Roman" w:cs="Times New Roman"/>
          <w:color w:val="000000"/>
          <w:kern w:val="0"/>
          <w:sz w:val="24"/>
          <w:szCs w:val="24"/>
          <w:lang w:eastAsia="tr-TR"/>
          <w14:ligatures w14:val="none"/>
        </w:rPr>
        <w:t>Et tütsüleme işlemi sırasında havaya yayılan organik bileşiklerin emisyonlarını azaltmak için, aşağıda verilen tekniklerden biri veya birkaçı kullanılır.</w:t>
      </w:r>
    </w:p>
    <w:p w14:paraId="7C0056FF" w14:textId="77777777" w:rsidR="00541520" w:rsidRPr="002C07D9" w:rsidRDefault="00541520"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tbl>
      <w:tblPr>
        <w:tblStyle w:val="TabloKlavuzu10"/>
        <w:tblW w:w="5000" w:type="pct"/>
        <w:tblLook w:val="04A0" w:firstRow="1" w:lastRow="0" w:firstColumn="1" w:lastColumn="0" w:noHBand="0" w:noVBand="1"/>
      </w:tblPr>
      <w:tblGrid>
        <w:gridCol w:w="458"/>
        <w:gridCol w:w="2010"/>
        <w:gridCol w:w="6594"/>
      </w:tblGrid>
      <w:tr w:rsidR="003B155E" w:rsidRPr="002C07D9" w14:paraId="2B8DE68D" w14:textId="77777777" w:rsidTr="000D79D6">
        <w:tc>
          <w:tcPr>
            <w:tcW w:w="1362" w:type="pct"/>
            <w:gridSpan w:val="2"/>
          </w:tcPr>
          <w:p w14:paraId="6758F34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lastRenderedPageBreak/>
              <w:t>Teknik</w:t>
            </w:r>
          </w:p>
        </w:tc>
        <w:tc>
          <w:tcPr>
            <w:tcW w:w="3638" w:type="pct"/>
          </w:tcPr>
          <w:p w14:paraId="5A7A940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r>
      <w:tr w:rsidR="003B155E" w:rsidRPr="002C07D9" w14:paraId="264D6403" w14:textId="77777777" w:rsidTr="000D79D6">
        <w:tc>
          <w:tcPr>
            <w:tcW w:w="253" w:type="pct"/>
          </w:tcPr>
          <w:p w14:paraId="7DD27B6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109" w:type="pct"/>
          </w:tcPr>
          <w:p w14:paraId="0ED5D406" w14:textId="77777777" w:rsidR="003B155E" w:rsidRPr="002C07D9" w:rsidRDefault="003B155E" w:rsidP="000D79D6">
            <w:pPr>
              <w:widowControl w:val="0"/>
              <w:shd w:val="clear" w:color="auto" w:fill="FFFFFF"/>
              <w:ind w:hanging="14"/>
              <w:rPr>
                <w:rFonts w:ascii="Times New Roman" w:hAnsi="Times New Roman" w:cs="Times New Roman"/>
                <w:color w:val="000000"/>
              </w:rPr>
            </w:pPr>
            <w:r w:rsidRPr="002C07D9">
              <w:rPr>
                <w:rFonts w:ascii="Times New Roman" w:hAnsi="Times New Roman" w:cs="Times New Roman"/>
                <w:color w:val="000000"/>
              </w:rPr>
              <w:t>Adsorpsiyon</w:t>
            </w:r>
          </w:p>
        </w:tc>
        <w:tc>
          <w:tcPr>
            <w:tcW w:w="3638" w:type="pct"/>
          </w:tcPr>
          <w:p w14:paraId="3C33B256"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Organik bileşikler, katı bir yüzey (tipik olarak aktif karbon) üzerinde tutularak atık gazdan uzaklaştırılır.</w:t>
            </w:r>
          </w:p>
        </w:tc>
      </w:tr>
      <w:tr w:rsidR="003B155E" w:rsidRPr="002C07D9" w14:paraId="5F5C82B7" w14:textId="77777777" w:rsidTr="000D79D6">
        <w:tc>
          <w:tcPr>
            <w:tcW w:w="253" w:type="pct"/>
          </w:tcPr>
          <w:p w14:paraId="0202879B"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109" w:type="pct"/>
          </w:tcPr>
          <w:p w14:paraId="361907D9"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Termal oksidasyon</w:t>
            </w:r>
          </w:p>
        </w:tc>
        <w:tc>
          <w:tcPr>
            <w:tcW w:w="3638" w:type="pct"/>
          </w:tcPr>
          <w:p w14:paraId="794ECEB2" w14:textId="77777777" w:rsidR="003B155E" w:rsidRPr="002C07D9" w:rsidRDefault="003B155E" w:rsidP="000D79D6">
            <w:pPr>
              <w:pBdr>
                <w:top w:val="nil"/>
                <w:left w:val="nil"/>
                <w:bottom w:val="nil"/>
                <w:right w:val="nil"/>
                <w:between w:val="nil"/>
              </w:pBdr>
              <w:ind w:left="28"/>
              <w:contextualSpacing/>
              <w:jc w:val="both"/>
              <w:rPr>
                <w:rFonts w:ascii="Times New Roman" w:hAnsi="Times New Roman" w:cs="Times New Roman"/>
                <w:color w:val="000000"/>
                <w:spacing w:val="2"/>
                <w:position w:val="-1"/>
                <w:lang w:val="en-US"/>
              </w:rPr>
            </w:pPr>
            <w:r w:rsidRPr="002C07D9">
              <w:rPr>
                <w:rFonts w:ascii="Times New Roman" w:hAnsi="Times New Roman" w:cs="Times New Roman"/>
                <w:color w:val="000000"/>
                <w:spacing w:val="2"/>
                <w:position w:val="-1"/>
                <w:lang w:val="en-US"/>
              </w:rPr>
              <w:t>Bkz. bölüm 14.2</w:t>
            </w:r>
          </w:p>
        </w:tc>
      </w:tr>
      <w:tr w:rsidR="003B155E" w:rsidRPr="002C07D9" w14:paraId="444D1968" w14:textId="77777777" w:rsidTr="000D79D6">
        <w:tc>
          <w:tcPr>
            <w:tcW w:w="253" w:type="pct"/>
          </w:tcPr>
          <w:p w14:paraId="7B0F90A7"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109" w:type="pct"/>
          </w:tcPr>
          <w:p w14:paraId="1F2D3F45"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Yaş yıkayıcılar</w:t>
            </w:r>
          </w:p>
        </w:tc>
        <w:tc>
          <w:tcPr>
            <w:tcW w:w="3638" w:type="pct"/>
          </w:tcPr>
          <w:p w14:paraId="25E1036C" w14:textId="77777777" w:rsidR="003B155E" w:rsidRPr="002C07D9" w:rsidRDefault="003B155E" w:rsidP="000D79D6">
            <w:pPr>
              <w:widowControl w:val="0"/>
              <w:pBdr>
                <w:top w:val="nil"/>
                <w:left w:val="nil"/>
                <w:bottom w:val="nil"/>
                <w:right w:val="nil"/>
                <w:between w:val="nil"/>
              </w:pBdr>
              <w:ind w:left="35"/>
              <w:contextualSpacing/>
              <w:jc w:val="both"/>
              <w:rPr>
                <w:rFonts w:ascii="Times New Roman" w:hAnsi="Times New Roman" w:cs="Times New Roman"/>
                <w:color w:val="000000"/>
                <w:spacing w:val="2"/>
                <w:position w:val="-1"/>
              </w:rPr>
            </w:pPr>
            <w:r w:rsidRPr="002C07D9">
              <w:rPr>
                <w:rFonts w:ascii="Times New Roman" w:hAnsi="Times New Roman" w:cs="Times New Roman"/>
                <w:color w:val="000000"/>
                <w:spacing w:val="2"/>
                <w:position w:val="-1"/>
              </w:rPr>
              <w:t>Bkz. bölüm 14.2. Ön işlem adımı olarak genellikle elektrostatik çöktürücü kullanılır.</w:t>
            </w:r>
          </w:p>
        </w:tc>
      </w:tr>
      <w:tr w:rsidR="003B155E" w:rsidRPr="002C07D9" w14:paraId="7128435E" w14:textId="77777777" w:rsidTr="000D79D6">
        <w:tc>
          <w:tcPr>
            <w:tcW w:w="253" w:type="pct"/>
          </w:tcPr>
          <w:p w14:paraId="5CD47615"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(d)</w:t>
            </w:r>
          </w:p>
        </w:tc>
        <w:tc>
          <w:tcPr>
            <w:tcW w:w="1109" w:type="pct"/>
          </w:tcPr>
          <w:p w14:paraId="5DC2F285"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Arıtılmış duman kullanımı</w:t>
            </w:r>
          </w:p>
        </w:tc>
        <w:tc>
          <w:tcPr>
            <w:tcW w:w="3638" w:type="pct"/>
          </w:tcPr>
          <w:p w14:paraId="1ADED1ED" w14:textId="77777777" w:rsidR="003B155E" w:rsidRPr="002C07D9" w:rsidRDefault="003B155E" w:rsidP="000D79D6">
            <w:pPr>
              <w:widowControl w:val="0"/>
              <w:ind w:left="28"/>
              <w:jc w:val="both"/>
              <w:rPr>
                <w:rFonts w:ascii="Times New Roman" w:hAnsi="Times New Roman"/>
                <w:color w:val="000000"/>
              </w:rPr>
            </w:pPr>
            <w:r w:rsidRPr="002C07D9">
              <w:rPr>
                <w:rFonts w:ascii="Times New Roman" w:hAnsi="Times New Roman"/>
                <w:color w:val="000000"/>
              </w:rPr>
              <w:t>Arıtılmış birincil duman yoğunlaşmalarından üretilen duman, ürünü bir duman odasında tütsülemek için kullanılır.</w:t>
            </w:r>
          </w:p>
        </w:tc>
      </w:tr>
    </w:tbl>
    <w:p w14:paraId="30AD57EC"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0512CC6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18</w:t>
      </w:r>
    </w:p>
    <w:p w14:paraId="3D396DA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Bir duman odasından havaya salınan T</w:t>
      </w:r>
      <w:r w:rsidR="009D570E">
        <w:rPr>
          <w:rFonts w:ascii="Times New Roman" w:eastAsia="Times New Roman" w:hAnsi="Times New Roman" w:cs="Courier New"/>
          <w:color w:val="000000"/>
          <w:kern w:val="0"/>
          <w:sz w:val="24"/>
          <w:szCs w:val="24"/>
          <w:lang w:eastAsia="tr-TR"/>
          <w14:ligatures w14:val="none"/>
        </w:rPr>
        <w:t>UOB</w:t>
      </w:r>
      <w:r w:rsidRPr="002C07D9">
        <w:rPr>
          <w:rFonts w:ascii="Times New Roman" w:eastAsia="Times New Roman" w:hAnsi="Times New Roman" w:cs="Courier New"/>
          <w:color w:val="000000"/>
          <w:kern w:val="0"/>
          <w:sz w:val="24"/>
          <w:szCs w:val="24"/>
          <w:lang w:eastAsia="tr-TR"/>
          <w14:ligatures w14:val="none"/>
        </w:rPr>
        <w:t xml:space="preserve"> emisyonları için MET ile ilişkili emisyon seviyeleri (MET-İES).</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1671"/>
        <w:gridCol w:w="2824"/>
        <w:gridCol w:w="4557"/>
      </w:tblGrid>
      <w:tr w:rsidR="003B155E" w:rsidRPr="002C07D9" w14:paraId="24956CC5" w14:textId="77777777" w:rsidTr="000D79D6">
        <w:trPr>
          <w:trHeight w:val="282"/>
          <w:jc w:val="center"/>
        </w:trPr>
        <w:tc>
          <w:tcPr>
            <w:tcW w:w="923"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F317E4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1560"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08C57FD9"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517"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BC66174"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(örnekleme dönemindeki ortalama)</w:t>
            </w:r>
          </w:p>
        </w:tc>
      </w:tr>
      <w:tr w:rsidR="003B155E" w:rsidRPr="002C07D9" w14:paraId="0E7FEF79" w14:textId="77777777" w:rsidTr="000D79D6">
        <w:trPr>
          <w:trHeight w:val="257"/>
          <w:jc w:val="center"/>
        </w:trPr>
        <w:tc>
          <w:tcPr>
            <w:tcW w:w="923"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137A7BF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w:t>
            </w:r>
            <w:r w:rsidR="009D570E">
              <w:rPr>
                <w:rFonts w:ascii="Times New Roman" w:eastAsia="Times New Roman" w:hAnsi="Times New Roman" w:cs="Courier New"/>
                <w:color w:val="000000"/>
                <w:kern w:val="0"/>
                <w:lang w:eastAsia="tr-TR"/>
                <w14:ligatures w14:val="none"/>
              </w:rPr>
              <w:t>UOB</w:t>
            </w:r>
          </w:p>
        </w:tc>
        <w:tc>
          <w:tcPr>
            <w:tcW w:w="1560" w:type="pct"/>
            <w:tcBorders>
              <w:top w:val="nil"/>
              <w:left w:val="nil"/>
              <w:bottom w:val="single" w:sz="4" w:space="0" w:color="auto"/>
              <w:right w:val="single" w:sz="8" w:space="0" w:color="000000"/>
            </w:tcBorders>
            <w:tcMar>
              <w:top w:w="0" w:type="dxa"/>
              <w:left w:w="100" w:type="dxa"/>
              <w:bottom w:w="0" w:type="dxa"/>
              <w:right w:w="100" w:type="dxa"/>
            </w:tcMar>
            <w:vAlign w:val="center"/>
          </w:tcPr>
          <w:p w14:paraId="5CF16CC5"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2517" w:type="pct"/>
            <w:tcBorders>
              <w:top w:val="nil"/>
              <w:left w:val="nil"/>
              <w:bottom w:val="single" w:sz="4" w:space="0" w:color="auto"/>
              <w:right w:val="single" w:sz="8" w:space="0" w:color="000000"/>
            </w:tcBorders>
            <w:tcMar>
              <w:top w:w="0" w:type="dxa"/>
              <w:left w:w="100" w:type="dxa"/>
              <w:bottom w:w="0" w:type="dxa"/>
              <w:right w:w="100" w:type="dxa"/>
            </w:tcMar>
            <w:vAlign w:val="center"/>
          </w:tcPr>
          <w:p w14:paraId="34E69F74"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3–50</w:t>
            </w:r>
            <w:r w:rsidRPr="002C07D9">
              <w:rPr>
                <w:rFonts w:ascii="Times New Roman" w:eastAsia="Times New Roman" w:hAnsi="Times New Roman" w:cs="Courier New"/>
                <w:color w:val="000000"/>
                <w:kern w:val="0"/>
                <w:vertAlign w:val="superscript"/>
                <w:lang w:eastAsia="tr-TR"/>
                <w14:ligatures w14:val="none"/>
              </w:rPr>
              <w:t xml:space="preserve"> (1)(2)</w:t>
            </w:r>
          </w:p>
        </w:tc>
      </w:tr>
      <w:tr w:rsidR="003B155E" w:rsidRPr="002C07D9" w14:paraId="600D7487" w14:textId="77777777" w:rsidTr="000D79D6">
        <w:trPr>
          <w:trHeight w:val="450"/>
          <w:jc w:val="center"/>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5D12AFA0"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Aralığın minimum değerinde genellikle adsorpsiyon veya termal oksidasyon kullanılmaktadır.</w:t>
            </w:r>
          </w:p>
          <w:p w14:paraId="30E86F95"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T</w:t>
            </w:r>
            <w:r w:rsidR="009D570E">
              <w:rPr>
                <w:rFonts w:ascii="Times New Roman" w:eastAsia="Times New Roman" w:hAnsi="Times New Roman" w:cs="Courier New"/>
                <w:color w:val="000000"/>
                <w:kern w:val="0"/>
                <w:sz w:val="20"/>
                <w:szCs w:val="20"/>
                <w:lang w:eastAsia="tr-TR"/>
                <w14:ligatures w14:val="none"/>
              </w:rPr>
              <w:t>UOB</w:t>
            </w:r>
            <w:r w:rsidRPr="002C07D9">
              <w:rPr>
                <w:rFonts w:ascii="Times New Roman" w:eastAsia="Times New Roman" w:hAnsi="Times New Roman" w:cs="Courier New"/>
                <w:color w:val="000000"/>
                <w:kern w:val="0"/>
                <w:sz w:val="20"/>
                <w:szCs w:val="20"/>
                <w:lang w:eastAsia="tr-TR"/>
                <w14:ligatures w14:val="none"/>
              </w:rPr>
              <w:t xml:space="preserve"> emisyon yükünün 500 g/sa altında olması durumunda MET-İES uygulanmaz.</w:t>
            </w:r>
          </w:p>
        </w:tc>
      </w:tr>
    </w:tbl>
    <w:p w14:paraId="7F3C513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8053DB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İlgili izleme MET 5’te verilmiştir.</w:t>
      </w:r>
    </w:p>
    <w:p w14:paraId="0C1E7ED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08F599CA"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10. Yağlı Tohum İşleme ve Bitkisel Yağ Rafinasyonu İçin MET Sonuçları</w:t>
      </w:r>
    </w:p>
    <w:p w14:paraId="5119820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Bu bölümde sunulan MET sonuçları yağlı tohum işleme ve bitkisel yağ rafinasyonu için geçerlidir. Bunlar Bölüm 1’de verilen genel MET sonuçlarına ek olarak geçerlidir.</w:t>
      </w:r>
    </w:p>
    <w:p w14:paraId="5A9DD70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44EFFE1"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10.1. </w:t>
      </w:r>
      <w:r w:rsidRPr="002C07D9">
        <w:rPr>
          <w:rFonts w:ascii="Times New Roman" w:eastAsia="Times New Roman" w:hAnsi="Times New Roman" w:cs="Times New Roman"/>
          <w:b/>
          <w:bCs/>
          <w:color w:val="000000"/>
          <w:kern w:val="0"/>
          <w:sz w:val="24"/>
          <w:szCs w:val="24"/>
          <w:lang w:eastAsia="tr-TR"/>
          <w14:ligatures w14:val="none"/>
        </w:rPr>
        <w:t>Enerji Verimliliği</w:t>
      </w:r>
    </w:p>
    <w:p w14:paraId="15BB60D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Times New Roman"/>
          <w:b/>
          <w:bCs/>
          <w:color w:val="000000"/>
          <w:kern w:val="0"/>
          <w:sz w:val="24"/>
          <w:szCs w:val="24"/>
          <w:lang w:eastAsia="tr-TR"/>
          <w14:ligatures w14:val="none"/>
        </w:rPr>
        <w:t xml:space="preserve">MET 30: </w:t>
      </w:r>
      <w:r w:rsidRPr="002C07D9">
        <w:rPr>
          <w:rFonts w:ascii="Times New Roman" w:eastAsia="Times New Roman" w:hAnsi="Times New Roman" w:cs="Times New Roman"/>
          <w:color w:val="000000"/>
          <w:kern w:val="0"/>
          <w:sz w:val="24"/>
          <w:szCs w:val="24"/>
          <w:lang w:eastAsia="tr-TR"/>
          <w14:ligatures w14:val="none"/>
        </w:rPr>
        <w:t>Enerji verimliliğini artırmak için, MET 6’da belirtilen tekniklerin uygun bir kombinasyonunun kullanılması ile yardımcı vakum oluşturulur.</w:t>
      </w:r>
    </w:p>
    <w:p w14:paraId="507FB728"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EA24E33" w14:textId="77777777" w:rsidR="003B155E" w:rsidRPr="002C07D9" w:rsidRDefault="003B155E" w:rsidP="003B155E">
      <w:pPr>
        <w:widowControl w:val="0"/>
        <w:spacing w:after="0" w:line="276" w:lineRule="auto"/>
        <w:jc w:val="both"/>
        <w:rPr>
          <w:rFonts w:ascii="Times New Roman" w:eastAsia="Times New Roman" w:hAnsi="Times New Roman" w:cs="Courier New"/>
          <w:i/>
          <w:iCs/>
          <w:color w:val="000000"/>
          <w:kern w:val="0"/>
          <w:sz w:val="24"/>
          <w:szCs w:val="24"/>
          <w:lang w:eastAsia="tr-TR"/>
          <w14:ligatures w14:val="none"/>
        </w:rPr>
      </w:pPr>
      <w:r w:rsidRPr="002C07D9">
        <w:rPr>
          <w:rFonts w:ascii="Times New Roman" w:eastAsia="Times New Roman" w:hAnsi="Times New Roman" w:cs="Courier New"/>
          <w:i/>
          <w:iCs/>
          <w:color w:val="000000"/>
          <w:kern w:val="0"/>
          <w:sz w:val="24"/>
          <w:szCs w:val="24"/>
          <w:lang w:eastAsia="tr-TR"/>
          <w14:ligatures w14:val="none"/>
        </w:rPr>
        <w:t>Tanım</w:t>
      </w:r>
    </w:p>
    <w:p w14:paraId="439EDE1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Yağ kurutma, yağ gazı giderme veya yağ oksidasyonunun en aza indirilmesi için kullanılan yardımcı vakum pompalar, buhar enjektörleri vb. tarafından üretilir. Vakum, bu proses adımları için gereken termal enerji miktarını azaltır.</w:t>
      </w:r>
    </w:p>
    <w:p w14:paraId="40BB9B02"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p>
    <w:p w14:paraId="78367676"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19</w:t>
      </w:r>
    </w:p>
    <w:p w14:paraId="5C6B8BC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enerji tüketimi için gösterge niteliğindeki çevresel performans seviyeleri.</w:t>
      </w:r>
    </w:p>
    <w:tbl>
      <w:tblPr>
        <w:tblW w:w="5000" w:type="pct"/>
        <w:tblBorders>
          <w:top w:val="nil"/>
          <w:left w:val="nil"/>
          <w:bottom w:val="nil"/>
          <w:right w:val="nil"/>
          <w:insideH w:val="nil"/>
          <w:insideV w:val="nil"/>
        </w:tblBorders>
        <w:tblLook w:val="0600" w:firstRow="0" w:lastRow="0" w:firstColumn="0" w:lastColumn="0" w:noHBand="1" w:noVBand="1"/>
      </w:tblPr>
      <w:tblGrid>
        <w:gridCol w:w="3838"/>
        <w:gridCol w:w="1512"/>
        <w:gridCol w:w="3702"/>
      </w:tblGrid>
      <w:tr w:rsidR="003B155E" w:rsidRPr="002C07D9" w14:paraId="4B0F0B86" w14:textId="77777777" w:rsidTr="000D79D6">
        <w:trPr>
          <w:trHeight w:val="285"/>
        </w:trPr>
        <w:tc>
          <w:tcPr>
            <w:tcW w:w="212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DEDF90"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w:t>
            </w:r>
          </w:p>
        </w:tc>
        <w:tc>
          <w:tcPr>
            <w:tcW w:w="835"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533519C"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045"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CCE8D4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7DEBC406" w14:textId="77777777" w:rsidTr="000D79D6">
        <w:trPr>
          <w:trHeight w:val="554"/>
        </w:trPr>
        <w:tc>
          <w:tcPr>
            <w:tcW w:w="2120" w:type="pc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B3A0400"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Kolza ve/veya ayçiçeği tohumlarının entegre olarak kırılması ve rafine edilmesi</w:t>
            </w:r>
          </w:p>
        </w:tc>
        <w:tc>
          <w:tcPr>
            <w:tcW w:w="835"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1BB8323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MWh/ton üretilen yağ</w:t>
            </w:r>
          </w:p>
        </w:tc>
        <w:tc>
          <w:tcPr>
            <w:tcW w:w="2045"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046A528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0,45-1,05</w:t>
            </w:r>
          </w:p>
        </w:tc>
      </w:tr>
      <w:tr w:rsidR="003B155E" w:rsidRPr="002C07D9" w14:paraId="6A21C323" w14:textId="77777777" w:rsidTr="000D79D6">
        <w:trPr>
          <w:trHeight w:val="341"/>
        </w:trPr>
        <w:tc>
          <w:tcPr>
            <w:tcW w:w="2120" w:type="pc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CC1DF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Soya fasulyesinin entegre kırılması ve rafinasyonu</w:t>
            </w:r>
          </w:p>
        </w:tc>
        <w:tc>
          <w:tcPr>
            <w:tcW w:w="835"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9A6ED2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45"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3E45872"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0,65-1,65</w:t>
            </w:r>
          </w:p>
        </w:tc>
      </w:tr>
      <w:tr w:rsidR="003B155E" w:rsidRPr="002C07D9" w14:paraId="0FD7C1E9" w14:textId="77777777" w:rsidTr="000D79D6">
        <w:trPr>
          <w:trHeight w:val="285"/>
        </w:trPr>
        <w:tc>
          <w:tcPr>
            <w:tcW w:w="2120" w:type="pc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C47F89F"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Tek başına rafine etme</w:t>
            </w:r>
          </w:p>
        </w:tc>
        <w:tc>
          <w:tcPr>
            <w:tcW w:w="835"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019BC9C"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45"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56658623"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0,1-0,45</w:t>
            </w:r>
          </w:p>
        </w:tc>
      </w:tr>
    </w:tbl>
    <w:p w14:paraId="6336CF46"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8BAA325"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10.2. Su Tüketimi ve Atıksu Deşarjı</w:t>
      </w:r>
    </w:p>
    <w:p w14:paraId="3B119FC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 xml:space="preserve">Su tüketimini ve deşarj edilen atıksu hacmini azaltmaya yönelik genel teknikler bu MET sonuçlarının 1.4 Bölümünde verilmiştir. Gösterge niteliğindeki çevresel performans seviyeleri </w:t>
      </w:r>
      <w:r w:rsidRPr="002C07D9">
        <w:rPr>
          <w:rFonts w:ascii="Times New Roman" w:eastAsia="Times New Roman" w:hAnsi="Times New Roman" w:cs="Courier New"/>
          <w:color w:val="000000"/>
          <w:kern w:val="0"/>
          <w:sz w:val="24"/>
          <w:szCs w:val="24"/>
          <w:lang w:eastAsia="tr-TR"/>
          <w14:ligatures w14:val="none"/>
        </w:rPr>
        <w:lastRenderedPageBreak/>
        <w:t>aşağıdaki tabloda sunulmuştur.</w:t>
      </w:r>
    </w:p>
    <w:p w14:paraId="2E2C61C0"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7AEDA43"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20</w:t>
      </w:r>
    </w:p>
    <w:p w14:paraId="09F8428A"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atıksu deşarjı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3976"/>
        <w:gridCol w:w="1374"/>
        <w:gridCol w:w="3702"/>
      </w:tblGrid>
      <w:tr w:rsidR="003B155E" w:rsidRPr="002C07D9" w14:paraId="18C946E7" w14:textId="77777777" w:rsidTr="000D79D6">
        <w:trPr>
          <w:trHeight w:val="285"/>
          <w:jc w:val="center"/>
        </w:trPr>
        <w:tc>
          <w:tcPr>
            <w:tcW w:w="2196"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41D67E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w:t>
            </w:r>
          </w:p>
        </w:tc>
        <w:tc>
          <w:tcPr>
            <w:tcW w:w="759"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727AC2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04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8037C6D"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6FAE5C55" w14:textId="77777777" w:rsidTr="000D79D6">
        <w:trPr>
          <w:trHeight w:val="795"/>
          <w:jc w:val="center"/>
        </w:trPr>
        <w:tc>
          <w:tcPr>
            <w:tcW w:w="2196"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CB1D592"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Kolza ve/veya ayçiçeği tohumlarının entegre olarak kırılması ve rafine edilmesi</w:t>
            </w:r>
          </w:p>
        </w:tc>
        <w:tc>
          <w:tcPr>
            <w:tcW w:w="759"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4D5B3115"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/ton üretilen yağ</w:t>
            </w:r>
          </w:p>
        </w:tc>
        <w:tc>
          <w:tcPr>
            <w:tcW w:w="2045"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3E76D3F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0,15-0,75</w:t>
            </w:r>
          </w:p>
        </w:tc>
      </w:tr>
      <w:tr w:rsidR="003B155E" w:rsidRPr="002C07D9" w14:paraId="1747ECA3" w14:textId="77777777" w:rsidTr="000D79D6">
        <w:trPr>
          <w:trHeight w:val="540"/>
          <w:jc w:val="center"/>
        </w:trPr>
        <w:tc>
          <w:tcPr>
            <w:tcW w:w="2196"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F190C2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Soya fasulyesinin entegre kırılması ve rafinasyonu</w:t>
            </w:r>
          </w:p>
        </w:tc>
        <w:tc>
          <w:tcPr>
            <w:tcW w:w="759"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EF44E4B"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45"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D6C857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0,8-1,9</w:t>
            </w:r>
          </w:p>
        </w:tc>
      </w:tr>
      <w:tr w:rsidR="003B155E" w:rsidRPr="002C07D9" w14:paraId="0FA00AF8" w14:textId="77777777" w:rsidTr="000D79D6">
        <w:trPr>
          <w:trHeight w:val="285"/>
          <w:jc w:val="center"/>
        </w:trPr>
        <w:tc>
          <w:tcPr>
            <w:tcW w:w="2196" w:type="pc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3D4DDF9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Tek başına rafine etme</w:t>
            </w:r>
          </w:p>
        </w:tc>
        <w:tc>
          <w:tcPr>
            <w:tcW w:w="759" w:type="pct"/>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F885EE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2045"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5DAEA295"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0,15-0,9</w:t>
            </w:r>
          </w:p>
        </w:tc>
      </w:tr>
    </w:tbl>
    <w:p w14:paraId="5713EA98" w14:textId="77777777" w:rsidR="00CC3323" w:rsidRPr="002C07D9" w:rsidRDefault="00CC3323"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5657238"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10.3. Hava Emisyonları</w:t>
      </w:r>
    </w:p>
    <w:p w14:paraId="5FDBAB8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MET 31: </w:t>
      </w:r>
      <w:r w:rsidRPr="002C07D9">
        <w:rPr>
          <w:rFonts w:ascii="Times New Roman" w:eastAsia="Times New Roman" w:hAnsi="Times New Roman" w:cs="Courier New"/>
          <w:color w:val="000000"/>
          <w:kern w:val="0"/>
          <w:sz w:val="24"/>
          <w:szCs w:val="24"/>
          <w:lang w:eastAsia="tr-TR"/>
          <w14:ligatures w14:val="none"/>
        </w:rPr>
        <w:t>Havaya yayılan toz emisyonlarını azaltmak için, aşağıda verilen tekniklerden biri veya birkaçı kullanılır.</w:t>
      </w:r>
    </w:p>
    <w:tbl>
      <w:tblPr>
        <w:tblStyle w:val="TabloKlavuzu10"/>
        <w:tblW w:w="9355" w:type="dxa"/>
        <w:tblLook w:val="04A0" w:firstRow="1" w:lastRow="0" w:firstColumn="1" w:lastColumn="0" w:noHBand="0" w:noVBand="1"/>
      </w:tblPr>
      <w:tblGrid>
        <w:gridCol w:w="473"/>
        <w:gridCol w:w="1365"/>
        <w:gridCol w:w="1843"/>
        <w:gridCol w:w="5674"/>
      </w:tblGrid>
      <w:tr w:rsidR="003B155E" w:rsidRPr="002C07D9" w14:paraId="72F961AC" w14:textId="77777777" w:rsidTr="000D79D6">
        <w:tc>
          <w:tcPr>
            <w:tcW w:w="1838" w:type="dxa"/>
            <w:gridSpan w:val="2"/>
          </w:tcPr>
          <w:p w14:paraId="09513EEE"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1843" w:type="dxa"/>
          </w:tcPr>
          <w:p w14:paraId="0CE7E9D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c>
          <w:tcPr>
            <w:tcW w:w="5674" w:type="dxa"/>
          </w:tcPr>
          <w:p w14:paraId="380355A5"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0D755CF7" w14:textId="77777777" w:rsidTr="000D79D6">
        <w:tc>
          <w:tcPr>
            <w:tcW w:w="473" w:type="dxa"/>
          </w:tcPr>
          <w:p w14:paraId="6424EF4E"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365" w:type="dxa"/>
          </w:tcPr>
          <w:p w14:paraId="77FD6BDC" w14:textId="77777777" w:rsidR="003B155E" w:rsidRPr="002C07D9" w:rsidRDefault="003B155E" w:rsidP="000D79D6">
            <w:pPr>
              <w:widowControl w:val="0"/>
              <w:shd w:val="clear" w:color="auto" w:fill="FFFFFF"/>
              <w:ind w:hanging="14"/>
              <w:jc w:val="both"/>
              <w:rPr>
                <w:rFonts w:ascii="Times New Roman" w:hAnsi="Times New Roman" w:cs="Times New Roman"/>
                <w:color w:val="000000"/>
              </w:rPr>
            </w:pPr>
            <w:r w:rsidRPr="002C07D9">
              <w:rPr>
                <w:rFonts w:ascii="Times New Roman" w:hAnsi="Times New Roman" w:cs="Times New Roman"/>
                <w:color w:val="000000"/>
              </w:rPr>
              <w:t>Torba filtre</w:t>
            </w:r>
          </w:p>
        </w:tc>
        <w:tc>
          <w:tcPr>
            <w:tcW w:w="1843" w:type="dxa"/>
            <w:vMerge w:val="restart"/>
          </w:tcPr>
          <w:p w14:paraId="501FBFAC"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Bkz. bölüm 14.2</w:t>
            </w:r>
          </w:p>
        </w:tc>
        <w:tc>
          <w:tcPr>
            <w:tcW w:w="5674" w:type="dxa"/>
            <w:vAlign w:val="center"/>
          </w:tcPr>
          <w:p w14:paraId="6D0900EC"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Yapışkan tozun azaltılması için geçerli olmayabilir.</w:t>
            </w:r>
          </w:p>
        </w:tc>
      </w:tr>
      <w:tr w:rsidR="003B155E" w:rsidRPr="002C07D9" w14:paraId="2D307526" w14:textId="77777777" w:rsidTr="000D79D6">
        <w:tc>
          <w:tcPr>
            <w:tcW w:w="473" w:type="dxa"/>
          </w:tcPr>
          <w:p w14:paraId="6A7C33B0"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365" w:type="dxa"/>
          </w:tcPr>
          <w:p w14:paraId="39D7DD7A"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Siklon</w:t>
            </w:r>
          </w:p>
        </w:tc>
        <w:tc>
          <w:tcPr>
            <w:tcW w:w="1843" w:type="dxa"/>
            <w:vMerge/>
          </w:tcPr>
          <w:p w14:paraId="2958526F" w14:textId="77777777" w:rsidR="003B155E" w:rsidRPr="002C07D9" w:rsidRDefault="003B155E" w:rsidP="000D79D6">
            <w:pPr>
              <w:pBdr>
                <w:top w:val="nil"/>
                <w:left w:val="nil"/>
                <w:bottom w:val="nil"/>
                <w:right w:val="nil"/>
                <w:between w:val="nil"/>
              </w:pBdr>
              <w:ind w:left="29"/>
              <w:contextualSpacing/>
              <w:jc w:val="both"/>
              <w:rPr>
                <w:rFonts w:ascii="Times New Roman" w:hAnsi="Times New Roman" w:cs="Times New Roman"/>
                <w:color w:val="000000"/>
                <w:spacing w:val="2"/>
                <w:position w:val="-1"/>
                <w:lang w:val="en-US"/>
              </w:rPr>
            </w:pPr>
          </w:p>
        </w:tc>
        <w:tc>
          <w:tcPr>
            <w:tcW w:w="5674" w:type="dxa"/>
            <w:vMerge w:val="restart"/>
          </w:tcPr>
          <w:p w14:paraId="3C5F403F"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6A8DB638" w14:textId="77777777" w:rsidTr="000D79D6">
        <w:tc>
          <w:tcPr>
            <w:tcW w:w="473" w:type="dxa"/>
          </w:tcPr>
          <w:p w14:paraId="370AF87D"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365" w:type="dxa"/>
          </w:tcPr>
          <w:p w14:paraId="3AEBAA67"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Yaş yıkayıcı</w:t>
            </w:r>
          </w:p>
        </w:tc>
        <w:tc>
          <w:tcPr>
            <w:tcW w:w="1843" w:type="dxa"/>
            <w:vMerge/>
          </w:tcPr>
          <w:p w14:paraId="7DF506D5" w14:textId="77777777" w:rsidR="003B155E" w:rsidRPr="002C07D9" w:rsidRDefault="003B155E" w:rsidP="000D79D6">
            <w:pPr>
              <w:pBdr>
                <w:top w:val="nil"/>
                <w:left w:val="nil"/>
                <w:bottom w:val="nil"/>
                <w:right w:val="nil"/>
                <w:between w:val="nil"/>
              </w:pBdr>
              <w:ind w:left="28"/>
              <w:jc w:val="both"/>
              <w:rPr>
                <w:rFonts w:ascii="Times New Roman" w:hAnsi="Times New Roman" w:cs="Times New Roman"/>
                <w:color w:val="000000"/>
              </w:rPr>
            </w:pPr>
          </w:p>
        </w:tc>
        <w:tc>
          <w:tcPr>
            <w:tcW w:w="5674" w:type="dxa"/>
            <w:vMerge/>
          </w:tcPr>
          <w:p w14:paraId="3C141C47" w14:textId="77777777" w:rsidR="003B155E" w:rsidRPr="002C07D9" w:rsidRDefault="003B155E" w:rsidP="000D79D6">
            <w:pPr>
              <w:widowControl w:val="0"/>
              <w:tabs>
                <w:tab w:val="left" w:pos="562"/>
              </w:tabs>
              <w:jc w:val="both"/>
              <w:rPr>
                <w:rFonts w:ascii="Times New Roman" w:hAnsi="Times New Roman" w:cs="Times New Roman"/>
                <w:color w:val="000000"/>
              </w:rPr>
            </w:pPr>
          </w:p>
        </w:tc>
      </w:tr>
    </w:tbl>
    <w:p w14:paraId="54B7F6B4" w14:textId="77777777" w:rsidR="0096283A" w:rsidRPr="002C07D9" w:rsidRDefault="0096283A"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D5ED4B4"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21</w:t>
      </w:r>
    </w:p>
    <w:p w14:paraId="2A12BDD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Tohumların işlenmesi, hazırlanması ile pancar posasının kurutulması ve soğutulması sırasında havaya yayılan toz emisyonları için MET ile ilişkili emisyon seviyeleri (MET-İES).</w:t>
      </w:r>
    </w:p>
    <w:p w14:paraId="2C094FF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1898"/>
        <w:gridCol w:w="2067"/>
        <w:gridCol w:w="3103"/>
        <w:gridCol w:w="1984"/>
      </w:tblGrid>
      <w:tr w:rsidR="003B155E" w:rsidRPr="002C07D9" w14:paraId="0C8ED137" w14:textId="77777777" w:rsidTr="000D79D6">
        <w:trPr>
          <w:trHeight w:val="540"/>
          <w:jc w:val="center"/>
        </w:trPr>
        <w:tc>
          <w:tcPr>
            <w:tcW w:w="1048" w:type="pct"/>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C4CE04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1142" w:type="pct"/>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2C445304"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810" w:type="pct"/>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43190DA"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(örnekleme dönemindeki ortalama)</w:t>
            </w:r>
          </w:p>
        </w:tc>
      </w:tr>
      <w:tr w:rsidR="003B155E" w:rsidRPr="002C07D9" w14:paraId="0AC8761D" w14:textId="77777777" w:rsidTr="000D79D6">
        <w:trPr>
          <w:trHeight w:val="285"/>
          <w:jc w:val="center"/>
        </w:trPr>
        <w:tc>
          <w:tcPr>
            <w:tcW w:w="1048" w:type="pct"/>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FCF28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1142" w:type="pct"/>
            <w:vMerge/>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BF15D84"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1714"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59D727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Yeni Tesisler</w:t>
            </w:r>
          </w:p>
        </w:tc>
        <w:tc>
          <w:tcPr>
            <w:tcW w:w="1097"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43BF23B"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Mevcut Tesisler</w:t>
            </w:r>
          </w:p>
        </w:tc>
      </w:tr>
      <w:tr w:rsidR="003B155E" w:rsidRPr="002C07D9" w14:paraId="348D7B37" w14:textId="77777777" w:rsidTr="000D79D6">
        <w:trPr>
          <w:trHeight w:val="467"/>
          <w:jc w:val="center"/>
        </w:trPr>
        <w:tc>
          <w:tcPr>
            <w:tcW w:w="1048" w:type="pct"/>
            <w:tcBorders>
              <w:top w:val="nil"/>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4767DE3F"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1142"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76C5FB1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1714"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243D8F6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&lt; 2-5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w:t>
            </w:r>
          </w:p>
        </w:tc>
        <w:tc>
          <w:tcPr>
            <w:tcW w:w="1097"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68B2F5D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&lt; 2-10 (</w:t>
            </w:r>
            <w:r w:rsidRPr="002C07D9">
              <w:rPr>
                <w:rFonts w:ascii="Times New Roman" w:eastAsia="Times New Roman" w:hAnsi="Times New Roman" w:cs="Courier New"/>
                <w:color w:val="000000"/>
                <w:kern w:val="0"/>
                <w:vertAlign w:val="superscript"/>
                <w:lang w:eastAsia="tr-TR"/>
                <w14:ligatures w14:val="none"/>
              </w:rPr>
              <w:t>1</w:t>
            </w:r>
            <w:r w:rsidRPr="002C07D9">
              <w:rPr>
                <w:rFonts w:ascii="Times New Roman" w:eastAsia="Times New Roman" w:hAnsi="Times New Roman" w:cs="Courier New"/>
                <w:color w:val="000000"/>
                <w:kern w:val="0"/>
                <w:lang w:eastAsia="tr-TR"/>
                <w14:ligatures w14:val="none"/>
              </w:rPr>
              <w:t>)</w:t>
            </w:r>
          </w:p>
        </w:tc>
      </w:tr>
      <w:tr w:rsidR="003B155E" w:rsidRPr="002C07D9" w14:paraId="0EF07A4B" w14:textId="77777777" w:rsidTr="000D79D6">
        <w:trPr>
          <w:trHeight w:val="467"/>
          <w:jc w:val="center"/>
        </w:trPr>
        <w:tc>
          <w:tcPr>
            <w:tcW w:w="5000" w:type="pct"/>
            <w:gridSpan w:val="4"/>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32BCC579"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Aralığın üst sınırı küspenin kurutulması ve soğutulması için 20 mg/Nm</w:t>
            </w:r>
            <w:r w:rsidRPr="002C07D9">
              <w:rPr>
                <w:rFonts w:ascii="Times New Roman" w:eastAsia="Times New Roman" w:hAnsi="Times New Roman" w:cs="Courier New"/>
                <w:color w:val="000000"/>
                <w:kern w:val="0"/>
                <w:sz w:val="20"/>
                <w:szCs w:val="20"/>
                <w:vertAlign w:val="superscript"/>
                <w:lang w:eastAsia="tr-TR"/>
                <w14:ligatures w14:val="none"/>
              </w:rPr>
              <w:t>3</w:t>
            </w:r>
            <w:r w:rsidRPr="002C07D9">
              <w:rPr>
                <w:rFonts w:ascii="Times New Roman" w:eastAsia="Times New Roman" w:hAnsi="Times New Roman" w:cs="Courier New"/>
                <w:color w:val="000000"/>
                <w:kern w:val="0"/>
                <w:sz w:val="20"/>
                <w:szCs w:val="20"/>
                <w:lang w:eastAsia="tr-TR"/>
                <w14:ligatures w14:val="none"/>
              </w:rPr>
              <w:t>’tür.</w:t>
            </w:r>
          </w:p>
        </w:tc>
      </w:tr>
    </w:tbl>
    <w:p w14:paraId="3A903FBA"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AE98A0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İlgili izleme MET 5'te verilmiştir.</w:t>
      </w:r>
    </w:p>
    <w:p w14:paraId="7C61F97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55AD891A"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10.4. Hekzan Kayıpları</w:t>
      </w:r>
    </w:p>
    <w:p w14:paraId="7D718FF8"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Courier New"/>
          <w:b/>
          <w:bCs/>
          <w:color w:val="000000"/>
          <w:kern w:val="0"/>
          <w:sz w:val="24"/>
          <w:szCs w:val="24"/>
          <w:lang w:eastAsia="tr-TR"/>
          <w14:ligatures w14:val="none"/>
        </w:rPr>
        <w:t xml:space="preserve">MET 32: </w:t>
      </w:r>
      <w:r w:rsidRPr="002C07D9">
        <w:rPr>
          <w:rFonts w:ascii="Times New Roman" w:eastAsia="Times New Roman" w:hAnsi="Times New Roman" w:cs="Courier New"/>
          <w:bCs/>
          <w:color w:val="000000"/>
          <w:kern w:val="0"/>
          <w:sz w:val="24"/>
          <w:szCs w:val="24"/>
          <w:lang w:eastAsia="tr-TR"/>
          <w14:ligatures w14:val="none"/>
        </w:rPr>
        <w:t>Yağ tohumu işleme ve rafinasyonundan kaynaklanan hekzan kayıplarını azaltmak için aşağıda verilen tüm teknikler kullanılır.</w:t>
      </w:r>
    </w:p>
    <w:tbl>
      <w:tblPr>
        <w:tblStyle w:val="TabloKlavuzu10"/>
        <w:tblW w:w="0" w:type="auto"/>
        <w:tblLook w:val="04A0" w:firstRow="1" w:lastRow="0" w:firstColumn="1" w:lastColumn="0" w:noHBand="0" w:noVBand="1"/>
      </w:tblPr>
      <w:tblGrid>
        <w:gridCol w:w="450"/>
        <w:gridCol w:w="2574"/>
        <w:gridCol w:w="6038"/>
      </w:tblGrid>
      <w:tr w:rsidR="003B155E" w:rsidRPr="002C07D9" w14:paraId="6F6F7865" w14:textId="77777777" w:rsidTr="000D79D6">
        <w:tc>
          <w:tcPr>
            <w:tcW w:w="0" w:type="auto"/>
            <w:gridSpan w:val="2"/>
          </w:tcPr>
          <w:p w14:paraId="08AD2205"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0" w:type="auto"/>
          </w:tcPr>
          <w:p w14:paraId="74FED64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r>
      <w:tr w:rsidR="003B155E" w:rsidRPr="002C07D9" w14:paraId="44CB7EA8" w14:textId="77777777" w:rsidTr="000D79D6">
        <w:tc>
          <w:tcPr>
            <w:tcW w:w="0" w:type="auto"/>
          </w:tcPr>
          <w:p w14:paraId="226ABECB"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0" w:type="auto"/>
          </w:tcPr>
          <w:p w14:paraId="74262E36" w14:textId="77777777" w:rsidR="003B155E" w:rsidRPr="002C07D9" w:rsidRDefault="003B155E" w:rsidP="000D79D6">
            <w:pPr>
              <w:widowControl w:val="0"/>
              <w:shd w:val="clear" w:color="auto" w:fill="FFFFFF"/>
              <w:ind w:hanging="14"/>
              <w:rPr>
                <w:rFonts w:ascii="Times New Roman" w:hAnsi="Times New Roman" w:cs="Times New Roman"/>
                <w:color w:val="000000"/>
              </w:rPr>
            </w:pPr>
            <w:r w:rsidRPr="002C07D9">
              <w:rPr>
                <w:rFonts w:ascii="Times New Roman" w:hAnsi="Times New Roman" w:cs="Times New Roman"/>
                <w:color w:val="000000"/>
              </w:rPr>
              <w:t>Solventsizleştirmede ters akımlı küspe ve buhar akışı</w:t>
            </w:r>
          </w:p>
        </w:tc>
        <w:tc>
          <w:tcPr>
            <w:tcW w:w="0" w:type="auto"/>
          </w:tcPr>
          <w:p w14:paraId="77C7BDDB"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Hekzan, buhar ve küspenin ters akımlı akışını içeren bir solventsizleştirme makinesinde hekzan yüklü öğütülmüş maddeden uzaklaştırılır.</w:t>
            </w:r>
          </w:p>
        </w:tc>
      </w:tr>
      <w:tr w:rsidR="003B155E" w:rsidRPr="002C07D9" w14:paraId="06B00C4B" w14:textId="77777777" w:rsidTr="000D79D6">
        <w:tc>
          <w:tcPr>
            <w:tcW w:w="0" w:type="auto"/>
          </w:tcPr>
          <w:p w14:paraId="4DC6D5D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0" w:type="auto"/>
          </w:tcPr>
          <w:p w14:paraId="6007492A"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Yağ/hekzan karışımının buharlaşması</w:t>
            </w:r>
          </w:p>
        </w:tc>
        <w:tc>
          <w:tcPr>
            <w:tcW w:w="0" w:type="auto"/>
          </w:tcPr>
          <w:p w14:paraId="128EADD9" w14:textId="77777777" w:rsidR="003B155E" w:rsidRPr="002C07D9" w:rsidRDefault="003B155E" w:rsidP="000D79D6">
            <w:pPr>
              <w:ind w:left="39"/>
              <w:jc w:val="both"/>
              <w:rPr>
                <w:rFonts w:ascii="Times New Roman" w:hAnsi="Times New Roman"/>
                <w:color w:val="000000"/>
              </w:rPr>
            </w:pPr>
            <w:r w:rsidRPr="002C07D9">
              <w:rPr>
                <w:rFonts w:ascii="Times New Roman" w:hAnsi="Times New Roman"/>
                <w:color w:val="000000"/>
              </w:rPr>
              <w:t>Hekzan, buharlaştırıcılar kullanılarak yağ/hekzan karışımından çıkarılır. Çözücü solventsizleştirme makinesinden gelen buharlar (buhar/hekzan karışımı), buharlaştırmanın ilk aşamasında termal enerji sağlamak için kullanılır.</w:t>
            </w:r>
          </w:p>
        </w:tc>
      </w:tr>
      <w:tr w:rsidR="003B155E" w:rsidRPr="002C07D9" w14:paraId="6A50DB78" w14:textId="77777777" w:rsidTr="000D79D6">
        <w:tc>
          <w:tcPr>
            <w:tcW w:w="0" w:type="auto"/>
          </w:tcPr>
          <w:p w14:paraId="2AD43E0A"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0" w:type="auto"/>
          </w:tcPr>
          <w:p w14:paraId="2B5CC03A"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Mineral yağlı sulu yıkayıcı ile birlikte yoğuşma.</w:t>
            </w:r>
          </w:p>
        </w:tc>
        <w:tc>
          <w:tcPr>
            <w:tcW w:w="0" w:type="auto"/>
          </w:tcPr>
          <w:p w14:paraId="20474C8F" w14:textId="77777777" w:rsidR="003B155E" w:rsidRPr="002C07D9" w:rsidRDefault="003B155E" w:rsidP="000D79D6">
            <w:pPr>
              <w:widowControl w:val="0"/>
              <w:pBdr>
                <w:top w:val="nil"/>
                <w:left w:val="nil"/>
                <w:bottom w:val="nil"/>
                <w:right w:val="nil"/>
                <w:between w:val="nil"/>
              </w:pBdr>
              <w:ind w:left="35"/>
              <w:contextualSpacing/>
              <w:jc w:val="both"/>
              <w:rPr>
                <w:rFonts w:ascii="Times New Roman" w:hAnsi="Times New Roman" w:cs="Times New Roman"/>
                <w:color w:val="000000"/>
                <w:spacing w:val="2"/>
                <w:position w:val="-1"/>
              </w:rPr>
            </w:pPr>
            <w:r w:rsidRPr="002C07D9">
              <w:rPr>
                <w:rFonts w:ascii="Times New Roman" w:hAnsi="Times New Roman" w:cs="Times New Roman"/>
                <w:color w:val="000000"/>
                <w:spacing w:val="2"/>
                <w:position w:val="-1"/>
              </w:rPr>
              <w:t xml:space="preserve">Hekzan buharları, yoğunlaşmaları için yoğuşma noktalarının altına kadar soğutulur. Yoğunlaşmamış hekzan, daha sonraki geri kazanım </w:t>
            </w:r>
            <w:r w:rsidRPr="002C07D9">
              <w:rPr>
                <w:rFonts w:ascii="Times New Roman" w:hAnsi="Times New Roman" w:cs="Times New Roman"/>
                <w:color w:val="000000"/>
                <w:spacing w:val="2"/>
                <w:position w:val="-1"/>
              </w:rPr>
              <w:lastRenderedPageBreak/>
              <w:t>için mineral yağın bir yıkama sıvısı olarak kullanıldığı bir yıkayıcıda emilir</w:t>
            </w:r>
          </w:p>
        </w:tc>
      </w:tr>
      <w:tr w:rsidR="003B155E" w:rsidRPr="002C07D9" w14:paraId="66872AA7" w14:textId="77777777" w:rsidTr="000D79D6">
        <w:tc>
          <w:tcPr>
            <w:tcW w:w="0" w:type="auto"/>
          </w:tcPr>
          <w:p w14:paraId="3B007C69"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lastRenderedPageBreak/>
              <w:t>(d)</w:t>
            </w:r>
          </w:p>
        </w:tc>
        <w:tc>
          <w:tcPr>
            <w:tcW w:w="0" w:type="auto"/>
          </w:tcPr>
          <w:p w14:paraId="1CB19E9D"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Damıtma ile yerçekimsel faz ayrımı</w:t>
            </w:r>
          </w:p>
        </w:tc>
        <w:tc>
          <w:tcPr>
            <w:tcW w:w="0" w:type="auto"/>
          </w:tcPr>
          <w:p w14:paraId="651EB809" w14:textId="77777777" w:rsidR="003B155E" w:rsidRPr="002C07D9" w:rsidRDefault="003B155E" w:rsidP="000D79D6">
            <w:pPr>
              <w:ind w:left="39"/>
              <w:jc w:val="both"/>
              <w:rPr>
                <w:rFonts w:ascii="Times New Roman" w:hAnsi="Times New Roman"/>
                <w:color w:val="000000"/>
              </w:rPr>
            </w:pPr>
            <w:r w:rsidRPr="002C07D9">
              <w:rPr>
                <w:rFonts w:ascii="Times New Roman" w:hAnsi="Times New Roman"/>
                <w:color w:val="000000"/>
              </w:rPr>
              <w:t>Çözünmemiş hekzan, yerçekimi faz ayırıcısı vasıtasıyla sulu fazdan ayrılır. Kalan hekzan, sulu fazın yaklaşık 80-95 °C'ye ısıtılmasıyla damıtılır.</w:t>
            </w:r>
          </w:p>
        </w:tc>
      </w:tr>
    </w:tbl>
    <w:p w14:paraId="6A7C2C6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38C015D4" w14:textId="6ED251BF"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22</w:t>
      </w:r>
    </w:p>
    <w:p w14:paraId="3C12388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Yağ tohumu işleme ve rafinasyonundan kaynaklanan hekzan kayıpları için MET ile ilişkili emisyon seviyeleri (MET-İES).</w:t>
      </w:r>
    </w:p>
    <w:tbl>
      <w:tblPr>
        <w:tblW w:w="9345" w:type="dxa"/>
        <w:jc w:val="center"/>
        <w:tblBorders>
          <w:top w:val="nil"/>
          <w:left w:val="nil"/>
          <w:bottom w:val="nil"/>
          <w:right w:val="nil"/>
          <w:insideH w:val="nil"/>
          <w:insideV w:val="nil"/>
        </w:tblBorders>
        <w:tblLook w:val="0600" w:firstRow="0" w:lastRow="0" w:firstColumn="0" w:lastColumn="0" w:noHBand="1" w:noVBand="1"/>
      </w:tblPr>
      <w:tblGrid>
        <w:gridCol w:w="1650"/>
        <w:gridCol w:w="3016"/>
        <w:gridCol w:w="3100"/>
        <w:gridCol w:w="1579"/>
      </w:tblGrid>
      <w:tr w:rsidR="003B155E" w:rsidRPr="002C07D9" w14:paraId="7052A57E" w14:textId="77777777" w:rsidTr="000D79D6">
        <w:trPr>
          <w:trHeight w:val="540"/>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20ED2E8"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2DBDD58A"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İşlenen tohum veya fasulye türü</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6B5DF0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A391B54"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w:t>
            </w:r>
          </w:p>
          <w:p w14:paraId="2BDA49EC"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(yıllık ortalama)</w:t>
            </w:r>
          </w:p>
        </w:tc>
      </w:tr>
      <w:tr w:rsidR="003B155E" w:rsidRPr="002C07D9" w14:paraId="06F05E10" w14:textId="77777777" w:rsidTr="000D79D6">
        <w:trPr>
          <w:trHeight w:val="540"/>
          <w:jc w:val="center"/>
        </w:trPr>
        <w:tc>
          <w:tcPr>
            <w:tcW w:w="0" w:type="auto"/>
            <w:vMerge w:val="restart"/>
            <w:tcBorders>
              <w:top w:val="nil"/>
              <w:left w:val="single" w:sz="8" w:space="0" w:color="000000"/>
              <w:right w:val="single" w:sz="8" w:space="0" w:color="000000"/>
            </w:tcBorders>
            <w:shd w:val="clear" w:color="auto" w:fill="auto"/>
            <w:tcMar>
              <w:top w:w="0" w:type="dxa"/>
              <w:left w:w="100" w:type="dxa"/>
              <w:bottom w:w="0" w:type="dxa"/>
              <w:right w:w="100" w:type="dxa"/>
            </w:tcMar>
            <w:vAlign w:val="center"/>
          </w:tcPr>
          <w:p w14:paraId="2DA3CCE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Hekzan kayıpları</w:t>
            </w:r>
          </w:p>
        </w:tc>
        <w:tc>
          <w:tcPr>
            <w:tcW w:w="0" w:type="auto"/>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7FF8BD1D"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Soya fasulyesi</w:t>
            </w:r>
          </w:p>
        </w:tc>
        <w:tc>
          <w:tcPr>
            <w:tcW w:w="0" w:type="auto"/>
            <w:vMerge w:val="restart"/>
            <w:tcBorders>
              <w:top w:val="nil"/>
              <w:left w:val="nil"/>
              <w:right w:val="single" w:sz="8" w:space="0" w:color="000000"/>
            </w:tcBorders>
            <w:shd w:val="clear" w:color="auto" w:fill="auto"/>
            <w:tcMar>
              <w:top w:w="0" w:type="dxa"/>
              <w:left w:w="100" w:type="dxa"/>
              <w:bottom w:w="0" w:type="dxa"/>
              <w:right w:w="100" w:type="dxa"/>
            </w:tcMar>
            <w:vAlign w:val="center"/>
          </w:tcPr>
          <w:p w14:paraId="047C03C4"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kg/ton işlenmiş tohum veya fasulye</w:t>
            </w:r>
          </w:p>
        </w:tc>
        <w:tc>
          <w:tcPr>
            <w:tcW w:w="0" w:type="auto"/>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24A91DFE"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0,3-0,55</w:t>
            </w:r>
          </w:p>
        </w:tc>
      </w:tr>
      <w:tr w:rsidR="003B155E" w:rsidRPr="002C07D9" w14:paraId="00F6624C" w14:textId="77777777" w:rsidTr="000D79D6">
        <w:trPr>
          <w:trHeight w:val="540"/>
          <w:jc w:val="center"/>
        </w:trPr>
        <w:tc>
          <w:tcPr>
            <w:tcW w:w="0" w:type="auto"/>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4E55358C"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35F41C5E"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Kolza tohumu ve ayçiçeği tohumu</w:t>
            </w:r>
          </w:p>
        </w:tc>
        <w:tc>
          <w:tcPr>
            <w:tcW w:w="0" w:type="auto"/>
            <w:vMerge/>
            <w:tcBorders>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70F11A3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p>
        </w:tc>
        <w:tc>
          <w:tcPr>
            <w:tcW w:w="0" w:type="auto"/>
            <w:tcBorders>
              <w:top w:val="single" w:sz="4" w:space="0" w:color="auto"/>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6C868DAF"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0,2-0,7</w:t>
            </w:r>
          </w:p>
        </w:tc>
      </w:tr>
    </w:tbl>
    <w:p w14:paraId="0725AA7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B0A760C"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11. İşlenmiş Meyve ve Sebzelerden Yapılan Alkolsüz İçecekler ve Nektar/Suyu İçin MET Sonuçları</w:t>
      </w:r>
    </w:p>
    <w:p w14:paraId="6B5F7A4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Bu bölümde sunulan MET sonuçları, işlenmiş meyve ve sebzelerden yapılan alkolsüz içecekler ve nektar/suyu için geçerlidir. Bunlar Bölüm 1’de verilen genel MET sonuçlarına ek olarak geçerlidir.</w:t>
      </w:r>
    </w:p>
    <w:p w14:paraId="48E28B5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3609A157"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11.1. Enerji Verimliliği</w:t>
      </w:r>
    </w:p>
    <w:p w14:paraId="2A7F5AAD"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Times New Roman"/>
          <w:b/>
          <w:bCs/>
          <w:color w:val="000000"/>
          <w:kern w:val="0"/>
          <w:sz w:val="24"/>
          <w:szCs w:val="24"/>
          <w:lang w:eastAsia="tr-TR"/>
          <w14:ligatures w14:val="none"/>
        </w:rPr>
        <w:t xml:space="preserve">MET 33: </w:t>
      </w:r>
      <w:r w:rsidRPr="002C07D9">
        <w:rPr>
          <w:rFonts w:ascii="Times New Roman" w:eastAsia="Times New Roman" w:hAnsi="Times New Roman" w:cs="Courier New"/>
          <w:color w:val="000000"/>
          <w:kern w:val="0"/>
          <w:sz w:val="24"/>
          <w:szCs w:val="24"/>
          <w:lang w:eastAsia="tr-TR"/>
          <w14:ligatures w14:val="none"/>
        </w:rPr>
        <w:t>Enerji verimliliğini artırmak için, MET 6’da belirtilen tekniklerin ve aşağıda verilen tekniklerin uygun bir kombinasyonu kullanılır.</w:t>
      </w:r>
    </w:p>
    <w:p w14:paraId="72C6710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tbl>
      <w:tblPr>
        <w:tblStyle w:val="TabloKlavuzu10"/>
        <w:tblW w:w="9355" w:type="dxa"/>
        <w:tblLook w:val="04A0" w:firstRow="1" w:lastRow="0" w:firstColumn="1" w:lastColumn="0" w:noHBand="0" w:noVBand="1"/>
      </w:tblPr>
      <w:tblGrid>
        <w:gridCol w:w="451"/>
        <w:gridCol w:w="2093"/>
        <w:gridCol w:w="4367"/>
        <w:gridCol w:w="2444"/>
      </w:tblGrid>
      <w:tr w:rsidR="003B155E" w:rsidRPr="002C07D9" w14:paraId="78D5D6BF" w14:textId="77777777" w:rsidTr="000D79D6">
        <w:tc>
          <w:tcPr>
            <w:tcW w:w="2547" w:type="dxa"/>
            <w:gridSpan w:val="2"/>
          </w:tcPr>
          <w:p w14:paraId="41EB96CD"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4367" w:type="dxa"/>
          </w:tcPr>
          <w:p w14:paraId="06050E3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c>
          <w:tcPr>
            <w:tcW w:w="0" w:type="auto"/>
          </w:tcPr>
          <w:p w14:paraId="0AFF225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2AAC4A20" w14:textId="77777777" w:rsidTr="000D79D6">
        <w:tc>
          <w:tcPr>
            <w:tcW w:w="0" w:type="auto"/>
          </w:tcPr>
          <w:p w14:paraId="3E9C477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2074" w:type="dxa"/>
          </w:tcPr>
          <w:p w14:paraId="0C6F41AF" w14:textId="77777777" w:rsidR="003B155E" w:rsidRPr="002C07D9" w:rsidRDefault="003B155E" w:rsidP="000D79D6">
            <w:pPr>
              <w:widowControl w:val="0"/>
              <w:shd w:val="clear" w:color="auto" w:fill="FFFFFF"/>
              <w:ind w:hanging="14"/>
              <w:rPr>
                <w:rFonts w:ascii="Times New Roman" w:hAnsi="Times New Roman" w:cs="Times New Roman"/>
                <w:color w:val="000000"/>
              </w:rPr>
            </w:pPr>
            <w:r w:rsidRPr="002C07D9">
              <w:rPr>
                <w:rFonts w:ascii="Times New Roman" w:hAnsi="Times New Roman" w:cs="Times New Roman"/>
                <w:color w:val="000000"/>
              </w:rPr>
              <w:t>Nektar/meyve suyu üretimi için tekli pastörizatör</w:t>
            </w:r>
          </w:p>
        </w:tc>
        <w:tc>
          <w:tcPr>
            <w:tcW w:w="4367" w:type="dxa"/>
          </w:tcPr>
          <w:p w14:paraId="23377DB0"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İki ayrı pastörizatör kullanmak yerine hem meyve suyu hem de posa için tek bir pastörizatör kullanılmasını kapsamamktadır.</w:t>
            </w:r>
          </w:p>
        </w:tc>
        <w:tc>
          <w:tcPr>
            <w:tcW w:w="0" w:type="auto"/>
            <w:vAlign w:val="center"/>
          </w:tcPr>
          <w:p w14:paraId="22DD9BBC"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Posanın partikül boyutu nedeniyle uygulanamayabilir.</w:t>
            </w:r>
          </w:p>
        </w:tc>
      </w:tr>
      <w:tr w:rsidR="003B155E" w:rsidRPr="002C07D9" w14:paraId="1B80EF09" w14:textId="77777777" w:rsidTr="000D79D6">
        <w:tc>
          <w:tcPr>
            <w:tcW w:w="0" w:type="auto"/>
          </w:tcPr>
          <w:p w14:paraId="2EA46466"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2074" w:type="dxa"/>
          </w:tcPr>
          <w:p w14:paraId="73AC6E6D"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Hidrolik şeker taşımacılığı</w:t>
            </w:r>
          </w:p>
        </w:tc>
        <w:tc>
          <w:tcPr>
            <w:tcW w:w="4367" w:type="dxa"/>
          </w:tcPr>
          <w:p w14:paraId="39152F7A" w14:textId="77777777" w:rsidR="003B155E" w:rsidRPr="002C07D9" w:rsidRDefault="003B155E" w:rsidP="000D79D6">
            <w:pPr>
              <w:widowControl w:val="0"/>
              <w:pBdr>
                <w:top w:val="nil"/>
                <w:left w:val="nil"/>
                <w:bottom w:val="nil"/>
                <w:right w:val="nil"/>
                <w:between w:val="nil"/>
              </w:pBdr>
              <w:ind w:left="38"/>
              <w:jc w:val="both"/>
              <w:rPr>
                <w:rFonts w:ascii="Times New Roman" w:hAnsi="Times New Roman"/>
                <w:color w:val="000000"/>
              </w:rPr>
            </w:pPr>
            <w:r w:rsidRPr="002C07D9">
              <w:rPr>
                <w:rFonts w:ascii="Times New Roman" w:hAnsi="Times New Roman"/>
                <w:color w:val="000000"/>
              </w:rPr>
              <w:t>Şeker, üretim sürecine su ile taşınır. Şekerin bir kısmı taşıma sırasında zaten çözünmüş olduğundan, şekerin çözünmesi için işlemde daha az enerjiye ihtiyaç duyulmaktadır</w:t>
            </w:r>
          </w:p>
        </w:tc>
        <w:tc>
          <w:tcPr>
            <w:tcW w:w="0" w:type="auto"/>
            <w:vMerge w:val="restart"/>
          </w:tcPr>
          <w:p w14:paraId="7CCB3A1A"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7C831371" w14:textId="77777777" w:rsidTr="000D79D6">
        <w:tc>
          <w:tcPr>
            <w:tcW w:w="0" w:type="auto"/>
          </w:tcPr>
          <w:p w14:paraId="3C5EDBD9"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2074" w:type="dxa"/>
          </w:tcPr>
          <w:p w14:paraId="1E24FAC9"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Nektar/meyve suyu üretimi için enerji tasarruflu homojenleştirici</w:t>
            </w:r>
          </w:p>
        </w:tc>
        <w:tc>
          <w:tcPr>
            <w:tcW w:w="4367" w:type="dxa"/>
          </w:tcPr>
          <w:p w14:paraId="0BB5BA87" w14:textId="77777777" w:rsidR="003B155E" w:rsidRPr="002C07D9" w:rsidRDefault="003B155E" w:rsidP="000D79D6">
            <w:pPr>
              <w:pBdr>
                <w:top w:val="nil"/>
                <w:left w:val="nil"/>
                <w:bottom w:val="nil"/>
                <w:right w:val="nil"/>
                <w:between w:val="nil"/>
              </w:pBdr>
              <w:ind w:left="28"/>
              <w:jc w:val="both"/>
              <w:rPr>
                <w:rFonts w:ascii="Times New Roman" w:hAnsi="Times New Roman" w:cs="Times New Roman"/>
                <w:color w:val="000000"/>
              </w:rPr>
            </w:pPr>
            <w:r w:rsidRPr="002C07D9">
              <w:rPr>
                <w:rFonts w:ascii="Times New Roman" w:hAnsi="Times New Roman"/>
                <w:color w:val="000000"/>
              </w:rPr>
              <w:t>Bkz. MET 21b</w:t>
            </w:r>
          </w:p>
        </w:tc>
        <w:tc>
          <w:tcPr>
            <w:tcW w:w="0" w:type="auto"/>
            <w:vMerge/>
          </w:tcPr>
          <w:p w14:paraId="55C187C9" w14:textId="77777777" w:rsidR="003B155E" w:rsidRPr="002C07D9" w:rsidRDefault="003B155E" w:rsidP="000D79D6">
            <w:pPr>
              <w:widowControl w:val="0"/>
              <w:tabs>
                <w:tab w:val="left" w:pos="562"/>
              </w:tabs>
              <w:jc w:val="both"/>
              <w:rPr>
                <w:rFonts w:ascii="Times New Roman" w:hAnsi="Times New Roman" w:cs="Times New Roman"/>
                <w:color w:val="000000"/>
              </w:rPr>
            </w:pPr>
          </w:p>
        </w:tc>
      </w:tr>
    </w:tbl>
    <w:p w14:paraId="18E60A05"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23</w:t>
      </w:r>
    </w:p>
    <w:p w14:paraId="4C1B18D0"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Belirli enerji tüketimi için gösterge niteliğindeki çevresel performans seviyeleri.</w:t>
      </w:r>
    </w:p>
    <w:tbl>
      <w:tblPr>
        <w:tblW w:w="5000" w:type="pct"/>
        <w:tblBorders>
          <w:top w:val="nil"/>
          <w:left w:val="nil"/>
          <w:bottom w:val="nil"/>
          <w:right w:val="nil"/>
          <w:insideH w:val="nil"/>
          <w:insideV w:val="nil"/>
        </w:tblBorders>
        <w:tblLook w:val="0600" w:firstRow="0" w:lastRow="0" w:firstColumn="0" w:lastColumn="0" w:noHBand="1" w:noVBand="1"/>
      </w:tblPr>
      <w:tblGrid>
        <w:gridCol w:w="2906"/>
        <w:gridCol w:w="6146"/>
      </w:tblGrid>
      <w:tr w:rsidR="003B155E" w:rsidRPr="00CC3323" w14:paraId="272AF799" w14:textId="77777777" w:rsidTr="000D79D6">
        <w:trPr>
          <w:trHeight w:val="285"/>
        </w:trPr>
        <w:tc>
          <w:tcPr>
            <w:tcW w:w="1605"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693C9D7" w14:textId="77777777" w:rsidR="003B155E" w:rsidRPr="00CC3323"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Birim</w:t>
            </w:r>
          </w:p>
        </w:tc>
        <w:tc>
          <w:tcPr>
            <w:tcW w:w="339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2EB314A0" w14:textId="77777777" w:rsidR="003B155E" w:rsidRPr="00CC3323"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Spesifik enerji tüketimi (yıllık ortalama)</w:t>
            </w:r>
          </w:p>
        </w:tc>
      </w:tr>
      <w:tr w:rsidR="003B155E" w:rsidRPr="00CC3323" w14:paraId="088B53D5" w14:textId="77777777" w:rsidTr="000D79D6">
        <w:trPr>
          <w:trHeight w:val="285"/>
        </w:trPr>
        <w:tc>
          <w:tcPr>
            <w:tcW w:w="1605"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6696846" w14:textId="77777777" w:rsidR="003B155E" w:rsidRPr="00CC3323"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MWh/hl ürün</w:t>
            </w:r>
          </w:p>
        </w:tc>
        <w:tc>
          <w:tcPr>
            <w:tcW w:w="3395"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04D2080B" w14:textId="77777777" w:rsidR="003B155E" w:rsidRPr="00CC3323"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0,01-0,035</w:t>
            </w:r>
          </w:p>
        </w:tc>
      </w:tr>
    </w:tbl>
    <w:p w14:paraId="641BD0F1"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1A2BA118"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11.2. Su Tüketimi ve Atıksu Deşarjı</w:t>
      </w:r>
    </w:p>
    <w:p w14:paraId="16CFCCA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Su tüketimini ve deşarj edilen atıksu hacmini azaltmaya yönelik genel teknikler bu MET sonuçlarının 1.4 Bölümünde verilmiştir. Gösterge niteliğindeki çevresel performans seviyesi aşağıdaki tabloda sunulmuştur.</w:t>
      </w:r>
    </w:p>
    <w:p w14:paraId="0D78761B"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lastRenderedPageBreak/>
        <w:t>Tablo 24</w:t>
      </w:r>
    </w:p>
    <w:p w14:paraId="6157A2E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atıksu deşarjı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920"/>
        <w:gridCol w:w="6132"/>
      </w:tblGrid>
      <w:tr w:rsidR="003B155E" w:rsidRPr="00CC3323" w14:paraId="364AD53C" w14:textId="77777777" w:rsidTr="000D79D6">
        <w:trPr>
          <w:trHeight w:val="285"/>
          <w:jc w:val="center"/>
        </w:trPr>
        <w:tc>
          <w:tcPr>
            <w:tcW w:w="1613"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A11617D" w14:textId="77777777" w:rsidR="003B155E" w:rsidRPr="00CC3323"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Birim</w:t>
            </w:r>
          </w:p>
        </w:tc>
        <w:tc>
          <w:tcPr>
            <w:tcW w:w="3388"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07D5F5FE" w14:textId="77777777" w:rsidR="003B155E" w:rsidRPr="00CC3323"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Spesifik atıksu deşarjı (yıllık ortalama)</w:t>
            </w:r>
          </w:p>
        </w:tc>
      </w:tr>
      <w:tr w:rsidR="003B155E" w:rsidRPr="00CC3323" w14:paraId="4F2E0008" w14:textId="77777777" w:rsidTr="000D79D6">
        <w:trPr>
          <w:trHeight w:val="375"/>
          <w:jc w:val="center"/>
        </w:trPr>
        <w:tc>
          <w:tcPr>
            <w:tcW w:w="1613"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FE32EF8" w14:textId="77777777" w:rsidR="003B155E" w:rsidRPr="00CC3323"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M</w:t>
            </w:r>
            <w:r w:rsidRPr="00CC3323">
              <w:rPr>
                <w:rFonts w:ascii="Times New Roman" w:eastAsia="Times New Roman" w:hAnsi="Times New Roman" w:cs="Courier New"/>
                <w:color w:val="000000"/>
                <w:kern w:val="0"/>
                <w:vertAlign w:val="superscript"/>
                <w:lang w:eastAsia="tr-TR"/>
                <w14:ligatures w14:val="none"/>
              </w:rPr>
              <w:t>3</w:t>
            </w:r>
            <w:r w:rsidRPr="00CC3323">
              <w:rPr>
                <w:rFonts w:ascii="Times New Roman" w:eastAsia="Times New Roman" w:hAnsi="Times New Roman" w:cs="Courier New"/>
                <w:color w:val="000000"/>
                <w:kern w:val="0"/>
                <w:lang w:eastAsia="tr-TR"/>
                <w14:ligatures w14:val="none"/>
              </w:rPr>
              <w:t>/hl ürün</w:t>
            </w:r>
          </w:p>
        </w:tc>
        <w:tc>
          <w:tcPr>
            <w:tcW w:w="3388"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798DC791" w14:textId="77777777" w:rsidR="003B155E" w:rsidRPr="00CC3323" w:rsidRDefault="003B155E" w:rsidP="000D79D6">
            <w:pPr>
              <w:widowControl w:val="0"/>
              <w:spacing w:after="0" w:line="276" w:lineRule="auto"/>
              <w:jc w:val="center"/>
              <w:rPr>
                <w:rFonts w:ascii="Times New Roman" w:eastAsia="Times New Roman" w:hAnsi="Times New Roman" w:cs="Courier New"/>
                <w:color w:val="000000"/>
                <w:kern w:val="0"/>
                <w:lang w:eastAsia="tr-TR"/>
                <w14:ligatures w14:val="none"/>
              </w:rPr>
            </w:pPr>
            <w:r w:rsidRPr="00CC3323">
              <w:rPr>
                <w:rFonts w:ascii="Times New Roman" w:eastAsia="Times New Roman" w:hAnsi="Times New Roman" w:cs="Courier New"/>
                <w:color w:val="000000"/>
                <w:kern w:val="0"/>
                <w:lang w:eastAsia="tr-TR"/>
                <w14:ligatures w14:val="none"/>
              </w:rPr>
              <w:t>0,08-0,20</w:t>
            </w:r>
          </w:p>
        </w:tc>
      </w:tr>
    </w:tbl>
    <w:p w14:paraId="29BBE3EF"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12. Nişasta Üretimi İçin MET Sonuçları</w:t>
      </w:r>
    </w:p>
    <w:p w14:paraId="28241B12"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Bu bölümde sunulan MET sonuçları nişasta üretimi için geçerlidir. Bunlar Bölüm 1’de verilen genel MET sonuçlarına ek olarak geçerlidir.</w:t>
      </w:r>
    </w:p>
    <w:p w14:paraId="0C2F53D0"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0EAF16FA"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12.1. Enerji Verimliliği</w:t>
      </w:r>
    </w:p>
    <w:p w14:paraId="6E112213" w14:textId="30802C83" w:rsidR="003B155E"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Enerji verimliliğini artırmaya yönelik genel teknikler bu MET sonuçlarının 1.3 Bölümünde verilmiştir. Gösterge niteliğindeki çevresel performans seviyeleri aşağıdaki tabloda sunulmuştur.</w:t>
      </w:r>
    </w:p>
    <w:p w14:paraId="37ECF7B2" w14:textId="77777777" w:rsidR="003B155E" w:rsidRPr="002C07D9" w:rsidRDefault="003B155E" w:rsidP="0096283A">
      <w:pPr>
        <w:widowControl w:val="0"/>
        <w:spacing w:after="0" w:line="276" w:lineRule="auto"/>
        <w:jc w:val="center"/>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Tablo 25</w:t>
      </w:r>
    </w:p>
    <w:p w14:paraId="18E74421" w14:textId="77777777" w:rsidR="003B155E" w:rsidRPr="002C07D9" w:rsidRDefault="003B155E" w:rsidP="003B155E">
      <w:pPr>
        <w:widowControl w:val="0"/>
        <w:spacing w:after="120" w:line="240" w:lineRule="auto"/>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Belirli enerji tüketimi için gösterge niteliğindeki çevresel performans seviyeleri.</w:t>
      </w:r>
    </w:p>
    <w:tbl>
      <w:tblPr>
        <w:tblW w:w="5000" w:type="pct"/>
        <w:tblBorders>
          <w:top w:val="nil"/>
          <w:left w:val="nil"/>
          <w:bottom w:val="nil"/>
          <w:right w:val="nil"/>
          <w:insideH w:val="nil"/>
          <w:insideV w:val="nil"/>
        </w:tblBorders>
        <w:tblLook w:val="0600" w:firstRow="0" w:lastRow="0" w:firstColumn="0" w:lastColumn="0" w:noHBand="1" w:noVBand="1"/>
      </w:tblPr>
      <w:tblGrid>
        <w:gridCol w:w="3581"/>
        <w:gridCol w:w="1582"/>
        <w:gridCol w:w="3889"/>
      </w:tblGrid>
      <w:tr w:rsidR="003B155E" w:rsidRPr="002C07D9" w14:paraId="711921ED" w14:textId="77777777" w:rsidTr="000D79D6">
        <w:trPr>
          <w:trHeight w:val="285"/>
        </w:trPr>
        <w:tc>
          <w:tcPr>
            <w:tcW w:w="197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2D5F0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w:t>
            </w:r>
          </w:p>
        </w:tc>
        <w:tc>
          <w:tcPr>
            <w:tcW w:w="87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6A2B25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148"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AA04237"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652E23A4" w14:textId="77777777" w:rsidTr="000D79D6">
        <w:trPr>
          <w:trHeight w:val="464"/>
        </w:trPr>
        <w:tc>
          <w:tcPr>
            <w:tcW w:w="1978" w:type="pc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C377B4E"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Sadece doğal nişasta üretimi için patates işleme</w:t>
            </w:r>
          </w:p>
        </w:tc>
        <w:tc>
          <w:tcPr>
            <w:tcW w:w="874" w:type="pct"/>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2782431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MWh/ton hammadde</w:t>
            </w:r>
            <w:r w:rsidRPr="002C07D9">
              <w:rPr>
                <w:rFonts w:ascii="Times New Roman" w:eastAsia="Times New Roman" w:hAnsi="Times New Roman" w:cs="Courier New"/>
                <w:color w:val="000000"/>
                <w:kern w:val="0"/>
                <w:vertAlign w:val="superscript"/>
                <w:lang w:eastAsia="tr-TR"/>
                <w14:ligatures w14:val="none"/>
              </w:rPr>
              <w:t xml:space="preserve"> (1)</w:t>
            </w:r>
          </w:p>
        </w:tc>
        <w:tc>
          <w:tcPr>
            <w:tcW w:w="2148"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4B53B40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0,08-0,14</w:t>
            </w:r>
          </w:p>
        </w:tc>
      </w:tr>
      <w:tr w:rsidR="003B155E" w:rsidRPr="002C07D9" w14:paraId="257984F0" w14:textId="77777777" w:rsidTr="000D79D6">
        <w:trPr>
          <w:trHeight w:val="1010"/>
        </w:trPr>
        <w:tc>
          <w:tcPr>
            <w:tcW w:w="1978" w:type="pct"/>
            <w:tcBorders>
              <w:top w:val="nil"/>
              <w:left w:val="single" w:sz="8" w:space="0" w:color="000000"/>
              <w:bottom w:val="nil"/>
              <w:right w:val="single" w:sz="8" w:space="0" w:color="000000"/>
            </w:tcBorders>
            <w:tcMar>
              <w:top w:w="0" w:type="dxa"/>
              <w:left w:w="100" w:type="dxa"/>
              <w:bottom w:w="0" w:type="dxa"/>
              <w:right w:w="100" w:type="dxa"/>
            </w:tcMar>
          </w:tcPr>
          <w:p w14:paraId="361A4623"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Doğal nişastanın modifiye edilmiş ve/veya hidrolize nişasta ile birlikte üretimi için mısır ve/veya buğday işlenmesi</w:t>
            </w:r>
          </w:p>
        </w:tc>
        <w:tc>
          <w:tcPr>
            <w:tcW w:w="874" w:type="pct"/>
            <w:vMerge/>
            <w:tcBorders>
              <w:top w:val="nil"/>
              <w:left w:val="nil"/>
              <w:bottom w:val="nil"/>
              <w:right w:val="single" w:sz="8" w:space="0" w:color="000000"/>
            </w:tcBorders>
            <w:shd w:val="clear" w:color="auto" w:fill="auto"/>
            <w:tcMar>
              <w:top w:w="100" w:type="dxa"/>
              <w:left w:w="100" w:type="dxa"/>
              <w:bottom w:w="100" w:type="dxa"/>
              <w:right w:w="100" w:type="dxa"/>
            </w:tcMar>
            <w:vAlign w:val="center"/>
          </w:tcPr>
          <w:p w14:paraId="29017459"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4"/>
                <w:szCs w:val="24"/>
                <w:lang w:eastAsia="tr-TR"/>
                <w14:ligatures w14:val="none"/>
              </w:rPr>
            </w:pPr>
          </w:p>
        </w:tc>
        <w:tc>
          <w:tcPr>
            <w:tcW w:w="2148" w:type="pct"/>
            <w:tcBorders>
              <w:top w:val="nil"/>
              <w:left w:val="nil"/>
              <w:bottom w:val="nil"/>
              <w:right w:val="single" w:sz="8" w:space="0" w:color="000000"/>
            </w:tcBorders>
            <w:shd w:val="clear" w:color="auto" w:fill="auto"/>
            <w:tcMar>
              <w:top w:w="0" w:type="dxa"/>
              <w:left w:w="100" w:type="dxa"/>
              <w:bottom w:w="0" w:type="dxa"/>
              <w:right w:w="100" w:type="dxa"/>
            </w:tcMar>
            <w:vAlign w:val="center"/>
          </w:tcPr>
          <w:p w14:paraId="37D946AF"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0,65-1,25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w:t>
            </w:r>
          </w:p>
        </w:tc>
      </w:tr>
      <w:tr w:rsidR="003B155E" w:rsidRPr="002C07D9" w14:paraId="3C084C33" w14:textId="77777777" w:rsidTr="000D79D6">
        <w:trPr>
          <w:trHeight w:val="551"/>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14:paraId="41EDAB1A"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Hammadde miktarı brüt tonajı ifade eder.</w:t>
            </w:r>
          </w:p>
          <w:p w14:paraId="55C9DBF6"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Spesifik enerji tüketimi düzeyi poliol üretimi için geçerli değildir.</w:t>
            </w:r>
          </w:p>
        </w:tc>
      </w:tr>
    </w:tbl>
    <w:p w14:paraId="25602695" w14:textId="77777777" w:rsidR="003B155E" w:rsidRPr="002C07D9" w:rsidRDefault="003B155E" w:rsidP="003B155E">
      <w:pPr>
        <w:widowControl w:val="0"/>
        <w:spacing w:after="120" w:line="360" w:lineRule="auto"/>
        <w:rPr>
          <w:rFonts w:ascii="Times New Roman" w:eastAsia="Times New Roman" w:hAnsi="Times New Roman" w:cs="Courier New"/>
          <w:color w:val="000000"/>
          <w:kern w:val="0"/>
          <w:sz w:val="24"/>
          <w:szCs w:val="24"/>
          <w:lang w:eastAsia="tr-TR"/>
          <w14:ligatures w14:val="none"/>
        </w:rPr>
      </w:pPr>
    </w:p>
    <w:p w14:paraId="74B4E4BD"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12.2. Su Tüketimi ve Atıksu Deşarjı</w:t>
      </w:r>
    </w:p>
    <w:p w14:paraId="5AB812DB"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Su tüketimini ve deşarj edilen atıksu hacmini azaltmaya yönelik genel teknikler bu MET sonuçlarının 1.4 Bölümünde verilmiştir. Gösterge niteliğindeki çevresel performans seviyeleri aşağıdaki tabloda sunulmuştur.</w:t>
      </w:r>
    </w:p>
    <w:p w14:paraId="518EC896" w14:textId="77777777" w:rsidR="003B155E" w:rsidRPr="002C07D9" w:rsidRDefault="003B155E" w:rsidP="0096283A">
      <w:pPr>
        <w:widowControl w:val="0"/>
        <w:spacing w:after="0" w:line="276" w:lineRule="auto"/>
        <w:jc w:val="center"/>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Tablo 26</w:t>
      </w:r>
    </w:p>
    <w:p w14:paraId="6DB1FFC7" w14:textId="77777777" w:rsidR="003B155E" w:rsidRPr="002C07D9" w:rsidRDefault="003B155E" w:rsidP="003B155E">
      <w:pPr>
        <w:widowControl w:val="0"/>
        <w:spacing w:after="0" w:line="360" w:lineRule="auto"/>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Belirli atıksu deşarjı  için gösterge niteliğindeki çevresel performans seviyeleri.</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3495"/>
        <w:gridCol w:w="1545"/>
        <w:gridCol w:w="3795"/>
      </w:tblGrid>
      <w:tr w:rsidR="003B155E" w:rsidRPr="002C07D9" w14:paraId="29303611" w14:textId="77777777" w:rsidTr="000D79D6">
        <w:trPr>
          <w:trHeight w:val="285"/>
        </w:trPr>
        <w:tc>
          <w:tcPr>
            <w:tcW w:w="34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AE549A"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w:t>
            </w:r>
          </w:p>
        </w:tc>
        <w:tc>
          <w:tcPr>
            <w:tcW w:w="154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AF0739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379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58EFA97"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7D2078BA" w14:textId="77777777" w:rsidTr="000D79D6">
        <w:trPr>
          <w:trHeight w:val="464"/>
        </w:trPr>
        <w:tc>
          <w:tcPr>
            <w:tcW w:w="349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970165"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Sadece doğal nişasta üretimi için patates işleme</w:t>
            </w:r>
          </w:p>
        </w:tc>
        <w:tc>
          <w:tcPr>
            <w:tcW w:w="1545" w:type="dxa"/>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14:paraId="711D43A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MWh/ton hammadde</w:t>
            </w:r>
            <w:r w:rsidRPr="002C07D9">
              <w:rPr>
                <w:rFonts w:ascii="Times New Roman" w:eastAsia="Times New Roman" w:hAnsi="Times New Roman" w:cs="Courier New"/>
                <w:color w:val="000000"/>
                <w:kern w:val="0"/>
                <w:vertAlign w:val="superscript"/>
                <w:lang w:eastAsia="tr-TR"/>
                <w14:ligatures w14:val="none"/>
              </w:rPr>
              <w:t xml:space="preserve"> (1)</w:t>
            </w:r>
          </w:p>
        </w:tc>
        <w:tc>
          <w:tcPr>
            <w:tcW w:w="379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AB92DD8"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0,4-1,15</w:t>
            </w:r>
          </w:p>
        </w:tc>
      </w:tr>
      <w:tr w:rsidR="003B155E" w:rsidRPr="002C07D9" w14:paraId="7A3A9BF1" w14:textId="77777777" w:rsidTr="000D79D6">
        <w:trPr>
          <w:trHeight w:val="1061"/>
        </w:trPr>
        <w:tc>
          <w:tcPr>
            <w:tcW w:w="3495" w:type="dxa"/>
            <w:tcBorders>
              <w:top w:val="nil"/>
              <w:left w:val="single" w:sz="8" w:space="0" w:color="000000"/>
              <w:bottom w:val="nil"/>
              <w:right w:val="single" w:sz="8" w:space="0" w:color="000000"/>
            </w:tcBorders>
            <w:tcMar>
              <w:top w:w="0" w:type="dxa"/>
              <w:left w:w="100" w:type="dxa"/>
              <w:bottom w:w="0" w:type="dxa"/>
              <w:right w:w="100" w:type="dxa"/>
            </w:tcMar>
          </w:tcPr>
          <w:p w14:paraId="61C47FC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Doğal nişastanın modifiye edilmiş ve/veya hidrolize nişasta ile birlikte üretimi için mısır ve/veya buğday işlenmesi</w:t>
            </w:r>
          </w:p>
        </w:tc>
        <w:tc>
          <w:tcPr>
            <w:tcW w:w="1545" w:type="dxa"/>
            <w:vMerge/>
            <w:tcBorders>
              <w:top w:val="nil"/>
              <w:left w:val="nil"/>
              <w:bottom w:val="nil"/>
              <w:right w:val="single" w:sz="8" w:space="0" w:color="000000"/>
            </w:tcBorders>
            <w:shd w:val="clear" w:color="auto" w:fill="auto"/>
            <w:tcMar>
              <w:top w:w="100" w:type="dxa"/>
              <w:left w:w="100" w:type="dxa"/>
              <w:bottom w:w="100" w:type="dxa"/>
              <w:right w:w="100" w:type="dxa"/>
            </w:tcMar>
            <w:vAlign w:val="center"/>
          </w:tcPr>
          <w:p w14:paraId="4A674AEA"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sz w:val="24"/>
                <w:szCs w:val="24"/>
                <w:lang w:eastAsia="tr-TR"/>
                <w14:ligatures w14:val="none"/>
              </w:rPr>
            </w:pPr>
          </w:p>
        </w:tc>
        <w:tc>
          <w:tcPr>
            <w:tcW w:w="3795" w:type="dxa"/>
            <w:tcBorders>
              <w:top w:val="nil"/>
              <w:left w:val="nil"/>
              <w:bottom w:val="nil"/>
              <w:right w:val="single" w:sz="8" w:space="0" w:color="000000"/>
            </w:tcBorders>
            <w:shd w:val="clear" w:color="auto" w:fill="auto"/>
            <w:tcMar>
              <w:top w:w="0" w:type="dxa"/>
              <w:left w:w="100" w:type="dxa"/>
              <w:bottom w:w="0" w:type="dxa"/>
              <w:right w:w="100" w:type="dxa"/>
            </w:tcMar>
            <w:vAlign w:val="center"/>
          </w:tcPr>
          <w:p w14:paraId="77B1C76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1,1-3,9 (</w:t>
            </w:r>
            <w:r w:rsidRPr="002C07D9">
              <w:rPr>
                <w:rFonts w:ascii="Times New Roman" w:eastAsia="Times New Roman" w:hAnsi="Times New Roman" w:cs="Courier New"/>
                <w:color w:val="000000"/>
                <w:kern w:val="0"/>
                <w:vertAlign w:val="superscript"/>
                <w:lang w:eastAsia="tr-TR"/>
                <w14:ligatures w14:val="none"/>
              </w:rPr>
              <w:t>2</w:t>
            </w:r>
            <w:r w:rsidRPr="002C07D9">
              <w:rPr>
                <w:rFonts w:ascii="Times New Roman" w:eastAsia="Times New Roman" w:hAnsi="Times New Roman" w:cs="Courier New"/>
                <w:color w:val="000000"/>
                <w:kern w:val="0"/>
                <w:lang w:eastAsia="tr-TR"/>
                <w14:ligatures w14:val="none"/>
              </w:rPr>
              <w:t>)</w:t>
            </w:r>
          </w:p>
        </w:tc>
      </w:tr>
      <w:tr w:rsidR="003B155E" w:rsidRPr="002C07D9" w14:paraId="4BF3BAAF" w14:textId="77777777" w:rsidTr="000D79D6">
        <w:trPr>
          <w:trHeight w:val="517"/>
        </w:trPr>
        <w:tc>
          <w:tcPr>
            <w:tcW w:w="8835" w:type="dxa"/>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14:paraId="357D664F"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Hammadde miktarı brüt tonajı ifade eder.</w:t>
            </w:r>
          </w:p>
          <w:p w14:paraId="26CAC4FC"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2</w:t>
            </w:r>
            <w:r w:rsidRPr="002C07D9">
              <w:rPr>
                <w:rFonts w:ascii="Times New Roman" w:eastAsia="Times New Roman" w:hAnsi="Times New Roman" w:cs="Courier New"/>
                <w:color w:val="000000"/>
                <w:kern w:val="0"/>
                <w:sz w:val="20"/>
                <w:szCs w:val="20"/>
                <w:lang w:eastAsia="tr-TR"/>
                <w14:ligatures w14:val="none"/>
              </w:rPr>
              <w:t>) Spesifik atıksu deşarj seviyesi poliol üretimi için geçerli değildir.</w:t>
            </w:r>
          </w:p>
        </w:tc>
      </w:tr>
    </w:tbl>
    <w:p w14:paraId="604D9BD2"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1C5FB5BC"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12.3. Hava Emisyonları</w:t>
      </w:r>
    </w:p>
    <w:p w14:paraId="1ECBBD19"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Courier New"/>
          <w:b/>
          <w:bCs/>
          <w:color w:val="000000"/>
          <w:kern w:val="0"/>
          <w:sz w:val="24"/>
          <w:szCs w:val="24"/>
          <w:lang w:eastAsia="tr-TR"/>
          <w14:ligatures w14:val="none"/>
        </w:rPr>
        <w:t xml:space="preserve">MET 34: </w:t>
      </w:r>
      <w:r w:rsidRPr="002C07D9">
        <w:rPr>
          <w:rFonts w:ascii="Times New Roman" w:eastAsia="Times New Roman" w:hAnsi="Times New Roman" w:cs="Courier New"/>
          <w:bCs/>
          <w:color w:val="000000"/>
          <w:kern w:val="0"/>
          <w:sz w:val="24"/>
          <w:szCs w:val="24"/>
          <w:lang w:eastAsia="tr-TR"/>
          <w14:ligatures w14:val="none"/>
        </w:rPr>
        <w:t xml:space="preserve">Nişasta, protein ve lif kurutmadan kaynaklanan havaya yönlendirilen toz </w:t>
      </w:r>
      <w:r w:rsidRPr="002C07D9">
        <w:rPr>
          <w:rFonts w:ascii="Times New Roman" w:eastAsia="Times New Roman" w:hAnsi="Times New Roman" w:cs="Courier New"/>
          <w:bCs/>
          <w:color w:val="000000"/>
          <w:kern w:val="0"/>
          <w:sz w:val="24"/>
          <w:szCs w:val="24"/>
          <w:lang w:eastAsia="tr-TR"/>
          <w14:ligatures w14:val="none"/>
        </w:rPr>
        <w:lastRenderedPageBreak/>
        <w:t>emisyonlarını azaltmak için, aşağıda verilen tekniklerden biri veya birkaçı kullanılır.</w:t>
      </w:r>
    </w:p>
    <w:tbl>
      <w:tblPr>
        <w:tblStyle w:val="TabloKlavuzu10"/>
        <w:tblW w:w="9355" w:type="dxa"/>
        <w:tblLook w:val="04A0" w:firstRow="1" w:lastRow="0" w:firstColumn="1" w:lastColumn="0" w:noHBand="0" w:noVBand="1"/>
      </w:tblPr>
      <w:tblGrid>
        <w:gridCol w:w="473"/>
        <w:gridCol w:w="1365"/>
        <w:gridCol w:w="1985"/>
        <w:gridCol w:w="5532"/>
      </w:tblGrid>
      <w:tr w:rsidR="003B155E" w:rsidRPr="002C07D9" w14:paraId="07803BFB" w14:textId="77777777" w:rsidTr="00541520">
        <w:tc>
          <w:tcPr>
            <w:tcW w:w="1838" w:type="dxa"/>
            <w:gridSpan w:val="2"/>
          </w:tcPr>
          <w:p w14:paraId="09222CB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1985" w:type="dxa"/>
          </w:tcPr>
          <w:p w14:paraId="7F1A5100"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c>
          <w:tcPr>
            <w:tcW w:w="5532" w:type="dxa"/>
          </w:tcPr>
          <w:p w14:paraId="2FA27C1D"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355BD6E0" w14:textId="77777777" w:rsidTr="00541520">
        <w:tc>
          <w:tcPr>
            <w:tcW w:w="473" w:type="dxa"/>
          </w:tcPr>
          <w:p w14:paraId="5D89BEAF"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365" w:type="dxa"/>
          </w:tcPr>
          <w:p w14:paraId="086529C0" w14:textId="77777777" w:rsidR="003B155E" w:rsidRPr="002C07D9" w:rsidRDefault="003B155E" w:rsidP="000D79D6">
            <w:pPr>
              <w:widowControl w:val="0"/>
              <w:shd w:val="clear" w:color="auto" w:fill="FFFFFF"/>
              <w:ind w:hanging="14"/>
              <w:jc w:val="both"/>
              <w:rPr>
                <w:rFonts w:ascii="Times New Roman" w:hAnsi="Times New Roman" w:cs="Times New Roman"/>
                <w:color w:val="000000"/>
              </w:rPr>
            </w:pPr>
            <w:r w:rsidRPr="002C07D9">
              <w:rPr>
                <w:rFonts w:ascii="Times New Roman" w:hAnsi="Times New Roman" w:cs="Times New Roman"/>
                <w:color w:val="000000"/>
              </w:rPr>
              <w:t>Torba filtre</w:t>
            </w:r>
          </w:p>
        </w:tc>
        <w:tc>
          <w:tcPr>
            <w:tcW w:w="1985" w:type="dxa"/>
            <w:vMerge w:val="restart"/>
          </w:tcPr>
          <w:p w14:paraId="2BFF6CFD" w14:textId="77777777" w:rsidR="003B155E" w:rsidRPr="002C07D9" w:rsidRDefault="003B155E" w:rsidP="000D79D6">
            <w:pPr>
              <w:pBdr>
                <w:top w:val="nil"/>
                <w:left w:val="nil"/>
                <w:bottom w:val="nil"/>
                <w:right w:val="nil"/>
                <w:between w:val="nil"/>
              </w:pBdr>
              <w:ind w:left="38"/>
              <w:jc w:val="both"/>
              <w:rPr>
                <w:rFonts w:ascii="Times New Roman" w:hAnsi="Times New Roman" w:cs="Times New Roman"/>
                <w:color w:val="000000"/>
              </w:rPr>
            </w:pPr>
            <w:r w:rsidRPr="002C07D9">
              <w:rPr>
                <w:rFonts w:ascii="Times New Roman" w:hAnsi="Times New Roman"/>
                <w:color w:val="000000"/>
              </w:rPr>
              <w:t>Bkz. bölüm 14.2</w:t>
            </w:r>
          </w:p>
        </w:tc>
        <w:tc>
          <w:tcPr>
            <w:tcW w:w="5532" w:type="dxa"/>
            <w:vAlign w:val="center"/>
          </w:tcPr>
          <w:p w14:paraId="0104EF45"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Yapışkan tozun azaltılması için geçerli olmayabilir.</w:t>
            </w:r>
          </w:p>
        </w:tc>
      </w:tr>
      <w:tr w:rsidR="003B155E" w:rsidRPr="002C07D9" w14:paraId="284A6714" w14:textId="77777777" w:rsidTr="00541520">
        <w:tc>
          <w:tcPr>
            <w:tcW w:w="473" w:type="dxa"/>
          </w:tcPr>
          <w:p w14:paraId="1F4F1AAE"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365" w:type="dxa"/>
          </w:tcPr>
          <w:p w14:paraId="38BF593E"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Siklon</w:t>
            </w:r>
          </w:p>
        </w:tc>
        <w:tc>
          <w:tcPr>
            <w:tcW w:w="1985" w:type="dxa"/>
            <w:vMerge/>
          </w:tcPr>
          <w:p w14:paraId="1FCF816B" w14:textId="77777777" w:rsidR="003B155E" w:rsidRPr="002C07D9" w:rsidRDefault="003B155E" w:rsidP="000D79D6">
            <w:pPr>
              <w:pBdr>
                <w:top w:val="nil"/>
                <w:left w:val="nil"/>
                <w:bottom w:val="nil"/>
                <w:right w:val="nil"/>
                <w:between w:val="nil"/>
              </w:pBdr>
              <w:ind w:left="29"/>
              <w:contextualSpacing/>
              <w:jc w:val="both"/>
              <w:rPr>
                <w:rFonts w:ascii="Times New Roman" w:hAnsi="Times New Roman" w:cs="Times New Roman"/>
                <w:color w:val="000000"/>
                <w:spacing w:val="2"/>
                <w:position w:val="-1"/>
                <w:lang w:val="en-US"/>
              </w:rPr>
            </w:pPr>
          </w:p>
        </w:tc>
        <w:tc>
          <w:tcPr>
            <w:tcW w:w="5532" w:type="dxa"/>
            <w:vMerge w:val="restart"/>
          </w:tcPr>
          <w:p w14:paraId="76A4B897"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192929B8" w14:textId="77777777" w:rsidTr="00541520">
        <w:tc>
          <w:tcPr>
            <w:tcW w:w="473" w:type="dxa"/>
          </w:tcPr>
          <w:p w14:paraId="4961253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365" w:type="dxa"/>
          </w:tcPr>
          <w:p w14:paraId="2EDE46C4"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Yaş yıkayıcı</w:t>
            </w:r>
          </w:p>
        </w:tc>
        <w:tc>
          <w:tcPr>
            <w:tcW w:w="1985" w:type="dxa"/>
            <w:vMerge/>
          </w:tcPr>
          <w:p w14:paraId="204D8A1F" w14:textId="77777777" w:rsidR="003B155E" w:rsidRPr="002C07D9" w:rsidRDefault="003B155E" w:rsidP="000D79D6">
            <w:pPr>
              <w:pBdr>
                <w:top w:val="nil"/>
                <w:left w:val="nil"/>
                <w:bottom w:val="nil"/>
                <w:right w:val="nil"/>
                <w:between w:val="nil"/>
              </w:pBdr>
              <w:ind w:left="28"/>
              <w:jc w:val="both"/>
              <w:rPr>
                <w:rFonts w:ascii="Times New Roman" w:hAnsi="Times New Roman" w:cs="Times New Roman"/>
                <w:color w:val="000000"/>
              </w:rPr>
            </w:pPr>
          </w:p>
        </w:tc>
        <w:tc>
          <w:tcPr>
            <w:tcW w:w="5532" w:type="dxa"/>
            <w:vMerge/>
          </w:tcPr>
          <w:p w14:paraId="59B89496" w14:textId="77777777" w:rsidR="003B155E" w:rsidRPr="002C07D9" w:rsidRDefault="003B155E" w:rsidP="000D79D6">
            <w:pPr>
              <w:widowControl w:val="0"/>
              <w:tabs>
                <w:tab w:val="left" w:pos="562"/>
              </w:tabs>
              <w:jc w:val="both"/>
              <w:rPr>
                <w:rFonts w:ascii="Times New Roman" w:hAnsi="Times New Roman" w:cs="Times New Roman"/>
                <w:color w:val="000000"/>
              </w:rPr>
            </w:pPr>
          </w:p>
        </w:tc>
      </w:tr>
    </w:tbl>
    <w:p w14:paraId="5B32288C" w14:textId="77777777" w:rsidR="003B155E" w:rsidRPr="002C07D9" w:rsidRDefault="003B155E" w:rsidP="0096283A">
      <w:pPr>
        <w:widowControl w:val="0"/>
        <w:spacing w:after="0" w:line="276" w:lineRule="auto"/>
        <w:jc w:val="center"/>
        <w:rPr>
          <w:rFonts w:ascii="Times New Roman" w:eastAsia="Times New Roman" w:hAnsi="Times New Roman" w:cs="Times New Roman"/>
          <w:color w:val="000000"/>
          <w:kern w:val="0"/>
          <w:sz w:val="24"/>
          <w:szCs w:val="24"/>
          <w:lang w:eastAsia="tr-TR"/>
          <w14:ligatures w14:val="none"/>
        </w:rPr>
      </w:pPr>
    </w:p>
    <w:p w14:paraId="2E4A5F3F" w14:textId="77777777" w:rsidR="003B155E" w:rsidRPr="002C07D9" w:rsidRDefault="003B155E" w:rsidP="0096283A">
      <w:pPr>
        <w:widowControl w:val="0"/>
        <w:spacing w:after="0" w:line="276" w:lineRule="auto"/>
        <w:jc w:val="center"/>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Tablo 27</w:t>
      </w:r>
    </w:p>
    <w:p w14:paraId="7634CC4D" w14:textId="78163C9E" w:rsidR="003B155E"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Nişasta, protein ve lif kurutmadan havaya yayılan toz emisyonları için MET ile ilişkili emisyon seviyeleri (MET-İES).</w:t>
      </w:r>
    </w:p>
    <w:p w14:paraId="08206586" w14:textId="5DE37D5A" w:rsidR="0096283A" w:rsidRDefault="0096283A"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406"/>
        <w:gridCol w:w="1814"/>
        <w:gridCol w:w="2252"/>
        <w:gridCol w:w="2580"/>
      </w:tblGrid>
      <w:tr w:rsidR="003B155E" w:rsidRPr="002C07D9" w14:paraId="54CC876E" w14:textId="77777777" w:rsidTr="000D79D6">
        <w:trPr>
          <w:trHeight w:val="540"/>
          <w:jc w:val="center"/>
        </w:trPr>
        <w:tc>
          <w:tcPr>
            <w:tcW w:w="1329" w:type="pct"/>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28E8CB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1002" w:type="pct"/>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1B88A1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669" w:type="pct"/>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6F957C4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 (örnekleme dönemindeki ortalama)</w:t>
            </w:r>
          </w:p>
        </w:tc>
      </w:tr>
      <w:tr w:rsidR="003B155E" w:rsidRPr="002C07D9" w14:paraId="74EB8FC1" w14:textId="77777777" w:rsidTr="000D79D6">
        <w:trPr>
          <w:trHeight w:val="285"/>
          <w:jc w:val="center"/>
        </w:trPr>
        <w:tc>
          <w:tcPr>
            <w:tcW w:w="1329" w:type="pct"/>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5745B41"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1002" w:type="pct"/>
            <w:vMerge/>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BDDB3B8" w14:textId="77777777" w:rsidR="003B155E" w:rsidRPr="002C07D9" w:rsidRDefault="003B155E" w:rsidP="000D79D6">
            <w:pPr>
              <w:widowControl w:val="0"/>
              <w:spacing w:after="0" w:line="240" w:lineRule="auto"/>
              <w:jc w:val="both"/>
              <w:rPr>
                <w:rFonts w:ascii="Times New Roman" w:eastAsia="Times New Roman" w:hAnsi="Times New Roman" w:cs="Courier New"/>
                <w:color w:val="000000"/>
                <w:kern w:val="0"/>
                <w:lang w:eastAsia="tr-TR"/>
                <w14:ligatures w14:val="none"/>
              </w:rPr>
            </w:pPr>
          </w:p>
        </w:tc>
        <w:tc>
          <w:tcPr>
            <w:tcW w:w="1244"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23444AED"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Yeni Tesisler</w:t>
            </w:r>
          </w:p>
        </w:tc>
        <w:tc>
          <w:tcPr>
            <w:tcW w:w="1425" w:type="pct"/>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center"/>
          </w:tcPr>
          <w:p w14:paraId="0DFB189A"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Mevcut Tesisler</w:t>
            </w:r>
          </w:p>
        </w:tc>
      </w:tr>
      <w:tr w:rsidR="003B155E" w:rsidRPr="002C07D9" w14:paraId="3B7135AB" w14:textId="77777777" w:rsidTr="000D79D6">
        <w:trPr>
          <w:trHeight w:val="450"/>
          <w:jc w:val="center"/>
        </w:trPr>
        <w:tc>
          <w:tcPr>
            <w:tcW w:w="1329" w:type="pct"/>
            <w:tcBorders>
              <w:top w:val="nil"/>
              <w:left w:val="single" w:sz="8" w:space="0" w:color="000000"/>
              <w:bottom w:val="single" w:sz="4" w:space="0" w:color="auto"/>
              <w:right w:val="single" w:sz="8" w:space="0" w:color="000000"/>
            </w:tcBorders>
            <w:shd w:val="clear" w:color="auto" w:fill="auto"/>
            <w:tcMar>
              <w:top w:w="0" w:type="dxa"/>
              <w:left w:w="100" w:type="dxa"/>
              <w:bottom w:w="0" w:type="dxa"/>
              <w:right w:w="100" w:type="dxa"/>
            </w:tcMar>
            <w:vAlign w:val="center"/>
          </w:tcPr>
          <w:p w14:paraId="0BF6C7B7"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1002"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155880D7"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1244"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7F5364E9"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&lt; 2-5</w:t>
            </w:r>
            <w:r w:rsidRPr="002C07D9">
              <w:rPr>
                <w:rFonts w:ascii="Times New Roman" w:eastAsia="Times New Roman" w:hAnsi="Times New Roman" w:cs="Courier New"/>
                <w:color w:val="000000"/>
                <w:kern w:val="0"/>
                <w:vertAlign w:val="superscript"/>
                <w:lang w:eastAsia="tr-TR"/>
                <w14:ligatures w14:val="none"/>
              </w:rPr>
              <w:t xml:space="preserve"> (1)</w:t>
            </w:r>
          </w:p>
        </w:tc>
        <w:tc>
          <w:tcPr>
            <w:tcW w:w="1425" w:type="pct"/>
            <w:tcBorders>
              <w:top w:val="nil"/>
              <w:left w:val="nil"/>
              <w:bottom w:val="single" w:sz="4" w:space="0" w:color="auto"/>
              <w:right w:val="single" w:sz="8" w:space="0" w:color="000000"/>
            </w:tcBorders>
            <w:shd w:val="clear" w:color="auto" w:fill="auto"/>
            <w:tcMar>
              <w:top w:w="0" w:type="dxa"/>
              <w:left w:w="100" w:type="dxa"/>
              <w:bottom w:w="0" w:type="dxa"/>
              <w:right w:w="100" w:type="dxa"/>
            </w:tcMar>
            <w:vAlign w:val="center"/>
          </w:tcPr>
          <w:p w14:paraId="3D53305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&lt; 2-10</w:t>
            </w:r>
            <w:r w:rsidRPr="002C07D9">
              <w:rPr>
                <w:rFonts w:ascii="Times New Roman" w:eastAsia="Times New Roman" w:hAnsi="Times New Roman" w:cs="Courier New"/>
                <w:color w:val="000000"/>
                <w:kern w:val="0"/>
                <w:vertAlign w:val="superscript"/>
                <w:lang w:eastAsia="tr-TR"/>
                <w14:ligatures w14:val="none"/>
              </w:rPr>
              <w:t xml:space="preserve"> (1)</w:t>
            </w:r>
          </w:p>
        </w:tc>
      </w:tr>
      <w:tr w:rsidR="003B155E" w:rsidRPr="002C07D9" w14:paraId="7933A064" w14:textId="77777777" w:rsidTr="000D79D6">
        <w:trPr>
          <w:trHeight w:val="450"/>
          <w:jc w:val="center"/>
        </w:trPr>
        <w:tc>
          <w:tcPr>
            <w:tcW w:w="5000" w:type="pct"/>
            <w:gridSpan w:val="4"/>
            <w:tcBorders>
              <w:top w:val="single" w:sz="4" w:space="0" w:color="auto"/>
              <w:left w:val="single" w:sz="8" w:space="0" w:color="000000"/>
              <w:bottom w:val="single" w:sz="8" w:space="0" w:color="000000"/>
              <w:right w:val="single" w:sz="8" w:space="0" w:color="000000"/>
            </w:tcBorders>
            <w:shd w:val="clear" w:color="auto" w:fill="auto"/>
            <w:tcMar>
              <w:top w:w="0" w:type="dxa"/>
              <w:left w:w="100" w:type="dxa"/>
              <w:bottom w:w="0" w:type="dxa"/>
              <w:right w:w="100" w:type="dxa"/>
            </w:tcMar>
            <w:vAlign w:val="center"/>
          </w:tcPr>
          <w:p w14:paraId="0124BB57"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Torba filtre uygulanmadığında, aralığın üst ucu 20 mg/Nm</w:t>
            </w:r>
            <w:r w:rsidRPr="002C07D9">
              <w:rPr>
                <w:rFonts w:ascii="Times New Roman" w:eastAsia="Times New Roman" w:hAnsi="Times New Roman" w:cs="Courier New"/>
                <w:color w:val="000000"/>
                <w:kern w:val="0"/>
                <w:sz w:val="20"/>
                <w:szCs w:val="20"/>
                <w:vertAlign w:val="superscript"/>
                <w:lang w:eastAsia="tr-TR"/>
                <w14:ligatures w14:val="none"/>
              </w:rPr>
              <w:t>3</w:t>
            </w:r>
            <w:r w:rsidRPr="002C07D9">
              <w:rPr>
                <w:rFonts w:ascii="Times New Roman" w:eastAsia="Times New Roman" w:hAnsi="Times New Roman" w:cs="Courier New"/>
                <w:color w:val="000000"/>
                <w:kern w:val="0"/>
                <w:sz w:val="20"/>
                <w:szCs w:val="20"/>
                <w:lang w:eastAsia="tr-TR"/>
                <w14:ligatures w14:val="none"/>
              </w:rPr>
              <w:t>’tür.</w:t>
            </w:r>
          </w:p>
        </w:tc>
      </w:tr>
    </w:tbl>
    <w:p w14:paraId="4C9D077A"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3F34AEF5"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İlgili izleme MET 5’te verilmiştir.</w:t>
      </w:r>
    </w:p>
    <w:p w14:paraId="6328CC76"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2F38B471"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13. Şeker Üretimi İçin MET Sonuçları</w:t>
      </w:r>
    </w:p>
    <w:p w14:paraId="2D6F2A45"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color w:val="000000"/>
          <w:kern w:val="0"/>
          <w:sz w:val="24"/>
          <w:szCs w:val="24"/>
          <w:lang w:eastAsia="tr-TR"/>
          <w14:ligatures w14:val="none"/>
        </w:rPr>
        <w:t>Bu bölümde sunulan MET sonuçları şeker üretimi için geçerlidir. Bunlar, Bölüm 1’de verilen genel MET sonuçlarına ek olarak geçerlidir.</w:t>
      </w:r>
    </w:p>
    <w:p w14:paraId="1CB55D07"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p>
    <w:p w14:paraId="74BEA5B7"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13.1. Enerji Verimliliği</w:t>
      </w:r>
    </w:p>
    <w:p w14:paraId="50E844F5" w14:textId="77777777" w:rsidR="003B155E" w:rsidRPr="002C07D9" w:rsidRDefault="003B155E" w:rsidP="003B155E">
      <w:pPr>
        <w:widowControl w:val="0"/>
        <w:spacing w:after="0" w:line="276" w:lineRule="auto"/>
        <w:jc w:val="both"/>
        <w:rPr>
          <w:rFonts w:ascii="Times New Roman" w:eastAsia="Times New Roman" w:hAnsi="Times New Roman" w:cs="Times New Roman"/>
          <w:color w:val="000000"/>
          <w:kern w:val="0"/>
          <w:sz w:val="24"/>
          <w:szCs w:val="24"/>
          <w:lang w:eastAsia="tr-TR"/>
          <w14:ligatures w14:val="none"/>
        </w:rPr>
      </w:pPr>
      <w:r w:rsidRPr="002C07D9">
        <w:rPr>
          <w:rFonts w:ascii="Times New Roman" w:eastAsia="Times New Roman" w:hAnsi="Times New Roman" w:cs="Times New Roman"/>
          <w:b/>
          <w:bCs/>
          <w:color w:val="000000"/>
          <w:kern w:val="0"/>
          <w:sz w:val="24"/>
          <w:szCs w:val="24"/>
          <w:lang w:eastAsia="tr-TR"/>
          <w14:ligatures w14:val="none"/>
        </w:rPr>
        <w:t xml:space="preserve">MET 35: </w:t>
      </w:r>
      <w:r w:rsidRPr="002C07D9">
        <w:rPr>
          <w:rFonts w:ascii="Times New Roman" w:eastAsia="Times New Roman" w:hAnsi="Times New Roman" w:cs="Times New Roman"/>
          <w:color w:val="000000"/>
          <w:kern w:val="0"/>
          <w:sz w:val="24"/>
          <w:szCs w:val="24"/>
          <w:lang w:eastAsia="tr-TR"/>
          <w14:ligatures w14:val="none"/>
        </w:rPr>
        <w:t>Enerji verimliliğini artırmak için, MET 6’da belirtilen tekniklerin uygun bir kombinasyonu ve aşağıda verilen tekniklerden biri veya bir kombinasyonu kullanılır.</w:t>
      </w:r>
    </w:p>
    <w:tbl>
      <w:tblPr>
        <w:tblStyle w:val="TabloKlavuzu10"/>
        <w:tblW w:w="9355" w:type="dxa"/>
        <w:tblLook w:val="04A0" w:firstRow="1" w:lastRow="0" w:firstColumn="1" w:lastColumn="0" w:noHBand="0" w:noVBand="1"/>
      </w:tblPr>
      <w:tblGrid>
        <w:gridCol w:w="451"/>
        <w:gridCol w:w="1951"/>
        <w:gridCol w:w="3650"/>
        <w:gridCol w:w="3303"/>
      </w:tblGrid>
      <w:tr w:rsidR="003B155E" w:rsidRPr="002C07D9" w14:paraId="1910E401" w14:textId="77777777" w:rsidTr="000D79D6">
        <w:tc>
          <w:tcPr>
            <w:tcW w:w="2405" w:type="dxa"/>
            <w:gridSpan w:val="2"/>
          </w:tcPr>
          <w:p w14:paraId="79AA3EFF"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3650" w:type="dxa"/>
          </w:tcPr>
          <w:p w14:paraId="133FAE3B"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c>
          <w:tcPr>
            <w:tcW w:w="0" w:type="auto"/>
          </w:tcPr>
          <w:p w14:paraId="0D0BCF00"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47004C0A" w14:textId="77777777" w:rsidTr="000D79D6">
        <w:tc>
          <w:tcPr>
            <w:tcW w:w="0" w:type="auto"/>
          </w:tcPr>
          <w:p w14:paraId="3807CC43"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(a)</w:t>
            </w:r>
          </w:p>
        </w:tc>
        <w:tc>
          <w:tcPr>
            <w:tcW w:w="1932" w:type="dxa"/>
          </w:tcPr>
          <w:p w14:paraId="1E33EE46" w14:textId="77777777" w:rsidR="003B155E" w:rsidRPr="002C07D9" w:rsidRDefault="003B155E" w:rsidP="000D79D6">
            <w:pPr>
              <w:widowControl w:val="0"/>
              <w:shd w:val="clear" w:color="auto" w:fill="FFFFFF"/>
              <w:jc w:val="both"/>
              <w:rPr>
                <w:rFonts w:ascii="Times New Roman" w:hAnsi="Times New Roman" w:cs="Times New Roman"/>
                <w:color w:val="000000"/>
              </w:rPr>
            </w:pPr>
            <w:r w:rsidRPr="002C07D9">
              <w:rPr>
                <w:rFonts w:ascii="Times New Roman" w:hAnsi="Times New Roman" w:cs="Times New Roman"/>
                <w:color w:val="000000"/>
              </w:rPr>
              <w:t>Pancar posasının preslenmesi</w:t>
            </w:r>
          </w:p>
        </w:tc>
        <w:tc>
          <w:tcPr>
            <w:tcW w:w="3650" w:type="dxa"/>
          </w:tcPr>
          <w:p w14:paraId="4948B54B" w14:textId="77777777" w:rsidR="003B155E" w:rsidRPr="002C07D9" w:rsidRDefault="003B155E" w:rsidP="000D79D6">
            <w:pPr>
              <w:pBdr>
                <w:top w:val="nil"/>
                <w:left w:val="nil"/>
                <w:bottom w:val="nil"/>
                <w:right w:val="nil"/>
                <w:between w:val="nil"/>
              </w:pBdr>
              <w:jc w:val="both"/>
              <w:rPr>
                <w:rFonts w:ascii="Times New Roman" w:hAnsi="Times New Roman" w:cs="Times New Roman"/>
                <w:color w:val="000000"/>
              </w:rPr>
            </w:pPr>
            <w:r w:rsidRPr="002C07D9">
              <w:rPr>
                <w:rFonts w:ascii="Times New Roman" w:hAnsi="Times New Roman"/>
                <w:color w:val="000000"/>
              </w:rPr>
              <w:t>Pancar posası genellikle %25-32 ağırlık oranında kuru madde içeriğine kadar preslenmektedir.</w:t>
            </w:r>
          </w:p>
        </w:tc>
        <w:tc>
          <w:tcPr>
            <w:tcW w:w="0" w:type="auto"/>
          </w:tcPr>
          <w:p w14:paraId="055FCB20"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1E6F9191" w14:textId="77777777" w:rsidTr="000D79D6">
        <w:tc>
          <w:tcPr>
            <w:tcW w:w="0" w:type="auto"/>
          </w:tcPr>
          <w:p w14:paraId="7171E50F"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932" w:type="dxa"/>
          </w:tcPr>
          <w:p w14:paraId="396D70F4"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Pancar posasının dolaylı kurutulması (Buharla Kurutma)</w:t>
            </w:r>
          </w:p>
        </w:tc>
        <w:tc>
          <w:tcPr>
            <w:tcW w:w="3650" w:type="dxa"/>
          </w:tcPr>
          <w:p w14:paraId="369307E6" w14:textId="77777777" w:rsidR="003B155E" w:rsidRPr="002C07D9" w:rsidRDefault="003B155E" w:rsidP="000D79D6">
            <w:pPr>
              <w:pBdr>
                <w:top w:val="nil"/>
                <w:left w:val="nil"/>
                <w:bottom w:val="nil"/>
                <w:right w:val="nil"/>
                <w:between w:val="nil"/>
              </w:pBdr>
              <w:contextualSpacing/>
              <w:jc w:val="both"/>
              <w:rPr>
                <w:rFonts w:ascii="Times New Roman" w:hAnsi="Times New Roman" w:cs="Times New Roman"/>
                <w:color w:val="000000"/>
                <w:spacing w:val="2"/>
                <w:position w:val="-1"/>
              </w:rPr>
            </w:pPr>
            <w:r w:rsidRPr="002C07D9">
              <w:rPr>
                <w:rFonts w:ascii="Times New Roman" w:hAnsi="Times New Roman" w:cs="Times New Roman"/>
                <w:color w:val="000000"/>
                <w:spacing w:val="2"/>
                <w:position w:val="-1"/>
              </w:rPr>
              <w:t>Aşırı ısıtılmış buhar kullanılarak pancar posasının kurutulmaktadır.</w:t>
            </w:r>
          </w:p>
        </w:tc>
        <w:tc>
          <w:tcPr>
            <w:tcW w:w="0" w:type="auto"/>
          </w:tcPr>
          <w:p w14:paraId="41A2D26E"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Enerji tesislerinin tamamen yeniden inşasına ihtiyaç duyulması nedeniyle mevcut tesislere uygulanamayabilir.</w:t>
            </w:r>
          </w:p>
        </w:tc>
      </w:tr>
      <w:tr w:rsidR="003B155E" w:rsidRPr="002C07D9" w14:paraId="727DC991" w14:textId="77777777" w:rsidTr="000D79D6">
        <w:tc>
          <w:tcPr>
            <w:tcW w:w="0" w:type="auto"/>
          </w:tcPr>
          <w:p w14:paraId="393025B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932" w:type="dxa"/>
          </w:tcPr>
          <w:p w14:paraId="0723C69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Pancar posasının güneş enerjisiyle kurutulması</w:t>
            </w:r>
          </w:p>
        </w:tc>
        <w:tc>
          <w:tcPr>
            <w:tcW w:w="3650" w:type="dxa"/>
          </w:tcPr>
          <w:p w14:paraId="0286FC15" w14:textId="77777777" w:rsidR="003B155E" w:rsidRPr="002C07D9" w:rsidRDefault="003B155E" w:rsidP="000D79D6">
            <w:pPr>
              <w:pBdr>
                <w:top w:val="nil"/>
                <w:left w:val="nil"/>
                <w:bottom w:val="nil"/>
                <w:right w:val="nil"/>
                <w:between w:val="nil"/>
              </w:pBdr>
              <w:jc w:val="both"/>
              <w:rPr>
                <w:rFonts w:ascii="Times New Roman" w:hAnsi="Times New Roman" w:cs="Times New Roman"/>
                <w:color w:val="000000"/>
              </w:rPr>
            </w:pPr>
            <w:r w:rsidRPr="002C07D9">
              <w:rPr>
                <w:rFonts w:ascii="Times New Roman" w:hAnsi="Times New Roman"/>
                <w:color w:val="000000"/>
              </w:rPr>
              <w:t>Pancar posasını kurutmak için güneş enerjisi kullanımı.</w:t>
            </w:r>
          </w:p>
        </w:tc>
        <w:tc>
          <w:tcPr>
            <w:tcW w:w="0" w:type="auto"/>
          </w:tcPr>
          <w:p w14:paraId="0F8167F5" w14:textId="77777777" w:rsidR="003B155E" w:rsidRPr="002C07D9" w:rsidRDefault="003B155E" w:rsidP="000D79D6">
            <w:pPr>
              <w:widowControl w:val="0"/>
              <w:shd w:val="clear" w:color="auto" w:fill="FFFFFF"/>
              <w:tabs>
                <w:tab w:val="left" w:pos="562"/>
              </w:tabs>
              <w:jc w:val="both"/>
              <w:rPr>
                <w:rFonts w:ascii="Times New Roman" w:hAnsi="Times New Roman" w:cs="Times New Roman"/>
                <w:color w:val="000000"/>
              </w:rPr>
            </w:pPr>
            <w:r w:rsidRPr="002C07D9">
              <w:rPr>
                <w:rFonts w:ascii="Times New Roman" w:hAnsi="Times New Roman" w:cs="Times New Roman"/>
                <w:color w:val="000000"/>
              </w:rPr>
              <w:t>Yerel iklim koşulları ve/veya alan yetersizliği nedeniyle uygulanamayabilir.</w:t>
            </w:r>
          </w:p>
        </w:tc>
      </w:tr>
      <w:tr w:rsidR="003B155E" w:rsidRPr="002C07D9" w14:paraId="1B324471" w14:textId="77777777" w:rsidTr="000D79D6">
        <w:tc>
          <w:tcPr>
            <w:tcW w:w="0" w:type="auto"/>
          </w:tcPr>
          <w:p w14:paraId="5EAAACEB"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(d)</w:t>
            </w:r>
          </w:p>
        </w:tc>
        <w:tc>
          <w:tcPr>
            <w:tcW w:w="1932" w:type="dxa"/>
          </w:tcPr>
          <w:p w14:paraId="54B8AD47"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Sıcak gazların geri dönüştürülmesi</w:t>
            </w:r>
          </w:p>
        </w:tc>
        <w:tc>
          <w:tcPr>
            <w:tcW w:w="3650" w:type="dxa"/>
          </w:tcPr>
          <w:p w14:paraId="4BDC6AF0" w14:textId="77777777" w:rsidR="003B155E" w:rsidRPr="002C07D9" w:rsidRDefault="003B155E" w:rsidP="000D79D6">
            <w:pPr>
              <w:pBdr>
                <w:top w:val="nil"/>
                <w:left w:val="nil"/>
                <w:bottom w:val="nil"/>
                <w:right w:val="nil"/>
                <w:between w:val="nil"/>
              </w:pBdr>
              <w:jc w:val="both"/>
              <w:rPr>
                <w:rFonts w:ascii="Times New Roman" w:hAnsi="Times New Roman"/>
                <w:color w:val="000000"/>
              </w:rPr>
            </w:pPr>
            <w:r w:rsidRPr="002C07D9">
              <w:rPr>
                <w:rFonts w:ascii="Times New Roman" w:hAnsi="Times New Roman"/>
                <w:color w:val="000000"/>
              </w:rPr>
              <w:t>Sıcak gazların geri dönüşümü, örneğin kurutucu, kazan veya kombine ısı ve güç santralinden çıkan atık gazları kapsamaktadır.</w:t>
            </w:r>
          </w:p>
        </w:tc>
        <w:tc>
          <w:tcPr>
            <w:tcW w:w="0" w:type="auto"/>
            <w:vMerge w:val="restart"/>
            <w:vAlign w:val="center"/>
          </w:tcPr>
          <w:p w14:paraId="61FF5379"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26E428A4" w14:textId="77777777" w:rsidTr="000D79D6">
        <w:tc>
          <w:tcPr>
            <w:tcW w:w="0" w:type="auto"/>
          </w:tcPr>
          <w:p w14:paraId="727863B6"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(e)</w:t>
            </w:r>
          </w:p>
        </w:tc>
        <w:tc>
          <w:tcPr>
            <w:tcW w:w="1932" w:type="dxa"/>
          </w:tcPr>
          <w:p w14:paraId="0F9633F5"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Küspenin düşük sıcaklıkta (Ön) kurutulması.</w:t>
            </w:r>
          </w:p>
        </w:tc>
        <w:tc>
          <w:tcPr>
            <w:tcW w:w="3650" w:type="dxa"/>
          </w:tcPr>
          <w:p w14:paraId="1053F4C8" w14:textId="77777777" w:rsidR="003B155E" w:rsidRPr="002C07D9" w:rsidRDefault="003B155E" w:rsidP="000D79D6">
            <w:pPr>
              <w:pBdr>
                <w:top w:val="nil"/>
                <w:left w:val="nil"/>
                <w:bottom w:val="nil"/>
                <w:right w:val="nil"/>
                <w:between w:val="nil"/>
              </w:pBdr>
              <w:jc w:val="both"/>
              <w:rPr>
                <w:rFonts w:ascii="Times New Roman" w:hAnsi="Times New Roman"/>
                <w:color w:val="000000"/>
              </w:rPr>
            </w:pPr>
            <w:r w:rsidRPr="002C07D9">
              <w:rPr>
                <w:rFonts w:ascii="Times New Roman" w:hAnsi="Times New Roman"/>
                <w:color w:val="000000"/>
              </w:rPr>
              <w:t>Pancar posasının kurutma gazı, örneğin hava veya sıcak gaz kullanılarak doğrudan (ön) kurutulmaktadır</w:t>
            </w:r>
          </w:p>
        </w:tc>
        <w:tc>
          <w:tcPr>
            <w:tcW w:w="0" w:type="auto"/>
            <w:vMerge/>
          </w:tcPr>
          <w:p w14:paraId="7FE247A9" w14:textId="77777777" w:rsidR="003B155E" w:rsidRPr="002C07D9" w:rsidRDefault="003B155E" w:rsidP="000D79D6">
            <w:pPr>
              <w:widowControl w:val="0"/>
              <w:shd w:val="clear" w:color="auto" w:fill="FFFFFF"/>
              <w:tabs>
                <w:tab w:val="left" w:pos="562"/>
              </w:tabs>
              <w:jc w:val="both"/>
              <w:rPr>
                <w:rFonts w:ascii="Times New Roman" w:hAnsi="Times New Roman" w:cs="Times New Roman"/>
                <w:color w:val="000000"/>
              </w:rPr>
            </w:pPr>
          </w:p>
        </w:tc>
      </w:tr>
    </w:tbl>
    <w:p w14:paraId="19F7D400" w14:textId="77777777" w:rsidR="003B155E" w:rsidRPr="002C07D9" w:rsidRDefault="003B155E" w:rsidP="003B155E">
      <w:pPr>
        <w:spacing w:after="0" w:line="276" w:lineRule="auto"/>
        <w:jc w:val="both"/>
        <w:rPr>
          <w:rFonts w:ascii="Times New Roman" w:eastAsia="Times New Roman" w:hAnsi="Times New Roman" w:cs="Times New Roman"/>
          <w:color w:val="000000"/>
          <w:kern w:val="0"/>
          <w:sz w:val="24"/>
          <w:szCs w:val="24"/>
          <w:lang w:eastAsia="tr-TR"/>
          <w14:ligatures w14:val="none"/>
        </w:rPr>
      </w:pPr>
    </w:p>
    <w:p w14:paraId="538CD539" w14:textId="38FB4CE4"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28</w:t>
      </w:r>
    </w:p>
    <w:p w14:paraId="5CDCC1A6" w14:textId="13C9BD05" w:rsidR="003B155E" w:rsidRDefault="003B155E" w:rsidP="003B155E">
      <w:pPr>
        <w:widowControl w:val="0"/>
        <w:spacing w:after="0" w:line="360" w:lineRule="auto"/>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 xml:space="preserve">Spesifikenerji tüketimi için gösterge niteliğindeki çevresel performans seviyeleri. </w:t>
      </w:r>
    </w:p>
    <w:p w14:paraId="3D652E93" w14:textId="77777777" w:rsidR="00541520" w:rsidRPr="002C07D9" w:rsidRDefault="00541520" w:rsidP="003B155E">
      <w:pPr>
        <w:widowControl w:val="0"/>
        <w:spacing w:after="0" w:line="360" w:lineRule="auto"/>
        <w:rPr>
          <w:rFonts w:ascii="Times New Roman" w:eastAsia="Times New Roman" w:hAnsi="Times New Roman" w:cs="Courier New"/>
          <w:color w:val="000000"/>
          <w:kern w:val="0"/>
          <w:sz w:val="24"/>
          <w:szCs w:val="24"/>
          <w:lang w:eastAsia="tr-TR"/>
          <w14:ligatures w14:val="none"/>
        </w:rPr>
      </w:pPr>
    </w:p>
    <w:tbl>
      <w:tblPr>
        <w:tblW w:w="5000" w:type="pct"/>
        <w:tblBorders>
          <w:top w:val="nil"/>
          <w:left w:val="nil"/>
          <w:bottom w:val="nil"/>
          <w:right w:val="nil"/>
          <w:insideH w:val="nil"/>
          <w:insideV w:val="nil"/>
        </w:tblBorders>
        <w:tblLook w:val="0600" w:firstRow="0" w:lastRow="0" w:firstColumn="0" w:lastColumn="0" w:noHBand="1" w:noVBand="1"/>
      </w:tblPr>
      <w:tblGrid>
        <w:gridCol w:w="2184"/>
        <w:gridCol w:w="2127"/>
        <w:gridCol w:w="4741"/>
      </w:tblGrid>
      <w:tr w:rsidR="003B155E" w:rsidRPr="002C07D9" w14:paraId="02E12AD0" w14:textId="77777777" w:rsidTr="000D79D6">
        <w:trPr>
          <w:trHeight w:val="285"/>
        </w:trPr>
        <w:tc>
          <w:tcPr>
            <w:tcW w:w="1206"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BFDE44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lastRenderedPageBreak/>
              <w:t>Spesifik Proses</w:t>
            </w:r>
          </w:p>
        </w:tc>
        <w:tc>
          <w:tcPr>
            <w:tcW w:w="1175"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762A817A"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619"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7B62CCA"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enerji tüketimi (yıllık ortalama)</w:t>
            </w:r>
          </w:p>
        </w:tc>
      </w:tr>
      <w:tr w:rsidR="003B155E" w:rsidRPr="002C07D9" w14:paraId="4DD0EC48" w14:textId="77777777" w:rsidTr="000D79D6">
        <w:trPr>
          <w:trHeight w:val="540"/>
        </w:trPr>
        <w:tc>
          <w:tcPr>
            <w:tcW w:w="1206" w:type="pc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1334107B"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Pancar işleme</w:t>
            </w:r>
          </w:p>
        </w:tc>
        <w:tc>
          <w:tcPr>
            <w:tcW w:w="1175" w:type="pct"/>
            <w:tcBorders>
              <w:top w:val="nil"/>
              <w:left w:val="nil"/>
              <w:bottom w:val="single" w:sz="4" w:space="0" w:color="auto"/>
              <w:right w:val="single" w:sz="8" w:space="0" w:color="000000"/>
            </w:tcBorders>
            <w:tcMar>
              <w:top w:w="0" w:type="dxa"/>
              <w:left w:w="100" w:type="dxa"/>
              <w:bottom w:w="0" w:type="dxa"/>
              <w:right w:w="100" w:type="dxa"/>
            </w:tcMar>
            <w:vAlign w:val="center"/>
          </w:tcPr>
          <w:p w14:paraId="4F690AE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MWh/ton pancar</w:t>
            </w:r>
          </w:p>
        </w:tc>
        <w:tc>
          <w:tcPr>
            <w:tcW w:w="2619" w:type="pct"/>
            <w:tcBorders>
              <w:top w:val="nil"/>
              <w:left w:val="nil"/>
              <w:bottom w:val="single" w:sz="4" w:space="0" w:color="auto"/>
              <w:right w:val="single" w:sz="8" w:space="0" w:color="000000"/>
            </w:tcBorders>
            <w:tcMar>
              <w:top w:w="0" w:type="dxa"/>
              <w:left w:w="100" w:type="dxa"/>
              <w:bottom w:w="0" w:type="dxa"/>
              <w:right w:w="100" w:type="dxa"/>
            </w:tcMar>
            <w:vAlign w:val="center"/>
          </w:tcPr>
          <w:p w14:paraId="0BD38CE5"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0,15-0,40</w:t>
            </w:r>
            <w:r w:rsidRPr="002C07D9">
              <w:rPr>
                <w:rFonts w:ascii="Times New Roman" w:eastAsia="Times New Roman" w:hAnsi="Times New Roman" w:cs="Courier New"/>
                <w:color w:val="000000"/>
                <w:kern w:val="0"/>
                <w:vertAlign w:val="superscript"/>
                <w:lang w:eastAsia="tr-TR"/>
                <w14:ligatures w14:val="none"/>
              </w:rPr>
              <w:t xml:space="preserve"> (1)</w:t>
            </w:r>
          </w:p>
        </w:tc>
      </w:tr>
      <w:tr w:rsidR="003B155E" w:rsidRPr="002C07D9" w14:paraId="5FEA4F30" w14:textId="77777777" w:rsidTr="000D79D6">
        <w:trPr>
          <w:trHeight w:val="265"/>
        </w:trPr>
        <w:tc>
          <w:tcPr>
            <w:tcW w:w="5000" w:type="pct"/>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63055DBF"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Aralığın üst sınırı kireç fırınlarının ve kurutucuların enerji tüketimini içerebilir</w:t>
            </w:r>
          </w:p>
        </w:tc>
      </w:tr>
    </w:tbl>
    <w:p w14:paraId="6ECA80EA" w14:textId="77777777" w:rsidR="00CC3323" w:rsidRPr="002C07D9" w:rsidRDefault="00CC3323"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2882ED80"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13.2. Su Tüketimi ve Atıksu Deşarjı</w:t>
      </w:r>
    </w:p>
    <w:p w14:paraId="41DE09D0"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Su tüketimini ve deşarj edilen atıksu hacmini azaltmaya yönelik genel teknikler bu MET sonuçlarının 1.4 Bölümünde verilmiştir. Gösterge niteliğindeki çevresel performans seviyesi aşağıdaki tabloda sunulmuştur.</w:t>
      </w:r>
    </w:p>
    <w:p w14:paraId="7E2B40E2"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5C651383" w14:textId="1BC18BB1"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29</w:t>
      </w:r>
    </w:p>
    <w:p w14:paraId="2CAA7AB5"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Spesifik atıksu deşarjı  için gösterge niteliğindeki çevresel performans seviyeleri.</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246"/>
        <w:gridCol w:w="2247"/>
        <w:gridCol w:w="4559"/>
      </w:tblGrid>
      <w:tr w:rsidR="003B155E" w:rsidRPr="002C07D9" w14:paraId="5D59800E" w14:textId="77777777" w:rsidTr="000D79D6">
        <w:trPr>
          <w:trHeight w:val="285"/>
          <w:jc w:val="center"/>
        </w:trPr>
        <w:tc>
          <w:tcPr>
            <w:tcW w:w="1241"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3323DBC"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Proses</w:t>
            </w:r>
          </w:p>
        </w:tc>
        <w:tc>
          <w:tcPr>
            <w:tcW w:w="1241"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9770FD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518" w:type="pc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7A69972"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Spesifik atıksu deşarjı (yıllık ortalama)</w:t>
            </w:r>
          </w:p>
        </w:tc>
      </w:tr>
      <w:tr w:rsidR="003B155E" w:rsidRPr="002C07D9" w14:paraId="2810521A" w14:textId="77777777" w:rsidTr="000D79D6">
        <w:trPr>
          <w:trHeight w:val="345"/>
          <w:jc w:val="center"/>
        </w:trPr>
        <w:tc>
          <w:tcPr>
            <w:tcW w:w="1241" w:type="pc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4D928A87"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Şeker pancarı işleme</w:t>
            </w:r>
          </w:p>
        </w:tc>
        <w:tc>
          <w:tcPr>
            <w:tcW w:w="1241"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09D93709"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w:t>
            </w:r>
            <w:r w:rsidRPr="002C07D9">
              <w:rPr>
                <w:rFonts w:ascii="Times New Roman" w:eastAsia="Times New Roman" w:hAnsi="Times New Roman" w:cs="Courier New"/>
                <w:color w:val="000000"/>
                <w:kern w:val="0"/>
                <w:vertAlign w:val="superscript"/>
                <w:lang w:eastAsia="tr-TR"/>
                <w14:ligatures w14:val="none"/>
              </w:rPr>
              <w:t>3</w:t>
            </w:r>
            <w:r w:rsidRPr="002C07D9">
              <w:rPr>
                <w:rFonts w:ascii="Times New Roman" w:eastAsia="Times New Roman" w:hAnsi="Times New Roman" w:cs="Courier New"/>
                <w:color w:val="000000"/>
                <w:kern w:val="0"/>
                <w:lang w:eastAsia="tr-TR"/>
                <w14:ligatures w14:val="none"/>
              </w:rPr>
              <w:t>/ton pancar</w:t>
            </w:r>
          </w:p>
        </w:tc>
        <w:tc>
          <w:tcPr>
            <w:tcW w:w="2518" w:type="pct"/>
            <w:tcBorders>
              <w:top w:val="nil"/>
              <w:left w:val="nil"/>
              <w:bottom w:val="single" w:sz="8" w:space="0" w:color="000000"/>
              <w:right w:val="single" w:sz="8" w:space="0" w:color="000000"/>
            </w:tcBorders>
            <w:tcMar>
              <w:top w:w="0" w:type="dxa"/>
              <w:left w:w="100" w:type="dxa"/>
              <w:bottom w:w="0" w:type="dxa"/>
              <w:right w:w="100" w:type="dxa"/>
            </w:tcMar>
            <w:vAlign w:val="center"/>
          </w:tcPr>
          <w:p w14:paraId="6D210D8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0,5-1,0</w:t>
            </w:r>
          </w:p>
        </w:tc>
      </w:tr>
    </w:tbl>
    <w:p w14:paraId="152A7E7F"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1A4399D1"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13.3. Hava Emisyonları</w:t>
      </w:r>
    </w:p>
    <w:p w14:paraId="2E70ABF0"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 xml:space="preserve">MET 36: </w:t>
      </w:r>
      <w:r w:rsidRPr="002C07D9">
        <w:rPr>
          <w:rFonts w:ascii="Times New Roman" w:eastAsia="Times New Roman" w:hAnsi="Times New Roman" w:cs="Courier New"/>
          <w:bCs/>
          <w:color w:val="000000"/>
          <w:kern w:val="0"/>
          <w:sz w:val="24"/>
          <w:szCs w:val="24"/>
          <w:lang w:eastAsia="tr-TR"/>
          <w14:ligatures w14:val="none"/>
        </w:rPr>
        <w:t>Pancar posası kurutulmasından kaynaklanan havaya yönlendirilen toz emisyonlarını önlemek veya azaltmak için aşağıda verilen tekniklerden biri veya birkaçı bir arada kullanılır.</w:t>
      </w:r>
    </w:p>
    <w:p w14:paraId="3380D4D4"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tbl>
      <w:tblPr>
        <w:tblStyle w:val="TabloKlavuzu10"/>
        <w:tblW w:w="9355" w:type="dxa"/>
        <w:tblLook w:val="04A0" w:firstRow="1" w:lastRow="0" w:firstColumn="1" w:lastColumn="0" w:noHBand="0" w:noVBand="1"/>
      </w:tblPr>
      <w:tblGrid>
        <w:gridCol w:w="450"/>
        <w:gridCol w:w="2570"/>
        <w:gridCol w:w="1795"/>
        <w:gridCol w:w="4540"/>
      </w:tblGrid>
      <w:tr w:rsidR="003B155E" w:rsidRPr="002C07D9" w14:paraId="537F7235" w14:textId="77777777" w:rsidTr="000D79D6">
        <w:tc>
          <w:tcPr>
            <w:tcW w:w="0" w:type="auto"/>
            <w:gridSpan w:val="2"/>
          </w:tcPr>
          <w:p w14:paraId="70719D28"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Teknik</w:t>
            </w:r>
          </w:p>
        </w:tc>
        <w:tc>
          <w:tcPr>
            <w:tcW w:w="1795" w:type="dxa"/>
          </w:tcPr>
          <w:p w14:paraId="51A7070F"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Tanım</w:t>
            </w:r>
          </w:p>
        </w:tc>
        <w:tc>
          <w:tcPr>
            <w:tcW w:w="4540" w:type="dxa"/>
          </w:tcPr>
          <w:p w14:paraId="0FC6AA49"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64A33FD4" w14:textId="77777777" w:rsidTr="000D79D6">
        <w:tc>
          <w:tcPr>
            <w:tcW w:w="0" w:type="auto"/>
          </w:tcPr>
          <w:p w14:paraId="5B4D443A"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(a)</w:t>
            </w:r>
          </w:p>
        </w:tc>
        <w:tc>
          <w:tcPr>
            <w:tcW w:w="0" w:type="auto"/>
          </w:tcPr>
          <w:p w14:paraId="3E3F5144" w14:textId="77777777" w:rsidR="003B155E" w:rsidRPr="002C07D9" w:rsidRDefault="003B155E" w:rsidP="000D79D6">
            <w:pPr>
              <w:widowControl w:val="0"/>
              <w:shd w:val="clear" w:color="auto" w:fill="FFFFFF"/>
              <w:rPr>
                <w:rFonts w:ascii="Times New Roman" w:hAnsi="Times New Roman" w:cs="Times New Roman"/>
                <w:color w:val="000000"/>
              </w:rPr>
            </w:pPr>
            <w:r w:rsidRPr="002C07D9">
              <w:rPr>
                <w:rFonts w:ascii="Times New Roman" w:hAnsi="Times New Roman" w:cs="Times New Roman"/>
                <w:color w:val="000000"/>
              </w:rPr>
              <w:t>Gaz yakıtların kullanımı</w:t>
            </w:r>
          </w:p>
        </w:tc>
        <w:tc>
          <w:tcPr>
            <w:tcW w:w="1795" w:type="dxa"/>
            <w:vMerge w:val="restart"/>
            <w:vAlign w:val="center"/>
          </w:tcPr>
          <w:p w14:paraId="1E1D82A2" w14:textId="77777777" w:rsidR="003B155E" w:rsidRPr="002C07D9" w:rsidRDefault="003B155E" w:rsidP="000D79D6">
            <w:pPr>
              <w:pBdr>
                <w:top w:val="nil"/>
                <w:left w:val="nil"/>
                <w:bottom w:val="nil"/>
                <w:right w:val="nil"/>
                <w:between w:val="nil"/>
              </w:pBdr>
              <w:rPr>
                <w:rFonts w:ascii="Times New Roman" w:hAnsi="Times New Roman" w:cs="Times New Roman"/>
                <w:color w:val="000000"/>
              </w:rPr>
            </w:pPr>
            <w:r w:rsidRPr="002C07D9">
              <w:rPr>
                <w:rFonts w:ascii="Times New Roman" w:hAnsi="Times New Roman"/>
                <w:color w:val="000000"/>
              </w:rPr>
              <w:t>Bkz. bölüm 14.2</w:t>
            </w:r>
          </w:p>
        </w:tc>
        <w:tc>
          <w:tcPr>
            <w:tcW w:w="4540" w:type="dxa"/>
          </w:tcPr>
          <w:p w14:paraId="6D294E06"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Gaz yakıtların mevcudiyeti ile ilgili kısıtlamalar nedeniyle uygulanamayabilir.</w:t>
            </w:r>
          </w:p>
        </w:tc>
      </w:tr>
      <w:tr w:rsidR="003B155E" w:rsidRPr="002C07D9" w14:paraId="5E6FB0CC" w14:textId="77777777" w:rsidTr="000D79D6">
        <w:tc>
          <w:tcPr>
            <w:tcW w:w="0" w:type="auto"/>
          </w:tcPr>
          <w:p w14:paraId="65D48766"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(b)</w:t>
            </w:r>
          </w:p>
        </w:tc>
        <w:tc>
          <w:tcPr>
            <w:tcW w:w="0" w:type="auto"/>
          </w:tcPr>
          <w:p w14:paraId="255B36AA"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Siklon</w:t>
            </w:r>
          </w:p>
        </w:tc>
        <w:tc>
          <w:tcPr>
            <w:tcW w:w="1795" w:type="dxa"/>
            <w:vMerge/>
            <w:vAlign w:val="center"/>
          </w:tcPr>
          <w:p w14:paraId="374CCCBC" w14:textId="77777777" w:rsidR="003B155E" w:rsidRPr="002C07D9" w:rsidRDefault="003B155E" w:rsidP="000D79D6">
            <w:pPr>
              <w:pBdr>
                <w:top w:val="nil"/>
                <w:left w:val="nil"/>
                <w:bottom w:val="nil"/>
                <w:right w:val="nil"/>
                <w:between w:val="nil"/>
              </w:pBdr>
              <w:contextualSpacing/>
              <w:rPr>
                <w:rFonts w:ascii="Times New Roman" w:hAnsi="Times New Roman" w:cs="Times New Roman"/>
                <w:color w:val="000000"/>
                <w:spacing w:val="2"/>
                <w:position w:val="-1"/>
                <w:lang w:val="en-US"/>
              </w:rPr>
            </w:pPr>
          </w:p>
        </w:tc>
        <w:tc>
          <w:tcPr>
            <w:tcW w:w="4540" w:type="dxa"/>
            <w:vMerge w:val="restart"/>
          </w:tcPr>
          <w:p w14:paraId="18570BE3"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1B7449D5" w14:textId="77777777" w:rsidTr="000D79D6">
        <w:tc>
          <w:tcPr>
            <w:tcW w:w="0" w:type="auto"/>
          </w:tcPr>
          <w:p w14:paraId="7DDE57D3"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(c)</w:t>
            </w:r>
          </w:p>
        </w:tc>
        <w:tc>
          <w:tcPr>
            <w:tcW w:w="0" w:type="auto"/>
          </w:tcPr>
          <w:p w14:paraId="55DC3210"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Yaş yıkayıcı</w:t>
            </w:r>
          </w:p>
        </w:tc>
        <w:tc>
          <w:tcPr>
            <w:tcW w:w="1795" w:type="dxa"/>
            <w:vMerge/>
            <w:vAlign w:val="center"/>
          </w:tcPr>
          <w:p w14:paraId="7B7965C0" w14:textId="77777777" w:rsidR="003B155E" w:rsidRPr="002C07D9" w:rsidRDefault="003B155E" w:rsidP="000D79D6">
            <w:pPr>
              <w:pBdr>
                <w:top w:val="nil"/>
                <w:left w:val="nil"/>
                <w:bottom w:val="nil"/>
                <w:right w:val="nil"/>
                <w:between w:val="nil"/>
              </w:pBdr>
              <w:rPr>
                <w:rFonts w:ascii="Times New Roman" w:hAnsi="Times New Roman" w:cs="Times New Roman"/>
                <w:color w:val="000000"/>
              </w:rPr>
            </w:pPr>
          </w:p>
        </w:tc>
        <w:tc>
          <w:tcPr>
            <w:tcW w:w="4540" w:type="dxa"/>
            <w:vMerge/>
          </w:tcPr>
          <w:p w14:paraId="7B418410"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p>
        </w:tc>
      </w:tr>
      <w:tr w:rsidR="003B155E" w:rsidRPr="002C07D9" w14:paraId="5D417E28" w14:textId="77777777" w:rsidTr="000D79D6">
        <w:tc>
          <w:tcPr>
            <w:tcW w:w="0" w:type="auto"/>
          </w:tcPr>
          <w:p w14:paraId="57413922"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(d)</w:t>
            </w:r>
          </w:p>
        </w:tc>
        <w:tc>
          <w:tcPr>
            <w:tcW w:w="0" w:type="auto"/>
          </w:tcPr>
          <w:p w14:paraId="7C39B580"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Pancar posasının dolaylı kurutulması (buharla kurutma</w:t>
            </w:r>
          </w:p>
        </w:tc>
        <w:tc>
          <w:tcPr>
            <w:tcW w:w="1795" w:type="dxa"/>
            <w:vAlign w:val="center"/>
          </w:tcPr>
          <w:p w14:paraId="4CF4DBC5" w14:textId="77777777" w:rsidR="003B155E" w:rsidRPr="002C07D9" w:rsidRDefault="003B155E" w:rsidP="000D79D6">
            <w:pPr>
              <w:pBdr>
                <w:top w:val="nil"/>
                <w:left w:val="nil"/>
                <w:bottom w:val="nil"/>
                <w:right w:val="nil"/>
                <w:between w:val="nil"/>
              </w:pBdr>
              <w:rPr>
                <w:rFonts w:ascii="Times New Roman" w:hAnsi="Times New Roman"/>
                <w:color w:val="000000"/>
              </w:rPr>
            </w:pPr>
            <w:r w:rsidRPr="002C07D9">
              <w:rPr>
                <w:rFonts w:ascii="Times New Roman" w:hAnsi="Times New Roman"/>
                <w:color w:val="000000"/>
              </w:rPr>
              <w:t>Bkz. MET 35b.</w:t>
            </w:r>
          </w:p>
        </w:tc>
        <w:tc>
          <w:tcPr>
            <w:tcW w:w="4540" w:type="dxa"/>
          </w:tcPr>
          <w:p w14:paraId="68A00089"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Enerji tesislerinin tamamen yeniden inşasına ihtiyaç duyulması nedeniyle mevcut tesislere uygulanamayabilir.</w:t>
            </w:r>
          </w:p>
        </w:tc>
      </w:tr>
      <w:tr w:rsidR="003B155E" w:rsidRPr="002C07D9" w14:paraId="6ACB75C7" w14:textId="77777777" w:rsidTr="000D79D6">
        <w:tc>
          <w:tcPr>
            <w:tcW w:w="0" w:type="auto"/>
          </w:tcPr>
          <w:p w14:paraId="34919E12"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(e)</w:t>
            </w:r>
          </w:p>
        </w:tc>
        <w:tc>
          <w:tcPr>
            <w:tcW w:w="0" w:type="auto"/>
          </w:tcPr>
          <w:p w14:paraId="5169F4B3"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Pancar posasının güneşte kurutulması</w:t>
            </w:r>
          </w:p>
        </w:tc>
        <w:tc>
          <w:tcPr>
            <w:tcW w:w="1795" w:type="dxa"/>
            <w:vAlign w:val="center"/>
          </w:tcPr>
          <w:p w14:paraId="68DD60E6" w14:textId="77777777" w:rsidR="003B155E" w:rsidRPr="002C07D9" w:rsidRDefault="003B155E" w:rsidP="000D79D6">
            <w:pPr>
              <w:pBdr>
                <w:top w:val="nil"/>
                <w:left w:val="nil"/>
                <w:bottom w:val="nil"/>
                <w:right w:val="nil"/>
                <w:between w:val="nil"/>
              </w:pBdr>
              <w:rPr>
                <w:rFonts w:ascii="Times New Roman" w:hAnsi="Times New Roman"/>
                <w:color w:val="000000"/>
              </w:rPr>
            </w:pPr>
            <w:r w:rsidRPr="002C07D9">
              <w:rPr>
                <w:rFonts w:ascii="Times New Roman" w:hAnsi="Times New Roman"/>
                <w:color w:val="000000"/>
              </w:rPr>
              <w:t>Bkz. MET 35c.</w:t>
            </w:r>
          </w:p>
        </w:tc>
        <w:tc>
          <w:tcPr>
            <w:tcW w:w="4540" w:type="dxa"/>
          </w:tcPr>
          <w:p w14:paraId="0FDB4AA6"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Yerel iklim koşulları ve/veya alan yetersizliği nedeniyle uygulanamayabilir.</w:t>
            </w:r>
          </w:p>
        </w:tc>
      </w:tr>
      <w:tr w:rsidR="003B155E" w:rsidRPr="002C07D9" w14:paraId="02BF7F92" w14:textId="77777777" w:rsidTr="000D79D6">
        <w:tc>
          <w:tcPr>
            <w:tcW w:w="0" w:type="auto"/>
          </w:tcPr>
          <w:p w14:paraId="1A724B55"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(f)</w:t>
            </w:r>
          </w:p>
        </w:tc>
        <w:tc>
          <w:tcPr>
            <w:tcW w:w="0" w:type="auto"/>
          </w:tcPr>
          <w:p w14:paraId="2DC0AF0E" w14:textId="77777777" w:rsidR="003B155E" w:rsidRPr="002C07D9" w:rsidRDefault="003B155E" w:rsidP="000D79D6">
            <w:pPr>
              <w:widowControl w:val="0"/>
              <w:tabs>
                <w:tab w:val="left" w:pos="562"/>
              </w:tabs>
              <w:rPr>
                <w:rFonts w:ascii="Times New Roman" w:hAnsi="Times New Roman" w:cs="Times New Roman"/>
                <w:color w:val="000000"/>
              </w:rPr>
            </w:pPr>
            <w:r w:rsidRPr="002C07D9">
              <w:rPr>
                <w:rFonts w:ascii="Times New Roman" w:hAnsi="Times New Roman" w:cs="Times New Roman"/>
                <w:color w:val="000000"/>
              </w:rPr>
              <w:t>Pancar posasının düşük sıcaklıkta (ön) kurutulması</w:t>
            </w:r>
          </w:p>
        </w:tc>
        <w:tc>
          <w:tcPr>
            <w:tcW w:w="1795" w:type="dxa"/>
            <w:vAlign w:val="center"/>
          </w:tcPr>
          <w:p w14:paraId="5408883F" w14:textId="77777777" w:rsidR="003B155E" w:rsidRPr="002C07D9" w:rsidRDefault="003B155E" w:rsidP="000D79D6">
            <w:pPr>
              <w:widowControl w:val="0"/>
              <w:pBdr>
                <w:top w:val="nil"/>
                <w:left w:val="nil"/>
                <w:bottom w:val="nil"/>
                <w:right w:val="nil"/>
                <w:between w:val="nil"/>
              </w:pBdr>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Bkz. MET 35e.</w:t>
            </w:r>
          </w:p>
        </w:tc>
        <w:tc>
          <w:tcPr>
            <w:tcW w:w="4540" w:type="dxa"/>
          </w:tcPr>
          <w:p w14:paraId="665FC2C2" w14:textId="77777777" w:rsidR="003B155E" w:rsidRPr="002C07D9" w:rsidRDefault="003B155E" w:rsidP="000D79D6">
            <w:pPr>
              <w:widowControl w:val="0"/>
              <w:pBdr>
                <w:top w:val="nil"/>
                <w:left w:val="nil"/>
                <w:bottom w:val="nil"/>
                <w:right w:val="nil"/>
                <w:between w:val="nil"/>
              </w:pBdr>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bl>
    <w:p w14:paraId="078DB785"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p>
    <w:p w14:paraId="62C614A0"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30</w:t>
      </w:r>
    </w:p>
    <w:p w14:paraId="64122E82"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Yüksek sıcaklıkta kurutma (500°C üzeri) durumunda pancar posasının kurutulması sonucu havaya salınan toz emisyonları için MET ilişkili emisyon seviyeleri (MET-İES).</w:t>
      </w:r>
    </w:p>
    <w:tbl>
      <w:tblPr>
        <w:tblW w:w="0" w:type="auto"/>
        <w:jc w:val="center"/>
        <w:tblBorders>
          <w:top w:val="nil"/>
          <w:left w:val="nil"/>
          <w:bottom w:val="nil"/>
          <w:right w:val="nil"/>
          <w:insideH w:val="nil"/>
          <w:insideV w:val="nil"/>
        </w:tblBorders>
        <w:tblLook w:val="0600" w:firstRow="0" w:lastRow="0" w:firstColumn="0" w:lastColumn="0" w:noHBand="1" w:noVBand="1"/>
      </w:tblPr>
      <w:tblGrid>
        <w:gridCol w:w="1093"/>
        <w:gridCol w:w="943"/>
        <w:gridCol w:w="2615"/>
        <w:gridCol w:w="2099"/>
        <w:gridCol w:w="2302"/>
      </w:tblGrid>
      <w:tr w:rsidR="003B155E" w:rsidRPr="002C07D9" w14:paraId="0935F1DA" w14:textId="77777777" w:rsidTr="000D79D6">
        <w:trPr>
          <w:trHeight w:val="795"/>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88F0D77"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30458B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28CC06B9"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w:t>
            </w:r>
          </w:p>
          <w:p w14:paraId="362AC16C"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(örnekleme dönemi boyunca ortalama)</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214B1A6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Referans oksijen seviyesi (O</w:t>
            </w:r>
            <w:r w:rsidRPr="002C07D9">
              <w:rPr>
                <w:rFonts w:ascii="Times New Roman" w:eastAsia="Times New Roman" w:hAnsi="Times New Roman" w:cs="Courier New"/>
                <w:color w:val="000000"/>
                <w:kern w:val="0"/>
                <w:vertAlign w:val="subscript"/>
                <w:lang w:eastAsia="tr-TR"/>
                <w14:ligatures w14:val="none"/>
              </w:rPr>
              <w:t>R</w:t>
            </w:r>
            <w:r w:rsidRPr="002C07D9">
              <w:rPr>
                <w:rFonts w:ascii="Times New Roman" w:eastAsia="Times New Roman" w:hAnsi="Times New Roman" w:cs="Courier New"/>
                <w:color w:val="000000"/>
                <w:kern w:val="0"/>
                <w:lang w:eastAsia="tr-TR"/>
                <w14:ligatures w14:val="none"/>
              </w:rPr>
              <w:t>)</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9400CBF"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Referans gaz koşulu</w:t>
            </w:r>
          </w:p>
        </w:tc>
      </w:tr>
      <w:tr w:rsidR="003B155E" w:rsidRPr="002C07D9" w14:paraId="7ABEC5DA" w14:textId="77777777" w:rsidTr="000D79D6">
        <w:trPr>
          <w:trHeight w:val="795"/>
          <w:jc w:val="center"/>
        </w:trPr>
        <w:tc>
          <w:tcPr>
            <w:tcW w:w="0" w:type="auto"/>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58BF25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Toz</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14DCCBA6"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757D6343"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50-100</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6655F7E0"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%16 hacimsel</w:t>
            </w:r>
          </w:p>
        </w:tc>
        <w:tc>
          <w:tcPr>
            <w:tcW w:w="0" w:type="auto"/>
            <w:tcBorders>
              <w:top w:val="nil"/>
              <w:left w:val="nil"/>
              <w:bottom w:val="single" w:sz="8" w:space="0" w:color="000000"/>
              <w:right w:val="single" w:sz="8" w:space="0" w:color="000000"/>
            </w:tcBorders>
            <w:tcMar>
              <w:top w:w="0" w:type="dxa"/>
              <w:left w:w="100" w:type="dxa"/>
              <w:bottom w:w="0" w:type="dxa"/>
              <w:right w:w="100" w:type="dxa"/>
            </w:tcMar>
            <w:vAlign w:val="center"/>
          </w:tcPr>
          <w:p w14:paraId="0B133401" w14:textId="77777777" w:rsidR="003B155E" w:rsidRPr="002C07D9" w:rsidRDefault="003B155E" w:rsidP="000D79D6">
            <w:pPr>
              <w:widowControl w:val="0"/>
              <w:spacing w:after="0" w:line="240" w:lineRule="auto"/>
              <w:jc w:val="center"/>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Su içeriğine yönelik düzeltme yok</w:t>
            </w:r>
          </w:p>
        </w:tc>
      </w:tr>
    </w:tbl>
    <w:p w14:paraId="03B944F2"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7596980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İlgili izleme MET 5’te verilmiştir.</w:t>
      </w:r>
    </w:p>
    <w:p w14:paraId="2D544E5E"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164F3A9A" w14:textId="77777777" w:rsidR="003B155E" w:rsidRPr="002C07D9" w:rsidRDefault="003B155E" w:rsidP="003B155E">
      <w:pPr>
        <w:widowControl w:val="0"/>
        <w:spacing w:after="0" w:line="276" w:lineRule="auto"/>
        <w:jc w:val="both"/>
        <w:rPr>
          <w:rFonts w:ascii="Times New Roman" w:eastAsia="Times New Roman" w:hAnsi="Times New Roman" w:cs="Courier New"/>
          <w:bCs/>
          <w:color w:val="000000"/>
          <w:kern w:val="0"/>
          <w:sz w:val="24"/>
          <w:szCs w:val="24"/>
          <w:lang w:eastAsia="tr-TR"/>
          <w14:ligatures w14:val="none"/>
        </w:rPr>
      </w:pPr>
      <w:r w:rsidRPr="002C07D9">
        <w:rPr>
          <w:rFonts w:ascii="Times New Roman" w:eastAsia="Times New Roman" w:hAnsi="Times New Roman" w:cs="Times New Roman"/>
          <w:b/>
          <w:bCs/>
          <w:color w:val="000000"/>
          <w:kern w:val="0"/>
          <w:sz w:val="24"/>
          <w:szCs w:val="24"/>
          <w:lang w:eastAsia="tr-TR"/>
          <w14:ligatures w14:val="none"/>
        </w:rPr>
        <w:t xml:space="preserve">MET 37: </w:t>
      </w:r>
      <w:r w:rsidRPr="002C07D9">
        <w:rPr>
          <w:rFonts w:ascii="Times New Roman" w:eastAsia="Times New Roman" w:hAnsi="Times New Roman" w:cs="Courier New"/>
          <w:bCs/>
          <w:color w:val="000000"/>
          <w:kern w:val="0"/>
          <w:sz w:val="24"/>
          <w:szCs w:val="24"/>
          <w:lang w:eastAsia="tr-TR"/>
          <w14:ligatures w14:val="none"/>
        </w:rPr>
        <w:t>Yüksek sıcaklıkta (500°C üzeri) pancar posası kurutma işleminde havaya verilen SO</w:t>
      </w:r>
      <w:r w:rsidRPr="002C07D9">
        <w:rPr>
          <w:rFonts w:ascii="Times New Roman" w:eastAsia="Times New Roman" w:hAnsi="Times New Roman" w:cs="Courier New"/>
          <w:bCs/>
          <w:color w:val="000000"/>
          <w:kern w:val="0"/>
          <w:sz w:val="24"/>
          <w:szCs w:val="24"/>
          <w:vertAlign w:val="subscript"/>
          <w:lang w:eastAsia="tr-TR"/>
          <w14:ligatures w14:val="none"/>
        </w:rPr>
        <w:t>X</w:t>
      </w:r>
      <w:r w:rsidRPr="002C07D9">
        <w:rPr>
          <w:rFonts w:ascii="Times New Roman" w:eastAsia="Times New Roman" w:hAnsi="Times New Roman" w:cs="Courier New"/>
          <w:bCs/>
          <w:color w:val="000000"/>
          <w:kern w:val="0"/>
          <w:sz w:val="24"/>
          <w:szCs w:val="24"/>
          <w:lang w:eastAsia="tr-TR"/>
          <w14:ligatures w14:val="none"/>
        </w:rPr>
        <w:t xml:space="preserve"> emisyonlarını azaltmak için, aşağıda verilen tekniklerden biri veya bir kombinasyonu kullanılır.</w:t>
      </w:r>
    </w:p>
    <w:tbl>
      <w:tblPr>
        <w:tblStyle w:val="TabloKlavuzu10"/>
        <w:tblW w:w="5000" w:type="pct"/>
        <w:tblLook w:val="04A0" w:firstRow="1" w:lastRow="0" w:firstColumn="1" w:lastColumn="0" w:noHBand="0" w:noVBand="1"/>
      </w:tblPr>
      <w:tblGrid>
        <w:gridCol w:w="458"/>
        <w:gridCol w:w="2148"/>
        <w:gridCol w:w="1787"/>
        <w:gridCol w:w="4669"/>
      </w:tblGrid>
      <w:tr w:rsidR="003B155E" w:rsidRPr="002C07D9" w14:paraId="42D83D08" w14:textId="77777777" w:rsidTr="000D79D6">
        <w:tc>
          <w:tcPr>
            <w:tcW w:w="1438" w:type="pct"/>
            <w:gridSpan w:val="2"/>
          </w:tcPr>
          <w:p w14:paraId="7887E03D"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Teknik</w:t>
            </w:r>
          </w:p>
        </w:tc>
        <w:tc>
          <w:tcPr>
            <w:tcW w:w="986" w:type="pct"/>
          </w:tcPr>
          <w:p w14:paraId="0FB26A24"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Tanım</w:t>
            </w:r>
          </w:p>
        </w:tc>
        <w:tc>
          <w:tcPr>
            <w:tcW w:w="2576" w:type="pct"/>
          </w:tcPr>
          <w:p w14:paraId="4A9EA2CC"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Uygulanabilirlik</w:t>
            </w:r>
          </w:p>
        </w:tc>
      </w:tr>
      <w:tr w:rsidR="003B155E" w:rsidRPr="002C07D9" w14:paraId="0620E4E3" w14:textId="77777777" w:rsidTr="000D79D6">
        <w:tc>
          <w:tcPr>
            <w:tcW w:w="253" w:type="pct"/>
          </w:tcPr>
          <w:p w14:paraId="7CAA3C56"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lastRenderedPageBreak/>
              <w:t>(a)</w:t>
            </w:r>
          </w:p>
        </w:tc>
        <w:tc>
          <w:tcPr>
            <w:tcW w:w="1185" w:type="pct"/>
          </w:tcPr>
          <w:p w14:paraId="29D9A6AE" w14:textId="77777777" w:rsidR="003B155E" w:rsidRPr="002C07D9" w:rsidRDefault="003B155E" w:rsidP="000D79D6">
            <w:pPr>
              <w:widowControl w:val="0"/>
              <w:shd w:val="clear" w:color="auto" w:fill="FFFFFF"/>
              <w:jc w:val="both"/>
              <w:rPr>
                <w:rFonts w:ascii="Times New Roman" w:hAnsi="Times New Roman" w:cs="Times New Roman"/>
                <w:color w:val="000000"/>
              </w:rPr>
            </w:pPr>
            <w:r w:rsidRPr="002C07D9">
              <w:rPr>
                <w:rFonts w:ascii="Times New Roman" w:hAnsi="Times New Roman" w:cs="Times New Roman"/>
                <w:color w:val="000000"/>
              </w:rPr>
              <w:t>Doğaz gaz kullanımı</w:t>
            </w:r>
          </w:p>
        </w:tc>
        <w:tc>
          <w:tcPr>
            <w:tcW w:w="986" w:type="pct"/>
            <w:vAlign w:val="center"/>
          </w:tcPr>
          <w:p w14:paraId="1DDC295F" w14:textId="77777777" w:rsidR="003B155E" w:rsidRPr="002C07D9" w:rsidRDefault="003B155E" w:rsidP="000D79D6">
            <w:pPr>
              <w:pBdr>
                <w:top w:val="nil"/>
                <w:left w:val="nil"/>
                <w:bottom w:val="nil"/>
                <w:right w:val="nil"/>
                <w:between w:val="nil"/>
              </w:pBdr>
              <w:jc w:val="center"/>
              <w:rPr>
                <w:rFonts w:ascii="Times New Roman" w:hAnsi="Times New Roman" w:cs="Times New Roman"/>
                <w:color w:val="000000"/>
              </w:rPr>
            </w:pPr>
            <w:r w:rsidRPr="002C07D9">
              <w:rPr>
                <w:rFonts w:ascii="Times New Roman" w:hAnsi="Times New Roman" w:cs="Times New Roman"/>
                <w:color w:val="000000"/>
              </w:rPr>
              <w:t>-</w:t>
            </w:r>
          </w:p>
        </w:tc>
        <w:tc>
          <w:tcPr>
            <w:tcW w:w="2576" w:type="pct"/>
            <w:vAlign w:val="center"/>
          </w:tcPr>
          <w:p w14:paraId="222BD1EB"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Doğal gaz mevcudiyeti ile ilgili kısıtlamalar nedeniyle uygulanamayabilir.</w:t>
            </w:r>
          </w:p>
        </w:tc>
      </w:tr>
      <w:tr w:rsidR="003B155E" w:rsidRPr="002C07D9" w14:paraId="2C469EB2" w14:textId="77777777" w:rsidTr="000D79D6">
        <w:tc>
          <w:tcPr>
            <w:tcW w:w="253" w:type="pct"/>
          </w:tcPr>
          <w:p w14:paraId="36F99B01"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(b)</w:t>
            </w:r>
          </w:p>
        </w:tc>
        <w:tc>
          <w:tcPr>
            <w:tcW w:w="1185" w:type="pct"/>
          </w:tcPr>
          <w:p w14:paraId="20BC343B"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Yaş yıkayıcı</w:t>
            </w:r>
          </w:p>
        </w:tc>
        <w:tc>
          <w:tcPr>
            <w:tcW w:w="986" w:type="pct"/>
          </w:tcPr>
          <w:p w14:paraId="6F2C7E1E" w14:textId="77777777" w:rsidR="003B155E" w:rsidRPr="002C07D9" w:rsidRDefault="003B155E" w:rsidP="000D79D6">
            <w:pPr>
              <w:widowControl w:val="0"/>
              <w:pBdr>
                <w:top w:val="nil"/>
                <w:left w:val="nil"/>
                <w:bottom w:val="nil"/>
                <w:right w:val="nil"/>
                <w:between w:val="nil"/>
              </w:pBdr>
              <w:jc w:val="both"/>
              <w:rPr>
                <w:rFonts w:ascii="Times New Roman" w:hAnsi="Times New Roman"/>
                <w:color w:val="000000"/>
              </w:rPr>
            </w:pPr>
            <w:r w:rsidRPr="002C07D9">
              <w:rPr>
                <w:rFonts w:ascii="Times New Roman" w:hAnsi="Times New Roman"/>
                <w:color w:val="000000"/>
              </w:rPr>
              <w:t>Bkz. bölüm 14.2</w:t>
            </w:r>
          </w:p>
        </w:tc>
        <w:tc>
          <w:tcPr>
            <w:tcW w:w="2576" w:type="pct"/>
          </w:tcPr>
          <w:p w14:paraId="18EF3811"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Genel olarak uygulanabilir.</w:t>
            </w:r>
          </w:p>
        </w:tc>
      </w:tr>
      <w:tr w:rsidR="003B155E" w:rsidRPr="002C07D9" w14:paraId="42238FD1" w14:textId="77777777" w:rsidTr="000D79D6">
        <w:tc>
          <w:tcPr>
            <w:tcW w:w="253" w:type="pct"/>
          </w:tcPr>
          <w:p w14:paraId="2C42E72F"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(c)</w:t>
            </w:r>
          </w:p>
        </w:tc>
        <w:tc>
          <w:tcPr>
            <w:tcW w:w="1185" w:type="pct"/>
          </w:tcPr>
          <w:p w14:paraId="1DABCBB8" w14:textId="77777777" w:rsidR="003B155E" w:rsidRPr="002C07D9" w:rsidRDefault="003B155E" w:rsidP="000D79D6">
            <w:pPr>
              <w:widowControl w:val="0"/>
              <w:tabs>
                <w:tab w:val="left" w:pos="562"/>
              </w:tabs>
              <w:jc w:val="both"/>
              <w:rPr>
                <w:rFonts w:ascii="Times New Roman" w:hAnsi="Times New Roman" w:cs="Times New Roman"/>
                <w:color w:val="000000"/>
              </w:rPr>
            </w:pPr>
            <w:r w:rsidRPr="002C07D9">
              <w:rPr>
                <w:rFonts w:ascii="Times New Roman" w:hAnsi="Times New Roman" w:cs="Times New Roman"/>
                <w:color w:val="000000"/>
              </w:rPr>
              <w:t>Düşük kükürt içerikli yakıtların kullanılması</w:t>
            </w:r>
          </w:p>
        </w:tc>
        <w:tc>
          <w:tcPr>
            <w:tcW w:w="986" w:type="pct"/>
            <w:vAlign w:val="center"/>
          </w:tcPr>
          <w:p w14:paraId="62B31CEC" w14:textId="77777777" w:rsidR="003B155E" w:rsidRPr="002C07D9" w:rsidRDefault="003B155E" w:rsidP="000D79D6">
            <w:pPr>
              <w:pBdr>
                <w:top w:val="nil"/>
                <w:left w:val="nil"/>
                <w:bottom w:val="nil"/>
                <w:right w:val="nil"/>
                <w:between w:val="nil"/>
              </w:pBdr>
              <w:jc w:val="center"/>
              <w:rPr>
                <w:rFonts w:ascii="Times New Roman" w:hAnsi="Times New Roman" w:cs="Times New Roman"/>
                <w:color w:val="000000"/>
              </w:rPr>
            </w:pPr>
            <w:r w:rsidRPr="002C07D9">
              <w:rPr>
                <w:rFonts w:ascii="Times New Roman" w:hAnsi="Times New Roman" w:cs="Times New Roman"/>
                <w:color w:val="000000"/>
              </w:rPr>
              <w:t>-</w:t>
            </w:r>
          </w:p>
        </w:tc>
        <w:tc>
          <w:tcPr>
            <w:tcW w:w="2576" w:type="pct"/>
          </w:tcPr>
          <w:p w14:paraId="0C6963BA" w14:textId="77777777" w:rsidR="003B155E" w:rsidRPr="002C07D9" w:rsidRDefault="003B155E" w:rsidP="000D79D6">
            <w:pPr>
              <w:widowControl w:val="0"/>
              <w:shd w:val="clear" w:color="auto" w:fill="FFFFFF"/>
              <w:tabs>
                <w:tab w:val="left" w:pos="562"/>
              </w:tabs>
              <w:rPr>
                <w:rFonts w:ascii="Times New Roman" w:hAnsi="Times New Roman" w:cs="Times New Roman"/>
                <w:color w:val="000000"/>
              </w:rPr>
            </w:pPr>
            <w:r w:rsidRPr="002C07D9">
              <w:rPr>
                <w:rFonts w:ascii="Times New Roman" w:hAnsi="Times New Roman" w:cs="Times New Roman"/>
                <w:color w:val="000000"/>
              </w:rPr>
              <w:t>Yalnızca doğal gaz bulunmadığında uygulanabilir.</w:t>
            </w:r>
          </w:p>
        </w:tc>
      </w:tr>
    </w:tbl>
    <w:p w14:paraId="69511612"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66C8A5E0" w14:textId="77777777" w:rsidR="003B155E" w:rsidRPr="002C07D9" w:rsidRDefault="003B155E" w:rsidP="0096283A">
      <w:pPr>
        <w:widowControl w:val="0"/>
        <w:spacing w:after="0" w:line="276" w:lineRule="auto"/>
        <w:jc w:val="center"/>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Tablo 31</w:t>
      </w:r>
    </w:p>
    <w:p w14:paraId="3A906D73"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Doğal gaz kullanılmadığında yüksek sıcaklıkta kurutma (500°C üzeri) durumunda pancar posası kurutulmasından kaynaklanan kanalize SO</w:t>
      </w:r>
      <w:r w:rsidRPr="002C07D9">
        <w:rPr>
          <w:rFonts w:ascii="Times New Roman" w:eastAsia="Times New Roman" w:hAnsi="Times New Roman" w:cs="Courier New"/>
          <w:color w:val="000000"/>
          <w:kern w:val="0"/>
          <w:sz w:val="24"/>
          <w:szCs w:val="24"/>
          <w:vertAlign w:val="subscript"/>
          <w:lang w:eastAsia="tr-TR"/>
          <w14:ligatures w14:val="none"/>
        </w:rPr>
        <w:t>X</w:t>
      </w:r>
      <w:r w:rsidRPr="002C07D9">
        <w:rPr>
          <w:rFonts w:ascii="Times New Roman" w:eastAsia="Times New Roman" w:hAnsi="Times New Roman" w:cs="Courier New"/>
          <w:color w:val="000000"/>
          <w:kern w:val="0"/>
          <w:sz w:val="24"/>
          <w:szCs w:val="24"/>
          <w:lang w:eastAsia="tr-TR"/>
          <w14:ligatures w14:val="none"/>
        </w:rPr>
        <w:t xml:space="preserve"> emisyonlarının havaya olan MET ilişkili emisyon seviyeleri (MET-İES).</w:t>
      </w:r>
    </w:p>
    <w:tbl>
      <w:tblPr>
        <w:tblW w:w="9345" w:type="dxa"/>
        <w:jc w:val="center"/>
        <w:tblBorders>
          <w:top w:val="nil"/>
          <w:left w:val="nil"/>
          <w:bottom w:val="nil"/>
          <w:right w:val="nil"/>
          <w:insideH w:val="nil"/>
          <w:insideV w:val="nil"/>
        </w:tblBorders>
        <w:tblLook w:val="0600" w:firstRow="0" w:lastRow="0" w:firstColumn="0" w:lastColumn="0" w:noHBand="1" w:noVBand="1"/>
      </w:tblPr>
      <w:tblGrid>
        <w:gridCol w:w="1092"/>
        <w:gridCol w:w="943"/>
        <w:gridCol w:w="2859"/>
        <w:gridCol w:w="2122"/>
        <w:gridCol w:w="2329"/>
      </w:tblGrid>
      <w:tr w:rsidR="003B155E" w:rsidRPr="002C07D9" w14:paraId="0ED2133C" w14:textId="77777777" w:rsidTr="000D79D6">
        <w:trPr>
          <w:trHeight w:val="1065"/>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1C39DE8"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Parametre</w:t>
            </w:r>
          </w:p>
        </w:tc>
        <w:tc>
          <w:tcPr>
            <w:tcW w:w="943"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88DB1E9"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Birim</w:t>
            </w:r>
          </w:p>
        </w:tc>
        <w:tc>
          <w:tcPr>
            <w:tcW w:w="2859"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EEF0F4F"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MET-İES</w:t>
            </w:r>
          </w:p>
          <w:p w14:paraId="442B3778"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(örnekleme dönemi boyunca ortalama)</w:t>
            </w:r>
            <w:r w:rsidRPr="002C07D9">
              <w:rPr>
                <w:rFonts w:ascii="Times New Roman" w:eastAsia="Times New Roman" w:hAnsi="Times New Roman" w:cs="Courier New"/>
                <w:color w:val="000000"/>
                <w:kern w:val="0"/>
                <w:vertAlign w:val="superscript"/>
                <w:lang w:eastAsia="tr-TR"/>
                <w14:ligatures w14:val="none"/>
              </w:rPr>
              <w:t xml:space="preserve"> (1)</w:t>
            </w:r>
          </w:p>
        </w:tc>
        <w:tc>
          <w:tcPr>
            <w:tcW w:w="2122"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48FBD467"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Referans oksijen seviyesi (O</w:t>
            </w:r>
            <w:r w:rsidRPr="002C07D9">
              <w:rPr>
                <w:rFonts w:ascii="Times New Roman" w:eastAsia="Times New Roman" w:hAnsi="Times New Roman" w:cs="Courier New"/>
                <w:color w:val="000000"/>
                <w:kern w:val="0"/>
                <w:vertAlign w:val="subscript"/>
                <w:lang w:eastAsia="tr-TR"/>
                <w14:ligatures w14:val="none"/>
              </w:rPr>
              <w:t>R</w:t>
            </w:r>
            <w:r w:rsidRPr="002C07D9">
              <w:rPr>
                <w:rFonts w:ascii="Times New Roman" w:eastAsia="Times New Roman" w:hAnsi="Times New Roman" w:cs="Courier New"/>
                <w:color w:val="000000"/>
                <w:kern w:val="0"/>
                <w:lang w:eastAsia="tr-TR"/>
                <w14:ligatures w14:val="none"/>
              </w:rPr>
              <w:t>)</w:t>
            </w:r>
          </w:p>
        </w:tc>
        <w:tc>
          <w:tcPr>
            <w:tcW w:w="0" w:type="auto"/>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00105D25"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Referans gaz koşulu</w:t>
            </w:r>
          </w:p>
        </w:tc>
      </w:tr>
      <w:tr w:rsidR="003B155E" w:rsidRPr="002C07D9" w14:paraId="16475478" w14:textId="77777777" w:rsidTr="000D79D6">
        <w:trPr>
          <w:trHeight w:val="509"/>
          <w:jc w:val="center"/>
        </w:trPr>
        <w:tc>
          <w:tcPr>
            <w:tcW w:w="0" w:type="auto"/>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2C38A085"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vertAlign w:val="subscript"/>
                <w:lang w:eastAsia="tr-TR"/>
                <w14:ligatures w14:val="none"/>
              </w:rPr>
            </w:pPr>
            <w:r w:rsidRPr="002C07D9">
              <w:rPr>
                <w:rFonts w:ascii="Times New Roman" w:eastAsia="Times New Roman" w:hAnsi="Times New Roman" w:cs="Courier New"/>
                <w:color w:val="000000"/>
                <w:kern w:val="0"/>
                <w:lang w:eastAsia="tr-TR"/>
                <w14:ligatures w14:val="none"/>
              </w:rPr>
              <w:t>SO</w:t>
            </w:r>
            <w:r w:rsidRPr="002C07D9">
              <w:rPr>
                <w:rFonts w:ascii="Times New Roman" w:eastAsia="Times New Roman" w:hAnsi="Times New Roman" w:cs="Courier New"/>
                <w:color w:val="000000"/>
                <w:kern w:val="0"/>
                <w:vertAlign w:val="subscript"/>
                <w:lang w:eastAsia="tr-TR"/>
                <w14:ligatures w14:val="none"/>
              </w:rPr>
              <w:t>X</w:t>
            </w:r>
          </w:p>
        </w:tc>
        <w:tc>
          <w:tcPr>
            <w:tcW w:w="943" w:type="dxa"/>
            <w:tcBorders>
              <w:top w:val="nil"/>
              <w:left w:val="nil"/>
              <w:bottom w:val="single" w:sz="4" w:space="0" w:color="auto"/>
              <w:right w:val="single" w:sz="8" w:space="0" w:color="000000"/>
            </w:tcBorders>
            <w:tcMar>
              <w:top w:w="0" w:type="dxa"/>
              <w:left w:w="100" w:type="dxa"/>
              <w:bottom w:w="0" w:type="dxa"/>
              <w:right w:w="100" w:type="dxa"/>
            </w:tcMar>
            <w:vAlign w:val="center"/>
          </w:tcPr>
          <w:p w14:paraId="1372C689"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vertAlign w:val="superscript"/>
                <w:lang w:eastAsia="tr-TR"/>
                <w14:ligatures w14:val="none"/>
              </w:rPr>
            </w:pPr>
            <w:r w:rsidRPr="002C07D9">
              <w:rPr>
                <w:rFonts w:ascii="Times New Roman" w:eastAsia="Times New Roman" w:hAnsi="Times New Roman" w:cs="Courier New"/>
                <w:color w:val="000000"/>
                <w:kern w:val="0"/>
                <w:lang w:eastAsia="tr-TR"/>
                <w14:ligatures w14:val="none"/>
              </w:rPr>
              <w:t>mg/Nm</w:t>
            </w:r>
            <w:r w:rsidRPr="002C07D9">
              <w:rPr>
                <w:rFonts w:ascii="Times New Roman" w:eastAsia="Times New Roman" w:hAnsi="Times New Roman" w:cs="Courier New"/>
                <w:color w:val="000000"/>
                <w:kern w:val="0"/>
                <w:vertAlign w:val="superscript"/>
                <w:lang w:eastAsia="tr-TR"/>
                <w14:ligatures w14:val="none"/>
              </w:rPr>
              <w:t>3</w:t>
            </w:r>
          </w:p>
        </w:tc>
        <w:tc>
          <w:tcPr>
            <w:tcW w:w="2859" w:type="dxa"/>
            <w:tcBorders>
              <w:top w:val="nil"/>
              <w:left w:val="nil"/>
              <w:bottom w:val="single" w:sz="4" w:space="0" w:color="auto"/>
              <w:right w:val="single" w:sz="8" w:space="0" w:color="000000"/>
            </w:tcBorders>
            <w:tcMar>
              <w:top w:w="0" w:type="dxa"/>
              <w:left w:w="100" w:type="dxa"/>
              <w:bottom w:w="0" w:type="dxa"/>
              <w:right w:w="100" w:type="dxa"/>
            </w:tcMar>
            <w:vAlign w:val="center"/>
          </w:tcPr>
          <w:p w14:paraId="35372A38"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30-100</w:t>
            </w:r>
          </w:p>
        </w:tc>
        <w:tc>
          <w:tcPr>
            <w:tcW w:w="2122" w:type="dxa"/>
            <w:tcBorders>
              <w:top w:val="nil"/>
              <w:left w:val="nil"/>
              <w:bottom w:val="single" w:sz="4" w:space="0" w:color="auto"/>
              <w:right w:val="single" w:sz="8" w:space="0" w:color="000000"/>
            </w:tcBorders>
            <w:tcMar>
              <w:top w:w="0" w:type="dxa"/>
              <w:left w:w="100" w:type="dxa"/>
              <w:bottom w:w="0" w:type="dxa"/>
              <w:right w:w="100" w:type="dxa"/>
            </w:tcMar>
            <w:vAlign w:val="center"/>
          </w:tcPr>
          <w:p w14:paraId="205B85E1"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%16 hacimsel</w:t>
            </w:r>
          </w:p>
        </w:tc>
        <w:tc>
          <w:tcPr>
            <w:tcW w:w="0" w:type="auto"/>
            <w:tcBorders>
              <w:top w:val="nil"/>
              <w:left w:val="nil"/>
              <w:bottom w:val="single" w:sz="4" w:space="0" w:color="auto"/>
              <w:right w:val="single" w:sz="8" w:space="0" w:color="000000"/>
            </w:tcBorders>
            <w:tcMar>
              <w:top w:w="0" w:type="dxa"/>
              <w:left w:w="100" w:type="dxa"/>
              <w:bottom w:w="0" w:type="dxa"/>
              <w:right w:w="100" w:type="dxa"/>
            </w:tcMar>
            <w:vAlign w:val="center"/>
          </w:tcPr>
          <w:p w14:paraId="722BD2EA"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lang w:eastAsia="tr-TR"/>
                <w14:ligatures w14:val="none"/>
              </w:rPr>
            </w:pPr>
            <w:r w:rsidRPr="002C07D9">
              <w:rPr>
                <w:rFonts w:ascii="Times New Roman" w:eastAsia="Times New Roman" w:hAnsi="Times New Roman" w:cs="Courier New"/>
                <w:color w:val="000000"/>
                <w:kern w:val="0"/>
                <w:lang w:eastAsia="tr-TR"/>
                <w14:ligatures w14:val="none"/>
              </w:rPr>
              <w:t>Su içeriğine yönelik düzeltme yok</w:t>
            </w:r>
          </w:p>
        </w:tc>
      </w:tr>
      <w:tr w:rsidR="003B155E" w:rsidRPr="002C07D9" w14:paraId="58BDADFB" w14:textId="77777777" w:rsidTr="000D79D6">
        <w:trPr>
          <w:trHeight w:val="261"/>
          <w:jc w:val="center"/>
        </w:trPr>
        <w:tc>
          <w:tcPr>
            <w:tcW w:w="0" w:type="auto"/>
            <w:gridSpan w:val="5"/>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49804401" w14:textId="77777777" w:rsidR="003B155E" w:rsidRPr="002C07D9" w:rsidRDefault="003B155E" w:rsidP="000D79D6">
            <w:pPr>
              <w:widowControl w:val="0"/>
              <w:spacing w:after="0" w:line="240" w:lineRule="auto"/>
              <w:rPr>
                <w:rFonts w:ascii="Times New Roman" w:eastAsia="Times New Roman" w:hAnsi="Times New Roman" w:cs="Courier New"/>
                <w:color w:val="000000"/>
                <w:kern w:val="0"/>
                <w:sz w:val="20"/>
                <w:szCs w:val="20"/>
                <w:lang w:eastAsia="tr-TR"/>
                <w14:ligatures w14:val="none"/>
              </w:rPr>
            </w:pPr>
            <w:r w:rsidRPr="002C07D9">
              <w:rPr>
                <w:rFonts w:ascii="Times New Roman" w:eastAsia="Times New Roman" w:hAnsi="Times New Roman" w:cs="Courier New"/>
                <w:color w:val="000000"/>
                <w:kern w:val="0"/>
                <w:sz w:val="20"/>
                <w:szCs w:val="20"/>
                <w:lang w:eastAsia="tr-TR"/>
                <w14:ligatures w14:val="none"/>
              </w:rPr>
              <w:t>(</w:t>
            </w:r>
            <w:r w:rsidRPr="002C07D9">
              <w:rPr>
                <w:rFonts w:ascii="Times New Roman" w:eastAsia="Times New Roman" w:hAnsi="Times New Roman" w:cs="Courier New"/>
                <w:color w:val="000000"/>
                <w:kern w:val="0"/>
                <w:sz w:val="20"/>
                <w:szCs w:val="20"/>
                <w:vertAlign w:val="superscript"/>
                <w:lang w:eastAsia="tr-TR"/>
                <w14:ligatures w14:val="none"/>
              </w:rPr>
              <w:t>1</w:t>
            </w:r>
            <w:r w:rsidRPr="002C07D9">
              <w:rPr>
                <w:rFonts w:ascii="Times New Roman" w:eastAsia="Times New Roman" w:hAnsi="Times New Roman" w:cs="Courier New"/>
                <w:color w:val="000000"/>
                <w:kern w:val="0"/>
                <w:sz w:val="20"/>
                <w:szCs w:val="20"/>
                <w:lang w:eastAsia="tr-TR"/>
                <w14:ligatures w14:val="none"/>
              </w:rPr>
              <w:t>) Yakıt olarak yalnızca biyokütle kullanıldığında emisyon seviyesi minimum değerde olması bekleniyor.</w:t>
            </w:r>
          </w:p>
        </w:tc>
      </w:tr>
    </w:tbl>
    <w:p w14:paraId="7FC86B4B"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6C918C7"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r w:rsidRPr="002C07D9">
        <w:rPr>
          <w:rFonts w:ascii="Times New Roman" w:eastAsia="Times New Roman" w:hAnsi="Times New Roman" w:cs="Courier New"/>
          <w:color w:val="000000"/>
          <w:kern w:val="0"/>
          <w:sz w:val="24"/>
          <w:szCs w:val="24"/>
          <w:lang w:eastAsia="tr-TR"/>
          <w14:ligatures w14:val="none"/>
        </w:rPr>
        <w:t>İlgili izleme MET 5’te verilmiştir.</w:t>
      </w:r>
    </w:p>
    <w:p w14:paraId="2BC85FF0" w14:textId="77777777" w:rsidR="003B155E" w:rsidRPr="002C07D9" w:rsidRDefault="003B155E" w:rsidP="003B155E">
      <w:pPr>
        <w:widowControl w:val="0"/>
        <w:spacing w:after="0" w:line="276" w:lineRule="auto"/>
        <w:jc w:val="both"/>
        <w:rPr>
          <w:rFonts w:ascii="Times New Roman" w:eastAsia="Times New Roman" w:hAnsi="Times New Roman" w:cs="Courier New"/>
          <w:color w:val="000000"/>
          <w:kern w:val="0"/>
          <w:sz w:val="24"/>
          <w:szCs w:val="24"/>
          <w:lang w:eastAsia="tr-TR"/>
          <w14:ligatures w14:val="none"/>
        </w:rPr>
      </w:pPr>
    </w:p>
    <w:p w14:paraId="41154544" w14:textId="77777777" w:rsidR="003B155E" w:rsidRPr="002C07D9" w:rsidRDefault="003B155E" w:rsidP="003B155E">
      <w:pPr>
        <w:keepNext/>
        <w:keepLines/>
        <w:widowControl w:val="0"/>
        <w:spacing w:after="0" w:line="360" w:lineRule="auto"/>
        <w:jc w:val="both"/>
        <w:outlineLvl w:val="1"/>
        <w:rPr>
          <w:rFonts w:ascii="Times New Roman" w:eastAsia="Times New Roman" w:hAnsi="Times New Roman" w:cs="Times New Roman"/>
          <w:b/>
          <w:color w:val="000000"/>
          <w:kern w:val="0"/>
          <w:sz w:val="24"/>
          <w:szCs w:val="26"/>
          <w:lang w:eastAsia="tr-TR"/>
          <w14:ligatures w14:val="none"/>
        </w:rPr>
      </w:pPr>
      <w:r w:rsidRPr="002C07D9">
        <w:rPr>
          <w:rFonts w:ascii="Times New Roman" w:eastAsia="Times New Roman" w:hAnsi="Times New Roman" w:cs="Times New Roman"/>
          <w:b/>
          <w:color w:val="000000"/>
          <w:kern w:val="0"/>
          <w:sz w:val="24"/>
          <w:szCs w:val="26"/>
          <w:lang w:eastAsia="tr-TR"/>
          <w14:ligatures w14:val="none"/>
        </w:rPr>
        <w:t>14. Tekniklerin Tanımları</w:t>
      </w:r>
    </w:p>
    <w:p w14:paraId="680F1BB1"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14.1. Su Emisyonları</w:t>
      </w:r>
    </w:p>
    <w:tbl>
      <w:tblPr>
        <w:tblStyle w:val="TabloKlavuzu24"/>
        <w:tblW w:w="5000" w:type="pct"/>
        <w:tblLook w:val="04A0" w:firstRow="1" w:lastRow="0" w:firstColumn="1" w:lastColumn="0" w:noHBand="0" w:noVBand="1"/>
      </w:tblPr>
      <w:tblGrid>
        <w:gridCol w:w="3217"/>
        <w:gridCol w:w="5845"/>
      </w:tblGrid>
      <w:tr w:rsidR="003B155E" w:rsidRPr="002C07D9" w14:paraId="6A26FDB8" w14:textId="77777777" w:rsidTr="000D79D6">
        <w:tc>
          <w:tcPr>
            <w:tcW w:w="1775" w:type="pct"/>
            <w:vAlign w:val="center"/>
          </w:tcPr>
          <w:p w14:paraId="26A634E9" w14:textId="77777777" w:rsidR="003B155E" w:rsidRPr="002C07D9" w:rsidRDefault="003B155E" w:rsidP="000D79D6">
            <w:pPr>
              <w:jc w:val="center"/>
              <w:rPr>
                <w:rFonts w:ascii="Times New Roman" w:hAnsi="Times New Roman" w:cs="Times New Roman"/>
                <w:bCs/>
              </w:rPr>
            </w:pPr>
            <w:r w:rsidRPr="002C07D9">
              <w:rPr>
                <w:rFonts w:ascii="Times New Roman" w:hAnsi="Times New Roman" w:cs="Times New Roman"/>
                <w:bCs/>
              </w:rPr>
              <w:t>Kullanılan Terim</w:t>
            </w:r>
          </w:p>
        </w:tc>
        <w:tc>
          <w:tcPr>
            <w:tcW w:w="3225" w:type="pct"/>
            <w:vAlign w:val="center"/>
          </w:tcPr>
          <w:p w14:paraId="51489FCB" w14:textId="77777777" w:rsidR="003B155E" w:rsidRPr="002C07D9" w:rsidRDefault="003B155E" w:rsidP="000D79D6">
            <w:pPr>
              <w:jc w:val="center"/>
              <w:rPr>
                <w:rFonts w:ascii="Times New Roman" w:hAnsi="Times New Roman" w:cs="Times New Roman"/>
                <w:bCs/>
              </w:rPr>
            </w:pPr>
            <w:r w:rsidRPr="002C07D9">
              <w:rPr>
                <w:rFonts w:ascii="Times New Roman" w:hAnsi="Times New Roman" w:cs="Times New Roman"/>
                <w:bCs/>
              </w:rPr>
              <w:t>Tanım</w:t>
            </w:r>
          </w:p>
        </w:tc>
      </w:tr>
      <w:tr w:rsidR="003B155E" w:rsidRPr="002C07D9" w14:paraId="250E2921" w14:textId="77777777" w:rsidTr="000D79D6">
        <w:tc>
          <w:tcPr>
            <w:tcW w:w="1775" w:type="pct"/>
            <w:vAlign w:val="center"/>
          </w:tcPr>
          <w:p w14:paraId="74E066EA"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color w:val="000000"/>
              </w:rPr>
              <w:t>Aktif çamur prosesi</w:t>
            </w:r>
          </w:p>
        </w:tc>
        <w:tc>
          <w:tcPr>
            <w:tcW w:w="3225" w:type="pct"/>
            <w:vAlign w:val="center"/>
          </w:tcPr>
          <w:p w14:paraId="5FD90E80"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Mikroorganizmaların atıksuda askıda halde bulunduğa ve karışımın mekanik olarak havalandırıldığı biyolojik bir işlemdir. Aktif çamur karışımı, çamurun havalandırma tankına geri dönüştürüldüğü bir ayırma tesisine gönderilir.</w:t>
            </w:r>
          </w:p>
        </w:tc>
      </w:tr>
      <w:tr w:rsidR="003B155E" w:rsidRPr="002C07D9" w14:paraId="07C9E880" w14:textId="77777777" w:rsidTr="000D79D6">
        <w:tc>
          <w:tcPr>
            <w:tcW w:w="1775" w:type="pct"/>
            <w:vAlign w:val="center"/>
          </w:tcPr>
          <w:p w14:paraId="2B4CAEA8"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Aerobik lagün: </w:t>
            </w:r>
          </w:p>
        </w:tc>
        <w:tc>
          <w:tcPr>
            <w:tcW w:w="3225" w:type="pct"/>
            <w:vAlign w:val="center"/>
          </w:tcPr>
          <w:p w14:paraId="37D52A70"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Atıksuların biyolojik arıtımında kullanılan, içeriği belirli aralıklarla karıştırılarak atmosferik difüzyon yoluyla sıvıya oksijen verilmesini sağlayan sığ toprak havuzlardır.</w:t>
            </w:r>
          </w:p>
        </w:tc>
      </w:tr>
      <w:tr w:rsidR="003B155E" w:rsidRPr="002C07D9" w14:paraId="15B9C4FD" w14:textId="77777777" w:rsidTr="000D79D6">
        <w:tc>
          <w:tcPr>
            <w:tcW w:w="1775" w:type="pct"/>
            <w:vAlign w:val="center"/>
          </w:tcPr>
          <w:p w14:paraId="67E939DC"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Anaerobik çürütücü: </w:t>
            </w:r>
          </w:p>
        </w:tc>
        <w:tc>
          <w:tcPr>
            <w:tcW w:w="3225" w:type="pct"/>
            <w:vAlign w:val="center"/>
          </w:tcPr>
          <w:p w14:paraId="795D9212"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Atıksuyun geri dönüştürülmüş çamurla karıştırıldığı ve daha sonra kapalı bir reaktörde çürütüldüğü anaerobik bir süreçtir. Su/çamur karışımı dışarıdan ayrılmaktadır.</w:t>
            </w:r>
          </w:p>
        </w:tc>
      </w:tr>
      <w:tr w:rsidR="003B155E" w:rsidRPr="002C07D9" w14:paraId="2FED3B82" w14:textId="77777777" w:rsidTr="000D79D6">
        <w:tc>
          <w:tcPr>
            <w:tcW w:w="1775" w:type="pct"/>
            <w:vAlign w:val="center"/>
          </w:tcPr>
          <w:p w14:paraId="12C6C88C"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color w:val="000000"/>
              </w:rPr>
              <w:t>Çöktürme</w:t>
            </w:r>
          </w:p>
        </w:tc>
        <w:tc>
          <w:tcPr>
            <w:tcW w:w="3225" w:type="pct"/>
            <w:vAlign w:val="center"/>
          </w:tcPr>
          <w:p w14:paraId="6F0863E5" w14:textId="77777777" w:rsidR="003B155E" w:rsidRPr="002C07D9" w:rsidRDefault="003B155E" w:rsidP="000D79D6">
            <w:pPr>
              <w:widowControl w:val="0"/>
              <w:jc w:val="both"/>
              <w:rPr>
                <w:rFonts w:ascii="Times New Roman" w:hAnsi="Times New Roman" w:cs="Times New Roman"/>
                <w:bCs/>
              </w:rPr>
            </w:pPr>
            <w:r w:rsidRPr="002C07D9">
              <w:rPr>
                <w:rFonts w:ascii="Times New Roman" w:hAnsi="Times New Roman" w:cs="Times New Roman"/>
                <w:bCs/>
                <w:color w:val="000000"/>
              </w:rPr>
              <w:t>Çözünmüş kirleticilerin kimyasal çöktürücüler eklenerek çözünmeyen bileşiklere dönüştürülmesi. Oluşan katı çöktürücüler daha sonra sedimantasyon, hava flotasyonu veya filtrasyonla ayrılır. Çok değerli metal iyonları (örneğin kalsiyum, alüminyum, demir) fosfor çöktürmesi için kullanılır.</w:t>
            </w:r>
          </w:p>
        </w:tc>
      </w:tr>
      <w:tr w:rsidR="003B155E" w:rsidRPr="002C07D9" w14:paraId="449E1496" w14:textId="77777777" w:rsidTr="000D79D6">
        <w:tc>
          <w:tcPr>
            <w:tcW w:w="1775" w:type="pct"/>
            <w:vAlign w:val="center"/>
          </w:tcPr>
          <w:p w14:paraId="3B10B2AF"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rPr>
              <w:t>Koagülasyon ve flokülasyon:</w:t>
            </w:r>
          </w:p>
        </w:tc>
        <w:tc>
          <w:tcPr>
            <w:tcW w:w="3225" w:type="pct"/>
            <w:vAlign w:val="center"/>
          </w:tcPr>
          <w:p w14:paraId="0AA3AFDB"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rPr>
              <w:t>Askıda katı maddeleri atıksudan ayırmak için kullanılır ve genellikle ardışık adımlar halinde gerçekleştirilir. Koagülasyon, askıda katı maddelerin yüklerine zıt yükleri olan pıhtılaştırıcılar eklenerek gerçekleştirilir. Flokülasyon, polimerler eklenerek daha büyük floklar üretmek için bağlanmalarına neden olur.</w:t>
            </w:r>
          </w:p>
        </w:tc>
      </w:tr>
      <w:tr w:rsidR="003B155E" w:rsidRPr="002C07D9" w14:paraId="53BF5286" w14:textId="77777777" w:rsidTr="000D79D6">
        <w:tc>
          <w:tcPr>
            <w:tcW w:w="1775" w:type="pct"/>
            <w:vAlign w:val="center"/>
          </w:tcPr>
          <w:p w14:paraId="7F88A8E3"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Dengeleme: </w:t>
            </w:r>
          </w:p>
        </w:tc>
        <w:tc>
          <w:tcPr>
            <w:tcW w:w="3225" w:type="pct"/>
            <w:vAlign w:val="center"/>
          </w:tcPr>
          <w:p w14:paraId="38C409F8"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Akışların ve kirletici yüklerin tanklar veya diğer yönetim teknikleri kullanılarak dengelenmesidir.</w:t>
            </w:r>
          </w:p>
        </w:tc>
      </w:tr>
      <w:tr w:rsidR="003B155E" w:rsidRPr="002C07D9" w14:paraId="61097A4C" w14:textId="77777777" w:rsidTr="000D79D6">
        <w:tc>
          <w:tcPr>
            <w:tcW w:w="1775" w:type="pct"/>
            <w:vAlign w:val="center"/>
          </w:tcPr>
          <w:p w14:paraId="6DCDB9F1"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İleri biyolojik fosfor giderimi: </w:t>
            </w:r>
          </w:p>
        </w:tc>
        <w:tc>
          <w:tcPr>
            <w:tcW w:w="3225" w:type="pct"/>
            <w:vAlign w:val="center"/>
          </w:tcPr>
          <w:p w14:paraId="08633589"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Aktif çamur içindeki bakteri topluluğunda polifosfat biriktiren mikroorganizmaları seçici olarak zenginleştirmek için aerobik ve anaerobik işlemin bir kombinasyonudur. Bu mikroorganizmalar normal büyüme için gerekenden daha fazla fosfor alırlar.</w:t>
            </w:r>
          </w:p>
        </w:tc>
      </w:tr>
      <w:tr w:rsidR="003B155E" w:rsidRPr="002C07D9" w14:paraId="2A9ABB8F" w14:textId="77777777" w:rsidTr="000D79D6">
        <w:tc>
          <w:tcPr>
            <w:tcW w:w="1775" w:type="pct"/>
            <w:vAlign w:val="center"/>
          </w:tcPr>
          <w:p w14:paraId="43A591EC"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lastRenderedPageBreak/>
              <w:t xml:space="preserve">Filtrasyon: </w:t>
            </w:r>
          </w:p>
        </w:tc>
        <w:tc>
          <w:tcPr>
            <w:tcW w:w="3225" w:type="pct"/>
            <w:vAlign w:val="center"/>
          </w:tcPr>
          <w:p w14:paraId="41DBDC2F"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Atıksuyun gözenekli bir ortamdan geçirilmesiyle katıların ayrılmasıdır. Örneğin kum filtrasyonu, mikrofiltrasyon ve ultrafiltrasyon.</w:t>
            </w:r>
          </w:p>
        </w:tc>
      </w:tr>
      <w:tr w:rsidR="003B155E" w:rsidRPr="002C07D9" w14:paraId="1B52D662" w14:textId="77777777" w:rsidTr="000D79D6">
        <w:tc>
          <w:tcPr>
            <w:tcW w:w="1775" w:type="pct"/>
            <w:vAlign w:val="center"/>
          </w:tcPr>
          <w:p w14:paraId="0D1A378A"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color w:val="000000"/>
              </w:rPr>
              <w:t xml:space="preserve">Flotasyon: </w:t>
            </w:r>
          </w:p>
        </w:tc>
        <w:tc>
          <w:tcPr>
            <w:tcW w:w="3225" w:type="pct"/>
            <w:vAlign w:val="center"/>
          </w:tcPr>
          <w:p w14:paraId="41D173C3"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Katı veya sıvı parçacıkların, genellikle havayla ince gaz kabarcıklarına bağlanarak atıksudan ayrılır.. Yüzen parçacıklar su yüzeyinde birikir ve sıyırıcılarla toplanır</w:t>
            </w:r>
          </w:p>
        </w:tc>
      </w:tr>
      <w:tr w:rsidR="003B155E" w:rsidRPr="002C07D9" w14:paraId="1A27A314" w14:textId="77777777" w:rsidTr="000D79D6">
        <w:tc>
          <w:tcPr>
            <w:tcW w:w="1775" w:type="pct"/>
            <w:vAlign w:val="center"/>
          </w:tcPr>
          <w:p w14:paraId="53F73F92"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color w:val="000000"/>
              </w:rPr>
              <w:t xml:space="preserve">Membran biyoreaktör: </w:t>
            </w:r>
          </w:p>
        </w:tc>
        <w:tc>
          <w:tcPr>
            <w:tcW w:w="3225" w:type="pct"/>
            <w:vAlign w:val="center"/>
          </w:tcPr>
          <w:p w14:paraId="4F4EB94D"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Aktif çamur arıtımı ve membran filtrasyonunun bir kombinasyonu. İki şekilde kullanılır: a) aktif çamur tankı ile membran modülü arasında harici bir devridaim döngüsü şeklinde; ve b) membran modülünün havalandırmalı aktif çamur tankına daldırılması, burada atıksu içi boş bir elyaf membrandan filtrelenir ve biyokütle tankta kalır.</w:t>
            </w:r>
          </w:p>
        </w:tc>
      </w:tr>
      <w:tr w:rsidR="003B155E" w:rsidRPr="002C07D9" w14:paraId="3F9CA398" w14:textId="77777777" w:rsidTr="000D79D6">
        <w:tc>
          <w:tcPr>
            <w:tcW w:w="1775" w:type="pct"/>
            <w:vAlign w:val="center"/>
          </w:tcPr>
          <w:p w14:paraId="7DA80383"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Nötralizasyon: </w:t>
            </w:r>
          </w:p>
        </w:tc>
        <w:tc>
          <w:tcPr>
            <w:tcW w:w="3225" w:type="pct"/>
            <w:vAlign w:val="center"/>
          </w:tcPr>
          <w:p w14:paraId="319BC335"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Atıksuyun pH'ının kimyasal madde ilavesi ile nötr hale (yaklaşık 7) ayarlanmasıdır. pH'ı arttırmak için genellikle sodyum hidroksit (NaOH) veya kalsiyum hidroksit (Ca(OH)</w:t>
            </w:r>
            <w:r w:rsidRPr="002C07D9">
              <w:rPr>
                <w:rFonts w:ascii="Times New Roman" w:hAnsi="Times New Roman" w:cs="Times New Roman"/>
                <w:bCs/>
                <w:color w:val="000000"/>
                <w:vertAlign w:val="subscript"/>
              </w:rPr>
              <w:t>2</w:t>
            </w:r>
            <w:r w:rsidRPr="002C07D9">
              <w:rPr>
                <w:rFonts w:ascii="Times New Roman" w:hAnsi="Times New Roman" w:cs="Times New Roman"/>
                <w:bCs/>
                <w:color w:val="000000"/>
              </w:rPr>
              <w:t>) kullanılırken, pH'ı düşürmek için genellikle sülfürik asit (H</w:t>
            </w:r>
            <w:r w:rsidRPr="002C07D9">
              <w:rPr>
                <w:rFonts w:ascii="Times New Roman" w:hAnsi="Times New Roman" w:cs="Times New Roman"/>
                <w:bCs/>
                <w:color w:val="000000"/>
                <w:vertAlign w:val="subscript"/>
              </w:rPr>
              <w:t>2</w:t>
            </w:r>
            <w:r w:rsidRPr="002C07D9">
              <w:rPr>
                <w:rFonts w:ascii="Times New Roman" w:hAnsi="Times New Roman" w:cs="Times New Roman"/>
                <w:bCs/>
                <w:color w:val="000000"/>
              </w:rPr>
              <w:t>SO</w:t>
            </w:r>
            <w:r w:rsidRPr="002C07D9">
              <w:rPr>
                <w:rFonts w:ascii="Times New Roman" w:hAnsi="Times New Roman" w:cs="Times New Roman"/>
                <w:bCs/>
                <w:color w:val="000000"/>
                <w:vertAlign w:val="subscript"/>
              </w:rPr>
              <w:t>4</w:t>
            </w:r>
            <w:r w:rsidRPr="002C07D9">
              <w:rPr>
                <w:rFonts w:ascii="Times New Roman" w:hAnsi="Times New Roman" w:cs="Times New Roman"/>
                <w:bCs/>
                <w:color w:val="000000"/>
              </w:rPr>
              <w:t>), hidroklorik asit (HCl) veya karbondioksit (CO</w:t>
            </w:r>
            <w:r w:rsidRPr="002C07D9">
              <w:rPr>
                <w:rFonts w:ascii="Times New Roman" w:hAnsi="Times New Roman" w:cs="Times New Roman"/>
                <w:bCs/>
                <w:color w:val="000000"/>
                <w:vertAlign w:val="subscript"/>
              </w:rPr>
              <w:t>2</w:t>
            </w:r>
            <w:r w:rsidRPr="002C07D9">
              <w:rPr>
                <w:rFonts w:ascii="Times New Roman" w:hAnsi="Times New Roman" w:cs="Times New Roman"/>
                <w:bCs/>
                <w:color w:val="000000"/>
              </w:rPr>
              <w:t>) kullanılır. Nötrleştirme sırasında bazı maddelerin çökelmesi meydana gelebilir.</w:t>
            </w:r>
          </w:p>
        </w:tc>
      </w:tr>
      <w:tr w:rsidR="003B155E" w:rsidRPr="002C07D9" w14:paraId="6E9D6A32" w14:textId="77777777" w:rsidTr="000D79D6">
        <w:tc>
          <w:tcPr>
            <w:tcW w:w="1775" w:type="pct"/>
            <w:vAlign w:val="center"/>
          </w:tcPr>
          <w:p w14:paraId="773CC1CD"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Nitrifikasyon/Denitrifikasyon: </w:t>
            </w:r>
          </w:p>
        </w:tc>
        <w:tc>
          <w:tcPr>
            <w:tcW w:w="3225" w:type="pct"/>
            <w:vAlign w:val="center"/>
          </w:tcPr>
          <w:p w14:paraId="70E3CF87" w14:textId="77777777" w:rsidR="003B155E" w:rsidRPr="002C07D9" w:rsidRDefault="003B155E" w:rsidP="000D79D6">
            <w:pPr>
              <w:contextualSpacing/>
              <w:jc w:val="both"/>
              <w:rPr>
                <w:rFonts w:ascii="Times New Roman" w:eastAsia="DengXian Light" w:hAnsi="Times New Roman" w:cs="Times New Roman"/>
                <w:bCs/>
                <w:color w:val="000000"/>
              </w:rPr>
            </w:pPr>
            <w:r w:rsidRPr="002C07D9">
              <w:rPr>
                <w:rFonts w:ascii="Times New Roman" w:hAnsi="Times New Roman" w:cs="Times New Roman"/>
                <w:bCs/>
                <w:spacing w:val="2"/>
                <w:position w:val="-1"/>
              </w:rPr>
              <w:t>Tipik olarak biyolojik atıksu arıtma tesislerine dahil edilen iki aşamalı bir işlemdir. İlk adım, mikroorganizmaların amonyumu (NH</w:t>
            </w:r>
            <w:r w:rsidRPr="002C07D9">
              <w:rPr>
                <w:rFonts w:ascii="Times New Roman" w:hAnsi="Times New Roman" w:cs="Times New Roman"/>
                <w:bCs/>
                <w:spacing w:val="2"/>
                <w:position w:val="-1"/>
                <w:vertAlign w:val="subscript"/>
              </w:rPr>
              <w:t>4</w:t>
            </w:r>
            <w:r w:rsidRPr="002C07D9">
              <w:rPr>
                <w:rFonts w:ascii="Times New Roman" w:hAnsi="Times New Roman" w:cs="Times New Roman"/>
                <w:bCs/>
                <w:spacing w:val="2"/>
                <w:position w:val="-1"/>
                <w:vertAlign w:val="superscript"/>
              </w:rPr>
              <w:t>+</w:t>
            </w:r>
            <w:r w:rsidRPr="002C07D9">
              <w:rPr>
                <w:rFonts w:ascii="Times New Roman" w:hAnsi="Times New Roman" w:cs="Times New Roman"/>
                <w:bCs/>
                <w:spacing w:val="2"/>
                <w:position w:val="-1"/>
              </w:rPr>
              <w:t>), nitrite (NO</w:t>
            </w:r>
            <w:r w:rsidRPr="002C07D9">
              <w:rPr>
                <w:rFonts w:ascii="Times New Roman" w:hAnsi="Times New Roman" w:cs="Times New Roman"/>
                <w:bCs/>
                <w:spacing w:val="2"/>
                <w:position w:val="-1"/>
                <w:vertAlign w:val="subscript"/>
              </w:rPr>
              <w:t>2</w:t>
            </w:r>
            <w:r w:rsidRPr="002C07D9">
              <w:rPr>
                <w:rFonts w:ascii="Times New Roman" w:hAnsi="Times New Roman" w:cs="Times New Roman"/>
                <w:bCs/>
                <w:spacing w:val="2"/>
                <w:position w:val="-1"/>
                <w:vertAlign w:val="superscript"/>
              </w:rPr>
              <w:t>-</w:t>
            </w:r>
            <w:r w:rsidRPr="002C07D9">
              <w:rPr>
                <w:rFonts w:ascii="Times New Roman" w:hAnsi="Times New Roman" w:cs="Times New Roman"/>
                <w:bCs/>
                <w:spacing w:val="2"/>
                <w:position w:val="-1"/>
              </w:rPr>
              <w:t>) ve ardından nitrata (NO</w:t>
            </w:r>
            <w:r w:rsidRPr="002C07D9">
              <w:rPr>
                <w:rFonts w:ascii="Times New Roman" w:hAnsi="Times New Roman" w:cs="Times New Roman"/>
                <w:bCs/>
                <w:spacing w:val="2"/>
                <w:position w:val="-1"/>
                <w:vertAlign w:val="subscript"/>
              </w:rPr>
              <w:t>3</w:t>
            </w:r>
            <w:r w:rsidRPr="002C07D9">
              <w:rPr>
                <w:rFonts w:ascii="Times New Roman" w:hAnsi="Times New Roman" w:cs="Times New Roman"/>
                <w:bCs/>
                <w:spacing w:val="2"/>
                <w:position w:val="-1"/>
                <w:vertAlign w:val="superscript"/>
              </w:rPr>
              <w:t>-</w:t>
            </w:r>
            <w:r w:rsidRPr="002C07D9">
              <w:rPr>
                <w:rFonts w:ascii="Times New Roman" w:hAnsi="Times New Roman" w:cs="Times New Roman"/>
                <w:bCs/>
                <w:spacing w:val="2"/>
                <w:position w:val="-1"/>
              </w:rPr>
              <w:t>) oksitlediği aerobik nitrifikasyondur. Anoksik denitrifikasyon adımında, mikroorganizmalar kimyasal olarak nitratı nitrojen gazına indirgemektedir.</w:t>
            </w:r>
          </w:p>
        </w:tc>
      </w:tr>
      <w:tr w:rsidR="003B155E" w:rsidRPr="002C07D9" w14:paraId="0B7EF9A5" w14:textId="77777777" w:rsidTr="000D79D6">
        <w:tc>
          <w:tcPr>
            <w:tcW w:w="1775" w:type="pct"/>
            <w:vAlign w:val="center"/>
          </w:tcPr>
          <w:p w14:paraId="27FFFF9E"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Kısmi nitrifikasyon-anaerobik amonyum oksidasyonu: </w:t>
            </w:r>
          </w:p>
        </w:tc>
        <w:tc>
          <w:tcPr>
            <w:tcW w:w="3225" w:type="pct"/>
            <w:vAlign w:val="center"/>
          </w:tcPr>
          <w:p w14:paraId="22FE2931"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Anaerobik koşullar altında amonyum ve nitriti, nitrojen gazına dönüştüren biyolojik bir işlem. Atıksu arıtımında, anaerobik amonyum oksidasyonu, amonyumun (NH</w:t>
            </w:r>
            <w:r w:rsidRPr="002C07D9">
              <w:rPr>
                <w:rFonts w:ascii="Times New Roman" w:hAnsi="Times New Roman" w:cs="Times New Roman"/>
                <w:bCs/>
                <w:color w:val="000000"/>
                <w:vertAlign w:val="subscript"/>
              </w:rPr>
              <w:t>4</w:t>
            </w:r>
            <w:r w:rsidRPr="002C07D9">
              <w:rPr>
                <w:rFonts w:ascii="Times New Roman" w:hAnsi="Times New Roman" w:cs="Times New Roman"/>
                <w:bCs/>
                <w:color w:val="000000"/>
                <w:vertAlign w:val="superscript"/>
              </w:rPr>
              <w:t>+</w:t>
            </w:r>
            <w:r w:rsidRPr="002C07D9">
              <w:rPr>
                <w:rFonts w:ascii="Times New Roman" w:hAnsi="Times New Roman" w:cs="Times New Roman"/>
                <w:bCs/>
                <w:color w:val="000000"/>
              </w:rPr>
              <w:t>) yaklaşık yarısını nitrite (NO</w:t>
            </w:r>
            <w:r w:rsidRPr="002C07D9">
              <w:rPr>
                <w:rFonts w:ascii="Times New Roman" w:hAnsi="Times New Roman" w:cs="Times New Roman"/>
                <w:bCs/>
                <w:color w:val="000000"/>
                <w:vertAlign w:val="subscript"/>
              </w:rPr>
              <w:t>2</w:t>
            </w:r>
            <w:r w:rsidRPr="002C07D9">
              <w:rPr>
                <w:rFonts w:ascii="Times New Roman" w:hAnsi="Times New Roman" w:cs="Times New Roman"/>
                <w:bCs/>
                <w:color w:val="000000"/>
                <w:vertAlign w:val="superscript"/>
              </w:rPr>
              <w:t>-</w:t>
            </w:r>
            <w:r w:rsidRPr="002C07D9">
              <w:rPr>
                <w:rFonts w:ascii="Times New Roman" w:hAnsi="Times New Roman" w:cs="Times New Roman"/>
                <w:bCs/>
                <w:color w:val="000000"/>
              </w:rPr>
              <w:t>) dönüştüren kısmi bir nitrifikasyon ile önlenir.</w:t>
            </w:r>
          </w:p>
        </w:tc>
      </w:tr>
      <w:tr w:rsidR="003B155E" w:rsidRPr="002C07D9" w14:paraId="36278E55" w14:textId="77777777" w:rsidTr="000D79D6">
        <w:tc>
          <w:tcPr>
            <w:tcW w:w="1775" w:type="pct"/>
            <w:vAlign w:val="center"/>
          </w:tcPr>
          <w:p w14:paraId="213BF54D"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Strüvit olarak fosfor geri kazanımı: </w:t>
            </w:r>
          </w:p>
        </w:tc>
        <w:tc>
          <w:tcPr>
            <w:tcW w:w="3225" w:type="pct"/>
            <w:vAlign w:val="center"/>
          </w:tcPr>
          <w:p w14:paraId="143E53F5"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Fosfor, strüvit (magnezyum amonyum fosfat) formunda çöktürme yoluyla geri kazanılır.</w:t>
            </w:r>
          </w:p>
        </w:tc>
      </w:tr>
      <w:tr w:rsidR="003B155E" w:rsidRPr="002C07D9" w14:paraId="7077027C" w14:textId="77777777" w:rsidTr="000D79D6">
        <w:tc>
          <w:tcPr>
            <w:tcW w:w="1775" w:type="pct"/>
            <w:vAlign w:val="center"/>
          </w:tcPr>
          <w:p w14:paraId="268C32CA"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Sedimentasyon: </w:t>
            </w:r>
          </w:p>
        </w:tc>
        <w:tc>
          <w:tcPr>
            <w:tcW w:w="3225" w:type="pct"/>
            <w:vAlign w:val="center"/>
          </w:tcPr>
          <w:p w14:paraId="6B85360A"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Askıdaki parçacıkların yerçekimi yardımıyla  ayrılması.</w:t>
            </w:r>
          </w:p>
        </w:tc>
      </w:tr>
      <w:tr w:rsidR="003B155E" w:rsidRPr="002C07D9" w14:paraId="5FF35A6C" w14:textId="77777777" w:rsidTr="000D79D6">
        <w:tc>
          <w:tcPr>
            <w:tcW w:w="1775" w:type="pct"/>
            <w:vAlign w:val="center"/>
          </w:tcPr>
          <w:p w14:paraId="20A73BC5"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Yukarı akışlı çamur yataklı anaerobik proses: </w:t>
            </w:r>
          </w:p>
        </w:tc>
        <w:tc>
          <w:tcPr>
            <w:tcW w:w="3225" w:type="pct"/>
            <w:vAlign w:val="center"/>
          </w:tcPr>
          <w:p w14:paraId="4AACBD9F"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Atıksuyun reaktörün tabanına verildiği ve biyolojik olarak granül veya parçacıklardan oluşan bir çamur örtüsünden yukarı doğru aktığı anaerobik bir işlem. Atıksu fazı, katı içeriğin ayrıldığı bir çökelme odasına geçerek gazlar reaktörün üst kısmında toplanır.</w:t>
            </w:r>
          </w:p>
        </w:tc>
      </w:tr>
    </w:tbl>
    <w:p w14:paraId="69C05636" w14:textId="77777777" w:rsidR="003B155E" w:rsidRPr="002C07D9" w:rsidRDefault="003B155E" w:rsidP="003B155E">
      <w:pPr>
        <w:keepNext/>
        <w:keepLines/>
        <w:widowControl w:val="0"/>
        <w:spacing w:after="0" w:line="360" w:lineRule="auto"/>
        <w:jc w:val="both"/>
        <w:outlineLvl w:val="2"/>
        <w:rPr>
          <w:rFonts w:ascii="Times New Roman" w:eastAsia="Times New Roman" w:hAnsi="Times New Roman" w:cs="Times New Roman"/>
          <w:b/>
          <w:color w:val="000000"/>
          <w:kern w:val="0"/>
          <w:sz w:val="24"/>
          <w:szCs w:val="24"/>
          <w:lang w:eastAsia="tr-TR"/>
          <w14:ligatures w14:val="none"/>
        </w:rPr>
      </w:pPr>
      <w:r w:rsidRPr="002C07D9">
        <w:rPr>
          <w:rFonts w:ascii="Times New Roman" w:eastAsia="Times New Roman" w:hAnsi="Times New Roman" w:cs="Times New Roman"/>
          <w:b/>
          <w:color w:val="000000"/>
          <w:kern w:val="0"/>
          <w:sz w:val="24"/>
          <w:szCs w:val="24"/>
          <w:lang w:eastAsia="tr-TR"/>
          <w14:ligatures w14:val="none"/>
        </w:rPr>
        <w:t>14.2. Hava Emisyonları</w:t>
      </w:r>
    </w:p>
    <w:tbl>
      <w:tblPr>
        <w:tblStyle w:val="TabloKlavuzu24"/>
        <w:tblW w:w="5000" w:type="pct"/>
        <w:tblLook w:val="04A0" w:firstRow="1" w:lastRow="0" w:firstColumn="1" w:lastColumn="0" w:noHBand="0" w:noVBand="1"/>
      </w:tblPr>
      <w:tblGrid>
        <w:gridCol w:w="3217"/>
        <w:gridCol w:w="5845"/>
      </w:tblGrid>
      <w:tr w:rsidR="003B155E" w:rsidRPr="002C07D9" w14:paraId="48478DCE" w14:textId="77777777" w:rsidTr="000D79D6">
        <w:tc>
          <w:tcPr>
            <w:tcW w:w="1775" w:type="pct"/>
            <w:vAlign w:val="center"/>
          </w:tcPr>
          <w:p w14:paraId="12B836F4" w14:textId="77777777" w:rsidR="003B155E" w:rsidRPr="002C07D9" w:rsidRDefault="003B155E" w:rsidP="000D79D6">
            <w:pPr>
              <w:jc w:val="center"/>
              <w:rPr>
                <w:rFonts w:ascii="Times New Roman" w:hAnsi="Times New Roman" w:cs="Times New Roman"/>
                <w:bCs/>
              </w:rPr>
            </w:pPr>
            <w:r w:rsidRPr="002C07D9">
              <w:rPr>
                <w:rFonts w:ascii="Times New Roman" w:hAnsi="Times New Roman" w:cs="Times New Roman"/>
                <w:bCs/>
              </w:rPr>
              <w:t>Kullanılan Terim</w:t>
            </w:r>
          </w:p>
        </w:tc>
        <w:tc>
          <w:tcPr>
            <w:tcW w:w="3225" w:type="pct"/>
            <w:vAlign w:val="center"/>
          </w:tcPr>
          <w:p w14:paraId="4020E03E" w14:textId="77777777" w:rsidR="003B155E" w:rsidRPr="002C07D9" w:rsidRDefault="003B155E" w:rsidP="000D79D6">
            <w:pPr>
              <w:jc w:val="center"/>
              <w:rPr>
                <w:rFonts w:ascii="Times New Roman" w:hAnsi="Times New Roman" w:cs="Times New Roman"/>
                <w:bCs/>
              </w:rPr>
            </w:pPr>
            <w:r w:rsidRPr="002C07D9">
              <w:rPr>
                <w:rFonts w:ascii="Times New Roman" w:hAnsi="Times New Roman" w:cs="Times New Roman"/>
                <w:bCs/>
              </w:rPr>
              <w:t>Tanım</w:t>
            </w:r>
          </w:p>
        </w:tc>
      </w:tr>
      <w:tr w:rsidR="003B155E" w:rsidRPr="002C07D9" w14:paraId="3331F30B" w14:textId="77777777" w:rsidTr="000D79D6">
        <w:tc>
          <w:tcPr>
            <w:tcW w:w="1775" w:type="pct"/>
            <w:vAlign w:val="center"/>
          </w:tcPr>
          <w:p w14:paraId="7C17E529"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color w:val="000000"/>
              </w:rPr>
              <w:t>Torba filtre</w:t>
            </w:r>
          </w:p>
        </w:tc>
        <w:tc>
          <w:tcPr>
            <w:tcW w:w="3225" w:type="pct"/>
            <w:vAlign w:val="center"/>
          </w:tcPr>
          <w:p w14:paraId="3BBF411E"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Çoğunlukla kumaş filtreler olarak adlandırılan torba filtreler, parçacıkları uzaklaştırmak için gazların içinden geçirildiği gözenekli dokuma veya keçeli kumaştan yapılmaktadır. Torbalı filtre kullanımı, atık gazın özelliklerine ve maksimum çalışma sıcaklığına uygun kumaş seçimini gerektirmektedir.</w:t>
            </w:r>
          </w:p>
        </w:tc>
      </w:tr>
      <w:tr w:rsidR="003B155E" w:rsidRPr="002C07D9" w14:paraId="4E2E68FE" w14:textId="77777777" w:rsidTr="000D79D6">
        <w:tc>
          <w:tcPr>
            <w:tcW w:w="1775" w:type="pct"/>
            <w:vAlign w:val="center"/>
          </w:tcPr>
          <w:p w14:paraId="1E45A9FD"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Siklon: </w:t>
            </w:r>
          </w:p>
        </w:tc>
        <w:tc>
          <w:tcPr>
            <w:tcW w:w="3225" w:type="pct"/>
            <w:vAlign w:val="center"/>
          </w:tcPr>
          <w:p w14:paraId="71972334"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Taşıyıcı gazdan ağır partiküllerin ayrıldığı, santrifüj kuvvetine dayalı toz kontrol sistemidir.</w:t>
            </w:r>
          </w:p>
        </w:tc>
      </w:tr>
      <w:tr w:rsidR="003B155E" w:rsidRPr="002C07D9" w14:paraId="3BA39225" w14:textId="77777777" w:rsidTr="000D79D6">
        <w:tc>
          <w:tcPr>
            <w:tcW w:w="1775" w:type="pct"/>
            <w:vAlign w:val="center"/>
          </w:tcPr>
          <w:p w14:paraId="657EAFB6"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Termal olmayan plazma işlemi: </w:t>
            </w:r>
          </w:p>
        </w:tc>
        <w:tc>
          <w:tcPr>
            <w:tcW w:w="3225" w:type="pct"/>
            <w:vAlign w:val="center"/>
          </w:tcPr>
          <w:p w14:paraId="4827D858"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Atık gazda güçlü bir elektrik alanı kullanarak bir plazma (yani pozitif iyonlardan ve serbest elektronlardan oluşan ve az çok genel elektrik yükü oluşturmayan oranlarda iyonize bir gaz) oluşturmaya dayanan azaltma tekniği. Plazma organik ve inorganik bileşikleri oksitler.</w:t>
            </w:r>
          </w:p>
        </w:tc>
      </w:tr>
      <w:tr w:rsidR="003B155E" w:rsidRPr="002C07D9" w14:paraId="3E61C8D9" w14:textId="77777777" w:rsidTr="000D79D6">
        <w:tc>
          <w:tcPr>
            <w:tcW w:w="1775" w:type="pct"/>
            <w:vAlign w:val="center"/>
          </w:tcPr>
          <w:p w14:paraId="0D2A57AE"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Termal oksidasyon: </w:t>
            </w:r>
          </w:p>
        </w:tc>
        <w:tc>
          <w:tcPr>
            <w:tcW w:w="3225" w:type="pct"/>
            <w:vAlign w:val="center"/>
          </w:tcPr>
          <w:p w14:paraId="2C727791" w14:textId="77777777" w:rsidR="003B155E" w:rsidRPr="002C07D9" w:rsidRDefault="003B155E" w:rsidP="000D79D6">
            <w:pPr>
              <w:widowControl w:val="0"/>
              <w:jc w:val="both"/>
              <w:rPr>
                <w:rFonts w:ascii="Times New Roman" w:hAnsi="Times New Roman" w:cs="Times New Roman"/>
                <w:bCs/>
              </w:rPr>
            </w:pPr>
            <w:r w:rsidRPr="002C07D9">
              <w:rPr>
                <w:rFonts w:ascii="Times New Roman" w:hAnsi="Times New Roman" w:cs="Times New Roman"/>
                <w:bCs/>
                <w:color w:val="000000"/>
              </w:rPr>
              <w:t xml:space="preserve">Bir atık gaz akışındaki yanıcı gazların ve koku maddelerinin, kirletici madde karışımının hava veya oksijen ile bir yanma odasında otomatik tutuşma noktasının üzerine ısıtılması ve </w:t>
            </w:r>
            <w:r w:rsidRPr="002C07D9">
              <w:rPr>
                <w:rFonts w:ascii="Times New Roman" w:hAnsi="Times New Roman" w:cs="Times New Roman"/>
                <w:bCs/>
                <w:color w:val="000000"/>
              </w:rPr>
              <w:lastRenderedPageBreak/>
              <w:t>yanmayı karbondioksit ve suya tamamlayacak kadar uzun bir süre yüksek bir sıcaklıkta tutulması yoluyla oksidasyonu.</w:t>
            </w:r>
          </w:p>
        </w:tc>
      </w:tr>
      <w:tr w:rsidR="003B155E" w:rsidRPr="002C07D9" w14:paraId="0C798723" w14:textId="77777777" w:rsidTr="000D79D6">
        <w:tc>
          <w:tcPr>
            <w:tcW w:w="1775" w:type="pct"/>
            <w:vAlign w:val="center"/>
          </w:tcPr>
          <w:p w14:paraId="4862F823" w14:textId="77777777" w:rsidR="003B155E" w:rsidRPr="002C07D9" w:rsidRDefault="003B155E" w:rsidP="000D79D6">
            <w:pPr>
              <w:rPr>
                <w:rFonts w:ascii="Times New Roman" w:hAnsi="Times New Roman" w:cs="Times New Roman"/>
                <w:bCs/>
              </w:rPr>
            </w:pPr>
            <w:r w:rsidRPr="002C07D9">
              <w:rPr>
                <w:rFonts w:ascii="Times New Roman" w:hAnsi="Times New Roman" w:cs="Times New Roman"/>
                <w:bCs/>
              </w:rPr>
              <w:lastRenderedPageBreak/>
              <w:t>Gaz Yakıtların kullanılması</w:t>
            </w:r>
          </w:p>
        </w:tc>
        <w:tc>
          <w:tcPr>
            <w:tcW w:w="3225" w:type="pct"/>
            <w:vAlign w:val="center"/>
          </w:tcPr>
          <w:p w14:paraId="17D61F40"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rPr>
              <w:t>Katı bir yakıtın (örn. kömür) yakılmasından, emisyonlar açısından daha az zararlı (örn. düşük kükürt içeriği, düşük kül içeriği veya daha iyi kül kalitesi) bir gaz yakıtın (örn. doğal gaz, biyogaz) yakılmasına geçilmesi.</w:t>
            </w:r>
          </w:p>
        </w:tc>
      </w:tr>
      <w:tr w:rsidR="003B155E" w:rsidRPr="002C07D9" w14:paraId="7158BE63" w14:textId="77777777" w:rsidTr="000D79D6">
        <w:tc>
          <w:tcPr>
            <w:tcW w:w="1775" w:type="pct"/>
            <w:vAlign w:val="center"/>
          </w:tcPr>
          <w:p w14:paraId="2D41F5A0" w14:textId="77777777" w:rsidR="003B155E" w:rsidRPr="002C07D9" w:rsidRDefault="003B155E" w:rsidP="000D79D6">
            <w:pPr>
              <w:widowControl w:val="0"/>
              <w:jc w:val="both"/>
              <w:rPr>
                <w:rFonts w:ascii="Times New Roman" w:hAnsi="Times New Roman" w:cs="Times New Roman"/>
                <w:bCs/>
                <w:color w:val="000000"/>
              </w:rPr>
            </w:pPr>
            <w:r w:rsidRPr="002C07D9">
              <w:rPr>
                <w:rFonts w:ascii="Times New Roman" w:hAnsi="Times New Roman" w:cs="Times New Roman"/>
                <w:bCs/>
                <w:color w:val="000000"/>
              </w:rPr>
              <w:t xml:space="preserve">Sulu yıkayıcı: </w:t>
            </w:r>
          </w:p>
        </w:tc>
        <w:tc>
          <w:tcPr>
            <w:tcW w:w="3225" w:type="pct"/>
            <w:vAlign w:val="center"/>
          </w:tcPr>
          <w:p w14:paraId="5678BF89" w14:textId="77777777" w:rsidR="003B155E" w:rsidRPr="002C07D9" w:rsidRDefault="003B155E" w:rsidP="000D79D6">
            <w:pPr>
              <w:jc w:val="both"/>
              <w:rPr>
                <w:rFonts w:ascii="Times New Roman" w:hAnsi="Times New Roman" w:cs="Times New Roman"/>
                <w:bCs/>
              </w:rPr>
            </w:pPr>
            <w:r w:rsidRPr="002C07D9">
              <w:rPr>
                <w:rFonts w:ascii="Times New Roman" w:hAnsi="Times New Roman" w:cs="Times New Roman"/>
                <w:bCs/>
                <w:color w:val="000000"/>
              </w:rPr>
              <w:t>Gaz halindeki veya parçacık halindeki kirleticilerin bir gaz akışından sıvı bir çözücüye, genellikle suya veya sulu bir çözeltiye kütle aktarımı yoluyla uzaklaştırılması. Kimyasal bir reaksiyon içerebilir (örn. asit veya alkali temizleyicide). Bazı durumlarda bileşikler solventten geri kazanılabilir.</w:t>
            </w:r>
          </w:p>
        </w:tc>
      </w:tr>
    </w:tbl>
    <w:p w14:paraId="748CD113" w14:textId="77777777" w:rsidR="003B155E" w:rsidRDefault="003B155E" w:rsidP="003B155E">
      <w:pPr>
        <w:spacing w:after="120" w:line="276" w:lineRule="auto"/>
        <w:jc w:val="both"/>
        <w:rPr>
          <w:rFonts w:ascii="Times New Roman" w:hAnsi="Times New Roman" w:cs="Times New Roman"/>
          <w:sz w:val="24"/>
          <w:szCs w:val="24"/>
        </w:rPr>
      </w:pPr>
    </w:p>
    <w:p w14:paraId="2A8B0C32" w14:textId="77777777" w:rsidR="00B2618B" w:rsidRDefault="00B2618B" w:rsidP="00F9333E">
      <w:pPr>
        <w:spacing w:after="120" w:line="276" w:lineRule="auto"/>
        <w:jc w:val="both"/>
        <w:rPr>
          <w:rFonts w:ascii="Times New Roman" w:hAnsi="Times New Roman" w:cs="Times New Roman"/>
          <w:sz w:val="24"/>
          <w:szCs w:val="24"/>
        </w:rPr>
        <w:sectPr w:rsidR="00B2618B">
          <w:pgSz w:w="11906" w:h="16838"/>
          <w:pgMar w:top="1417" w:right="1417" w:bottom="1417" w:left="1417" w:header="708" w:footer="708" w:gutter="0"/>
          <w:cols w:space="708"/>
          <w:docGrid w:linePitch="360"/>
        </w:sectPr>
      </w:pPr>
    </w:p>
    <w:p w14:paraId="335F9249" w14:textId="77777777" w:rsidR="003B155E" w:rsidRPr="008130D9" w:rsidRDefault="003B155E" w:rsidP="003B155E">
      <w:pPr>
        <w:pStyle w:val="Balk1"/>
        <w:spacing w:before="0" w:after="120" w:line="276" w:lineRule="auto"/>
        <w:jc w:val="right"/>
        <w:rPr>
          <w:rFonts w:cs="Times New Roman"/>
          <w:bCs/>
          <w:szCs w:val="24"/>
        </w:rPr>
      </w:pPr>
      <w:r w:rsidRPr="008130D9">
        <w:rPr>
          <w:rFonts w:cs="Times New Roman"/>
          <w:bCs/>
          <w:szCs w:val="24"/>
        </w:rPr>
        <w:lastRenderedPageBreak/>
        <w:t>EK-8</w:t>
      </w:r>
    </w:p>
    <w:p w14:paraId="747BD63B" w14:textId="77777777" w:rsidR="003B155E" w:rsidRPr="007F1D69" w:rsidRDefault="003B155E" w:rsidP="003B155E">
      <w:pPr>
        <w:pStyle w:val="Balk1"/>
        <w:spacing w:before="0" w:after="120" w:line="276" w:lineRule="auto"/>
        <w:jc w:val="center"/>
        <w:rPr>
          <w:rFonts w:cs="Times New Roman"/>
          <w:b w:val="0"/>
          <w:bCs/>
          <w:szCs w:val="24"/>
        </w:rPr>
      </w:pPr>
      <w:r w:rsidRPr="008130D9">
        <w:rPr>
          <w:rFonts w:cs="Times New Roman"/>
          <w:bCs/>
          <w:szCs w:val="24"/>
        </w:rPr>
        <w:t>ENTANSİF</w:t>
      </w:r>
      <w:r>
        <w:rPr>
          <w:rFonts w:cs="Times New Roman"/>
          <w:bCs/>
          <w:szCs w:val="24"/>
        </w:rPr>
        <w:t xml:space="preserve"> (YOĞUN)</w:t>
      </w:r>
      <w:r w:rsidRPr="008130D9">
        <w:rPr>
          <w:rFonts w:cs="Times New Roman"/>
          <w:bCs/>
          <w:szCs w:val="24"/>
        </w:rPr>
        <w:t xml:space="preserve"> KÜMES HAYVANI VE DOMUZ BESİCİLİĞİ İÇİN MEVCUT EN İYİ</w:t>
      </w:r>
      <w:r>
        <w:rPr>
          <w:rFonts w:cs="Times New Roman"/>
          <w:b w:val="0"/>
          <w:bCs/>
          <w:szCs w:val="24"/>
        </w:rPr>
        <w:t xml:space="preserve"> </w:t>
      </w:r>
      <w:r w:rsidRPr="008130D9">
        <w:rPr>
          <w:rFonts w:cs="Times New Roman"/>
          <w:bCs/>
          <w:szCs w:val="24"/>
        </w:rPr>
        <w:t>TEKNİKLER</w:t>
      </w:r>
    </w:p>
    <w:p w14:paraId="4DD67BDC"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Ek-1’inde yer alan aşağıdaki endüstriyel faaliyetleri kapsar:</w:t>
      </w:r>
    </w:p>
    <w:p w14:paraId="385A8C7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6.6. Entansif kümes hayvanı ve domuz besiciliği: 40.000’den fazla kümes hayvanı kapasiteli tesisler.</w:t>
      </w:r>
    </w:p>
    <w:p w14:paraId="04CAF65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özellikle aşağıdaki saha içi prosesleri ve faaliyetleri de kapsar:</w:t>
      </w:r>
    </w:p>
    <w:p w14:paraId="795923EB" w14:textId="77777777" w:rsidR="003B155E" w:rsidRPr="00BF5597"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kümes hayvanlarının </w:t>
      </w:r>
      <w:r w:rsidRPr="00BF5597">
        <w:rPr>
          <w:rFonts w:ascii="Times New Roman" w:hAnsi="Times New Roman" w:cs="Times New Roman"/>
          <w:sz w:val="24"/>
          <w:szCs w:val="24"/>
        </w:rPr>
        <w:t>ve domuzların beslenme yönetimi;</w:t>
      </w:r>
    </w:p>
    <w:p w14:paraId="6BC3F70A" w14:textId="77777777" w:rsidR="003B155E" w:rsidRPr="00BF5597" w:rsidRDefault="003B155E" w:rsidP="003B155E">
      <w:pPr>
        <w:spacing w:after="120" w:line="276" w:lineRule="auto"/>
        <w:jc w:val="both"/>
        <w:rPr>
          <w:rFonts w:ascii="Times New Roman" w:hAnsi="Times New Roman" w:cs="Times New Roman"/>
          <w:sz w:val="24"/>
          <w:szCs w:val="24"/>
        </w:rPr>
      </w:pPr>
      <w:r w:rsidRPr="00BF5597">
        <w:rPr>
          <w:rFonts w:ascii="Times New Roman" w:hAnsi="Times New Roman" w:cs="Times New Roman"/>
          <w:sz w:val="24"/>
          <w:szCs w:val="24"/>
        </w:rPr>
        <w:t>-- yem hazırlanması (öğütme, karıştırma ve depolama);</w:t>
      </w:r>
    </w:p>
    <w:p w14:paraId="57E92076" w14:textId="77777777" w:rsidR="003B155E" w:rsidRDefault="003B155E" w:rsidP="003B155E">
      <w:pPr>
        <w:spacing w:after="120" w:line="276" w:lineRule="auto"/>
        <w:jc w:val="both"/>
        <w:rPr>
          <w:rFonts w:ascii="Times New Roman" w:hAnsi="Times New Roman" w:cs="Times New Roman"/>
          <w:sz w:val="24"/>
          <w:szCs w:val="24"/>
        </w:rPr>
      </w:pPr>
      <w:r w:rsidRPr="00BF5597">
        <w:rPr>
          <w:rFonts w:ascii="Times New Roman" w:hAnsi="Times New Roman" w:cs="Times New Roman"/>
          <w:sz w:val="24"/>
          <w:szCs w:val="24"/>
        </w:rPr>
        <w:t>-- kümes hayvanlarının ve domuzların yetiştirilmesi</w:t>
      </w:r>
      <w:r>
        <w:rPr>
          <w:rFonts w:ascii="Times New Roman" w:hAnsi="Times New Roman" w:cs="Times New Roman"/>
          <w:sz w:val="24"/>
          <w:szCs w:val="24"/>
        </w:rPr>
        <w:t xml:space="preserve"> (barınması);</w:t>
      </w:r>
    </w:p>
    <w:p w14:paraId="258F230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hayvansal gübrenin toplanması ve depolanması;</w:t>
      </w:r>
    </w:p>
    <w:p w14:paraId="7F3F0340"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hayvansal gübrenin işlenmesi;</w:t>
      </w:r>
    </w:p>
    <w:p w14:paraId="2F6CB44C"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hayvansal gübrenin araziye dağıtılması;</w:t>
      </w:r>
    </w:p>
    <w:p w14:paraId="784D9FCC"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ölü hayvanların depolanması.</w:t>
      </w:r>
    </w:p>
    <w:p w14:paraId="54F84D4B"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 prosesleri veya faaliyetleri kapsamaz:</w:t>
      </w:r>
    </w:p>
    <w:p w14:paraId="54BA1D9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Ölü hayvanların bertarafı.</w:t>
      </w:r>
    </w:p>
    <w:p w14:paraId="030D5664"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hayvansal gübrenin depolanması ve araziye dağıtılması için uygulanması durumunda, Tarımsal Kaynaklı Nitrat Kirliliğine Karşı Suların Korunması Yönetmeliği (R.G. 23.07.2016, Sayı: 29779) hükümlerine halel getirmeksizin uygulanır.</w:t>
      </w:r>
    </w:p>
    <w:p w14:paraId="31B7E078"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ölü hayvanların depolanması ve bertarafı ile hayvansal gübrenin işlenmesi ve araziye dağıtılması için uygulanması durumunda, İnsani Tüketim Amacıyla Kullanılmayan Hayvansal Yan Ürünler Yönetmeliği (R.G. 24.12.2011, Sayı: 28152) hükümlerine halel getirmeksizin uygulanır.</w:t>
      </w:r>
    </w:p>
    <w:p w14:paraId="762B2087"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örneğin hayvan refahı ile ilişkili diğer mevzuata halel getirmeksizin uygulanır.</w:t>
      </w:r>
    </w:p>
    <w:p w14:paraId="6F8BD014" w14:textId="77777777" w:rsidR="003B155E" w:rsidRPr="00FF45DE" w:rsidRDefault="003B155E" w:rsidP="003B155E">
      <w:pPr>
        <w:keepNext/>
        <w:keepLines/>
        <w:spacing w:before="240" w:after="0" w:line="360" w:lineRule="auto"/>
        <w:ind w:left="432" w:hanging="432"/>
        <w:jc w:val="both"/>
        <w:outlineLvl w:val="0"/>
        <w:rPr>
          <w:rFonts w:ascii="Times New Roman" w:eastAsia="DengXian Light" w:hAnsi="Times New Roman" w:cs="Microsoft Uighur"/>
          <w:b/>
          <w:kern w:val="0"/>
          <w:sz w:val="24"/>
          <w:szCs w:val="32"/>
          <w14:ligatures w14:val="none"/>
        </w:rPr>
      </w:pPr>
      <w:r w:rsidRPr="00FF45DE">
        <w:rPr>
          <w:rFonts w:ascii="Times New Roman" w:eastAsia="DengXian Light" w:hAnsi="Times New Roman" w:cs="Microsoft Uighur"/>
          <w:b/>
          <w:kern w:val="0"/>
          <w:sz w:val="24"/>
          <w:szCs w:val="32"/>
          <w14:ligatures w14:val="none"/>
        </w:rPr>
        <w:t>GENEL MET’LER</w:t>
      </w:r>
    </w:p>
    <w:p w14:paraId="61BA84FA"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16" w:name="_Toc136439101"/>
      <w:bookmarkStart w:id="17" w:name="_Toc136614300"/>
      <w:r w:rsidRPr="00FF45DE">
        <w:rPr>
          <w:rFonts w:ascii="Times New Roman" w:eastAsia="DengXian Light" w:hAnsi="Times New Roman" w:cs="Microsoft Uighur"/>
          <w:b/>
          <w:kern w:val="0"/>
          <w:sz w:val="24"/>
          <w:szCs w:val="26"/>
          <w14:ligatures w14:val="none"/>
        </w:rPr>
        <w:t>Çevre Yönetim Sistemleri (ÇYS)</w:t>
      </w:r>
      <w:bookmarkEnd w:id="16"/>
      <w:bookmarkEnd w:id="17"/>
    </w:p>
    <w:p w14:paraId="4B8C5272" w14:textId="77777777" w:rsidR="003B155E" w:rsidRPr="00FF45DE" w:rsidRDefault="003B155E" w:rsidP="003B155E">
      <w:pPr>
        <w:spacing w:before="240" w:after="0" w:line="360" w:lineRule="auto"/>
        <w:jc w:val="both"/>
        <w:rPr>
          <w:rFonts w:ascii="Times New Roman" w:eastAsia="Calibri" w:hAnsi="Times New Roman" w:cs="Calibri"/>
          <w:b/>
          <w:bCs/>
          <w:kern w:val="0"/>
          <w:sz w:val="24"/>
          <w14:ligatures w14:val="none"/>
        </w:rPr>
      </w:pPr>
      <w:r w:rsidRPr="00FF45DE">
        <w:rPr>
          <w:rFonts w:ascii="Times New Roman" w:eastAsia="Calibri" w:hAnsi="Times New Roman" w:cs="Calibri"/>
          <w:b/>
          <w:bCs/>
          <w:kern w:val="0"/>
          <w:sz w:val="24"/>
          <w14:ligatures w14:val="none"/>
        </w:rPr>
        <w:t>MET 1: Çiftliklerin genel çevresel performansını iyileştirmek için MET kapsamında aşağıdaki özelliklerin tümünü içeren bir Çevre Yönetim Sistemi (ÇYS) uygulanması ve buna bağlı kalınmasıdır:</w:t>
      </w:r>
    </w:p>
    <w:p w14:paraId="6143C145"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Etkili bir ÇYS’nin uygulanabilmesi için üst yönetimin de dahil olduğu yönetimin taahhüdü, liderliği ve hesap verebilirliği,</w:t>
      </w:r>
    </w:p>
    <w:p w14:paraId="7F5A5672"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lastRenderedPageBreak/>
        <w:t>Kuruluşun bağlamının belirlenmesini, ilgili tarafların ihtiyaç ve beklentilerinin belirlenmesini, tesisin çevre (veya insan sağlığı) için olası risklerle ilişkili özelliklerinin ve ayrıca çevre ile ilgili geçerli yasal düzenlemelerin belirlenmesini içeren analizin yapılması,</w:t>
      </w:r>
    </w:p>
    <w:p w14:paraId="47B34036"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Tesisin çevresel performansının sürekli iyileştirilmesini içeren bir çevre politikasının geliştirilmesi,</w:t>
      </w:r>
    </w:p>
    <w:p w14:paraId="42B32791"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Geçerli yasal gerekliliklere uygunluğun güvence altına alınması da dahil olmak üzere, önemli çevresel boyutlarla ilgili hedeflerin ve performans göstergelerinin oluşturulması,</w:t>
      </w:r>
    </w:p>
    <w:p w14:paraId="6E01B83F"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Çevresel hedeflere ulaşmak ve çevresel risklerden kaçınmak için gerekli prosedürleri ve eylemleri (gerektiğinde düzeltici ve önleyici faaliyetler dahil) planlaması ve uygulanması,</w:t>
      </w:r>
    </w:p>
    <w:p w14:paraId="5306292B"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Çevresel boyutlar ve amaçlarla ilgili yapıların, rollerin ve sorumlulukların belirlenmesi ve ihtiyaç duyulan mali ve insan kaynaklarının sağlanması,</w:t>
      </w:r>
    </w:p>
    <w:p w14:paraId="2E664032"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Çalışmaları tesisin çevresel performansını etkileyebilecek personelin gerekli yeterlilik ve farkındalığının sağlanması (örneğin bilgi ve eğitim sağlayarak),</w:t>
      </w:r>
    </w:p>
    <w:p w14:paraId="23B99562"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İç ve dış iletişim,</w:t>
      </w:r>
    </w:p>
    <w:p w14:paraId="21A49490"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Çalışanların iyi çevre yönetimi uygulamalarına katılımının teşvik edilmesi,</w:t>
      </w:r>
    </w:p>
    <w:p w14:paraId="41E4287C"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Önemli çevresel etkiye sahip faaliyetleri ve ilgili kayıtları kontrol etmek için yönetim el kitabı ve yazılı prosedürler oluşturulması ve sürdürülmesi,</w:t>
      </w:r>
    </w:p>
    <w:p w14:paraId="68F20485"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Etkili operasyonel planlama ve süreç kontrolü,</w:t>
      </w:r>
    </w:p>
    <w:p w14:paraId="27A45C9A"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Uygun bakım programlarının uygulanması,</w:t>
      </w:r>
    </w:p>
    <w:p w14:paraId="67814434"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Acil durumların olumsuz (çevresel) etkilerinin önlenmesi ve/veya hafifletilmesi dahil olmak üzere acil duruma hazırlık ve müdahale protokolleri,</w:t>
      </w:r>
    </w:p>
    <w:p w14:paraId="65226AEF" w14:textId="77777777" w:rsidR="003B155E" w:rsidRPr="00FF45DE" w:rsidRDefault="003B155E"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(Yeni) Bir tesisi veya bir parçasını (yeniden) tasarlarken, inşaat, bakım, işletme ve devre dışı bırakma dahil olmak üzere kullanım ömrü boyunca çevresel etkilerinin dikkate alınması,</w:t>
      </w:r>
    </w:p>
    <w:p w14:paraId="746D502D" w14:textId="77777777" w:rsidR="003B155E" w:rsidRPr="00FF45DE" w:rsidRDefault="00EC1DF0"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 xml:space="preserve">İzleme </w:t>
      </w:r>
      <w:r w:rsidR="003B155E" w:rsidRPr="00FF45DE">
        <w:rPr>
          <w:rFonts w:ascii="Times New Roman" w:eastAsia="Calibri" w:hAnsi="Times New Roman" w:cs="Calibri"/>
          <w:kern w:val="0"/>
          <w:sz w:val="24"/>
          <w14:ligatures w14:val="none"/>
        </w:rPr>
        <w:t xml:space="preserve">ve ölçüm programının uygulanması; </w:t>
      </w:r>
    </w:p>
    <w:p w14:paraId="20A9CA22" w14:textId="77777777" w:rsidR="003B155E" w:rsidRPr="00FF45DE" w:rsidRDefault="00EC1DF0"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 xml:space="preserve">Sektörel </w:t>
      </w:r>
      <w:r w:rsidR="003B155E" w:rsidRPr="00FF45DE">
        <w:rPr>
          <w:rFonts w:ascii="Times New Roman" w:eastAsia="Calibri" w:hAnsi="Times New Roman" w:cs="Calibri"/>
          <w:kern w:val="0"/>
          <w:sz w:val="24"/>
          <w14:ligatures w14:val="none"/>
        </w:rPr>
        <w:t>kıyaslamanın düzenli olarak uygulanması,</w:t>
      </w:r>
    </w:p>
    <w:p w14:paraId="2CBC3087" w14:textId="77777777" w:rsidR="003B155E" w:rsidRPr="00FF45DE" w:rsidRDefault="00EC1DF0"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 xml:space="preserve">Çevresel </w:t>
      </w:r>
      <w:r w:rsidR="003B155E" w:rsidRPr="00FF45DE">
        <w:rPr>
          <w:rFonts w:ascii="Times New Roman" w:eastAsia="Calibri" w:hAnsi="Times New Roman" w:cs="Calibri"/>
          <w:kern w:val="0"/>
          <w:sz w:val="24"/>
          <w14:ligatures w14:val="none"/>
        </w:rPr>
        <w:t xml:space="preserve">performansı değerlendirmek ve ÇYS'nin planlanan düzenlemelere uyup uymadığını ve uygun şekilde uygulanıp uygulanmadığını belirlemek için periyodik bağımsız (uygulanabilir olduğu ölçüde) iç denetim ve periyodik bağımsız dış denetim, </w:t>
      </w:r>
    </w:p>
    <w:p w14:paraId="4A9E6B08" w14:textId="77777777" w:rsidR="003B155E" w:rsidRPr="00FF45DE" w:rsidRDefault="00EC1DF0"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lastRenderedPageBreak/>
        <w:t>Uygunsuzlukların nedenlerinin değerlendirilmesi, uygunsuzluklar</w:t>
      </w:r>
      <w:r w:rsidR="003B155E" w:rsidRPr="00FF45DE">
        <w:rPr>
          <w:rFonts w:ascii="Times New Roman" w:eastAsia="Calibri" w:hAnsi="Times New Roman" w:cs="Calibri"/>
          <w:kern w:val="0"/>
          <w:sz w:val="24"/>
          <w14:ligatures w14:val="none"/>
        </w:rPr>
        <w:t>a cevaben düzeltici faaliyetlerin uygulanması, düzeltici faaliyetlerin etkinliğinin gözden geçirilmesi ve benzer uygunsuzlukların mevcut olup olmadığının veya potansiyel olarak ortaya çıkma olasılığının belirlenmesi,</w:t>
      </w:r>
    </w:p>
    <w:p w14:paraId="3A7CF064" w14:textId="77777777" w:rsidR="003B155E" w:rsidRPr="00FF45DE" w:rsidRDefault="00EC1DF0"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Çys’nin ve sürekli uygunluğunun, yeterl</w:t>
      </w:r>
      <w:r w:rsidR="003B155E" w:rsidRPr="00FF45DE">
        <w:rPr>
          <w:rFonts w:ascii="Times New Roman" w:eastAsia="Calibri" w:hAnsi="Times New Roman" w:cs="Calibri"/>
          <w:kern w:val="0"/>
          <w:sz w:val="24"/>
          <w14:ligatures w14:val="none"/>
        </w:rPr>
        <w:t>iliğinin ve etkinliğinin üst yönetim tarafından periyodik olarak gözden geçirilmesi,</w:t>
      </w:r>
    </w:p>
    <w:p w14:paraId="661F080A" w14:textId="77777777" w:rsidR="003B155E" w:rsidRPr="00FF45DE" w:rsidRDefault="00EC1DF0" w:rsidP="003B155E">
      <w:pPr>
        <w:numPr>
          <w:ilvl w:val="0"/>
          <w:numId w:val="194"/>
        </w:numPr>
        <w:spacing w:before="240" w:after="0" w:line="360" w:lineRule="auto"/>
        <w:contextualSpacing/>
        <w:jc w:val="both"/>
        <w:rPr>
          <w:rFonts w:ascii="Times New Roman" w:eastAsia="Calibri" w:hAnsi="Times New Roman" w:cs="Calibri"/>
          <w:kern w:val="0"/>
          <w:sz w:val="24"/>
          <w14:ligatures w14:val="none"/>
        </w:rPr>
      </w:pPr>
      <w:r w:rsidRPr="00FF45DE">
        <w:rPr>
          <w:rFonts w:ascii="Times New Roman" w:eastAsia="Calibri" w:hAnsi="Times New Roman" w:cs="Calibri"/>
          <w:kern w:val="0"/>
          <w:sz w:val="24"/>
          <w14:ligatures w14:val="none"/>
        </w:rPr>
        <w:t xml:space="preserve">Temiz tekniklerin </w:t>
      </w:r>
      <w:r w:rsidR="003B155E" w:rsidRPr="00FF45DE">
        <w:rPr>
          <w:rFonts w:ascii="Times New Roman" w:eastAsia="Calibri" w:hAnsi="Times New Roman" w:cs="Calibri"/>
          <w:kern w:val="0"/>
          <w:sz w:val="24"/>
          <w14:ligatures w14:val="none"/>
        </w:rPr>
        <w:t>gelişiminin takip edilmesi ve dikkate alınması.</w:t>
      </w:r>
    </w:p>
    <w:p w14:paraId="4F844E0F" w14:textId="77777777" w:rsidR="003B155E" w:rsidRPr="00FF45DE" w:rsidRDefault="003B155E" w:rsidP="003B155E">
      <w:pPr>
        <w:widowControl w:val="0"/>
        <w:tabs>
          <w:tab w:val="left" w:pos="1934"/>
          <w:tab w:val="left" w:pos="1935"/>
        </w:tabs>
        <w:autoSpaceDE w:val="0"/>
        <w:autoSpaceDN w:val="0"/>
        <w:spacing w:before="240" w:after="0" w:line="360" w:lineRule="auto"/>
        <w:ind w:right="314"/>
        <w:jc w:val="both"/>
        <w:rPr>
          <w:rFonts w:ascii="Times New Roman" w:eastAsia="Calibri" w:hAnsi="Times New Roman" w:cs="Calibri"/>
          <w:kern w:val="0"/>
          <w:sz w:val="24"/>
          <w:szCs w:val="24"/>
          <w14:ligatures w14:val="none"/>
        </w:rPr>
      </w:pPr>
      <w:r w:rsidRPr="00FF45DE">
        <w:rPr>
          <w:rFonts w:ascii="Times New Roman" w:eastAsia="Calibri" w:hAnsi="Times New Roman" w:cs="Calibri"/>
          <w:kern w:val="0"/>
          <w:sz w:val="24"/>
          <w:szCs w:val="24"/>
          <w:lang w:val="tr"/>
          <w14:ligatures w14:val="none"/>
        </w:rPr>
        <w:t>Özellikle yoğun kümes hayvanı veya domuz yetiştirme sektörü için MET, aşağıdaki özellikleri de ÇYS'ye dahil etmektir:</w:t>
      </w:r>
    </w:p>
    <w:p w14:paraId="21B37AE8" w14:textId="77777777" w:rsidR="003B155E" w:rsidRPr="00FF45DE" w:rsidRDefault="003B155E" w:rsidP="003B155E">
      <w:pPr>
        <w:widowControl w:val="0"/>
        <w:numPr>
          <w:ilvl w:val="0"/>
          <w:numId w:val="154"/>
        </w:numPr>
        <w:tabs>
          <w:tab w:val="left" w:pos="1934"/>
          <w:tab w:val="left" w:pos="1935"/>
        </w:tabs>
        <w:autoSpaceDE w:val="0"/>
        <w:autoSpaceDN w:val="0"/>
        <w:spacing w:after="0" w:line="360" w:lineRule="auto"/>
        <w:contextualSpacing/>
        <w:jc w:val="both"/>
        <w:rPr>
          <w:rFonts w:ascii="Times New Roman" w:eastAsia="Calibri" w:hAnsi="Times New Roman" w:cs="Calibri"/>
          <w:kern w:val="0"/>
          <w:sz w:val="24"/>
          <w:szCs w:val="24"/>
          <w14:ligatures w14:val="none"/>
        </w:rPr>
      </w:pPr>
      <w:r w:rsidRPr="00FF45DE">
        <w:rPr>
          <w:rFonts w:ascii="Times New Roman" w:eastAsia="Calibri" w:hAnsi="Times New Roman" w:cs="Calibri"/>
          <w:kern w:val="0"/>
          <w:sz w:val="24"/>
          <w:szCs w:val="24"/>
          <w:lang w:val="tr"/>
          <w14:ligatures w14:val="none"/>
        </w:rPr>
        <w:t xml:space="preserve">Gürültü yönetim planının uygulanması (bakınız </w:t>
      </w:r>
      <w:r w:rsidRPr="00FF45DE">
        <w:rPr>
          <w:rFonts w:ascii="Times New Roman" w:eastAsia="Calibri" w:hAnsi="Times New Roman" w:cs="Calibri"/>
          <w:kern w:val="0"/>
          <w:sz w:val="24"/>
          <w14:ligatures w14:val="none"/>
        </w:rPr>
        <w:t>MET 9</w:t>
      </w:r>
      <w:r w:rsidRPr="00FF45DE">
        <w:rPr>
          <w:rFonts w:ascii="Times New Roman" w:eastAsia="Calibri" w:hAnsi="Times New Roman" w:cs="Calibri"/>
          <w:kern w:val="0"/>
          <w:sz w:val="24"/>
          <w:szCs w:val="24"/>
          <w:lang w:val="tr"/>
          <w14:ligatures w14:val="none"/>
        </w:rPr>
        <w:t>)</w:t>
      </w:r>
    </w:p>
    <w:p w14:paraId="7D7EC781" w14:textId="77777777" w:rsidR="003B155E" w:rsidRPr="00FF45DE" w:rsidRDefault="003B155E" w:rsidP="003B155E">
      <w:pPr>
        <w:widowControl w:val="0"/>
        <w:numPr>
          <w:ilvl w:val="0"/>
          <w:numId w:val="154"/>
        </w:numPr>
        <w:tabs>
          <w:tab w:val="left" w:pos="1934"/>
          <w:tab w:val="left" w:pos="1935"/>
        </w:tabs>
        <w:autoSpaceDE w:val="0"/>
        <w:autoSpaceDN w:val="0"/>
        <w:spacing w:after="0" w:line="360" w:lineRule="auto"/>
        <w:jc w:val="both"/>
        <w:rPr>
          <w:rFonts w:ascii="Times New Roman" w:eastAsia="Calibri" w:hAnsi="Times New Roman" w:cs="Calibri"/>
          <w:kern w:val="0"/>
          <w:sz w:val="24"/>
          <w:szCs w:val="24"/>
          <w14:ligatures w14:val="none"/>
        </w:rPr>
      </w:pPr>
      <w:r w:rsidRPr="00FF45DE">
        <w:rPr>
          <w:rFonts w:ascii="Times New Roman" w:eastAsia="Calibri" w:hAnsi="Times New Roman" w:cs="Calibri"/>
          <w:kern w:val="0"/>
          <w:sz w:val="24"/>
          <w:szCs w:val="24"/>
          <w:lang w:val="tr"/>
          <w14:ligatures w14:val="none"/>
        </w:rPr>
        <w:t>Koku yönetimi planının uygulanması (bakınız</w:t>
      </w:r>
      <w:r w:rsidRPr="00FF45DE">
        <w:rPr>
          <w:rFonts w:ascii="Times New Roman" w:eastAsia="Calibri" w:hAnsi="Times New Roman" w:cs="Calibri"/>
          <w:kern w:val="0"/>
          <w:sz w:val="24"/>
          <w14:ligatures w14:val="none"/>
        </w:rPr>
        <w:t xml:space="preserve"> MET 12</w:t>
      </w:r>
      <w:r w:rsidRPr="00FF45DE">
        <w:rPr>
          <w:rFonts w:ascii="Times New Roman" w:eastAsia="Calibri" w:hAnsi="Times New Roman" w:cs="Calibri"/>
          <w:kern w:val="0"/>
          <w:sz w:val="24"/>
          <w:szCs w:val="24"/>
          <w:lang w:val="tr"/>
          <w14:ligatures w14:val="none"/>
        </w:rPr>
        <w:t>).</w:t>
      </w:r>
    </w:p>
    <w:p w14:paraId="03B8AD08"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fi-FI"/>
          <w14:ligatures w14:val="none"/>
        </w:rPr>
      </w:pPr>
      <w:bookmarkStart w:id="18" w:name="_Toc136614301"/>
      <w:r w:rsidRPr="00FF45DE">
        <w:rPr>
          <w:rFonts w:ascii="Times New Roman" w:eastAsia="DengXian Light" w:hAnsi="Times New Roman" w:cs="Microsoft Uighur"/>
          <w:b/>
          <w:kern w:val="0"/>
          <w:sz w:val="24"/>
          <w:szCs w:val="26"/>
          <w:lang w:val="fi-FI"/>
          <w14:ligatures w14:val="none"/>
        </w:rPr>
        <w:t>İyi Bakım</w:t>
      </w:r>
      <w:bookmarkEnd w:id="18"/>
    </w:p>
    <w:p w14:paraId="5ED2C779" w14:textId="77777777" w:rsidR="003B155E" w:rsidRPr="00FF45DE" w:rsidRDefault="003B155E" w:rsidP="003B155E">
      <w:pPr>
        <w:spacing w:before="240" w:after="0" w:line="360" w:lineRule="auto"/>
        <w:jc w:val="both"/>
        <w:rPr>
          <w:rFonts w:ascii="Times New Roman" w:eastAsia="Calibri" w:hAnsi="Times New Roman" w:cs="Calibri"/>
          <w:b/>
          <w:bCs/>
          <w:kern w:val="0"/>
          <w:sz w:val="24"/>
          <w:lang w:val="fi-FI"/>
          <w14:ligatures w14:val="none"/>
        </w:rPr>
      </w:pPr>
      <w:r w:rsidRPr="00FF45DE">
        <w:rPr>
          <w:rFonts w:ascii="Times New Roman" w:eastAsia="Calibri" w:hAnsi="Times New Roman" w:cs="Calibri"/>
          <w:b/>
          <w:bCs/>
          <w:kern w:val="0"/>
          <w:sz w:val="24"/>
          <w:lang w:val="fi-FI"/>
          <w14:ligatures w14:val="none"/>
        </w:rPr>
        <w:t xml:space="preserve">MET 2: </w:t>
      </w:r>
      <w:r w:rsidRPr="00FF45DE">
        <w:rPr>
          <w:rFonts w:ascii="Times New Roman" w:eastAsia="Calibri" w:hAnsi="Times New Roman" w:cs="Calibri"/>
          <w:bCs/>
          <w:kern w:val="0"/>
          <w:sz w:val="24"/>
          <w:lang w:val="fi-FI"/>
          <w14:ligatures w14:val="none"/>
        </w:rPr>
        <w:t>Çevresel etkiyi önlemek veya azaltmak ve genel performansı iyileştirmek için aşağıda verilen tüm tekniklerin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2"/>
        <w:gridCol w:w="5417"/>
        <w:gridCol w:w="3353"/>
      </w:tblGrid>
      <w:tr w:rsidR="003B155E" w:rsidRPr="00FF45DE" w14:paraId="6E7DD78E" w14:textId="77777777" w:rsidTr="000D79D6">
        <w:trPr>
          <w:trHeight w:val="282"/>
          <w:tblHeader/>
        </w:trPr>
        <w:tc>
          <w:tcPr>
            <w:tcW w:w="161" w:type="pct"/>
            <w:vAlign w:val="center"/>
          </w:tcPr>
          <w:p w14:paraId="573B564E" w14:textId="77777777" w:rsidR="003B155E" w:rsidRPr="00FF45DE" w:rsidRDefault="003B155E" w:rsidP="000D79D6">
            <w:pPr>
              <w:ind w:left="74" w:right="74"/>
              <w:jc w:val="center"/>
              <w:rPr>
                <w:rFonts w:ascii="Times New Roman" w:eastAsia="Times New Roman" w:hAnsi="Times New Roman" w:cs="Times New Roman"/>
                <w:lang w:val="fi-FI"/>
              </w:rPr>
            </w:pPr>
          </w:p>
        </w:tc>
        <w:tc>
          <w:tcPr>
            <w:tcW w:w="2989" w:type="pct"/>
            <w:vAlign w:val="center"/>
          </w:tcPr>
          <w:p w14:paraId="1A6AD703"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1850" w:type="pct"/>
            <w:vAlign w:val="center"/>
          </w:tcPr>
          <w:p w14:paraId="0FC75E6B"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166B17E1" w14:textId="77777777" w:rsidTr="000D79D6">
        <w:trPr>
          <w:trHeight w:val="337"/>
        </w:trPr>
        <w:tc>
          <w:tcPr>
            <w:tcW w:w="161" w:type="pct"/>
            <w:vAlign w:val="center"/>
          </w:tcPr>
          <w:p w14:paraId="6CC354A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989" w:type="pct"/>
            <w:vAlign w:val="center"/>
          </w:tcPr>
          <w:p w14:paraId="1C9269A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Aşağıdakileri gerçekleştirmek üzere tesisin/çiftliğin uygun konumlandırılması ve faaliyetlerin mekansal düzenlemeleri:</w:t>
            </w:r>
          </w:p>
          <w:p w14:paraId="37EBD1F5"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Hayvanların ve malzemelerin (gübre dahil) taşınmasını azaltmak</w:t>
            </w:r>
          </w:p>
          <w:p w14:paraId="6CE276DF"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Koruma gerektiren hassas alıcılardan yeterli mesafeyi sağlamak</w:t>
            </w:r>
          </w:p>
          <w:p w14:paraId="46F7452B"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Geçerli iklim koşullarının (ör. rüzgar ve yağış) dikkate alınması</w:t>
            </w:r>
          </w:p>
          <w:p w14:paraId="17255BB7"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Çiftliğin gelecekteki potansiyel geliştirme kapasitesinin göz önünde bulundurulması</w:t>
            </w:r>
          </w:p>
          <w:p w14:paraId="0F3C2DD6" w14:textId="77777777" w:rsidR="003B155E" w:rsidRPr="00FF45DE" w:rsidRDefault="003B155E" w:rsidP="003B155E">
            <w:pPr>
              <w:numPr>
                <w:ilvl w:val="0"/>
                <w:numId w:val="191"/>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Suyun kirlenmesinin önlenmesi</w:t>
            </w:r>
          </w:p>
        </w:tc>
        <w:tc>
          <w:tcPr>
            <w:tcW w:w="1850" w:type="pct"/>
            <w:vAlign w:val="center"/>
          </w:tcPr>
          <w:p w14:paraId="12B7209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mevcut fabrikalar/çiftlikler için geçerli olmayabilir.</w:t>
            </w:r>
          </w:p>
        </w:tc>
      </w:tr>
      <w:tr w:rsidR="003B155E" w:rsidRPr="00FF45DE" w14:paraId="2CABB219" w14:textId="77777777" w:rsidTr="000D79D6">
        <w:trPr>
          <w:trHeight w:val="1681"/>
        </w:trPr>
        <w:tc>
          <w:tcPr>
            <w:tcW w:w="161" w:type="pct"/>
            <w:vAlign w:val="center"/>
          </w:tcPr>
          <w:p w14:paraId="257FDB5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989" w:type="pct"/>
            <w:vAlign w:val="center"/>
          </w:tcPr>
          <w:p w14:paraId="350E992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Personelin, özellikle aşağıdakiler için eğitilmesi:</w:t>
            </w:r>
          </w:p>
          <w:p w14:paraId="0C176E3A" w14:textId="77777777" w:rsidR="003B155E" w:rsidRPr="00FF45DE" w:rsidRDefault="003B155E" w:rsidP="003B155E">
            <w:pPr>
              <w:numPr>
                <w:ilvl w:val="0"/>
                <w:numId w:val="191"/>
              </w:numPr>
              <w:tabs>
                <w:tab w:val="left" w:pos="446"/>
                <w:tab w:val="left" w:pos="447"/>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İlgili yönetmelikler, besicilik, hayvan sağlığı ve refahı, gübre yönetimi, işçi güvenliği</w:t>
            </w:r>
          </w:p>
          <w:p w14:paraId="79EC6BDA" w14:textId="77777777" w:rsidR="003B155E" w:rsidRPr="00FF45DE" w:rsidRDefault="003B155E" w:rsidP="003B155E">
            <w:pPr>
              <w:numPr>
                <w:ilvl w:val="0"/>
                <w:numId w:val="191"/>
              </w:numPr>
              <w:tabs>
                <w:tab w:val="left" w:pos="446"/>
                <w:tab w:val="left" w:pos="447"/>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nakliyesi ve araziye yayma</w:t>
            </w:r>
          </w:p>
          <w:p w14:paraId="7DF280A7" w14:textId="77777777" w:rsidR="003B155E" w:rsidRPr="00FF45DE" w:rsidRDefault="003B155E" w:rsidP="003B155E">
            <w:pPr>
              <w:numPr>
                <w:ilvl w:val="0"/>
                <w:numId w:val="191"/>
              </w:numPr>
              <w:tabs>
                <w:tab w:val="left" w:pos="446"/>
                <w:tab w:val="left" w:pos="447"/>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Faaliyetlerin planlanması</w:t>
            </w:r>
          </w:p>
          <w:p w14:paraId="5B3E8D9D" w14:textId="77777777" w:rsidR="003B155E" w:rsidRPr="00FF45DE" w:rsidRDefault="003B155E" w:rsidP="003B155E">
            <w:pPr>
              <w:numPr>
                <w:ilvl w:val="0"/>
                <w:numId w:val="191"/>
              </w:numPr>
              <w:tabs>
                <w:tab w:val="left" w:pos="446"/>
                <w:tab w:val="left" w:pos="447"/>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Acil durum planlaması ve yönetimi</w:t>
            </w:r>
          </w:p>
          <w:p w14:paraId="09CB9F1F" w14:textId="77777777" w:rsidR="003B155E" w:rsidRPr="00FF45DE" w:rsidRDefault="003B155E" w:rsidP="003B155E">
            <w:pPr>
              <w:numPr>
                <w:ilvl w:val="0"/>
                <w:numId w:val="191"/>
              </w:numPr>
              <w:tabs>
                <w:tab w:val="left" w:pos="446"/>
                <w:tab w:val="left" w:pos="447"/>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Ekipmanların bakım ve onarımı.</w:t>
            </w:r>
          </w:p>
        </w:tc>
        <w:tc>
          <w:tcPr>
            <w:tcW w:w="1850" w:type="pct"/>
            <w:vAlign w:val="center"/>
          </w:tcPr>
          <w:p w14:paraId="63A42EF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0C9F6055" w14:textId="77777777" w:rsidTr="000D79D6">
        <w:trPr>
          <w:trHeight w:val="2572"/>
        </w:trPr>
        <w:tc>
          <w:tcPr>
            <w:tcW w:w="161" w:type="pct"/>
            <w:vAlign w:val="center"/>
          </w:tcPr>
          <w:p w14:paraId="51DC2B2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c</w:t>
            </w:r>
          </w:p>
        </w:tc>
        <w:tc>
          <w:tcPr>
            <w:tcW w:w="2989" w:type="pct"/>
            <w:vAlign w:val="center"/>
          </w:tcPr>
          <w:p w14:paraId="0670F26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Beklenmedik emisyonlar ve su kütlelerinin kirlenmesi gibi olaylarla başa çıkmak için bir acil durum planının hazırlanması Bu şunları içerebilir:</w:t>
            </w:r>
          </w:p>
          <w:p w14:paraId="361034D5"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Çiftliğin drenaj sistemlerini ve su/atık su kaynaklarını gösteren bir plan</w:t>
            </w:r>
          </w:p>
          <w:p w14:paraId="26C799EF"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Belirli potansiyel olaylara yanıt vermek için eylem planları (ör. yangınlar, sulu gübre depolarının sızması veya çökmesi, gübre yığınlarından kontrolsüz akıntı, petrol sızıntıları)</w:t>
            </w:r>
          </w:p>
          <w:p w14:paraId="52693566"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Bir kirlilik olayıyla başa çıkmak için mevcut ekipman (ör. arazi kanallarını tıkamak için ekipman, hendekler kurmak, petrol sızıntıları için plakalar).</w:t>
            </w:r>
          </w:p>
        </w:tc>
        <w:tc>
          <w:tcPr>
            <w:tcW w:w="1850" w:type="pct"/>
            <w:vAlign w:val="center"/>
          </w:tcPr>
          <w:p w14:paraId="2932602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1943A105" w14:textId="77777777" w:rsidTr="000D79D6">
        <w:trPr>
          <w:trHeight w:val="2738"/>
        </w:trPr>
        <w:tc>
          <w:tcPr>
            <w:tcW w:w="161" w:type="pct"/>
            <w:vAlign w:val="center"/>
          </w:tcPr>
          <w:p w14:paraId="593F5E2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989" w:type="pct"/>
            <w:vAlign w:val="center"/>
          </w:tcPr>
          <w:p w14:paraId="6F0B6CE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Aşağıdakiler gibi yapıların ve ekipmanın düzenli olarak kontrol edilmesi, onarılması ve bakımının yapılması:</w:t>
            </w:r>
          </w:p>
          <w:p w14:paraId="245EEF3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Herhangi bir hasar, bozulma, sızıntı belirtisi için sulu gübre depoları</w:t>
            </w:r>
          </w:p>
          <w:p w14:paraId="690B8AC2" w14:textId="77777777" w:rsidR="003B155E" w:rsidRPr="00FF45DE" w:rsidRDefault="003B155E" w:rsidP="003B155E">
            <w:pPr>
              <w:numPr>
                <w:ilvl w:val="0"/>
                <w:numId w:val="191"/>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Sulu gübre pompaları, mikserler, ayırıcılar, irrigatörler</w:t>
            </w:r>
          </w:p>
          <w:p w14:paraId="7AD731C1" w14:textId="77777777" w:rsidR="003B155E" w:rsidRPr="00FF45DE" w:rsidRDefault="003B155E" w:rsidP="003B155E">
            <w:pPr>
              <w:numPr>
                <w:ilvl w:val="0"/>
                <w:numId w:val="191"/>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 ve yem tedarik sistemleri</w:t>
            </w:r>
          </w:p>
          <w:p w14:paraId="2C9CADEE" w14:textId="77777777" w:rsidR="003B155E" w:rsidRPr="00FF45DE" w:rsidRDefault="003B155E" w:rsidP="003B155E">
            <w:pPr>
              <w:numPr>
                <w:ilvl w:val="0"/>
                <w:numId w:val="191"/>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Havalandırma sistemi ve sıcaklık sensörleri</w:t>
            </w:r>
          </w:p>
          <w:p w14:paraId="11C93DD5" w14:textId="77777777" w:rsidR="003B155E" w:rsidRPr="00FF45DE" w:rsidRDefault="003B155E" w:rsidP="003B155E">
            <w:pPr>
              <w:numPr>
                <w:ilvl w:val="0"/>
                <w:numId w:val="191"/>
              </w:numPr>
              <w:ind w:right="7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Silolar ve taşıma ekipmanı (ör. vanalar, tüpler)</w:t>
            </w:r>
          </w:p>
          <w:p w14:paraId="7055DAF5" w14:textId="77777777" w:rsidR="003B155E" w:rsidRPr="00FF45DE" w:rsidRDefault="003B155E" w:rsidP="003B155E">
            <w:pPr>
              <w:numPr>
                <w:ilvl w:val="0"/>
                <w:numId w:val="191"/>
              </w:numPr>
              <w:ind w:right="7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Hava temizleme sistemleri (ör. düzenli denetimlerle) Bu, çiftliğin temizliğini ve haşere yönetimini içerebilir.</w:t>
            </w:r>
          </w:p>
        </w:tc>
        <w:tc>
          <w:tcPr>
            <w:tcW w:w="1850" w:type="pct"/>
            <w:vAlign w:val="center"/>
          </w:tcPr>
          <w:p w14:paraId="28BDED4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4FA8BB63" w14:textId="77777777" w:rsidTr="000D79D6">
        <w:trPr>
          <w:trHeight w:val="460"/>
        </w:trPr>
        <w:tc>
          <w:tcPr>
            <w:tcW w:w="161" w:type="pct"/>
            <w:vAlign w:val="center"/>
          </w:tcPr>
          <w:p w14:paraId="5284FE7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2989" w:type="pct"/>
            <w:vAlign w:val="center"/>
          </w:tcPr>
          <w:p w14:paraId="5322867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Emisyonları önleyecek veya azaltacak şekilde ölü hayvanların saklanması</w:t>
            </w:r>
          </w:p>
        </w:tc>
        <w:tc>
          <w:tcPr>
            <w:tcW w:w="1850" w:type="pct"/>
            <w:vAlign w:val="center"/>
          </w:tcPr>
          <w:p w14:paraId="6E8DC41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1729A9BF"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19" w:name="_Toc136614302"/>
      <w:r w:rsidRPr="00FF45DE">
        <w:rPr>
          <w:rFonts w:ascii="Times New Roman" w:eastAsia="DengXian Light" w:hAnsi="Times New Roman" w:cs="Microsoft Uighur"/>
          <w:b/>
          <w:kern w:val="0"/>
          <w:sz w:val="24"/>
          <w:szCs w:val="26"/>
          <w:lang w:val="en-US"/>
          <w14:ligatures w14:val="none"/>
        </w:rPr>
        <w:t>Beslenme Yönetimi</w:t>
      </w:r>
      <w:bookmarkEnd w:id="19"/>
    </w:p>
    <w:p w14:paraId="3461C3A1"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en-US"/>
          <w14:ligatures w14:val="none"/>
        </w:rPr>
      </w:pPr>
      <w:r w:rsidRPr="00FF45DE">
        <w:rPr>
          <w:rFonts w:ascii="Times New Roman" w:eastAsia="Calibri" w:hAnsi="Times New Roman" w:cs="Calibri"/>
          <w:b/>
          <w:bCs/>
          <w:kern w:val="0"/>
          <w:sz w:val="24"/>
          <w:lang w:val="en-US"/>
          <w14:ligatures w14:val="none"/>
        </w:rPr>
        <w:t xml:space="preserve">MET 3: </w:t>
      </w:r>
      <w:r w:rsidRPr="00FF45DE">
        <w:rPr>
          <w:rFonts w:ascii="Times New Roman" w:eastAsia="Calibri" w:hAnsi="Times New Roman" w:cs="Calibri"/>
          <w:bCs/>
          <w:kern w:val="0"/>
          <w:sz w:val="24"/>
          <w:lang w:val="en-US"/>
          <w14:ligatures w14:val="none"/>
        </w:rPr>
        <w:t>Hayvanların beslenme ihtiyaçlarını karşılarken salınan toplam azotu ve dolayısıyla amonyak emisyonlarını azaltmak için aşağıda verilen tekniklerin biri veya birkaçını içeren bir beslenme düzeni formülasyonu ve beslenme stratejisi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4859"/>
        <w:gridCol w:w="3926"/>
      </w:tblGrid>
      <w:tr w:rsidR="003B155E" w:rsidRPr="00FF45DE" w14:paraId="67D96A0E" w14:textId="77777777" w:rsidTr="000D79D6">
        <w:trPr>
          <w:trHeight w:val="230"/>
          <w:tblHeader/>
        </w:trPr>
        <w:tc>
          <w:tcPr>
            <w:tcW w:w="153" w:type="pct"/>
            <w:vAlign w:val="center"/>
          </w:tcPr>
          <w:p w14:paraId="259AB6A8" w14:textId="77777777" w:rsidR="003B155E" w:rsidRPr="00FF45DE" w:rsidRDefault="003B155E" w:rsidP="000D79D6">
            <w:pPr>
              <w:ind w:left="74" w:right="74"/>
              <w:jc w:val="center"/>
              <w:rPr>
                <w:rFonts w:ascii="Times New Roman" w:eastAsia="Times New Roman" w:hAnsi="Times New Roman" w:cs="Times New Roman"/>
                <w:lang w:val="en-GB"/>
              </w:rPr>
            </w:pPr>
          </w:p>
        </w:tc>
        <w:tc>
          <w:tcPr>
            <w:tcW w:w="2681" w:type="pct"/>
            <w:vAlign w:val="center"/>
          </w:tcPr>
          <w:p w14:paraId="3B5E033A"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2166" w:type="pct"/>
            <w:vAlign w:val="center"/>
          </w:tcPr>
          <w:p w14:paraId="20AEAAC1" w14:textId="77777777" w:rsidR="003B155E" w:rsidRPr="00FF45DE" w:rsidRDefault="003B155E" w:rsidP="000D79D6">
            <w:pPr>
              <w:ind w:left="74" w:right="74" w:hanging="283"/>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726FCCAB" w14:textId="77777777" w:rsidTr="000D79D6">
        <w:trPr>
          <w:trHeight w:val="690"/>
        </w:trPr>
        <w:tc>
          <w:tcPr>
            <w:tcW w:w="153" w:type="pct"/>
            <w:vAlign w:val="center"/>
          </w:tcPr>
          <w:p w14:paraId="1AC680E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681" w:type="pct"/>
            <w:vAlign w:val="center"/>
          </w:tcPr>
          <w:p w14:paraId="4C4C651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Enerji gereksinimlerine ve sindirilebilir amino asitlere dayalı azot açısından dengeli bir beslenme düzeni kullanarak ham protein içeriğinin azaltılması</w:t>
            </w:r>
          </w:p>
        </w:tc>
        <w:tc>
          <w:tcPr>
            <w:tcW w:w="2166" w:type="pct"/>
            <w:vAlign w:val="center"/>
          </w:tcPr>
          <w:p w14:paraId="29CE827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0DDF6570" w14:textId="77777777" w:rsidTr="000D79D6">
        <w:trPr>
          <w:trHeight w:val="283"/>
        </w:trPr>
        <w:tc>
          <w:tcPr>
            <w:tcW w:w="153" w:type="pct"/>
            <w:vAlign w:val="center"/>
          </w:tcPr>
          <w:p w14:paraId="460BBA3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681" w:type="pct"/>
            <w:vAlign w:val="center"/>
          </w:tcPr>
          <w:p w14:paraId="4AF4118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Üretim döneminin özel gereksinimlerine göre uyarlanmış bir beslenme düzeni formülasyonu ile çok fazlı yemleme</w:t>
            </w:r>
          </w:p>
        </w:tc>
        <w:tc>
          <w:tcPr>
            <w:tcW w:w="2166" w:type="pct"/>
            <w:vAlign w:val="center"/>
          </w:tcPr>
          <w:p w14:paraId="1050FBF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71E21385" w14:textId="77777777" w:rsidTr="000D79D6">
        <w:trPr>
          <w:trHeight w:val="919"/>
        </w:trPr>
        <w:tc>
          <w:tcPr>
            <w:tcW w:w="153" w:type="pct"/>
            <w:vAlign w:val="center"/>
          </w:tcPr>
          <w:p w14:paraId="4E43355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681" w:type="pct"/>
            <w:vAlign w:val="center"/>
          </w:tcPr>
          <w:p w14:paraId="0361C7D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Düşük ham proteinli bir beslenme düzenine kontrollü miktarlarda esansiyel amino asitlerin eklenmesi</w:t>
            </w:r>
          </w:p>
        </w:tc>
        <w:tc>
          <w:tcPr>
            <w:tcW w:w="2166" w:type="pct"/>
            <w:vAlign w:val="center"/>
          </w:tcPr>
          <w:p w14:paraId="593C1AE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Düşük proteinli yemler ekonomik olarak bulunmadığında uygulanabilirlik kısıtlanabilir. Sentetik amino asitler, organik hayvancılık üretimi için geçerli değildir.</w:t>
            </w:r>
          </w:p>
        </w:tc>
      </w:tr>
      <w:tr w:rsidR="003B155E" w:rsidRPr="00FF45DE" w14:paraId="450F7878" w14:textId="77777777" w:rsidTr="000D79D6">
        <w:trPr>
          <w:trHeight w:val="460"/>
        </w:trPr>
        <w:tc>
          <w:tcPr>
            <w:tcW w:w="153" w:type="pct"/>
            <w:vAlign w:val="center"/>
          </w:tcPr>
          <w:p w14:paraId="0913C73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681" w:type="pct"/>
            <w:vAlign w:val="center"/>
          </w:tcPr>
          <w:p w14:paraId="56CE19B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Salınan toplam azotu azaltan onaylı yem katkı maddelerinin kullanımı</w:t>
            </w:r>
          </w:p>
        </w:tc>
        <w:tc>
          <w:tcPr>
            <w:tcW w:w="2166" w:type="pct"/>
            <w:vAlign w:val="center"/>
          </w:tcPr>
          <w:p w14:paraId="3BBC622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7D8D73CC" w14:textId="69C07795" w:rsidR="003B155E" w:rsidRDefault="003B155E" w:rsidP="003B155E">
      <w:pPr>
        <w:spacing w:before="240" w:after="0" w:line="360" w:lineRule="auto"/>
        <w:jc w:val="center"/>
        <w:rPr>
          <w:rFonts w:ascii="Times New Roman" w:eastAsia="Calibri" w:hAnsi="Times New Roman" w:cs="Calibri"/>
          <w:iCs/>
          <w:color w:val="000000"/>
          <w:kern w:val="0"/>
          <w:sz w:val="24"/>
          <w:szCs w:val="18"/>
          <w:lang w:val="en-US"/>
          <w14:ligatures w14:val="none"/>
        </w:rPr>
      </w:pPr>
      <w:bookmarkStart w:id="20" w:name="_Ref133916880"/>
    </w:p>
    <w:p w14:paraId="17B88299" w14:textId="77777777" w:rsidR="00CC3323" w:rsidRPr="00FF45DE" w:rsidRDefault="00CC3323" w:rsidP="003B155E">
      <w:pPr>
        <w:spacing w:before="240" w:after="0" w:line="360" w:lineRule="auto"/>
        <w:jc w:val="center"/>
        <w:rPr>
          <w:rFonts w:ascii="Times New Roman" w:eastAsia="Calibri" w:hAnsi="Times New Roman" w:cs="Calibri"/>
          <w:iCs/>
          <w:color w:val="000000"/>
          <w:kern w:val="0"/>
          <w:sz w:val="24"/>
          <w:szCs w:val="18"/>
          <w:lang w:val="en-US"/>
          <w14:ligatures w14:val="none"/>
        </w:rPr>
      </w:pPr>
    </w:p>
    <w:p w14:paraId="36A06201" w14:textId="6DD56234" w:rsidR="003B155E" w:rsidRPr="00FF45DE" w:rsidRDefault="003B155E" w:rsidP="003B155E">
      <w:pPr>
        <w:spacing w:before="240" w:after="0" w:line="240" w:lineRule="auto"/>
        <w:jc w:val="center"/>
        <w:rPr>
          <w:rFonts w:ascii="Times New Roman" w:eastAsia="Calibri" w:hAnsi="Times New Roman" w:cs="Calibri"/>
          <w:i/>
          <w:iCs/>
          <w:color w:val="000000"/>
          <w:kern w:val="0"/>
          <w:sz w:val="24"/>
          <w:szCs w:val="18"/>
          <w:lang w:val="en-US"/>
          <w14:ligatures w14:val="none"/>
        </w:rPr>
      </w:pPr>
      <w:r w:rsidRPr="00FF45DE">
        <w:rPr>
          <w:rFonts w:ascii="Times New Roman" w:eastAsia="Calibri" w:hAnsi="Times New Roman" w:cs="Calibri"/>
          <w:i/>
          <w:iCs/>
          <w:color w:val="000000"/>
          <w:kern w:val="0"/>
          <w:sz w:val="24"/>
          <w:szCs w:val="18"/>
          <w:lang w:val="en-US"/>
          <w14:ligatures w14:val="none"/>
        </w:rPr>
        <w:lastRenderedPageBreak/>
        <w:t xml:space="preserve">Tablo </w:t>
      </w:r>
      <w:r w:rsidRPr="00FF45DE">
        <w:rPr>
          <w:rFonts w:ascii="Times New Roman" w:eastAsia="Calibri" w:hAnsi="Times New Roman" w:cs="Calibri"/>
          <w:i/>
          <w:iCs/>
          <w:color w:val="000000"/>
          <w:kern w:val="0"/>
          <w:sz w:val="24"/>
          <w:szCs w:val="18"/>
          <w:lang w:val="en-US"/>
          <w14:ligatures w14:val="none"/>
        </w:rPr>
        <w:fldChar w:fldCharType="begin"/>
      </w:r>
      <w:r w:rsidRPr="00FF45DE">
        <w:rPr>
          <w:rFonts w:ascii="Times New Roman" w:eastAsia="Calibri" w:hAnsi="Times New Roman" w:cs="Calibri"/>
          <w:i/>
          <w:iCs/>
          <w:color w:val="000000"/>
          <w:kern w:val="0"/>
          <w:sz w:val="24"/>
          <w:szCs w:val="18"/>
          <w:lang w:val="en-US"/>
          <w14:ligatures w14:val="none"/>
        </w:rPr>
        <w:instrText xml:space="preserve"> SEQ Tablo \* ARABIC </w:instrText>
      </w:r>
      <w:r w:rsidRPr="00FF45DE">
        <w:rPr>
          <w:rFonts w:ascii="Times New Roman" w:eastAsia="Calibri" w:hAnsi="Times New Roman" w:cs="Calibri"/>
          <w:i/>
          <w:iCs/>
          <w:color w:val="000000"/>
          <w:kern w:val="0"/>
          <w:sz w:val="24"/>
          <w:szCs w:val="18"/>
          <w:lang w:val="en-US"/>
          <w14:ligatures w14:val="none"/>
        </w:rPr>
        <w:fldChar w:fldCharType="separate"/>
      </w:r>
      <w:r w:rsidR="00CA3CEB">
        <w:rPr>
          <w:rFonts w:ascii="Times New Roman" w:eastAsia="Calibri" w:hAnsi="Times New Roman" w:cs="Calibri"/>
          <w:i/>
          <w:iCs/>
          <w:noProof/>
          <w:color w:val="000000"/>
          <w:kern w:val="0"/>
          <w:sz w:val="24"/>
          <w:szCs w:val="18"/>
          <w:lang w:val="en-US"/>
          <w14:ligatures w14:val="none"/>
        </w:rPr>
        <w:t>1</w:t>
      </w:r>
      <w:r w:rsidRPr="00FF45DE">
        <w:rPr>
          <w:rFonts w:ascii="Times New Roman" w:eastAsia="Calibri" w:hAnsi="Times New Roman" w:cs="Calibri"/>
          <w:i/>
          <w:iCs/>
          <w:color w:val="000000"/>
          <w:kern w:val="0"/>
          <w:sz w:val="24"/>
          <w:szCs w:val="18"/>
          <w:lang w:val="en-US"/>
          <w14:ligatures w14:val="none"/>
        </w:rPr>
        <w:fldChar w:fldCharType="end"/>
      </w:r>
      <w:bookmarkEnd w:id="20"/>
      <w:r w:rsidRPr="00FF45DE">
        <w:rPr>
          <w:rFonts w:ascii="Times New Roman" w:eastAsia="Calibri" w:hAnsi="Times New Roman" w:cs="Calibri"/>
          <w:i/>
          <w:iCs/>
          <w:color w:val="000000"/>
          <w:kern w:val="0"/>
          <w:sz w:val="24"/>
          <w:szCs w:val="18"/>
          <w:lang w:val="en-US"/>
          <w14:ligatures w14:val="none"/>
        </w:rPr>
        <w:t>.</w:t>
      </w:r>
    </w:p>
    <w:p w14:paraId="41DC94CF" w14:textId="77777777" w:rsidR="003B155E" w:rsidRPr="00FF45DE" w:rsidRDefault="003B155E" w:rsidP="003B155E">
      <w:pPr>
        <w:spacing w:before="240" w:after="0" w:line="240" w:lineRule="auto"/>
        <w:jc w:val="center"/>
        <w:rPr>
          <w:rFonts w:ascii="Times New Roman" w:eastAsia="Calibri" w:hAnsi="Times New Roman" w:cs="Calibri"/>
          <w:b/>
          <w:iCs/>
          <w:color w:val="000000"/>
          <w:kern w:val="0"/>
          <w:sz w:val="24"/>
          <w:szCs w:val="18"/>
          <w:lang w:val="en-US"/>
          <w14:ligatures w14:val="none"/>
        </w:rPr>
      </w:pPr>
      <w:r w:rsidRPr="00FF45DE">
        <w:rPr>
          <w:rFonts w:ascii="Times New Roman" w:eastAsia="Calibri" w:hAnsi="Times New Roman" w:cs="Calibri"/>
          <w:b/>
          <w:iCs/>
          <w:color w:val="000000"/>
          <w:kern w:val="0"/>
          <w:sz w:val="24"/>
          <w:szCs w:val="18"/>
          <w:lang w:val="en-US"/>
          <w14:ligatures w14:val="none"/>
        </w:rPr>
        <w:t>MET ile ilişkili toplam azot atılımı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3"/>
        <w:gridCol w:w="3139"/>
        <w:gridCol w:w="3940"/>
      </w:tblGrid>
      <w:tr w:rsidR="003B155E" w:rsidRPr="00FF45DE" w14:paraId="26363D49" w14:textId="77777777" w:rsidTr="000D79D6">
        <w:trPr>
          <w:trHeight w:val="688"/>
        </w:trPr>
        <w:tc>
          <w:tcPr>
            <w:tcW w:w="1094" w:type="pct"/>
            <w:vAlign w:val="center"/>
          </w:tcPr>
          <w:p w14:paraId="464597E0" w14:textId="77777777" w:rsidR="003B155E" w:rsidRPr="00FF45DE" w:rsidRDefault="003B155E" w:rsidP="000D79D6">
            <w:pPr>
              <w:ind w:left="74" w:right="74"/>
              <w:jc w:val="center"/>
              <w:rPr>
                <w:rFonts w:ascii="Times New Roman" w:eastAsia="Times New Roman" w:hAnsi="Times New Roman" w:cs="Times New Roman"/>
                <w:b/>
                <w:lang w:val="tr"/>
              </w:rPr>
            </w:pPr>
          </w:p>
          <w:p w14:paraId="76E03B92"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Parametre</w:t>
            </w:r>
          </w:p>
        </w:tc>
        <w:tc>
          <w:tcPr>
            <w:tcW w:w="1732" w:type="pct"/>
            <w:vAlign w:val="center"/>
          </w:tcPr>
          <w:p w14:paraId="135A5005" w14:textId="77777777" w:rsidR="003B155E" w:rsidRPr="00FF45DE" w:rsidRDefault="003B155E" w:rsidP="000D79D6">
            <w:pPr>
              <w:ind w:left="74" w:right="74"/>
              <w:jc w:val="center"/>
              <w:rPr>
                <w:rFonts w:ascii="Times New Roman" w:eastAsia="Times New Roman" w:hAnsi="Times New Roman" w:cs="Times New Roman"/>
                <w:b/>
                <w:lang w:val="en-GB"/>
              </w:rPr>
            </w:pPr>
          </w:p>
          <w:p w14:paraId="0ABC8C9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Hayvan kategorisi</w:t>
            </w:r>
          </w:p>
        </w:tc>
        <w:tc>
          <w:tcPr>
            <w:tcW w:w="2174" w:type="pct"/>
            <w:vAlign w:val="center"/>
          </w:tcPr>
          <w:p w14:paraId="7E6A15E1" w14:textId="77777777" w:rsidR="003B155E" w:rsidRPr="00FF45DE" w:rsidRDefault="003B155E" w:rsidP="000D79D6">
            <w:pPr>
              <w:ind w:left="74" w:right="74" w:hanging="2"/>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MET ile ilişkili toplam azot atılımı (</w:t>
            </w:r>
            <w:r w:rsidRPr="00FF45DE">
              <w:rPr>
                <w:rFonts w:ascii="Times New Roman" w:eastAsia="Times New Roman" w:hAnsi="Times New Roman" w:cs="Times New Roman"/>
                <w:b/>
                <w:vertAlign w:val="superscript"/>
                <w:lang w:val="tr"/>
              </w:rPr>
              <w:t>1</w:t>
            </w:r>
            <w:r w:rsidRPr="00FF45DE">
              <w:rPr>
                <w:rFonts w:ascii="Times New Roman" w:eastAsia="Times New Roman" w:hAnsi="Times New Roman" w:cs="Times New Roman"/>
                <w:b/>
                <w:lang w:val="tr"/>
              </w:rPr>
              <w:t>) (</w:t>
            </w:r>
            <w:r w:rsidRPr="00FF45DE">
              <w:rPr>
                <w:rFonts w:ascii="Times New Roman" w:eastAsia="Times New Roman" w:hAnsi="Times New Roman" w:cs="Times New Roman"/>
                <w:b/>
                <w:vertAlign w:val="superscript"/>
                <w:lang w:val="tr"/>
              </w:rPr>
              <w:t>2</w:t>
            </w:r>
            <w:r w:rsidRPr="00FF45DE">
              <w:rPr>
                <w:rFonts w:ascii="Times New Roman" w:eastAsia="Times New Roman" w:hAnsi="Times New Roman" w:cs="Times New Roman"/>
                <w:b/>
                <w:lang w:val="tr"/>
              </w:rPr>
              <w:t>)</w:t>
            </w:r>
          </w:p>
          <w:p w14:paraId="46D64C3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(kg N atılan/hayvan yeri/yıl)</w:t>
            </w:r>
          </w:p>
        </w:tc>
      </w:tr>
      <w:tr w:rsidR="003B155E" w:rsidRPr="00FF45DE" w14:paraId="72A3B164" w14:textId="77777777" w:rsidTr="000D79D6">
        <w:trPr>
          <w:trHeight w:val="283"/>
        </w:trPr>
        <w:tc>
          <w:tcPr>
            <w:tcW w:w="1094" w:type="pct"/>
            <w:vMerge w:val="restart"/>
            <w:vAlign w:val="center"/>
          </w:tcPr>
          <w:p w14:paraId="09D9DD8F" w14:textId="77777777" w:rsidR="003B155E" w:rsidRPr="00FF45DE" w:rsidRDefault="003B155E" w:rsidP="000D79D6">
            <w:pPr>
              <w:ind w:left="74" w:right="74"/>
              <w:rPr>
                <w:rFonts w:ascii="Times New Roman" w:eastAsia="Times New Roman" w:hAnsi="Times New Roman" w:cs="Times New Roman"/>
                <w:lang w:val="sv-SE"/>
              </w:rPr>
            </w:pPr>
            <w:r w:rsidRPr="00FF45DE">
              <w:rPr>
                <w:rFonts w:ascii="Times New Roman" w:eastAsia="Times New Roman" w:hAnsi="Times New Roman" w:cs="Times New Roman"/>
                <w:lang w:val="tr"/>
              </w:rPr>
              <w:t>Atılan toplam azot, N olarak ifade edilir.</w:t>
            </w:r>
          </w:p>
        </w:tc>
        <w:tc>
          <w:tcPr>
            <w:tcW w:w="1732" w:type="pct"/>
            <w:vAlign w:val="center"/>
          </w:tcPr>
          <w:p w14:paraId="061567B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74" w:type="pct"/>
            <w:vAlign w:val="center"/>
          </w:tcPr>
          <w:p w14:paraId="7E392DEC"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1,5–4,0</w:t>
            </w:r>
          </w:p>
        </w:tc>
      </w:tr>
      <w:tr w:rsidR="003B155E" w:rsidRPr="00FF45DE" w14:paraId="73ABB16C" w14:textId="77777777" w:rsidTr="000D79D6">
        <w:trPr>
          <w:trHeight w:val="285"/>
        </w:trPr>
        <w:tc>
          <w:tcPr>
            <w:tcW w:w="1094" w:type="pct"/>
            <w:vMerge/>
            <w:tcBorders>
              <w:top w:val="nil"/>
            </w:tcBorders>
            <w:vAlign w:val="center"/>
          </w:tcPr>
          <w:p w14:paraId="0CD93082" w14:textId="77777777" w:rsidR="003B155E" w:rsidRPr="00FF45DE" w:rsidRDefault="003B155E" w:rsidP="000D79D6">
            <w:pPr>
              <w:ind w:left="74" w:right="74"/>
              <w:rPr>
                <w:rFonts w:ascii="Times New Roman" w:eastAsia="Calibri" w:hAnsi="Times New Roman" w:cs="Times New Roman"/>
              </w:rPr>
            </w:pPr>
          </w:p>
        </w:tc>
        <w:tc>
          <w:tcPr>
            <w:tcW w:w="1732" w:type="pct"/>
            <w:vAlign w:val="center"/>
          </w:tcPr>
          <w:p w14:paraId="0326A35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74" w:type="pct"/>
            <w:vAlign w:val="center"/>
          </w:tcPr>
          <w:p w14:paraId="7C55690A"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7,0–13,0</w:t>
            </w:r>
          </w:p>
        </w:tc>
      </w:tr>
      <w:tr w:rsidR="003B155E" w:rsidRPr="00FF45DE" w14:paraId="70DFE98A" w14:textId="77777777" w:rsidTr="000D79D6">
        <w:trPr>
          <w:trHeight w:val="282"/>
        </w:trPr>
        <w:tc>
          <w:tcPr>
            <w:tcW w:w="1094" w:type="pct"/>
            <w:vMerge/>
            <w:tcBorders>
              <w:top w:val="nil"/>
            </w:tcBorders>
            <w:vAlign w:val="center"/>
          </w:tcPr>
          <w:p w14:paraId="1CC278B1" w14:textId="77777777" w:rsidR="003B155E" w:rsidRPr="00FF45DE" w:rsidRDefault="003B155E" w:rsidP="000D79D6">
            <w:pPr>
              <w:ind w:left="74" w:right="74"/>
              <w:rPr>
                <w:rFonts w:ascii="Times New Roman" w:eastAsia="Calibri" w:hAnsi="Times New Roman" w:cs="Times New Roman"/>
              </w:rPr>
            </w:pPr>
          </w:p>
        </w:tc>
        <w:tc>
          <w:tcPr>
            <w:tcW w:w="1732" w:type="pct"/>
            <w:vAlign w:val="center"/>
          </w:tcPr>
          <w:p w14:paraId="6B9CECE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Dişi domuzlar (yavru domuzlar dahil)</w:t>
            </w:r>
          </w:p>
        </w:tc>
        <w:tc>
          <w:tcPr>
            <w:tcW w:w="2174" w:type="pct"/>
            <w:vAlign w:val="center"/>
          </w:tcPr>
          <w:p w14:paraId="7E392225"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17,0–30,0</w:t>
            </w:r>
          </w:p>
        </w:tc>
      </w:tr>
      <w:tr w:rsidR="003B155E" w:rsidRPr="00FF45DE" w14:paraId="25E2A6B0" w14:textId="77777777" w:rsidTr="000D79D6">
        <w:trPr>
          <w:trHeight w:val="282"/>
        </w:trPr>
        <w:tc>
          <w:tcPr>
            <w:tcW w:w="1094" w:type="pct"/>
            <w:vMerge/>
            <w:tcBorders>
              <w:top w:val="nil"/>
            </w:tcBorders>
            <w:vAlign w:val="center"/>
          </w:tcPr>
          <w:p w14:paraId="590F35F6" w14:textId="77777777" w:rsidR="003B155E" w:rsidRPr="00FF45DE" w:rsidRDefault="003B155E" w:rsidP="000D79D6">
            <w:pPr>
              <w:ind w:left="74" w:right="74"/>
              <w:rPr>
                <w:rFonts w:ascii="Times New Roman" w:eastAsia="Calibri" w:hAnsi="Times New Roman" w:cs="Times New Roman"/>
              </w:rPr>
            </w:pPr>
          </w:p>
        </w:tc>
        <w:tc>
          <w:tcPr>
            <w:tcW w:w="1732" w:type="pct"/>
            <w:vAlign w:val="center"/>
          </w:tcPr>
          <w:p w14:paraId="37960EA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Yumurta tavuğu</w:t>
            </w:r>
          </w:p>
        </w:tc>
        <w:tc>
          <w:tcPr>
            <w:tcW w:w="2174" w:type="pct"/>
            <w:vAlign w:val="center"/>
          </w:tcPr>
          <w:p w14:paraId="12BE3422"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0,4–0,8</w:t>
            </w:r>
          </w:p>
        </w:tc>
      </w:tr>
      <w:tr w:rsidR="003B155E" w:rsidRPr="00FF45DE" w14:paraId="5EFD9AC3" w14:textId="77777777" w:rsidTr="000D79D6">
        <w:trPr>
          <w:trHeight w:val="282"/>
        </w:trPr>
        <w:tc>
          <w:tcPr>
            <w:tcW w:w="1094" w:type="pct"/>
            <w:vMerge/>
            <w:tcBorders>
              <w:top w:val="nil"/>
            </w:tcBorders>
            <w:vAlign w:val="center"/>
          </w:tcPr>
          <w:p w14:paraId="03217978" w14:textId="77777777" w:rsidR="003B155E" w:rsidRPr="00FF45DE" w:rsidRDefault="003B155E" w:rsidP="000D79D6">
            <w:pPr>
              <w:ind w:left="74" w:right="74"/>
              <w:rPr>
                <w:rFonts w:ascii="Times New Roman" w:eastAsia="Calibri" w:hAnsi="Times New Roman" w:cs="Times New Roman"/>
              </w:rPr>
            </w:pPr>
          </w:p>
        </w:tc>
        <w:tc>
          <w:tcPr>
            <w:tcW w:w="1732" w:type="pct"/>
            <w:vAlign w:val="center"/>
          </w:tcPr>
          <w:p w14:paraId="363DA7A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Etlik piliçler </w:t>
            </w:r>
          </w:p>
        </w:tc>
        <w:tc>
          <w:tcPr>
            <w:tcW w:w="2174" w:type="pct"/>
            <w:vAlign w:val="center"/>
          </w:tcPr>
          <w:p w14:paraId="76561201"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0,2–0,6</w:t>
            </w:r>
          </w:p>
        </w:tc>
      </w:tr>
      <w:tr w:rsidR="003B155E" w:rsidRPr="00FF45DE" w14:paraId="2946FBC7" w14:textId="77777777" w:rsidTr="000D79D6">
        <w:trPr>
          <w:trHeight w:val="282"/>
        </w:trPr>
        <w:tc>
          <w:tcPr>
            <w:tcW w:w="1094" w:type="pct"/>
            <w:vMerge/>
            <w:tcBorders>
              <w:top w:val="nil"/>
            </w:tcBorders>
            <w:vAlign w:val="center"/>
          </w:tcPr>
          <w:p w14:paraId="422701FB" w14:textId="77777777" w:rsidR="003B155E" w:rsidRPr="00FF45DE" w:rsidRDefault="003B155E" w:rsidP="000D79D6">
            <w:pPr>
              <w:ind w:left="74" w:right="74"/>
              <w:rPr>
                <w:rFonts w:ascii="Times New Roman" w:eastAsia="Calibri" w:hAnsi="Times New Roman" w:cs="Times New Roman"/>
              </w:rPr>
            </w:pPr>
          </w:p>
        </w:tc>
        <w:tc>
          <w:tcPr>
            <w:tcW w:w="1732" w:type="pct"/>
            <w:vAlign w:val="center"/>
          </w:tcPr>
          <w:p w14:paraId="6D83DD8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Ördekler</w:t>
            </w:r>
          </w:p>
        </w:tc>
        <w:tc>
          <w:tcPr>
            <w:tcW w:w="2174" w:type="pct"/>
            <w:vAlign w:val="center"/>
          </w:tcPr>
          <w:p w14:paraId="76D6CB6D"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0,4–0,8</w:t>
            </w:r>
          </w:p>
        </w:tc>
      </w:tr>
      <w:tr w:rsidR="003B155E" w:rsidRPr="00FF45DE" w14:paraId="024E1806" w14:textId="77777777" w:rsidTr="000D79D6">
        <w:trPr>
          <w:trHeight w:val="282"/>
        </w:trPr>
        <w:tc>
          <w:tcPr>
            <w:tcW w:w="1094" w:type="pct"/>
            <w:vMerge/>
            <w:tcBorders>
              <w:top w:val="nil"/>
            </w:tcBorders>
            <w:vAlign w:val="center"/>
          </w:tcPr>
          <w:p w14:paraId="2335B96B" w14:textId="77777777" w:rsidR="003B155E" w:rsidRPr="00FF45DE" w:rsidRDefault="003B155E" w:rsidP="000D79D6">
            <w:pPr>
              <w:ind w:left="74" w:right="74"/>
              <w:rPr>
                <w:rFonts w:ascii="Times New Roman" w:eastAsia="Calibri" w:hAnsi="Times New Roman" w:cs="Times New Roman"/>
              </w:rPr>
            </w:pPr>
          </w:p>
        </w:tc>
        <w:tc>
          <w:tcPr>
            <w:tcW w:w="1732" w:type="pct"/>
            <w:vAlign w:val="center"/>
          </w:tcPr>
          <w:p w14:paraId="5F16F33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Hindiler</w:t>
            </w:r>
          </w:p>
        </w:tc>
        <w:tc>
          <w:tcPr>
            <w:tcW w:w="2174" w:type="pct"/>
            <w:vAlign w:val="center"/>
          </w:tcPr>
          <w:p w14:paraId="0E7D91C6"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1,0–2,3 (</w:t>
            </w:r>
            <w:r w:rsidRPr="00FF45DE">
              <w:rPr>
                <w:rFonts w:ascii="Times New Roman" w:eastAsia="Times New Roman" w:hAnsi="Times New Roman" w:cs="Times New Roman"/>
                <w:vertAlign w:val="superscript"/>
                <w:lang w:val="tr"/>
              </w:rPr>
              <w:t>3</w:t>
            </w:r>
            <w:r w:rsidRPr="00FF45DE">
              <w:rPr>
                <w:rFonts w:ascii="Times New Roman" w:eastAsia="Times New Roman" w:hAnsi="Times New Roman" w:cs="Times New Roman"/>
                <w:lang w:val="tr"/>
              </w:rPr>
              <w:t>)</w:t>
            </w:r>
          </w:p>
        </w:tc>
      </w:tr>
      <w:tr w:rsidR="003B155E" w:rsidRPr="00FF45DE" w14:paraId="70DECA15" w14:textId="77777777" w:rsidTr="000D79D6">
        <w:trPr>
          <w:trHeight w:val="621"/>
        </w:trPr>
        <w:tc>
          <w:tcPr>
            <w:tcW w:w="5000" w:type="pct"/>
            <w:gridSpan w:val="3"/>
            <w:vAlign w:val="center"/>
          </w:tcPr>
          <w:p w14:paraId="08FC4F69" w14:textId="77777777" w:rsidR="003B155E" w:rsidRPr="00FF45DE" w:rsidRDefault="003B155E" w:rsidP="003B155E">
            <w:pPr>
              <w:numPr>
                <w:ilvl w:val="0"/>
                <w:numId w:val="155"/>
              </w:numPr>
              <w:tabs>
                <w:tab w:val="left" w:pos="334"/>
              </w:tabs>
              <w:ind w:left="301" w:right="74" w:hanging="227"/>
              <w:jc w:val="both"/>
              <w:rPr>
                <w:rFonts w:ascii="Times New Roman" w:eastAsia="Times New Roman" w:hAnsi="Times New Roman" w:cs="Times New Roman"/>
                <w:i/>
                <w:sz w:val="20"/>
                <w:szCs w:val="20"/>
                <w:lang w:val="nl-NL"/>
              </w:rPr>
            </w:pPr>
            <w:r w:rsidRPr="00FF45DE">
              <w:rPr>
                <w:rFonts w:ascii="Times New Roman" w:eastAsia="Times New Roman" w:hAnsi="Times New Roman" w:cs="Times New Roman"/>
                <w:i/>
                <w:sz w:val="20"/>
                <w:szCs w:val="20"/>
                <w:lang w:val="tr"/>
              </w:rPr>
              <w:t>Aralığın alt ucu, tekniklerin bir kombinasyonu kullanılarak elde edilebilir.</w:t>
            </w:r>
          </w:p>
          <w:p w14:paraId="527F2F96" w14:textId="77777777" w:rsidR="003B155E" w:rsidRPr="00FF45DE" w:rsidRDefault="003B155E" w:rsidP="003B155E">
            <w:pPr>
              <w:numPr>
                <w:ilvl w:val="0"/>
                <w:numId w:val="155"/>
              </w:numPr>
              <w:tabs>
                <w:tab w:val="left" w:pos="334"/>
              </w:tabs>
              <w:ind w:left="301" w:right="74" w:hanging="227"/>
              <w:jc w:val="both"/>
              <w:rPr>
                <w:rFonts w:ascii="Times New Roman" w:eastAsia="Times New Roman" w:hAnsi="Times New Roman" w:cs="Times New Roman"/>
                <w:i/>
                <w:sz w:val="20"/>
                <w:szCs w:val="20"/>
                <w:lang w:val="nl-NL"/>
              </w:rPr>
            </w:pPr>
            <w:r w:rsidRPr="00FF45DE">
              <w:rPr>
                <w:rFonts w:ascii="Times New Roman" w:eastAsia="Times New Roman" w:hAnsi="Times New Roman" w:cs="Times New Roman"/>
                <w:i/>
                <w:sz w:val="20"/>
                <w:szCs w:val="20"/>
                <w:lang w:val="tr"/>
              </w:rPr>
              <w:t>MET ile ilişkili atılan toplam azot, tüm kanatlı türleri için yarkalar veya yetiştiriciler için geçerli değildir.</w:t>
            </w:r>
          </w:p>
          <w:p w14:paraId="7451600D" w14:textId="77777777" w:rsidR="003B155E" w:rsidRPr="00FF45DE" w:rsidRDefault="003B155E" w:rsidP="003B155E">
            <w:pPr>
              <w:numPr>
                <w:ilvl w:val="0"/>
                <w:numId w:val="155"/>
              </w:numPr>
              <w:tabs>
                <w:tab w:val="left" w:pos="334"/>
              </w:tabs>
              <w:ind w:left="301" w:right="74" w:hanging="227"/>
              <w:jc w:val="both"/>
              <w:rPr>
                <w:rFonts w:ascii="Times New Roman" w:eastAsia="Times New Roman" w:hAnsi="Times New Roman" w:cs="Times New Roman"/>
                <w:i/>
                <w:sz w:val="20"/>
                <w:szCs w:val="20"/>
                <w:lang w:val="nl-NL"/>
              </w:rPr>
            </w:pPr>
            <w:r w:rsidRPr="00FF45DE">
              <w:rPr>
                <w:rFonts w:ascii="Times New Roman" w:eastAsia="Times New Roman" w:hAnsi="Times New Roman" w:cs="Times New Roman"/>
                <w:i/>
                <w:sz w:val="20"/>
                <w:szCs w:val="20"/>
                <w:lang w:val="tr"/>
              </w:rPr>
              <w:t>Aralığın üst ucu, erkek hindilerin yetiştirilmesiyle ilişkilidir.</w:t>
            </w:r>
          </w:p>
        </w:tc>
      </w:tr>
    </w:tbl>
    <w:p w14:paraId="2DFB6F1B" w14:textId="77777777" w:rsidR="003B155E" w:rsidRPr="00FF45DE" w:rsidRDefault="003B155E" w:rsidP="003B155E">
      <w:pPr>
        <w:spacing w:before="240" w:after="0" w:line="360" w:lineRule="auto"/>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İlgili izleme MET 24'tedir. MET ile ilişkili toplam azot atılım seviyeleri, yukarıda belirtilmeyen organik hayvancılık üretimi ve kümes hayvanı türlerinin yetiştirilmesi için geçerli olmayabilir.</w:t>
      </w:r>
    </w:p>
    <w:p w14:paraId="21E232CE"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nl-NL"/>
          <w14:ligatures w14:val="none"/>
        </w:rPr>
      </w:pPr>
      <w:r w:rsidRPr="00FF45DE">
        <w:rPr>
          <w:rFonts w:ascii="Times New Roman" w:eastAsia="Calibri" w:hAnsi="Times New Roman" w:cs="Calibri"/>
          <w:b/>
          <w:bCs/>
          <w:kern w:val="0"/>
          <w:sz w:val="24"/>
          <w:lang w:val="nl-NL"/>
          <w14:ligatures w14:val="none"/>
        </w:rPr>
        <w:t xml:space="preserve">MET 4: </w:t>
      </w:r>
      <w:r w:rsidRPr="00FF45DE">
        <w:rPr>
          <w:rFonts w:ascii="Times New Roman" w:eastAsia="Calibri" w:hAnsi="Times New Roman" w:cs="Calibri"/>
          <w:bCs/>
          <w:kern w:val="0"/>
          <w:sz w:val="24"/>
          <w:lang w:val="nl-NL"/>
          <w14:ligatures w14:val="none"/>
        </w:rPr>
        <w:t>Hayvanların beslenme ihtiyaçlarını karşılarken atılan toplam fosforu azaltmak için aşağıda verilen tekniklerin birini veya birkaçını içeren bir beslenme düzeni formülasyonu ve bir beslenme stratejisi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8"/>
        <w:gridCol w:w="5223"/>
        <w:gridCol w:w="3561"/>
      </w:tblGrid>
      <w:tr w:rsidR="003B155E" w:rsidRPr="00FF45DE" w14:paraId="4190994F" w14:textId="77777777" w:rsidTr="000D79D6">
        <w:trPr>
          <w:trHeight w:val="230"/>
          <w:tblHeader/>
        </w:trPr>
        <w:tc>
          <w:tcPr>
            <w:tcW w:w="153" w:type="pct"/>
            <w:vAlign w:val="center"/>
          </w:tcPr>
          <w:p w14:paraId="7DC3D40F" w14:textId="77777777" w:rsidR="003B155E" w:rsidRPr="00FF45DE" w:rsidRDefault="003B155E" w:rsidP="000D79D6">
            <w:pPr>
              <w:ind w:left="74" w:right="74"/>
              <w:jc w:val="center"/>
              <w:rPr>
                <w:rFonts w:ascii="Times New Roman" w:eastAsia="Times New Roman" w:hAnsi="Times New Roman" w:cs="Times New Roman"/>
                <w:lang w:val="nl-NL"/>
              </w:rPr>
            </w:pPr>
          </w:p>
        </w:tc>
        <w:tc>
          <w:tcPr>
            <w:tcW w:w="2882" w:type="pct"/>
            <w:vAlign w:val="center"/>
          </w:tcPr>
          <w:p w14:paraId="5CAB51BD"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1965" w:type="pct"/>
            <w:vAlign w:val="center"/>
          </w:tcPr>
          <w:p w14:paraId="336B971A"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44EAB380" w14:textId="77777777" w:rsidTr="000D79D6">
        <w:trPr>
          <w:trHeight w:val="458"/>
        </w:trPr>
        <w:tc>
          <w:tcPr>
            <w:tcW w:w="153" w:type="pct"/>
            <w:vAlign w:val="center"/>
          </w:tcPr>
          <w:p w14:paraId="635655D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882" w:type="pct"/>
            <w:vAlign w:val="center"/>
          </w:tcPr>
          <w:p w14:paraId="0229349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Üretim döneminin özel gereksinimlerine göre uyarlanmış bir beslenme düzeni formülasyonu ile çok fazlı yemleme</w:t>
            </w:r>
          </w:p>
        </w:tc>
        <w:tc>
          <w:tcPr>
            <w:tcW w:w="1965" w:type="pct"/>
            <w:vAlign w:val="center"/>
          </w:tcPr>
          <w:p w14:paraId="01D4346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177CE37" w14:textId="77777777" w:rsidTr="000D79D6">
        <w:trPr>
          <w:trHeight w:val="460"/>
        </w:trPr>
        <w:tc>
          <w:tcPr>
            <w:tcW w:w="153" w:type="pct"/>
            <w:vAlign w:val="center"/>
          </w:tcPr>
          <w:p w14:paraId="7AF517C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882" w:type="pct"/>
            <w:vAlign w:val="center"/>
          </w:tcPr>
          <w:p w14:paraId="279EF1A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Salınan toplam fosforu (ör. fitaz) azaltan onaylı yem katkı maddelerinin kullanımı</w:t>
            </w:r>
          </w:p>
        </w:tc>
        <w:tc>
          <w:tcPr>
            <w:tcW w:w="1965" w:type="pct"/>
            <w:vAlign w:val="center"/>
          </w:tcPr>
          <w:p w14:paraId="17A9A05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Organik hayvancılıkta fitaz uygulanamayabilir.</w:t>
            </w:r>
          </w:p>
        </w:tc>
      </w:tr>
      <w:tr w:rsidR="003B155E" w:rsidRPr="00FF45DE" w14:paraId="60D300EC" w14:textId="77777777" w:rsidTr="000D79D6">
        <w:trPr>
          <w:trHeight w:val="283"/>
        </w:trPr>
        <w:tc>
          <w:tcPr>
            <w:tcW w:w="153" w:type="pct"/>
            <w:vAlign w:val="center"/>
          </w:tcPr>
          <w:p w14:paraId="4C2EF3D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882" w:type="pct"/>
            <w:vAlign w:val="center"/>
          </w:tcPr>
          <w:p w14:paraId="404C589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Yemdeki geleneksel fosfor kaynaklarının kısmen değiştirilmesi için yüksek oranda sindirilebilir inorganik fosfatların kullanımı</w:t>
            </w:r>
          </w:p>
        </w:tc>
        <w:tc>
          <w:tcPr>
            <w:tcW w:w="1965" w:type="pct"/>
            <w:vAlign w:val="center"/>
          </w:tcPr>
          <w:p w14:paraId="4BF0680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Genellikle sindirilebilirliği yüksek inorganik fosfatların mevcudiyeti ile ilgili kısıtlamalar dahilinde uygulanabilir.</w:t>
            </w:r>
          </w:p>
        </w:tc>
      </w:tr>
    </w:tbl>
    <w:p w14:paraId="722540EE" w14:textId="6DBB5EAC" w:rsidR="003B155E" w:rsidRPr="00FF45DE" w:rsidRDefault="003B155E" w:rsidP="003B155E">
      <w:pPr>
        <w:spacing w:before="240" w:after="0" w:line="240" w:lineRule="auto"/>
        <w:jc w:val="center"/>
        <w:rPr>
          <w:rFonts w:ascii="Times New Roman" w:eastAsia="Calibri" w:hAnsi="Times New Roman" w:cs="Calibri"/>
          <w:i/>
          <w:iCs/>
          <w:color w:val="000000"/>
          <w:kern w:val="0"/>
          <w:sz w:val="24"/>
          <w:szCs w:val="18"/>
          <w:lang w:val="en-US"/>
          <w14:ligatures w14:val="none"/>
        </w:rPr>
      </w:pPr>
      <w:bookmarkStart w:id="21" w:name="_Ref133917088"/>
      <w:r w:rsidRPr="00FF45DE">
        <w:rPr>
          <w:rFonts w:ascii="Times New Roman" w:eastAsia="Calibri" w:hAnsi="Times New Roman" w:cs="Calibri"/>
          <w:i/>
          <w:iCs/>
          <w:color w:val="000000"/>
          <w:kern w:val="0"/>
          <w:sz w:val="24"/>
          <w:szCs w:val="18"/>
          <w:lang w:val="en-US"/>
          <w14:ligatures w14:val="none"/>
        </w:rPr>
        <w:t xml:space="preserve">Tablo </w:t>
      </w:r>
      <w:r w:rsidRPr="00FF45DE">
        <w:rPr>
          <w:rFonts w:ascii="Times New Roman" w:eastAsia="Calibri" w:hAnsi="Times New Roman" w:cs="Calibri"/>
          <w:i/>
          <w:iCs/>
          <w:color w:val="000000"/>
          <w:kern w:val="0"/>
          <w:sz w:val="24"/>
          <w:szCs w:val="18"/>
          <w:lang w:val="en-US"/>
          <w14:ligatures w14:val="none"/>
        </w:rPr>
        <w:fldChar w:fldCharType="begin"/>
      </w:r>
      <w:r w:rsidRPr="00FF45DE">
        <w:rPr>
          <w:rFonts w:ascii="Times New Roman" w:eastAsia="Calibri" w:hAnsi="Times New Roman" w:cs="Calibri"/>
          <w:i/>
          <w:iCs/>
          <w:color w:val="000000"/>
          <w:kern w:val="0"/>
          <w:sz w:val="24"/>
          <w:szCs w:val="18"/>
          <w:lang w:val="en-US"/>
          <w14:ligatures w14:val="none"/>
        </w:rPr>
        <w:instrText xml:space="preserve"> SEQ Tablo \* ARABIC </w:instrText>
      </w:r>
      <w:r w:rsidRPr="00FF45DE">
        <w:rPr>
          <w:rFonts w:ascii="Times New Roman" w:eastAsia="Calibri" w:hAnsi="Times New Roman" w:cs="Calibri"/>
          <w:i/>
          <w:iCs/>
          <w:color w:val="000000"/>
          <w:kern w:val="0"/>
          <w:sz w:val="24"/>
          <w:szCs w:val="18"/>
          <w:lang w:val="en-US"/>
          <w14:ligatures w14:val="none"/>
        </w:rPr>
        <w:fldChar w:fldCharType="separate"/>
      </w:r>
      <w:r w:rsidR="00CA3CEB">
        <w:rPr>
          <w:rFonts w:ascii="Times New Roman" w:eastAsia="Calibri" w:hAnsi="Times New Roman" w:cs="Calibri"/>
          <w:i/>
          <w:iCs/>
          <w:noProof/>
          <w:color w:val="000000"/>
          <w:kern w:val="0"/>
          <w:sz w:val="24"/>
          <w:szCs w:val="18"/>
          <w:lang w:val="en-US"/>
          <w14:ligatures w14:val="none"/>
        </w:rPr>
        <w:t>2</w:t>
      </w:r>
      <w:r w:rsidRPr="00FF45DE">
        <w:rPr>
          <w:rFonts w:ascii="Times New Roman" w:eastAsia="Calibri" w:hAnsi="Times New Roman" w:cs="Calibri"/>
          <w:i/>
          <w:iCs/>
          <w:color w:val="000000"/>
          <w:kern w:val="0"/>
          <w:sz w:val="24"/>
          <w:szCs w:val="18"/>
          <w:lang w:val="en-US"/>
          <w14:ligatures w14:val="none"/>
        </w:rPr>
        <w:fldChar w:fldCharType="end"/>
      </w:r>
      <w:bookmarkEnd w:id="21"/>
      <w:r w:rsidRPr="00FF45DE">
        <w:rPr>
          <w:rFonts w:ascii="Times New Roman" w:eastAsia="Calibri" w:hAnsi="Times New Roman" w:cs="Calibri"/>
          <w:i/>
          <w:iCs/>
          <w:color w:val="000000"/>
          <w:kern w:val="0"/>
          <w:sz w:val="24"/>
          <w:szCs w:val="18"/>
          <w:lang w:val="en-US"/>
          <w14:ligatures w14:val="none"/>
        </w:rPr>
        <w:t>.</w:t>
      </w:r>
    </w:p>
    <w:p w14:paraId="1A38EE1D" w14:textId="77777777" w:rsidR="003B155E" w:rsidRPr="00FF45DE" w:rsidRDefault="003B155E" w:rsidP="003B155E">
      <w:pPr>
        <w:spacing w:before="240" w:after="0" w:line="240" w:lineRule="auto"/>
        <w:jc w:val="center"/>
        <w:rPr>
          <w:rFonts w:ascii="Times New Roman" w:eastAsia="Calibri" w:hAnsi="Times New Roman" w:cs="Calibri"/>
          <w:b/>
          <w:iCs/>
          <w:color w:val="000000"/>
          <w:kern w:val="0"/>
          <w:sz w:val="24"/>
          <w:szCs w:val="18"/>
          <w:lang w:val="en-US"/>
          <w14:ligatures w14:val="none"/>
        </w:rPr>
      </w:pPr>
      <w:r w:rsidRPr="00FF45DE">
        <w:rPr>
          <w:rFonts w:ascii="Times New Roman" w:eastAsia="Calibri" w:hAnsi="Times New Roman" w:cs="Calibri"/>
          <w:b/>
          <w:iCs/>
          <w:color w:val="000000"/>
          <w:kern w:val="0"/>
          <w:sz w:val="24"/>
          <w:szCs w:val="18"/>
          <w:lang w:val="en-US"/>
          <w14:ligatures w14:val="none"/>
        </w:rPr>
        <w:t>MET ile ilişkili toplam fosfor salımı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0"/>
        <w:gridCol w:w="3284"/>
        <w:gridCol w:w="3898"/>
      </w:tblGrid>
      <w:tr w:rsidR="003B155E" w:rsidRPr="00FF45DE" w14:paraId="427EDCDC" w14:textId="77777777" w:rsidTr="000D79D6">
        <w:trPr>
          <w:trHeight w:val="688"/>
        </w:trPr>
        <w:tc>
          <w:tcPr>
            <w:tcW w:w="1037" w:type="pct"/>
            <w:vAlign w:val="center"/>
          </w:tcPr>
          <w:p w14:paraId="1513878F" w14:textId="77777777" w:rsidR="003B155E" w:rsidRPr="00FF45DE" w:rsidRDefault="003B155E" w:rsidP="000D79D6">
            <w:pPr>
              <w:ind w:left="74" w:right="74"/>
              <w:jc w:val="center"/>
              <w:rPr>
                <w:rFonts w:ascii="Times New Roman" w:eastAsia="Times New Roman" w:hAnsi="Times New Roman" w:cs="Times New Roman"/>
                <w:b/>
                <w:lang w:val="en-GB"/>
              </w:rPr>
            </w:pPr>
          </w:p>
          <w:p w14:paraId="29443531"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Parametre</w:t>
            </w:r>
          </w:p>
        </w:tc>
        <w:tc>
          <w:tcPr>
            <w:tcW w:w="1812" w:type="pct"/>
            <w:vAlign w:val="center"/>
          </w:tcPr>
          <w:p w14:paraId="38B9742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Hayvan kategorisi</w:t>
            </w:r>
          </w:p>
        </w:tc>
        <w:tc>
          <w:tcPr>
            <w:tcW w:w="2151" w:type="pct"/>
            <w:vAlign w:val="center"/>
          </w:tcPr>
          <w:p w14:paraId="3DA94CAA"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MET ile ilişkili toplam fosfor salımı (</w:t>
            </w:r>
            <w:r w:rsidRPr="00FF45DE">
              <w:rPr>
                <w:rFonts w:ascii="Times New Roman" w:eastAsia="Times New Roman" w:hAnsi="Times New Roman" w:cs="Times New Roman"/>
                <w:b/>
                <w:vertAlign w:val="superscript"/>
                <w:lang w:val="tr"/>
              </w:rPr>
              <w:t>1</w:t>
            </w:r>
            <w:r w:rsidRPr="00FF45DE">
              <w:rPr>
                <w:rFonts w:ascii="Times New Roman" w:eastAsia="Times New Roman" w:hAnsi="Times New Roman" w:cs="Times New Roman"/>
                <w:b/>
                <w:lang w:val="tr"/>
              </w:rPr>
              <w:t>) (</w:t>
            </w:r>
            <w:r w:rsidRPr="00FF45DE">
              <w:rPr>
                <w:rFonts w:ascii="Times New Roman" w:eastAsia="Times New Roman" w:hAnsi="Times New Roman" w:cs="Times New Roman"/>
                <w:b/>
                <w:vertAlign w:val="superscript"/>
                <w:lang w:val="tr"/>
              </w:rPr>
              <w:t>2</w:t>
            </w:r>
            <w:r w:rsidRPr="00FF45DE">
              <w:rPr>
                <w:rFonts w:ascii="Times New Roman" w:eastAsia="Times New Roman" w:hAnsi="Times New Roman" w:cs="Times New Roman"/>
                <w:b/>
                <w:lang w:val="tr"/>
              </w:rPr>
              <w:t>)</w:t>
            </w:r>
          </w:p>
          <w:p w14:paraId="22EEE97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(kg P</w:t>
            </w:r>
            <w:r w:rsidRPr="00FF45DE">
              <w:rPr>
                <w:rFonts w:ascii="Times New Roman" w:eastAsia="Times New Roman" w:hAnsi="Times New Roman" w:cs="Times New Roman"/>
                <w:b/>
                <w:vertAlign w:val="subscript"/>
                <w:lang w:val="tr"/>
              </w:rPr>
              <w:t>2</w:t>
            </w:r>
            <w:r w:rsidRPr="00FF45DE">
              <w:rPr>
                <w:rFonts w:ascii="Times New Roman" w:eastAsia="Times New Roman" w:hAnsi="Times New Roman" w:cs="Times New Roman"/>
                <w:b/>
                <w:lang w:val="tr"/>
              </w:rPr>
              <w:t>O</w:t>
            </w:r>
            <w:r w:rsidRPr="00FF45DE">
              <w:rPr>
                <w:rFonts w:ascii="Times New Roman" w:eastAsia="Times New Roman" w:hAnsi="Times New Roman" w:cs="Times New Roman"/>
                <w:b/>
                <w:vertAlign w:val="subscript"/>
                <w:lang w:val="tr"/>
              </w:rPr>
              <w:t>5</w:t>
            </w:r>
            <w:r w:rsidRPr="00FF45DE">
              <w:rPr>
                <w:rFonts w:ascii="Times New Roman" w:eastAsia="Times New Roman" w:hAnsi="Times New Roman" w:cs="Times New Roman"/>
                <w:b/>
                <w:lang w:val="tr"/>
              </w:rPr>
              <w:t xml:space="preserve"> atılan/hayvan yeri/yıl)</w:t>
            </w:r>
          </w:p>
        </w:tc>
      </w:tr>
      <w:tr w:rsidR="003B155E" w:rsidRPr="00FF45DE" w14:paraId="2EC0B353" w14:textId="77777777" w:rsidTr="000D79D6">
        <w:trPr>
          <w:trHeight w:val="282"/>
        </w:trPr>
        <w:tc>
          <w:tcPr>
            <w:tcW w:w="1037" w:type="pct"/>
            <w:vMerge w:val="restart"/>
            <w:vAlign w:val="center"/>
          </w:tcPr>
          <w:p w14:paraId="17EBB5F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P</w:t>
            </w:r>
            <w:r w:rsidRPr="00FF45DE">
              <w:rPr>
                <w:rFonts w:ascii="Times New Roman" w:eastAsia="Times New Roman" w:hAnsi="Times New Roman" w:cs="Times New Roman"/>
                <w:vertAlign w:val="subscript"/>
                <w:lang w:val="tr"/>
              </w:rPr>
              <w:t>2</w:t>
            </w:r>
            <w:r w:rsidRPr="00FF45DE">
              <w:rPr>
                <w:rFonts w:ascii="Times New Roman" w:eastAsia="Times New Roman" w:hAnsi="Times New Roman" w:cs="Times New Roman"/>
                <w:lang w:val="tr"/>
              </w:rPr>
              <w:t>O</w:t>
            </w:r>
            <w:r w:rsidRPr="00FF45DE">
              <w:rPr>
                <w:rFonts w:ascii="Times New Roman" w:eastAsia="Times New Roman" w:hAnsi="Times New Roman" w:cs="Times New Roman"/>
                <w:vertAlign w:val="subscript"/>
                <w:lang w:val="tr"/>
              </w:rPr>
              <w:t>5</w:t>
            </w:r>
            <w:r w:rsidRPr="00FF45DE">
              <w:rPr>
                <w:rFonts w:ascii="Times New Roman" w:eastAsia="Times New Roman" w:hAnsi="Times New Roman" w:cs="Times New Roman"/>
                <w:lang w:val="tr"/>
              </w:rPr>
              <w:t xml:space="preserve"> olarak ifade edilen salınan toplam fosfor</w:t>
            </w:r>
          </w:p>
        </w:tc>
        <w:tc>
          <w:tcPr>
            <w:tcW w:w="1812" w:type="pct"/>
            <w:vAlign w:val="center"/>
          </w:tcPr>
          <w:p w14:paraId="48B0C0F6"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51" w:type="pct"/>
            <w:vAlign w:val="center"/>
          </w:tcPr>
          <w:p w14:paraId="3FE77D5A"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1,2–2,2</w:t>
            </w:r>
          </w:p>
        </w:tc>
      </w:tr>
      <w:tr w:rsidR="003B155E" w:rsidRPr="00FF45DE" w14:paraId="2DF7AB67" w14:textId="77777777" w:rsidTr="000D79D6">
        <w:trPr>
          <w:trHeight w:val="282"/>
        </w:trPr>
        <w:tc>
          <w:tcPr>
            <w:tcW w:w="1037" w:type="pct"/>
            <w:vMerge/>
            <w:tcBorders>
              <w:top w:val="nil"/>
            </w:tcBorders>
            <w:vAlign w:val="center"/>
          </w:tcPr>
          <w:p w14:paraId="31AC3186" w14:textId="77777777" w:rsidR="003B155E" w:rsidRPr="00FF45DE" w:rsidRDefault="003B155E" w:rsidP="000D79D6">
            <w:pPr>
              <w:ind w:left="74" w:right="74"/>
              <w:jc w:val="both"/>
              <w:rPr>
                <w:rFonts w:ascii="Times New Roman" w:eastAsia="Calibri" w:hAnsi="Times New Roman" w:cs="Times New Roman"/>
              </w:rPr>
            </w:pPr>
          </w:p>
        </w:tc>
        <w:tc>
          <w:tcPr>
            <w:tcW w:w="1812" w:type="pct"/>
            <w:vAlign w:val="center"/>
          </w:tcPr>
          <w:p w14:paraId="35F4A843"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51" w:type="pct"/>
            <w:vAlign w:val="center"/>
          </w:tcPr>
          <w:p w14:paraId="05E7F03B"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3,5–5,4</w:t>
            </w:r>
          </w:p>
        </w:tc>
      </w:tr>
      <w:tr w:rsidR="003B155E" w:rsidRPr="00FF45DE" w14:paraId="2159808A" w14:textId="77777777" w:rsidTr="000D79D6">
        <w:trPr>
          <w:trHeight w:val="282"/>
        </w:trPr>
        <w:tc>
          <w:tcPr>
            <w:tcW w:w="1037" w:type="pct"/>
            <w:vMerge/>
            <w:tcBorders>
              <w:top w:val="nil"/>
            </w:tcBorders>
            <w:vAlign w:val="center"/>
          </w:tcPr>
          <w:p w14:paraId="11774917" w14:textId="77777777" w:rsidR="003B155E" w:rsidRPr="00FF45DE" w:rsidRDefault="003B155E" w:rsidP="000D79D6">
            <w:pPr>
              <w:ind w:left="74" w:right="74"/>
              <w:jc w:val="both"/>
              <w:rPr>
                <w:rFonts w:ascii="Times New Roman" w:eastAsia="Calibri" w:hAnsi="Times New Roman" w:cs="Times New Roman"/>
              </w:rPr>
            </w:pPr>
          </w:p>
        </w:tc>
        <w:tc>
          <w:tcPr>
            <w:tcW w:w="1812" w:type="pct"/>
            <w:vAlign w:val="center"/>
          </w:tcPr>
          <w:p w14:paraId="283BB373"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Dişi domuzlar (yavru domuzlar dahil)</w:t>
            </w:r>
          </w:p>
        </w:tc>
        <w:tc>
          <w:tcPr>
            <w:tcW w:w="2151" w:type="pct"/>
            <w:vAlign w:val="center"/>
          </w:tcPr>
          <w:p w14:paraId="1560102E"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w w:val="95"/>
                <w:lang w:val="tr"/>
              </w:rPr>
              <w:t>9,0–15,0</w:t>
            </w:r>
          </w:p>
        </w:tc>
      </w:tr>
      <w:tr w:rsidR="003B155E" w:rsidRPr="00FF45DE" w14:paraId="5B6F244F" w14:textId="77777777" w:rsidTr="000D79D6">
        <w:trPr>
          <w:trHeight w:val="285"/>
        </w:trPr>
        <w:tc>
          <w:tcPr>
            <w:tcW w:w="1037" w:type="pct"/>
            <w:vMerge/>
            <w:tcBorders>
              <w:top w:val="nil"/>
            </w:tcBorders>
            <w:vAlign w:val="center"/>
          </w:tcPr>
          <w:p w14:paraId="01A50115" w14:textId="77777777" w:rsidR="003B155E" w:rsidRPr="00FF45DE" w:rsidRDefault="003B155E" w:rsidP="000D79D6">
            <w:pPr>
              <w:ind w:left="74" w:right="74"/>
              <w:jc w:val="both"/>
              <w:rPr>
                <w:rFonts w:ascii="Times New Roman" w:eastAsia="Calibri" w:hAnsi="Times New Roman" w:cs="Times New Roman"/>
              </w:rPr>
            </w:pPr>
          </w:p>
        </w:tc>
        <w:tc>
          <w:tcPr>
            <w:tcW w:w="1812" w:type="pct"/>
            <w:vAlign w:val="center"/>
          </w:tcPr>
          <w:p w14:paraId="32273907"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Yumurta tavuğu</w:t>
            </w:r>
          </w:p>
        </w:tc>
        <w:tc>
          <w:tcPr>
            <w:tcW w:w="2151" w:type="pct"/>
            <w:vAlign w:val="center"/>
          </w:tcPr>
          <w:p w14:paraId="25C39671"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w w:val="95"/>
                <w:lang w:val="tr"/>
              </w:rPr>
              <w:t>0,10–0,45</w:t>
            </w:r>
          </w:p>
        </w:tc>
      </w:tr>
      <w:tr w:rsidR="003B155E" w:rsidRPr="00FF45DE" w14:paraId="7E61DEFD" w14:textId="77777777" w:rsidTr="000D79D6">
        <w:trPr>
          <w:trHeight w:val="282"/>
        </w:trPr>
        <w:tc>
          <w:tcPr>
            <w:tcW w:w="1037" w:type="pct"/>
            <w:vMerge/>
            <w:tcBorders>
              <w:top w:val="nil"/>
            </w:tcBorders>
            <w:vAlign w:val="center"/>
          </w:tcPr>
          <w:p w14:paraId="51D0D62F" w14:textId="77777777" w:rsidR="003B155E" w:rsidRPr="00FF45DE" w:rsidRDefault="003B155E" w:rsidP="000D79D6">
            <w:pPr>
              <w:ind w:left="74" w:right="74"/>
              <w:jc w:val="both"/>
              <w:rPr>
                <w:rFonts w:ascii="Times New Roman" w:eastAsia="Calibri" w:hAnsi="Times New Roman" w:cs="Times New Roman"/>
              </w:rPr>
            </w:pPr>
          </w:p>
        </w:tc>
        <w:tc>
          <w:tcPr>
            <w:tcW w:w="1812" w:type="pct"/>
            <w:vAlign w:val="center"/>
          </w:tcPr>
          <w:p w14:paraId="53B5A563"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Etlik piliçler</w:t>
            </w:r>
          </w:p>
        </w:tc>
        <w:tc>
          <w:tcPr>
            <w:tcW w:w="2151" w:type="pct"/>
            <w:vAlign w:val="center"/>
          </w:tcPr>
          <w:p w14:paraId="7A969869"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w w:val="95"/>
                <w:lang w:val="tr"/>
              </w:rPr>
              <w:t>0,05–0,25</w:t>
            </w:r>
          </w:p>
        </w:tc>
      </w:tr>
      <w:tr w:rsidR="003B155E" w:rsidRPr="00FF45DE" w14:paraId="5B0BE07D" w14:textId="77777777" w:rsidTr="000D79D6">
        <w:trPr>
          <w:trHeight w:val="282"/>
        </w:trPr>
        <w:tc>
          <w:tcPr>
            <w:tcW w:w="1037" w:type="pct"/>
            <w:vMerge/>
            <w:tcBorders>
              <w:top w:val="nil"/>
            </w:tcBorders>
            <w:vAlign w:val="center"/>
          </w:tcPr>
          <w:p w14:paraId="0BB49104" w14:textId="77777777" w:rsidR="003B155E" w:rsidRPr="00FF45DE" w:rsidRDefault="003B155E" w:rsidP="000D79D6">
            <w:pPr>
              <w:ind w:left="74" w:right="74"/>
              <w:jc w:val="both"/>
              <w:rPr>
                <w:rFonts w:ascii="Times New Roman" w:eastAsia="Calibri" w:hAnsi="Times New Roman" w:cs="Times New Roman"/>
              </w:rPr>
            </w:pPr>
          </w:p>
        </w:tc>
        <w:tc>
          <w:tcPr>
            <w:tcW w:w="1812" w:type="pct"/>
            <w:vAlign w:val="center"/>
          </w:tcPr>
          <w:p w14:paraId="292BF8BB"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Hindiler</w:t>
            </w:r>
          </w:p>
        </w:tc>
        <w:tc>
          <w:tcPr>
            <w:tcW w:w="2151" w:type="pct"/>
            <w:vAlign w:val="center"/>
          </w:tcPr>
          <w:p w14:paraId="16F1F334"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w w:val="95"/>
                <w:lang w:val="tr"/>
              </w:rPr>
              <w:t>0,15–1,0</w:t>
            </w:r>
          </w:p>
        </w:tc>
      </w:tr>
      <w:tr w:rsidR="003B155E" w:rsidRPr="00FF45DE" w14:paraId="0DFCEFEA" w14:textId="77777777" w:rsidTr="000D79D6">
        <w:trPr>
          <w:trHeight w:val="412"/>
        </w:trPr>
        <w:tc>
          <w:tcPr>
            <w:tcW w:w="5000" w:type="pct"/>
            <w:gridSpan w:val="3"/>
            <w:vAlign w:val="center"/>
          </w:tcPr>
          <w:p w14:paraId="71B00A00" w14:textId="77777777" w:rsidR="003B155E" w:rsidRPr="00FF45DE" w:rsidRDefault="003B155E" w:rsidP="003B155E">
            <w:pPr>
              <w:numPr>
                <w:ilvl w:val="0"/>
                <w:numId w:val="156"/>
              </w:numPr>
              <w:tabs>
                <w:tab w:val="left" w:pos="334"/>
              </w:tabs>
              <w:ind w:left="301" w:right="74" w:hanging="227"/>
              <w:jc w:val="both"/>
              <w:rPr>
                <w:rFonts w:ascii="Times New Roman" w:eastAsia="Times New Roman" w:hAnsi="Times New Roman" w:cs="Times New Roman"/>
                <w:i/>
                <w:sz w:val="20"/>
                <w:szCs w:val="20"/>
                <w:lang w:val="nl-NL"/>
              </w:rPr>
            </w:pPr>
            <w:r w:rsidRPr="00FF45DE">
              <w:rPr>
                <w:rFonts w:ascii="Times New Roman" w:eastAsia="Times New Roman" w:hAnsi="Times New Roman" w:cs="Times New Roman"/>
                <w:i/>
                <w:sz w:val="20"/>
                <w:szCs w:val="20"/>
                <w:lang w:val="tr"/>
              </w:rPr>
              <w:t>Aralığın alt ucu, tekniklerin bir kombinasyonu kullanılarak elde edilebilir.</w:t>
            </w:r>
          </w:p>
          <w:p w14:paraId="097CA61A" w14:textId="77777777" w:rsidR="003B155E" w:rsidRPr="00FF45DE" w:rsidRDefault="003B155E" w:rsidP="003B155E">
            <w:pPr>
              <w:numPr>
                <w:ilvl w:val="0"/>
                <w:numId w:val="156"/>
              </w:numPr>
              <w:tabs>
                <w:tab w:val="left" w:pos="334"/>
              </w:tabs>
              <w:ind w:left="301" w:right="74" w:hanging="227"/>
              <w:jc w:val="both"/>
              <w:rPr>
                <w:rFonts w:ascii="Times New Roman" w:eastAsia="Times New Roman" w:hAnsi="Times New Roman" w:cs="Times New Roman"/>
                <w:lang w:val="nl-NL"/>
              </w:rPr>
            </w:pPr>
            <w:r w:rsidRPr="00FF45DE">
              <w:rPr>
                <w:rFonts w:ascii="Times New Roman" w:eastAsia="Times New Roman" w:hAnsi="Times New Roman" w:cs="Times New Roman"/>
                <w:i/>
                <w:sz w:val="20"/>
                <w:szCs w:val="20"/>
                <w:lang w:val="tr"/>
              </w:rPr>
              <w:t>MET ile ilişkili atılan toplam fosfor, tüm kanatlı türleri için yarkalar veya yetiştiriciler için geçerli değildir.</w:t>
            </w:r>
          </w:p>
        </w:tc>
      </w:tr>
    </w:tbl>
    <w:p w14:paraId="3B8CADE3" w14:textId="77777777" w:rsidR="003B155E" w:rsidRPr="00FF45DE" w:rsidRDefault="003B155E" w:rsidP="003B155E">
      <w:pPr>
        <w:spacing w:before="240" w:after="0" w:line="360" w:lineRule="auto"/>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lastRenderedPageBreak/>
        <w:t>İlgili izleme MET 24'tedir. MET ile ilişkili salınan toplam fosfor seviyeleri, yukarıda belirtilmeyen organik hayvancılık üretimi ve kümes hayvanı türlerinin yetiştirilmesi için geçerli olmayabilir.</w:t>
      </w:r>
    </w:p>
    <w:p w14:paraId="1EF7BB0D"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nl-NL"/>
          <w14:ligatures w14:val="none"/>
        </w:rPr>
      </w:pPr>
      <w:bookmarkStart w:id="22" w:name="_Toc136614303"/>
      <w:r w:rsidRPr="00FF45DE">
        <w:rPr>
          <w:rFonts w:ascii="Times New Roman" w:eastAsia="DengXian Light" w:hAnsi="Times New Roman" w:cs="Microsoft Uighur"/>
          <w:b/>
          <w:kern w:val="0"/>
          <w:sz w:val="24"/>
          <w:szCs w:val="26"/>
          <w:lang w:val="nl-NL"/>
          <w14:ligatures w14:val="none"/>
        </w:rPr>
        <w:t>Suyun Verimli Kullanımı</w:t>
      </w:r>
      <w:bookmarkEnd w:id="22"/>
    </w:p>
    <w:p w14:paraId="20CFB68B"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nl-NL"/>
          <w14:ligatures w14:val="none"/>
        </w:rPr>
      </w:pPr>
      <w:r w:rsidRPr="00FF45DE">
        <w:rPr>
          <w:rFonts w:ascii="Times New Roman" w:eastAsia="Calibri" w:hAnsi="Times New Roman" w:cs="Calibri"/>
          <w:b/>
          <w:bCs/>
          <w:kern w:val="0"/>
          <w:sz w:val="24"/>
          <w:lang w:val="nl-NL"/>
          <w14:ligatures w14:val="none"/>
        </w:rPr>
        <w:t xml:space="preserve">MET 5: </w:t>
      </w:r>
      <w:r w:rsidRPr="00FF45DE">
        <w:rPr>
          <w:rFonts w:ascii="Times New Roman" w:eastAsia="Calibri" w:hAnsi="Times New Roman" w:cs="Calibri"/>
          <w:bCs/>
          <w:kern w:val="0"/>
          <w:sz w:val="24"/>
          <w:lang w:val="nl-NL"/>
          <w14:ligatures w14:val="none"/>
        </w:rPr>
        <w:t>Suyu verimli kullanmak için aşağıda verilen tekniklerin bir kombinasyonunun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9"/>
        <w:gridCol w:w="4883"/>
        <w:gridCol w:w="3900"/>
      </w:tblGrid>
      <w:tr w:rsidR="003B155E" w:rsidRPr="00FF45DE" w14:paraId="7C4B0189" w14:textId="77777777" w:rsidTr="000D79D6">
        <w:trPr>
          <w:trHeight w:val="337"/>
          <w:tblHeader/>
        </w:trPr>
        <w:tc>
          <w:tcPr>
            <w:tcW w:w="154" w:type="pct"/>
          </w:tcPr>
          <w:p w14:paraId="5B9ABDA6" w14:textId="77777777" w:rsidR="003B155E" w:rsidRPr="00FF45DE" w:rsidRDefault="003B155E" w:rsidP="000D79D6">
            <w:pPr>
              <w:ind w:left="74" w:right="74"/>
              <w:rPr>
                <w:rFonts w:ascii="Times New Roman" w:eastAsia="Times New Roman" w:hAnsi="Times New Roman" w:cs="Times New Roman"/>
                <w:lang w:val="nl-NL"/>
              </w:rPr>
            </w:pPr>
          </w:p>
        </w:tc>
        <w:tc>
          <w:tcPr>
            <w:tcW w:w="2694" w:type="pct"/>
          </w:tcPr>
          <w:p w14:paraId="5A6A6A43"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2152" w:type="pct"/>
          </w:tcPr>
          <w:p w14:paraId="3F7B67D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09F77F6D" w14:textId="77777777" w:rsidTr="000D79D6">
        <w:trPr>
          <w:trHeight w:val="340"/>
        </w:trPr>
        <w:tc>
          <w:tcPr>
            <w:tcW w:w="154" w:type="pct"/>
            <w:vAlign w:val="center"/>
          </w:tcPr>
          <w:p w14:paraId="6486D69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694" w:type="pct"/>
            <w:vAlign w:val="center"/>
          </w:tcPr>
          <w:p w14:paraId="23E30F0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 kullanımının kaydının tutulması</w:t>
            </w:r>
          </w:p>
        </w:tc>
        <w:tc>
          <w:tcPr>
            <w:tcW w:w="2152" w:type="pct"/>
            <w:vAlign w:val="center"/>
          </w:tcPr>
          <w:p w14:paraId="58C49E3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467FBB9F" w14:textId="77777777" w:rsidTr="000D79D6">
        <w:trPr>
          <w:trHeight w:val="340"/>
        </w:trPr>
        <w:tc>
          <w:tcPr>
            <w:tcW w:w="154" w:type="pct"/>
            <w:vAlign w:val="center"/>
          </w:tcPr>
          <w:p w14:paraId="76E0365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694" w:type="pct"/>
            <w:vAlign w:val="center"/>
          </w:tcPr>
          <w:p w14:paraId="129174D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 kaçaklarının tespit edilmesi ve onarılması</w:t>
            </w:r>
          </w:p>
        </w:tc>
        <w:tc>
          <w:tcPr>
            <w:tcW w:w="2152" w:type="pct"/>
            <w:vAlign w:val="center"/>
          </w:tcPr>
          <w:p w14:paraId="713CD9E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56D015BE" w14:textId="77777777" w:rsidTr="000D79D6">
        <w:trPr>
          <w:trHeight w:val="460"/>
        </w:trPr>
        <w:tc>
          <w:tcPr>
            <w:tcW w:w="154" w:type="pct"/>
            <w:vAlign w:val="center"/>
          </w:tcPr>
          <w:p w14:paraId="2D4D9AC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694" w:type="pct"/>
            <w:vAlign w:val="center"/>
          </w:tcPr>
          <w:p w14:paraId="153894B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Hayvan barınağı ve ekipmanını temizlemek için yüksek basınçlı temizleyicilerin kullanımı</w:t>
            </w:r>
          </w:p>
        </w:tc>
        <w:tc>
          <w:tcPr>
            <w:tcW w:w="2152" w:type="pct"/>
            <w:vAlign w:val="center"/>
          </w:tcPr>
          <w:p w14:paraId="36AE466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Kuru temizleme sistemleri kullanan kümes hayvanları tesisleri için geçerli değildir.</w:t>
            </w:r>
          </w:p>
        </w:tc>
      </w:tr>
      <w:tr w:rsidR="003B155E" w:rsidRPr="00FF45DE" w14:paraId="722955E2" w14:textId="77777777" w:rsidTr="000D79D6">
        <w:trPr>
          <w:trHeight w:val="283"/>
        </w:trPr>
        <w:tc>
          <w:tcPr>
            <w:tcW w:w="154" w:type="pct"/>
            <w:vAlign w:val="center"/>
          </w:tcPr>
          <w:p w14:paraId="07DEED9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694" w:type="pct"/>
            <w:vAlign w:val="center"/>
          </w:tcPr>
          <w:p w14:paraId="0E4CC1D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Belirli bir hayvan kategorisi için uygun ekipmanın (ör. nipel suluklar, yuvarlak suluklar, su yalakları) seçilmesi ve kullanılması, aynı zamanda su mevcudiyetini de sağlanması (</w:t>
            </w:r>
            <w:r w:rsidRPr="00FF45DE">
              <w:rPr>
                <w:rFonts w:ascii="Times New Roman" w:eastAsia="Times New Roman" w:hAnsi="Times New Roman" w:cs="Times New Roman"/>
                <w:i/>
                <w:lang w:val="tr"/>
              </w:rPr>
              <w:t>serbest yemleme</w:t>
            </w:r>
            <w:r w:rsidRPr="00FF45DE">
              <w:rPr>
                <w:rFonts w:ascii="Times New Roman" w:eastAsia="Times New Roman" w:hAnsi="Times New Roman" w:cs="Times New Roman"/>
                <w:lang w:val="tr"/>
              </w:rPr>
              <w:t>).</w:t>
            </w:r>
          </w:p>
        </w:tc>
        <w:tc>
          <w:tcPr>
            <w:tcW w:w="2152" w:type="pct"/>
            <w:vAlign w:val="center"/>
          </w:tcPr>
          <w:p w14:paraId="31B46F9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D1D0E08" w14:textId="77777777" w:rsidTr="000D79D6">
        <w:trPr>
          <w:trHeight w:val="460"/>
        </w:trPr>
        <w:tc>
          <w:tcPr>
            <w:tcW w:w="154" w:type="pct"/>
            <w:vAlign w:val="center"/>
          </w:tcPr>
          <w:p w14:paraId="36D0A62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2694" w:type="pct"/>
            <w:vAlign w:val="center"/>
          </w:tcPr>
          <w:p w14:paraId="7D82108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İçme suyu ekipmanının kalibrasyonunu düzenli olarak doğrulanması ve (gerekirse) ayarlanması</w:t>
            </w:r>
          </w:p>
        </w:tc>
        <w:tc>
          <w:tcPr>
            <w:tcW w:w="2152" w:type="pct"/>
            <w:vAlign w:val="center"/>
          </w:tcPr>
          <w:p w14:paraId="01C13BB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5699F9AC" w14:textId="77777777" w:rsidTr="000D79D6">
        <w:trPr>
          <w:trHeight w:val="921"/>
        </w:trPr>
        <w:tc>
          <w:tcPr>
            <w:tcW w:w="154" w:type="pct"/>
            <w:vAlign w:val="center"/>
          </w:tcPr>
          <w:p w14:paraId="0EB0435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2694" w:type="pct"/>
            <w:vAlign w:val="center"/>
          </w:tcPr>
          <w:p w14:paraId="1B1449E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Kontamine olmamış yağmur suyunun temizleme suyu olarak yeniden kullanımı</w:t>
            </w:r>
          </w:p>
        </w:tc>
        <w:tc>
          <w:tcPr>
            <w:tcW w:w="2152" w:type="pct"/>
            <w:vAlign w:val="center"/>
          </w:tcPr>
          <w:p w14:paraId="74631E7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Yüksek maliyetler nedeniyle mevcut çiftlikler için geçerli olmayabilir.</w:t>
            </w:r>
          </w:p>
          <w:p w14:paraId="1993CFD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Geçerlilik, biyogüvenlik riskleri ile kısıtlanabilir.</w:t>
            </w:r>
          </w:p>
        </w:tc>
      </w:tr>
    </w:tbl>
    <w:p w14:paraId="6C0C11A6"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23" w:name="_Toc136614304"/>
      <w:r w:rsidRPr="00EE5089">
        <w:rPr>
          <w:rFonts w:ascii="Times New Roman" w:eastAsia="DengXian Light" w:hAnsi="Times New Roman" w:cs="Microsoft Uighur"/>
          <w:b/>
          <w:kern w:val="0"/>
          <w:sz w:val="24"/>
          <w:szCs w:val="26"/>
          <w14:ligatures w14:val="none"/>
        </w:rPr>
        <w:t>Atık Sudan Kaynaklanan Emisyonlar</w:t>
      </w:r>
      <w:bookmarkEnd w:id="23"/>
    </w:p>
    <w:p w14:paraId="260E092A"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6: </w:t>
      </w:r>
      <w:r w:rsidRPr="00EE5089">
        <w:rPr>
          <w:rFonts w:ascii="Times New Roman" w:eastAsia="Calibri" w:hAnsi="Times New Roman" w:cs="Calibri"/>
          <w:bCs/>
          <w:kern w:val="0"/>
          <w:sz w:val="24"/>
          <w14:ligatures w14:val="none"/>
        </w:rPr>
        <w:t>Atık su oluşumunu azaltmak için aşağıda verilen tekniklerin bir kombinasyonunun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5220"/>
        <w:gridCol w:w="3565"/>
      </w:tblGrid>
      <w:tr w:rsidR="003B155E" w:rsidRPr="00FF45DE" w14:paraId="7D5828A1" w14:textId="77777777" w:rsidTr="000D79D6">
        <w:trPr>
          <w:trHeight w:val="340"/>
        </w:trPr>
        <w:tc>
          <w:tcPr>
            <w:tcW w:w="153" w:type="pct"/>
          </w:tcPr>
          <w:p w14:paraId="03824D7A" w14:textId="77777777" w:rsidR="003B155E" w:rsidRPr="00EE5089" w:rsidRDefault="003B155E" w:rsidP="000D79D6">
            <w:pPr>
              <w:ind w:left="74" w:right="74"/>
              <w:rPr>
                <w:rFonts w:ascii="Times New Roman" w:eastAsia="Times New Roman" w:hAnsi="Times New Roman" w:cs="Times New Roman"/>
                <w:lang w:val="tr-TR"/>
              </w:rPr>
            </w:pPr>
          </w:p>
        </w:tc>
        <w:tc>
          <w:tcPr>
            <w:tcW w:w="2880" w:type="pct"/>
          </w:tcPr>
          <w:p w14:paraId="38E30428"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1967" w:type="pct"/>
          </w:tcPr>
          <w:p w14:paraId="78234D4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635B9A20" w14:textId="77777777" w:rsidTr="000D79D6">
        <w:trPr>
          <w:trHeight w:val="337"/>
        </w:trPr>
        <w:tc>
          <w:tcPr>
            <w:tcW w:w="153" w:type="pct"/>
            <w:vAlign w:val="center"/>
          </w:tcPr>
          <w:p w14:paraId="3A1B9D4D"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880" w:type="pct"/>
            <w:vAlign w:val="center"/>
          </w:tcPr>
          <w:p w14:paraId="506E73B4"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Kirli avlu alanlarının mümkün olduğunca küçük tutulması</w:t>
            </w:r>
          </w:p>
        </w:tc>
        <w:tc>
          <w:tcPr>
            <w:tcW w:w="1967" w:type="pct"/>
            <w:vAlign w:val="center"/>
          </w:tcPr>
          <w:p w14:paraId="3859AD56"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4289B6C5" w14:textId="77777777" w:rsidTr="000D79D6">
        <w:trPr>
          <w:trHeight w:val="340"/>
        </w:trPr>
        <w:tc>
          <w:tcPr>
            <w:tcW w:w="153" w:type="pct"/>
            <w:vAlign w:val="center"/>
          </w:tcPr>
          <w:p w14:paraId="4C34AE51"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880" w:type="pct"/>
            <w:vAlign w:val="center"/>
          </w:tcPr>
          <w:p w14:paraId="1C103A76" w14:textId="77777777" w:rsidR="003B155E" w:rsidRPr="00FF45DE" w:rsidRDefault="003B155E" w:rsidP="000D79D6">
            <w:pPr>
              <w:ind w:left="74" w:right="7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Su kullanımının en aza indirilmesi</w:t>
            </w:r>
          </w:p>
        </w:tc>
        <w:tc>
          <w:tcPr>
            <w:tcW w:w="1967" w:type="pct"/>
            <w:vAlign w:val="center"/>
          </w:tcPr>
          <w:p w14:paraId="359F7CF6"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0D2B58DE" w14:textId="77777777" w:rsidTr="000D79D6">
        <w:trPr>
          <w:trHeight w:val="460"/>
        </w:trPr>
        <w:tc>
          <w:tcPr>
            <w:tcW w:w="153" w:type="pct"/>
            <w:vAlign w:val="center"/>
          </w:tcPr>
          <w:p w14:paraId="38356F65"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880" w:type="pct"/>
            <w:vAlign w:val="center"/>
          </w:tcPr>
          <w:p w14:paraId="74FF48A2"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Kontamine olmamış yağmur suyunun arıtma gerektiren atık su akışlarından ayrılması</w:t>
            </w:r>
          </w:p>
        </w:tc>
        <w:tc>
          <w:tcPr>
            <w:tcW w:w="1967" w:type="pct"/>
            <w:vAlign w:val="center"/>
          </w:tcPr>
          <w:p w14:paraId="009271FB"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Mevcut çiftlikler için geçerli olmayabilir.</w:t>
            </w:r>
          </w:p>
        </w:tc>
      </w:tr>
    </w:tbl>
    <w:p w14:paraId="52FCF658"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7: </w:t>
      </w:r>
      <w:r w:rsidRPr="00EE5089">
        <w:rPr>
          <w:rFonts w:ascii="Times New Roman" w:eastAsia="Calibri" w:hAnsi="Times New Roman" w:cs="Calibri"/>
          <w:bCs/>
          <w:kern w:val="0"/>
          <w:sz w:val="24"/>
          <w14:ligatures w14:val="none"/>
        </w:rPr>
        <w:t>Atık sudan kaynaklanan emisyonları azaltmak için aşağıda verilen tekniklerin biri veya birkaçının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5220"/>
        <w:gridCol w:w="3565"/>
      </w:tblGrid>
      <w:tr w:rsidR="003B155E" w:rsidRPr="00FF45DE" w14:paraId="50FC5885" w14:textId="77777777" w:rsidTr="000D79D6">
        <w:trPr>
          <w:trHeight w:val="230"/>
        </w:trPr>
        <w:tc>
          <w:tcPr>
            <w:tcW w:w="153" w:type="pct"/>
          </w:tcPr>
          <w:p w14:paraId="4D836E10" w14:textId="77777777" w:rsidR="003B155E" w:rsidRPr="00EE5089" w:rsidRDefault="003B155E" w:rsidP="000D79D6">
            <w:pPr>
              <w:ind w:left="74" w:right="74"/>
              <w:rPr>
                <w:rFonts w:ascii="Times New Roman" w:eastAsia="Times New Roman" w:hAnsi="Times New Roman" w:cs="Times New Roman"/>
                <w:lang w:val="tr-TR"/>
              </w:rPr>
            </w:pPr>
          </w:p>
        </w:tc>
        <w:tc>
          <w:tcPr>
            <w:tcW w:w="2880" w:type="pct"/>
          </w:tcPr>
          <w:p w14:paraId="4622471C"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1967" w:type="pct"/>
          </w:tcPr>
          <w:p w14:paraId="2C0EDB3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0D118031" w14:textId="77777777" w:rsidTr="000D79D6">
        <w:trPr>
          <w:trHeight w:val="460"/>
        </w:trPr>
        <w:tc>
          <w:tcPr>
            <w:tcW w:w="153" w:type="pct"/>
            <w:vAlign w:val="center"/>
          </w:tcPr>
          <w:p w14:paraId="7BDCBF1A"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880" w:type="pct"/>
            <w:vAlign w:val="center"/>
          </w:tcPr>
          <w:p w14:paraId="5E9C5203"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Atık suyun özel bir kaba veya sulu gübre haznesine</w:t>
            </w:r>
          </w:p>
          <w:p w14:paraId="2E0329D0"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boşaltılması</w:t>
            </w:r>
          </w:p>
        </w:tc>
        <w:tc>
          <w:tcPr>
            <w:tcW w:w="1967" w:type="pct"/>
            <w:vAlign w:val="center"/>
          </w:tcPr>
          <w:p w14:paraId="4A67D98B"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6D7AC48" w14:textId="77777777" w:rsidTr="000D79D6">
        <w:trPr>
          <w:trHeight w:val="230"/>
        </w:trPr>
        <w:tc>
          <w:tcPr>
            <w:tcW w:w="153" w:type="pct"/>
            <w:vAlign w:val="center"/>
          </w:tcPr>
          <w:p w14:paraId="736F9158"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880" w:type="pct"/>
            <w:vAlign w:val="center"/>
          </w:tcPr>
          <w:p w14:paraId="1A27C9FE"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Atık suyun arıtılması</w:t>
            </w:r>
          </w:p>
        </w:tc>
        <w:tc>
          <w:tcPr>
            <w:tcW w:w="1967" w:type="pct"/>
            <w:vAlign w:val="center"/>
          </w:tcPr>
          <w:p w14:paraId="037CD3D8"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59DDBA01" w14:textId="77777777" w:rsidTr="000D79D6">
        <w:trPr>
          <w:trHeight w:val="1149"/>
        </w:trPr>
        <w:tc>
          <w:tcPr>
            <w:tcW w:w="153" w:type="pct"/>
            <w:vAlign w:val="center"/>
          </w:tcPr>
          <w:p w14:paraId="7AF92370"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880" w:type="pct"/>
            <w:vAlign w:val="center"/>
          </w:tcPr>
          <w:p w14:paraId="42D1855C"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Örneğin püskürtücü, gezici sulama, tanker, göbek enjektörü gibi bir sulama sistemi kullanılarak atık suyun araziye yayılması</w:t>
            </w:r>
          </w:p>
        </w:tc>
        <w:tc>
          <w:tcPr>
            <w:tcW w:w="1967" w:type="pct"/>
            <w:vAlign w:val="center"/>
          </w:tcPr>
          <w:p w14:paraId="7AF5F60E"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Çiftliğe bitişik uygun arazinin sınırlı mevcudiyeti nedeniyle geçerlilik kısıtlanabilir.</w:t>
            </w:r>
          </w:p>
          <w:p w14:paraId="48ED7CE8"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Sadece kanıtlanmış düşük kirlilik seviyesine sahip atık su için geçerlidir.</w:t>
            </w:r>
          </w:p>
        </w:tc>
      </w:tr>
    </w:tbl>
    <w:p w14:paraId="2A359D85"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24" w:name="_Toc136614305"/>
      <w:r w:rsidRPr="00EE5089">
        <w:rPr>
          <w:rFonts w:ascii="Times New Roman" w:eastAsia="DengXian Light" w:hAnsi="Times New Roman" w:cs="Microsoft Uighur"/>
          <w:b/>
          <w:kern w:val="0"/>
          <w:sz w:val="24"/>
          <w:szCs w:val="26"/>
          <w14:ligatures w14:val="none"/>
        </w:rPr>
        <w:lastRenderedPageBreak/>
        <w:t>Enerjinin Verimli Kullanımı</w:t>
      </w:r>
      <w:bookmarkEnd w:id="24"/>
    </w:p>
    <w:p w14:paraId="65E8B308"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8: </w:t>
      </w:r>
      <w:r w:rsidRPr="00EE5089">
        <w:rPr>
          <w:rFonts w:ascii="Times New Roman" w:eastAsia="Calibri" w:hAnsi="Times New Roman" w:cs="Calibri"/>
          <w:bCs/>
          <w:kern w:val="0"/>
          <w:sz w:val="24"/>
          <w14:ligatures w14:val="none"/>
        </w:rPr>
        <w:t>Bir çiftlikte enerjiyi verimli kullanmak için aşağıda verilen tekniklerin bir kombinasyonunun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5"/>
        <w:gridCol w:w="3507"/>
        <w:gridCol w:w="5140"/>
      </w:tblGrid>
      <w:tr w:rsidR="003B155E" w:rsidRPr="00FF45DE" w14:paraId="0FFBF605" w14:textId="77777777" w:rsidTr="000D79D6">
        <w:trPr>
          <w:trHeight w:val="340"/>
          <w:tblHeader/>
        </w:trPr>
        <w:tc>
          <w:tcPr>
            <w:tcW w:w="229" w:type="pct"/>
          </w:tcPr>
          <w:p w14:paraId="2B293132" w14:textId="77777777" w:rsidR="003B155E" w:rsidRPr="00FF45DE" w:rsidRDefault="003B155E" w:rsidP="000D79D6">
            <w:pPr>
              <w:ind w:left="74" w:right="74"/>
              <w:rPr>
                <w:rFonts w:ascii="Times New Roman" w:eastAsia="Times New Roman" w:hAnsi="Times New Roman" w:cs="Times New Roman"/>
                <w:lang w:val="tr"/>
              </w:rPr>
            </w:pPr>
          </w:p>
        </w:tc>
        <w:tc>
          <w:tcPr>
            <w:tcW w:w="1935" w:type="pct"/>
          </w:tcPr>
          <w:p w14:paraId="6651053B"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836" w:type="pct"/>
          </w:tcPr>
          <w:p w14:paraId="4D429FD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208D1E18" w14:textId="77777777" w:rsidTr="000D79D6">
        <w:trPr>
          <w:trHeight w:val="457"/>
        </w:trPr>
        <w:tc>
          <w:tcPr>
            <w:tcW w:w="229" w:type="pct"/>
            <w:vAlign w:val="center"/>
          </w:tcPr>
          <w:p w14:paraId="5019E6A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935" w:type="pct"/>
            <w:vAlign w:val="center"/>
          </w:tcPr>
          <w:p w14:paraId="0CB2371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Yüksek verimli ısıtma/soğutma ve</w:t>
            </w:r>
          </w:p>
          <w:p w14:paraId="2BF722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havalandırma sistemleri</w:t>
            </w:r>
          </w:p>
        </w:tc>
        <w:tc>
          <w:tcPr>
            <w:tcW w:w="2836" w:type="pct"/>
            <w:vAlign w:val="center"/>
          </w:tcPr>
          <w:p w14:paraId="42F733D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Mevcut tesisler için geçerli olmayabilir.</w:t>
            </w:r>
          </w:p>
        </w:tc>
      </w:tr>
      <w:tr w:rsidR="003B155E" w:rsidRPr="00FF45DE" w14:paraId="0E5D810D" w14:textId="77777777" w:rsidTr="000D79D6">
        <w:trPr>
          <w:trHeight w:val="921"/>
        </w:trPr>
        <w:tc>
          <w:tcPr>
            <w:tcW w:w="229" w:type="pct"/>
            <w:vAlign w:val="center"/>
          </w:tcPr>
          <w:p w14:paraId="60C847C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935" w:type="pct"/>
            <w:vAlign w:val="center"/>
          </w:tcPr>
          <w:p w14:paraId="7E76549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Özellikle hava temizleme sistemlerinin kullanıldığı yerlerde ısıtma/soğutma ve havalandırma sistemlerinin ve yönetiminin optimizasyonu</w:t>
            </w:r>
          </w:p>
        </w:tc>
        <w:tc>
          <w:tcPr>
            <w:tcW w:w="2836" w:type="pct"/>
            <w:vAlign w:val="center"/>
          </w:tcPr>
          <w:p w14:paraId="1C9800A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251D1ABB" w14:textId="77777777" w:rsidTr="000D79D6">
        <w:trPr>
          <w:trHeight w:val="416"/>
        </w:trPr>
        <w:tc>
          <w:tcPr>
            <w:tcW w:w="229" w:type="pct"/>
            <w:vAlign w:val="center"/>
          </w:tcPr>
          <w:p w14:paraId="342C91A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1935" w:type="pct"/>
            <w:vAlign w:val="center"/>
          </w:tcPr>
          <w:p w14:paraId="2CDCD43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Hayvan barınaklarının duvarlarının, zeminlerinin ve/veya tavanlarının yalıtımı</w:t>
            </w:r>
          </w:p>
        </w:tc>
        <w:tc>
          <w:tcPr>
            <w:tcW w:w="2836" w:type="pct"/>
            <w:vAlign w:val="center"/>
          </w:tcPr>
          <w:p w14:paraId="2EC70BD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Doğal havalandırma kullanan tesisler için geçerli olmayabilir. Yalıtım, yapısal kısıtlamalar nedeniyle mevcut tesisler için uygulanamayabilir.</w:t>
            </w:r>
          </w:p>
        </w:tc>
      </w:tr>
      <w:tr w:rsidR="003B155E" w:rsidRPr="00FF45DE" w14:paraId="39650BC0" w14:textId="77777777" w:rsidTr="000D79D6">
        <w:trPr>
          <w:trHeight w:val="340"/>
        </w:trPr>
        <w:tc>
          <w:tcPr>
            <w:tcW w:w="229" w:type="pct"/>
            <w:vAlign w:val="center"/>
          </w:tcPr>
          <w:p w14:paraId="68974E8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1935" w:type="pct"/>
            <w:vAlign w:val="center"/>
          </w:tcPr>
          <w:p w14:paraId="0FAD502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Enerji tasarruflu aydınlatma kullanımı</w:t>
            </w:r>
          </w:p>
        </w:tc>
        <w:tc>
          <w:tcPr>
            <w:tcW w:w="2836" w:type="pct"/>
            <w:vAlign w:val="center"/>
          </w:tcPr>
          <w:p w14:paraId="06E9260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1A9B117B" w14:textId="77777777" w:rsidTr="000D79D6">
        <w:trPr>
          <w:trHeight w:val="283"/>
        </w:trPr>
        <w:tc>
          <w:tcPr>
            <w:tcW w:w="229" w:type="pct"/>
            <w:vAlign w:val="center"/>
          </w:tcPr>
          <w:p w14:paraId="74808E7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1935" w:type="pct"/>
            <w:vAlign w:val="center"/>
          </w:tcPr>
          <w:p w14:paraId="02E6D45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Isı eşanjörlerinin kullanımı. Aşağıdaki sistemlerden biri kullanılabilir:</w:t>
            </w:r>
          </w:p>
          <w:p w14:paraId="6C6C9E03" w14:textId="77777777" w:rsidR="003B155E" w:rsidRPr="00FF45DE" w:rsidRDefault="003B155E" w:rsidP="003B155E">
            <w:pPr>
              <w:numPr>
                <w:ilvl w:val="0"/>
                <w:numId w:val="191"/>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hava-hava</w:t>
            </w:r>
          </w:p>
          <w:p w14:paraId="1DF6D0D4" w14:textId="77777777" w:rsidR="003B155E" w:rsidRPr="00FF45DE" w:rsidRDefault="003B155E" w:rsidP="003B155E">
            <w:pPr>
              <w:numPr>
                <w:ilvl w:val="0"/>
                <w:numId w:val="191"/>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hava-su</w:t>
            </w:r>
          </w:p>
          <w:p w14:paraId="20B6299D" w14:textId="77777777" w:rsidR="003B155E" w:rsidRPr="00FF45DE" w:rsidRDefault="003B155E" w:rsidP="003B155E">
            <w:pPr>
              <w:numPr>
                <w:ilvl w:val="0"/>
                <w:numId w:val="191"/>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hava-yer</w:t>
            </w:r>
          </w:p>
        </w:tc>
        <w:tc>
          <w:tcPr>
            <w:tcW w:w="2836" w:type="pct"/>
            <w:vAlign w:val="center"/>
          </w:tcPr>
          <w:p w14:paraId="0767224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Hava-yer ısı eşanjörleri, yalnızca geniş bir toprak yüzeyine duyulan ihtiyaç nedeniyle kullanılabilir alan olduğunda uygulanabilir.</w:t>
            </w:r>
          </w:p>
        </w:tc>
      </w:tr>
      <w:tr w:rsidR="003B155E" w:rsidRPr="00FF45DE" w14:paraId="17CA00D3" w14:textId="77777777" w:rsidTr="000D79D6">
        <w:trPr>
          <w:trHeight w:val="690"/>
        </w:trPr>
        <w:tc>
          <w:tcPr>
            <w:tcW w:w="229" w:type="pct"/>
            <w:vAlign w:val="center"/>
          </w:tcPr>
          <w:p w14:paraId="49FA4FA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1935" w:type="pct"/>
            <w:vAlign w:val="center"/>
          </w:tcPr>
          <w:p w14:paraId="22CFC8A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Isı geri kazanımı için ısı pompalarının kullanımı</w:t>
            </w:r>
          </w:p>
        </w:tc>
        <w:tc>
          <w:tcPr>
            <w:tcW w:w="2836" w:type="pct"/>
            <w:vAlign w:val="center"/>
          </w:tcPr>
          <w:p w14:paraId="1851DE4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Jeotermal ısı geri kazanımına dayalı ısı pompalarının uygulanabilirliği, alan ihtiyacı nedeniyle yatay boruların kullanılması durumu ile sınırlıdır.</w:t>
            </w:r>
          </w:p>
        </w:tc>
      </w:tr>
      <w:tr w:rsidR="003B155E" w:rsidRPr="00FF45DE" w14:paraId="4E0C6DDE" w14:textId="77777777" w:rsidTr="000D79D6">
        <w:trPr>
          <w:trHeight w:val="690"/>
        </w:trPr>
        <w:tc>
          <w:tcPr>
            <w:tcW w:w="229" w:type="pct"/>
            <w:vAlign w:val="center"/>
          </w:tcPr>
          <w:p w14:paraId="3B8E51C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g</w:t>
            </w:r>
          </w:p>
        </w:tc>
        <w:tc>
          <w:tcPr>
            <w:tcW w:w="1935" w:type="pct"/>
            <w:vAlign w:val="center"/>
          </w:tcPr>
          <w:p w14:paraId="5DE32E4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Isıtılmış ve soğutulmuş altlık zemin ile ısı geri kazanımı (combideck sistemi)</w:t>
            </w:r>
          </w:p>
        </w:tc>
        <w:tc>
          <w:tcPr>
            <w:tcW w:w="2836" w:type="pct"/>
            <w:vAlign w:val="center"/>
          </w:tcPr>
          <w:p w14:paraId="6F745454"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Domuz tesisleri için uygulanabilir değildir.</w:t>
            </w:r>
          </w:p>
          <w:p w14:paraId="5CD40D3B"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Uygulanabilirlik, sirküle eden su için kapalı yer altı deposu kurma olasılığına bağlıdır.</w:t>
            </w:r>
          </w:p>
        </w:tc>
      </w:tr>
      <w:tr w:rsidR="003B155E" w:rsidRPr="00FF45DE" w14:paraId="25CC1AEC" w14:textId="77777777" w:rsidTr="000D79D6">
        <w:trPr>
          <w:trHeight w:val="2529"/>
        </w:trPr>
        <w:tc>
          <w:tcPr>
            <w:tcW w:w="229" w:type="pct"/>
            <w:vAlign w:val="center"/>
          </w:tcPr>
          <w:p w14:paraId="4DDFCAE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h</w:t>
            </w:r>
          </w:p>
        </w:tc>
        <w:tc>
          <w:tcPr>
            <w:tcW w:w="1935" w:type="pct"/>
            <w:vAlign w:val="center"/>
          </w:tcPr>
          <w:p w14:paraId="1D77869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havalandırma uygulanması</w:t>
            </w:r>
          </w:p>
        </w:tc>
        <w:tc>
          <w:tcPr>
            <w:tcW w:w="2836" w:type="pct"/>
            <w:vAlign w:val="center"/>
          </w:tcPr>
          <w:p w14:paraId="0D7308B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Merkezi havalandırma sistemine sahip tesisler için uygulanabilir değildir.</w:t>
            </w:r>
          </w:p>
          <w:p w14:paraId="11219D9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Domuz tesislerinde bu, aşağıdakiler için uygulanabilir olmayabilir:</w:t>
            </w:r>
          </w:p>
          <w:p w14:paraId="51A64B51" w14:textId="77777777" w:rsidR="003B155E" w:rsidRPr="00FF45DE" w:rsidRDefault="003B155E" w:rsidP="003B155E">
            <w:pPr>
              <w:numPr>
                <w:ilvl w:val="0"/>
                <w:numId w:val="157"/>
              </w:numPr>
              <w:tabs>
                <w:tab w:val="left" w:pos="243"/>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Sıcak iklimlerde altlıklı zemine sahip barınak sistemleri</w:t>
            </w:r>
          </w:p>
          <w:p w14:paraId="73A4507E" w14:textId="77777777" w:rsidR="003B155E" w:rsidRPr="00FF45DE" w:rsidRDefault="003B155E" w:rsidP="003B155E">
            <w:pPr>
              <w:numPr>
                <w:ilvl w:val="0"/>
                <w:numId w:val="157"/>
              </w:numPr>
              <w:tabs>
                <w:tab w:val="left" w:pos="313"/>
              </w:tabs>
              <w:ind w:left="74" w:right="74" w:hanging="15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Soğuk iklimlerde altlıklı zemini veya kapalı olmayan, yalıtımlı kutusu (ör. kulübeler) olmayan barınak sistemleri.</w:t>
            </w:r>
          </w:p>
          <w:p w14:paraId="01B0EB76"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Kümes hayvanı tesislerinde bu uygulanabilir olmayabilir:</w:t>
            </w:r>
          </w:p>
          <w:p w14:paraId="7B45C0BD" w14:textId="77777777" w:rsidR="003B155E" w:rsidRPr="00FF45DE" w:rsidRDefault="003B155E" w:rsidP="003B155E">
            <w:pPr>
              <w:numPr>
                <w:ilvl w:val="0"/>
                <w:numId w:val="157"/>
              </w:numPr>
              <w:tabs>
                <w:tab w:val="left" w:pos="279"/>
              </w:tabs>
              <w:ind w:left="74" w:right="74" w:hanging="14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Aşırı iklim koşulları nedeniyle yetiştirmenin ilk aşamasında</w:t>
            </w:r>
          </w:p>
          <w:p w14:paraId="3E001FAE" w14:textId="77777777" w:rsidR="003B155E" w:rsidRPr="00FF45DE" w:rsidRDefault="003B155E" w:rsidP="003B155E">
            <w:pPr>
              <w:numPr>
                <w:ilvl w:val="0"/>
                <w:numId w:val="157"/>
              </w:numPr>
              <w:tabs>
                <w:tab w:val="left" w:pos="226"/>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(ördek üretimi dışında)</w:t>
            </w:r>
          </w:p>
        </w:tc>
      </w:tr>
    </w:tbl>
    <w:p w14:paraId="223198DE"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25" w:name="_Toc136614306"/>
      <w:r w:rsidRPr="00FF45DE">
        <w:rPr>
          <w:rFonts w:ascii="Times New Roman" w:eastAsia="DengXian Light" w:hAnsi="Times New Roman" w:cs="Microsoft Uighur"/>
          <w:b/>
          <w:kern w:val="0"/>
          <w:sz w:val="24"/>
          <w:szCs w:val="26"/>
          <w:lang w:val="en-US"/>
          <w14:ligatures w14:val="none"/>
        </w:rPr>
        <w:t>Gürültü Emisyonları</w:t>
      </w:r>
      <w:bookmarkEnd w:id="25"/>
    </w:p>
    <w:p w14:paraId="63C23AE9"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en-US"/>
          <w14:ligatures w14:val="none"/>
        </w:rPr>
      </w:pPr>
      <w:r w:rsidRPr="00FF45DE">
        <w:rPr>
          <w:rFonts w:ascii="Times New Roman" w:eastAsia="Calibri" w:hAnsi="Times New Roman" w:cs="Calibri"/>
          <w:b/>
          <w:bCs/>
          <w:kern w:val="0"/>
          <w:sz w:val="24"/>
          <w:lang w:val="en-US"/>
          <w14:ligatures w14:val="none"/>
        </w:rPr>
        <w:t xml:space="preserve">MET 9: </w:t>
      </w:r>
      <w:r w:rsidRPr="00FF45DE">
        <w:rPr>
          <w:rFonts w:ascii="Times New Roman" w:eastAsia="Calibri" w:hAnsi="Times New Roman" w:cs="Calibri"/>
          <w:bCs/>
          <w:kern w:val="0"/>
          <w:sz w:val="24"/>
          <w:lang w:val="en-US"/>
          <w14:ligatures w14:val="none"/>
        </w:rPr>
        <w:t>Gürültü emisyonlarını önlemek veya bunun mümkün olmadığı durumlarda azaltmak için MET kapsamında çevre yönetim sisteminin bir parçası olarak (bkz.</w:t>
      </w:r>
      <w:r w:rsidRPr="00FF45DE">
        <w:rPr>
          <w:rFonts w:ascii="Times New Roman" w:eastAsia="Calibri" w:hAnsi="Times New Roman" w:cs="Calibri"/>
          <w:b/>
          <w:bCs/>
          <w:kern w:val="0"/>
          <w:sz w:val="24"/>
          <w:lang w:val="en-US"/>
          <w14:ligatures w14:val="none"/>
        </w:rPr>
        <w:t xml:space="preserve"> </w:t>
      </w:r>
      <w:r w:rsidRPr="0096283A">
        <w:rPr>
          <w:rFonts w:ascii="Times New Roman" w:eastAsia="Calibri" w:hAnsi="Times New Roman" w:cs="Calibri"/>
          <w:kern w:val="0"/>
          <w:sz w:val="24"/>
          <w:lang w:val="en-US"/>
          <w14:ligatures w14:val="none"/>
        </w:rPr>
        <w:t>MET 1</w:t>
      </w:r>
      <w:r w:rsidRPr="00FF45DE">
        <w:rPr>
          <w:rFonts w:ascii="Times New Roman" w:eastAsia="Calibri" w:hAnsi="Times New Roman" w:cs="Calibri"/>
          <w:bCs/>
          <w:kern w:val="0"/>
          <w:sz w:val="24"/>
          <w:lang w:val="en-US"/>
          <w14:ligatures w14:val="none"/>
        </w:rPr>
        <w:t>) aşağıdaki unsurları içeren bir gürültü yönetim planı oluşturulup ve uygulanır:</w:t>
      </w:r>
    </w:p>
    <w:p w14:paraId="2D5AFAAD" w14:textId="77777777" w:rsidR="003B155E" w:rsidRPr="00FF45DE" w:rsidRDefault="003B155E" w:rsidP="003B155E">
      <w:pPr>
        <w:numPr>
          <w:ilvl w:val="0"/>
          <w:numId w:val="322"/>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Uygun eylemleri ve zaman çizelgelerini içeren bir protokol</w:t>
      </w:r>
    </w:p>
    <w:p w14:paraId="164F8642" w14:textId="77777777" w:rsidR="003B155E" w:rsidRPr="00FF45DE" w:rsidRDefault="003B155E" w:rsidP="003B155E">
      <w:pPr>
        <w:numPr>
          <w:ilvl w:val="0"/>
          <w:numId w:val="322"/>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Gürültü izlemeyi yürütmek için bir protokol</w:t>
      </w:r>
    </w:p>
    <w:p w14:paraId="03DE496D" w14:textId="77777777" w:rsidR="003B155E" w:rsidRPr="00FF45DE" w:rsidRDefault="003B155E" w:rsidP="003B155E">
      <w:pPr>
        <w:numPr>
          <w:ilvl w:val="0"/>
          <w:numId w:val="322"/>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szCs w:val="24"/>
          <w:lang w:val="tr"/>
          <w14:ligatures w14:val="none"/>
        </w:rPr>
        <w:lastRenderedPageBreak/>
        <w:t>Tanımlanmış gürültü olaylarına müdahale için bir protokol</w:t>
      </w:r>
    </w:p>
    <w:p w14:paraId="01B39DF6" w14:textId="77777777" w:rsidR="003B155E" w:rsidRPr="00FF45DE" w:rsidRDefault="003B155E" w:rsidP="003B155E">
      <w:pPr>
        <w:numPr>
          <w:ilvl w:val="0"/>
          <w:numId w:val="322"/>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szCs w:val="24"/>
          <w:lang w:val="tr"/>
          <w14:ligatures w14:val="none"/>
        </w:rPr>
        <w:t>Örneğin kaynağı ya da kaynakları belirlemek, gürültü emisyonlarını takip etmek, kaynakların katkılarını karakterize etmek ve ortadan kaldırma ve/veya azaltma önlemlerini uygulamak için tasarlanmış bir gürültü azaltma programı</w:t>
      </w:r>
    </w:p>
    <w:p w14:paraId="62BFA528" w14:textId="77777777" w:rsidR="003B155E" w:rsidRPr="00FF45DE" w:rsidRDefault="003B155E" w:rsidP="003B155E">
      <w:pPr>
        <w:numPr>
          <w:ilvl w:val="0"/>
          <w:numId w:val="322"/>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szCs w:val="24"/>
          <w:lang w:val="tr"/>
          <w14:ligatures w14:val="none"/>
        </w:rPr>
        <w:t>Geçmişteki gürültü olaylarının ve çözümlerinin gözden geçirilmesi ve gürültü olayı bilgisinin yayılması.</w:t>
      </w:r>
    </w:p>
    <w:p w14:paraId="6D2FD19D"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nl-NL"/>
          <w14:ligatures w14:val="none"/>
        </w:rPr>
      </w:pPr>
      <w:r w:rsidRPr="00FF45DE">
        <w:rPr>
          <w:rFonts w:ascii="Times New Roman" w:eastAsia="Calibri" w:hAnsi="Times New Roman" w:cs="Calibri"/>
          <w:b/>
          <w:bCs/>
          <w:kern w:val="0"/>
          <w:sz w:val="24"/>
          <w:lang w:val="nl-NL"/>
          <w14:ligatures w14:val="none"/>
        </w:rPr>
        <w:t xml:space="preserve">MET 10: </w:t>
      </w:r>
      <w:r w:rsidRPr="00FF45DE">
        <w:rPr>
          <w:rFonts w:ascii="Times New Roman" w:eastAsia="Calibri" w:hAnsi="Times New Roman" w:cs="Calibri"/>
          <w:bCs/>
          <w:kern w:val="0"/>
          <w:sz w:val="24"/>
          <w:lang w:val="nl-NL"/>
          <w14:ligatures w14:val="none"/>
        </w:rPr>
        <w:t>Gürültü emisyonlarını önlemek veya bunun mümkün olmadığı durumlarda azaltmak için aşağıda verilen tekniklerin biri veya birkaçının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0"/>
        <w:gridCol w:w="1847"/>
        <w:gridCol w:w="4123"/>
        <w:gridCol w:w="2762"/>
      </w:tblGrid>
      <w:tr w:rsidR="003B155E" w:rsidRPr="00FF45DE" w14:paraId="1A2C7C26" w14:textId="77777777" w:rsidTr="000D79D6">
        <w:trPr>
          <w:trHeight w:val="340"/>
          <w:tblHeader/>
        </w:trPr>
        <w:tc>
          <w:tcPr>
            <w:tcW w:w="182" w:type="pct"/>
          </w:tcPr>
          <w:p w14:paraId="5E895BF6" w14:textId="77777777" w:rsidR="003B155E" w:rsidRPr="00FF45DE" w:rsidRDefault="003B155E" w:rsidP="000D79D6">
            <w:pPr>
              <w:ind w:left="74" w:right="74"/>
              <w:rPr>
                <w:rFonts w:ascii="Times New Roman" w:eastAsia="Times New Roman" w:hAnsi="Times New Roman" w:cs="Times New Roman"/>
                <w:lang w:val="nl-NL"/>
              </w:rPr>
            </w:pPr>
          </w:p>
        </w:tc>
        <w:tc>
          <w:tcPr>
            <w:tcW w:w="1019" w:type="pct"/>
          </w:tcPr>
          <w:p w14:paraId="5699C3C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2275" w:type="pct"/>
          </w:tcPr>
          <w:p w14:paraId="63F9B510"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Açıklama</w:t>
            </w:r>
          </w:p>
        </w:tc>
        <w:tc>
          <w:tcPr>
            <w:tcW w:w="1524" w:type="pct"/>
          </w:tcPr>
          <w:p w14:paraId="7DA410FC"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w w:val="95"/>
                <w:lang w:val="tr"/>
              </w:rPr>
              <w:t>Uygulanabilirlik</w:t>
            </w:r>
          </w:p>
        </w:tc>
      </w:tr>
      <w:tr w:rsidR="003B155E" w:rsidRPr="00FF45DE" w14:paraId="6BCD6A39" w14:textId="77777777" w:rsidTr="000D79D6">
        <w:trPr>
          <w:trHeight w:val="1149"/>
        </w:trPr>
        <w:tc>
          <w:tcPr>
            <w:tcW w:w="182" w:type="pct"/>
            <w:vAlign w:val="center"/>
          </w:tcPr>
          <w:p w14:paraId="37A3872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019" w:type="pct"/>
            <w:vAlign w:val="center"/>
          </w:tcPr>
          <w:p w14:paraId="1785031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Tesis/çiftlik ve hassas reseptörler arasında yeterli mesafe olmasının sağlanması</w:t>
            </w:r>
          </w:p>
        </w:tc>
        <w:tc>
          <w:tcPr>
            <w:tcW w:w="2275" w:type="pct"/>
            <w:vAlign w:val="center"/>
          </w:tcPr>
          <w:p w14:paraId="64D36E7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Tesisin/çiftliğin planlama aşamasında, minimum standart mesafeler uygulanarak tesis/çiftlik ile hassas alıcılar arasında yeterli mesafeler sağlanır.</w:t>
            </w:r>
          </w:p>
        </w:tc>
        <w:tc>
          <w:tcPr>
            <w:tcW w:w="1524" w:type="pct"/>
            <w:vAlign w:val="center"/>
          </w:tcPr>
          <w:p w14:paraId="1E422D3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mevcut fabrikalar/çiftlikler için geçerli olmayabilir.</w:t>
            </w:r>
          </w:p>
        </w:tc>
      </w:tr>
      <w:tr w:rsidR="003B155E" w:rsidRPr="00FF45DE" w14:paraId="4EAC6A98" w14:textId="77777777" w:rsidTr="000D79D6">
        <w:trPr>
          <w:trHeight w:val="2301"/>
        </w:trPr>
        <w:tc>
          <w:tcPr>
            <w:tcW w:w="182" w:type="pct"/>
            <w:vAlign w:val="center"/>
          </w:tcPr>
          <w:p w14:paraId="4271055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019" w:type="pct"/>
            <w:vAlign w:val="center"/>
          </w:tcPr>
          <w:p w14:paraId="04E6C588" w14:textId="77777777" w:rsidR="003B155E" w:rsidRPr="00FF45DE" w:rsidRDefault="003B155E" w:rsidP="000D79D6">
            <w:pPr>
              <w:ind w:left="74" w:right="74"/>
              <w:rPr>
                <w:rFonts w:ascii="Times New Roman" w:eastAsia="Times New Roman" w:hAnsi="Times New Roman" w:cs="Times New Roman"/>
                <w:bCs/>
                <w:lang w:val="en-GB"/>
              </w:rPr>
            </w:pPr>
            <w:r w:rsidRPr="00FF45DE">
              <w:rPr>
                <w:rFonts w:ascii="Times New Roman" w:eastAsia="Times New Roman" w:hAnsi="Times New Roman" w:cs="Times New Roman"/>
                <w:bCs/>
                <w:lang w:val="en-GB"/>
              </w:rPr>
              <w:t>Ekipman konumu</w:t>
            </w:r>
          </w:p>
        </w:tc>
        <w:tc>
          <w:tcPr>
            <w:tcW w:w="2275" w:type="pct"/>
            <w:vAlign w:val="center"/>
          </w:tcPr>
          <w:p w14:paraId="2434AD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Gürültü seviyeleri şu şekilde azaltılabilir:</w:t>
            </w:r>
          </w:p>
          <w:p w14:paraId="13F4B375" w14:textId="77777777" w:rsidR="003B155E" w:rsidRPr="00F17CD6" w:rsidRDefault="003B155E" w:rsidP="003B155E">
            <w:pPr>
              <w:pStyle w:val="ListeParagraf"/>
              <w:numPr>
                <w:ilvl w:val="0"/>
                <w:numId w:val="326"/>
              </w:numPr>
              <w:tabs>
                <w:tab w:val="left" w:pos="270"/>
              </w:tabs>
              <w:ind w:right="74"/>
              <w:jc w:val="both"/>
              <w:rPr>
                <w:rFonts w:ascii="Times New Roman" w:eastAsia="Times New Roman" w:hAnsi="Times New Roman" w:cs="Times New Roman"/>
                <w:lang w:val="en-GB"/>
              </w:rPr>
            </w:pPr>
            <w:r w:rsidRPr="00F17CD6">
              <w:rPr>
                <w:rFonts w:ascii="Times New Roman" w:eastAsia="Times New Roman" w:hAnsi="Times New Roman" w:cs="Times New Roman"/>
                <w:lang w:val="tr"/>
              </w:rPr>
              <w:t>Verici</w:t>
            </w:r>
            <w:r>
              <w:rPr>
                <w:rFonts w:ascii="Times New Roman" w:eastAsia="Times New Roman" w:hAnsi="Times New Roman" w:cs="Times New Roman"/>
                <w:lang w:val="tr"/>
              </w:rPr>
              <w:t xml:space="preserve"> ile alıcı arasındaki mesafenin </w:t>
            </w:r>
            <w:r w:rsidRPr="00F17CD6">
              <w:rPr>
                <w:rFonts w:ascii="Times New Roman" w:eastAsia="Times New Roman" w:hAnsi="Times New Roman" w:cs="Times New Roman"/>
                <w:lang w:val="tr"/>
              </w:rPr>
              <w:t>artırılması (ekipmanı hassas alıcılardan mümkün olduğu kadar uzağa yerleştirerek)</w:t>
            </w:r>
          </w:p>
          <w:p w14:paraId="2D95400F" w14:textId="77777777" w:rsidR="003B155E" w:rsidRPr="00F17CD6" w:rsidRDefault="003B155E" w:rsidP="003B155E">
            <w:pPr>
              <w:pStyle w:val="ListeParagraf"/>
              <w:numPr>
                <w:ilvl w:val="0"/>
                <w:numId w:val="326"/>
              </w:numPr>
              <w:tabs>
                <w:tab w:val="left" w:pos="383"/>
              </w:tabs>
              <w:ind w:right="74"/>
              <w:jc w:val="both"/>
              <w:rPr>
                <w:rFonts w:ascii="Times New Roman" w:eastAsia="Times New Roman" w:hAnsi="Times New Roman" w:cs="Times New Roman"/>
                <w:lang w:val="en-GB"/>
              </w:rPr>
            </w:pPr>
            <w:r w:rsidRPr="00F17CD6">
              <w:rPr>
                <w:rFonts w:ascii="Times New Roman" w:eastAsia="Times New Roman" w:hAnsi="Times New Roman" w:cs="Times New Roman"/>
                <w:lang w:val="tr"/>
              </w:rPr>
              <w:t>Yem dağıtım borularının uzunluğunun en aza indirilmesi</w:t>
            </w:r>
          </w:p>
          <w:p w14:paraId="51C74DE6" w14:textId="77777777" w:rsidR="003B155E" w:rsidRPr="00F17CD6" w:rsidRDefault="003B155E" w:rsidP="003B155E">
            <w:pPr>
              <w:pStyle w:val="ListeParagraf"/>
              <w:numPr>
                <w:ilvl w:val="0"/>
                <w:numId w:val="326"/>
              </w:numPr>
              <w:tabs>
                <w:tab w:val="left" w:pos="386"/>
              </w:tabs>
              <w:ind w:right="74"/>
              <w:jc w:val="both"/>
              <w:rPr>
                <w:rFonts w:ascii="Times New Roman" w:eastAsia="Times New Roman" w:hAnsi="Times New Roman" w:cs="Times New Roman"/>
                <w:lang w:val="en-GB"/>
              </w:rPr>
            </w:pPr>
            <w:r w:rsidRPr="00F17CD6">
              <w:rPr>
                <w:rFonts w:ascii="Times New Roman" w:eastAsia="Times New Roman" w:hAnsi="Times New Roman" w:cs="Times New Roman"/>
                <w:lang w:val="tr"/>
              </w:rPr>
              <w:t>Çiftlikteki araçların hareketini en aza indirecek şekilde yem kutuları ve yem silolarının yerleştirilmesi.</w:t>
            </w:r>
          </w:p>
        </w:tc>
        <w:tc>
          <w:tcPr>
            <w:tcW w:w="1524" w:type="pct"/>
            <w:vAlign w:val="center"/>
          </w:tcPr>
          <w:p w14:paraId="6604513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Mevcut tesisler söz konusu olduğunda, ekipmanın yeniden konumlandırılması, alan eksikliği veya aşırı maliyetler nedeniyle kısıtlanabilir.</w:t>
            </w:r>
          </w:p>
        </w:tc>
      </w:tr>
      <w:tr w:rsidR="003B155E" w:rsidRPr="00FF45DE" w14:paraId="714370FD" w14:textId="77777777" w:rsidTr="000D79D6">
        <w:trPr>
          <w:trHeight w:val="70"/>
        </w:trPr>
        <w:tc>
          <w:tcPr>
            <w:tcW w:w="182" w:type="pct"/>
            <w:vAlign w:val="center"/>
          </w:tcPr>
          <w:p w14:paraId="47822B3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1019" w:type="pct"/>
            <w:vAlign w:val="center"/>
          </w:tcPr>
          <w:p w14:paraId="67C11A06" w14:textId="77777777" w:rsidR="003B155E" w:rsidRPr="00FF45DE" w:rsidRDefault="003B155E" w:rsidP="000D79D6">
            <w:pPr>
              <w:ind w:left="74" w:right="74"/>
              <w:rPr>
                <w:rFonts w:ascii="Times New Roman" w:eastAsia="Times New Roman" w:hAnsi="Times New Roman" w:cs="Times New Roman"/>
                <w:bCs/>
                <w:lang w:val="en-GB"/>
              </w:rPr>
            </w:pPr>
            <w:r w:rsidRPr="00FF45DE">
              <w:rPr>
                <w:rFonts w:ascii="Times New Roman" w:eastAsia="Times New Roman" w:hAnsi="Times New Roman" w:cs="Times New Roman"/>
                <w:bCs/>
                <w:lang w:val="en-GB"/>
              </w:rPr>
              <w:t>Operasyonel önlemler</w:t>
            </w:r>
          </w:p>
        </w:tc>
        <w:tc>
          <w:tcPr>
            <w:tcW w:w="2275" w:type="pct"/>
            <w:vAlign w:val="center"/>
          </w:tcPr>
          <w:p w14:paraId="76103CB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Bunlar aşağıdaki yer alan önlemler gibi önlemleri içerir:</w:t>
            </w:r>
          </w:p>
          <w:p w14:paraId="67F6C8FE" w14:textId="77777777" w:rsidR="003B155E" w:rsidRPr="00FF45DE" w:rsidRDefault="003B155E" w:rsidP="003B155E">
            <w:pPr>
              <w:numPr>
                <w:ilvl w:val="0"/>
                <w:numId w:val="325"/>
              </w:numPr>
              <w:tabs>
                <w:tab w:val="left" w:pos="273"/>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Mümkünse, özellikle yemek yeme saatlerinde, binanın kapılarının ve büyük açıklıklarının kapatılması</w:t>
            </w:r>
          </w:p>
          <w:p w14:paraId="0189AA3E" w14:textId="77777777" w:rsidR="003B155E" w:rsidRPr="00FF45DE" w:rsidRDefault="003B155E" w:rsidP="003B155E">
            <w:pPr>
              <w:numPr>
                <w:ilvl w:val="0"/>
                <w:numId w:val="325"/>
              </w:numPr>
              <w:tabs>
                <w:tab w:val="left" w:pos="318"/>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Ekipmanların deneyimli personel tarafından kullanımı</w:t>
            </w:r>
          </w:p>
          <w:p w14:paraId="1954CA91" w14:textId="77777777" w:rsidR="003B155E" w:rsidRPr="00FF45DE" w:rsidRDefault="003B155E" w:rsidP="003B155E">
            <w:pPr>
              <w:numPr>
                <w:ilvl w:val="0"/>
                <w:numId w:val="325"/>
              </w:numPr>
              <w:tabs>
                <w:tab w:val="left" w:pos="388"/>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Mümkünse geceleri ve hafta sonları gürültülü faaliyetlerden kaçınılması</w:t>
            </w:r>
          </w:p>
          <w:p w14:paraId="64EBDF70" w14:textId="77777777" w:rsidR="003B155E" w:rsidRPr="00FF45DE" w:rsidRDefault="003B155E" w:rsidP="003B155E">
            <w:pPr>
              <w:numPr>
                <w:ilvl w:val="0"/>
                <w:numId w:val="325"/>
              </w:numPr>
              <w:tabs>
                <w:tab w:val="left" w:pos="486"/>
              </w:tabs>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Bakım faaliyetleri sırasında gürültü kontrolü için hükümler</w:t>
            </w:r>
          </w:p>
          <w:p w14:paraId="47E7AAF5" w14:textId="77777777" w:rsidR="003B155E" w:rsidRPr="00FF45DE" w:rsidRDefault="003B155E" w:rsidP="003B155E">
            <w:pPr>
              <w:numPr>
                <w:ilvl w:val="0"/>
                <w:numId w:val="325"/>
              </w:numPr>
              <w:tabs>
                <w:tab w:val="left" w:pos="320"/>
              </w:tabs>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Mümkünse, konveyörleri ve helezonları yemle dolu olarak çalıştırılması</w:t>
            </w:r>
          </w:p>
          <w:p w14:paraId="1D96644E" w14:textId="77777777" w:rsidR="003B155E" w:rsidRPr="00FF45DE" w:rsidRDefault="003B155E" w:rsidP="003B155E">
            <w:pPr>
              <w:numPr>
                <w:ilvl w:val="0"/>
                <w:numId w:val="325"/>
              </w:numPr>
              <w:tabs>
                <w:tab w:val="left" w:pos="371"/>
              </w:tabs>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Sıyırıcı traktörlerden gelen gürültüyü azaltmak için açık havada sıyrılan alanların minimumda tutulması.</w:t>
            </w:r>
          </w:p>
        </w:tc>
        <w:tc>
          <w:tcPr>
            <w:tcW w:w="1524" w:type="pct"/>
            <w:vAlign w:val="center"/>
          </w:tcPr>
          <w:p w14:paraId="2D92BC0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54B8420" w14:textId="77777777" w:rsidTr="000D79D6">
        <w:trPr>
          <w:trHeight w:val="566"/>
        </w:trPr>
        <w:tc>
          <w:tcPr>
            <w:tcW w:w="182" w:type="pct"/>
            <w:vAlign w:val="center"/>
          </w:tcPr>
          <w:p w14:paraId="4352991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1019" w:type="pct"/>
            <w:vAlign w:val="center"/>
          </w:tcPr>
          <w:p w14:paraId="52C6DE1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Düşük gürültülü ekipman</w:t>
            </w:r>
          </w:p>
        </w:tc>
        <w:tc>
          <w:tcPr>
            <w:tcW w:w="2275" w:type="pct"/>
            <w:vAlign w:val="center"/>
          </w:tcPr>
          <w:p w14:paraId="32430C0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Bu, aşağıdakiler gibi ekipmanları içerir:</w:t>
            </w:r>
          </w:p>
          <w:p w14:paraId="5131ED38" w14:textId="77777777" w:rsidR="003B155E" w:rsidRPr="00FF45DE" w:rsidRDefault="003B155E" w:rsidP="003B155E">
            <w:pPr>
              <w:numPr>
                <w:ilvl w:val="0"/>
                <w:numId w:val="324"/>
              </w:numPr>
              <w:tabs>
                <w:tab w:val="left" w:pos="263"/>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Doğal havalandırmanın mümkün veya yeterli olmadığı durumlarda yüksek verimli fanlar,</w:t>
            </w:r>
          </w:p>
          <w:p w14:paraId="0366546A" w14:textId="77777777" w:rsidR="003B155E" w:rsidRPr="00FF45DE" w:rsidRDefault="003B155E" w:rsidP="003B155E">
            <w:pPr>
              <w:numPr>
                <w:ilvl w:val="0"/>
                <w:numId w:val="324"/>
              </w:numPr>
              <w:tabs>
                <w:tab w:val="left" w:pos="318"/>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pompalar ve kompresörler</w:t>
            </w:r>
          </w:p>
          <w:p w14:paraId="07C11C89" w14:textId="77777777" w:rsidR="003B155E" w:rsidRPr="00FF45DE" w:rsidRDefault="003B155E" w:rsidP="003B155E">
            <w:pPr>
              <w:numPr>
                <w:ilvl w:val="0"/>
                <w:numId w:val="324"/>
              </w:numPr>
              <w:tabs>
                <w:tab w:val="left" w:pos="374"/>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Ön besleme uyarısını azaltan besleme sistemi (ör. tutma hazneleri,</w:t>
            </w:r>
          </w:p>
          <w:p w14:paraId="167065D3"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 xml:space="preserve">pasif serbest yemleme besleyiciler, kompakt </w:t>
            </w:r>
            <w:r w:rsidRPr="00FF45DE">
              <w:rPr>
                <w:rFonts w:ascii="Times New Roman" w:eastAsia="Times New Roman" w:hAnsi="Times New Roman" w:cs="Times New Roman"/>
                <w:lang w:val="tr"/>
              </w:rPr>
              <w:lastRenderedPageBreak/>
              <w:t>besleyiciler).</w:t>
            </w:r>
          </w:p>
        </w:tc>
        <w:tc>
          <w:tcPr>
            <w:tcW w:w="1524" w:type="pct"/>
            <w:vAlign w:val="center"/>
          </w:tcPr>
          <w:p w14:paraId="70FF1003"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lastRenderedPageBreak/>
              <w:t>MET 7.d.iii yalnızca domuz tesisleri için geçerlidir.</w:t>
            </w:r>
          </w:p>
          <w:p w14:paraId="0416446C"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 xml:space="preserve">Pasif </w:t>
            </w:r>
            <w:r w:rsidRPr="00FF45DE">
              <w:rPr>
                <w:rFonts w:ascii="Times New Roman" w:eastAsia="Times New Roman" w:hAnsi="Times New Roman" w:cs="Times New Roman"/>
                <w:i/>
                <w:lang w:val="tr"/>
              </w:rPr>
              <w:t>serbest yemleme</w:t>
            </w:r>
            <w:r w:rsidRPr="00FF45DE">
              <w:rPr>
                <w:rFonts w:ascii="Times New Roman" w:eastAsia="Times New Roman" w:hAnsi="Times New Roman" w:cs="Times New Roman"/>
                <w:lang w:val="tr"/>
              </w:rPr>
              <w:t xml:space="preserve"> yemlikleri, yalnızca ekipman yeni olduğunda veya değiştirildiğinde veya hayvanların kısıtlı bir besleme gerektirmediği </w:t>
            </w:r>
            <w:r w:rsidRPr="00FF45DE">
              <w:rPr>
                <w:rFonts w:ascii="Times New Roman" w:eastAsia="Times New Roman" w:hAnsi="Times New Roman" w:cs="Times New Roman"/>
                <w:lang w:val="tr"/>
              </w:rPr>
              <w:lastRenderedPageBreak/>
              <w:t>durumlarda uygulanabilir.</w:t>
            </w:r>
          </w:p>
        </w:tc>
      </w:tr>
      <w:tr w:rsidR="003B155E" w:rsidRPr="00FF45DE" w14:paraId="0D6AE6DF" w14:textId="77777777" w:rsidTr="000D79D6">
        <w:trPr>
          <w:trHeight w:val="1840"/>
        </w:trPr>
        <w:tc>
          <w:tcPr>
            <w:tcW w:w="182" w:type="pct"/>
            <w:vAlign w:val="center"/>
          </w:tcPr>
          <w:p w14:paraId="1D18B5D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e</w:t>
            </w:r>
          </w:p>
        </w:tc>
        <w:tc>
          <w:tcPr>
            <w:tcW w:w="1019" w:type="pct"/>
            <w:vAlign w:val="center"/>
          </w:tcPr>
          <w:p w14:paraId="5805AAE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Gürültü kontrol ekipmanı</w:t>
            </w:r>
          </w:p>
        </w:tc>
        <w:tc>
          <w:tcPr>
            <w:tcW w:w="2275" w:type="pct"/>
            <w:vAlign w:val="center"/>
          </w:tcPr>
          <w:p w14:paraId="6C79AAD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Bu, şunları içerir:</w:t>
            </w:r>
          </w:p>
          <w:p w14:paraId="129CEFC7" w14:textId="77777777" w:rsidR="003B155E" w:rsidRPr="00FF45DE" w:rsidRDefault="003B155E" w:rsidP="003B155E">
            <w:pPr>
              <w:numPr>
                <w:ilvl w:val="0"/>
                <w:numId w:val="323"/>
              </w:numPr>
              <w:tabs>
                <w:tab w:val="left" w:pos="263"/>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Gürültü azaltıcılar</w:t>
            </w:r>
          </w:p>
          <w:p w14:paraId="29A752C7" w14:textId="77777777" w:rsidR="003B155E" w:rsidRPr="00FF45DE" w:rsidRDefault="003B155E" w:rsidP="003B155E">
            <w:pPr>
              <w:numPr>
                <w:ilvl w:val="0"/>
                <w:numId w:val="323"/>
              </w:numPr>
              <w:tabs>
                <w:tab w:val="left" w:pos="318"/>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Titreşim izolasyonu</w:t>
            </w:r>
          </w:p>
          <w:p w14:paraId="131F5996" w14:textId="77777777" w:rsidR="003B155E" w:rsidRPr="00FF45DE" w:rsidRDefault="003B155E" w:rsidP="003B155E">
            <w:pPr>
              <w:numPr>
                <w:ilvl w:val="0"/>
                <w:numId w:val="323"/>
              </w:numPr>
              <w:tabs>
                <w:tab w:val="left" w:pos="373"/>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Gürültülü ekipmanın muhafazası (ör. değirmenler, pnömatik taşıyıcılar)</w:t>
            </w:r>
          </w:p>
          <w:p w14:paraId="34BC994C" w14:textId="77777777" w:rsidR="003B155E" w:rsidRPr="00FF45DE" w:rsidRDefault="003B155E" w:rsidP="003B155E">
            <w:pPr>
              <w:numPr>
                <w:ilvl w:val="0"/>
                <w:numId w:val="323"/>
              </w:numPr>
              <w:tabs>
                <w:tab w:val="left" w:pos="361"/>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Binaların ses yalıtımı.</w:t>
            </w:r>
          </w:p>
        </w:tc>
        <w:tc>
          <w:tcPr>
            <w:tcW w:w="1524" w:type="pct"/>
            <w:vAlign w:val="center"/>
          </w:tcPr>
          <w:p w14:paraId="4251CF3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Uygulanabilirlik, alan gereklilikleri ve sağlık ve güvenlik sorunları nedeniyle kısıtlanabilir.</w:t>
            </w:r>
          </w:p>
          <w:p w14:paraId="5787BD0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Tesisin etkili bir şekilde temizlenmesini engelleyen ses emici malzemelere uygulanmaz.</w:t>
            </w:r>
          </w:p>
        </w:tc>
      </w:tr>
      <w:tr w:rsidR="003B155E" w:rsidRPr="00FF45DE" w14:paraId="1375E24D" w14:textId="77777777" w:rsidTr="000D79D6">
        <w:trPr>
          <w:trHeight w:val="747"/>
        </w:trPr>
        <w:tc>
          <w:tcPr>
            <w:tcW w:w="182" w:type="pct"/>
            <w:vAlign w:val="center"/>
          </w:tcPr>
          <w:p w14:paraId="5927B72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1019" w:type="pct"/>
            <w:vAlign w:val="center"/>
          </w:tcPr>
          <w:p w14:paraId="63A936B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Gürültü azaltma</w:t>
            </w:r>
          </w:p>
        </w:tc>
        <w:tc>
          <w:tcPr>
            <w:tcW w:w="2275" w:type="pct"/>
            <w:vAlign w:val="center"/>
          </w:tcPr>
          <w:p w14:paraId="6DA5007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Yayıcılar ve alıcılar arasına engeller yerleştirilerek gürültü yayılımı azaltılabilir.</w:t>
            </w:r>
          </w:p>
        </w:tc>
        <w:tc>
          <w:tcPr>
            <w:tcW w:w="1524" w:type="pct"/>
            <w:vAlign w:val="center"/>
          </w:tcPr>
          <w:p w14:paraId="6E10BED5" w14:textId="77777777" w:rsidR="003B155E" w:rsidRPr="00FF45DE" w:rsidRDefault="003B155E" w:rsidP="000D79D6">
            <w:pPr>
              <w:tabs>
                <w:tab w:val="left" w:pos="744"/>
                <w:tab w:val="left" w:pos="1273"/>
                <w:tab w:val="left" w:pos="1738"/>
              </w:tabs>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Biyo güvenlik sebepleri nedeniyle genel olarak geçerli olmayabilir.</w:t>
            </w:r>
          </w:p>
        </w:tc>
      </w:tr>
    </w:tbl>
    <w:p w14:paraId="2C774D42"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26" w:name="_Toc136614307"/>
      <w:r w:rsidRPr="00EE5089">
        <w:rPr>
          <w:rFonts w:ascii="Times New Roman" w:eastAsia="DengXian Light" w:hAnsi="Times New Roman" w:cs="Microsoft Uighur"/>
          <w:b/>
          <w:kern w:val="0"/>
          <w:sz w:val="24"/>
          <w:szCs w:val="26"/>
          <w14:ligatures w14:val="none"/>
        </w:rPr>
        <w:t>Toz Emisyonları</w:t>
      </w:r>
      <w:bookmarkEnd w:id="26"/>
    </w:p>
    <w:p w14:paraId="77DBBA09"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11: </w:t>
      </w:r>
      <w:r w:rsidRPr="00EE5089">
        <w:rPr>
          <w:rFonts w:ascii="Times New Roman" w:eastAsia="Calibri" w:hAnsi="Times New Roman" w:cs="Calibri"/>
          <w:bCs/>
          <w:kern w:val="0"/>
          <w:sz w:val="24"/>
          <w14:ligatures w14:val="none"/>
        </w:rPr>
        <w:t>Her bir hayvan kümesinden kaynaklanan toz emisyonlarını azaltmak için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0"/>
        <w:gridCol w:w="3782"/>
        <w:gridCol w:w="4950"/>
      </w:tblGrid>
      <w:tr w:rsidR="003B155E" w:rsidRPr="00FF45DE" w14:paraId="472D3D16" w14:textId="77777777" w:rsidTr="000D79D6">
        <w:trPr>
          <w:trHeight w:val="230"/>
          <w:tblHeader/>
        </w:trPr>
        <w:tc>
          <w:tcPr>
            <w:tcW w:w="182" w:type="pct"/>
          </w:tcPr>
          <w:p w14:paraId="437CDC09" w14:textId="77777777" w:rsidR="003B155E" w:rsidRPr="00EE5089" w:rsidRDefault="003B155E" w:rsidP="000D79D6">
            <w:pPr>
              <w:ind w:left="74" w:right="74"/>
              <w:rPr>
                <w:rFonts w:ascii="Times New Roman" w:eastAsia="Times New Roman" w:hAnsi="Times New Roman" w:cs="Times New Roman"/>
                <w:lang w:val="tr-TR"/>
              </w:rPr>
            </w:pPr>
          </w:p>
        </w:tc>
        <w:tc>
          <w:tcPr>
            <w:tcW w:w="2087" w:type="pct"/>
          </w:tcPr>
          <w:p w14:paraId="28122D5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731" w:type="pct"/>
          </w:tcPr>
          <w:p w14:paraId="5C626E4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21D16F54" w14:textId="77777777" w:rsidTr="000D79D6">
        <w:trPr>
          <w:trHeight w:val="688"/>
        </w:trPr>
        <w:tc>
          <w:tcPr>
            <w:tcW w:w="182" w:type="pct"/>
            <w:vAlign w:val="center"/>
          </w:tcPr>
          <w:p w14:paraId="2D8D3DA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087" w:type="pct"/>
            <w:vAlign w:val="center"/>
          </w:tcPr>
          <w:p w14:paraId="1E83D0A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Hayvancılık binalarının içindeki toz oluşumunun azaltılması. Bu amaçla, aşağıdaki tekniklerin bir kombinasyonu kullanılabilir:</w:t>
            </w:r>
          </w:p>
        </w:tc>
        <w:tc>
          <w:tcPr>
            <w:tcW w:w="2731" w:type="pct"/>
            <w:vAlign w:val="center"/>
          </w:tcPr>
          <w:p w14:paraId="41E8FA27" w14:textId="77777777" w:rsidR="003B155E" w:rsidRPr="00FF45DE" w:rsidRDefault="003B155E" w:rsidP="000D79D6">
            <w:pPr>
              <w:ind w:left="74" w:right="74"/>
              <w:rPr>
                <w:rFonts w:ascii="Times New Roman" w:eastAsia="Times New Roman" w:hAnsi="Times New Roman" w:cs="Times New Roman"/>
                <w:lang w:val="tr"/>
              </w:rPr>
            </w:pPr>
          </w:p>
        </w:tc>
      </w:tr>
      <w:tr w:rsidR="003B155E" w:rsidRPr="00FF45DE" w14:paraId="1458905D" w14:textId="77777777" w:rsidTr="000D79D6">
        <w:trPr>
          <w:trHeight w:val="690"/>
        </w:trPr>
        <w:tc>
          <w:tcPr>
            <w:tcW w:w="182" w:type="pct"/>
            <w:vMerge w:val="restart"/>
            <w:vAlign w:val="center"/>
          </w:tcPr>
          <w:p w14:paraId="7AA8B617" w14:textId="77777777" w:rsidR="003B155E" w:rsidRPr="00FF45DE" w:rsidRDefault="003B155E" w:rsidP="000D79D6">
            <w:pPr>
              <w:ind w:left="74" w:right="74"/>
              <w:rPr>
                <w:rFonts w:ascii="Times New Roman" w:eastAsia="Times New Roman" w:hAnsi="Times New Roman" w:cs="Times New Roman"/>
                <w:lang w:val="tr"/>
              </w:rPr>
            </w:pPr>
          </w:p>
        </w:tc>
        <w:tc>
          <w:tcPr>
            <w:tcW w:w="2087" w:type="pct"/>
            <w:vAlign w:val="center"/>
          </w:tcPr>
          <w:p w14:paraId="355E829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1. Daha kaba altlık malzemesi kullanılması (ör. kıyılmış saman yerine uzun saman veya talaş)</w:t>
            </w:r>
          </w:p>
        </w:tc>
        <w:tc>
          <w:tcPr>
            <w:tcW w:w="2731" w:type="pct"/>
            <w:vAlign w:val="center"/>
          </w:tcPr>
          <w:p w14:paraId="05C5E7C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Uzun saman, sulu gübre bazlı sistemler için geçerli değildir.</w:t>
            </w:r>
          </w:p>
        </w:tc>
      </w:tr>
      <w:tr w:rsidR="003B155E" w:rsidRPr="00FF45DE" w14:paraId="2120FC64" w14:textId="77777777" w:rsidTr="000D79D6">
        <w:trPr>
          <w:trHeight w:val="460"/>
        </w:trPr>
        <w:tc>
          <w:tcPr>
            <w:tcW w:w="182" w:type="pct"/>
            <w:vMerge/>
            <w:tcBorders>
              <w:top w:val="nil"/>
            </w:tcBorders>
            <w:vAlign w:val="center"/>
          </w:tcPr>
          <w:p w14:paraId="24A6EA92" w14:textId="77777777" w:rsidR="003B155E" w:rsidRPr="00FF45DE" w:rsidRDefault="003B155E" w:rsidP="000D79D6">
            <w:pPr>
              <w:ind w:left="74" w:right="74"/>
              <w:rPr>
                <w:rFonts w:ascii="Times New Roman" w:eastAsia="Calibri" w:hAnsi="Times New Roman" w:cs="Times New Roman"/>
                <w:lang w:val="tr"/>
              </w:rPr>
            </w:pPr>
          </w:p>
        </w:tc>
        <w:tc>
          <w:tcPr>
            <w:tcW w:w="2087" w:type="pct"/>
            <w:vAlign w:val="center"/>
          </w:tcPr>
          <w:p w14:paraId="3281B20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2. Az tozlu altlık tekniği kullanarak (ör. elle) taze altlık uygulanması</w:t>
            </w:r>
          </w:p>
        </w:tc>
        <w:tc>
          <w:tcPr>
            <w:tcW w:w="2731" w:type="pct"/>
            <w:vAlign w:val="center"/>
          </w:tcPr>
          <w:p w14:paraId="3497082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3A1973E6" w14:textId="77777777" w:rsidTr="000D79D6">
        <w:trPr>
          <w:trHeight w:val="230"/>
        </w:trPr>
        <w:tc>
          <w:tcPr>
            <w:tcW w:w="182" w:type="pct"/>
            <w:vMerge/>
            <w:tcBorders>
              <w:top w:val="nil"/>
            </w:tcBorders>
            <w:vAlign w:val="center"/>
          </w:tcPr>
          <w:p w14:paraId="097F4699"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72C40CE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3. </w:t>
            </w:r>
            <w:r w:rsidRPr="00FF45DE">
              <w:rPr>
                <w:rFonts w:ascii="Times New Roman" w:eastAsia="Times New Roman" w:hAnsi="Times New Roman" w:cs="Times New Roman"/>
                <w:iCs/>
                <w:lang w:val="tr"/>
              </w:rPr>
              <w:t>Serbest</w:t>
            </w:r>
            <w:r w:rsidRPr="00FF45DE">
              <w:rPr>
                <w:rFonts w:ascii="Times New Roman" w:eastAsia="Times New Roman" w:hAnsi="Times New Roman" w:cs="Times New Roman"/>
                <w:i/>
                <w:lang w:val="tr"/>
              </w:rPr>
              <w:t xml:space="preserve"> </w:t>
            </w:r>
            <w:r w:rsidRPr="00FF45DE">
              <w:rPr>
                <w:rFonts w:ascii="Times New Roman" w:eastAsia="Times New Roman" w:hAnsi="Times New Roman" w:cs="Times New Roman"/>
                <w:iCs/>
                <w:lang w:val="tr"/>
              </w:rPr>
              <w:t>yem</w:t>
            </w:r>
            <w:r w:rsidRPr="00FF45DE">
              <w:rPr>
                <w:rFonts w:ascii="Times New Roman" w:eastAsia="Times New Roman" w:hAnsi="Times New Roman" w:cs="Times New Roman"/>
                <w:lang w:val="tr"/>
              </w:rPr>
              <w:t xml:space="preserve"> beslemesinin uygulanması</w:t>
            </w:r>
          </w:p>
        </w:tc>
        <w:tc>
          <w:tcPr>
            <w:tcW w:w="2731" w:type="pct"/>
            <w:vAlign w:val="center"/>
          </w:tcPr>
          <w:p w14:paraId="662F27D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0949A379" w14:textId="77777777" w:rsidTr="000D79D6">
        <w:trPr>
          <w:trHeight w:val="688"/>
        </w:trPr>
        <w:tc>
          <w:tcPr>
            <w:tcW w:w="182" w:type="pct"/>
            <w:vMerge/>
            <w:tcBorders>
              <w:top w:val="nil"/>
            </w:tcBorders>
            <w:vAlign w:val="center"/>
          </w:tcPr>
          <w:p w14:paraId="7D8008E1"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33E1A72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4. Kuru yem sistemlerinde nemli yem, pelet yem kullanılması veya yağlı ham maddeler veya bağlayıcılar eklenmesi.</w:t>
            </w:r>
          </w:p>
        </w:tc>
        <w:tc>
          <w:tcPr>
            <w:tcW w:w="2731" w:type="pct"/>
            <w:vAlign w:val="center"/>
          </w:tcPr>
          <w:p w14:paraId="72D5A5E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29CB68EC" w14:textId="77777777" w:rsidTr="000D79D6">
        <w:trPr>
          <w:trHeight w:val="460"/>
        </w:trPr>
        <w:tc>
          <w:tcPr>
            <w:tcW w:w="182" w:type="pct"/>
            <w:vMerge/>
            <w:tcBorders>
              <w:top w:val="nil"/>
            </w:tcBorders>
            <w:vAlign w:val="center"/>
          </w:tcPr>
          <w:p w14:paraId="691120D0"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5124ACD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5. Pnömatik olarak doldurulmuş kuru yem depolarını toz ayırıcılarla donatılması</w:t>
            </w:r>
          </w:p>
        </w:tc>
        <w:tc>
          <w:tcPr>
            <w:tcW w:w="2731" w:type="pct"/>
            <w:vAlign w:val="center"/>
          </w:tcPr>
          <w:p w14:paraId="0706C54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7A59EE55" w14:textId="77777777" w:rsidTr="000D79D6">
        <w:trPr>
          <w:trHeight w:val="690"/>
        </w:trPr>
        <w:tc>
          <w:tcPr>
            <w:tcW w:w="182" w:type="pct"/>
            <w:vMerge/>
            <w:tcBorders>
              <w:top w:val="nil"/>
            </w:tcBorders>
            <w:vAlign w:val="center"/>
          </w:tcPr>
          <w:p w14:paraId="7B84F2AF"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365F125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6. Kümes içinde düşük hava hızına sahip havalandırma sisteminin tasarlanması ve çalıştırılması.</w:t>
            </w:r>
          </w:p>
        </w:tc>
        <w:tc>
          <w:tcPr>
            <w:tcW w:w="2731" w:type="pct"/>
            <w:vAlign w:val="center"/>
          </w:tcPr>
          <w:p w14:paraId="784E993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Uygulanabilirlik, hayvan refahı hususları ile sınırlandırılabilir.</w:t>
            </w:r>
          </w:p>
        </w:tc>
      </w:tr>
      <w:tr w:rsidR="003B155E" w:rsidRPr="00FF45DE" w14:paraId="725AE2CC" w14:textId="77777777" w:rsidTr="000D79D6">
        <w:trPr>
          <w:trHeight w:val="688"/>
        </w:trPr>
        <w:tc>
          <w:tcPr>
            <w:tcW w:w="182" w:type="pct"/>
            <w:vAlign w:val="center"/>
          </w:tcPr>
          <w:p w14:paraId="67193B2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087" w:type="pct"/>
            <w:vAlign w:val="center"/>
          </w:tcPr>
          <w:p w14:paraId="4DFFF06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 tekniklerden birini kullanarak barınak içindeki toz konsantrasyonunun azaltılması:</w:t>
            </w:r>
          </w:p>
        </w:tc>
        <w:tc>
          <w:tcPr>
            <w:tcW w:w="2731" w:type="pct"/>
            <w:vAlign w:val="center"/>
          </w:tcPr>
          <w:p w14:paraId="6EB6B56C"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7178634A" w14:textId="77777777" w:rsidTr="000D79D6">
        <w:trPr>
          <w:trHeight w:val="283"/>
        </w:trPr>
        <w:tc>
          <w:tcPr>
            <w:tcW w:w="182" w:type="pct"/>
            <w:vMerge w:val="restart"/>
            <w:vAlign w:val="center"/>
          </w:tcPr>
          <w:p w14:paraId="23BBA1F9" w14:textId="77777777" w:rsidR="003B155E" w:rsidRPr="00FF45DE" w:rsidRDefault="003B155E" w:rsidP="000D79D6">
            <w:pPr>
              <w:ind w:left="74" w:right="74"/>
              <w:rPr>
                <w:rFonts w:ascii="Times New Roman" w:eastAsia="Times New Roman" w:hAnsi="Times New Roman" w:cs="Times New Roman"/>
                <w:lang w:val="en-GB"/>
              </w:rPr>
            </w:pPr>
          </w:p>
        </w:tc>
        <w:tc>
          <w:tcPr>
            <w:tcW w:w="2087" w:type="pct"/>
            <w:vAlign w:val="center"/>
          </w:tcPr>
          <w:p w14:paraId="70419CA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1. Su sisleme</w:t>
            </w:r>
          </w:p>
        </w:tc>
        <w:tc>
          <w:tcPr>
            <w:tcW w:w="2731" w:type="pct"/>
            <w:vAlign w:val="center"/>
          </w:tcPr>
          <w:p w14:paraId="2023B2A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Uygulanabilirlik, özellikle hayvanın yaşamının hassas evrelerinde ve/veya soğuk ve nemli iklimlerde, sisleme sırasında hayvanın termal düşüşü hissetmesiyle sınırlanabilir.</w:t>
            </w:r>
          </w:p>
          <w:p w14:paraId="1489471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Yüksek amonyak emisyonları nedeniyle yetiştirme döneminin sonunda katı gübre sistemleri için de uygulanabilirlik kısıtlanabilir.</w:t>
            </w:r>
          </w:p>
        </w:tc>
      </w:tr>
      <w:tr w:rsidR="003B155E" w:rsidRPr="00FF45DE" w14:paraId="6F87D973" w14:textId="77777777" w:rsidTr="000D79D6">
        <w:trPr>
          <w:trHeight w:val="921"/>
        </w:trPr>
        <w:tc>
          <w:tcPr>
            <w:tcW w:w="182" w:type="pct"/>
            <w:vMerge/>
            <w:tcBorders>
              <w:top w:val="nil"/>
            </w:tcBorders>
            <w:vAlign w:val="center"/>
          </w:tcPr>
          <w:p w14:paraId="32860159"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59EE89B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2. Yağ püskürtme</w:t>
            </w:r>
          </w:p>
        </w:tc>
        <w:tc>
          <w:tcPr>
            <w:tcW w:w="2731" w:type="pct"/>
            <w:vAlign w:val="center"/>
          </w:tcPr>
          <w:p w14:paraId="2F26689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Yalnızca yaklaşık 21 günden daha büyük kuşları olan kümes hayvanı tesislerinde uygulanabilir. Yumurtlayan tavuklar için tesislere uygulanabilirlik, barakada bulunan ekipmanın kontaminasyon riskinden dolayı sınırlı olabilir.</w:t>
            </w:r>
          </w:p>
        </w:tc>
      </w:tr>
      <w:tr w:rsidR="003B155E" w:rsidRPr="00FF45DE" w14:paraId="6D80DE37" w14:textId="77777777" w:rsidTr="000D79D6">
        <w:trPr>
          <w:trHeight w:val="460"/>
        </w:trPr>
        <w:tc>
          <w:tcPr>
            <w:tcW w:w="182" w:type="pct"/>
            <w:vMerge/>
            <w:tcBorders>
              <w:top w:val="nil"/>
            </w:tcBorders>
            <w:vAlign w:val="center"/>
          </w:tcPr>
          <w:p w14:paraId="49ADF422" w14:textId="77777777" w:rsidR="003B155E" w:rsidRPr="00FF45DE" w:rsidRDefault="003B155E" w:rsidP="000D79D6">
            <w:pPr>
              <w:ind w:left="74" w:right="74"/>
              <w:rPr>
                <w:rFonts w:ascii="Times New Roman" w:eastAsia="Calibri" w:hAnsi="Times New Roman" w:cs="Times New Roman"/>
                <w:lang w:val="tr"/>
              </w:rPr>
            </w:pPr>
          </w:p>
        </w:tc>
        <w:tc>
          <w:tcPr>
            <w:tcW w:w="2087" w:type="pct"/>
            <w:vAlign w:val="center"/>
          </w:tcPr>
          <w:p w14:paraId="317B90C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3. İyonlaşma</w:t>
            </w:r>
          </w:p>
        </w:tc>
        <w:tc>
          <w:tcPr>
            <w:tcW w:w="2731" w:type="pct"/>
            <w:vAlign w:val="center"/>
          </w:tcPr>
          <w:p w14:paraId="6C6EB0C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nedenlerden dolayı domuz tesislerine veya mevcut kümes hayvanı tesislerine uygulanamayabilir.</w:t>
            </w:r>
          </w:p>
        </w:tc>
      </w:tr>
      <w:tr w:rsidR="003B155E" w:rsidRPr="00FF45DE" w14:paraId="6B712388" w14:textId="77777777" w:rsidTr="000D79D6">
        <w:trPr>
          <w:trHeight w:val="457"/>
        </w:trPr>
        <w:tc>
          <w:tcPr>
            <w:tcW w:w="182" w:type="pct"/>
            <w:vAlign w:val="center"/>
          </w:tcPr>
          <w:p w14:paraId="03D9E40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087" w:type="pct"/>
            <w:vAlign w:val="center"/>
          </w:tcPr>
          <w:p w14:paraId="590DF11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Atık havanın aşağıdakiler gibi bir hava</w:t>
            </w:r>
          </w:p>
          <w:p w14:paraId="06E674D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temizleme sistemi ile arıtılması:</w:t>
            </w:r>
          </w:p>
        </w:tc>
        <w:tc>
          <w:tcPr>
            <w:tcW w:w="2731" w:type="pct"/>
            <w:vAlign w:val="center"/>
          </w:tcPr>
          <w:p w14:paraId="521E3201"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40911912" w14:textId="77777777" w:rsidTr="000D79D6">
        <w:trPr>
          <w:trHeight w:val="676"/>
        </w:trPr>
        <w:tc>
          <w:tcPr>
            <w:tcW w:w="182" w:type="pct"/>
            <w:vMerge w:val="restart"/>
            <w:vAlign w:val="center"/>
          </w:tcPr>
          <w:p w14:paraId="6E6D0A12" w14:textId="77777777" w:rsidR="003B155E" w:rsidRPr="00FF45DE" w:rsidRDefault="003B155E" w:rsidP="000D79D6">
            <w:pPr>
              <w:ind w:left="74" w:right="74"/>
              <w:rPr>
                <w:rFonts w:ascii="Times New Roman" w:eastAsia="Times New Roman" w:hAnsi="Times New Roman" w:cs="Times New Roman"/>
                <w:lang w:val="en-GB"/>
              </w:rPr>
            </w:pPr>
          </w:p>
        </w:tc>
        <w:tc>
          <w:tcPr>
            <w:tcW w:w="2087" w:type="pct"/>
            <w:vAlign w:val="center"/>
          </w:tcPr>
          <w:p w14:paraId="6828438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1. Su kapanı</w:t>
            </w:r>
          </w:p>
        </w:tc>
        <w:tc>
          <w:tcPr>
            <w:tcW w:w="2731" w:type="pct"/>
            <w:vAlign w:val="center"/>
          </w:tcPr>
          <w:p w14:paraId="6BB2AC8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Sadece tünel havalandırma sistemine sahip tesisler için uygulanabilir.</w:t>
            </w:r>
          </w:p>
        </w:tc>
      </w:tr>
      <w:tr w:rsidR="003B155E" w:rsidRPr="00FF45DE" w14:paraId="3F154E2F" w14:textId="77777777" w:rsidTr="000D79D6">
        <w:trPr>
          <w:trHeight w:val="461"/>
        </w:trPr>
        <w:tc>
          <w:tcPr>
            <w:tcW w:w="182" w:type="pct"/>
            <w:vMerge/>
            <w:tcBorders>
              <w:top w:val="nil"/>
            </w:tcBorders>
            <w:vAlign w:val="center"/>
          </w:tcPr>
          <w:p w14:paraId="197BAE91"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38E4C12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2. Kuru filtre</w:t>
            </w:r>
          </w:p>
        </w:tc>
        <w:tc>
          <w:tcPr>
            <w:tcW w:w="2731" w:type="pct"/>
            <w:vAlign w:val="center"/>
          </w:tcPr>
          <w:p w14:paraId="3AD2ABC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tünel havalandırma sistemine sahip kümes hayvanı tesislerinde uygulanabilir.</w:t>
            </w:r>
          </w:p>
        </w:tc>
      </w:tr>
      <w:tr w:rsidR="003B155E" w:rsidRPr="00FF45DE" w14:paraId="5E8C16D8" w14:textId="77777777" w:rsidTr="000D79D6">
        <w:trPr>
          <w:trHeight w:val="230"/>
        </w:trPr>
        <w:tc>
          <w:tcPr>
            <w:tcW w:w="182" w:type="pct"/>
            <w:vMerge/>
            <w:tcBorders>
              <w:top w:val="nil"/>
            </w:tcBorders>
            <w:vAlign w:val="center"/>
          </w:tcPr>
          <w:p w14:paraId="2F6526D5"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568F975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3. Sulu yıkayıcı</w:t>
            </w:r>
          </w:p>
        </w:tc>
        <w:tc>
          <w:tcPr>
            <w:tcW w:w="2731" w:type="pct"/>
            <w:vMerge w:val="restart"/>
            <w:vAlign w:val="center"/>
          </w:tcPr>
          <w:p w14:paraId="5DADB5E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Bu teknik, yüksek uygulama maliyeti nedeniyle genel olarak uygulanamayabilir.</w:t>
            </w:r>
          </w:p>
          <w:p w14:paraId="6C283BD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merkezi bir havalandırma sisteminin kullanıldığı mevcut tesislerde uygulanabilir.</w:t>
            </w:r>
          </w:p>
        </w:tc>
      </w:tr>
      <w:tr w:rsidR="003B155E" w:rsidRPr="00FF45DE" w14:paraId="79CFFFF8" w14:textId="77777777" w:rsidTr="000D79D6">
        <w:trPr>
          <w:trHeight w:val="230"/>
        </w:trPr>
        <w:tc>
          <w:tcPr>
            <w:tcW w:w="182" w:type="pct"/>
            <w:vMerge/>
            <w:tcBorders>
              <w:top w:val="nil"/>
            </w:tcBorders>
            <w:vAlign w:val="center"/>
          </w:tcPr>
          <w:p w14:paraId="3F554CC9"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466F9F9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4. Sulu asit yıkayıcı</w:t>
            </w:r>
          </w:p>
        </w:tc>
        <w:tc>
          <w:tcPr>
            <w:tcW w:w="2731" w:type="pct"/>
            <w:vMerge/>
            <w:tcBorders>
              <w:top w:val="nil"/>
            </w:tcBorders>
            <w:vAlign w:val="center"/>
          </w:tcPr>
          <w:p w14:paraId="43499B1A" w14:textId="77777777" w:rsidR="003B155E" w:rsidRPr="00FF45DE" w:rsidRDefault="003B155E" w:rsidP="000D79D6">
            <w:pPr>
              <w:ind w:left="74" w:right="74"/>
              <w:rPr>
                <w:rFonts w:ascii="Times New Roman" w:eastAsia="Calibri" w:hAnsi="Times New Roman" w:cs="Times New Roman"/>
              </w:rPr>
            </w:pPr>
          </w:p>
        </w:tc>
      </w:tr>
      <w:tr w:rsidR="003B155E" w:rsidRPr="00FF45DE" w14:paraId="0AD511B6" w14:textId="77777777" w:rsidTr="000D79D6">
        <w:trPr>
          <w:trHeight w:val="230"/>
        </w:trPr>
        <w:tc>
          <w:tcPr>
            <w:tcW w:w="182" w:type="pct"/>
            <w:vMerge/>
            <w:tcBorders>
              <w:top w:val="nil"/>
            </w:tcBorders>
            <w:vAlign w:val="center"/>
          </w:tcPr>
          <w:p w14:paraId="3B9BD0E5" w14:textId="77777777" w:rsidR="003B155E" w:rsidRPr="00FF45DE" w:rsidRDefault="003B155E" w:rsidP="000D79D6">
            <w:pPr>
              <w:ind w:left="74" w:right="74"/>
              <w:rPr>
                <w:rFonts w:ascii="Times New Roman" w:eastAsia="Calibri" w:hAnsi="Times New Roman" w:cs="Times New Roman"/>
              </w:rPr>
            </w:pPr>
          </w:p>
        </w:tc>
        <w:tc>
          <w:tcPr>
            <w:tcW w:w="2087" w:type="pct"/>
            <w:vAlign w:val="center"/>
          </w:tcPr>
          <w:p w14:paraId="63A9A826"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5. Biyo yıkayıcı (veya bio-damlama filtresi)</w:t>
            </w:r>
          </w:p>
        </w:tc>
        <w:tc>
          <w:tcPr>
            <w:tcW w:w="2731" w:type="pct"/>
            <w:vMerge/>
            <w:tcBorders>
              <w:top w:val="nil"/>
            </w:tcBorders>
            <w:vAlign w:val="center"/>
          </w:tcPr>
          <w:p w14:paraId="7EA4942A" w14:textId="77777777" w:rsidR="003B155E" w:rsidRPr="00FF45DE" w:rsidRDefault="003B155E" w:rsidP="000D79D6">
            <w:pPr>
              <w:ind w:left="74" w:right="74"/>
              <w:rPr>
                <w:rFonts w:ascii="Times New Roman" w:eastAsia="Calibri" w:hAnsi="Times New Roman" w:cs="Times New Roman"/>
                <w:lang w:val="es-ES"/>
              </w:rPr>
            </w:pPr>
          </w:p>
        </w:tc>
      </w:tr>
      <w:tr w:rsidR="003B155E" w:rsidRPr="00FF45DE" w14:paraId="3563F54F" w14:textId="77777777" w:rsidTr="000D79D6">
        <w:trPr>
          <w:trHeight w:val="460"/>
        </w:trPr>
        <w:tc>
          <w:tcPr>
            <w:tcW w:w="182" w:type="pct"/>
            <w:vMerge/>
            <w:tcBorders>
              <w:top w:val="nil"/>
            </w:tcBorders>
            <w:vAlign w:val="center"/>
          </w:tcPr>
          <w:p w14:paraId="2B152FBC" w14:textId="77777777" w:rsidR="003B155E" w:rsidRPr="00FF45DE" w:rsidRDefault="003B155E" w:rsidP="000D79D6">
            <w:pPr>
              <w:ind w:left="74" w:right="74"/>
              <w:rPr>
                <w:rFonts w:ascii="Times New Roman" w:eastAsia="Calibri" w:hAnsi="Times New Roman" w:cs="Times New Roman"/>
                <w:lang w:val="es-ES"/>
              </w:rPr>
            </w:pPr>
          </w:p>
        </w:tc>
        <w:tc>
          <w:tcPr>
            <w:tcW w:w="2087" w:type="pct"/>
            <w:vAlign w:val="center"/>
          </w:tcPr>
          <w:p w14:paraId="66D5171C"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6. İki kademeli veya üç kademeli hava temizleme sistemi</w:t>
            </w:r>
          </w:p>
        </w:tc>
        <w:tc>
          <w:tcPr>
            <w:tcW w:w="2731" w:type="pct"/>
            <w:vMerge/>
            <w:tcBorders>
              <w:top w:val="nil"/>
            </w:tcBorders>
            <w:vAlign w:val="center"/>
          </w:tcPr>
          <w:p w14:paraId="17E488E2" w14:textId="77777777" w:rsidR="003B155E" w:rsidRPr="00FF45DE" w:rsidRDefault="003B155E" w:rsidP="000D79D6">
            <w:pPr>
              <w:ind w:left="74" w:right="74"/>
              <w:rPr>
                <w:rFonts w:ascii="Times New Roman" w:eastAsia="Calibri" w:hAnsi="Times New Roman" w:cs="Times New Roman"/>
                <w:lang w:val="fi-FI"/>
              </w:rPr>
            </w:pPr>
          </w:p>
        </w:tc>
      </w:tr>
      <w:tr w:rsidR="003B155E" w:rsidRPr="00FF45DE" w14:paraId="5CAAD1EE" w14:textId="77777777" w:rsidTr="000D79D6">
        <w:trPr>
          <w:trHeight w:val="1609"/>
        </w:trPr>
        <w:tc>
          <w:tcPr>
            <w:tcW w:w="182" w:type="pct"/>
            <w:vMerge/>
            <w:tcBorders>
              <w:top w:val="nil"/>
            </w:tcBorders>
            <w:vAlign w:val="center"/>
          </w:tcPr>
          <w:p w14:paraId="56C69BCF" w14:textId="77777777" w:rsidR="003B155E" w:rsidRPr="00FF45DE" w:rsidRDefault="003B155E" w:rsidP="000D79D6">
            <w:pPr>
              <w:ind w:left="74" w:right="74"/>
              <w:rPr>
                <w:rFonts w:ascii="Times New Roman" w:eastAsia="Calibri" w:hAnsi="Times New Roman" w:cs="Times New Roman"/>
                <w:lang w:val="fi-FI"/>
              </w:rPr>
            </w:pPr>
          </w:p>
        </w:tc>
        <w:tc>
          <w:tcPr>
            <w:tcW w:w="2087" w:type="pct"/>
            <w:vAlign w:val="center"/>
          </w:tcPr>
          <w:p w14:paraId="1C54325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7. Biyofiltre</w:t>
            </w:r>
          </w:p>
        </w:tc>
        <w:tc>
          <w:tcPr>
            <w:tcW w:w="2731" w:type="pct"/>
            <w:vAlign w:val="center"/>
          </w:tcPr>
          <w:p w14:paraId="651ADFE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Sadece sulu gübre bazlı tesisler için geçerlidir.</w:t>
            </w:r>
          </w:p>
          <w:p w14:paraId="530DA87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Filtre paketlerini koymak için hayvan barınağının dışında yeterli bir alana ihtiyaç vardır.</w:t>
            </w:r>
          </w:p>
          <w:p w14:paraId="4E05CD5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Bu teknik, yüksek uygulama maliyeti nedeniyle genel olarak uygulanamayabilir.</w:t>
            </w:r>
          </w:p>
          <w:p w14:paraId="4FA3DEE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merkezi bir havalandırma sisteminin kullanıldığı mevcut tesislerde uygulanabilir.</w:t>
            </w:r>
          </w:p>
        </w:tc>
      </w:tr>
    </w:tbl>
    <w:p w14:paraId="20447007"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27" w:name="_Toc136614308"/>
      <w:r w:rsidRPr="00EE5089">
        <w:rPr>
          <w:rFonts w:ascii="Times New Roman" w:eastAsia="DengXian Light" w:hAnsi="Times New Roman" w:cs="Microsoft Uighur"/>
          <w:b/>
          <w:kern w:val="0"/>
          <w:sz w:val="24"/>
          <w:szCs w:val="26"/>
          <w14:ligatures w14:val="none"/>
        </w:rPr>
        <w:t>Koku Emisyonları</w:t>
      </w:r>
      <w:bookmarkEnd w:id="27"/>
    </w:p>
    <w:p w14:paraId="7C8A8AD7"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12: </w:t>
      </w:r>
      <w:r w:rsidRPr="00EE5089">
        <w:rPr>
          <w:rFonts w:ascii="Times New Roman" w:eastAsia="Calibri" w:hAnsi="Times New Roman" w:cs="Calibri"/>
          <w:bCs/>
          <w:kern w:val="0"/>
          <w:sz w:val="24"/>
          <w14:ligatures w14:val="none"/>
        </w:rPr>
        <w:t xml:space="preserve">Koku emisyonlarını önlemek veya bunun mümkün olmadığı durumlarda azaltmak için çevre yönetim sisteminin bir parçası olarak (bkz. </w:t>
      </w:r>
      <w:r w:rsidRPr="0096283A">
        <w:rPr>
          <w:rFonts w:ascii="Times New Roman" w:eastAsia="Calibri" w:hAnsi="Times New Roman" w:cs="Calibri"/>
          <w:kern w:val="0"/>
          <w:sz w:val="24"/>
          <w14:ligatures w14:val="none"/>
        </w:rPr>
        <w:t>MET 1</w:t>
      </w:r>
      <w:r w:rsidRPr="00EE5089">
        <w:rPr>
          <w:rFonts w:ascii="Times New Roman" w:eastAsia="Calibri" w:hAnsi="Times New Roman" w:cs="Calibri"/>
          <w:bCs/>
          <w:kern w:val="0"/>
          <w:sz w:val="24"/>
          <w14:ligatures w14:val="none"/>
        </w:rPr>
        <w:t>) aşağıdaki unsurları içeren bir koku yönetim planı oluşturulur ve uygulanır:</w:t>
      </w:r>
    </w:p>
    <w:p w14:paraId="69FD5330" w14:textId="77777777" w:rsidR="003B155E" w:rsidRPr="00FF45DE" w:rsidRDefault="003B155E" w:rsidP="003B155E">
      <w:pPr>
        <w:numPr>
          <w:ilvl w:val="0"/>
          <w:numId w:val="163"/>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Uygun eylemleri ve zaman çizelgelerini içeren bir protokol</w:t>
      </w:r>
    </w:p>
    <w:p w14:paraId="366D46A8" w14:textId="77777777" w:rsidR="003B155E" w:rsidRPr="00FF45DE" w:rsidRDefault="003B155E" w:rsidP="003B155E">
      <w:pPr>
        <w:numPr>
          <w:ilvl w:val="0"/>
          <w:numId w:val="163"/>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Koku izlemeyi yürütmek için bir protokol</w:t>
      </w:r>
    </w:p>
    <w:p w14:paraId="193C7C4A" w14:textId="77777777" w:rsidR="003B155E" w:rsidRPr="00FF45DE" w:rsidRDefault="003B155E" w:rsidP="003B155E">
      <w:pPr>
        <w:numPr>
          <w:ilvl w:val="0"/>
          <w:numId w:val="163"/>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Tanımlanmış koku rahatsızlığına müdahale için bir protokol</w:t>
      </w:r>
    </w:p>
    <w:p w14:paraId="4078F3E1" w14:textId="77777777" w:rsidR="003B155E" w:rsidRPr="00FF45DE" w:rsidRDefault="003B155E" w:rsidP="003B155E">
      <w:pPr>
        <w:numPr>
          <w:ilvl w:val="0"/>
          <w:numId w:val="163"/>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 xml:space="preserve">Örneğin kaynağı ya da kaynakları belirlemek, koku emisyonlarını izlemek (bkz. </w:t>
      </w:r>
      <w:r w:rsidRPr="0096283A">
        <w:rPr>
          <w:rFonts w:ascii="Times New Roman" w:eastAsia="Calibri" w:hAnsi="Times New Roman" w:cs="Calibri"/>
          <w:bCs/>
          <w:kern w:val="0"/>
          <w:sz w:val="24"/>
          <w:lang w:val="nl-NL"/>
          <w14:ligatures w14:val="none"/>
        </w:rPr>
        <w:t>MET 26),</w:t>
      </w:r>
      <w:r w:rsidRPr="00FF45DE">
        <w:rPr>
          <w:rFonts w:ascii="Times New Roman" w:eastAsia="Calibri" w:hAnsi="Times New Roman" w:cs="Calibri"/>
          <w:kern w:val="0"/>
          <w:sz w:val="24"/>
          <w:lang w:val="nl-NL"/>
          <w14:ligatures w14:val="none"/>
        </w:rPr>
        <w:t xml:space="preserve"> kaynakların katkılarını karakterize etmek ve ortadan kaldırma ve/veya azaltma önlemlerini uygulamak için tasarlanmış bir koku önleme program</w:t>
      </w:r>
    </w:p>
    <w:p w14:paraId="7B30E623" w14:textId="77777777" w:rsidR="003B155E" w:rsidRPr="00FF45DE" w:rsidRDefault="003B155E" w:rsidP="003B155E">
      <w:pPr>
        <w:numPr>
          <w:ilvl w:val="0"/>
          <w:numId w:val="163"/>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Geçmişteki koku olaylarının ve çözümlerinin gözden geçirilmesi ve koku olayı bilgisinin yayılması.</w:t>
      </w:r>
    </w:p>
    <w:p w14:paraId="1DF9C008" w14:textId="77777777" w:rsidR="003B155E" w:rsidRPr="00FF45DE" w:rsidRDefault="003B155E" w:rsidP="003B155E">
      <w:pPr>
        <w:spacing w:before="240" w:after="0" w:line="360" w:lineRule="auto"/>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 xml:space="preserve">İlgili izleme </w:t>
      </w:r>
      <w:r w:rsidRPr="0096283A">
        <w:rPr>
          <w:rFonts w:ascii="Times New Roman" w:eastAsia="Calibri" w:hAnsi="Times New Roman" w:cs="Calibri"/>
          <w:bCs/>
          <w:kern w:val="0"/>
          <w:sz w:val="24"/>
          <w:lang w:val="nl-NL"/>
          <w14:ligatures w14:val="none"/>
        </w:rPr>
        <w:t>MET 26'dadır</w:t>
      </w:r>
      <w:r w:rsidRPr="00FF45DE">
        <w:rPr>
          <w:rFonts w:ascii="Times New Roman" w:eastAsia="Calibri" w:hAnsi="Times New Roman" w:cs="Calibri"/>
          <w:kern w:val="0"/>
          <w:sz w:val="24"/>
          <w:lang w:val="nl-NL"/>
          <w14:ligatures w14:val="none"/>
        </w:rPr>
        <w:t>.</w:t>
      </w:r>
    </w:p>
    <w:p w14:paraId="1148BB5D" w14:textId="77777777" w:rsidR="003B155E" w:rsidRPr="00FF45DE" w:rsidRDefault="003B155E" w:rsidP="003B155E">
      <w:pPr>
        <w:spacing w:before="240" w:after="0" w:line="360" w:lineRule="auto"/>
        <w:jc w:val="both"/>
        <w:rPr>
          <w:rFonts w:ascii="Times New Roman" w:eastAsia="Calibri" w:hAnsi="Times New Roman" w:cs="Calibri"/>
          <w:b/>
          <w:bCs/>
          <w:kern w:val="0"/>
          <w:sz w:val="24"/>
          <w:lang w:val="nl-NL"/>
          <w14:ligatures w14:val="none"/>
        </w:rPr>
      </w:pPr>
      <w:r w:rsidRPr="00FF45DE">
        <w:rPr>
          <w:rFonts w:ascii="Times New Roman" w:eastAsia="Calibri" w:hAnsi="Times New Roman" w:cs="Calibri"/>
          <w:b/>
          <w:bCs/>
          <w:kern w:val="0"/>
          <w:sz w:val="24"/>
          <w:lang w:val="nl-NL"/>
          <w14:ligatures w14:val="none"/>
        </w:rPr>
        <w:lastRenderedPageBreak/>
        <w:t xml:space="preserve">MET 13: </w:t>
      </w:r>
      <w:r w:rsidRPr="00FF45DE">
        <w:rPr>
          <w:rFonts w:ascii="Times New Roman" w:eastAsia="Calibri" w:hAnsi="Times New Roman" w:cs="Calibri"/>
          <w:bCs/>
          <w:kern w:val="0"/>
          <w:sz w:val="24"/>
          <w:lang w:val="nl-NL"/>
          <w14:ligatures w14:val="none"/>
        </w:rPr>
        <w:t>Bir çiftlikten kaynaklanan koku emisyonlarını ve/veya koku etkisini önlemek veya bunun mümkün olmadığı durumlarda azaltmak için aşağıda verilen tekniklerin bir kombinasyonu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27"/>
        <w:gridCol w:w="4640"/>
        <w:gridCol w:w="18"/>
        <w:gridCol w:w="4100"/>
      </w:tblGrid>
      <w:tr w:rsidR="003B155E" w:rsidRPr="00FF45DE" w14:paraId="64C12206" w14:textId="77777777" w:rsidTr="000D79D6">
        <w:trPr>
          <w:trHeight w:val="230"/>
          <w:tblHeader/>
        </w:trPr>
        <w:tc>
          <w:tcPr>
            <w:tcW w:w="153" w:type="pct"/>
          </w:tcPr>
          <w:p w14:paraId="2E48AB10" w14:textId="77777777" w:rsidR="003B155E" w:rsidRPr="00FF45DE" w:rsidRDefault="003B155E" w:rsidP="000D79D6">
            <w:pPr>
              <w:ind w:left="74" w:right="74"/>
              <w:rPr>
                <w:rFonts w:ascii="Times New Roman" w:eastAsia="Times New Roman" w:hAnsi="Times New Roman" w:cs="Times New Roman"/>
                <w:lang w:val="nl-NL"/>
              </w:rPr>
            </w:pPr>
          </w:p>
        </w:tc>
        <w:tc>
          <w:tcPr>
            <w:tcW w:w="2575" w:type="pct"/>
            <w:gridSpan w:val="2"/>
          </w:tcPr>
          <w:p w14:paraId="34D75B3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272" w:type="pct"/>
            <w:gridSpan w:val="2"/>
          </w:tcPr>
          <w:p w14:paraId="44D2C44A"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74CB6F72" w14:textId="77777777" w:rsidTr="000D79D6">
        <w:trPr>
          <w:trHeight w:val="460"/>
        </w:trPr>
        <w:tc>
          <w:tcPr>
            <w:tcW w:w="153" w:type="pct"/>
            <w:vAlign w:val="center"/>
          </w:tcPr>
          <w:p w14:paraId="6043238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575" w:type="pct"/>
            <w:gridSpan w:val="2"/>
            <w:vAlign w:val="center"/>
          </w:tcPr>
          <w:p w14:paraId="0AB7131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Çiftlik/tesis ve hassas reseptörler arasında yeterli mesafe olmasının</w:t>
            </w:r>
            <w:r w:rsidRPr="00FF45DE">
              <w:rPr>
                <w:rFonts w:ascii="Times New Roman" w:eastAsia="Times New Roman" w:hAnsi="Times New Roman" w:cs="Times New Roman"/>
                <w:lang w:val="en-GB"/>
              </w:rPr>
              <w:t xml:space="preserve"> </w:t>
            </w:r>
            <w:r w:rsidRPr="00FF45DE">
              <w:rPr>
                <w:rFonts w:ascii="Times New Roman" w:eastAsia="Times New Roman" w:hAnsi="Times New Roman" w:cs="Times New Roman"/>
                <w:lang w:val="tr"/>
              </w:rPr>
              <w:t>sağlanması</w:t>
            </w:r>
          </w:p>
        </w:tc>
        <w:tc>
          <w:tcPr>
            <w:tcW w:w="2272" w:type="pct"/>
            <w:gridSpan w:val="2"/>
            <w:vAlign w:val="center"/>
          </w:tcPr>
          <w:p w14:paraId="2C6333E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mevcut çiftlik/tesisler için geçerli olmayabilir.</w:t>
            </w:r>
          </w:p>
        </w:tc>
      </w:tr>
      <w:tr w:rsidR="003B155E" w:rsidRPr="00FF45DE" w14:paraId="60211D13" w14:textId="77777777" w:rsidTr="000D79D6">
        <w:trPr>
          <w:trHeight w:val="3679"/>
        </w:trPr>
        <w:tc>
          <w:tcPr>
            <w:tcW w:w="153" w:type="pct"/>
            <w:vAlign w:val="center"/>
          </w:tcPr>
          <w:p w14:paraId="3B7F67A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575" w:type="pct"/>
            <w:gridSpan w:val="2"/>
            <w:vAlign w:val="center"/>
          </w:tcPr>
          <w:p w14:paraId="21B7E8E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 ilkelerden birini veya birkaçını uygulayan bir barınak sistemi kullanılması:</w:t>
            </w:r>
          </w:p>
          <w:p w14:paraId="276EB618" w14:textId="77777777" w:rsidR="003B155E" w:rsidRPr="00FF45DE" w:rsidRDefault="003B155E" w:rsidP="003B155E">
            <w:pPr>
              <w:numPr>
                <w:ilvl w:val="0"/>
                <w:numId w:val="167"/>
              </w:numPr>
              <w:tabs>
                <w:tab w:val="left" w:pos="204"/>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Hayvanları ve yüzeyleri kuru ve temiz tutulması (ör. yemlerin dökülmesinin önlenmesi, kısmen latalı zeminlerin yatma alanlarında pisliklerden kaçınılması)</w:t>
            </w:r>
          </w:p>
          <w:p w14:paraId="5D4C77D4" w14:textId="77777777" w:rsidR="003B155E" w:rsidRPr="00FF45DE" w:rsidRDefault="003B155E" w:rsidP="003B155E">
            <w:pPr>
              <w:numPr>
                <w:ilvl w:val="0"/>
                <w:numId w:val="167"/>
              </w:numPr>
              <w:tabs>
                <w:tab w:val="left" w:pos="224"/>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Gübrenin salınım yüzeyinin azaltılması (ör. metal veya plastik lataların, gübre yüzeyi azaltılmış kanalların kullanılması)</w:t>
            </w:r>
          </w:p>
          <w:p w14:paraId="599DFA4C" w14:textId="77777777" w:rsidR="003B155E" w:rsidRPr="00FF45DE" w:rsidRDefault="003B155E" w:rsidP="003B155E">
            <w:pPr>
              <w:numPr>
                <w:ilvl w:val="0"/>
                <w:numId w:val="167"/>
              </w:numPr>
              <w:tabs>
                <w:tab w:val="left" w:pos="200"/>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Gübrenin sık sık harici (kapalı) bir gübre deposuna taşınması</w:t>
            </w:r>
          </w:p>
          <w:p w14:paraId="1C98203C" w14:textId="77777777" w:rsidR="003B155E" w:rsidRPr="00FF45DE" w:rsidRDefault="003B155E" w:rsidP="003B155E">
            <w:pPr>
              <w:numPr>
                <w:ilvl w:val="0"/>
                <w:numId w:val="167"/>
              </w:numPr>
              <w:tabs>
                <w:tab w:val="left" w:pos="200"/>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sıcaklığının ve iç ortamın sıcaklığının düşürülmesi (ör. sulu gübre ile soğutma)</w:t>
            </w:r>
          </w:p>
          <w:p w14:paraId="1319637C" w14:textId="77777777" w:rsidR="003B155E" w:rsidRPr="00FF45DE" w:rsidRDefault="003B155E" w:rsidP="003B155E">
            <w:pPr>
              <w:numPr>
                <w:ilvl w:val="0"/>
                <w:numId w:val="167"/>
              </w:numPr>
              <w:tabs>
                <w:tab w:val="left" w:pos="200"/>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yüzeyi üzerindeki hava akışının ve hızının azaltılması</w:t>
            </w:r>
          </w:p>
          <w:p w14:paraId="500A3CAD" w14:textId="77777777" w:rsidR="003B155E" w:rsidRPr="00FF45DE" w:rsidRDefault="003B155E" w:rsidP="003B155E">
            <w:pPr>
              <w:numPr>
                <w:ilvl w:val="0"/>
                <w:numId w:val="167"/>
              </w:numPr>
              <w:tabs>
                <w:tab w:val="left" w:pos="200"/>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Altlık tabanlı sistemlerde altlığın kuru ve aerobik koşullar altında tutulması.</w:t>
            </w:r>
          </w:p>
        </w:tc>
        <w:tc>
          <w:tcPr>
            <w:tcW w:w="2272" w:type="pct"/>
            <w:gridSpan w:val="2"/>
            <w:vAlign w:val="center"/>
          </w:tcPr>
          <w:p w14:paraId="33C68E4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İç ortamın sıcaklığının, hava debisinin ve hızının düşürülmesi hayvan refahı nedeniyle uygulanamayabilir.</w:t>
            </w:r>
          </w:p>
          <w:p w14:paraId="634CA33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Koku pikleri nedeniyle hassas alıcıların yakınında bulunan domuz çiftliklerinde yıkama ile sulu gübre giderme uygulanamaz.</w:t>
            </w:r>
          </w:p>
          <w:p w14:paraId="0E1F4184" w14:textId="77777777" w:rsidR="003B155E" w:rsidRPr="00FF45DE" w:rsidRDefault="003B155E" w:rsidP="000D79D6">
            <w:pPr>
              <w:ind w:left="74" w:right="74"/>
              <w:rPr>
                <w:rFonts w:ascii="Times New Roman" w:eastAsia="Times New Roman" w:hAnsi="Times New Roman" w:cs="Times New Roman"/>
                <w:lang w:val="nl-NL"/>
              </w:rPr>
            </w:pPr>
            <w:r w:rsidRPr="0096283A">
              <w:rPr>
                <w:rFonts w:ascii="Times New Roman" w:eastAsia="Times New Roman" w:hAnsi="Times New Roman" w:cs="Times New Roman"/>
                <w:bCs/>
              </w:rPr>
              <w:t>MET 30</w:t>
            </w:r>
            <w:r w:rsidRPr="0096283A">
              <w:rPr>
                <w:rFonts w:ascii="Times New Roman" w:eastAsia="Times New Roman" w:hAnsi="Times New Roman" w:cs="Times New Roman"/>
                <w:bCs/>
                <w:lang w:val="tr"/>
              </w:rPr>
              <w:t xml:space="preserve">, </w:t>
            </w:r>
            <w:r w:rsidRPr="0096283A">
              <w:rPr>
                <w:rFonts w:ascii="Times New Roman" w:eastAsia="Times New Roman" w:hAnsi="Times New Roman" w:cs="Times New Roman"/>
                <w:bCs/>
              </w:rPr>
              <w:t>MET31</w:t>
            </w:r>
            <w:r w:rsidRPr="0096283A">
              <w:rPr>
                <w:rFonts w:ascii="Times New Roman" w:eastAsia="Times New Roman" w:hAnsi="Times New Roman" w:cs="Times New Roman"/>
                <w:bCs/>
                <w:lang w:val="tr"/>
              </w:rPr>
              <w:t xml:space="preserve">, </w:t>
            </w:r>
            <w:r w:rsidRPr="0096283A">
              <w:rPr>
                <w:rFonts w:ascii="Times New Roman" w:eastAsia="Times New Roman" w:hAnsi="Times New Roman" w:cs="Times New Roman"/>
                <w:bCs/>
              </w:rPr>
              <w:t>MET 32</w:t>
            </w:r>
            <w:r w:rsidRPr="0096283A">
              <w:rPr>
                <w:rFonts w:ascii="Times New Roman" w:eastAsia="Times New Roman" w:hAnsi="Times New Roman" w:cs="Times New Roman"/>
                <w:bCs/>
                <w:lang w:val="tr"/>
              </w:rPr>
              <w:t xml:space="preserve">, </w:t>
            </w:r>
            <w:r w:rsidRPr="0096283A">
              <w:rPr>
                <w:rFonts w:ascii="Times New Roman" w:eastAsia="Times New Roman" w:hAnsi="Times New Roman" w:cs="Times New Roman"/>
                <w:bCs/>
              </w:rPr>
              <w:t xml:space="preserve">MET 33 </w:t>
            </w:r>
            <w:r w:rsidRPr="0096283A">
              <w:rPr>
                <w:rFonts w:ascii="Times New Roman" w:eastAsia="Times New Roman" w:hAnsi="Times New Roman" w:cs="Times New Roman"/>
                <w:bCs/>
                <w:lang w:val="tr"/>
              </w:rPr>
              <w:t xml:space="preserve">ve </w:t>
            </w:r>
            <w:r w:rsidRPr="0096283A">
              <w:rPr>
                <w:rFonts w:ascii="Times New Roman" w:eastAsia="Times New Roman" w:hAnsi="Times New Roman" w:cs="Times New Roman"/>
                <w:bCs/>
              </w:rPr>
              <w:t>MET 34</w:t>
            </w:r>
            <w:r w:rsidRPr="0096283A">
              <w:rPr>
                <w:rFonts w:ascii="Times New Roman" w:eastAsia="Times New Roman" w:hAnsi="Times New Roman" w:cs="Times New Roman"/>
                <w:bCs/>
                <w:lang w:val="tr"/>
              </w:rPr>
              <w:t>'teki</w:t>
            </w:r>
            <w:r w:rsidRPr="00FF45DE">
              <w:rPr>
                <w:rFonts w:ascii="Times New Roman" w:eastAsia="Times New Roman" w:hAnsi="Times New Roman" w:cs="Times New Roman"/>
                <w:lang w:val="tr"/>
              </w:rPr>
              <w:t xml:space="preserve"> hayvan barınağı için uygulanabilirliğe bakınız.</w:t>
            </w:r>
          </w:p>
        </w:tc>
      </w:tr>
      <w:tr w:rsidR="003B155E" w:rsidRPr="00FF45DE" w14:paraId="4C52D82B" w14:textId="77777777" w:rsidTr="000D79D6">
        <w:trPr>
          <w:trHeight w:val="416"/>
        </w:trPr>
        <w:tc>
          <w:tcPr>
            <w:tcW w:w="153" w:type="pct"/>
            <w:vAlign w:val="center"/>
          </w:tcPr>
          <w:p w14:paraId="71653D9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575" w:type="pct"/>
            <w:gridSpan w:val="2"/>
            <w:vAlign w:val="center"/>
          </w:tcPr>
          <w:p w14:paraId="53F9967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 tekniklerden biri veya birkaçı kullanılarak hayvan barınağından çıkan atık havanın tahliye koşullarının optimize edilmesi:</w:t>
            </w:r>
          </w:p>
          <w:p w14:paraId="290E1266" w14:textId="77777777" w:rsidR="003B155E" w:rsidRPr="00FF45DE" w:rsidRDefault="003B155E" w:rsidP="003B155E">
            <w:pPr>
              <w:numPr>
                <w:ilvl w:val="0"/>
                <w:numId w:val="166"/>
              </w:numPr>
              <w:tabs>
                <w:tab w:val="left" w:pos="209"/>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Çıkış yüksekliğinin arttırılması (ör. çatı seviyesinin üzerindeki atık havanın, bacalar, hava egzozunu duvarların alçak kısmı yerine çıkış boyunca yönlendirilmesi)</w:t>
            </w:r>
          </w:p>
          <w:p w14:paraId="1BE48B41" w14:textId="77777777" w:rsidR="003B155E" w:rsidRPr="00FF45DE" w:rsidRDefault="003B155E" w:rsidP="003B155E">
            <w:pPr>
              <w:numPr>
                <w:ilvl w:val="0"/>
                <w:numId w:val="166"/>
              </w:numPr>
              <w:tabs>
                <w:tab w:val="left" w:pos="200"/>
              </w:tabs>
              <w:ind w:left="191" w:right="74" w:hanging="117"/>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Dikey çıkış havalandırma hızının arttırılması</w:t>
            </w:r>
          </w:p>
          <w:p w14:paraId="29BEF8EF" w14:textId="77777777" w:rsidR="003B155E" w:rsidRPr="00FF45DE" w:rsidRDefault="003B155E" w:rsidP="003B155E">
            <w:pPr>
              <w:numPr>
                <w:ilvl w:val="0"/>
                <w:numId w:val="166"/>
              </w:numPr>
              <w:tabs>
                <w:tab w:val="left" w:pos="233"/>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Dışarı çıkan hava akışında türbülans yaratmak için dış bariyerlerin etkili bir şekilde yerleştirilmesi (ör. bitki örtüsü)</w:t>
            </w:r>
          </w:p>
          <w:p w14:paraId="1E60A4C5" w14:textId="77777777" w:rsidR="003B155E" w:rsidRPr="00FF45DE" w:rsidRDefault="003B155E" w:rsidP="003B155E">
            <w:pPr>
              <w:numPr>
                <w:ilvl w:val="0"/>
                <w:numId w:val="166"/>
              </w:numPr>
              <w:tabs>
                <w:tab w:val="left" w:pos="298"/>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Atık havayı zemine yönlendirmek için duvarların alçak kısımlarında bulunan</w:t>
            </w:r>
          </w:p>
          <w:p w14:paraId="7C9DD90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çıkış açıklıklarına deflektör kapakları eklenmesi</w:t>
            </w:r>
          </w:p>
        </w:tc>
        <w:tc>
          <w:tcPr>
            <w:tcW w:w="2272" w:type="pct"/>
            <w:gridSpan w:val="2"/>
            <w:vAlign w:val="center"/>
          </w:tcPr>
          <w:p w14:paraId="4E9BDBF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Çıkış ekseninin hizalanması mevcut tesisler için uygulanabilir değildir.</w:t>
            </w:r>
          </w:p>
        </w:tc>
      </w:tr>
      <w:tr w:rsidR="003B155E" w:rsidRPr="00FF45DE" w14:paraId="0840FDD2" w14:textId="77777777" w:rsidTr="000D79D6">
        <w:trPr>
          <w:trHeight w:val="1151"/>
        </w:trPr>
        <w:tc>
          <w:tcPr>
            <w:tcW w:w="168" w:type="pct"/>
            <w:gridSpan w:val="2"/>
            <w:vAlign w:val="center"/>
          </w:tcPr>
          <w:p w14:paraId="213BB500" w14:textId="77777777" w:rsidR="003B155E" w:rsidRPr="00FF45DE" w:rsidRDefault="003B155E" w:rsidP="000D79D6">
            <w:pPr>
              <w:ind w:left="74" w:right="74"/>
              <w:rPr>
                <w:rFonts w:ascii="Times New Roman" w:eastAsia="Times New Roman" w:hAnsi="Times New Roman" w:cs="Times New Roman"/>
                <w:lang w:val="en-GB"/>
              </w:rPr>
            </w:pPr>
          </w:p>
        </w:tc>
        <w:tc>
          <w:tcPr>
            <w:tcW w:w="2570" w:type="pct"/>
            <w:gridSpan w:val="2"/>
            <w:vAlign w:val="center"/>
          </w:tcPr>
          <w:p w14:paraId="0A9B9081" w14:textId="77777777" w:rsidR="003B155E" w:rsidRPr="00FF45DE" w:rsidRDefault="003B155E" w:rsidP="003B155E">
            <w:pPr>
              <w:numPr>
                <w:ilvl w:val="0"/>
                <w:numId w:val="165"/>
              </w:numPr>
              <w:tabs>
                <w:tab w:val="left" w:pos="264"/>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Atık havanın hassas alıcıdan uzağa bakan barınak tarafına dağıtılması</w:t>
            </w:r>
          </w:p>
          <w:p w14:paraId="0D034DA1" w14:textId="77777777" w:rsidR="003B155E" w:rsidRPr="00FF45DE" w:rsidRDefault="003B155E" w:rsidP="003B155E">
            <w:pPr>
              <w:numPr>
                <w:ilvl w:val="0"/>
                <w:numId w:val="165"/>
              </w:numPr>
              <w:tabs>
                <w:tab w:val="left" w:pos="245"/>
              </w:tabs>
              <w:ind w:left="190" w:right="74" w:hanging="116"/>
              <w:jc w:val="both"/>
              <w:rPr>
                <w:rFonts w:ascii="Times New Roman" w:eastAsia="Times New Roman" w:hAnsi="Times New Roman" w:cs="Times New Roman"/>
                <w:lang w:val="tr"/>
              </w:rPr>
            </w:pPr>
            <w:r w:rsidRPr="00FF45DE">
              <w:rPr>
                <w:rFonts w:ascii="Times New Roman" w:eastAsia="Times New Roman" w:hAnsi="Times New Roman" w:cs="Times New Roman"/>
                <w:lang w:val="tr"/>
              </w:rPr>
              <w:t>Doğal olarak havalandırılan bir binanın çıkış ekseninin hakim rüzgar yönüne çapraz olarak hizalanması.</w:t>
            </w:r>
          </w:p>
        </w:tc>
        <w:tc>
          <w:tcPr>
            <w:tcW w:w="2263" w:type="pct"/>
            <w:vAlign w:val="center"/>
          </w:tcPr>
          <w:p w14:paraId="52C5C5C5" w14:textId="77777777" w:rsidR="003B155E" w:rsidRPr="00FF45DE" w:rsidRDefault="003B155E" w:rsidP="000D79D6">
            <w:pPr>
              <w:ind w:left="74" w:right="74"/>
              <w:rPr>
                <w:rFonts w:ascii="Times New Roman" w:eastAsia="Times New Roman" w:hAnsi="Times New Roman" w:cs="Times New Roman"/>
                <w:lang w:val="tr"/>
              </w:rPr>
            </w:pPr>
          </w:p>
        </w:tc>
      </w:tr>
      <w:tr w:rsidR="003B155E" w:rsidRPr="00FF45DE" w14:paraId="621FD997" w14:textId="77777777" w:rsidTr="000D79D6">
        <w:trPr>
          <w:trHeight w:val="2298"/>
        </w:trPr>
        <w:tc>
          <w:tcPr>
            <w:tcW w:w="168" w:type="pct"/>
            <w:gridSpan w:val="2"/>
            <w:vAlign w:val="center"/>
          </w:tcPr>
          <w:p w14:paraId="4056204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570" w:type="pct"/>
            <w:gridSpan w:val="2"/>
            <w:vAlign w:val="center"/>
          </w:tcPr>
          <w:p w14:paraId="432220F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Aşağıdakiler gibi bir hava temizleme sisteminin kullanılması:</w:t>
            </w:r>
          </w:p>
          <w:p w14:paraId="0F5741EE" w14:textId="77777777" w:rsidR="003B155E" w:rsidRPr="00FF45DE" w:rsidRDefault="003B155E" w:rsidP="003B155E">
            <w:pPr>
              <w:numPr>
                <w:ilvl w:val="0"/>
                <w:numId w:val="164"/>
              </w:numPr>
              <w:tabs>
                <w:tab w:val="left" w:pos="285"/>
              </w:tabs>
              <w:ind w:left="276" w:right="74" w:hanging="202"/>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Biyo yıkayıcı (veya bio-damlama filtresi)</w:t>
            </w:r>
          </w:p>
          <w:p w14:paraId="218902A8" w14:textId="77777777" w:rsidR="003B155E" w:rsidRPr="00FF45DE" w:rsidRDefault="003B155E" w:rsidP="003B155E">
            <w:pPr>
              <w:numPr>
                <w:ilvl w:val="0"/>
                <w:numId w:val="164"/>
              </w:numPr>
              <w:tabs>
                <w:tab w:val="left" w:pos="285"/>
              </w:tabs>
              <w:ind w:left="276" w:right="74" w:hanging="202"/>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Biyofiltre</w:t>
            </w:r>
          </w:p>
          <w:p w14:paraId="2037AD8B" w14:textId="77777777" w:rsidR="003B155E" w:rsidRPr="00FF45DE" w:rsidRDefault="003B155E" w:rsidP="003B155E">
            <w:pPr>
              <w:numPr>
                <w:ilvl w:val="0"/>
                <w:numId w:val="164"/>
              </w:numPr>
              <w:tabs>
                <w:tab w:val="left" w:pos="283"/>
              </w:tabs>
              <w:ind w:left="274" w:right="74" w:hanging="200"/>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İki kademeli veya üç kademeli hava temizleme sistemi.</w:t>
            </w:r>
          </w:p>
        </w:tc>
        <w:tc>
          <w:tcPr>
            <w:tcW w:w="2263" w:type="pct"/>
            <w:vAlign w:val="center"/>
          </w:tcPr>
          <w:p w14:paraId="13095E0D"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Bu teknik, yüksek uygulama maliyeti nedeniyle genel olarak uygulanamayabilir.</w:t>
            </w:r>
          </w:p>
          <w:p w14:paraId="6969E72C"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Yalnızca merkezi bir havalandırma sisteminin kullanıldığı mevcut tesislerde uygulanabilir.</w:t>
            </w:r>
          </w:p>
          <w:p w14:paraId="1ED663A5"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Bir biyofiltre yalnızca sulu gübre bazlı tesisler için uygulanabilir.</w:t>
            </w:r>
          </w:p>
          <w:p w14:paraId="21B9708F"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Bir biyofiltre için, filtre paketlerinin konulması için hayvan barınağının dışında yeterli bir alana ihtiyaç vardır.</w:t>
            </w:r>
          </w:p>
        </w:tc>
      </w:tr>
      <w:tr w:rsidR="003B155E" w:rsidRPr="00FF45DE" w14:paraId="783296A5" w14:textId="77777777" w:rsidTr="000D79D6">
        <w:trPr>
          <w:trHeight w:val="460"/>
        </w:trPr>
        <w:tc>
          <w:tcPr>
            <w:tcW w:w="168" w:type="pct"/>
            <w:gridSpan w:val="2"/>
            <w:vAlign w:val="center"/>
          </w:tcPr>
          <w:p w14:paraId="7AEB662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e</w:t>
            </w:r>
          </w:p>
        </w:tc>
        <w:tc>
          <w:tcPr>
            <w:tcW w:w="2570" w:type="pct"/>
            <w:gridSpan w:val="2"/>
            <w:vAlign w:val="center"/>
          </w:tcPr>
          <w:p w14:paraId="33BB8A8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depolamak için aşağıdaki tekniklerden birinin veya birkaçının kullanılması:</w:t>
            </w:r>
          </w:p>
        </w:tc>
        <w:tc>
          <w:tcPr>
            <w:tcW w:w="2263" w:type="pct"/>
            <w:vAlign w:val="center"/>
          </w:tcPr>
          <w:p w14:paraId="3CBEA0FB"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107B2F3C" w14:textId="77777777" w:rsidTr="000D79D6">
        <w:trPr>
          <w:trHeight w:val="690"/>
        </w:trPr>
        <w:tc>
          <w:tcPr>
            <w:tcW w:w="168" w:type="pct"/>
            <w:gridSpan w:val="2"/>
            <w:vMerge w:val="restart"/>
            <w:vAlign w:val="center"/>
          </w:tcPr>
          <w:p w14:paraId="47CA337F" w14:textId="77777777" w:rsidR="003B155E" w:rsidRPr="00FF45DE" w:rsidRDefault="003B155E" w:rsidP="000D79D6">
            <w:pPr>
              <w:ind w:left="74" w:right="74"/>
              <w:rPr>
                <w:rFonts w:ascii="Times New Roman" w:eastAsia="Times New Roman" w:hAnsi="Times New Roman" w:cs="Times New Roman"/>
                <w:lang w:val="en-GB"/>
              </w:rPr>
            </w:pPr>
          </w:p>
        </w:tc>
        <w:tc>
          <w:tcPr>
            <w:tcW w:w="2570" w:type="pct"/>
            <w:gridSpan w:val="2"/>
            <w:vAlign w:val="center"/>
          </w:tcPr>
          <w:p w14:paraId="33267D3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1. Depolama sırasında sulu gübrenin veya katı gübrenin kapatılması</w:t>
            </w:r>
          </w:p>
        </w:tc>
        <w:tc>
          <w:tcPr>
            <w:tcW w:w="2263" w:type="pct"/>
            <w:vAlign w:val="center"/>
          </w:tcPr>
          <w:p w14:paraId="669E2D92" w14:textId="77777777" w:rsidR="003B155E" w:rsidRPr="0096283A" w:rsidRDefault="003B155E" w:rsidP="000D79D6">
            <w:pPr>
              <w:ind w:left="74" w:right="74"/>
              <w:rPr>
                <w:rFonts w:ascii="Times New Roman" w:eastAsia="Times New Roman" w:hAnsi="Times New Roman" w:cs="Times New Roman"/>
                <w:bCs/>
                <w:lang w:val="en-GB"/>
              </w:rPr>
            </w:pPr>
            <w:r w:rsidRPr="00FF45DE">
              <w:rPr>
                <w:rFonts w:ascii="Times New Roman" w:eastAsia="Times New Roman" w:hAnsi="Times New Roman" w:cs="Times New Roman"/>
                <w:lang w:val="tr"/>
              </w:rPr>
              <w:t xml:space="preserve">Sulu gübre için </w:t>
            </w:r>
            <w:r w:rsidRPr="0096283A">
              <w:rPr>
                <w:rFonts w:ascii="Times New Roman" w:eastAsia="Times New Roman" w:hAnsi="Times New Roman" w:cs="Times New Roman"/>
                <w:bCs/>
              </w:rPr>
              <w:t>MET 16.b</w:t>
            </w:r>
            <w:r w:rsidRPr="0096283A">
              <w:rPr>
                <w:rFonts w:ascii="Times New Roman" w:eastAsia="Times New Roman" w:hAnsi="Times New Roman" w:cs="Times New Roman"/>
                <w:bCs/>
                <w:lang w:val="tr"/>
              </w:rPr>
              <w:t>'nin uygulanabilirliğine bakınız.</w:t>
            </w:r>
          </w:p>
          <w:p w14:paraId="5D4739A4" w14:textId="77777777" w:rsidR="003B155E" w:rsidRPr="00FF45DE"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bCs/>
                <w:lang w:val="tr"/>
              </w:rPr>
              <w:t xml:space="preserve">Katı gübre için </w:t>
            </w:r>
            <w:hyperlink w:anchor="_bookmark983" w:history="1">
              <w:r w:rsidRPr="0096283A">
                <w:rPr>
                  <w:rFonts w:ascii="Times New Roman" w:eastAsia="Times New Roman" w:hAnsi="Times New Roman" w:cs="Times New Roman"/>
                  <w:bCs/>
                  <w:lang w:val="tr"/>
                </w:rPr>
                <w:t>MET 14.b</w:t>
              </w:r>
            </w:hyperlink>
            <w:r w:rsidRPr="0096283A">
              <w:rPr>
                <w:rFonts w:ascii="Times New Roman" w:eastAsia="Times New Roman" w:hAnsi="Times New Roman" w:cs="Times New Roman"/>
                <w:bCs/>
                <w:lang w:val="tr"/>
              </w:rPr>
              <w:t>'nin uygulanabilirliğine bakınız.</w:t>
            </w:r>
          </w:p>
        </w:tc>
      </w:tr>
      <w:tr w:rsidR="003B155E" w:rsidRPr="00FF45DE" w14:paraId="18045128" w14:textId="77777777" w:rsidTr="000D79D6">
        <w:trPr>
          <w:trHeight w:val="918"/>
        </w:trPr>
        <w:tc>
          <w:tcPr>
            <w:tcW w:w="168" w:type="pct"/>
            <w:gridSpan w:val="2"/>
            <w:vMerge/>
            <w:tcBorders>
              <w:top w:val="nil"/>
            </w:tcBorders>
            <w:vAlign w:val="center"/>
          </w:tcPr>
          <w:p w14:paraId="60CFBE6D" w14:textId="77777777" w:rsidR="003B155E" w:rsidRPr="00FF45DE" w:rsidRDefault="003B155E" w:rsidP="000D79D6">
            <w:pPr>
              <w:ind w:left="74" w:right="74"/>
              <w:rPr>
                <w:rFonts w:ascii="Times New Roman" w:eastAsia="Calibri" w:hAnsi="Times New Roman" w:cs="Times New Roman"/>
              </w:rPr>
            </w:pPr>
          </w:p>
        </w:tc>
        <w:tc>
          <w:tcPr>
            <w:tcW w:w="2570" w:type="pct"/>
            <w:gridSpan w:val="2"/>
            <w:vAlign w:val="center"/>
          </w:tcPr>
          <w:p w14:paraId="1CC94D3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2. Genel rüzgar yönünü dikkate alarak depo yerinin belirlenmesi ve/veya deponun çevresinde ve üzerinde rüzgar hızını azaltacak önlemler alınması (ör. ağaçlar, doğal bariyerler)</w:t>
            </w:r>
          </w:p>
        </w:tc>
        <w:tc>
          <w:tcPr>
            <w:tcW w:w="2263" w:type="pct"/>
            <w:vAlign w:val="center"/>
          </w:tcPr>
          <w:p w14:paraId="71A3125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964914A" w14:textId="77777777" w:rsidTr="000D79D6">
        <w:trPr>
          <w:trHeight w:val="282"/>
        </w:trPr>
        <w:tc>
          <w:tcPr>
            <w:tcW w:w="168" w:type="pct"/>
            <w:gridSpan w:val="2"/>
            <w:vMerge/>
            <w:tcBorders>
              <w:top w:val="nil"/>
            </w:tcBorders>
            <w:vAlign w:val="center"/>
          </w:tcPr>
          <w:p w14:paraId="78AA1736" w14:textId="77777777" w:rsidR="003B155E" w:rsidRPr="00FF45DE" w:rsidRDefault="003B155E" w:rsidP="000D79D6">
            <w:pPr>
              <w:ind w:left="74" w:right="74"/>
              <w:rPr>
                <w:rFonts w:ascii="Times New Roman" w:eastAsia="Calibri" w:hAnsi="Times New Roman" w:cs="Times New Roman"/>
              </w:rPr>
            </w:pPr>
          </w:p>
        </w:tc>
        <w:tc>
          <w:tcPr>
            <w:tcW w:w="2570" w:type="pct"/>
            <w:gridSpan w:val="2"/>
            <w:vAlign w:val="center"/>
          </w:tcPr>
          <w:p w14:paraId="30496ED9"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3. Sulu gübrenin karışmasının en aza indirilmesi</w:t>
            </w:r>
          </w:p>
        </w:tc>
        <w:tc>
          <w:tcPr>
            <w:tcW w:w="2263" w:type="pct"/>
            <w:vAlign w:val="center"/>
          </w:tcPr>
          <w:p w14:paraId="0C2E5AF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24E49C62" w14:textId="77777777" w:rsidTr="000D79D6">
        <w:trPr>
          <w:trHeight w:val="690"/>
        </w:trPr>
        <w:tc>
          <w:tcPr>
            <w:tcW w:w="168" w:type="pct"/>
            <w:gridSpan w:val="2"/>
            <w:vAlign w:val="center"/>
          </w:tcPr>
          <w:p w14:paraId="5226C2B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2570" w:type="pct"/>
            <w:gridSpan w:val="2"/>
            <w:vAlign w:val="center"/>
          </w:tcPr>
          <w:p w14:paraId="340993FE"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Arazi yayma sırasında (veya öncesinde) koku emisyonlarını en aza indirmek için gübrenin aşağıdaki tekniklerden biriyle işlenmesi:</w:t>
            </w:r>
          </w:p>
        </w:tc>
        <w:tc>
          <w:tcPr>
            <w:tcW w:w="2263" w:type="pct"/>
            <w:vAlign w:val="center"/>
          </w:tcPr>
          <w:p w14:paraId="6E7F4E1D" w14:textId="77777777" w:rsidR="003B155E" w:rsidRPr="0096283A" w:rsidRDefault="003B155E" w:rsidP="000D79D6">
            <w:pPr>
              <w:ind w:left="74" w:right="74"/>
              <w:rPr>
                <w:rFonts w:ascii="Times New Roman" w:eastAsia="Times New Roman" w:hAnsi="Times New Roman" w:cs="Times New Roman"/>
                <w:lang w:val="en-GB"/>
              </w:rPr>
            </w:pPr>
          </w:p>
        </w:tc>
      </w:tr>
      <w:tr w:rsidR="003B155E" w:rsidRPr="00FF45DE" w14:paraId="5E2544BD" w14:textId="77777777" w:rsidTr="000D79D6">
        <w:trPr>
          <w:trHeight w:val="230"/>
        </w:trPr>
        <w:tc>
          <w:tcPr>
            <w:tcW w:w="168" w:type="pct"/>
            <w:gridSpan w:val="2"/>
            <w:vMerge w:val="restart"/>
            <w:vAlign w:val="center"/>
          </w:tcPr>
          <w:p w14:paraId="71501A2A" w14:textId="77777777" w:rsidR="003B155E" w:rsidRPr="00FF45DE" w:rsidRDefault="003B155E" w:rsidP="000D79D6">
            <w:pPr>
              <w:ind w:left="74" w:right="74"/>
              <w:rPr>
                <w:rFonts w:ascii="Times New Roman" w:eastAsia="Times New Roman" w:hAnsi="Times New Roman" w:cs="Times New Roman"/>
                <w:lang w:val="en-GB"/>
              </w:rPr>
            </w:pPr>
          </w:p>
        </w:tc>
        <w:tc>
          <w:tcPr>
            <w:tcW w:w="2570" w:type="pct"/>
            <w:gridSpan w:val="2"/>
            <w:vAlign w:val="center"/>
          </w:tcPr>
          <w:p w14:paraId="2908B0CD"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1. Sulu gübrenin aerobik olarak çürütülmesi (havalandırması)</w:t>
            </w:r>
          </w:p>
        </w:tc>
        <w:tc>
          <w:tcPr>
            <w:tcW w:w="2263" w:type="pct"/>
            <w:vAlign w:val="center"/>
          </w:tcPr>
          <w:p w14:paraId="4D735F8B"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MET 19.n'nin uygulanabilirliğine bakınız.</w:t>
            </w:r>
          </w:p>
        </w:tc>
      </w:tr>
      <w:tr w:rsidR="003B155E" w:rsidRPr="00FF45DE" w14:paraId="0E05147B" w14:textId="77777777" w:rsidTr="000D79D6">
        <w:trPr>
          <w:trHeight w:val="283"/>
        </w:trPr>
        <w:tc>
          <w:tcPr>
            <w:tcW w:w="168" w:type="pct"/>
            <w:gridSpan w:val="2"/>
            <w:vMerge/>
            <w:tcBorders>
              <w:top w:val="nil"/>
            </w:tcBorders>
            <w:vAlign w:val="center"/>
          </w:tcPr>
          <w:p w14:paraId="56CB006B" w14:textId="77777777" w:rsidR="003B155E" w:rsidRPr="00FF45DE" w:rsidRDefault="003B155E" w:rsidP="000D79D6">
            <w:pPr>
              <w:ind w:left="74" w:right="74"/>
              <w:rPr>
                <w:rFonts w:ascii="Times New Roman" w:eastAsia="Calibri" w:hAnsi="Times New Roman" w:cs="Times New Roman"/>
              </w:rPr>
            </w:pPr>
          </w:p>
        </w:tc>
        <w:tc>
          <w:tcPr>
            <w:tcW w:w="2570" w:type="pct"/>
            <w:gridSpan w:val="2"/>
            <w:vAlign w:val="center"/>
          </w:tcPr>
          <w:p w14:paraId="44DBE914"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2. Katı gübre kompostu</w:t>
            </w:r>
          </w:p>
        </w:tc>
        <w:tc>
          <w:tcPr>
            <w:tcW w:w="2263" w:type="pct"/>
            <w:vAlign w:val="center"/>
          </w:tcPr>
          <w:p w14:paraId="438986CC"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MET 19.f'nin uygulanabilirliğine bakınız.</w:t>
            </w:r>
          </w:p>
        </w:tc>
      </w:tr>
      <w:tr w:rsidR="003B155E" w:rsidRPr="00FF45DE" w14:paraId="3BF1D926" w14:textId="77777777" w:rsidTr="000D79D6">
        <w:trPr>
          <w:trHeight w:val="282"/>
        </w:trPr>
        <w:tc>
          <w:tcPr>
            <w:tcW w:w="168" w:type="pct"/>
            <w:gridSpan w:val="2"/>
            <w:vMerge/>
            <w:tcBorders>
              <w:top w:val="nil"/>
            </w:tcBorders>
            <w:vAlign w:val="center"/>
          </w:tcPr>
          <w:p w14:paraId="73EF7A63" w14:textId="77777777" w:rsidR="003B155E" w:rsidRPr="00FF45DE" w:rsidRDefault="003B155E" w:rsidP="000D79D6">
            <w:pPr>
              <w:ind w:left="74" w:right="74"/>
              <w:rPr>
                <w:rFonts w:ascii="Times New Roman" w:eastAsia="Calibri" w:hAnsi="Times New Roman" w:cs="Times New Roman"/>
              </w:rPr>
            </w:pPr>
          </w:p>
        </w:tc>
        <w:tc>
          <w:tcPr>
            <w:tcW w:w="2570" w:type="pct"/>
            <w:gridSpan w:val="2"/>
            <w:vAlign w:val="center"/>
          </w:tcPr>
          <w:p w14:paraId="453721A6"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 xml:space="preserve">3. </w:t>
            </w:r>
            <w:r w:rsidR="00BA1FD0" w:rsidRPr="0096283A">
              <w:rPr>
                <w:rFonts w:ascii="Times New Roman" w:eastAsia="Times New Roman" w:hAnsi="Times New Roman" w:cs="Times New Roman"/>
                <w:lang w:val="tr"/>
              </w:rPr>
              <w:t>Biyomatanizasyon</w:t>
            </w:r>
          </w:p>
        </w:tc>
        <w:tc>
          <w:tcPr>
            <w:tcW w:w="2263" w:type="pct"/>
            <w:vAlign w:val="center"/>
          </w:tcPr>
          <w:p w14:paraId="6F12B68B"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rPr>
              <w:t>MET 19.b</w:t>
            </w:r>
            <w:r w:rsidRPr="0096283A">
              <w:rPr>
                <w:rFonts w:ascii="Times New Roman" w:eastAsia="Times New Roman" w:hAnsi="Times New Roman" w:cs="Times New Roman"/>
                <w:lang w:val="tr"/>
              </w:rPr>
              <w:t>'nin uygulanabilirliğine bakınız.</w:t>
            </w:r>
          </w:p>
        </w:tc>
      </w:tr>
      <w:tr w:rsidR="003B155E" w:rsidRPr="00FF45DE" w14:paraId="13BB376A" w14:textId="77777777" w:rsidTr="000D79D6">
        <w:trPr>
          <w:trHeight w:val="460"/>
        </w:trPr>
        <w:tc>
          <w:tcPr>
            <w:tcW w:w="168" w:type="pct"/>
            <w:gridSpan w:val="2"/>
            <w:vAlign w:val="center"/>
          </w:tcPr>
          <w:p w14:paraId="48245AF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g</w:t>
            </w:r>
          </w:p>
        </w:tc>
        <w:tc>
          <w:tcPr>
            <w:tcW w:w="2570" w:type="pct"/>
            <w:gridSpan w:val="2"/>
            <w:vAlign w:val="center"/>
          </w:tcPr>
          <w:p w14:paraId="35C1F571"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Gübre arazisine yaymak için aşağıdaki tekniklerden birinin veya birkaçını kullanılması:</w:t>
            </w:r>
          </w:p>
        </w:tc>
        <w:tc>
          <w:tcPr>
            <w:tcW w:w="2263" w:type="pct"/>
            <w:vAlign w:val="center"/>
          </w:tcPr>
          <w:p w14:paraId="6CF1CFBB" w14:textId="77777777" w:rsidR="003B155E" w:rsidRPr="0096283A" w:rsidRDefault="003B155E" w:rsidP="000D79D6">
            <w:pPr>
              <w:ind w:left="74" w:right="74"/>
              <w:rPr>
                <w:rFonts w:ascii="Times New Roman" w:eastAsia="Times New Roman" w:hAnsi="Times New Roman" w:cs="Times New Roman"/>
                <w:lang w:val="en-GB"/>
              </w:rPr>
            </w:pPr>
          </w:p>
        </w:tc>
      </w:tr>
      <w:tr w:rsidR="003B155E" w:rsidRPr="00FF45DE" w14:paraId="7597AFDB" w14:textId="77777777" w:rsidTr="000D79D6">
        <w:trPr>
          <w:trHeight w:val="460"/>
        </w:trPr>
        <w:tc>
          <w:tcPr>
            <w:tcW w:w="168" w:type="pct"/>
            <w:gridSpan w:val="2"/>
            <w:vMerge w:val="restart"/>
            <w:vAlign w:val="center"/>
          </w:tcPr>
          <w:p w14:paraId="1049A85D" w14:textId="77777777" w:rsidR="003B155E" w:rsidRPr="00FF45DE" w:rsidRDefault="003B155E" w:rsidP="000D79D6">
            <w:pPr>
              <w:ind w:left="74" w:right="74"/>
              <w:rPr>
                <w:rFonts w:ascii="Times New Roman" w:eastAsia="Times New Roman" w:hAnsi="Times New Roman" w:cs="Times New Roman"/>
                <w:lang w:val="en-GB"/>
              </w:rPr>
            </w:pPr>
          </w:p>
        </w:tc>
        <w:tc>
          <w:tcPr>
            <w:tcW w:w="2570" w:type="pct"/>
            <w:gridSpan w:val="2"/>
            <w:vAlign w:val="center"/>
          </w:tcPr>
          <w:p w14:paraId="74CCBCDE"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lang w:val="tr"/>
              </w:rPr>
              <w:t>1. Sulu gübreli arazi yayılımı için bantlı serpme makinesi, sığ enjektör veya derin enjektör</w:t>
            </w:r>
          </w:p>
        </w:tc>
        <w:tc>
          <w:tcPr>
            <w:tcW w:w="2263" w:type="pct"/>
            <w:vAlign w:val="center"/>
          </w:tcPr>
          <w:p w14:paraId="6D767C9E" w14:textId="77777777" w:rsidR="003B155E" w:rsidRPr="0096283A" w:rsidRDefault="003B155E" w:rsidP="000D79D6">
            <w:pPr>
              <w:ind w:left="74" w:right="74"/>
              <w:rPr>
                <w:rFonts w:ascii="Times New Roman" w:eastAsia="Times New Roman" w:hAnsi="Times New Roman" w:cs="Times New Roman"/>
                <w:lang w:val="nl-NL"/>
              </w:rPr>
            </w:pPr>
            <w:r w:rsidRPr="0096283A">
              <w:rPr>
                <w:rFonts w:ascii="Times New Roman" w:eastAsia="Times New Roman" w:hAnsi="Times New Roman" w:cs="Times New Roman"/>
              </w:rPr>
              <w:t>MET 21.b</w:t>
            </w:r>
            <w:r w:rsidRPr="0096283A">
              <w:rPr>
                <w:rFonts w:ascii="Times New Roman" w:eastAsia="Times New Roman" w:hAnsi="Times New Roman" w:cs="Times New Roman"/>
                <w:lang w:val="tr"/>
              </w:rPr>
              <w:t xml:space="preserve">, MET 21.c veya </w:t>
            </w:r>
            <w:r w:rsidRPr="0096283A">
              <w:rPr>
                <w:rFonts w:ascii="Times New Roman" w:eastAsia="Times New Roman" w:hAnsi="Times New Roman" w:cs="Times New Roman"/>
              </w:rPr>
              <w:t>MET 21.d</w:t>
            </w:r>
            <w:r w:rsidRPr="0096283A">
              <w:rPr>
                <w:rFonts w:ascii="Times New Roman" w:eastAsia="Times New Roman" w:hAnsi="Times New Roman" w:cs="Times New Roman"/>
                <w:lang w:val="tr"/>
              </w:rPr>
              <w:t>'nin uygulanabilirliğine bakınız.</w:t>
            </w:r>
          </w:p>
        </w:tc>
      </w:tr>
      <w:tr w:rsidR="003B155E" w:rsidRPr="00FF45DE" w14:paraId="3105278D" w14:textId="77777777" w:rsidTr="000D79D6">
        <w:trPr>
          <w:trHeight w:val="282"/>
        </w:trPr>
        <w:tc>
          <w:tcPr>
            <w:tcW w:w="168" w:type="pct"/>
            <w:gridSpan w:val="2"/>
            <w:vMerge/>
            <w:tcBorders>
              <w:top w:val="nil"/>
            </w:tcBorders>
            <w:vAlign w:val="center"/>
          </w:tcPr>
          <w:p w14:paraId="57426B81" w14:textId="77777777" w:rsidR="003B155E" w:rsidRPr="00FF45DE" w:rsidRDefault="003B155E" w:rsidP="000D79D6">
            <w:pPr>
              <w:ind w:left="74" w:right="74"/>
              <w:rPr>
                <w:rFonts w:ascii="Times New Roman" w:eastAsia="Calibri" w:hAnsi="Times New Roman" w:cs="Times New Roman"/>
                <w:lang w:val="nl-NL"/>
              </w:rPr>
            </w:pPr>
          </w:p>
        </w:tc>
        <w:tc>
          <w:tcPr>
            <w:tcW w:w="2570" w:type="pct"/>
            <w:gridSpan w:val="2"/>
            <w:vAlign w:val="center"/>
          </w:tcPr>
          <w:p w14:paraId="2A2312F3" w14:textId="77777777" w:rsidR="003B155E" w:rsidRPr="0096283A" w:rsidRDefault="003B155E" w:rsidP="000D79D6">
            <w:pPr>
              <w:ind w:left="74" w:right="74"/>
              <w:rPr>
                <w:rFonts w:ascii="Times New Roman" w:eastAsia="Times New Roman" w:hAnsi="Times New Roman" w:cs="Times New Roman"/>
                <w:lang w:val="nl-NL"/>
              </w:rPr>
            </w:pPr>
            <w:r w:rsidRPr="0096283A">
              <w:rPr>
                <w:rFonts w:ascii="Times New Roman" w:eastAsia="Times New Roman" w:hAnsi="Times New Roman" w:cs="Times New Roman"/>
                <w:lang w:val="tr"/>
              </w:rPr>
              <w:t>2. Gübrenin mümkün olan en kısa sürede karıştırılması</w:t>
            </w:r>
          </w:p>
        </w:tc>
        <w:tc>
          <w:tcPr>
            <w:tcW w:w="2263" w:type="pct"/>
            <w:vAlign w:val="center"/>
          </w:tcPr>
          <w:p w14:paraId="1E9ABB03" w14:textId="77777777" w:rsidR="003B155E" w:rsidRPr="0096283A" w:rsidRDefault="003B155E" w:rsidP="000D79D6">
            <w:pPr>
              <w:ind w:left="74" w:right="74"/>
              <w:rPr>
                <w:rFonts w:ascii="Times New Roman" w:eastAsia="Times New Roman" w:hAnsi="Times New Roman" w:cs="Times New Roman"/>
                <w:lang w:val="en-GB"/>
              </w:rPr>
            </w:pPr>
            <w:r w:rsidRPr="0096283A">
              <w:rPr>
                <w:rFonts w:ascii="Times New Roman" w:eastAsia="Times New Roman" w:hAnsi="Times New Roman" w:cs="Times New Roman"/>
              </w:rPr>
              <w:t>MET 22</w:t>
            </w:r>
            <w:r w:rsidRPr="0096283A">
              <w:rPr>
                <w:rFonts w:ascii="Times New Roman" w:eastAsia="Times New Roman" w:hAnsi="Times New Roman" w:cs="Times New Roman"/>
                <w:lang w:val="tr"/>
              </w:rPr>
              <w:t>'nin uygulanabilirliğine bakınız.</w:t>
            </w:r>
          </w:p>
        </w:tc>
      </w:tr>
    </w:tbl>
    <w:p w14:paraId="2DCB0E50"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28" w:name="_Toc136614309"/>
      <w:r w:rsidRPr="00FF45DE">
        <w:rPr>
          <w:rFonts w:ascii="Times New Roman" w:eastAsia="DengXian Light" w:hAnsi="Times New Roman" w:cs="Microsoft Uighur"/>
          <w:b/>
          <w:kern w:val="0"/>
          <w:sz w:val="24"/>
          <w:szCs w:val="26"/>
          <w:lang w:val="en-US"/>
          <w14:ligatures w14:val="none"/>
        </w:rPr>
        <w:t>Katı Gübrenin Depolanmasından Kaynaklanan Emisyonlar</w:t>
      </w:r>
      <w:bookmarkEnd w:id="28"/>
    </w:p>
    <w:p w14:paraId="61F0CE7B"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en-US"/>
          <w14:ligatures w14:val="none"/>
        </w:rPr>
      </w:pPr>
      <w:r w:rsidRPr="00FF45DE">
        <w:rPr>
          <w:rFonts w:ascii="Times New Roman" w:eastAsia="Calibri" w:hAnsi="Times New Roman" w:cs="Calibri"/>
          <w:b/>
          <w:bCs/>
          <w:kern w:val="0"/>
          <w:sz w:val="24"/>
          <w:lang w:val="en-US"/>
          <w14:ligatures w14:val="none"/>
        </w:rPr>
        <w:t xml:space="preserve">MET 14: </w:t>
      </w:r>
      <w:r w:rsidRPr="00FF45DE">
        <w:rPr>
          <w:rFonts w:ascii="Times New Roman" w:eastAsia="Calibri" w:hAnsi="Times New Roman" w:cs="Calibri"/>
          <w:bCs/>
          <w:kern w:val="0"/>
          <w:sz w:val="24"/>
          <w:lang w:val="en-US"/>
          <w14:ligatures w14:val="none"/>
        </w:rPr>
        <w:t>Katı gübrenin depolanmasından havaya amonyak emisyonlarını azaltmak için aşağıda verilen tekniklerden biri veya bir kombinasyonu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4111"/>
        <w:gridCol w:w="4491"/>
      </w:tblGrid>
      <w:tr w:rsidR="003B155E" w:rsidRPr="00FF45DE" w14:paraId="3AA3F86C" w14:textId="77777777" w:rsidTr="000D79D6">
        <w:trPr>
          <w:trHeight w:val="340"/>
        </w:trPr>
        <w:tc>
          <w:tcPr>
            <w:tcW w:w="254" w:type="pct"/>
          </w:tcPr>
          <w:p w14:paraId="6E2E2018" w14:textId="77777777" w:rsidR="003B155E" w:rsidRPr="00FF45DE" w:rsidRDefault="003B155E" w:rsidP="000D79D6">
            <w:pPr>
              <w:ind w:left="74" w:right="74"/>
              <w:rPr>
                <w:rFonts w:ascii="Times New Roman" w:eastAsia="Times New Roman" w:hAnsi="Times New Roman" w:cs="Times New Roman"/>
                <w:lang w:val="en-GB"/>
              </w:rPr>
            </w:pPr>
          </w:p>
        </w:tc>
        <w:tc>
          <w:tcPr>
            <w:tcW w:w="2268" w:type="pct"/>
          </w:tcPr>
          <w:p w14:paraId="7A9229A2"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478" w:type="pct"/>
          </w:tcPr>
          <w:p w14:paraId="545421DD"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4F74520F" w14:textId="77777777" w:rsidTr="000D79D6">
        <w:trPr>
          <w:trHeight w:val="688"/>
        </w:trPr>
        <w:tc>
          <w:tcPr>
            <w:tcW w:w="254" w:type="pct"/>
            <w:vAlign w:val="center"/>
          </w:tcPr>
          <w:p w14:paraId="3F7E189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268" w:type="pct"/>
            <w:vAlign w:val="center"/>
          </w:tcPr>
          <w:p w14:paraId="6382D63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Salınım yüzey alanı ve katı gübre yığınının hacmi arasındaki oranın azaltılması</w:t>
            </w:r>
          </w:p>
        </w:tc>
        <w:tc>
          <w:tcPr>
            <w:tcW w:w="2478" w:type="pct"/>
            <w:vAlign w:val="center"/>
          </w:tcPr>
          <w:p w14:paraId="2D5FCE2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E126CA7" w14:textId="77777777" w:rsidTr="000D79D6">
        <w:trPr>
          <w:trHeight w:val="921"/>
        </w:trPr>
        <w:tc>
          <w:tcPr>
            <w:tcW w:w="254" w:type="pct"/>
            <w:vAlign w:val="center"/>
          </w:tcPr>
          <w:p w14:paraId="3C7CE38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268" w:type="pct"/>
            <w:vAlign w:val="center"/>
          </w:tcPr>
          <w:p w14:paraId="1E30FF2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Katı gübre yığınlarının örtülmesi</w:t>
            </w:r>
          </w:p>
        </w:tc>
        <w:tc>
          <w:tcPr>
            <w:tcW w:w="2478" w:type="pct"/>
            <w:vAlign w:val="center"/>
          </w:tcPr>
          <w:p w14:paraId="58B9E1A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Genellikle hayvan barınağında katı gübre kurutulurken veya kurutulduktan sonra uygulanabilir. Yığına sık sık ilave yapılması durumunda kurutulmamış katı gübreye uygulanmayabilir.</w:t>
            </w:r>
          </w:p>
        </w:tc>
      </w:tr>
      <w:tr w:rsidR="003B155E" w:rsidRPr="00FF45DE" w14:paraId="170E8308" w14:textId="77777777" w:rsidTr="000D79D6">
        <w:trPr>
          <w:trHeight w:val="340"/>
        </w:trPr>
        <w:tc>
          <w:tcPr>
            <w:tcW w:w="254" w:type="pct"/>
            <w:vAlign w:val="center"/>
          </w:tcPr>
          <w:p w14:paraId="53DF2A3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268" w:type="pct"/>
            <w:vAlign w:val="center"/>
          </w:tcPr>
          <w:p w14:paraId="3363816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Kurutulmuş katı gübrenin bir ahırda saklanması</w:t>
            </w:r>
          </w:p>
        </w:tc>
        <w:tc>
          <w:tcPr>
            <w:tcW w:w="2478" w:type="pct"/>
            <w:vAlign w:val="center"/>
          </w:tcPr>
          <w:p w14:paraId="0B675AA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22C577C4" w14:textId="77777777" w:rsidR="003B155E" w:rsidRPr="00EE5089" w:rsidRDefault="003B155E" w:rsidP="003B155E">
      <w:pPr>
        <w:spacing w:before="240" w:after="0" w:line="360" w:lineRule="auto"/>
        <w:jc w:val="both"/>
        <w:rPr>
          <w:rFonts w:ascii="Times New Roman" w:eastAsia="Calibri" w:hAnsi="Times New Roman" w:cs="Calibri"/>
          <w:b/>
          <w:bCs/>
          <w:kern w:val="0"/>
          <w:sz w:val="24"/>
          <w14:ligatures w14:val="none"/>
        </w:rPr>
      </w:pPr>
      <w:r w:rsidRPr="00EE5089">
        <w:rPr>
          <w:rFonts w:ascii="Times New Roman" w:eastAsia="Calibri" w:hAnsi="Times New Roman" w:cs="Calibri"/>
          <w:b/>
          <w:bCs/>
          <w:kern w:val="0"/>
          <w:sz w:val="24"/>
          <w14:ligatures w14:val="none"/>
        </w:rPr>
        <w:t xml:space="preserve">MET 15: </w:t>
      </w:r>
      <w:r w:rsidRPr="00EE5089">
        <w:rPr>
          <w:rFonts w:ascii="Times New Roman" w:eastAsia="Calibri" w:hAnsi="Times New Roman" w:cs="Calibri"/>
          <w:bCs/>
          <w:kern w:val="0"/>
          <w:sz w:val="24"/>
          <w14:ligatures w14:val="none"/>
        </w:rPr>
        <w:t>Katı gübrenin depolanmasından kaynaklanan toprağa ve suya emisyonları önlemek veya bunun mümkün olmadığı durumlarda emisyonları azaltmak için aşağıdaki öncelik sırasına göre aşağıda verilen tekniklerin bir kombinasyonu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4524"/>
        <w:gridCol w:w="4078"/>
      </w:tblGrid>
      <w:tr w:rsidR="003B155E" w:rsidRPr="00FF45DE" w14:paraId="15230109" w14:textId="77777777" w:rsidTr="000D79D6">
        <w:trPr>
          <w:trHeight w:val="230"/>
        </w:trPr>
        <w:tc>
          <w:tcPr>
            <w:tcW w:w="254" w:type="pct"/>
          </w:tcPr>
          <w:p w14:paraId="0C9053FA" w14:textId="77777777" w:rsidR="003B155E" w:rsidRPr="00EE5089" w:rsidRDefault="003B155E" w:rsidP="000D79D6">
            <w:pPr>
              <w:ind w:left="74" w:right="74"/>
              <w:rPr>
                <w:rFonts w:ascii="Times New Roman" w:eastAsia="Times New Roman" w:hAnsi="Times New Roman" w:cs="Times New Roman"/>
                <w:lang w:val="tr-TR"/>
              </w:rPr>
            </w:pPr>
          </w:p>
        </w:tc>
        <w:tc>
          <w:tcPr>
            <w:tcW w:w="2496" w:type="pct"/>
          </w:tcPr>
          <w:p w14:paraId="17F2530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2250" w:type="pct"/>
          </w:tcPr>
          <w:p w14:paraId="4667BF4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3FE9BBF6" w14:textId="77777777" w:rsidTr="000D79D6">
        <w:trPr>
          <w:trHeight w:val="230"/>
        </w:trPr>
        <w:tc>
          <w:tcPr>
            <w:tcW w:w="254" w:type="pct"/>
            <w:vAlign w:val="center"/>
          </w:tcPr>
          <w:p w14:paraId="7AEB66B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496" w:type="pct"/>
            <w:vAlign w:val="center"/>
          </w:tcPr>
          <w:p w14:paraId="33D19B3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Kurutulmuş katı gübrenin bir ahırda saklanması</w:t>
            </w:r>
          </w:p>
        </w:tc>
        <w:tc>
          <w:tcPr>
            <w:tcW w:w="2250" w:type="pct"/>
            <w:vAlign w:val="center"/>
          </w:tcPr>
          <w:p w14:paraId="0B3D0B5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1BB4BF6" w14:textId="77777777" w:rsidTr="000D79D6">
        <w:trPr>
          <w:trHeight w:val="230"/>
        </w:trPr>
        <w:tc>
          <w:tcPr>
            <w:tcW w:w="254" w:type="pct"/>
            <w:vAlign w:val="center"/>
          </w:tcPr>
          <w:p w14:paraId="04DCA9A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496" w:type="pct"/>
            <w:vAlign w:val="center"/>
          </w:tcPr>
          <w:p w14:paraId="20654AFB"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Katı gübrenin depolanması için beton silo kullanılması</w:t>
            </w:r>
          </w:p>
        </w:tc>
        <w:tc>
          <w:tcPr>
            <w:tcW w:w="2250" w:type="pct"/>
            <w:vAlign w:val="center"/>
          </w:tcPr>
          <w:p w14:paraId="68FA347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BA53D37" w14:textId="77777777" w:rsidTr="000D79D6">
        <w:trPr>
          <w:trHeight w:val="688"/>
        </w:trPr>
        <w:tc>
          <w:tcPr>
            <w:tcW w:w="254" w:type="pct"/>
            <w:vAlign w:val="center"/>
          </w:tcPr>
          <w:p w14:paraId="695E05F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c</w:t>
            </w:r>
          </w:p>
        </w:tc>
        <w:tc>
          <w:tcPr>
            <w:tcW w:w="2496" w:type="pct"/>
            <w:vAlign w:val="center"/>
          </w:tcPr>
          <w:p w14:paraId="5716C5C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Katı gübrenin, bir drenaj sistemi ve akış için bir toplama tankı ile donatılmış sağlam, geçirimsiz zemin üzerinde depolanması</w:t>
            </w:r>
          </w:p>
        </w:tc>
        <w:tc>
          <w:tcPr>
            <w:tcW w:w="2250" w:type="pct"/>
            <w:vAlign w:val="center"/>
          </w:tcPr>
          <w:p w14:paraId="1FADDA8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1641FE80" w14:textId="77777777" w:rsidTr="000D79D6">
        <w:trPr>
          <w:trHeight w:val="690"/>
        </w:trPr>
        <w:tc>
          <w:tcPr>
            <w:tcW w:w="254" w:type="pct"/>
            <w:vAlign w:val="center"/>
          </w:tcPr>
          <w:p w14:paraId="3D2A4E7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496" w:type="pct"/>
            <w:vAlign w:val="center"/>
          </w:tcPr>
          <w:p w14:paraId="1B10B28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Serpmenin mümkün olmadığı dönemlerde katı gübreyi tutacak kapasitede bir depolama tesisinin seçilmesi</w:t>
            </w:r>
          </w:p>
        </w:tc>
        <w:tc>
          <w:tcPr>
            <w:tcW w:w="2250" w:type="pct"/>
            <w:vAlign w:val="center"/>
          </w:tcPr>
          <w:p w14:paraId="6A9CA3B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4BA4DCA9" w14:textId="77777777" w:rsidTr="000D79D6">
        <w:trPr>
          <w:trHeight w:val="691"/>
        </w:trPr>
        <w:tc>
          <w:tcPr>
            <w:tcW w:w="254" w:type="pct"/>
            <w:vAlign w:val="center"/>
          </w:tcPr>
          <w:p w14:paraId="7CCD258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2496" w:type="pct"/>
            <w:vAlign w:val="center"/>
          </w:tcPr>
          <w:p w14:paraId="652497C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Katı gübrenin, sıvı akışın girebileceği yüzey ve/veya yer altı su yollarından uzağa yerleştirilmiş tarla yığını olarak depolanması</w:t>
            </w:r>
          </w:p>
        </w:tc>
        <w:tc>
          <w:tcPr>
            <w:tcW w:w="2250" w:type="pct"/>
            <w:vAlign w:val="center"/>
          </w:tcPr>
          <w:p w14:paraId="47DEDBD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her yıl yer değiştiren geçici tarla yığınları için geçerlidir.</w:t>
            </w:r>
          </w:p>
        </w:tc>
      </w:tr>
    </w:tbl>
    <w:p w14:paraId="0EB22E84"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29" w:name="_Toc136614310"/>
      <w:r w:rsidRPr="00EE5089">
        <w:rPr>
          <w:rFonts w:ascii="Times New Roman" w:eastAsia="DengXian Light" w:hAnsi="Times New Roman" w:cs="Microsoft Uighur"/>
          <w:b/>
          <w:kern w:val="0"/>
          <w:sz w:val="24"/>
          <w:szCs w:val="26"/>
          <w14:ligatures w14:val="none"/>
        </w:rPr>
        <w:t>Sulu Gübre Depolamadan Kaynaklanan Emisyonlar</w:t>
      </w:r>
      <w:bookmarkEnd w:id="29"/>
    </w:p>
    <w:p w14:paraId="64AF3FBD"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16: </w:t>
      </w:r>
      <w:r w:rsidRPr="00EE5089">
        <w:rPr>
          <w:rFonts w:ascii="Times New Roman" w:eastAsia="Calibri" w:hAnsi="Times New Roman" w:cs="Calibri"/>
          <w:bCs/>
          <w:kern w:val="0"/>
          <w:sz w:val="24"/>
          <w14:ligatures w14:val="none"/>
        </w:rPr>
        <w:t>Sulu gübre deposundan havaya amonyak emisyonlarını azaltmak için aşağıda verilen tekniklerin bir kombinasyonu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4111"/>
        <w:gridCol w:w="4491"/>
      </w:tblGrid>
      <w:tr w:rsidR="003B155E" w:rsidRPr="00FF45DE" w14:paraId="76FF9AFA" w14:textId="77777777" w:rsidTr="000D79D6">
        <w:trPr>
          <w:trHeight w:val="230"/>
          <w:tblHeader/>
        </w:trPr>
        <w:tc>
          <w:tcPr>
            <w:tcW w:w="254" w:type="pct"/>
          </w:tcPr>
          <w:p w14:paraId="322D21EF" w14:textId="77777777" w:rsidR="003B155E" w:rsidRPr="00EE5089" w:rsidRDefault="003B155E" w:rsidP="000D79D6">
            <w:pPr>
              <w:ind w:left="72" w:right="72"/>
              <w:rPr>
                <w:rFonts w:ascii="Times New Roman" w:eastAsia="Times New Roman" w:hAnsi="Times New Roman" w:cs="Times New Roman"/>
                <w:lang w:val="tr-TR"/>
              </w:rPr>
            </w:pPr>
          </w:p>
        </w:tc>
        <w:tc>
          <w:tcPr>
            <w:tcW w:w="2268" w:type="pct"/>
          </w:tcPr>
          <w:p w14:paraId="087B935D"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478" w:type="pct"/>
          </w:tcPr>
          <w:p w14:paraId="07D0F97B" w14:textId="77777777" w:rsidR="003B155E" w:rsidRPr="00FF45DE" w:rsidRDefault="003B155E" w:rsidP="000D79D6">
            <w:pPr>
              <w:ind w:left="74" w:right="74" w:firstLine="141"/>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5186A665" w14:textId="77777777" w:rsidTr="000D79D6">
        <w:trPr>
          <w:trHeight w:val="690"/>
        </w:trPr>
        <w:tc>
          <w:tcPr>
            <w:tcW w:w="254" w:type="pct"/>
            <w:vAlign w:val="center"/>
          </w:tcPr>
          <w:p w14:paraId="46E96AF8" w14:textId="77777777" w:rsidR="003B155E" w:rsidRPr="00FF45DE" w:rsidRDefault="003B155E" w:rsidP="000D79D6">
            <w:pPr>
              <w:ind w:left="72" w:right="72"/>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268" w:type="pct"/>
            <w:vAlign w:val="center"/>
          </w:tcPr>
          <w:p w14:paraId="03B9999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 tekniklerin bir kombinasyonu kullanılarak sulu gübre deposunun</w:t>
            </w:r>
          </w:p>
          <w:p w14:paraId="0245119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uygun tasarımı ve yönetimi:</w:t>
            </w:r>
          </w:p>
        </w:tc>
        <w:tc>
          <w:tcPr>
            <w:tcW w:w="2478" w:type="pct"/>
            <w:vAlign w:val="center"/>
          </w:tcPr>
          <w:p w14:paraId="2EC187E2"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31C61D0C" w14:textId="77777777" w:rsidTr="000D79D6">
        <w:trPr>
          <w:trHeight w:val="919"/>
        </w:trPr>
        <w:tc>
          <w:tcPr>
            <w:tcW w:w="254" w:type="pct"/>
            <w:vMerge w:val="restart"/>
            <w:vAlign w:val="center"/>
          </w:tcPr>
          <w:p w14:paraId="35AA5180" w14:textId="77777777" w:rsidR="003B155E" w:rsidRPr="00FF45DE" w:rsidRDefault="003B155E" w:rsidP="000D79D6">
            <w:pPr>
              <w:ind w:left="72" w:right="72"/>
              <w:rPr>
                <w:rFonts w:ascii="Times New Roman" w:eastAsia="Times New Roman" w:hAnsi="Times New Roman" w:cs="Times New Roman"/>
                <w:lang w:val="en-GB"/>
              </w:rPr>
            </w:pPr>
          </w:p>
        </w:tc>
        <w:tc>
          <w:tcPr>
            <w:tcW w:w="2268" w:type="pct"/>
            <w:vAlign w:val="center"/>
          </w:tcPr>
          <w:p w14:paraId="6205690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1. Yüzey alanı ile sulu gübre deposunun hacmi arasındaki oranı azaltılması</w:t>
            </w:r>
          </w:p>
        </w:tc>
        <w:tc>
          <w:tcPr>
            <w:tcW w:w="2478" w:type="pct"/>
            <w:vAlign w:val="center"/>
          </w:tcPr>
          <w:p w14:paraId="049BF17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mevcut depolar için geçerli olmayabilir.</w:t>
            </w:r>
          </w:p>
          <w:p w14:paraId="6D8C131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Artan maliyetler ve güvenlik riskleri nedeniyle aşırı yüksek sulu gübre depoları uygulanamayabilir.</w:t>
            </w:r>
          </w:p>
        </w:tc>
      </w:tr>
      <w:tr w:rsidR="003B155E" w:rsidRPr="00FF45DE" w14:paraId="180DDF28" w14:textId="77777777" w:rsidTr="000D79D6">
        <w:trPr>
          <w:trHeight w:val="689"/>
        </w:trPr>
        <w:tc>
          <w:tcPr>
            <w:tcW w:w="254" w:type="pct"/>
            <w:vMerge/>
            <w:tcBorders>
              <w:top w:val="nil"/>
            </w:tcBorders>
            <w:vAlign w:val="center"/>
          </w:tcPr>
          <w:p w14:paraId="18552336" w14:textId="77777777" w:rsidR="003B155E" w:rsidRPr="00FF45DE" w:rsidRDefault="003B155E" w:rsidP="000D79D6">
            <w:pPr>
              <w:ind w:left="72" w:right="72"/>
              <w:rPr>
                <w:rFonts w:ascii="Times New Roman" w:eastAsia="Calibri" w:hAnsi="Times New Roman" w:cs="Times New Roman"/>
              </w:rPr>
            </w:pPr>
          </w:p>
        </w:tc>
        <w:tc>
          <w:tcPr>
            <w:tcW w:w="2268" w:type="pct"/>
            <w:vAlign w:val="center"/>
          </w:tcPr>
          <w:p w14:paraId="15349DE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2. Depoyu daha düşük bir dolum seviyesinde çalıştırarak sulu gübre yüzeyindeki rüzgar hızının ve hava değişiminin azaltılması</w:t>
            </w:r>
          </w:p>
        </w:tc>
        <w:tc>
          <w:tcPr>
            <w:tcW w:w="2478" w:type="pct"/>
            <w:vAlign w:val="center"/>
          </w:tcPr>
          <w:p w14:paraId="1E9A146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mevcut depolar için geçerli olmayabilir.</w:t>
            </w:r>
          </w:p>
        </w:tc>
      </w:tr>
      <w:tr w:rsidR="003B155E" w:rsidRPr="00FF45DE" w14:paraId="7D31B5E4" w14:textId="77777777" w:rsidTr="000D79D6">
        <w:trPr>
          <w:trHeight w:val="282"/>
        </w:trPr>
        <w:tc>
          <w:tcPr>
            <w:tcW w:w="254" w:type="pct"/>
            <w:vMerge/>
            <w:tcBorders>
              <w:top w:val="nil"/>
            </w:tcBorders>
            <w:vAlign w:val="center"/>
          </w:tcPr>
          <w:p w14:paraId="6736C14B" w14:textId="77777777" w:rsidR="003B155E" w:rsidRPr="00FF45DE" w:rsidRDefault="003B155E" w:rsidP="000D79D6">
            <w:pPr>
              <w:ind w:left="72" w:right="72"/>
              <w:rPr>
                <w:rFonts w:ascii="Times New Roman" w:eastAsia="Calibri" w:hAnsi="Times New Roman" w:cs="Times New Roman"/>
              </w:rPr>
            </w:pPr>
          </w:p>
        </w:tc>
        <w:tc>
          <w:tcPr>
            <w:tcW w:w="2268" w:type="pct"/>
            <w:vAlign w:val="center"/>
          </w:tcPr>
          <w:p w14:paraId="3AA24A31"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3. Sulu gübrenin karışmasının en aza indirilmesi</w:t>
            </w:r>
          </w:p>
        </w:tc>
        <w:tc>
          <w:tcPr>
            <w:tcW w:w="2478" w:type="pct"/>
            <w:vAlign w:val="center"/>
          </w:tcPr>
          <w:p w14:paraId="7F04FB8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0A9CB5BA" w14:textId="77777777" w:rsidTr="000D79D6">
        <w:trPr>
          <w:trHeight w:val="460"/>
        </w:trPr>
        <w:tc>
          <w:tcPr>
            <w:tcW w:w="254" w:type="pct"/>
            <w:vAlign w:val="center"/>
          </w:tcPr>
          <w:p w14:paraId="771BDBD8" w14:textId="77777777" w:rsidR="003B155E" w:rsidRPr="00FF45DE" w:rsidRDefault="003B155E" w:rsidP="000D79D6">
            <w:pPr>
              <w:ind w:left="72" w:right="72"/>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268" w:type="pct"/>
            <w:vAlign w:val="center"/>
          </w:tcPr>
          <w:p w14:paraId="02CDDC9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deposunu örtülmesi. Bu amaçla aşağıdaki tekniklerden biri kullanılabilir:</w:t>
            </w:r>
          </w:p>
        </w:tc>
        <w:tc>
          <w:tcPr>
            <w:tcW w:w="2478" w:type="pct"/>
            <w:vAlign w:val="center"/>
          </w:tcPr>
          <w:p w14:paraId="2E944EB8"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6BD64BFB" w14:textId="77777777" w:rsidTr="000D79D6">
        <w:trPr>
          <w:trHeight w:val="690"/>
        </w:trPr>
        <w:tc>
          <w:tcPr>
            <w:tcW w:w="254" w:type="pct"/>
            <w:vMerge w:val="restart"/>
            <w:vAlign w:val="center"/>
          </w:tcPr>
          <w:p w14:paraId="38F452A0" w14:textId="77777777" w:rsidR="003B155E" w:rsidRPr="00FF45DE" w:rsidRDefault="003B155E" w:rsidP="000D79D6">
            <w:pPr>
              <w:ind w:left="72" w:right="72"/>
              <w:rPr>
                <w:rFonts w:ascii="Times New Roman" w:eastAsia="Times New Roman" w:hAnsi="Times New Roman" w:cs="Times New Roman"/>
                <w:lang w:val="en-GB"/>
              </w:rPr>
            </w:pPr>
          </w:p>
        </w:tc>
        <w:tc>
          <w:tcPr>
            <w:tcW w:w="2268" w:type="pct"/>
            <w:vAlign w:val="center"/>
          </w:tcPr>
          <w:p w14:paraId="1012847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1. Sabit örtü</w:t>
            </w:r>
          </w:p>
        </w:tc>
        <w:tc>
          <w:tcPr>
            <w:tcW w:w="2478" w:type="pct"/>
            <w:vAlign w:val="center"/>
          </w:tcPr>
          <w:p w14:paraId="31718A6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Ekonomik endişeler ve ekstra yüke dayanma konusundaki yapısal kısıtlar nedeniyle mevcut tesislere uygulanamayabilir.</w:t>
            </w:r>
          </w:p>
        </w:tc>
      </w:tr>
      <w:tr w:rsidR="003B155E" w:rsidRPr="00FF45DE" w14:paraId="4BC0F0DA" w14:textId="77777777" w:rsidTr="000D79D6">
        <w:trPr>
          <w:trHeight w:val="689"/>
        </w:trPr>
        <w:tc>
          <w:tcPr>
            <w:tcW w:w="254" w:type="pct"/>
            <w:vMerge/>
            <w:tcBorders>
              <w:top w:val="nil"/>
            </w:tcBorders>
            <w:vAlign w:val="center"/>
          </w:tcPr>
          <w:p w14:paraId="172DC47D" w14:textId="77777777" w:rsidR="003B155E" w:rsidRPr="00FF45DE" w:rsidRDefault="003B155E" w:rsidP="000D79D6">
            <w:pPr>
              <w:ind w:left="72" w:right="72"/>
              <w:rPr>
                <w:rFonts w:ascii="Times New Roman" w:eastAsia="Calibri" w:hAnsi="Times New Roman" w:cs="Times New Roman"/>
              </w:rPr>
            </w:pPr>
          </w:p>
        </w:tc>
        <w:tc>
          <w:tcPr>
            <w:tcW w:w="2268" w:type="pct"/>
            <w:vAlign w:val="center"/>
          </w:tcPr>
          <w:p w14:paraId="51D79CE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2. Esnek örtü</w:t>
            </w:r>
          </w:p>
        </w:tc>
        <w:tc>
          <w:tcPr>
            <w:tcW w:w="2478" w:type="pct"/>
            <w:vAlign w:val="center"/>
          </w:tcPr>
          <w:p w14:paraId="57AABA7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Esnek örtüler, hakim hava koşullarının yapılarını tehlikeye atabileceği alanlar için uygulanabilir değildir.</w:t>
            </w:r>
          </w:p>
        </w:tc>
      </w:tr>
      <w:tr w:rsidR="003B155E" w:rsidRPr="00FF45DE" w14:paraId="217A0485" w14:textId="77777777" w:rsidTr="000D79D6">
        <w:trPr>
          <w:trHeight w:val="265"/>
        </w:trPr>
        <w:tc>
          <w:tcPr>
            <w:tcW w:w="254" w:type="pct"/>
            <w:vAlign w:val="center"/>
          </w:tcPr>
          <w:p w14:paraId="43E4B1D0" w14:textId="77777777" w:rsidR="003B155E" w:rsidRPr="00FF45DE" w:rsidRDefault="003B155E" w:rsidP="000D79D6">
            <w:pPr>
              <w:ind w:left="72" w:right="72"/>
              <w:rPr>
                <w:rFonts w:ascii="Times New Roman" w:eastAsia="Times New Roman" w:hAnsi="Times New Roman" w:cs="Times New Roman"/>
                <w:lang w:val="en-GB"/>
              </w:rPr>
            </w:pPr>
          </w:p>
        </w:tc>
        <w:tc>
          <w:tcPr>
            <w:tcW w:w="2268" w:type="pct"/>
            <w:vAlign w:val="center"/>
          </w:tcPr>
          <w:p w14:paraId="37865181" w14:textId="77777777" w:rsidR="003B155E" w:rsidRPr="00FF45DE" w:rsidRDefault="003B155E" w:rsidP="003B155E">
            <w:pPr>
              <w:numPr>
                <w:ilvl w:val="0"/>
                <w:numId w:val="168"/>
              </w:numPr>
              <w:tabs>
                <w:tab w:val="left" w:pos="550"/>
              </w:tabs>
              <w:ind w:left="74" w:right="74" w:hanging="330"/>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Aşağıdakiler gibi sabit olmayan örtüler:</w:t>
            </w:r>
          </w:p>
          <w:p w14:paraId="36F18CA5"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plastik peletler</w:t>
            </w:r>
          </w:p>
          <w:p w14:paraId="6BAD540E"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hafif malzemeler</w:t>
            </w:r>
          </w:p>
          <w:p w14:paraId="737E8D2D"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sabit olmayan esnek örtüler</w:t>
            </w:r>
          </w:p>
          <w:p w14:paraId="58FAED5C"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geometrik plastik karolar</w:t>
            </w:r>
          </w:p>
          <w:p w14:paraId="2D70BF8F"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 ile şişirilmiş örtüler</w:t>
            </w:r>
          </w:p>
          <w:p w14:paraId="5971A252"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doğal kabuk</w:t>
            </w:r>
          </w:p>
          <w:p w14:paraId="776D07AA" w14:textId="77777777" w:rsidR="003B155E" w:rsidRPr="00FF45DE" w:rsidRDefault="003B155E" w:rsidP="003B155E">
            <w:pPr>
              <w:numPr>
                <w:ilvl w:val="0"/>
                <w:numId w:val="165"/>
              </w:numPr>
              <w:tabs>
                <w:tab w:val="left" w:pos="902"/>
                <w:tab w:val="left" w:pos="903"/>
              </w:tabs>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saman</w:t>
            </w:r>
          </w:p>
        </w:tc>
        <w:tc>
          <w:tcPr>
            <w:tcW w:w="2478" w:type="pct"/>
            <w:vAlign w:val="center"/>
          </w:tcPr>
          <w:p w14:paraId="2CCC09D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Plastik peletlerin, hafif dökme malzemelerin ve geometrik plastik kiremitlerin kullanımı, doğal olarak kabuklanan sulu gübrelere uygulanamaz.</w:t>
            </w:r>
          </w:p>
          <w:p w14:paraId="2AA1FAA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Karıştırma, doldurma ve boşaltma sırasında sulu gübrenin çalkalanması, pompalarda çökelme veya tıkanmalara neden olabilecek bazı yüzer malzemelerin kullanımını engelleyebilir.</w:t>
            </w:r>
          </w:p>
          <w:p w14:paraId="2318F2E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kabuk oluşumu, soğuk iklimlerde ve/veya kuru madde içeriği düşük sulu gübrede geçerli olmayabilir.</w:t>
            </w:r>
          </w:p>
          <w:p w14:paraId="0F2BE19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kabuk, sulu gübrenin karıştırılması, doldurulması ve/veya boşaltılmasının doğal kabuğu dayanıksız hale getirdiği depolar için uygulanır olmayabilir.</w:t>
            </w:r>
          </w:p>
        </w:tc>
      </w:tr>
      <w:tr w:rsidR="003B155E" w:rsidRPr="00FF45DE" w14:paraId="71A5CBFE" w14:textId="77777777" w:rsidTr="000D79D6">
        <w:trPr>
          <w:trHeight w:val="285"/>
        </w:trPr>
        <w:tc>
          <w:tcPr>
            <w:tcW w:w="254" w:type="pct"/>
            <w:vAlign w:val="center"/>
          </w:tcPr>
          <w:p w14:paraId="610C31AA" w14:textId="77777777" w:rsidR="003B155E" w:rsidRPr="00FF45DE" w:rsidRDefault="003B155E" w:rsidP="000D79D6">
            <w:pPr>
              <w:ind w:left="72" w:right="72"/>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268" w:type="pct"/>
            <w:vAlign w:val="center"/>
          </w:tcPr>
          <w:p w14:paraId="2BDA2E4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asitlendirme</w:t>
            </w:r>
          </w:p>
        </w:tc>
        <w:tc>
          <w:tcPr>
            <w:tcW w:w="2478" w:type="pct"/>
            <w:vAlign w:val="center"/>
          </w:tcPr>
          <w:p w14:paraId="6C2F679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008FBBB3"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lastRenderedPageBreak/>
        <w:t xml:space="preserve">MET 17: </w:t>
      </w:r>
      <w:r w:rsidRPr="00EE5089">
        <w:rPr>
          <w:rFonts w:ascii="Times New Roman" w:eastAsia="Calibri" w:hAnsi="Times New Roman" w:cs="Calibri"/>
          <w:bCs/>
          <w:kern w:val="0"/>
          <w:sz w:val="24"/>
          <w14:ligatures w14:val="none"/>
        </w:rPr>
        <w:t>Toprakla çevrili bir sulu gübre havuzundan havaya salınan amonyak emisyonlarını azaltmak için aşağıda verilen tekniklerin bir kombinasyonu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
        <w:gridCol w:w="3743"/>
        <w:gridCol w:w="4962"/>
      </w:tblGrid>
      <w:tr w:rsidR="003B155E" w:rsidRPr="00FF45DE" w14:paraId="3D9E3A46" w14:textId="77777777" w:rsidTr="000D79D6">
        <w:trPr>
          <w:trHeight w:val="282"/>
          <w:tblHeader/>
        </w:trPr>
        <w:tc>
          <w:tcPr>
            <w:tcW w:w="197" w:type="pct"/>
          </w:tcPr>
          <w:p w14:paraId="25206F36" w14:textId="77777777" w:rsidR="003B155E" w:rsidRPr="00EE5089" w:rsidRDefault="003B155E" w:rsidP="000D79D6">
            <w:pPr>
              <w:ind w:left="74" w:right="74"/>
              <w:rPr>
                <w:rFonts w:ascii="Times New Roman" w:eastAsia="Times New Roman" w:hAnsi="Times New Roman" w:cs="Times New Roman"/>
                <w:lang w:val="tr-TR"/>
              </w:rPr>
            </w:pPr>
          </w:p>
        </w:tc>
        <w:tc>
          <w:tcPr>
            <w:tcW w:w="2065" w:type="pct"/>
          </w:tcPr>
          <w:p w14:paraId="6857326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738" w:type="pct"/>
          </w:tcPr>
          <w:p w14:paraId="743558D8" w14:textId="77777777" w:rsidR="003B155E" w:rsidRPr="00FF45DE" w:rsidRDefault="003B155E" w:rsidP="000D79D6">
            <w:pPr>
              <w:ind w:left="74" w:right="74" w:hanging="142"/>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1EDF2C04" w14:textId="77777777" w:rsidTr="000D79D6">
        <w:trPr>
          <w:trHeight w:val="285"/>
        </w:trPr>
        <w:tc>
          <w:tcPr>
            <w:tcW w:w="197" w:type="pct"/>
            <w:vAlign w:val="center"/>
          </w:tcPr>
          <w:p w14:paraId="7A2E672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065" w:type="pct"/>
            <w:vAlign w:val="center"/>
          </w:tcPr>
          <w:p w14:paraId="6138D15C"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Sulu gübrenin karışmasının en aza indirilmesi</w:t>
            </w:r>
          </w:p>
        </w:tc>
        <w:tc>
          <w:tcPr>
            <w:tcW w:w="2738" w:type="pct"/>
            <w:vAlign w:val="center"/>
          </w:tcPr>
          <w:p w14:paraId="5BC4904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6A653824" w14:textId="77777777" w:rsidTr="000D79D6">
        <w:trPr>
          <w:trHeight w:val="3679"/>
        </w:trPr>
        <w:tc>
          <w:tcPr>
            <w:tcW w:w="197" w:type="pct"/>
            <w:vAlign w:val="center"/>
          </w:tcPr>
          <w:p w14:paraId="72A8487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065" w:type="pct"/>
            <w:vAlign w:val="center"/>
          </w:tcPr>
          <w:p w14:paraId="3CF164E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Toprakla kaplı sulu gübre havuzunu aşağıdakiler gibi esnek ve/veya yüzer bir örtü ile örtülmesi:</w:t>
            </w:r>
          </w:p>
          <w:p w14:paraId="13B90A66"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esnek plastik levhalar</w:t>
            </w:r>
          </w:p>
          <w:p w14:paraId="3CD0B708"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hafif malzemeler</w:t>
            </w:r>
          </w:p>
          <w:p w14:paraId="2E0A8ECA"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doğal kabuk</w:t>
            </w:r>
          </w:p>
          <w:p w14:paraId="6614AFE6"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saman</w:t>
            </w:r>
          </w:p>
        </w:tc>
        <w:tc>
          <w:tcPr>
            <w:tcW w:w="2738" w:type="pct"/>
            <w:vAlign w:val="center"/>
          </w:tcPr>
          <w:p w14:paraId="42AD069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Plastik levhalar yapısal nedenlerden dolayı mevcut büyük havuzlara uygulanamayabilir.</w:t>
            </w:r>
          </w:p>
          <w:p w14:paraId="02E18D6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Saman gibi hafif malzemeler, rüzgarın lagün yüzeyinin tamamen örtülmesine izin vermediği büyük havuzlara uygulanamayabilir.</w:t>
            </w:r>
          </w:p>
          <w:p w14:paraId="21FA0F5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Hafif malzemelerin kullanımı, doğal olarak kabuklanan sulu gübreye uygulanamaz.</w:t>
            </w:r>
          </w:p>
          <w:p w14:paraId="112A760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Karıştırma, doldurma ve boşaltma sırasında sulu gübrenin çalkalanması, pompalarda çökelme veya tıkanmalara neden olabilecek bazı yüzer malzemelerin kullanımını engelleyebilir.</w:t>
            </w:r>
          </w:p>
          <w:p w14:paraId="24FF1F6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Doğal kabuk oluşumu, soğuk iklimlerde ve/veya kuru madde içeriği düşük sulu gübrede geçerli olmayabilir. Doğal kabuk; sulu gübrenin karıştırılması, doldurulması ve/veya boşaltılmasının doğal kabuğu kararsız hale getirdiği havuzlarda uygulanamaz.</w:t>
            </w:r>
          </w:p>
        </w:tc>
      </w:tr>
    </w:tbl>
    <w:p w14:paraId="4827A8FA"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tr"/>
          <w14:ligatures w14:val="none"/>
        </w:rPr>
      </w:pPr>
      <w:r w:rsidRPr="00FF45DE">
        <w:rPr>
          <w:rFonts w:ascii="Times New Roman" w:eastAsia="Calibri" w:hAnsi="Times New Roman" w:cs="Calibri"/>
          <w:b/>
          <w:bCs/>
          <w:kern w:val="0"/>
          <w:sz w:val="24"/>
          <w:lang w:val="tr"/>
          <w14:ligatures w14:val="none"/>
        </w:rPr>
        <w:t xml:space="preserve">MET 18: </w:t>
      </w:r>
      <w:r w:rsidRPr="00FF45DE">
        <w:rPr>
          <w:rFonts w:ascii="Times New Roman" w:eastAsia="Calibri" w:hAnsi="Times New Roman" w:cs="Calibri"/>
          <w:bCs/>
          <w:kern w:val="0"/>
          <w:sz w:val="24"/>
          <w:lang w:val="tr"/>
          <w14:ligatures w14:val="none"/>
        </w:rPr>
        <w:t>Sulu gübre toplama, borulama ve bir depodan ve/veya toprak tabanlı bir depolamadan kaynaklanan toprağa ve suya emisyonları önlemek için aşağıda verilen tekniklerin bir kombinasyonu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4417"/>
        <w:gridCol w:w="4368"/>
      </w:tblGrid>
      <w:tr w:rsidR="003B155E" w:rsidRPr="00FF45DE" w14:paraId="0EA9D17C" w14:textId="77777777" w:rsidTr="000D79D6">
        <w:trPr>
          <w:trHeight w:val="334"/>
        </w:trPr>
        <w:tc>
          <w:tcPr>
            <w:tcW w:w="153" w:type="pct"/>
          </w:tcPr>
          <w:p w14:paraId="348A47E0" w14:textId="77777777" w:rsidR="003B155E" w:rsidRPr="00FF45DE" w:rsidRDefault="003B155E" w:rsidP="000D79D6">
            <w:pPr>
              <w:ind w:left="74" w:right="74"/>
              <w:rPr>
                <w:rFonts w:ascii="Times New Roman" w:eastAsia="Times New Roman" w:hAnsi="Times New Roman" w:cs="Times New Roman"/>
                <w:lang w:val="tr"/>
              </w:rPr>
            </w:pPr>
          </w:p>
        </w:tc>
        <w:tc>
          <w:tcPr>
            <w:tcW w:w="2437" w:type="pct"/>
          </w:tcPr>
          <w:p w14:paraId="37F43A0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410" w:type="pct"/>
          </w:tcPr>
          <w:p w14:paraId="2F63470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126E4B92" w14:textId="77777777" w:rsidTr="000D79D6">
        <w:trPr>
          <w:trHeight w:val="460"/>
        </w:trPr>
        <w:tc>
          <w:tcPr>
            <w:tcW w:w="153" w:type="pct"/>
            <w:vAlign w:val="center"/>
          </w:tcPr>
          <w:p w14:paraId="23D63D0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437" w:type="pct"/>
            <w:vAlign w:val="center"/>
          </w:tcPr>
          <w:p w14:paraId="6CEF9A6B"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Mekanik, kimyasal ve termal etkilere dayanabilen depolar kullanılması</w:t>
            </w:r>
          </w:p>
        </w:tc>
        <w:tc>
          <w:tcPr>
            <w:tcW w:w="2410" w:type="pct"/>
            <w:vAlign w:val="center"/>
          </w:tcPr>
          <w:p w14:paraId="3F03DE2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76C74F39" w14:textId="77777777" w:rsidTr="000D79D6">
        <w:trPr>
          <w:trHeight w:val="690"/>
        </w:trPr>
        <w:tc>
          <w:tcPr>
            <w:tcW w:w="153" w:type="pct"/>
            <w:vAlign w:val="center"/>
          </w:tcPr>
          <w:p w14:paraId="2C55EBD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437" w:type="pct"/>
            <w:vAlign w:val="center"/>
          </w:tcPr>
          <w:p w14:paraId="7746769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Serpmenin mümkün olmadığı dönemlerde sulu gübreyi tutmak için yeterli kapasiteye sahip bir depolama tesisi seçilmesi</w:t>
            </w:r>
          </w:p>
        </w:tc>
        <w:tc>
          <w:tcPr>
            <w:tcW w:w="2410" w:type="pct"/>
            <w:vAlign w:val="center"/>
          </w:tcPr>
          <w:p w14:paraId="654081F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13F54DEA" w14:textId="77777777" w:rsidTr="000D79D6">
        <w:trPr>
          <w:trHeight w:val="690"/>
        </w:trPr>
        <w:tc>
          <w:tcPr>
            <w:tcW w:w="153" w:type="pct"/>
            <w:vAlign w:val="center"/>
          </w:tcPr>
          <w:p w14:paraId="5737442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437" w:type="pct"/>
            <w:vAlign w:val="center"/>
          </w:tcPr>
          <w:p w14:paraId="7E3D7AB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toplanması ve transferi için sızdırmaz tesisler ve ekipman inşa edilmesi (ör. çukurlar, kanallar, drenajlar, pompa istasyonları)</w:t>
            </w:r>
          </w:p>
        </w:tc>
        <w:tc>
          <w:tcPr>
            <w:tcW w:w="2410" w:type="pct"/>
            <w:vAlign w:val="center"/>
          </w:tcPr>
          <w:p w14:paraId="179A427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2C93682F" w14:textId="77777777" w:rsidTr="000D79D6">
        <w:trPr>
          <w:trHeight w:val="688"/>
        </w:trPr>
        <w:tc>
          <w:tcPr>
            <w:tcW w:w="153" w:type="pct"/>
            <w:vAlign w:val="center"/>
          </w:tcPr>
          <w:p w14:paraId="44BACCB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437" w:type="pct"/>
            <w:vAlign w:val="center"/>
          </w:tcPr>
          <w:p w14:paraId="4D4B957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örneğin kil veya plastik astarlı (veya çift astarlı) geçirimsiz bir tabana ve duvarlara sahip, toprakla çevrili depolarda saklanması</w:t>
            </w:r>
          </w:p>
        </w:tc>
        <w:tc>
          <w:tcPr>
            <w:tcW w:w="2410" w:type="pct"/>
            <w:vAlign w:val="center"/>
          </w:tcPr>
          <w:p w14:paraId="67B1D70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Genellikle havuzlar için uygulanabilir.</w:t>
            </w:r>
          </w:p>
        </w:tc>
      </w:tr>
      <w:tr w:rsidR="003B155E" w:rsidRPr="00FF45DE" w14:paraId="3D291BF8" w14:textId="77777777" w:rsidTr="000D79D6">
        <w:trPr>
          <w:trHeight w:val="691"/>
        </w:trPr>
        <w:tc>
          <w:tcPr>
            <w:tcW w:w="153" w:type="pct"/>
            <w:vAlign w:val="center"/>
          </w:tcPr>
          <w:p w14:paraId="2E10ACD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2437" w:type="pct"/>
            <w:vAlign w:val="center"/>
          </w:tcPr>
          <w:p w14:paraId="50C37ECF" w14:textId="77777777" w:rsidR="003B155E" w:rsidRPr="00FF45DE" w:rsidRDefault="003B155E" w:rsidP="000D79D6">
            <w:pPr>
              <w:tabs>
                <w:tab w:val="left" w:pos="826"/>
                <w:tab w:val="left" w:pos="1136"/>
                <w:tab w:val="left" w:pos="1968"/>
                <w:tab w:val="left" w:pos="2924"/>
                <w:tab w:val="left" w:pos="3751"/>
              </w:tabs>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Jeo-membran, drenaj katmanı ve drenaj boru sistemi gibi bir sızdırma tespit sistemi kurulması</w:t>
            </w:r>
          </w:p>
        </w:tc>
        <w:tc>
          <w:tcPr>
            <w:tcW w:w="2410" w:type="pct"/>
            <w:vAlign w:val="center"/>
          </w:tcPr>
          <w:p w14:paraId="76E4A8B5"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Sadece yeni tesisler için uygulanabilir.</w:t>
            </w:r>
          </w:p>
        </w:tc>
      </w:tr>
      <w:tr w:rsidR="003B155E" w:rsidRPr="00FF45DE" w14:paraId="6DECF59F" w14:textId="77777777" w:rsidTr="000D79D6">
        <w:trPr>
          <w:trHeight w:val="460"/>
        </w:trPr>
        <w:tc>
          <w:tcPr>
            <w:tcW w:w="153" w:type="pct"/>
            <w:vAlign w:val="center"/>
          </w:tcPr>
          <w:p w14:paraId="6D22C87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2437" w:type="pct"/>
            <w:vAlign w:val="center"/>
          </w:tcPr>
          <w:p w14:paraId="6A707E9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Depoların yapısal bütünlüğünün en az yılda bir kez kontrol edilmesi</w:t>
            </w:r>
          </w:p>
        </w:tc>
        <w:tc>
          <w:tcPr>
            <w:tcW w:w="2410" w:type="pct"/>
            <w:vAlign w:val="center"/>
          </w:tcPr>
          <w:p w14:paraId="78B5B4F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3697B917"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30" w:name="_Toc136614311"/>
      <w:r w:rsidRPr="00FF45DE">
        <w:rPr>
          <w:rFonts w:ascii="Times New Roman" w:eastAsia="DengXian Light" w:hAnsi="Times New Roman" w:cs="Microsoft Uighur"/>
          <w:b/>
          <w:kern w:val="0"/>
          <w:sz w:val="24"/>
          <w:szCs w:val="26"/>
          <w:lang w:val="en-US"/>
          <w14:ligatures w14:val="none"/>
        </w:rPr>
        <w:lastRenderedPageBreak/>
        <w:t>Gübrenin Çiftlikte İşlenmesi</w:t>
      </w:r>
      <w:bookmarkEnd w:id="30"/>
    </w:p>
    <w:p w14:paraId="75A48995"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en-US"/>
          <w14:ligatures w14:val="none"/>
        </w:rPr>
      </w:pPr>
      <w:r w:rsidRPr="00FF45DE">
        <w:rPr>
          <w:rFonts w:ascii="Times New Roman" w:eastAsia="Calibri" w:hAnsi="Times New Roman" w:cs="Calibri"/>
          <w:b/>
          <w:bCs/>
          <w:kern w:val="0"/>
          <w:sz w:val="24"/>
          <w:lang w:val="en-US"/>
          <w14:ligatures w14:val="none"/>
        </w:rPr>
        <w:t xml:space="preserve">MET 19: </w:t>
      </w:r>
      <w:r w:rsidRPr="00FF45DE">
        <w:rPr>
          <w:rFonts w:ascii="Times New Roman" w:eastAsia="Calibri" w:hAnsi="Times New Roman" w:cs="Calibri"/>
          <w:bCs/>
          <w:kern w:val="0"/>
          <w:sz w:val="24"/>
          <w:lang w:val="en-US"/>
          <w14:ligatures w14:val="none"/>
        </w:rPr>
        <w:t>Gübrenin çiftlikte işlenmesi yöntemi kullanılıyorsa azot, fosfor, koku ve mikrobiyal patojenlerin havaya ve suya emisyonlarını azaltmak ve gübre depolamayı ve/veya araziye yaymayı kolaylaştırmak için, gübre aşağıdakilerden biri veya birkaçı uygulayıp işlenir.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3181"/>
        <w:gridCol w:w="5604"/>
      </w:tblGrid>
      <w:tr w:rsidR="003B155E" w:rsidRPr="00FF45DE" w14:paraId="0DC7F3A1" w14:textId="77777777" w:rsidTr="000D79D6">
        <w:trPr>
          <w:trHeight w:val="282"/>
          <w:tblHeader/>
        </w:trPr>
        <w:tc>
          <w:tcPr>
            <w:tcW w:w="153" w:type="pct"/>
          </w:tcPr>
          <w:p w14:paraId="443F1E5A" w14:textId="77777777" w:rsidR="003B155E" w:rsidRPr="00FF45DE" w:rsidRDefault="003B155E" w:rsidP="000D79D6">
            <w:pPr>
              <w:ind w:left="74" w:right="74"/>
              <w:rPr>
                <w:rFonts w:ascii="Times New Roman" w:eastAsia="Times New Roman" w:hAnsi="Times New Roman" w:cs="Times New Roman"/>
                <w:lang w:val="en-GB"/>
              </w:rPr>
            </w:pPr>
          </w:p>
        </w:tc>
        <w:tc>
          <w:tcPr>
            <w:tcW w:w="1755" w:type="pct"/>
          </w:tcPr>
          <w:p w14:paraId="447C3B0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3092" w:type="pct"/>
          </w:tcPr>
          <w:p w14:paraId="6CF1A80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0EA27BCD" w14:textId="77777777" w:rsidTr="000D79D6">
        <w:trPr>
          <w:trHeight w:val="1682"/>
        </w:trPr>
        <w:tc>
          <w:tcPr>
            <w:tcW w:w="153" w:type="pct"/>
            <w:vAlign w:val="center"/>
          </w:tcPr>
          <w:p w14:paraId="4ADA2E4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755" w:type="pct"/>
            <w:vAlign w:val="center"/>
          </w:tcPr>
          <w:p w14:paraId="2F2EE60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gübrenin mekanik olarak ayrılması. Bu, örneğin şunları içerir:</w:t>
            </w:r>
          </w:p>
          <w:p w14:paraId="353BCB99"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Vidalı pres ayırıcı</w:t>
            </w:r>
          </w:p>
          <w:p w14:paraId="51FE8EBD"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Dekantör-santrifüj ayırıcı</w:t>
            </w:r>
          </w:p>
          <w:p w14:paraId="2DB6C08D"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Koagülasyon-Flokülasyon</w:t>
            </w:r>
          </w:p>
          <w:p w14:paraId="5705BD89"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Elekleme</w:t>
            </w:r>
          </w:p>
          <w:p w14:paraId="12450238" w14:textId="77777777" w:rsidR="003B155E" w:rsidRPr="00FF45DE" w:rsidRDefault="003B155E" w:rsidP="003B155E">
            <w:pPr>
              <w:numPr>
                <w:ilvl w:val="0"/>
                <w:numId w:val="165"/>
              </w:numPr>
              <w:ind w:left="25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Filtre presleme.</w:t>
            </w:r>
          </w:p>
        </w:tc>
        <w:tc>
          <w:tcPr>
            <w:tcW w:w="3092" w:type="pct"/>
            <w:vAlign w:val="center"/>
          </w:tcPr>
          <w:p w14:paraId="7C72E2D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şu durumlarda geçerlidir:</w:t>
            </w:r>
          </w:p>
          <w:p w14:paraId="5E74B99A" w14:textId="77777777" w:rsidR="003B155E" w:rsidRPr="00FF45DE" w:rsidRDefault="003B155E" w:rsidP="003B155E">
            <w:pPr>
              <w:numPr>
                <w:ilvl w:val="0"/>
                <w:numId w:val="170"/>
              </w:numPr>
              <w:tabs>
                <w:tab w:val="left" w:pos="243"/>
              </w:tabs>
              <w:ind w:left="247" w:right="74" w:hanging="173"/>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uygulaması için mevcut sınırlı arazi nedeniyle azot ve fosfor içeriğinin azaltılması gereklidir.</w:t>
            </w:r>
          </w:p>
          <w:p w14:paraId="3F013A03" w14:textId="77777777" w:rsidR="003B155E" w:rsidRPr="00FF45DE" w:rsidRDefault="003B155E" w:rsidP="003B155E">
            <w:pPr>
              <w:numPr>
                <w:ilvl w:val="0"/>
                <w:numId w:val="170"/>
              </w:numPr>
              <w:tabs>
                <w:tab w:val="left" w:pos="301"/>
              </w:tabs>
              <w:ind w:left="247" w:right="74" w:hanging="173"/>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makul bir maliyetle araziye yaymak için taşınamaz.</w:t>
            </w:r>
          </w:p>
          <w:p w14:paraId="2D1B62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Akrilamid oluşumu riskinden dolayı flokülant olarak poliakrilamid kullanımı uygun olmayabilir.</w:t>
            </w:r>
          </w:p>
        </w:tc>
      </w:tr>
      <w:tr w:rsidR="003B155E" w:rsidRPr="00FF45DE" w14:paraId="08C06DC3" w14:textId="77777777" w:rsidTr="000D79D6">
        <w:trPr>
          <w:trHeight w:val="460"/>
        </w:trPr>
        <w:tc>
          <w:tcPr>
            <w:tcW w:w="153" w:type="pct"/>
            <w:vAlign w:val="center"/>
          </w:tcPr>
          <w:p w14:paraId="0A74106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755" w:type="pct"/>
            <w:vAlign w:val="center"/>
          </w:tcPr>
          <w:p w14:paraId="21A5603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Bir </w:t>
            </w:r>
            <w:r w:rsidR="00BA1FD0">
              <w:rPr>
                <w:rFonts w:ascii="Times New Roman" w:eastAsia="Times New Roman" w:hAnsi="Times New Roman" w:cs="Times New Roman"/>
                <w:lang w:val="tr"/>
              </w:rPr>
              <w:t>biyometanizasyon</w:t>
            </w:r>
            <w:r w:rsidRPr="00FF45DE">
              <w:rPr>
                <w:rFonts w:ascii="Times New Roman" w:eastAsia="Times New Roman" w:hAnsi="Times New Roman" w:cs="Times New Roman"/>
                <w:lang w:val="tr"/>
              </w:rPr>
              <w:t xml:space="preserve"> tesisinde gübrenin oksijensiz ortamda çürütülmesi</w:t>
            </w:r>
          </w:p>
        </w:tc>
        <w:tc>
          <w:tcPr>
            <w:tcW w:w="3092" w:type="pct"/>
            <w:vAlign w:val="center"/>
          </w:tcPr>
          <w:p w14:paraId="6067CA1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Bu teknik, yüksek uygulama maliyeti nedeniyle genel olarak uygulanamayabilir.</w:t>
            </w:r>
          </w:p>
        </w:tc>
      </w:tr>
      <w:tr w:rsidR="003B155E" w:rsidRPr="00FF45DE" w14:paraId="16A5222F" w14:textId="77777777" w:rsidTr="000D79D6">
        <w:trPr>
          <w:trHeight w:val="460"/>
        </w:trPr>
        <w:tc>
          <w:tcPr>
            <w:tcW w:w="153" w:type="pct"/>
            <w:vAlign w:val="center"/>
          </w:tcPr>
          <w:p w14:paraId="593F750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1755" w:type="pct"/>
            <w:vAlign w:val="center"/>
          </w:tcPr>
          <w:p w14:paraId="727A822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kurutma için harici bir tünelin kullanılması</w:t>
            </w:r>
          </w:p>
        </w:tc>
        <w:tc>
          <w:tcPr>
            <w:tcW w:w="3092" w:type="pct"/>
            <w:vAlign w:val="center"/>
          </w:tcPr>
          <w:p w14:paraId="60E0443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Sadece yumurtlayan tavuklar için tesislerden elde edilen gübre için geçerlidir. Gübre bantları olmayan mevcut tesisler için geçerli değildir.</w:t>
            </w:r>
          </w:p>
        </w:tc>
      </w:tr>
      <w:tr w:rsidR="003B155E" w:rsidRPr="00FF45DE" w14:paraId="478087BD" w14:textId="77777777" w:rsidTr="000D79D6">
        <w:trPr>
          <w:trHeight w:val="918"/>
        </w:trPr>
        <w:tc>
          <w:tcPr>
            <w:tcW w:w="153" w:type="pct"/>
            <w:vAlign w:val="center"/>
          </w:tcPr>
          <w:p w14:paraId="581D2DC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1755" w:type="pct"/>
            <w:vAlign w:val="center"/>
          </w:tcPr>
          <w:p w14:paraId="7271264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aerobik çürütülmesi (havalandırması)</w:t>
            </w:r>
          </w:p>
        </w:tc>
        <w:tc>
          <w:tcPr>
            <w:tcW w:w="3092" w:type="pct"/>
            <w:vAlign w:val="center"/>
          </w:tcPr>
          <w:p w14:paraId="79D6FBA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Sadece araziye yayılmadan önce patojen ve koku azaltmanın önemli olduğu durumlarda uygulanabilir. Soğuk iklimlerde, kış aylarında gerekli havalandırma seviyesini korumak zor olabilir.</w:t>
            </w:r>
          </w:p>
        </w:tc>
      </w:tr>
      <w:tr w:rsidR="003B155E" w:rsidRPr="00FF45DE" w14:paraId="68072D69" w14:textId="77777777" w:rsidTr="000D79D6">
        <w:trPr>
          <w:trHeight w:val="921"/>
        </w:trPr>
        <w:tc>
          <w:tcPr>
            <w:tcW w:w="153" w:type="pct"/>
            <w:vAlign w:val="center"/>
          </w:tcPr>
          <w:p w14:paraId="28E42A5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1755" w:type="pct"/>
            <w:vAlign w:val="center"/>
          </w:tcPr>
          <w:p w14:paraId="543811E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nitrifikasyon-denitrifikasyonu</w:t>
            </w:r>
          </w:p>
        </w:tc>
        <w:tc>
          <w:tcPr>
            <w:tcW w:w="3092" w:type="pct"/>
            <w:vAlign w:val="center"/>
          </w:tcPr>
          <w:p w14:paraId="0614D39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Yeni fabrikalar/çiftlikler için geçerli değildir. Gübre uygulama  için mevcut sınırlı arazi nedeniyle azotun uzaklaştırılması gerektiğinde yalnızca mevcut tesisler/çiftlikler için uygulanabilir.</w:t>
            </w:r>
          </w:p>
        </w:tc>
      </w:tr>
      <w:tr w:rsidR="003B155E" w:rsidRPr="00FF45DE" w14:paraId="50E10BFE" w14:textId="77777777" w:rsidTr="000D79D6">
        <w:trPr>
          <w:trHeight w:val="1610"/>
        </w:trPr>
        <w:tc>
          <w:tcPr>
            <w:tcW w:w="153" w:type="pct"/>
            <w:vAlign w:val="center"/>
          </w:tcPr>
          <w:p w14:paraId="76660D4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1755" w:type="pct"/>
            <w:vAlign w:val="center"/>
          </w:tcPr>
          <w:p w14:paraId="441756F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Katı gübrenin kompostlanması</w:t>
            </w:r>
          </w:p>
        </w:tc>
        <w:tc>
          <w:tcPr>
            <w:tcW w:w="3092" w:type="pct"/>
            <w:vAlign w:val="center"/>
          </w:tcPr>
          <w:p w14:paraId="4E7058B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şu durumlarda geçerlidir:</w:t>
            </w:r>
          </w:p>
          <w:p w14:paraId="4708182E" w14:textId="77777777" w:rsidR="003B155E" w:rsidRPr="00FF45DE" w:rsidRDefault="003B155E" w:rsidP="003B155E">
            <w:pPr>
              <w:numPr>
                <w:ilvl w:val="0"/>
                <w:numId w:val="169"/>
              </w:numPr>
              <w:tabs>
                <w:tab w:val="left" w:pos="301"/>
              </w:tabs>
              <w:ind w:left="247" w:right="74" w:hanging="173"/>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makul bir maliyetle araziye yaymak için taşınamaz.</w:t>
            </w:r>
          </w:p>
          <w:p w14:paraId="1C94834A" w14:textId="77777777" w:rsidR="003B155E" w:rsidRPr="00FF45DE" w:rsidRDefault="003B155E" w:rsidP="003B155E">
            <w:pPr>
              <w:numPr>
                <w:ilvl w:val="0"/>
                <w:numId w:val="169"/>
              </w:numPr>
              <w:tabs>
                <w:tab w:val="left" w:pos="311"/>
              </w:tabs>
              <w:ind w:left="247" w:right="74" w:hanging="173"/>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Araziye yayılmadan önce patojen ve kokunun azaltılması önemlidir.</w:t>
            </w:r>
          </w:p>
          <w:p w14:paraId="087D7AEA" w14:textId="77777777" w:rsidR="003B155E" w:rsidRPr="00FF45DE" w:rsidRDefault="003B155E" w:rsidP="003B155E">
            <w:pPr>
              <w:numPr>
                <w:ilvl w:val="0"/>
                <w:numId w:val="169"/>
              </w:numPr>
              <w:tabs>
                <w:tab w:val="left" w:pos="272"/>
              </w:tabs>
              <w:ind w:left="247" w:right="74" w:hanging="173"/>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Çiftlikte yığınların kurulması için yeterli alan bulunmaktadır.</w:t>
            </w:r>
          </w:p>
        </w:tc>
      </w:tr>
    </w:tbl>
    <w:p w14:paraId="6495F6D3"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31" w:name="_Toc136614312"/>
      <w:r w:rsidRPr="00EE5089">
        <w:rPr>
          <w:rFonts w:ascii="Times New Roman" w:eastAsia="DengXian Light" w:hAnsi="Times New Roman" w:cs="Microsoft Uighur"/>
          <w:b/>
          <w:kern w:val="0"/>
          <w:sz w:val="24"/>
          <w:szCs w:val="26"/>
          <w14:ligatures w14:val="none"/>
        </w:rPr>
        <w:t>Gübrenin Araziye Yayılması</w:t>
      </w:r>
      <w:bookmarkEnd w:id="31"/>
    </w:p>
    <w:p w14:paraId="682AD78A"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20: </w:t>
      </w:r>
      <w:r w:rsidRPr="00EE5089">
        <w:rPr>
          <w:rFonts w:ascii="Times New Roman" w:eastAsia="Calibri" w:hAnsi="Times New Roman" w:cs="Calibri"/>
          <w:bCs/>
          <w:kern w:val="0"/>
          <w:sz w:val="24"/>
          <w14:ligatures w14:val="none"/>
        </w:rPr>
        <w:t>Gübrenin araziye yayılmasından kaynaklanan toprağa ve suya azot, fosfor ve mikrobiyal patojenlerin emisyonlarını önlemek veya bunun mümkün olmadığı durumlarda azaltmak için aşağıda verilen tüm teknikler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7"/>
        <w:gridCol w:w="8725"/>
      </w:tblGrid>
      <w:tr w:rsidR="003B155E" w:rsidRPr="00FF45DE" w14:paraId="369C3EE7" w14:textId="77777777" w:rsidTr="000D79D6">
        <w:trPr>
          <w:trHeight w:val="230"/>
          <w:tblHeader/>
        </w:trPr>
        <w:tc>
          <w:tcPr>
            <w:tcW w:w="186" w:type="pct"/>
          </w:tcPr>
          <w:p w14:paraId="4E9BAFA2" w14:textId="77777777" w:rsidR="003B155E" w:rsidRPr="00EE5089" w:rsidRDefault="003B155E" w:rsidP="000D79D6">
            <w:pPr>
              <w:ind w:left="74" w:right="74"/>
              <w:rPr>
                <w:rFonts w:ascii="Times New Roman" w:eastAsia="Times New Roman" w:hAnsi="Times New Roman" w:cs="Times New Roman"/>
                <w:lang w:val="tr-TR"/>
              </w:rPr>
            </w:pPr>
          </w:p>
        </w:tc>
        <w:tc>
          <w:tcPr>
            <w:tcW w:w="4814" w:type="pct"/>
          </w:tcPr>
          <w:p w14:paraId="45ADC64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r>
      <w:tr w:rsidR="003B155E" w:rsidRPr="00FF45DE" w14:paraId="008A1761" w14:textId="77777777" w:rsidTr="000D79D6">
        <w:trPr>
          <w:trHeight w:val="1451"/>
        </w:trPr>
        <w:tc>
          <w:tcPr>
            <w:tcW w:w="186" w:type="pct"/>
            <w:vAlign w:val="center"/>
          </w:tcPr>
          <w:p w14:paraId="2325E4B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4814" w:type="pct"/>
            <w:vAlign w:val="center"/>
          </w:tcPr>
          <w:p w14:paraId="7FC4B85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Aşağıdakileri göz önünde bulundurarak, sızıntı risklerini belirlemek için gübrenin verildiği arazi değerlendirilir:</w:t>
            </w:r>
          </w:p>
          <w:p w14:paraId="38E0DCB7" w14:textId="77777777" w:rsidR="003B155E" w:rsidRPr="00FF45DE" w:rsidRDefault="003B155E" w:rsidP="003B155E">
            <w:pPr>
              <w:numPr>
                <w:ilvl w:val="0"/>
                <w:numId w:val="169"/>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Arazinin toprak tipi, koşulları ve eğimi</w:t>
            </w:r>
          </w:p>
          <w:p w14:paraId="25801CBE" w14:textId="77777777" w:rsidR="003B155E" w:rsidRPr="00FF45DE" w:rsidRDefault="003B155E" w:rsidP="003B155E">
            <w:pPr>
              <w:numPr>
                <w:ilvl w:val="0"/>
                <w:numId w:val="169"/>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İklim koşulları</w:t>
            </w:r>
          </w:p>
          <w:p w14:paraId="3EDB6AB5" w14:textId="77777777" w:rsidR="003B155E" w:rsidRPr="00FF45DE" w:rsidRDefault="003B155E" w:rsidP="003B155E">
            <w:pPr>
              <w:numPr>
                <w:ilvl w:val="0"/>
                <w:numId w:val="169"/>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Tarla drenajı ve sulaması</w:t>
            </w:r>
          </w:p>
          <w:p w14:paraId="029978C0" w14:textId="77777777" w:rsidR="003B155E" w:rsidRPr="00FF45DE" w:rsidRDefault="003B155E" w:rsidP="003B155E">
            <w:pPr>
              <w:numPr>
                <w:ilvl w:val="0"/>
                <w:numId w:val="169"/>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Mahsul rotasyonu</w:t>
            </w:r>
          </w:p>
          <w:p w14:paraId="54BA0CCE" w14:textId="77777777" w:rsidR="003B155E" w:rsidRPr="00FF45DE" w:rsidRDefault="003B155E" w:rsidP="003B155E">
            <w:pPr>
              <w:numPr>
                <w:ilvl w:val="0"/>
                <w:numId w:val="169"/>
              </w:numPr>
              <w:ind w:right="7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Su kaynakları ve su korumalı bölgeler.</w:t>
            </w:r>
          </w:p>
        </w:tc>
      </w:tr>
      <w:tr w:rsidR="003B155E" w:rsidRPr="00FF45DE" w14:paraId="285B0EAF" w14:textId="77777777" w:rsidTr="000D79D6">
        <w:trPr>
          <w:trHeight w:val="283"/>
        </w:trPr>
        <w:tc>
          <w:tcPr>
            <w:tcW w:w="186" w:type="pct"/>
            <w:vAlign w:val="center"/>
          </w:tcPr>
          <w:p w14:paraId="4CAF94D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4814" w:type="pct"/>
            <w:vAlign w:val="center"/>
          </w:tcPr>
          <w:p w14:paraId="06EEDE1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Gübre yayılan tarlalar arasında (işlenmemiş bir arazi şeridi bırakarak) ve akarsular, pınarlar, </w:t>
            </w:r>
            <w:r w:rsidRPr="00FF45DE">
              <w:rPr>
                <w:rFonts w:ascii="Times New Roman" w:eastAsia="Times New Roman" w:hAnsi="Times New Roman" w:cs="Times New Roman"/>
                <w:lang w:val="tr"/>
              </w:rPr>
              <w:lastRenderedPageBreak/>
              <w:t>sondaj kuyuları vb. gibi suya akış riskinin olduğu alanlarda yeterli mesafe bırakılması</w:t>
            </w:r>
          </w:p>
          <w:p w14:paraId="14CA1A2E"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komşu mülkler (çalılar dahil olmak kaydıyla).</w:t>
            </w:r>
          </w:p>
        </w:tc>
      </w:tr>
      <w:tr w:rsidR="003B155E" w:rsidRPr="00FF45DE" w14:paraId="78CB1033" w14:textId="77777777" w:rsidTr="000D79D6">
        <w:trPr>
          <w:trHeight w:val="1379"/>
        </w:trPr>
        <w:tc>
          <w:tcPr>
            <w:tcW w:w="186" w:type="pct"/>
            <w:vAlign w:val="center"/>
          </w:tcPr>
          <w:p w14:paraId="484F1D5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c</w:t>
            </w:r>
          </w:p>
        </w:tc>
        <w:tc>
          <w:tcPr>
            <w:tcW w:w="4814" w:type="pct"/>
            <w:vAlign w:val="center"/>
          </w:tcPr>
          <w:p w14:paraId="1E25CE0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Sızıntı riski yüksek olduğunda gübrenin yayılması özellikle aşağıdaki durumlarda uygulanmaz:</w:t>
            </w:r>
          </w:p>
          <w:p w14:paraId="2B5CBAB5"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Tarla su basmış, donmuş veya karla kaplı ise</w:t>
            </w:r>
          </w:p>
          <w:p w14:paraId="1F736A07"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Arazinin eğimi ve/veya saha drenajı ile birlikte akma veya drenaj riskinin yüksek olduğu toprak koşullarında (ör. yüksek su doygunluğu veya sıkışması)</w:t>
            </w:r>
          </w:p>
          <w:p w14:paraId="29B751D5"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Yağış olaylarına göre kestirilebilen sızıntılar.</w:t>
            </w:r>
          </w:p>
        </w:tc>
      </w:tr>
      <w:tr w:rsidR="003B155E" w:rsidRPr="00FF45DE" w14:paraId="1C32BAA4" w14:textId="77777777" w:rsidTr="000D79D6">
        <w:trPr>
          <w:trHeight w:val="690"/>
        </w:trPr>
        <w:tc>
          <w:tcPr>
            <w:tcW w:w="186" w:type="pct"/>
            <w:vAlign w:val="center"/>
          </w:tcPr>
          <w:p w14:paraId="21395AB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4814" w:type="pct"/>
            <w:vAlign w:val="center"/>
          </w:tcPr>
          <w:p w14:paraId="305A887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Gübrenin azot ve fosfor içeriğini dikkate alarak ve toprağın özelliklerini (ör. besin içeriği), mevsimsel mahsul gerekliliklerini ve akışa neden olabilecek hava veya tarla koşullarını dikkate alarak gübre araziye yayma oranını ayarlanması</w:t>
            </w:r>
          </w:p>
        </w:tc>
      </w:tr>
      <w:tr w:rsidR="003B155E" w:rsidRPr="00FF45DE" w14:paraId="00C3A998" w14:textId="77777777" w:rsidTr="000D79D6">
        <w:trPr>
          <w:trHeight w:val="230"/>
        </w:trPr>
        <w:tc>
          <w:tcPr>
            <w:tcW w:w="186" w:type="pct"/>
            <w:vAlign w:val="center"/>
          </w:tcPr>
          <w:p w14:paraId="612EE4E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4814" w:type="pct"/>
            <w:vAlign w:val="center"/>
          </w:tcPr>
          <w:p w14:paraId="5F0FEB5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Gübrenin araziye yayılmasını ekinlerin besin gerekliliği ile senkronize edilmesi</w:t>
            </w:r>
          </w:p>
        </w:tc>
      </w:tr>
      <w:tr w:rsidR="003B155E" w:rsidRPr="00FF45DE" w14:paraId="01C285CD" w14:textId="77777777" w:rsidTr="000D79D6">
        <w:trPr>
          <w:trHeight w:val="460"/>
        </w:trPr>
        <w:tc>
          <w:tcPr>
            <w:tcW w:w="186" w:type="pct"/>
            <w:vAlign w:val="center"/>
          </w:tcPr>
          <w:p w14:paraId="6D4DE8E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4814" w:type="pct"/>
            <w:vAlign w:val="center"/>
          </w:tcPr>
          <w:p w14:paraId="60ED116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Herhangi bir sızıntı belirtisini tespit etmek ve gerektiğinde uygun şekilde müdahale etmek için yayılma alanlarının düzenli aralıklarla kontrol edilmesi</w:t>
            </w:r>
          </w:p>
        </w:tc>
      </w:tr>
      <w:tr w:rsidR="003B155E" w:rsidRPr="00FF45DE" w14:paraId="440D90B8" w14:textId="77777777" w:rsidTr="000D79D6">
        <w:trPr>
          <w:trHeight w:val="460"/>
        </w:trPr>
        <w:tc>
          <w:tcPr>
            <w:tcW w:w="186" w:type="pct"/>
            <w:vAlign w:val="center"/>
          </w:tcPr>
          <w:p w14:paraId="1E93BEF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g</w:t>
            </w:r>
          </w:p>
        </w:tc>
        <w:tc>
          <w:tcPr>
            <w:tcW w:w="4814" w:type="pct"/>
            <w:vAlign w:val="center"/>
          </w:tcPr>
          <w:p w14:paraId="2512247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deposuna yeterli erişimin ve gübre yüklemesinin dökülme olmadan etkili bir şekilde yapılmasının sağlanması</w:t>
            </w:r>
          </w:p>
        </w:tc>
      </w:tr>
      <w:tr w:rsidR="003B155E" w:rsidRPr="00FF45DE" w14:paraId="625B92B1" w14:textId="77777777" w:rsidTr="000D79D6">
        <w:trPr>
          <w:trHeight w:val="460"/>
        </w:trPr>
        <w:tc>
          <w:tcPr>
            <w:tcW w:w="186" w:type="pct"/>
            <w:vAlign w:val="center"/>
          </w:tcPr>
          <w:p w14:paraId="5775B21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h</w:t>
            </w:r>
          </w:p>
        </w:tc>
        <w:tc>
          <w:tcPr>
            <w:tcW w:w="4814" w:type="pct"/>
            <w:vAlign w:val="center"/>
          </w:tcPr>
          <w:p w14:paraId="593F097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Gübrenin araziye yayılması için kullanılan yayma makinelerinin iyi çalışır durumda olduğunun ve uygun uygulama miktarına ayarlandığının kontrol edilmesi</w:t>
            </w:r>
          </w:p>
        </w:tc>
      </w:tr>
    </w:tbl>
    <w:p w14:paraId="6E17766D"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21: </w:t>
      </w:r>
      <w:r w:rsidRPr="00EE5089">
        <w:rPr>
          <w:rFonts w:ascii="Times New Roman" w:eastAsia="Calibri" w:hAnsi="Times New Roman" w:cs="Calibri"/>
          <w:bCs/>
          <w:kern w:val="0"/>
          <w:sz w:val="24"/>
          <w14:ligatures w14:val="none"/>
        </w:rPr>
        <w:t>Sulu gübrenin araziye yayılmasından havaya salınan amonyak emisyonlarını azaltmak için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9"/>
        <w:gridCol w:w="2592"/>
        <w:gridCol w:w="6191"/>
      </w:tblGrid>
      <w:tr w:rsidR="003B155E" w:rsidRPr="00FF45DE" w14:paraId="3F3D3E63" w14:textId="77777777" w:rsidTr="000D79D6">
        <w:trPr>
          <w:trHeight w:val="227"/>
          <w:tblHeader/>
        </w:trPr>
        <w:tc>
          <w:tcPr>
            <w:tcW w:w="154" w:type="pct"/>
          </w:tcPr>
          <w:p w14:paraId="1527238B" w14:textId="77777777" w:rsidR="003B155E" w:rsidRPr="00EE5089" w:rsidRDefault="003B155E" w:rsidP="000D79D6">
            <w:pPr>
              <w:ind w:left="74" w:right="74"/>
              <w:rPr>
                <w:rFonts w:ascii="Times New Roman" w:eastAsia="Times New Roman" w:hAnsi="Times New Roman" w:cs="Times New Roman"/>
                <w:lang w:val="tr-TR"/>
              </w:rPr>
            </w:pPr>
          </w:p>
        </w:tc>
        <w:tc>
          <w:tcPr>
            <w:tcW w:w="1430" w:type="pct"/>
          </w:tcPr>
          <w:p w14:paraId="198B4D5C"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416" w:type="pct"/>
          </w:tcPr>
          <w:p w14:paraId="10238F4D"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4CFCD034" w14:textId="77777777" w:rsidTr="000D79D6">
        <w:trPr>
          <w:trHeight w:val="1382"/>
        </w:trPr>
        <w:tc>
          <w:tcPr>
            <w:tcW w:w="154" w:type="pct"/>
            <w:vAlign w:val="center"/>
          </w:tcPr>
          <w:p w14:paraId="2B8F256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430" w:type="pct"/>
            <w:vAlign w:val="center"/>
          </w:tcPr>
          <w:p w14:paraId="2D9A6DD5" w14:textId="77777777" w:rsidR="003B155E" w:rsidRPr="00FF45DE" w:rsidRDefault="003B155E" w:rsidP="000D79D6">
            <w:pPr>
              <w:tabs>
                <w:tab w:val="left" w:pos="1710"/>
              </w:tabs>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seyreltme, ardından düşük basınçlı sulama sistemi</w:t>
            </w:r>
            <w:r w:rsidRPr="00FF45DE">
              <w:rPr>
                <w:rFonts w:ascii="Times New Roman" w:eastAsia="Times New Roman" w:hAnsi="Times New Roman" w:cs="Times New Roman"/>
                <w:lang w:val="tr"/>
              </w:rPr>
              <w:tab/>
              <w:t>gibi teknikler</w:t>
            </w:r>
          </w:p>
        </w:tc>
        <w:tc>
          <w:tcPr>
            <w:tcW w:w="3416" w:type="pct"/>
            <w:vAlign w:val="center"/>
          </w:tcPr>
          <w:p w14:paraId="18744B9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Kontaminasyon riski nedeniyle çiğ yenilmek üzere yetiştirilen ürünler için geçerli değildir.</w:t>
            </w:r>
          </w:p>
          <w:p w14:paraId="40839C3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Toprak tipi seyreltilmiş sulu gübrenin toprağa hızlı bir şekilde sızmasına izin vermediğinde uygulanamaz.</w:t>
            </w:r>
          </w:p>
          <w:p w14:paraId="140CE01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Ekinlerin sulama gerektirmediği durumlarda uygulanmaz. Çiftliğe boru tesisatı ile kolayca bağlanan tarlalara uygulanabilir.</w:t>
            </w:r>
          </w:p>
        </w:tc>
      </w:tr>
      <w:tr w:rsidR="003B155E" w:rsidRPr="00FF45DE" w14:paraId="2061EF2B" w14:textId="77777777" w:rsidTr="000D79D6">
        <w:trPr>
          <w:trHeight w:val="1149"/>
        </w:trPr>
        <w:tc>
          <w:tcPr>
            <w:tcW w:w="154" w:type="pct"/>
            <w:vAlign w:val="center"/>
          </w:tcPr>
          <w:p w14:paraId="19CC478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430" w:type="pct"/>
            <w:vAlign w:val="center"/>
          </w:tcPr>
          <w:p w14:paraId="4CE13B2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Bant yayıcının aşağıdaki tekniklerden birinin uygulaması:</w:t>
            </w:r>
          </w:p>
          <w:p w14:paraId="77A6D540" w14:textId="77777777" w:rsidR="003B155E" w:rsidRPr="00FF45DE" w:rsidRDefault="003B155E" w:rsidP="003B155E">
            <w:pPr>
              <w:numPr>
                <w:ilvl w:val="0"/>
                <w:numId w:val="171"/>
              </w:numPr>
              <w:tabs>
                <w:tab w:val="left" w:pos="308"/>
              </w:tabs>
              <w:ind w:left="274" w:right="74" w:hanging="200"/>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Hortumlu bant yayıcı</w:t>
            </w:r>
          </w:p>
          <w:p w14:paraId="564FFE25" w14:textId="77777777" w:rsidR="003B155E" w:rsidRPr="00FF45DE" w:rsidRDefault="003B155E" w:rsidP="003B155E">
            <w:pPr>
              <w:numPr>
                <w:ilvl w:val="0"/>
                <w:numId w:val="171"/>
              </w:numPr>
              <w:tabs>
                <w:tab w:val="left" w:pos="308"/>
              </w:tabs>
              <w:ind w:left="274" w:right="74" w:hanging="200"/>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Oluklu bant yayıcı</w:t>
            </w:r>
          </w:p>
        </w:tc>
        <w:tc>
          <w:tcPr>
            <w:tcW w:w="3416" w:type="pct"/>
            <w:vAlign w:val="center"/>
          </w:tcPr>
          <w:p w14:paraId="55D5C20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saman içeriği çok yüksek olduğunda veya sulu gübrenin kuru madde içeriği %10'dan fazla olduğunda uygulanabilirlik sınırlı olabilir.</w:t>
            </w:r>
          </w:p>
          <w:p w14:paraId="0482938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Oluklu tip, tohumlu büyüyen ekinler için geçerli değildir.</w:t>
            </w:r>
          </w:p>
        </w:tc>
      </w:tr>
      <w:tr w:rsidR="003B155E" w:rsidRPr="00FF45DE" w14:paraId="22EFCAF0" w14:textId="77777777" w:rsidTr="000D79D6">
        <w:trPr>
          <w:trHeight w:val="918"/>
        </w:trPr>
        <w:tc>
          <w:tcPr>
            <w:tcW w:w="154" w:type="pct"/>
            <w:vAlign w:val="center"/>
          </w:tcPr>
          <w:p w14:paraId="682111A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1430" w:type="pct"/>
            <w:vAlign w:val="center"/>
          </w:tcPr>
          <w:p w14:paraId="57AEDCA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Sığ enjektör (açık yuva)</w:t>
            </w:r>
          </w:p>
        </w:tc>
        <w:tc>
          <w:tcPr>
            <w:tcW w:w="3416" w:type="pct"/>
            <w:vAlign w:val="center"/>
          </w:tcPr>
          <w:p w14:paraId="6A53DA3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Tekdüze bir penetrasyon elde etmenin zor olduğu taşlı, sığ veya sıkıştırılmış topraklarda uygulanmaz.</w:t>
            </w:r>
          </w:p>
          <w:p w14:paraId="2DE7713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Ekinlerin makineler tarafından zarar görebileceği durumlarda uygulanabilirlik sınırlı olabilir.</w:t>
            </w:r>
          </w:p>
        </w:tc>
      </w:tr>
      <w:tr w:rsidR="003B155E" w:rsidRPr="00FF45DE" w14:paraId="778AFD34" w14:textId="77777777" w:rsidTr="000D79D6">
        <w:trPr>
          <w:trHeight w:val="920"/>
        </w:trPr>
        <w:tc>
          <w:tcPr>
            <w:tcW w:w="154" w:type="pct"/>
            <w:vAlign w:val="center"/>
          </w:tcPr>
          <w:p w14:paraId="64491F3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1430" w:type="pct"/>
            <w:vAlign w:val="center"/>
          </w:tcPr>
          <w:p w14:paraId="6440875B" w14:textId="77777777" w:rsidR="003B155E" w:rsidRPr="00FF45DE" w:rsidRDefault="003B155E" w:rsidP="000D79D6">
            <w:pPr>
              <w:tabs>
                <w:tab w:val="left" w:pos="748"/>
                <w:tab w:val="left" w:pos="1577"/>
              </w:tabs>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Derin</w:t>
            </w:r>
            <w:r w:rsidRPr="00FF45DE">
              <w:rPr>
                <w:rFonts w:ascii="Times New Roman" w:eastAsia="Times New Roman" w:hAnsi="Times New Roman" w:cs="Times New Roman"/>
                <w:lang w:val="tr"/>
              </w:rPr>
              <w:tab/>
              <w:t>enjektör</w:t>
            </w:r>
            <w:r w:rsidRPr="00FF45DE">
              <w:rPr>
                <w:rFonts w:ascii="Times New Roman" w:eastAsia="Times New Roman" w:hAnsi="Times New Roman" w:cs="Times New Roman"/>
                <w:lang w:val="tr"/>
              </w:rPr>
              <w:tab/>
              <w:t>(kapalı yuva)</w:t>
            </w:r>
          </w:p>
        </w:tc>
        <w:tc>
          <w:tcPr>
            <w:tcW w:w="3416" w:type="pct"/>
            <w:vAlign w:val="center"/>
          </w:tcPr>
          <w:p w14:paraId="1A95953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Düzgün bir penetrasyon ve etkili bir yarık kapatma elde etmenin zor olduğu taşlı, sığ veya sıkıştırılmış topraklarda uygulanmaz. Ürünlerin vejetasyonu sırasında uygulanmaz. Ekilebilir araziye geçilmedikçe veya yeniden tohumlama yapılmadıkça otlakta uygulanmaz.</w:t>
            </w:r>
          </w:p>
        </w:tc>
      </w:tr>
      <w:tr w:rsidR="003B155E" w:rsidRPr="00FF45DE" w14:paraId="534C9C2C" w14:textId="77777777" w:rsidTr="000D79D6">
        <w:trPr>
          <w:trHeight w:val="282"/>
        </w:trPr>
        <w:tc>
          <w:tcPr>
            <w:tcW w:w="154" w:type="pct"/>
            <w:vAlign w:val="center"/>
          </w:tcPr>
          <w:p w14:paraId="2A20AF0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1430" w:type="pct"/>
            <w:vAlign w:val="center"/>
          </w:tcPr>
          <w:p w14:paraId="42E6574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asitlendirme</w:t>
            </w:r>
          </w:p>
        </w:tc>
        <w:tc>
          <w:tcPr>
            <w:tcW w:w="3416" w:type="pct"/>
            <w:vAlign w:val="center"/>
          </w:tcPr>
          <w:p w14:paraId="19AE6B0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3D101967" w14:textId="640497DA" w:rsidR="003B155E"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22: </w:t>
      </w:r>
      <w:r w:rsidRPr="00EE5089">
        <w:rPr>
          <w:rFonts w:ascii="Times New Roman" w:eastAsia="Calibri" w:hAnsi="Times New Roman" w:cs="Calibri"/>
          <w:bCs/>
          <w:kern w:val="0"/>
          <w:sz w:val="24"/>
          <w14:ligatures w14:val="none"/>
        </w:rPr>
        <w:t>Gübrenin araziye yayılmasından kaynaklanan havaya amonyak emisyonlarını azaltmak için gübrenin mümkün olan en kısa sürede toprağa karıştırılır.</w:t>
      </w:r>
    </w:p>
    <w:p w14:paraId="1F428367" w14:textId="55B7CDE6" w:rsidR="0096283A" w:rsidRDefault="0096283A" w:rsidP="003B155E">
      <w:pPr>
        <w:spacing w:before="240" w:after="0" w:line="360" w:lineRule="auto"/>
        <w:jc w:val="both"/>
        <w:rPr>
          <w:rFonts w:ascii="Times New Roman" w:eastAsia="Calibri" w:hAnsi="Times New Roman" w:cs="Calibri"/>
          <w:bCs/>
          <w:kern w:val="0"/>
          <w:sz w:val="24"/>
          <w14:ligatures w14:val="none"/>
        </w:rPr>
      </w:pPr>
    </w:p>
    <w:p w14:paraId="0762D556" w14:textId="77777777" w:rsidR="0096283A" w:rsidRPr="00EE5089" w:rsidRDefault="0096283A" w:rsidP="003B155E">
      <w:pPr>
        <w:spacing w:before="240" w:after="0" w:line="360" w:lineRule="auto"/>
        <w:jc w:val="both"/>
        <w:rPr>
          <w:rFonts w:ascii="Times New Roman" w:eastAsia="Calibri" w:hAnsi="Times New Roman" w:cs="Calibri"/>
          <w:bCs/>
          <w:kern w:val="0"/>
          <w:sz w:val="24"/>
          <w14:ligatures w14:val="none"/>
        </w:rPr>
      </w:pPr>
    </w:p>
    <w:p w14:paraId="17FED541" w14:textId="77777777" w:rsidR="0096283A" w:rsidRDefault="003B155E" w:rsidP="003B155E">
      <w:pPr>
        <w:spacing w:before="240" w:after="0" w:line="360" w:lineRule="auto"/>
        <w:jc w:val="both"/>
        <w:rPr>
          <w:rFonts w:ascii="Times New Roman" w:eastAsia="Calibri" w:hAnsi="Times New Roman" w:cs="Calibri"/>
          <w:b/>
          <w:bCs/>
          <w:kern w:val="0"/>
          <w:sz w:val="24"/>
          <w14:ligatures w14:val="none"/>
        </w:rPr>
      </w:pPr>
      <w:r w:rsidRPr="00EE5089">
        <w:rPr>
          <w:rFonts w:ascii="Times New Roman" w:eastAsia="Calibri" w:hAnsi="Times New Roman" w:cs="Calibri"/>
          <w:b/>
          <w:bCs/>
          <w:kern w:val="0"/>
          <w:sz w:val="24"/>
          <w14:ligatures w14:val="none"/>
        </w:rPr>
        <w:lastRenderedPageBreak/>
        <w:t>Tanım</w:t>
      </w:r>
    </w:p>
    <w:p w14:paraId="22B356FF" w14:textId="70556B35" w:rsidR="003B155E" w:rsidRPr="0096283A" w:rsidRDefault="003B155E" w:rsidP="003B155E">
      <w:pPr>
        <w:spacing w:before="240" w:after="0" w:line="360" w:lineRule="auto"/>
        <w:jc w:val="both"/>
        <w:rPr>
          <w:rFonts w:ascii="Times New Roman" w:eastAsia="Calibri" w:hAnsi="Times New Roman" w:cs="Calibri"/>
          <w:b/>
          <w:bCs/>
          <w:kern w:val="0"/>
          <w:sz w:val="24"/>
          <w14:ligatures w14:val="none"/>
        </w:rPr>
      </w:pPr>
      <w:r w:rsidRPr="00EE5089">
        <w:rPr>
          <w:rFonts w:ascii="Times New Roman" w:eastAsia="Calibri" w:hAnsi="Times New Roman" w:cs="Calibri"/>
          <w:kern w:val="0"/>
          <w:sz w:val="24"/>
          <w14:ligatures w14:val="none"/>
        </w:rPr>
        <w:t>Gübrenin toprak yüzeyine karıştırılması, toprak tipine ve koşullarına bağlı olarak ya pullukla ya da ayaklı veya diskli tırmıklar gibi diğer yetiştirme ekipmanları kullanılarak yapılır. Gübre tamamen toprakla karıştırılır veya gömülür.</w:t>
      </w:r>
    </w:p>
    <w:p w14:paraId="551D2CC2" w14:textId="77777777" w:rsidR="003B155E" w:rsidRPr="00EE5089" w:rsidRDefault="003B155E" w:rsidP="003B155E">
      <w:pPr>
        <w:spacing w:before="240" w:after="0" w:line="360" w:lineRule="auto"/>
        <w:jc w:val="both"/>
        <w:rPr>
          <w:rFonts w:ascii="Times New Roman" w:eastAsia="Calibri" w:hAnsi="Times New Roman" w:cs="Calibri"/>
          <w:kern w:val="0"/>
          <w:sz w:val="24"/>
          <w14:ligatures w14:val="none"/>
        </w:rPr>
      </w:pPr>
      <w:r w:rsidRPr="00EE5089">
        <w:rPr>
          <w:rFonts w:ascii="Times New Roman" w:eastAsia="Calibri" w:hAnsi="Times New Roman" w:cs="Calibri"/>
          <w:kern w:val="0"/>
          <w:sz w:val="24"/>
          <w14:ligatures w14:val="none"/>
        </w:rPr>
        <w:t xml:space="preserve">Katı gübre yayma işlemi uygun bir gübre serpme makinesi (ör. döner serpme makinesi, arkadan boşaltmalı serpme makinesi, çift amaçlı serpme makinesi) ile yapılır. Sulu gübrenin araziye yayma işlemi </w:t>
      </w:r>
      <w:r w:rsidRPr="0096283A">
        <w:rPr>
          <w:rFonts w:ascii="Times New Roman" w:eastAsia="Calibri" w:hAnsi="Times New Roman" w:cs="Calibri"/>
          <w:bCs/>
          <w:kern w:val="0"/>
          <w:sz w:val="24"/>
          <w14:ligatures w14:val="none"/>
        </w:rPr>
        <w:t>MET 21'e</w:t>
      </w:r>
      <w:r w:rsidRPr="00EE5089">
        <w:rPr>
          <w:rFonts w:ascii="Times New Roman" w:eastAsia="Calibri" w:hAnsi="Times New Roman" w:cs="Calibri"/>
          <w:kern w:val="0"/>
          <w:sz w:val="24"/>
          <w14:ligatures w14:val="none"/>
        </w:rPr>
        <w:t xml:space="preserve"> göre yapılır.</w:t>
      </w:r>
    </w:p>
    <w:p w14:paraId="5B4AEA30" w14:textId="6E7F544C" w:rsidR="003B155E" w:rsidRPr="00FF45DE" w:rsidRDefault="003B155E" w:rsidP="003B155E">
      <w:pPr>
        <w:spacing w:before="240" w:after="0" w:line="360" w:lineRule="auto"/>
        <w:jc w:val="center"/>
        <w:rPr>
          <w:rFonts w:ascii="Times New Roman" w:eastAsia="Calibri" w:hAnsi="Times New Roman" w:cs="Calibri"/>
          <w:bCs/>
          <w:i/>
          <w:kern w:val="0"/>
          <w:sz w:val="24"/>
          <w:lang w:val="nl-NL"/>
          <w14:ligatures w14:val="none"/>
        </w:rPr>
      </w:pPr>
      <w:bookmarkStart w:id="32" w:name="_Ref133919598"/>
      <w:r w:rsidRPr="00FF45DE">
        <w:rPr>
          <w:rFonts w:ascii="Times New Roman" w:eastAsia="Calibri" w:hAnsi="Times New Roman" w:cs="Calibri"/>
          <w:i/>
          <w:kern w:val="0"/>
          <w:sz w:val="24"/>
          <w:lang w:val="nl-NL"/>
          <w14:ligatures w14:val="none"/>
        </w:rPr>
        <w:t xml:space="preserve">Tablo </w:t>
      </w:r>
      <w:r w:rsidRPr="00FF45DE">
        <w:rPr>
          <w:rFonts w:ascii="Times New Roman" w:eastAsia="Calibri" w:hAnsi="Times New Roman" w:cs="Calibri"/>
          <w:i/>
          <w:kern w:val="0"/>
          <w:sz w:val="24"/>
          <w:lang w:val="en-US"/>
          <w14:ligatures w14:val="none"/>
        </w:rPr>
        <w:fldChar w:fldCharType="begin"/>
      </w:r>
      <w:r w:rsidRPr="00FF45DE">
        <w:rPr>
          <w:rFonts w:ascii="Times New Roman" w:eastAsia="Calibri" w:hAnsi="Times New Roman" w:cs="Calibri"/>
          <w:i/>
          <w:kern w:val="0"/>
          <w:sz w:val="24"/>
          <w:lang w:val="nl-NL"/>
          <w14:ligatures w14:val="none"/>
        </w:rPr>
        <w:instrText xml:space="preserve"> SEQ Tablo \* ARABIC </w:instrText>
      </w:r>
      <w:r w:rsidRPr="00FF45DE">
        <w:rPr>
          <w:rFonts w:ascii="Times New Roman" w:eastAsia="Calibri" w:hAnsi="Times New Roman" w:cs="Calibri"/>
          <w:i/>
          <w:kern w:val="0"/>
          <w:sz w:val="24"/>
          <w:lang w:val="en-US"/>
          <w14:ligatures w14:val="none"/>
        </w:rPr>
        <w:fldChar w:fldCharType="separate"/>
      </w:r>
      <w:r w:rsidR="00CA3CEB">
        <w:rPr>
          <w:rFonts w:ascii="Times New Roman" w:eastAsia="Calibri" w:hAnsi="Times New Roman" w:cs="Calibri"/>
          <w:i/>
          <w:noProof/>
          <w:kern w:val="0"/>
          <w:sz w:val="24"/>
          <w:lang w:val="nl-NL"/>
          <w14:ligatures w14:val="none"/>
        </w:rPr>
        <w:t>3</w:t>
      </w:r>
      <w:r w:rsidRPr="00FF45DE">
        <w:rPr>
          <w:rFonts w:ascii="Times New Roman" w:eastAsia="Calibri" w:hAnsi="Times New Roman" w:cs="Calibri"/>
          <w:i/>
          <w:kern w:val="0"/>
          <w:sz w:val="24"/>
          <w:lang w:val="en-US"/>
          <w14:ligatures w14:val="none"/>
        </w:rPr>
        <w:fldChar w:fldCharType="end"/>
      </w:r>
      <w:bookmarkEnd w:id="32"/>
      <w:r w:rsidRPr="00FF45DE">
        <w:rPr>
          <w:rFonts w:ascii="Times New Roman" w:eastAsia="Calibri" w:hAnsi="Times New Roman" w:cs="Calibri"/>
          <w:i/>
          <w:kern w:val="0"/>
          <w:sz w:val="24"/>
          <w:lang w:val="nl-NL"/>
          <w14:ligatures w14:val="none"/>
        </w:rPr>
        <w:t>.</w:t>
      </w:r>
    </w:p>
    <w:p w14:paraId="640719DD" w14:textId="77777777" w:rsidR="003B155E" w:rsidRPr="00FF45DE" w:rsidRDefault="003B155E" w:rsidP="003B155E">
      <w:pPr>
        <w:spacing w:before="240" w:after="0" w:line="360" w:lineRule="auto"/>
        <w:jc w:val="center"/>
        <w:rPr>
          <w:rFonts w:ascii="Times New Roman" w:eastAsia="Calibri" w:hAnsi="Times New Roman" w:cs="Calibri"/>
          <w:b/>
          <w:iCs/>
          <w:color w:val="000000"/>
          <w:kern w:val="0"/>
          <w:sz w:val="24"/>
          <w:szCs w:val="18"/>
          <w:lang w:val="nl-NL"/>
          <w14:ligatures w14:val="none"/>
        </w:rPr>
      </w:pPr>
      <w:r w:rsidRPr="00FF45DE">
        <w:rPr>
          <w:rFonts w:ascii="Times New Roman" w:eastAsia="Calibri" w:hAnsi="Times New Roman" w:cs="Calibri"/>
          <w:b/>
          <w:iCs/>
          <w:color w:val="000000"/>
          <w:kern w:val="0"/>
          <w:sz w:val="24"/>
          <w:szCs w:val="18"/>
          <w:lang w:val="nl-NL"/>
          <w14:ligatures w14:val="none"/>
        </w:rPr>
        <w:t>Gübrenin araziye yayılması ile toprağa karışması arasındaki MET ile ilişkili zaman gecikmesi</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31"/>
        <w:gridCol w:w="7331"/>
      </w:tblGrid>
      <w:tr w:rsidR="003B155E" w:rsidRPr="00FF45DE" w14:paraId="3C499821" w14:textId="77777777" w:rsidTr="000D79D6">
        <w:trPr>
          <w:trHeight w:val="460"/>
        </w:trPr>
        <w:tc>
          <w:tcPr>
            <w:tcW w:w="955" w:type="pct"/>
            <w:vAlign w:val="center"/>
          </w:tcPr>
          <w:p w14:paraId="7F7818BC"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Parametre</w:t>
            </w:r>
          </w:p>
        </w:tc>
        <w:tc>
          <w:tcPr>
            <w:tcW w:w="4045" w:type="pct"/>
            <w:vAlign w:val="center"/>
          </w:tcPr>
          <w:p w14:paraId="3D59E240" w14:textId="77777777" w:rsidR="003B155E" w:rsidRPr="00FF45DE" w:rsidRDefault="003B155E" w:rsidP="000D79D6">
            <w:pPr>
              <w:ind w:left="1325" w:right="74" w:hanging="1251"/>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Gübrenin araziye yayılması ve toprağa karışması arasındaki MET ile ilişkili gecikme süresi (saat)</w:t>
            </w:r>
          </w:p>
        </w:tc>
      </w:tr>
      <w:tr w:rsidR="003B155E" w:rsidRPr="00FF45DE" w14:paraId="6E1A6E67" w14:textId="77777777" w:rsidTr="000D79D6">
        <w:trPr>
          <w:trHeight w:val="297"/>
        </w:trPr>
        <w:tc>
          <w:tcPr>
            <w:tcW w:w="955" w:type="pct"/>
          </w:tcPr>
          <w:p w14:paraId="6E5DEC86"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Süre</w:t>
            </w:r>
          </w:p>
        </w:tc>
        <w:tc>
          <w:tcPr>
            <w:tcW w:w="4045" w:type="pct"/>
          </w:tcPr>
          <w:p w14:paraId="2447B5E9"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 (</w:t>
            </w:r>
            <w:r w:rsidRPr="00FF45DE">
              <w:rPr>
                <w:rFonts w:ascii="Times New Roman" w:eastAsia="Times New Roman" w:hAnsi="Times New Roman" w:cs="Times New Roman"/>
                <w:vertAlign w:val="superscript"/>
                <w:lang w:val="tr"/>
              </w:rPr>
              <w:t>1</w:t>
            </w:r>
            <w:r w:rsidRPr="00FF45DE">
              <w:rPr>
                <w:rFonts w:ascii="Times New Roman" w:eastAsia="Times New Roman" w:hAnsi="Times New Roman" w:cs="Times New Roman"/>
                <w:lang w:val="tr"/>
              </w:rPr>
              <w:t>)</w:t>
            </w:r>
            <w:r w:rsidRPr="00FF45DE">
              <w:rPr>
                <w:rFonts w:ascii="Times New Roman" w:eastAsia="Times New Roman" w:hAnsi="Times New Roman" w:cs="Times New Roman"/>
                <w:b/>
                <w:lang w:val="tr"/>
              </w:rPr>
              <w:t>–</w:t>
            </w:r>
            <w:r w:rsidRPr="00FF45DE">
              <w:rPr>
                <w:rFonts w:ascii="Times New Roman" w:eastAsia="Times New Roman" w:hAnsi="Times New Roman" w:cs="Times New Roman"/>
                <w:lang w:val="tr"/>
              </w:rPr>
              <w:t>4 (</w:t>
            </w:r>
            <w:r w:rsidRPr="00FF45DE">
              <w:rPr>
                <w:rFonts w:ascii="Times New Roman" w:eastAsia="Times New Roman" w:hAnsi="Times New Roman" w:cs="Times New Roman"/>
                <w:vertAlign w:val="superscript"/>
                <w:lang w:val="tr"/>
              </w:rPr>
              <w:t>2</w:t>
            </w:r>
            <w:r w:rsidRPr="00FF45DE">
              <w:rPr>
                <w:rFonts w:ascii="Times New Roman" w:eastAsia="Times New Roman" w:hAnsi="Times New Roman" w:cs="Times New Roman"/>
                <w:lang w:val="tr"/>
              </w:rPr>
              <w:t>)</w:t>
            </w:r>
          </w:p>
        </w:tc>
      </w:tr>
      <w:tr w:rsidR="003B155E" w:rsidRPr="00FF45DE" w14:paraId="1263F850" w14:textId="77777777" w:rsidTr="000D79D6">
        <w:trPr>
          <w:trHeight w:val="283"/>
        </w:trPr>
        <w:tc>
          <w:tcPr>
            <w:tcW w:w="5000" w:type="pct"/>
            <w:gridSpan w:val="2"/>
          </w:tcPr>
          <w:p w14:paraId="070A5F8E" w14:textId="77777777" w:rsidR="003B155E" w:rsidRPr="00EE5089" w:rsidRDefault="003B155E" w:rsidP="003B155E">
            <w:pPr>
              <w:numPr>
                <w:ilvl w:val="0"/>
                <w:numId w:val="172"/>
              </w:numPr>
              <w:tabs>
                <w:tab w:val="left" w:pos="334"/>
              </w:tabs>
              <w:ind w:left="301" w:right="74" w:hanging="227"/>
              <w:jc w:val="both"/>
              <w:rPr>
                <w:rFonts w:ascii="Times New Roman" w:eastAsia="Times New Roman" w:hAnsi="Times New Roman" w:cs="Times New Roman"/>
                <w:i/>
                <w:sz w:val="20"/>
                <w:szCs w:val="20"/>
                <w:lang w:val="tr-TR"/>
              </w:rPr>
            </w:pPr>
            <w:r w:rsidRPr="00FF45DE">
              <w:rPr>
                <w:rFonts w:ascii="Times New Roman" w:eastAsia="Times New Roman" w:hAnsi="Times New Roman" w:cs="Times New Roman"/>
                <w:i/>
                <w:sz w:val="20"/>
                <w:szCs w:val="20"/>
                <w:lang w:val="tr"/>
              </w:rPr>
              <w:t>Aralığın alt ucu, hemen karıştırmaya karşılık gelir.</w:t>
            </w:r>
          </w:p>
          <w:p w14:paraId="3400810F" w14:textId="77777777" w:rsidR="003B155E" w:rsidRPr="00EE5089" w:rsidRDefault="003B155E" w:rsidP="003B155E">
            <w:pPr>
              <w:numPr>
                <w:ilvl w:val="0"/>
                <w:numId w:val="172"/>
              </w:numPr>
              <w:tabs>
                <w:tab w:val="left" w:pos="377"/>
              </w:tabs>
              <w:ind w:left="360" w:right="74" w:hanging="286"/>
              <w:jc w:val="both"/>
              <w:rPr>
                <w:rFonts w:ascii="Times New Roman" w:eastAsia="Times New Roman" w:hAnsi="Times New Roman" w:cs="Times New Roman"/>
                <w:i/>
                <w:sz w:val="20"/>
                <w:szCs w:val="20"/>
                <w:lang w:val="tr-TR"/>
              </w:rPr>
            </w:pPr>
            <w:r w:rsidRPr="00FF45DE">
              <w:rPr>
                <w:rFonts w:ascii="Times New Roman" w:eastAsia="Times New Roman" w:hAnsi="Times New Roman" w:cs="Times New Roman"/>
                <w:i/>
                <w:sz w:val="20"/>
                <w:szCs w:val="20"/>
                <w:lang w:val="tr"/>
              </w:rPr>
              <w:t>Aralığın üst sınırı, örneğin insan ve makine kaynaklarının ekonomik olarak mevcut olmadığı durumlarda, koşulların daha hızlı karıştırma için elverişli olmadığı durumlarda 12 saate kadar çıkabilir.</w:t>
            </w:r>
          </w:p>
        </w:tc>
      </w:tr>
    </w:tbl>
    <w:p w14:paraId="2039E311"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33" w:name="_Toc136614313"/>
      <w:r w:rsidRPr="00EE5089">
        <w:rPr>
          <w:rFonts w:ascii="Times New Roman" w:eastAsia="DengXian Light" w:hAnsi="Times New Roman" w:cs="Microsoft Uighur"/>
          <w:b/>
          <w:kern w:val="0"/>
          <w:sz w:val="24"/>
          <w:szCs w:val="26"/>
          <w14:ligatures w14:val="none"/>
        </w:rPr>
        <w:t>Tüm Üretim Sürecinden Kaynaklanan Emisyonlar</w:t>
      </w:r>
      <w:bookmarkEnd w:id="33"/>
    </w:p>
    <w:p w14:paraId="67C8BA05"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23: </w:t>
      </w:r>
      <w:r w:rsidRPr="00EE5089">
        <w:rPr>
          <w:rFonts w:ascii="Times New Roman" w:eastAsia="Calibri" w:hAnsi="Times New Roman" w:cs="Calibri"/>
          <w:bCs/>
          <w:kern w:val="0"/>
          <w:sz w:val="24"/>
          <w14:ligatures w14:val="none"/>
        </w:rPr>
        <w:t>Domuz (doğum yapmış dişi domuzlar dahil) veya kümes hayvanlarının yetiştirilmesi kapsamında tüm üretim sürecinden kaynaklanan amonyak emisyonlarını azaltmak için çiftlikte uygulanan MET’i kullanarak tüm üretim sürecinden kaynaklanan amonyak emisyonlarının azaltılmasının tahmin edilip veya hesaplanır.</w:t>
      </w:r>
    </w:p>
    <w:p w14:paraId="1A955086"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34" w:name="_Toc136614314"/>
      <w:r w:rsidRPr="00EE5089">
        <w:rPr>
          <w:rFonts w:ascii="Times New Roman" w:eastAsia="DengXian Light" w:hAnsi="Times New Roman" w:cs="Microsoft Uighur"/>
          <w:b/>
          <w:kern w:val="0"/>
          <w:sz w:val="24"/>
          <w:szCs w:val="26"/>
          <w14:ligatures w14:val="none"/>
        </w:rPr>
        <w:t xml:space="preserve">Emisyonların ve Proses Parametrelerinin </w:t>
      </w:r>
      <w:bookmarkEnd w:id="34"/>
      <w:r w:rsidRPr="00EE5089">
        <w:rPr>
          <w:rFonts w:ascii="Times New Roman" w:eastAsia="DengXian Light" w:hAnsi="Times New Roman" w:cs="Microsoft Uighur"/>
          <w:b/>
          <w:kern w:val="0"/>
          <w:sz w:val="24"/>
          <w:szCs w:val="26"/>
          <w14:ligatures w14:val="none"/>
        </w:rPr>
        <w:t>Takibi</w:t>
      </w:r>
    </w:p>
    <w:p w14:paraId="6D3EDE13"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24: </w:t>
      </w:r>
      <w:r w:rsidRPr="00EE5089">
        <w:rPr>
          <w:rFonts w:ascii="Times New Roman" w:eastAsia="Calibri" w:hAnsi="Times New Roman" w:cs="Calibri"/>
          <w:bCs/>
          <w:kern w:val="0"/>
          <w:sz w:val="24"/>
          <w14:ligatures w14:val="none"/>
        </w:rPr>
        <w:t>Aşağıdaki tekniklerden biri kullanılarak en az aşağıda verilen sıklıkta gübreyle atılan toplam azot ve toplam fosfor takip edilir.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3547"/>
        <w:gridCol w:w="2929"/>
        <w:gridCol w:w="2309"/>
      </w:tblGrid>
      <w:tr w:rsidR="003B155E" w:rsidRPr="00FF45DE" w14:paraId="155267DA" w14:textId="77777777" w:rsidTr="000D79D6">
        <w:trPr>
          <w:trHeight w:val="340"/>
        </w:trPr>
        <w:tc>
          <w:tcPr>
            <w:tcW w:w="153" w:type="pct"/>
          </w:tcPr>
          <w:p w14:paraId="1FDA5DFD" w14:textId="77777777" w:rsidR="003B155E" w:rsidRPr="00EE5089" w:rsidRDefault="003B155E" w:rsidP="000D79D6">
            <w:pPr>
              <w:ind w:left="74" w:right="74"/>
              <w:rPr>
                <w:rFonts w:ascii="Times New Roman" w:eastAsia="Times New Roman" w:hAnsi="Times New Roman" w:cs="Times New Roman"/>
                <w:lang w:val="tr-TR"/>
              </w:rPr>
            </w:pPr>
          </w:p>
        </w:tc>
        <w:tc>
          <w:tcPr>
            <w:tcW w:w="1957" w:type="pct"/>
          </w:tcPr>
          <w:p w14:paraId="175479B8"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1616" w:type="pct"/>
          </w:tcPr>
          <w:p w14:paraId="1ECE544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Sıklık</w:t>
            </w:r>
          </w:p>
        </w:tc>
        <w:tc>
          <w:tcPr>
            <w:tcW w:w="1274" w:type="pct"/>
          </w:tcPr>
          <w:p w14:paraId="6C83BF6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00CEF745" w14:textId="77777777" w:rsidTr="000D79D6">
        <w:trPr>
          <w:trHeight w:val="1151"/>
        </w:trPr>
        <w:tc>
          <w:tcPr>
            <w:tcW w:w="153" w:type="pct"/>
            <w:vAlign w:val="center"/>
          </w:tcPr>
          <w:p w14:paraId="1566C7E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957" w:type="pct"/>
            <w:vAlign w:val="center"/>
          </w:tcPr>
          <w:p w14:paraId="230EA04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Yem tüketimi, beslenmeye alınan ham protein içeriği, toplam fosfor ve hayvan performansına bağlı olarak azot ve fosfor kütle dengesi kullanılarak hesaplama</w:t>
            </w:r>
          </w:p>
        </w:tc>
        <w:tc>
          <w:tcPr>
            <w:tcW w:w="1616" w:type="pct"/>
            <w:vMerge w:val="restart"/>
            <w:vAlign w:val="center"/>
          </w:tcPr>
          <w:p w14:paraId="0326F38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Her hayvan kategorisi için yılda bir kez.</w:t>
            </w:r>
          </w:p>
        </w:tc>
        <w:tc>
          <w:tcPr>
            <w:tcW w:w="1274" w:type="pct"/>
            <w:vMerge w:val="restart"/>
            <w:vAlign w:val="center"/>
          </w:tcPr>
          <w:p w14:paraId="085A071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42E5391A" w14:textId="77777777" w:rsidTr="000D79D6">
        <w:trPr>
          <w:trHeight w:val="688"/>
        </w:trPr>
        <w:tc>
          <w:tcPr>
            <w:tcW w:w="153" w:type="pct"/>
            <w:vAlign w:val="center"/>
          </w:tcPr>
          <w:p w14:paraId="1EF0CA7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957" w:type="pct"/>
            <w:vAlign w:val="center"/>
          </w:tcPr>
          <w:p w14:paraId="169492A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Toplam azot ve toplam fosfor içeriği için gübre analizi kullanılarak tahmin yapılması</w:t>
            </w:r>
          </w:p>
        </w:tc>
        <w:tc>
          <w:tcPr>
            <w:tcW w:w="1616" w:type="pct"/>
            <w:vMerge/>
            <w:tcBorders>
              <w:top w:val="nil"/>
            </w:tcBorders>
            <w:vAlign w:val="center"/>
          </w:tcPr>
          <w:p w14:paraId="5CCAD111" w14:textId="77777777" w:rsidR="003B155E" w:rsidRPr="00FF45DE" w:rsidRDefault="003B155E" w:rsidP="000D79D6">
            <w:pPr>
              <w:ind w:left="74" w:right="74"/>
              <w:rPr>
                <w:rFonts w:ascii="Times New Roman" w:eastAsia="Calibri" w:hAnsi="Times New Roman" w:cs="Times New Roman"/>
              </w:rPr>
            </w:pPr>
          </w:p>
        </w:tc>
        <w:tc>
          <w:tcPr>
            <w:tcW w:w="1274" w:type="pct"/>
            <w:vMerge/>
            <w:tcBorders>
              <w:top w:val="nil"/>
            </w:tcBorders>
            <w:vAlign w:val="center"/>
          </w:tcPr>
          <w:p w14:paraId="6BC36ACD" w14:textId="77777777" w:rsidR="003B155E" w:rsidRPr="00FF45DE" w:rsidRDefault="003B155E" w:rsidP="000D79D6">
            <w:pPr>
              <w:ind w:left="74" w:right="74"/>
              <w:rPr>
                <w:rFonts w:ascii="Times New Roman" w:eastAsia="Calibri" w:hAnsi="Times New Roman" w:cs="Times New Roman"/>
              </w:rPr>
            </w:pPr>
          </w:p>
        </w:tc>
      </w:tr>
    </w:tbl>
    <w:p w14:paraId="2EB4F29D" w14:textId="77777777" w:rsidR="0096283A" w:rsidRDefault="0096283A" w:rsidP="003B155E">
      <w:pPr>
        <w:spacing w:before="240" w:after="0" w:line="360" w:lineRule="auto"/>
        <w:jc w:val="both"/>
        <w:rPr>
          <w:rFonts w:ascii="Times New Roman" w:eastAsia="Calibri" w:hAnsi="Times New Roman" w:cs="Calibri"/>
          <w:b/>
          <w:bCs/>
          <w:kern w:val="0"/>
          <w:sz w:val="24"/>
          <w14:ligatures w14:val="none"/>
        </w:rPr>
      </w:pPr>
    </w:p>
    <w:p w14:paraId="6ECC7362" w14:textId="2647E1FA"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lastRenderedPageBreak/>
        <w:t xml:space="preserve">MET 25: </w:t>
      </w:r>
      <w:r w:rsidRPr="00EE5089">
        <w:rPr>
          <w:rFonts w:ascii="Times New Roman" w:eastAsia="Calibri" w:hAnsi="Times New Roman" w:cs="Calibri"/>
          <w:bCs/>
          <w:kern w:val="0"/>
          <w:sz w:val="24"/>
          <w14:ligatures w14:val="none"/>
        </w:rPr>
        <w:t>En az aşağıda verilen sıklıkta aşağıdaki tekniklerden biri kullanılarak havaya amonyak emisyonları takip edilir.</w:t>
      </w:r>
    </w:p>
    <w:tbl>
      <w:tblPr>
        <w:tblStyle w:val="TableNormal0"/>
        <w:tblW w:w="50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6"/>
        <w:gridCol w:w="2570"/>
        <w:gridCol w:w="3276"/>
        <w:gridCol w:w="3023"/>
      </w:tblGrid>
      <w:tr w:rsidR="003B155E" w:rsidRPr="00FF45DE" w14:paraId="4A74B61D" w14:textId="77777777" w:rsidTr="000D79D6">
        <w:trPr>
          <w:trHeight w:val="230"/>
          <w:tblHeader/>
        </w:trPr>
        <w:tc>
          <w:tcPr>
            <w:tcW w:w="151" w:type="pct"/>
          </w:tcPr>
          <w:p w14:paraId="347367BF" w14:textId="77777777" w:rsidR="003B155E" w:rsidRPr="00EE5089" w:rsidRDefault="003B155E" w:rsidP="000D79D6">
            <w:pPr>
              <w:ind w:left="74" w:right="74"/>
              <w:rPr>
                <w:rFonts w:ascii="Times New Roman" w:eastAsia="Times New Roman" w:hAnsi="Times New Roman" w:cs="Times New Roman"/>
                <w:lang w:val="tr-TR"/>
              </w:rPr>
            </w:pPr>
          </w:p>
        </w:tc>
        <w:tc>
          <w:tcPr>
            <w:tcW w:w="1405" w:type="pct"/>
          </w:tcPr>
          <w:p w14:paraId="4A5FC8A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1791" w:type="pct"/>
          </w:tcPr>
          <w:p w14:paraId="57A1865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Sıklık</w:t>
            </w:r>
          </w:p>
        </w:tc>
        <w:tc>
          <w:tcPr>
            <w:tcW w:w="1653" w:type="pct"/>
          </w:tcPr>
          <w:p w14:paraId="6AAB58A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5216BB15" w14:textId="77777777" w:rsidTr="000D79D6">
        <w:trPr>
          <w:trHeight w:val="1379"/>
        </w:trPr>
        <w:tc>
          <w:tcPr>
            <w:tcW w:w="151" w:type="pct"/>
            <w:vAlign w:val="center"/>
          </w:tcPr>
          <w:p w14:paraId="7A7B604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405" w:type="pct"/>
            <w:vAlign w:val="center"/>
          </w:tcPr>
          <w:p w14:paraId="6A28A92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Her gübre yönetimi aşamasında mevcut olan toplam (veya toplam amonyak) azota ve salıma dayalı bir kütle dengesi kullanılarak tahmin yapılması</w:t>
            </w:r>
          </w:p>
        </w:tc>
        <w:tc>
          <w:tcPr>
            <w:tcW w:w="1791" w:type="pct"/>
            <w:tcBorders>
              <w:right w:val="nil"/>
            </w:tcBorders>
            <w:vAlign w:val="center"/>
          </w:tcPr>
          <w:p w14:paraId="34ED393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Her bir hayvan kategorisi için yılda bir kez</w:t>
            </w:r>
          </w:p>
        </w:tc>
        <w:tc>
          <w:tcPr>
            <w:tcW w:w="1653" w:type="pct"/>
            <w:vAlign w:val="center"/>
          </w:tcPr>
          <w:p w14:paraId="0BB8F83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79ACF199" w14:textId="77777777" w:rsidTr="000D79D6">
        <w:trPr>
          <w:trHeight w:val="2071"/>
        </w:trPr>
        <w:tc>
          <w:tcPr>
            <w:tcW w:w="151" w:type="pct"/>
            <w:vAlign w:val="center"/>
          </w:tcPr>
          <w:p w14:paraId="4D13E67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405" w:type="pct"/>
            <w:vAlign w:val="center"/>
          </w:tcPr>
          <w:p w14:paraId="0F7CB11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ISO, ulusal veya uluslararası standart yöntemler veya eşdeğer bilimsel kalitede veri sağlayan diğer yöntemler kullanılarak amonyak konsantrasyonunun ve havalandırma oranının ölçülmesiyle hesaplama</w:t>
            </w:r>
          </w:p>
        </w:tc>
        <w:tc>
          <w:tcPr>
            <w:tcW w:w="1791" w:type="pct"/>
            <w:vAlign w:val="center"/>
          </w:tcPr>
          <w:p w14:paraId="3DA31EC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Aşağıdaki parametrelerden en az birinde önemli değişiklikler olduğu her zaman:</w:t>
            </w:r>
          </w:p>
          <w:p w14:paraId="35E11E40" w14:textId="77777777" w:rsidR="003B155E" w:rsidRPr="00FF45DE" w:rsidRDefault="003B155E" w:rsidP="003B155E">
            <w:pPr>
              <w:numPr>
                <w:ilvl w:val="0"/>
                <w:numId w:val="173"/>
              </w:numPr>
              <w:tabs>
                <w:tab w:val="left" w:pos="427"/>
              </w:tabs>
              <w:ind w:left="43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Çiftlikte yetiştirilen hayvan türü</w:t>
            </w:r>
          </w:p>
          <w:p w14:paraId="18524230" w14:textId="77777777" w:rsidR="003B155E" w:rsidRPr="00FF45DE" w:rsidRDefault="003B155E" w:rsidP="003B155E">
            <w:pPr>
              <w:numPr>
                <w:ilvl w:val="0"/>
                <w:numId w:val="173"/>
              </w:numPr>
              <w:tabs>
                <w:tab w:val="left" w:pos="427"/>
              </w:tabs>
              <w:ind w:left="43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Barınak sistemi</w:t>
            </w:r>
          </w:p>
        </w:tc>
        <w:tc>
          <w:tcPr>
            <w:tcW w:w="1653" w:type="pct"/>
            <w:vAlign w:val="center"/>
          </w:tcPr>
          <w:p w14:paraId="26C1E31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Sadece her hayvan barınağından çıkan emisyonlarda uygulanır.</w:t>
            </w:r>
          </w:p>
          <w:p w14:paraId="7732816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Hava temizleme sistemi kurulu tesislerde uygulanmaz. Bu durumda </w:t>
            </w:r>
            <w:hyperlink w:anchor="_bookmark998" w:history="1">
              <w:r w:rsidRPr="00FF45DE">
                <w:rPr>
                  <w:rFonts w:ascii="Times New Roman" w:eastAsia="Times New Roman" w:hAnsi="Times New Roman" w:cs="Times New Roman"/>
                  <w:b/>
                  <w:lang w:val="tr"/>
                </w:rPr>
                <w:t>MET 28</w:t>
              </w:r>
            </w:hyperlink>
            <w:r w:rsidRPr="00FF45DE">
              <w:rPr>
                <w:rFonts w:ascii="Times New Roman" w:eastAsia="Times New Roman" w:hAnsi="Times New Roman" w:cs="Times New Roman"/>
                <w:lang w:val="tr"/>
              </w:rPr>
              <w:t xml:space="preserve"> uygulanır.</w:t>
            </w:r>
          </w:p>
          <w:p w14:paraId="679C7E7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Ölçümlerin maliyeti nedeniyle bu teknik genel olarak uygulanamayabilir.</w:t>
            </w:r>
          </w:p>
        </w:tc>
      </w:tr>
      <w:tr w:rsidR="003B155E" w:rsidRPr="00FF45DE" w14:paraId="42665710" w14:textId="77777777" w:rsidTr="000D79D6">
        <w:trPr>
          <w:trHeight w:val="567"/>
        </w:trPr>
        <w:tc>
          <w:tcPr>
            <w:tcW w:w="151" w:type="pct"/>
            <w:vAlign w:val="center"/>
          </w:tcPr>
          <w:p w14:paraId="7ABD6E45" w14:textId="77777777" w:rsidR="003B155E" w:rsidRPr="00FF45DE" w:rsidRDefault="003B155E" w:rsidP="000D79D6">
            <w:pPr>
              <w:ind w:left="74" w:right="74"/>
              <w:rPr>
                <w:rFonts w:ascii="Times New Roman" w:eastAsia="Times New Roman" w:hAnsi="Times New Roman" w:cs="Times New Roman"/>
                <w:bCs/>
                <w:lang w:val="en-GB"/>
              </w:rPr>
            </w:pPr>
            <w:r w:rsidRPr="00FF45DE">
              <w:rPr>
                <w:rFonts w:ascii="Times New Roman" w:eastAsia="Times New Roman" w:hAnsi="Times New Roman" w:cs="Times New Roman"/>
                <w:bCs/>
                <w:lang w:val="en-GB"/>
              </w:rPr>
              <w:t>c</w:t>
            </w:r>
          </w:p>
        </w:tc>
        <w:tc>
          <w:tcPr>
            <w:tcW w:w="1405" w:type="pct"/>
            <w:vAlign w:val="center"/>
          </w:tcPr>
          <w:p w14:paraId="503C384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Emisyon faktörleri kullanılarak tahmin</w:t>
            </w:r>
          </w:p>
        </w:tc>
        <w:tc>
          <w:tcPr>
            <w:tcW w:w="1791" w:type="pct"/>
            <w:vAlign w:val="center"/>
          </w:tcPr>
          <w:p w14:paraId="31484607" w14:textId="77777777" w:rsidR="003B155E" w:rsidRPr="00FF45DE" w:rsidRDefault="003B155E" w:rsidP="000D79D6">
            <w:pPr>
              <w:ind w:left="74" w:right="74"/>
              <w:rPr>
                <w:rFonts w:ascii="Times New Roman" w:eastAsia="Times New Roman" w:hAnsi="Times New Roman" w:cs="Times New Roman"/>
                <w:b/>
                <w:lang w:val="en-GB"/>
              </w:rPr>
            </w:pPr>
            <w:r w:rsidRPr="00FF45DE">
              <w:rPr>
                <w:rFonts w:ascii="Times New Roman" w:eastAsia="Times New Roman" w:hAnsi="Times New Roman" w:cs="Times New Roman"/>
                <w:lang w:val="tr"/>
              </w:rPr>
              <w:t>Her bir hayvan kategorisi için yılda bir kez</w:t>
            </w:r>
          </w:p>
        </w:tc>
        <w:tc>
          <w:tcPr>
            <w:tcW w:w="1653" w:type="pct"/>
            <w:vAlign w:val="center"/>
          </w:tcPr>
          <w:p w14:paraId="3CB3378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Genel olarak uygulanabilir.</w:t>
            </w:r>
          </w:p>
        </w:tc>
      </w:tr>
    </w:tbl>
    <w:p w14:paraId="6B26E7E9"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26: </w:t>
      </w:r>
      <w:r w:rsidRPr="00EE5089">
        <w:rPr>
          <w:rFonts w:ascii="Times New Roman" w:eastAsia="Calibri" w:hAnsi="Times New Roman" w:cs="Calibri"/>
          <w:bCs/>
          <w:kern w:val="0"/>
          <w:sz w:val="24"/>
          <w14:ligatures w14:val="none"/>
        </w:rPr>
        <w:t>Havaya yayılan koku emisyonları periyodik olarak takip edilir.</w:t>
      </w:r>
    </w:p>
    <w:p w14:paraId="4E9BD373" w14:textId="77777777" w:rsidR="003B155E" w:rsidRPr="00EE5089" w:rsidRDefault="003B155E" w:rsidP="003B155E">
      <w:pPr>
        <w:spacing w:before="240" w:after="0" w:line="360" w:lineRule="auto"/>
        <w:jc w:val="both"/>
        <w:rPr>
          <w:rFonts w:ascii="Times New Roman" w:eastAsia="Calibri" w:hAnsi="Times New Roman" w:cs="Calibri"/>
          <w:b/>
          <w:bCs/>
          <w:kern w:val="0"/>
          <w:sz w:val="24"/>
          <w14:ligatures w14:val="none"/>
        </w:rPr>
      </w:pPr>
      <w:r w:rsidRPr="00EE5089">
        <w:rPr>
          <w:rFonts w:ascii="Times New Roman" w:eastAsia="Calibri" w:hAnsi="Times New Roman" w:cs="Calibri"/>
          <w:b/>
          <w:bCs/>
          <w:kern w:val="0"/>
          <w:sz w:val="24"/>
          <w14:ligatures w14:val="none"/>
        </w:rPr>
        <w:t>Tanım</w:t>
      </w:r>
    </w:p>
    <w:p w14:paraId="4B0BBBB8" w14:textId="77777777" w:rsidR="003B155E" w:rsidRPr="00EE5089" w:rsidRDefault="003B155E" w:rsidP="003B155E">
      <w:pPr>
        <w:spacing w:before="240" w:after="0" w:line="360" w:lineRule="auto"/>
        <w:jc w:val="both"/>
        <w:rPr>
          <w:rFonts w:ascii="Times New Roman" w:eastAsia="Calibri" w:hAnsi="Times New Roman" w:cs="Calibri"/>
          <w:kern w:val="0"/>
          <w:sz w:val="24"/>
          <w14:ligatures w14:val="none"/>
        </w:rPr>
      </w:pPr>
      <w:r w:rsidRPr="00EE5089">
        <w:rPr>
          <w:rFonts w:ascii="Times New Roman" w:eastAsia="Calibri" w:hAnsi="Times New Roman" w:cs="Calibri"/>
          <w:kern w:val="0"/>
          <w:sz w:val="24"/>
          <w14:ligatures w14:val="none"/>
        </w:rPr>
        <w:t xml:space="preserve">Koku emisyonları aşağıdakiler kullanılarak izlenebilir: </w:t>
      </w:r>
    </w:p>
    <w:p w14:paraId="1C2D4CA0" w14:textId="77777777" w:rsidR="003B155E" w:rsidRPr="00FF45DE" w:rsidRDefault="003B155E" w:rsidP="003B155E">
      <w:pPr>
        <w:numPr>
          <w:ilvl w:val="0"/>
          <w:numId w:val="169"/>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 xml:space="preserve">TS EN standartları (ör. koku konsantrasyonunu belirlemek için TS EN 13725:2022'ye göre dinamik olfaktometri kullanarak). </w:t>
      </w:r>
    </w:p>
    <w:p w14:paraId="10E1543E" w14:textId="77777777" w:rsidR="003B155E" w:rsidRPr="00FF45DE" w:rsidRDefault="003B155E" w:rsidP="003B155E">
      <w:pPr>
        <w:numPr>
          <w:ilvl w:val="0"/>
          <w:numId w:val="169"/>
        </w:numPr>
        <w:spacing w:before="240" w:after="0" w:line="360" w:lineRule="auto"/>
        <w:contextualSpacing/>
        <w:jc w:val="both"/>
        <w:rPr>
          <w:rFonts w:ascii="Times New Roman" w:eastAsia="Calibri" w:hAnsi="Times New Roman" w:cs="Calibri"/>
          <w:kern w:val="0"/>
          <w:sz w:val="24"/>
          <w:lang w:val="nl-NL"/>
          <w14:ligatures w14:val="none"/>
        </w:rPr>
      </w:pPr>
      <w:r w:rsidRPr="00FF45DE">
        <w:rPr>
          <w:rFonts w:ascii="Times New Roman" w:eastAsia="Calibri" w:hAnsi="Times New Roman" w:cs="Calibri"/>
          <w:kern w:val="0"/>
          <w:sz w:val="24"/>
          <w:lang w:val="nl-NL"/>
          <w14:ligatures w14:val="none"/>
        </w:rPr>
        <w:t>Hiçbir TS EN standardının mevcut olmadığı alternatif yöntemler uygulanırken (ör. kokuya maruz kalmanın ölçülmesi/tahmin edilmesi, koku etkisinin tahmin edilmesi), eşdeğer bilimsel kalitede verilerin sağlanmasını sağlayan ISO, ulusal veya diğer uluslararası standartlar kullanılabilir.</w:t>
      </w:r>
    </w:p>
    <w:p w14:paraId="2F699841"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nl-NL"/>
          <w14:ligatures w14:val="none"/>
        </w:rPr>
      </w:pPr>
      <w:r w:rsidRPr="00FF45DE">
        <w:rPr>
          <w:rFonts w:ascii="Times New Roman" w:eastAsia="Calibri" w:hAnsi="Times New Roman" w:cs="Calibri"/>
          <w:b/>
          <w:bCs/>
          <w:kern w:val="0"/>
          <w:sz w:val="24"/>
          <w:lang w:val="nl-NL"/>
          <w14:ligatures w14:val="none"/>
        </w:rPr>
        <w:t xml:space="preserve">MET 27: </w:t>
      </w:r>
      <w:r w:rsidRPr="00FF45DE">
        <w:rPr>
          <w:rFonts w:ascii="Times New Roman" w:eastAsia="Calibri" w:hAnsi="Times New Roman" w:cs="Calibri"/>
          <w:bCs/>
          <w:kern w:val="0"/>
          <w:sz w:val="24"/>
          <w:lang w:val="nl-NL"/>
          <w14:ligatures w14:val="none"/>
        </w:rPr>
        <w:t>En az aşağıda verilen sıklıkta aşağıdaki tekniklerden biri kullanılarak her bir hayvan barınağından kaynaklanan toz emisyonları izlenir.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
        <w:gridCol w:w="3097"/>
        <w:gridCol w:w="2496"/>
        <w:gridCol w:w="3192"/>
      </w:tblGrid>
      <w:tr w:rsidR="003B155E" w:rsidRPr="00FF45DE" w14:paraId="19DCBA6F" w14:textId="77777777" w:rsidTr="000D79D6">
        <w:trPr>
          <w:trHeight w:val="230"/>
        </w:trPr>
        <w:tc>
          <w:tcPr>
            <w:tcW w:w="153" w:type="pct"/>
          </w:tcPr>
          <w:p w14:paraId="0102C544" w14:textId="77777777" w:rsidR="003B155E" w:rsidRPr="00FF45DE" w:rsidRDefault="003B155E" w:rsidP="000D79D6">
            <w:pPr>
              <w:ind w:left="74" w:right="74"/>
              <w:rPr>
                <w:rFonts w:ascii="Times New Roman" w:eastAsia="Times New Roman" w:hAnsi="Times New Roman" w:cs="Times New Roman"/>
                <w:lang w:val="nl-NL"/>
              </w:rPr>
            </w:pPr>
          </w:p>
        </w:tc>
        <w:tc>
          <w:tcPr>
            <w:tcW w:w="1709" w:type="pct"/>
          </w:tcPr>
          <w:p w14:paraId="62567866"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b/>
                <w:lang w:val="tr"/>
              </w:rPr>
              <w:t xml:space="preserve">Teknik </w:t>
            </w:r>
          </w:p>
        </w:tc>
        <w:tc>
          <w:tcPr>
            <w:tcW w:w="1377" w:type="pct"/>
          </w:tcPr>
          <w:p w14:paraId="2A55D1D3"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Sıklık</w:t>
            </w:r>
          </w:p>
        </w:tc>
        <w:tc>
          <w:tcPr>
            <w:tcW w:w="1761" w:type="pct"/>
          </w:tcPr>
          <w:p w14:paraId="395F58C1"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5DCC2EE8" w14:textId="77777777" w:rsidTr="000D79D6">
        <w:trPr>
          <w:trHeight w:val="1840"/>
        </w:trPr>
        <w:tc>
          <w:tcPr>
            <w:tcW w:w="153" w:type="pct"/>
            <w:vAlign w:val="center"/>
          </w:tcPr>
          <w:p w14:paraId="43E8F16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709" w:type="pct"/>
            <w:vAlign w:val="center"/>
          </w:tcPr>
          <w:p w14:paraId="5A81649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Eşdeğer bir bilimsel kalitede veri sağlayan TS EN standart yöntemleri veya diğer yöntemler (ISO, ulusal veya uluslararası) kullanılarak toz konsantrasyonu ve havalandırma oranını ölçerek hesaplama</w:t>
            </w:r>
          </w:p>
        </w:tc>
        <w:tc>
          <w:tcPr>
            <w:tcW w:w="1377" w:type="pct"/>
            <w:vAlign w:val="center"/>
          </w:tcPr>
          <w:p w14:paraId="30FCD7D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Her yıl bir kez.</w:t>
            </w:r>
          </w:p>
        </w:tc>
        <w:tc>
          <w:tcPr>
            <w:tcW w:w="1761" w:type="pct"/>
            <w:vAlign w:val="center"/>
          </w:tcPr>
          <w:p w14:paraId="6EF1048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Sadece her hayvan barınağından çıkan toz emisyonları için geçerlidir.</w:t>
            </w:r>
          </w:p>
          <w:p w14:paraId="2F48B74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Hava temizleme sistemi kurulu tesislerde uygulanmaz. Bu durumda </w:t>
            </w:r>
            <w:hyperlink w:anchor="_bookmark998" w:history="1">
              <w:r w:rsidRPr="00FF45DE">
                <w:rPr>
                  <w:rFonts w:ascii="Times New Roman" w:eastAsia="Times New Roman" w:hAnsi="Times New Roman" w:cs="Times New Roman"/>
                  <w:b/>
                  <w:lang w:val="tr"/>
                </w:rPr>
                <w:t>MET 28</w:t>
              </w:r>
            </w:hyperlink>
            <w:r w:rsidRPr="00FF45DE">
              <w:rPr>
                <w:rFonts w:ascii="Times New Roman" w:eastAsia="Times New Roman" w:hAnsi="Times New Roman" w:cs="Times New Roman"/>
                <w:lang w:val="tr"/>
              </w:rPr>
              <w:t xml:space="preserve"> uygulanır.</w:t>
            </w:r>
          </w:p>
          <w:p w14:paraId="13AC8DE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Ölçümlerin maliyeti nedeniyle bu teknik genel olarak uygulanamayabilir.</w:t>
            </w:r>
          </w:p>
        </w:tc>
      </w:tr>
      <w:tr w:rsidR="003B155E" w:rsidRPr="00FF45DE" w14:paraId="4F4323BE" w14:textId="77777777" w:rsidTr="000D79D6">
        <w:trPr>
          <w:trHeight w:val="691"/>
        </w:trPr>
        <w:tc>
          <w:tcPr>
            <w:tcW w:w="153" w:type="pct"/>
            <w:vAlign w:val="center"/>
          </w:tcPr>
          <w:p w14:paraId="7D30544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b</w:t>
            </w:r>
          </w:p>
        </w:tc>
        <w:tc>
          <w:tcPr>
            <w:tcW w:w="1709" w:type="pct"/>
            <w:vAlign w:val="center"/>
          </w:tcPr>
          <w:p w14:paraId="421DBAA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Emisyon faktörleri kullanılarak tahmin</w:t>
            </w:r>
          </w:p>
        </w:tc>
        <w:tc>
          <w:tcPr>
            <w:tcW w:w="1377" w:type="pct"/>
            <w:vAlign w:val="center"/>
          </w:tcPr>
          <w:p w14:paraId="098F500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Her yıl bir kez.</w:t>
            </w:r>
          </w:p>
        </w:tc>
        <w:tc>
          <w:tcPr>
            <w:tcW w:w="1761" w:type="pct"/>
            <w:vAlign w:val="center"/>
          </w:tcPr>
          <w:p w14:paraId="59FCB89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Emisyon faktörlerini oluşturmanın maliyeti nedeniyle bu teknik genel olarak uygulanamayabilir.</w:t>
            </w:r>
          </w:p>
        </w:tc>
      </w:tr>
    </w:tbl>
    <w:p w14:paraId="5DBF1F84" w14:textId="77777777" w:rsidR="003B155E" w:rsidRPr="00EE5089" w:rsidRDefault="003B155E" w:rsidP="003B155E">
      <w:pPr>
        <w:spacing w:before="240"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28: </w:t>
      </w:r>
      <w:r w:rsidRPr="00EE5089">
        <w:rPr>
          <w:rFonts w:ascii="Times New Roman" w:eastAsia="Calibri" w:hAnsi="Times New Roman" w:cs="Calibri"/>
          <w:bCs/>
          <w:kern w:val="0"/>
          <w:sz w:val="24"/>
          <w14:ligatures w14:val="none"/>
        </w:rPr>
        <w:t>Aşağıdaki tekniklerin tümü kullanılarak en az aşağıda verilen sıklıkta hava temizleme sistemi ile donatılmış her bir hayvan kümesinden kaynaklanan amonyak, toz ve/veya koku emisyonları izlenir.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8"/>
        <w:gridCol w:w="3902"/>
        <w:gridCol w:w="1658"/>
        <w:gridCol w:w="3224"/>
      </w:tblGrid>
      <w:tr w:rsidR="003B155E" w:rsidRPr="00FF45DE" w14:paraId="7F1DEA8F" w14:textId="77777777" w:rsidTr="000D79D6">
        <w:trPr>
          <w:trHeight w:val="230"/>
        </w:trPr>
        <w:tc>
          <w:tcPr>
            <w:tcW w:w="153" w:type="pct"/>
          </w:tcPr>
          <w:p w14:paraId="0828EF96" w14:textId="77777777" w:rsidR="003B155E" w:rsidRPr="00EE5089" w:rsidRDefault="003B155E" w:rsidP="000D79D6">
            <w:pPr>
              <w:ind w:left="74" w:right="74"/>
              <w:rPr>
                <w:rFonts w:ascii="Times New Roman" w:eastAsia="Times New Roman" w:hAnsi="Times New Roman" w:cs="Times New Roman"/>
                <w:lang w:val="tr-TR"/>
              </w:rPr>
            </w:pPr>
          </w:p>
        </w:tc>
        <w:tc>
          <w:tcPr>
            <w:tcW w:w="2153" w:type="pct"/>
          </w:tcPr>
          <w:p w14:paraId="257BFECC"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b/>
                <w:lang w:val="tr"/>
              </w:rPr>
              <w:t xml:space="preserve">Teknik </w:t>
            </w:r>
          </w:p>
        </w:tc>
        <w:tc>
          <w:tcPr>
            <w:tcW w:w="915" w:type="pct"/>
          </w:tcPr>
          <w:p w14:paraId="20EA9F8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Sıklık</w:t>
            </w:r>
          </w:p>
        </w:tc>
        <w:tc>
          <w:tcPr>
            <w:tcW w:w="1779" w:type="pct"/>
          </w:tcPr>
          <w:p w14:paraId="63F668C3"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442338A9" w14:textId="77777777" w:rsidTr="000D79D6">
        <w:trPr>
          <w:trHeight w:val="1840"/>
        </w:trPr>
        <w:tc>
          <w:tcPr>
            <w:tcW w:w="153" w:type="pct"/>
            <w:vAlign w:val="center"/>
          </w:tcPr>
          <w:p w14:paraId="39BC7B7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153" w:type="pct"/>
            <w:vAlign w:val="center"/>
          </w:tcPr>
          <w:p w14:paraId="0ED9667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Pratik çiftlik koşullarında ve önceden belirlenmiş bir ölçüm protokolüne göre amonyak, koku ve/veya toz ölçülerek ve eşdeğer bilimsel kalitede verilerin sağlanması için TS EN standart yöntemleri veya diğer yöntemler (ISO, ulusal veya uluslararası) kullanılarak hava temizleme sistemi performansının doğrulanması</w:t>
            </w:r>
          </w:p>
        </w:tc>
        <w:tc>
          <w:tcPr>
            <w:tcW w:w="915" w:type="pct"/>
            <w:vAlign w:val="center"/>
          </w:tcPr>
          <w:p w14:paraId="453C9BB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Bir kez</w:t>
            </w:r>
          </w:p>
        </w:tc>
        <w:tc>
          <w:tcPr>
            <w:tcW w:w="1779" w:type="pct"/>
            <w:vAlign w:val="center"/>
          </w:tcPr>
          <w:p w14:paraId="412F06C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Hava temizleme sistemi, benzer bir barınak sistemi ve çalışma koşulları ile birlikte doğrulanmışsa uygulanamaz.</w:t>
            </w:r>
          </w:p>
        </w:tc>
      </w:tr>
      <w:tr w:rsidR="003B155E" w:rsidRPr="00FF45DE" w14:paraId="370786F9" w14:textId="77777777" w:rsidTr="000D79D6">
        <w:trPr>
          <w:trHeight w:val="919"/>
        </w:trPr>
        <w:tc>
          <w:tcPr>
            <w:tcW w:w="153" w:type="pct"/>
            <w:vAlign w:val="center"/>
          </w:tcPr>
          <w:p w14:paraId="164192B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153" w:type="pct"/>
            <w:vAlign w:val="center"/>
          </w:tcPr>
          <w:p w14:paraId="6CA6893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Hava temizleme sisteminin etkili işlevinin kontrolü (ör. operasyonel parametreleri sürekli olarak kaydederek veya alarm sistemlerini kullanarak)</w:t>
            </w:r>
          </w:p>
        </w:tc>
        <w:tc>
          <w:tcPr>
            <w:tcW w:w="915" w:type="pct"/>
            <w:vAlign w:val="center"/>
          </w:tcPr>
          <w:p w14:paraId="4BE9E94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Günlük</w:t>
            </w:r>
          </w:p>
        </w:tc>
        <w:tc>
          <w:tcPr>
            <w:tcW w:w="1779" w:type="pct"/>
            <w:vAlign w:val="center"/>
          </w:tcPr>
          <w:p w14:paraId="67A81A5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bl>
    <w:p w14:paraId="36D1D29A" w14:textId="77777777" w:rsidR="003B155E" w:rsidRPr="00EE5089" w:rsidRDefault="003B155E" w:rsidP="003B155E">
      <w:pPr>
        <w:spacing w:before="240" w:after="0" w:line="360" w:lineRule="auto"/>
        <w:jc w:val="both"/>
        <w:rPr>
          <w:rFonts w:ascii="Times New Roman" w:eastAsia="Calibri" w:hAnsi="Times New Roman" w:cs="Calibri"/>
          <w:bCs/>
          <w:kern w:val="0"/>
          <w:sz w:val="24"/>
          <w:szCs w:val="24"/>
          <w14:ligatures w14:val="none"/>
        </w:rPr>
      </w:pPr>
      <w:r w:rsidRPr="00EE5089">
        <w:rPr>
          <w:rFonts w:ascii="Times New Roman" w:eastAsia="Calibri" w:hAnsi="Times New Roman" w:cs="Calibri"/>
          <w:b/>
          <w:bCs/>
          <w:kern w:val="0"/>
          <w:sz w:val="24"/>
          <w14:ligatures w14:val="none"/>
        </w:rPr>
        <w:t xml:space="preserve">MET 29: </w:t>
      </w:r>
      <w:r w:rsidRPr="00EE5089">
        <w:rPr>
          <w:rFonts w:ascii="Times New Roman" w:eastAsia="Calibri" w:hAnsi="Times New Roman" w:cs="Calibri"/>
          <w:bCs/>
          <w:kern w:val="0"/>
          <w:sz w:val="24"/>
          <w:szCs w:val="24"/>
          <w14:ligatures w14:val="none"/>
        </w:rPr>
        <w:t>Aşağıdaki süreç parametreleri yılda en az bir kez izlenir.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4"/>
        <w:gridCol w:w="2441"/>
        <w:gridCol w:w="3416"/>
        <w:gridCol w:w="2871"/>
      </w:tblGrid>
      <w:tr w:rsidR="003B155E" w:rsidRPr="00FF45DE" w14:paraId="09C5267A" w14:textId="77777777" w:rsidTr="000D79D6">
        <w:trPr>
          <w:trHeight w:val="230"/>
        </w:trPr>
        <w:tc>
          <w:tcPr>
            <w:tcW w:w="184" w:type="pct"/>
          </w:tcPr>
          <w:p w14:paraId="2A89371D" w14:textId="77777777" w:rsidR="003B155E" w:rsidRPr="00EE5089" w:rsidRDefault="003B155E" w:rsidP="000D79D6">
            <w:pPr>
              <w:ind w:left="74" w:right="74"/>
              <w:rPr>
                <w:rFonts w:ascii="Times New Roman" w:eastAsia="Times New Roman" w:hAnsi="Times New Roman" w:cs="Times New Roman"/>
                <w:lang w:val="tr-TR"/>
              </w:rPr>
            </w:pPr>
          </w:p>
        </w:tc>
        <w:tc>
          <w:tcPr>
            <w:tcW w:w="1347" w:type="pct"/>
          </w:tcPr>
          <w:p w14:paraId="6D140CDA"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Parametre</w:t>
            </w:r>
          </w:p>
        </w:tc>
        <w:tc>
          <w:tcPr>
            <w:tcW w:w="1885" w:type="pct"/>
          </w:tcPr>
          <w:p w14:paraId="353E05AD"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Açıklama</w:t>
            </w:r>
          </w:p>
        </w:tc>
        <w:tc>
          <w:tcPr>
            <w:tcW w:w="1584" w:type="pct"/>
          </w:tcPr>
          <w:p w14:paraId="276C88B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26E6B98B" w14:textId="77777777" w:rsidTr="000D79D6">
        <w:trPr>
          <w:trHeight w:val="1610"/>
        </w:trPr>
        <w:tc>
          <w:tcPr>
            <w:tcW w:w="184" w:type="pct"/>
            <w:vAlign w:val="center"/>
          </w:tcPr>
          <w:p w14:paraId="6B61DBE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347" w:type="pct"/>
            <w:vAlign w:val="center"/>
          </w:tcPr>
          <w:p w14:paraId="243F097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 tüketimi</w:t>
            </w:r>
          </w:p>
        </w:tc>
        <w:tc>
          <w:tcPr>
            <w:tcW w:w="1885" w:type="pct"/>
            <w:vAlign w:val="center"/>
          </w:tcPr>
          <w:p w14:paraId="215BB39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Örneğin uygun sayaçlar veya faturalar kullanılarak takip edilir. Barınaklarda başlıca su tüketen süreçler (temizlik, yemleme vb.) ayrı ayrı izlenebilir.</w:t>
            </w:r>
          </w:p>
        </w:tc>
        <w:tc>
          <w:tcPr>
            <w:tcW w:w="1584" w:type="pct"/>
            <w:vAlign w:val="center"/>
          </w:tcPr>
          <w:p w14:paraId="56055DA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Ana su tüketen süreçlerin ayrı ayrı izlenmesi, su temini şebekesinin yapılandırmasına bağlı olarak mevcut çiftliklerde uygulanmayabilir.</w:t>
            </w:r>
          </w:p>
        </w:tc>
      </w:tr>
      <w:tr w:rsidR="003B155E" w:rsidRPr="00FF45DE" w14:paraId="71422732" w14:textId="77777777" w:rsidTr="000D79D6">
        <w:trPr>
          <w:trHeight w:val="2298"/>
        </w:trPr>
        <w:tc>
          <w:tcPr>
            <w:tcW w:w="184" w:type="pct"/>
            <w:vAlign w:val="center"/>
          </w:tcPr>
          <w:p w14:paraId="7C68D63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1347" w:type="pct"/>
            <w:vAlign w:val="center"/>
          </w:tcPr>
          <w:p w14:paraId="5CEF228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Elektrik enerjisi tüketimi</w:t>
            </w:r>
          </w:p>
        </w:tc>
        <w:tc>
          <w:tcPr>
            <w:tcW w:w="1885" w:type="pct"/>
            <w:vAlign w:val="center"/>
          </w:tcPr>
          <w:p w14:paraId="5D0D269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Örneğin uygun sayaçlar veya faturalar kullanılarak kayıt. Kümeslerin elektrik tüketimi çiftlikteki diğer bitkilerden ayrı izlenir. Kümeslerdeki ana enerji tüketen süreçler (ısıtma, havalandırma, aydınlatma vb.) ayrı ayrı izlenebilir.</w:t>
            </w:r>
          </w:p>
        </w:tc>
        <w:tc>
          <w:tcPr>
            <w:tcW w:w="1584" w:type="pct"/>
            <w:vAlign w:val="center"/>
          </w:tcPr>
          <w:p w14:paraId="5C8EE8AA" w14:textId="77777777" w:rsidR="003B155E" w:rsidRPr="00FF45DE" w:rsidRDefault="003B155E" w:rsidP="000D79D6">
            <w:pPr>
              <w:ind w:left="74" w:right="74"/>
              <w:rPr>
                <w:rFonts w:ascii="Times New Roman" w:eastAsia="Times New Roman" w:hAnsi="Times New Roman" w:cs="Times New Roman"/>
                <w:b/>
                <w:lang w:val="tr"/>
              </w:rPr>
            </w:pPr>
          </w:p>
          <w:p w14:paraId="7180B23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Ana enerji tüketen süreçlerin ayrı ayrı izlenmesi, enerji tedarik ağının yapılandırmasına bağlı olarak mevcut çiftliklerde uygulanmayabilir.</w:t>
            </w:r>
          </w:p>
        </w:tc>
      </w:tr>
      <w:tr w:rsidR="003B155E" w:rsidRPr="00FF45DE" w14:paraId="3812891D" w14:textId="77777777" w:rsidTr="000D79D6">
        <w:trPr>
          <w:trHeight w:val="461"/>
        </w:trPr>
        <w:tc>
          <w:tcPr>
            <w:tcW w:w="184" w:type="pct"/>
            <w:vAlign w:val="center"/>
          </w:tcPr>
          <w:p w14:paraId="11E697F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1347" w:type="pct"/>
            <w:vAlign w:val="center"/>
          </w:tcPr>
          <w:p w14:paraId="56616AE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Yakıt tüketimi</w:t>
            </w:r>
          </w:p>
        </w:tc>
        <w:tc>
          <w:tcPr>
            <w:tcW w:w="1885" w:type="pct"/>
            <w:vAlign w:val="center"/>
          </w:tcPr>
          <w:p w14:paraId="724ED6E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Örneğin uygun sayaçlar veya faturalar kullanılarak takip edilir.</w:t>
            </w:r>
          </w:p>
        </w:tc>
        <w:tc>
          <w:tcPr>
            <w:tcW w:w="1584" w:type="pct"/>
            <w:vMerge w:val="restart"/>
            <w:vAlign w:val="center"/>
          </w:tcPr>
          <w:p w14:paraId="5597B54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7D6AB1FB" w14:textId="77777777" w:rsidTr="000D79D6">
        <w:trPr>
          <w:trHeight w:val="918"/>
        </w:trPr>
        <w:tc>
          <w:tcPr>
            <w:tcW w:w="184" w:type="pct"/>
            <w:vAlign w:val="center"/>
          </w:tcPr>
          <w:p w14:paraId="3A22DDF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1347" w:type="pct"/>
            <w:vAlign w:val="center"/>
          </w:tcPr>
          <w:p w14:paraId="66AA7B6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İlgili olduğunda doğumlar ve ölümler de dahil olmak üzere gelen ve giden hayvanların sayısı</w:t>
            </w:r>
          </w:p>
        </w:tc>
        <w:tc>
          <w:tcPr>
            <w:tcW w:w="1885" w:type="pct"/>
            <w:vAlign w:val="center"/>
          </w:tcPr>
          <w:p w14:paraId="354C6E5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Örneğin mevcut kayıtları kullanarak takip edilir.</w:t>
            </w:r>
          </w:p>
        </w:tc>
        <w:tc>
          <w:tcPr>
            <w:tcW w:w="1584" w:type="pct"/>
            <w:vMerge/>
            <w:tcBorders>
              <w:top w:val="nil"/>
            </w:tcBorders>
            <w:vAlign w:val="center"/>
          </w:tcPr>
          <w:p w14:paraId="5030DBBD" w14:textId="77777777" w:rsidR="003B155E" w:rsidRPr="00FF45DE" w:rsidRDefault="003B155E" w:rsidP="000D79D6">
            <w:pPr>
              <w:ind w:left="74" w:right="74"/>
              <w:rPr>
                <w:rFonts w:ascii="Times New Roman" w:eastAsia="Calibri" w:hAnsi="Times New Roman" w:cs="Times New Roman"/>
              </w:rPr>
            </w:pPr>
          </w:p>
        </w:tc>
      </w:tr>
      <w:tr w:rsidR="003B155E" w:rsidRPr="00FF45DE" w14:paraId="662675CD" w14:textId="77777777" w:rsidTr="000D79D6">
        <w:trPr>
          <w:trHeight w:val="460"/>
        </w:trPr>
        <w:tc>
          <w:tcPr>
            <w:tcW w:w="184" w:type="pct"/>
            <w:vAlign w:val="center"/>
          </w:tcPr>
          <w:p w14:paraId="013ADF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1347" w:type="pct"/>
            <w:vAlign w:val="center"/>
          </w:tcPr>
          <w:p w14:paraId="4AA0BC5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Yem tüketimi</w:t>
            </w:r>
          </w:p>
        </w:tc>
        <w:tc>
          <w:tcPr>
            <w:tcW w:w="1885" w:type="pct"/>
            <w:vAlign w:val="center"/>
          </w:tcPr>
          <w:p w14:paraId="1365FB3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Örneğin faturalar veya mevcut kayıtlar kullanılarak takip edilir.</w:t>
            </w:r>
          </w:p>
        </w:tc>
        <w:tc>
          <w:tcPr>
            <w:tcW w:w="1584" w:type="pct"/>
            <w:vMerge/>
            <w:tcBorders>
              <w:top w:val="nil"/>
            </w:tcBorders>
            <w:vAlign w:val="center"/>
          </w:tcPr>
          <w:p w14:paraId="4A637FB1" w14:textId="77777777" w:rsidR="003B155E" w:rsidRPr="00FF45DE" w:rsidRDefault="003B155E" w:rsidP="000D79D6">
            <w:pPr>
              <w:ind w:left="74" w:right="74"/>
              <w:rPr>
                <w:rFonts w:ascii="Times New Roman" w:eastAsia="Calibri" w:hAnsi="Times New Roman" w:cs="Times New Roman"/>
              </w:rPr>
            </w:pPr>
          </w:p>
        </w:tc>
      </w:tr>
      <w:tr w:rsidR="003B155E" w:rsidRPr="00FF45DE" w14:paraId="14F5B1E1" w14:textId="77777777" w:rsidTr="000D79D6">
        <w:trPr>
          <w:trHeight w:val="460"/>
        </w:trPr>
        <w:tc>
          <w:tcPr>
            <w:tcW w:w="184" w:type="pct"/>
            <w:vAlign w:val="center"/>
          </w:tcPr>
          <w:p w14:paraId="6C8224C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1347" w:type="pct"/>
            <w:vAlign w:val="center"/>
          </w:tcPr>
          <w:p w14:paraId="57C977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üretimi.</w:t>
            </w:r>
          </w:p>
        </w:tc>
        <w:tc>
          <w:tcPr>
            <w:tcW w:w="1885" w:type="pct"/>
            <w:vAlign w:val="center"/>
          </w:tcPr>
          <w:p w14:paraId="66FE274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Örneğin mevcut kayıtlar kullanarak takip edilir.</w:t>
            </w:r>
          </w:p>
        </w:tc>
        <w:tc>
          <w:tcPr>
            <w:tcW w:w="1584" w:type="pct"/>
            <w:vMerge/>
            <w:tcBorders>
              <w:top w:val="nil"/>
            </w:tcBorders>
            <w:vAlign w:val="center"/>
          </w:tcPr>
          <w:p w14:paraId="3F35FB47" w14:textId="77777777" w:rsidR="003B155E" w:rsidRPr="00FF45DE" w:rsidRDefault="003B155E" w:rsidP="000D79D6">
            <w:pPr>
              <w:ind w:left="74" w:right="74"/>
              <w:rPr>
                <w:rFonts w:ascii="Times New Roman" w:eastAsia="Calibri" w:hAnsi="Times New Roman" w:cs="Times New Roman"/>
              </w:rPr>
            </w:pPr>
          </w:p>
        </w:tc>
      </w:tr>
    </w:tbl>
    <w:p w14:paraId="30B5CB79" w14:textId="77777777" w:rsidR="003B155E" w:rsidRPr="00EE5089" w:rsidRDefault="003B155E" w:rsidP="0096283A">
      <w:pPr>
        <w:keepNext/>
        <w:keepLines/>
        <w:spacing w:before="240" w:after="0" w:line="360" w:lineRule="auto"/>
        <w:ind w:left="432" w:hanging="432"/>
        <w:jc w:val="center"/>
        <w:outlineLvl w:val="0"/>
        <w:rPr>
          <w:rFonts w:ascii="Times New Roman" w:eastAsia="DengXian Light" w:hAnsi="Times New Roman" w:cs="Microsoft Uighur"/>
          <w:b/>
          <w:kern w:val="0"/>
          <w:sz w:val="24"/>
          <w:szCs w:val="32"/>
          <w14:ligatures w14:val="none"/>
        </w:rPr>
      </w:pPr>
      <w:bookmarkStart w:id="35" w:name="_Toc136614315"/>
      <w:r w:rsidRPr="00EE5089">
        <w:rPr>
          <w:rFonts w:ascii="Times New Roman" w:eastAsia="DengXian Light" w:hAnsi="Times New Roman" w:cs="Microsoft Uighur"/>
          <w:b/>
          <w:kern w:val="0"/>
          <w:sz w:val="24"/>
          <w:szCs w:val="32"/>
          <w14:ligatures w14:val="none"/>
        </w:rPr>
        <w:lastRenderedPageBreak/>
        <w:t xml:space="preserve">ENTANSİF KÜMES HAYVANI VEYA DOMUZ YETİŞTİRİCİLİĞİ İÇİN </w:t>
      </w:r>
      <w:r>
        <w:rPr>
          <w:rFonts w:ascii="Times New Roman" w:eastAsia="DengXian Light" w:hAnsi="Times New Roman" w:cs="Microsoft Uighur"/>
          <w:b/>
          <w:kern w:val="0"/>
          <w:sz w:val="24"/>
          <w:szCs w:val="32"/>
          <w14:ligatures w14:val="none"/>
        </w:rPr>
        <w:t>SEKTÖREL</w:t>
      </w:r>
      <w:r w:rsidRPr="00EE5089">
        <w:rPr>
          <w:rFonts w:ascii="Times New Roman" w:eastAsia="DengXian Light" w:hAnsi="Times New Roman" w:cs="Microsoft Uighur"/>
          <w:b/>
          <w:kern w:val="0"/>
          <w:sz w:val="24"/>
          <w:szCs w:val="32"/>
          <w14:ligatures w14:val="none"/>
        </w:rPr>
        <w:t xml:space="preserve"> MET</w:t>
      </w:r>
    </w:p>
    <w:p w14:paraId="494BA66A"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r w:rsidRPr="00EE5089">
        <w:rPr>
          <w:rFonts w:ascii="Times New Roman" w:eastAsia="DengXian Light" w:hAnsi="Times New Roman" w:cs="Microsoft Uighur"/>
          <w:b/>
          <w:kern w:val="0"/>
          <w:sz w:val="24"/>
          <w:szCs w:val="26"/>
          <w14:ligatures w14:val="none"/>
        </w:rPr>
        <w:t>Entansif Domuz Yetiştiriciliği için M</w:t>
      </w:r>
      <w:bookmarkEnd w:id="35"/>
      <w:r w:rsidRPr="00EE5089">
        <w:rPr>
          <w:rFonts w:ascii="Times New Roman" w:eastAsia="DengXian Light" w:hAnsi="Times New Roman" w:cs="Microsoft Uighur"/>
          <w:b/>
          <w:kern w:val="0"/>
          <w:sz w:val="24"/>
          <w:szCs w:val="26"/>
          <w14:ligatures w14:val="none"/>
        </w:rPr>
        <w:t>ET Sonuçları</w:t>
      </w:r>
    </w:p>
    <w:p w14:paraId="763C18F4" w14:textId="77777777" w:rsidR="003B155E" w:rsidRPr="00EE5089"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14:ligatures w14:val="none"/>
        </w:rPr>
      </w:pPr>
      <w:bookmarkStart w:id="36" w:name="_Toc136614316"/>
      <w:r w:rsidRPr="00EE5089">
        <w:rPr>
          <w:rFonts w:ascii="Times New Roman" w:eastAsia="DengXian Light" w:hAnsi="Times New Roman" w:cs="Microsoft Uighur"/>
          <w:b/>
          <w:kern w:val="0"/>
          <w:sz w:val="24"/>
          <w:szCs w:val="24"/>
          <w14:ligatures w14:val="none"/>
        </w:rPr>
        <w:t>Domuz Barınaklarından Amonyak Emisyonları</w:t>
      </w:r>
      <w:bookmarkEnd w:id="36"/>
    </w:p>
    <w:p w14:paraId="7A9650C8" w14:textId="77777777" w:rsidR="003B155E" w:rsidRPr="00EE5089" w:rsidRDefault="003B155E" w:rsidP="003B155E">
      <w:pPr>
        <w:spacing w:before="240" w:after="0" w:line="360" w:lineRule="auto"/>
        <w:jc w:val="both"/>
        <w:rPr>
          <w:rFonts w:ascii="Times New Roman" w:eastAsia="Calibri" w:hAnsi="Times New Roman" w:cs="Calibri"/>
          <w:b/>
          <w:bCs/>
          <w:kern w:val="0"/>
          <w:sz w:val="24"/>
          <w14:ligatures w14:val="none"/>
        </w:rPr>
      </w:pPr>
      <w:r w:rsidRPr="00EE5089">
        <w:rPr>
          <w:rFonts w:ascii="Times New Roman" w:eastAsia="Calibri" w:hAnsi="Times New Roman" w:cs="Calibri"/>
          <w:b/>
          <w:bCs/>
          <w:kern w:val="0"/>
          <w:sz w:val="24"/>
          <w14:ligatures w14:val="none"/>
        </w:rPr>
        <w:t xml:space="preserve">MET 30: </w:t>
      </w:r>
      <w:r w:rsidRPr="00EE5089">
        <w:rPr>
          <w:rFonts w:ascii="Times New Roman" w:eastAsia="Calibri" w:hAnsi="Times New Roman" w:cs="Calibri"/>
          <w:bCs/>
          <w:kern w:val="0"/>
          <w:sz w:val="24"/>
          <w14:ligatures w14:val="none"/>
        </w:rPr>
        <w:t>Her bir domuz barınağından havaya salınan amonyak emisyonlarını azaltmak için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8"/>
        <w:gridCol w:w="3311"/>
        <w:gridCol w:w="1647"/>
        <w:gridCol w:w="3826"/>
      </w:tblGrid>
      <w:tr w:rsidR="003B155E" w:rsidRPr="00FF45DE" w14:paraId="05574A86" w14:textId="77777777" w:rsidTr="000D79D6">
        <w:trPr>
          <w:trHeight w:val="460"/>
          <w:tblHeader/>
        </w:trPr>
        <w:tc>
          <w:tcPr>
            <w:tcW w:w="153" w:type="pct"/>
          </w:tcPr>
          <w:p w14:paraId="73A60A81" w14:textId="77777777" w:rsidR="003B155E" w:rsidRPr="00EE5089" w:rsidRDefault="003B155E" w:rsidP="000D79D6">
            <w:pPr>
              <w:ind w:left="74" w:right="74"/>
              <w:rPr>
                <w:rFonts w:ascii="Times New Roman" w:eastAsia="Times New Roman" w:hAnsi="Times New Roman" w:cs="Times New Roman"/>
                <w:lang w:val="tr-TR"/>
              </w:rPr>
            </w:pPr>
          </w:p>
        </w:tc>
        <w:tc>
          <w:tcPr>
            <w:tcW w:w="1827" w:type="pct"/>
            <w:vAlign w:val="center"/>
          </w:tcPr>
          <w:p w14:paraId="43EDEED3"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909" w:type="pct"/>
            <w:vAlign w:val="center"/>
          </w:tcPr>
          <w:p w14:paraId="19EFE727" w14:textId="77777777" w:rsidR="003B155E" w:rsidRPr="00FF45DE" w:rsidRDefault="003B155E" w:rsidP="000D79D6">
            <w:pPr>
              <w:spacing w:line="230" w:lineRule="exact"/>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Hayvan kategorisi</w:t>
            </w:r>
          </w:p>
        </w:tc>
        <w:tc>
          <w:tcPr>
            <w:tcW w:w="2111" w:type="pct"/>
            <w:vAlign w:val="center"/>
          </w:tcPr>
          <w:p w14:paraId="2383761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7D0085A8" w14:textId="77777777" w:rsidTr="000D79D6">
        <w:trPr>
          <w:trHeight w:val="1964"/>
        </w:trPr>
        <w:tc>
          <w:tcPr>
            <w:tcW w:w="153" w:type="pct"/>
            <w:vAlign w:val="center"/>
          </w:tcPr>
          <w:p w14:paraId="00D2A03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1827" w:type="pct"/>
            <w:vAlign w:val="center"/>
          </w:tcPr>
          <w:p w14:paraId="2B58436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Aşağıdaki ilkelerden birini veya birkaçının kombinasyonun uygulandığı aşağıdaki tekniklerden biri:</w:t>
            </w:r>
          </w:p>
          <w:p w14:paraId="741EAAD2"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Amonyak salım yüzeyin azaltılması</w:t>
            </w:r>
          </w:p>
          <w:p w14:paraId="578C2EEA"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(gübre) dışarıda depolanmak üzere çıkarılma sıklığının arttırılması</w:t>
            </w:r>
          </w:p>
          <w:p w14:paraId="37F0A98A"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İdrarın dışkıdan ayrılması</w:t>
            </w:r>
          </w:p>
          <w:p w14:paraId="26A4E781" w14:textId="77777777" w:rsidR="003B155E" w:rsidRPr="00FF45DE" w:rsidRDefault="003B155E" w:rsidP="003B155E">
            <w:pPr>
              <w:numPr>
                <w:ilvl w:val="0"/>
                <w:numId w:val="169"/>
              </w:numPr>
              <w:ind w:left="269"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Altlığın temiz ve kuru tutulması</w:t>
            </w:r>
          </w:p>
        </w:tc>
        <w:tc>
          <w:tcPr>
            <w:tcW w:w="909" w:type="pct"/>
            <w:vAlign w:val="center"/>
          </w:tcPr>
          <w:p w14:paraId="1F520792" w14:textId="77777777" w:rsidR="003B155E" w:rsidRPr="00FF45DE" w:rsidRDefault="003B155E" w:rsidP="000D79D6">
            <w:pPr>
              <w:ind w:left="74" w:right="74"/>
              <w:rPr>
                <w:rFonts w:ascii="Times New Roman" w:eastAsia="Times New Roman" w:hAnsi="Times New Roman" w:cs="Times New Roman"/>
                <w:lang w:val="fi-FI"/>
              </w:rPr>
            </w:pPr>
          </w:p>
        </w:tc>
        <w:tc>
          <w:tcPr>
            <w:tcW w:w="2111" w:type="pct"/>
            <w:vAlign w:val="center"/>
          </w:tcPr>
          <w:p w14:paraId="28F93F5C" w14:textId="77777777" w:rsidR="003B155E" w:rsidRPr="00FF45DE" w:rsidRDefault="003B155E" w:rsidP="000D79D6">
            <w:pPr>
              <w:ind w:right="74"/>
              <w:rPr>
                <w:rFonts w:ascii="Times New Roman" w:eastAsia="Times New Roman" w:hAnsi="Times New Roman" w:cs="Times New Roman"/>
                <w:lang w:val="fi-FI"/>
              </w:rPr>
            </w:pPr>
          </w:p>
        </w:tc>
      </w:tr>
      <w:tr w:rsidR="003B155E" w:rsidRPr="00FF45DE" w14:paraId="6232DD9E" w14:textId="77777777" w:rsidTr="000D79D6">
        <w:trPr>
          <w:trHeight w:val="2155"/>
        </w:trPr>
        <w:tc>
          <w:tcPr>
            <w:tcW w:w="153" w:type="pct"/>
            <w:vMerge w:val="restart"/>
            <w:vAlign w:val="center"/>
          </w:tcPr>
          <w:p w14:paraId="18148B0D" w14:textId="77777777" w:rsidR="003B155E" w:rsidRPr="00FF45DE" w:rsidRDefault="003B155E" w:rsidP="000D79D6">
            <w:pPr>
              <w:ind w:left="74" w:right="74"/>
              <w:rPr>
                <w:rFonts w:ascii="Times New Roman" w:eastAsia="Times New Roman" w:hAnsi="Times New Roman" w:cs="Times New Roman"/>
                <w:lang w:val="fi-FI"/>
              </w:rPr>
            </w:pPr>
          </w:p>
        </w:tc>
        <w:tc>
          <w:tcPr>
            <w:tcW w:w="1827" w:type="pct"/>
            <w:vAlign w:val="center"/>
          </w:tcPr>
          <w:p w14:paraId="67271F80" w14:textId="77777777" w:rsidR="003B155E" w:rsidRPr="00FF45DE" w:rsidRDefault="003B155E" w:rsidP="00CC3323">
            <w:pPr>
              <w:numPr>
                <w:ilvl w:val="0"/>
                <w:numId w:val="333"/>
              </w:numPr>
              <w:ind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Derin bir çukur (tamamen veya kısmen latalı bir zemin olması durumunda), yalnızca ek bir hafifletme önlemi ile birlikte kullanıldığında ör.:</w:t>
            </w:r>
          </w:p>
          <w:p w14:paraId="62F07107" w14:textId="77777777" w:rsidR="003B155E" w:rsidRPr="00FF45DE" w:rsidRDefault="003B155E" w:rsidP="003B155E">
            <w:pPr>
              <w:numPr>
                <w:ilvl w:val="0"/>
                <w:numId w:val="176"/>
              </w:numPr>
              <w:tabs>
                <w:tab w:val="left" w:pos="226"/>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Besin yönetimi tekniklerinin bir kombinasyonu</w:t>
            </w:r>
          </w:p>
          <w:p w14:paraId="3D2CF93A" w14:textId="77777777" w:rsidR="003B155E" w:rsidRPr="00FF45DE" w:rsidRDefault="003B155E" w:rsidP="003B155E">
            <w:pPr>
              <w:numPr>
                <w:ilvl w:val="0"/>
                <w:numId w:val="176"/>
              </w:numPr>
              <w:tabs>
                <w:tab w:val="left" w:pos="226"/>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 temizleme sistemi</w:t>
            </w:r>
          </w:p>
          <w:p w14:paraId="0161FE31" w14:textId="77777777" w:rsidR="003B155E" w:rsidRPr="00FF45DE" w:rsidRDefault="003B155E" w:rsidP="003B155E">
            <w:pPr>
              <w:numPr>
                <w:ilvl w:val="0"/>
                <w:numId w:val="176"/>
              </w:numPr>
              <w:tabs>
                <w:tab w:val="left" w:pos="226"/>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pH değerinin düşürülmesi</w:t>
            </w:r>
          </w:p>
          <w:p w14:paraId="2761424B" w14:textId="77777777" w:rsidR="003B155E" w:rsidRPr="00FF45DE" w:rsidRDefault="003B155E" w:rsidP="003B155E">
            <w:pPr>
              <w:numPr>
                <w:ilvl w:val="0"/>
                <w:numId w:val="176"/>
              </w:numPr>
              <w:tabs>
                <w:tab w:val="left" w:pos="226"/>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soğutulması</w:t>
            </w:r>
          </w:p>
        </w:tc>
        <w:tc>
          <w:tcPr>
            <w:tcW w:w="909" w:type="pct"/>
            <w:vAlign w:val="center"/>
          </w:tcPr>
          <w:p w14:paraId="5938FC5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Align w:val="center"/>
          </w:tcPr>
          <w:p w14:paraId="7A3519F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Derin bir çukur; hava temizleme sistem, sulu gübre soğutma ve/veya sulu gübrenin pH'ını düşürme ile birleştirilmedikçe yeni tesislerde uygulanmaz.</w:t>
            </w:r>
          </w:p>
        </w:tc>
      </w:tr>
      <w:tr w:rsidR="003B155E" w:rsidRPr="00FF45DE" w14:paraId="12157B9F" w14:textId="77777777" w:rsidTr="000D79D6">
        <w:trPr>
          <w:trHeight w:val="794"/>
        </w:trPr>
        <w:tc>
          <w:tcPr>
            <w:tcW w:w="153" w:type="pct"/>
            <w:vMerge/>
            <w:tcBorders>
              <w:top w:val="nil"/>
            </w:tcBorders>
            <w:vAlign w:val="center"/>
          </w:tcPr>
          <w:p w14:paraId="546CE704" w14:textId="77777777" w:rsidR="003B155E" w:rsidRPr="00FF45DE" w:rsidRDefault="003B155E" w:rsidP="000D79D6">
            <w:pPr>
              <w:spacing w:line="360" w:lineRule="auto"/>
              <w:ind w:left="74" w:right="74"/>
              <w:rPr>
                <w:rFonts w:ascii="Times New Roman" w:eastAsia="Calibri" w:hAnsi="Times New Roman" w:cs="Times New Roman"/>
              </w:rPr>
            </w:pPr>
          </w:p>
        </w:tc>
        <w:tc>
          <w:tcPr>
            <w:tcW w:w="1827" w:type="pct"/>
            <w:vAlign w:val="center"/>
          </w:tcPr>
          <w:p w14:paraId="70E75E84"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sık sık uzaklaştırılması için bir vakum sistemi (tamamen veya kısmen çıtalı zemin olması durumunda).</w:t>
            </w:r>
          </w:p>
        </w:tc>
        <w:tc>
          <w:tcPr>
            <w:tcW w:w="909" w:type="pct"/>
            <w:vAlign w:val="center"/>
          </w:tcPr>
          <w:p w14:paraId="7721D48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Merge w:val="restart"/>
            <w:vAlign w:val="center"/>
          </w:tcPr>
          <w:p w14:paraId="67E3328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sebeplerden dolayı mevcut tesislere genel olarak uygulanamayabilir.</w:t>
            </w:r>
          </w:p>
        </w:tc>
      </w:tr>
      <w:tr w:rsidR="003B155E" w:rsidRPr="00FF45DE" w14:paraId="10C10E20" w14:textId="77777777" w:rsidTr="000D79D6">
        <w:trPr>
          <w:trHeight w:val="793"/>
        </w:trPr>
        <w:tc>
          <w:tcPr>
            <w:tcW w:w="153" w:type="pct"/>
            <w:vMerge/>
            <w:tcBorders>
              <w:top w:val="nil"/>
            </w:tcBorders>
            <w:vAlign w:val="center"/>
          </w:tcPr>
          <w:p w14:paraId="5D3446CC" w14:textId="77777777" w:rsidR="003B155E" w:rsidRPr="00FF45DE" w:rsidRDefault="003B155E" w:rsidP="000D79D6">
            <w:pPr>
              <w:spacing w:line="360" w:lineRule="auto"/>
              <w:ind w:left="74" w:right="74"/>
              <w:rPr>
                <w:rFonts w:ascii="Times New Roman" w:eastAsia="Calibri" w:hAnsi="Times New Roman" w:cs="Times New Roman"/>
              </w:rPr>
            </w:pPr>
          </w:p>
        </w:tc>
        <w:tc>
          <w:tcPr>
            <w:tcW w:w="1827" w:type="pct"/>
            <w:vAlign w:val="center"/>
          </w:tcPr>
          <w:p w14:paraId="398CD740" w14:textId="77777777" w:rsidR="003B155E" w:rsidRPr="00FF45DE" w:rsidRDefault="003B155E" w:rsidP="00CC3323">
            <w:pPr>
              <w:numPr>
                <w:ilvl w:val="0"/>
                <w:numId w:val="333"/>
              </w:numPr>
              <w:tabs>
                <w:tab w:val="left" w:pos="110"/>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Gübre kanalındaki eğimli duvarlar (tamamen veya kısmen çıtalı zemin olması durumunda).</w:t>
            </w:r>
          </w:p>
        </w:tc>
        <w:tc>
          <w:tcPr>
            <w:tcW w:w="909" w:type="pct"/>
            <w:vAlign w:val="center"/>
          </w:tcPr>
          <w:p w14:paraId="6B2A95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Merge/>
            <w:tcBorders>
              <w:top w:val="nil"/>
            </w:tcBorders>
            <w:vAlign w:val="center"/>
          </w:tcPr>
          <w:p w14:paraId="5BBA2F9A"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0555D070" w14:textId="77777777" w:rsidTr="000D79D6">
        <w:trPr>
          <w:trHeight w:val="793"/>
        </w:trPr>
        <w:tc>
          <w:tcPr>
            <w:tcW w:w="153" w:type="pct"/>
            <w:vMerge/>
            <w:tcBorders>
              <w:top w:val="nil"/>
            </w:tcBorders>
            <w:vAlign w:val="center"/>
          </w:tcPr>
          <w:p w14:paraId="594799AC" w14:textId="77777777" w:rsidR="003B155E" w:rsidRPr="00FF45DE" w:rsidRDefault="003B155E" w:rsidP="000D79D6">
            <w:pPr>
              <w:spacing w:line="360" w:lineRule="auto"/>
              <w:ind w:left="74" w:right="74"/>
              <w:rPr>
                <w:rFonts w:ascii="Times New Roman" w:eastAsia="Calibri" w:hAnsi="Times New Roman" w:cs="Times New Roman"/>
              </w:rPr>
            </w:pPr>
          </w:p>
        </w:tc>
        <w:tc>
          <w:tcPr>
            <w:tcW w:w="1827" w:type="pct"/>
            <w:vAlign w:val="center"/>
          </w:tcPr>
          <w:p w14:paraId="2ADF303B"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sık sık temizlenmesi için bir sıyırıcı (tamamen veya kısmen çıtalı zemin olması durumunda).</w:t>
            </w:r>
          </w:p>
        </w:tc>
        <w:tc>
          <w:tcPr>
            <w:tcW w:w="909" w:type="pct"/>
            <w:vAlign w:val="center"/>
          </w:tcPr>
          <w:p w14:paraId="4F4A0B9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Merge/>
            <w:tcBorders>
              <w:top w:val="nil"/>
            </w:tcBorders>
            <w:vAlign w:val="center"/>
          </w:tcPr>
          <w:p w14:paraId="66AC917A"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623355E0" w14:textId="77777777" w:rsidTr="000D79D6">
        <w:trPr>
          <w:trHeight w:val="566"/>
        </w:trPr>
        <w:tc>
          <w:tcPr>
            <w:tcW w:w="153" w:type="pct"/>
            <w:vMerge/>
            <w:tcBorders>
              <w:top w:val="nil"/>
            </w:tcBorders>
            <w:vAlign w:val="center"/>
          </w:tcPr>
          <w:p w14:paraId="482A075E" w14:textId="77777777" w:rsidR="003B155E" w:rsidRPr="00FF45DE" w:rsidRDefault="003B155E" w:rsidP="000D79D6">
            <w:pPr>
              <w:spacing w:line="360" w:lineRule="auto"/>
              <w:ind w:left="74" w:right="74"/>
              <w:rPr>
                <w:rFonts w:ascii="Times New Roman" w:eastAsia="Calibri" w:hAnsi="Times New Roman" w:cs="Times New Roman"/>
              </w:rPr>
            </w:pPr>
          </w:p>
        </w:tc>
        <w:tc>
          <w:tcPr>
            <w:tcW w:w="1827" w:type="pct"/>
            <w:vAlign w:val="center"/>
          </w:tcPr>
          <w:p w14:paraId="0F698136"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Yıkayarak sık sık sulu gübre giderme (tamamen veya kısmen çıtalı zemin olması durumunda).</w:t>
            </w:r>
          </w:p>
        </w:tc>
        <w:tc>
          <w:tcPr>
            <w:tcW w:w="909" w:type="pct"/>
            <w:vAlign w:val="center"/>
          </w:tcPr>
          <w:p w14:paraId="5D8EA2D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Align w:val="center"/>
          </w:tcPr>
          <w:p w14:paraId="440A3B7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sebeplerden dolayı mevcut tesislere genel olarak uygulanamayabilir.</w:t>
            </w:r>
          </w:p>
          <w:p w14:paraId="57974B5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Sulu gübrenin sıvı fraksiyon yıkama için kullanıldığında, yıkama sırasında koku zirveleri nedeniyle bu teknik hassas </w:t>
            </w:r>
            <w:r w:rsidRPr="00FF45DE">
              <w:rPr>
                <w:rFonts w:ascii="Times New Roman" w:eastAsia="Times New Roman" w:hAnsi="Times New Roman" w:cs="Times New Roman"/>
                <w:lang w:val="tr"/>
              </w:rPr>
              <w:lastRenderedPageBreak/>
              <w:t>alıcıların yakınında bulunan çiftliklerde uygulanmayabilir.</w:t>
            </w:r>
          </w:p>
        </w:tc>
      </w:tr>
      <w:tr w:rsidR="003B155E" w:rsidRPr="00FF45DE" w14:paraId="5187E5AB" w14:textId="77777777" w:rsidTr="000D79D6">
        <w:trPr>
          <w:trHeight w:val="460"/>
        </w:trPr>
        <w:tc>
          <w:tcPr>
            <w:tcW w:w="153" w:type="pct"/>
            <w:vMerge/>
            <w:tcBorders>
              <w:top w:val="nil"/>
            </w:tcBorders>
            <w:vAlign w:val="center"/>
          </w:tcPr>
          <w:p w14:paraId="66724E76" w14:textId="77777777" w:rsidR="003B155E" w:rsidRPr="00FF45DE" w:rsidRDefault="003B155E" w:rsidP="000D79D6">
            <w:pPr>
              <w:spacing w:line="360" w:lineRule="auto"/>
              <w:ind w:left="74" w:right="74"/>
              <w:rPr>
                <w:rFonts w:ascii="Times New Roman" w:eastAsia="Calibri" w:hAnsi="Times New Roman" w:cs="Times New Roman"/>
              </w:rPr>
            </w:pPr>
          </w:p>
        </w:tc>
        <w:tc>
          <w:tcPr>
            <w:tcW w:w="1827" w:type="pct"/>
            <w:vMerge w:val="restart"/>
            <w:vAlign w:val="center"/>
          </w:tcPr>
          <w:p w14:paraId="4A38E7C6"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Azaltılmış gübre çukuru (kısmen çıtalı zemin olması durumunda).</w:t>
            </w:r>
          </w:p>
        </w:tc>
        <w:tc>
          <w:tcPr>
            <w:tcW w:w="909" w:type="pct"/>
            <w:vAlign w:val="center"/>
          </w:tcPr>
          <w:p w14:paraId="042067C8" w14:textId="77777777" w:rsidR="003B155E" w:rsidRPr="00FF45DE" w:rsidRDefault="003B155E" w:rsidP="000D79D6">
            <w:pPr>
              <w:spacing w:line="223" w:lineRule="exact"/>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Çiftleşme dönemindeki ve gebe dişi domuzlar</w:t>
            </w:r>
          </w:p>
        </w:tc>
        <w:tc>
          <w:tcPr>
            <w:tcW w:w="2111" w:type="pct"/>
            <w:vMerge w:val="restart"/>
            <w:vAlign w:val="center"/>
          </w:tcPr>
          <w:p w14:paraId="6A3A16C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sebeplerden dolayı mevcut tesislere genel olarak uygulanamayabilir.</w:t>
            </w:r>
          </w:p>
        </w:tc>
      </w:tr>
      <w:tr w:rsidR="003B155E" w:rsidRPr="00FF45DE" w14:paraId="738D29CA" w14:textId="77777777" w:rsidTr="000D79D6">
        <w:trPr>
          <w:trHeight w:val="282"/>
        </w:trPr>
        <w:tc>
          <w:tcPr>
            <w:tcW w:w="153" w:type="pct"/>
            <w:vMerge/>
            <w:tcBorders>
              <w:top w:val="nil"/>
            </w:tcBorders>
            <w:vAlign w:val="center"/>
          </w:tcPr>
          <w:p w14:paraId="6582BF1D" w14:textId="77777777" w:rsidR="003B155E" w:rsidRPr="00FF45DE" w:rsidRDefault="003B155E" w:rsidP="000D79D6">
            <w:pPr>
              <w:spacing w:line="360" w:lineRule="auto"/>
              <w:ind w:left="74" w:right="74"/>
              <w:rPr>
                <w:rFonts w:ascii="Times New Roman" w:eastAsia="Calibri" w:hAnsi="Times New Roman" w:cs="Times New Roman"/>
              </w:rPr>
            </w:pPr>
          </w:p>
        </w:tc>
        <w:tc>
          <w:tcPr>
            <w:tcW w:w="1827" w:type="pct"/>
            <w:vMerge/>
            <w:tcBorders>
              <w:top w:val="nil"/>
            </w:tcBorders>
            <w:vAlign w:val="center"/>
          </w:tcPr>
          <w:p w14:paraId="63EAAE40"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3D2BAA9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4F3D08F3"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77B51D89" w14:textId="77777777" w:rsidTr="000D79D6">
        <w:trPr>
          <w:trHeight w:val="460"/>
        </w:trPr>
        <w:tc>
          <w:tcPr>
            <w:tcW w:w="153" w:type="pct"/>
            <w:vMerge/>
            <w:tcBorders>
              <w:top w:val="nil"/>
            </w:tcBorders>
            <w:vAlign w:val="center"/>
          </w:tcPr>
          <w:p w14:paraId="09893095"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val="restart"/>
            <w:vAlign w:val="center"/>
          </w:tcPr>
          <w:p w14:paraId="6F1983E4"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Tam altlık sistemi (sağlam beton zemin olması durumunda).</w:t>
            </w:r>
          </w:p>
        </w:tc>
        <w:tc>
          <w:tcPr>
            <w:tcW w:w="909" w:type="pct"/>
            <w:vAlign w:val="center"/>
          </w:tcPr>
          <w:p w14:paraId="40E5B1C5" w14:textId="77777777" w:rsidR="003B155E" w:rsidRPr="00FF45DE" w:rsidRDefault="003B155E" w:rsidP="000D79D6">
            <w:pPr>
              <w:spacing w:line="223" w:lineRule="exact"/>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Çiftleşme dönemindeki ve gebe dişi domuzlar</w:t>
            </w:r>
          </w:p>
        </w:tc>
        <w:tc>
          <w:tcPr>
            <w:tcW w:w="2111" w:type="pct"/>
            <w:vMerge w:val="restart"/>
            <w:vAlign w:val="center"/>
          </w:tcPr>
          <w:p w14:paraId="46E1BAC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Katı gübre sistemleri, hayvan sağlığı nedenleriyle gerekçelendirilmediği sürece yeni tesislere uygulanamaz.</w:t>
            </w:r>
          </w:p>
          <w:p w14:paraId="5CC7CA9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Sıcak iklimlerde bulunan doğal havalandırmalı tesislere ve sütten kesilmiş domuz yavruları ve besi domuzları için cebri havalandırmalı mevcut tesislere uygulanamayabilir. </w:t>
            </w:r>
            <w:hyperlink w:anchor="_bookmark1001" w:history="1">
              <w:r w:rsidRPr="0096283A">
                <w:rPr>
                  <w:rFonts w:ascii="Times New Roman" w:eastAsia="Times New Roman" w:hAnsi="Times New Roman" w:cs="Times New Roman"/>
                  <w:lang w:val="tr"/>
                </w:rPr>
                <w:t>MET 30.</w:t>
              </w:r>
            </w:hyperlink>
            <w:r w:rsidRPr="0096283A">
              <w:rPr>
                <w:rFonts w:ascii="Times New Roman" w:eastAsia="Times New Roman" w:hAnsi="Times New Roman" w:cs="Times New Roman"/>
                <w:lang w:val="tr"/>
              </w:rPr>
              <w:t>a7,</w:t>
            </w:r>
            <w:r w:rsidRPr="00FF45DE">
              <w:rPr>
                <w:rFonts w:ascii="Times New Roman" w:eastAsia="Times New Roman" w:hAnsi="Times New Roman" w:cs="Times New Roman"/>
                <w:lang w:val="tr"/>
              </w:rPr>
              <w:t xml:space="preserve"> geniş alan kullanılabilirliği gerektirebilir.</w:t>
            </w:r>
          </w:p>
        </w:tc>
      </w:tr>
      <w:tr w:rsidR="003B155E" w:rsidRPr="00FF45DE" w14:paraId="64AF8510" w14:textId="77777777" w:rsidTr="000D79D6">
        <w:trPr>
          <w:trHeight w:val="285"/>
        </w:trPr>
        <w:tc>
          <w:tcPr>
            <w:tcW w:w="153" w:type="pct"/>
            <w:vMerge/>
            <w:tcBorders>
              <w:top w:val="nil"/>
            </w:tcBorders>
            <w:vAlign w:val="center"/>
          </w:tcPr>
          <w:p w14:paraId="7A3B008F"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44916E74"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1A471F6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11" w:type="pct"/>
            <w:vMerge/>
            <w:tcBorders>
              <w:top w:val="nil"/>
            </w:tcBorders>
            <w:vAlign w:val="center"/>
          </w:tcPr>
          <w:p w14:paraId="358C5BEE"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73843710" w14:textId="77777777" w:rsidTr="000D79D6">
        <w:trPr>
          <w:trHeight w:val="282"/>
        </w:trPr>
        <w:tc>
          <w:tcPr>
            <w:tcW w:w="153" w:type="pct"/>
            <w:vMerge/>
            <w:tcBorders>
              <w:top w:val="nil"/>
            </w:tcBorders>
            <w:vAlign w:val="center"/>
          </w:tcPr>
          <w:p w14:paraId="3C909B38"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129F761C"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0A82BD9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54AFB373"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3D610D74" w14:textId="77777777" w:rsidTr="000D79D6">
        <w:trPr>
          <w:trHeight w:val="460"/>
        </w:trPr>
        <w:tc>
          <w:tcPr>
            <w:tcW w:w="153" w:type="pct"/>
            <w:vMerge/>
            <w:tcBorders>
              <w:top w:val="nil"/>
            </w:tcBorders>
            <w:vAlign w:val="center"/>
          </w:tcPr>
          <w:p w14:paraId="32415D6B"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val="restart"/>
            <w:vAlign w:val="center"/>
          </w:tcPr>
          <w:p w14:paraId="10A9AE69"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Kulübe / kulübe barınak (kısmen çıtalı zemin olması durumunda).</w:t>
            </w:r>
          </w:p>
        </w:tc>
        <w:tc>
          <w:tcPr>
            <w:tcW w:w="909" w:type="pct"/>
            <w:vAlign w:val="center"/>
          </w:tcPr>
          <w:p w14:paraId="5894B222" w14:textId="77777777" w:rsidR="003B155E" w:rsidRPr="00FF45DE" w:rsidRDefault="003B155E" w:rsidP="000D79D6">
            <w:pPr>
              <w:spacing w:line="223" w:lineRule="exact"/>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Çiftleşme dönemindeki ve gebe dişi domuzlar</w:t>
            </w:r>
          </w:p>
        </w:tc>
        <w:tc>
          <w:tcPr>
            <w:tcW w:w="2111" w:type="pct"/>
            <w:vMerge/>
            <w:tcBorders>
              <w:top w:val="nil"/>
            </w:tcBorders>
            <w:vAlign w:val="center"/>
          </w:tcPr>
          <w:p w14:paraId="5B82A0D6"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3AFA827A" w14:textId="77777777" w:rsidTr="000D79D6">
        <w:trPr>
          <w:trHeight w:val="283"/>
        </w:trPr>
        <w:tc>
          <w:tcPr>
            <w:tcW w:w="153" w:type="pct"/>
            <w:vMerge/>
            <w:tcBorders>
              <w:top w:val="nil"/>
            </w:tcBorders>
            <w:vAlign w:val="center"/>
          </w:tcPr>
          <w:p w14:paraId="4F4E0191"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7E9EFD20"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3461B29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11" w:type="pct"/>
            <w:vMerge/>
            <w:tcBorders>
              <w:top w:val="nil"/>
            </w:tcBorders>
            <w:vAlign w:val="center"/>
          </w:tcPr>
          <w:p w14:paraId="230CBEA5"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59FFEB42" w14:textId="77777777" w:rsidTr="000D79D6">
        <w:trPr>
          <w:trHeight w:val="285"/>
        </w:trPr>
        <w:tc>
          <w:tcPr>
            <w:tcW w:w="153" w:type="pct"/>
            <w:vMerge/>
            <w:tcBorders>
              <w:top w:val="nil"/>
            </w:tcBorders>
            <w:vAlign w:val="center"/>
          </w:tcPr>
          <w:p w14:paraId="376C678D"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54CD4EE8"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63590D7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6A65AF38"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14C414F6" w14:textId="77777777" w:rsidTr="000D79D6">
        <w:trPr>
          <w:trHeight w:val="285"/>
        </w:trPr>
        <w:tc>
          <w:tcPr>
            <w:tcW w:w="153" w:type="pct"/>
            <w:vMerge w:val="restart"/>
            <w:vAlign w:val="center"/>
          </w:tcPr>
          <w:p w14:paraId="49F11CBE" w14:textId="77777777" w:rsidR="003B155E" w:rsidRPr="00FF45DE" w:rsidRDefault="003B155E" w:rsidP="000D79D6">
            <w:pPr>
              <w:ind w:left="74" w:right="74"/>
              <w:rPr>
                <w:rFonts w:ascii="Times New Roman" w:eastAsia="Times New Roman" w:hAnsi="Times New Roman" w:cs="Times New Roman"/>
                <w:sz w:val="20"/>
                <w:szCs w:val="20"/>
                <w:lang w:val="en-GB"/>
              </w:rPr>
            </w:pPr>
          </w:p>
        </w:tc>
        <w:tc>
          <w:tcPr>
            <w:tcW w:w="1827" w:type="pct"/>
            <w:vMerge w:val="restart"/>
            <w:vAlign w:val="center"/>
          </w:tcPr>
          <w:p w14:paraId="41E86FBA" w14:textId="77777777" w:rsidR="003B155E" w:rsidRPr="00FF45DE" w:rsidRDefault="003B155E" w:rsidP="00CC3323">
            <w:pPr>
              <w:numPr>
                <w:ilvl w:val="0"/>
                <w:numId w:val="333"/>
              </w:numPr>
              <w:tabs>
                <w:tab w:val="left" w:pos="467"/>
              </w:tabs>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Saman akış sistemi (sağlam beton zemin olması durumunda).</w:t>
            </w:r>
          </w:p>
        </w:tc>
        <w:tc>
          <w:tcPr>
            <w:tcW w:w="909" w:type="pct"/>
            <w:vAlign w:val="center"/>
          </w:tcPr>
          <w:p w14:paraId="0D13101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11" w:type="pct"/>
            <w:vMerge w:val="restart"/>
            <w:vAlign w:val="center"/>
          </w:tcPr>
          <w:p w14:paraId="2F5CC37B"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30D4B241" w14:textId="77777777" w:rsidTr="000D79D6">
        <w:trPr>
          <w:trHeight w:val="282"/>
        </w:trPr>
        <w:tc>
          <w:tcPr>
            <w:tcW w:w="153" w:type="pct"/>
            <w:vMerge/>
            <w:tcBorders>
              <w:top w:val="nil"/>
            </w:tcBorders>
            <w:vAlign w:val="center"/>
          </w:tcPr>
          <w:p w14:paraId="4164DB96"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5548E880"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690C5CA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1A4A5612"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6391AEB1" w14:textId="77777777" w:rsidTr="000D79D6">
        <w:trPr>
          <w:trHeight w:val="285"/>
        </w:trPr>
        <w:tc>
          <w:tcPr>
            <w:tcW w:w="153" w:type="pct"/>
            <w:vMerge/>
            <w:tcBorders>
              <w:top w:val="nil"/>
            </w:tcBorders>
            <w:vAlign w:val="center"/>
          </w:tcPr>
          <w:p w14:paraId="6AC7268D"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val="restart"/>
            <w:vAlign w:val="center"/>
          </w:tcPr>
          <w:p w14:paraId="751EDF3D" w14:textId="77777777" w:rsidR="003B155E" w:rsidRPr="00FF45DE" w:rsidRDefault="003B155E" w:rsidP="00CC3323">
            <w:pPr>
              <w:numPr>
                <w:ilvl w:val="0"/>
                <w:numId w:val="333"/>
              </w:numPr>
              <w:tabs>
                <w:tab w:val="left" w:pos="467"/>
              </w:tabs>
              <w:ind w:right="7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Dışbükey zemin ve ayrılmış gübre ve su kanalları (kısmen latalı ağıllarda).</w:t>
            </w:r>
          </w:p>
        </w:tc>
        <w:tc>
          <w:tcPr>
            <w:tcW w:w="909" w:type="pct"/>
            <w:vAlign w:val="center"/>
          </w:tcPr>
          <w:p w14:paraId="3C67164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11" w:type="pct"/>
            <w:vMerge w:val="restart"/>
            <w:vAlign w:val="center"/>
          </w:tcPr>
          <w:p w14:paraId="59CE8A0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sebeplerden dolayı mevcut tesislere genel olarak uygulanamayabilir.</w:t>
            </w:r>
          </w:p>
        </w:tc>
      </w:tr>
      <w:tr w:rsidR="003B155E" w:rsidRPr="00FF45DE" w14:paraId="582AD8DF" w14:textId="77777777" w:rsidTr="000D79D6">
        <w:trPr>
          <w:trHeight w:val="395"/>
        </w:trPr>
        <w:tc>
          <w:tcPr>
            <w:tcW w:w="153" w:type="pct"/>
            <w:vMerge/>
            <w:tcBorders>
              <w:top w:val="nil"/>
            </w:tcBorders>
            <w:vAlign w:val="center"/>
          </w:tcPr>
          <w:p w14:paraId="66E7A413"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5F8E5CB2"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7386F2C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1B1D9005"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0DA98463" w14:textId="77777777" w:rsidTr="000D79D6">
        <w:trPr>
          <w:trHeight w:val="524"/>
        </w:trPr>
        <w:tc>
          <w:tcPr>
            <w:tcW w:w="153" w:type="pct"/>
            <w:vMerge/>
            <w:tcBorders>
              <w:top w:val="nil"/>
            </w:tcBorders>
            <w:vAlign w:val="center"/>
          </w:tcPr>
          <w:p w14:paraId="7ECEC0AB"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Align w:val="center"/>
          </w:tcPr>
          <w:p w14:paraId="5CC26245" w14:textId="77777777" w:rsidR="003B155E" w:rsidRPr="00FF45DE" w:rsidRDefault="003B155E" w:rsidP="00CC3323">
            <w:pPr>
              <w:numPr>
                <w:ilvl w:val="0"/>
                <w:numId w:val="333"/>
              </w:numPr>
              <w:spacing w:line="223" w:lineRule="exact"/>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Kombine gübre üretimi (sulu ve katı gübre) içeren altlıklı ağıllar.</w:t>
            </w:r>
          </w:p>
        </w:tc>
        <w:tc>
          <w:tcPr>
            <w:tcW w:w="909" w:type="pct"/>
            <w:vAlign w:val="center"/>
          </w:tcPr>
          <w:p w14:paraId="2840DE8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Yavrulayan dişi domuz</w:t>
            </w:r>
          </w:p>
        </w:tc>
        <w:tc>
          <w:tcPr>
            <w:tcW w:w="2111" w:type="pct"/>
            <w:vMerge/>
            <w:tcBorders>
              <w:top w:val="nil"/>
            </w:tcBorders>
            <w:vAlign w:val="center"/>
          </w:tcPr>
          <w:p w14:paraId="5BA61611"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13E9644B" w14:textId="77777777" w:rsidTr="000D79D6">
        <w:trPr>
          <w:trHeight w:val="688"/>
        </w:trPr>
        <w:tc>
          <w:tcPr>
            <w:tcW w:w="153" w:type="pct"/>
            <w:vMerge/>
            <w:tcBorders>
              <w:top w:val="nil"/>
            </w:tcBorders>
            <w:vAlign w:val="center"/>
          </w:tcPr>
          <w:p w14:paraId="3B488742"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Align w:val="center"/>
          </w:tcPr>
          <w:p w14:paraId="6879B8C7" w14:textId="77777777" w:rsidR="003B155E" w:rsidRPr="00FF45DE" w:rsidRDefault="003B155E" w:rsidP="00CC3323">
            <w:pPr>
              <w:numPr>
                <w:ilvl w:val="0"/>
                <w:numId w:val="333"/>
              </w:numPr>
              <w:spacing w:line="223" w:lineRule="exact"/>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Sert zemin üzerinde yemleme/yatma kutuları (altlıklı ağıllarda).</w:t>
            </w:r>
          </w:p>
        </w:tc>
        <w:tc>
          <w:tcPr>
            <w:tcW w:w="909" w:type="pct"/>
            <w:vAlign w:val="center"/>
          </w:tcPr>
          <w:p w14:paraId="20B2A74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Çiftleşme dönemindeki ve gebe dişi domuzlar</w:t>
            </w:r>
          </w:p>
        </w:tc>
        <w:tc>
          <w:tcPr>
            <w:tcW w:w="2111" w:type="pct"/>
            <w:vAlign w:val="center"/>
          </w:tcPr>
          <w:p w14:paraId="00C80160" w14:textId="77777777" w:rsidR="003B155E" w:rsidRPr="00FF45DE" w:rsidRDefault="003B155E" w:rsidP="000D79D6">
            <w:pPr>
              <w:ind w:left="74" w:right="74"/>
              <w:rPr>
                <w:rFonts w:ascii="Times New Roman" w:eastAsia="Times New Roman" w:hAnsi="Times New Roman" w:cs="Times New Roman"/>
                <w:lang w:val="sv-SE"/>
              </w:rPr>
            </w:pPr>
            <w:r w:rsidRPr="00FF45DE">
              <w:rPr>
                <w:rFonts w:ascii="Times New Roman" w:eastAsia="Times New Roman" w:hAnsi="Times New Roman" w:cs="Times New Roman"/>
                <w:lang w:val="tr"/>
              </w:rPr>
              <w:t>Sert beton zemini olmayan mevcut tesislerde uygulanmaz.</w:t>
            </w:r>
          </w:p>
        </w:tc>
      </w:tr>
      <w:tr w:rsidR="003B155E" w:rsidRPr="00FF45DE" w14:paraId="17789B34" w14:textId="77777777" w:rsidTr="000D79D6">
        <w:trPr>
          <w:trHeight w:val="460"/>
        </w:trPr>
        <w:tc>
          <w:tcPr>
            <w:tcW w:w="153" w:type="pct"/>
            <w:vMerge/>
            <w:tcBorders>
              <w:top w:val="nil"/>
            </w:tcBorders>
            <w:vAlign w:val="center"/>
          </w:tcPr>
          <w:p w14:paraId="7BB94F5C" w14:textId="77777777" w:rsidR="003B155E" w:rsidRPr="00FF45DE" w:rsidRDefault="003B155E" w:rsidP="000D79D6">
            <w:pPr>
              <w:spacing w:line="360" w:lineRule="auto"/>
              <w:ind w:left="74" w:right="74"/>
              <w:rPr>
                <w:rFonts w:ascii="Times New Roman" w:eastAsia="Calibri" w:hAnsi="Times New Roman" w:cs="Times New Roman"/>
                <w:sz w:val="20"/>
                <w:szCs w:val="20"/>
                <w:lang w:val="sv-SE"/>
              </w:rPr>
            </w:pPr>
          </w:p>
        </w:tc>
        <w:tc>
          <w:tcPr>
            <w:tcW w:w="1827" w:type="pct"/>
            <w:vAlign w:val="center"/>
          </w:tcPr>
          <w:p w14:paraId="0F267805" w14:textId="77777777" w:rsidR="003B155E" w:rsidRPr="00FF45DE" w:rsidRDefault="003B155E" w:rsidP="00CC3323">
            <w:pPr>
              <w:numPr>
                <w:ilvl w:val="0"/>
                <w:numId w:val="333"/>
              </w:numPr>
              <w:spacing w:line="223" w:lineRule="exact"/>
              <w:ind w:right="74"/>
              <w:jc w:val="both"/>
              <w:rPr>
                <w:rFonts w:ascii="Times New Roman" w:eastAsia="Times New Roman" w:hAnsi="Times New Roman" w:cs="Times New Roman"/>
                <w:lang w:val="sv-SE"/>
              </w:rPr>
            </w:pPr>
            <w:r w:rsidRPr="00FF45DE">
              <w:rPr>
                <w:rFonts w:ascii="Times New Roman" w:eastAsia="Times New Roman" w:hAnsi="Times New Roman" w:cs="Times New Roman"/>
                <w:lang w:val="tr"/>
              </w:rPr>
              <w:t>Gübre tavası (tamamen veya kısmen latalı zemin olması durumunda).</w:t>
            </w:r>
          </w:p>
        </w:tc>
        <w:tc>
          <w:tcPr>
            <w:tcW w:w="909" w:type="pct"/>
            <w:vAlign w:val="center"/>
          </w:tcPr>
          <w:p w14:paraId="51D70FC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Yavrulayan dişi domuz</w:t>
            </w:r>
          </w:p>
        </w:tc>
        <w:tc>
          <w:tcPr>
            <w:tcW w:w="2111" w:type="pct"/>
            <w:vAlign w:val="center"/>
          </w:tcPr>
          <w:p w14:paraId="4285862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2D3CC6F2" w14:textId="77777777" w:rsidTr="000D79D6">
        <w:trPr>
          <w:trHeight w:val="285"/>
        </w:trPr>
        <w:tc>
          <w:tcPr>
            <w:tcW w:w="153" w:type="pct"/>
            <w:vMerge/>
            <w:tcBorders>
              <w:top w:val="nil"/>
            </w:tcBorders>
            <w:vAlign w:val="center"/>
          </w:tcPr>
          <w:p w14:paraId="08E6D83C"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val="restart"/>
            <w:vAlign w:val="center"/>
          </w:tcPr>
          <w:p w14:paraId="1B022E12"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Suda gübre toplama.</w:t>
            </w:r>
          </w:p>
        </w:tc>
        <w:tc>
          <w:tcPr>
            <w:tcW w:w="909" w:type="pct"/>
            <w:vAlign w:val="center"/>
          </w:tcPr>
          <w:p w14:paraId="3DAE2BD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2111" w:type="pct"/>
            <w:vMerge w:val="restart"/>
            <w:vAlign w:val="center"/>
          </w:tcPr>
          <w:p w14:paraId="5DD41BD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sebeplerden dolayı mevcut tesislere genel olarak uygulanamayabilir.</w:t>
            </w:r>
          </w:p>
        </w:tc>
      </w:tr>
      <w:tr w:rsidR="003B155E" w:rsidRPr="00FF45DE" w14:paraId="27C93C83" w14:textId="77777777" w:rsidTr="000D79D6">
        <w:trPr>
          <w:trHeight w:val="282"/>
        </w:trPr>
        <w:tc>
          <w:tcPr>
            <w:tcW w:w="153" w:type="pct"/>
            <w:vMerge/>
            <w:tcBorders>
              <w:top w:val="nil"/>
            </w:tcBorders>
            <w:vAlign w:val="center"/>
          </w:tcPr>
          <w:p w14:paraId="0FA90277"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Merge/>
            <w:tcBorders>
              <w:top w:val="nil"/>
            </w:tcBorders>
            <w:vAlign w:val="center"/>
          </w:tcPr>
          <w:p w14:paraId="61D04CD2" w14:textId="77777777" w:rsidR="003B155E" w:rsidRPr="00FF45DE" w:rsidRDefault="003B155E" w:rsidP="000D79D6">
            <w:pPr>
              <w:spacing w:line="360" w:lineRule="auto"/>
              <w:ind w:left="74" w:right="74"/>
              <w:rPr>
                <w:rFonts w:ascii="Times New Roman" w:eastAsia="Calibri" w:hAnsi="Times New Roman" w:cs="Times New Roman"/>
              </w:rPr>
            </w:pPr>
          </w:p>
        </w:tc>
        <w:tc>
          <w:tcPr>
            <w:tcW w:w="909" w:type="pct"/>
            <w:vAlign w:val="center"/>
          </w:tcPr>
          <w:p w14:paraId="0F1FF9F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58C5653A"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0D7E08DB" w14:textId="77777777" w:rsidTr="000D79D6">
        <w:trPr>
          <w:trHeight w:val="460"/>
        </w:trPr>
        <w:tc>
          <w:tcPr>
            <w:tcW w:w="153" w:type="pct"/>
            <w:vMerge/>
            <w:tcBorders>
              <w:top w:val="nil"/>
            </w:tcBorders>
            <w:vAlign w:val="center"/>
          </w:tcPr>
          <w:p w14:paraId="6E232A47"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Align w:val="center"/>
          </w:tcPr>
          <w:p w14:paraId="5619EAF1" w14:textId="77777777" w:rsidR="003B155E" w:rsidRPr="00FF45DE" w:rsidRDefault="003B155E" w:rsidP="00CC3323">
            <w:pPr>
              <w:numPr>
                <w:ilvl w:val="0"/>
                <w:numId w:val="333"/>
              </w:numPr>
              <w:spacing w:line="223" w:lineRule="exact"/>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V-biçimli gübre bantları (kısmen latalı zemin olması durumunda).</w:t>
            </w:r>
          </w:p>
        </w:tc>
        <w:tc>
          <w:tcPr>
            <w:tcW w:w="909" w:type="pct"/>
            <w:vAlign w:val="center"/>
          </w:tcPr>
          <w:p w14:paraId="3B56F0D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Merge/>
            <w:tcBorders>
              <w:top w:val="nil"/>
            </w:tcBorders>
            <w:vAlign w:val="center"/>
          </w:tcPr>
          <w:p w14:paraId="116291BF"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580D7D60" w14:textId="77777777" w:rsidTr="000D79D6">
        <w:trPr>
          <w:trHeight w:val="690"/>
        </w:trPr>
        <w:tc>
          <w:tcPr>
            <w:tcW w:w="153" w:type="pct"/>
            <w:vMerge/>
            <w:tcBorders>
              <w:top w:val="nil"/>
            </w:tcBorders>
            <w:vAlign w:val="center"/>
          </w:tcPr>
          <w:p w14:paraId="37268370"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Align w:val="center"/>
          </w:tcPr>
          <w:p w14:paraId="5B8D3D46"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 ve gübre kanallarının bir kombinasyonu (tamamen latalı bir zemin olması durumunda).</w:t>
            </w:r>
          </w:p>
        </w:tc>
        <w:tc>
          <w:tcPr>
            <w:tcW w:w="909" w:type="pct"/>
            <w:vAlign w:val="center"/>
          </w:tcPr>
          <w:p w14:paraId="54747B3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Yavrulayan dişi domuz</w:t>
            </w:r>
          </w:p>
        </w:tc>
        <w:tc>
          <w:tcPr>
            <w:tcW w:w="2111" w:type="pct"/>
            <w:vMerge/>
            <w:tcBorders>
              <w:top w:val="nil"/>
            </w:tcBorders>
            <w:vAlign w:val="center"/>
          </w:tcPr>
          <w:p w14:paraId="13A91168" w14:textId="77777777" w:rsidR="003B155E" w:rsidRPr="00FF45DE" w:rsidRDefault="003B155E" w:rsidP="000D79D6">
            <w:pPr>
              <w:spacing w:line="360" w:lineRule="auto"/>
              <w:ind w:left="74" w:right="74"/>
              <w:rPr>
                <w:rFonts w:ascii="Times New Roman" w:eastAsia="Calibri" w:hAnsi="Times New Roman" w:cs="Times New Roman"/>
              </w:rPr>
            </w:pPr>
          </w:p>
        </w:tc>
      </w:tr>
      <w:tr w:rsidR="003B155E" w:rsidRPr="00FF45DE" w14:paraId="6A368370" w14:textId="77777777" w:rsidTr="000D79D6">
        <w:trPr>
          <w:trHeight w:val="918"/>
        </w:trPr>
        <w:tc>
          <w:tcPr>
            <w:tcW w:w="153" w:type="pct"/>
            <w:vMerge/>
            <w:tcBorders>
              <w:top w:val="nil"/>
            </w:tcBorders>
            <w:vAlign w:val="center"/>
          </w:tcPr>
          <w:p w14:paraId="188FA75D" w14:textId="77777777" w:rsidR="003B155E" w:rsidRPr="00FF45DE" w:rsidRDefault="003B155E" w:rsidP="000D79D6">
            <w:pPr>
              <w:spacing w:line="360" w:lineRule="auto"/>
              <w:ind w:left="74" w:right="74"/>
              <w:rPr>
                <w:rFonts w:ascii="Times New Roman" w:eastAsia="Calibri" w:hAnsi="Times New Roman" w:cs="Times New Roman"/>
                <w:sz w:val="20"/>
                <w:szCs w:val="20"/>
              </w:rPr>
            </w:pPr>
          </w:p>
        </w:tc>
        <w:tc>
          <w:tcPr>
            <w:tcW w:w="1827" w:type="pct"/>
            <w:vAlign w:val="center"/>
          </w:tcPr>
          <w:p w14:paraId="5A146C4E" w14:textId="77777777" w:rsidR="003B155E" w:rsidRPr="00FF45DE" w:rsidRDefault="003B155E" w:rsidP="00CC3323">
            <w:pPr>
              <w:numPr>
                <w:ilvl w:val="0"/>
                <w:numId w:val="333"/>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Altlıklı dış avlu (sağlam beton zemin olması durumunda).</w:t>
            </w:r>
          </w:p>
        </w:tc>
        <w:tc>
          <w:tcPr>
            <w:tcW w:w="909" w:type="pct"/>
            <w:vAlign w:val="center"/>
          </w:tcPr>
          <w:p w14:paraId="5C8BDE2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Align w:val="center"/>
          </w:tcPr>
          <w:p w14:paraId="7CD654A2" w14:textId="77777777" w:rsidR="003B155E" w:rsidRPr="00FF45DE" w:rsidRDefault="003B155E" w:rsidP="000D79D6">
            <w:pPr>
              <w:spacing w:line="223" w:lineRule="exact"/>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Soğuk iklimlerde uygulanmaz.</w:t>
            </w:r>
          </w:p>
          <w:p w14:paraId="4579BC3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ve/veya ekonomik sebeplerden dolayı mevcut tesislere genel olarak uygulanamayabilir.</w:t>
            </w:r>
          </w:p>
        </w:tc>
      </w:tr>
      <w:tr w:rsidR="003B155E" w:rsidRPr="00FF45DE" w14:paraId="0E51A313" w14:textId="77777777" w:rsidTr="000D79D6">
        <w:trPr>
          <w:trHeight w:val="849"/>
        </w:trPr>
        <w:tc>
          <w:tcPr>
            <w:tcW w:w="153" w:type="pct"/>
            <w:vAlign w:val="center"/>
          </w:tcPr>
          <w:p w14:paraId="485D4A63" w14:textId="77777777" w:rsidR="003B155E" w:rsidRPr="00FF45DE" w:rsidRDefault="003B155E" w:rsidP="000D79D6">
            <w:pPr>
              <w:ind w:left="74" w:right="74"/>
              <w:rPr>
                <w:rFonts w:ascii="Times New Roman" w:eastAsia="Times New Roman" w:hAnsi="Times New Roman" w:cs="Times New Roman"/>
                <w:sz w:val="20"/>
                <w:szCs w:val="20"/>
                <w:lang w:val="en-GB"/>
              </w:rPr>
            </w:pPr>
            <w:r w:rsidRPr="00FF45DE">
              <w:rPr>
                <w:rFonts w:ascii="Times New Roman" w:eastAsia="Times New Roman" w:hAnsi="Times New Roman" w:cs="Times New Roman"/>
                <w:w w:val="99"/>
                <w:sz w:val="20"/>
                <w:szCs w:val="20"/>
                <w:lang w:val="tr"/>
              </w:rPr>
              <w:t>b</w:t>
            </w:r>
          </w:p>
        </w:tc>
        <w:tc>
          <w:tcPr>
            <w:tcW w:w="1827" w:type="pct"/>
            <w:vAlign w:val="center"/>
          </w:tcPr>
          <w:p w14:paraId="3DFB849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soğutulması</w:t>
            </w:r>
          </w:p>
        </w:tc>
        <w:tc>
          <w:tcPr>
            <w:tcW w:w="909" w:type="pct"/>
            <w:vAlign w:val="center"/>
          </w:tcPr>
          <w:p w14:paraId="751B744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Align w:val="center"/>
          </w:tcPr>
          <w:p w14:paraId="394850D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Şu durumlarda geçerli değildir:</w:t>
            </w:r>
          </w:p>
          <w:p w14:paraId="2652E103" w14:textId="77777777" w:rsidR="003B155E" w:rsidRPr="00FF45DE" w:rsidRDefault="003B155E" w:rsidP="003B155E">
            <w:pPr>
              <w:numPr>
                <w:ilvl w:val="0"/>
                <w:numId w:val="175"/>
              </w:numPr>
              <w:tabs>
                <w:tab w:val="left" w:pos="223"/>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Isının yeniden kullanımı olan.</w:t>
            </w:r>
          </w:p>
          <w:p w14:paraId="548F08CE" w14:textId="77777777" w:rsidR="003B155E" w:rsidRPr="00FF45DE" w:rsidRDefault="003B155E" w:rsidP="003B155E">
            <w:pPr>
              <w:numPr>
                <w:ilvl w:val="0"/>
                <w:numId w:val="175"/>
              </w:numPr>
              <w:tabs>
                <w:tab w:val="left" w:pos="223"/>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Altlık kullanılan.</w:t>
            </w:r>
          </w:p>
        </w:tc>
      </w:tr>
      <w:tr w:rsidR="003B155E" w:rsidRPr="00FF45DE" w14:paraId="081DD085" w14:textId="77777777" w:rsidTr="000D79D6">
        <w:trPr>
          <w:trHeight w:val="1643"/>
        </w:trPr>
        <w:tc>
          <w:tcPr>
            <w:tcW w:w="153" w:type="pct"/>
            <w:vAlign w:val="center"/>
          </w:tcPr>
          <w:p w14:paraId="6CE9DA6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lastRenderedPageBreak/>
              <w:t>c</w:t>
            </w:r>
          </w:p>
        </w:tc>
        <w:tc>
          <w:tcPr>
            <w:tcW w:w="1827" w:type="pct"/>
            <w:vAlign w:val="center"/>
          </w:tcPr>
          <w:p w14:paraId="626BAA3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Bir hava temizleme sisteminin kullanımı, örneğin:</w:t>
            </w:r>
          </w:p>
          <w:p w14:paraId="576D8D8B" w14:textId="77777777" w:rsidR="003B155E" w:rsidRPr="00FF45DE" w:rsidRDefault="003B155E" w:rsidP="003B155E">
            <w:pPr>
              <w:numPr>
                <w:ilvl w:val="0"/>
                <w:numId w:val="175"/>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Sulu asit yıkayıcı</w:t>
            </w:r>
          </w:p>
          <w:p w14:paraId="20DBE29E" w14:textId="77777777" w:rsidR="003B155E" w:rsidRPr="00FF45DE" w:rsidRDefault="003B155E" w:rsidP="003B155E">
            <w:pPr>
              <w:numPr>
                <w:ilvl w:val="0"/>
                <w:numId w:val="175"/>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İki kademeli veya üç kademeli hava temizleme sistemi</w:t>
            </w:r>
          </w:p>
          <w:p w14:paraId="2E918810" w14:textId="77777777" w:rsidR="003B155E" w:rsidRPr="00FF45DE" w:rsidRDefault="003B155E" w:rsidP="003B155E">
            <w:pPr>
              <w:numPr>
                <w:ilvl w:val="0"/>
                <w:numId w:val="174"/>
              </w:numPr>
              <w:tabs>
                <w:tab w:val="left" w:pos="609"/>
                <w:tab w:val="left" w:pos="610"/>
              </w:tabs>
              <w:ind w:left="74"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 Biyoyıkayıcı (veya biyo-damlatmalı filtre)</w:t>
            </w:r>
          </w:p>
        </w:tc>
        <w:tc>
          <w:tcPr>
            <w:tcW w:w="909" w:type="pct"/>
            <w:vAlign w:val="center"/>
          </w:tcPr>
          <w:p w14:paraId="201D9E4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Align w:val="center"/>
          </w:tcPr>
          <w:p w14:paraId="2B4E338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Yüksek uygulama maliyeti nedeniyle genel olarak uygulanmayabilir.</w:t>
            </w:r>
          </w:p>
          <w:p w14:paraId="721AC5A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Yalnızca merkezi bir havalandırma sisteminin kullanıldığı mevcut tesislerde uygulanabilir.</w:t>
            </w:r>
          </w:p>
        </w:tc>
      </w:tr>
      <w:tr w:rsidR="003B155E" w:rsidRPr="00FF45DE" w14:paraId="260692E0" w14:textId="77777777" w:rsidTr="000D79D6">
        <w:trPr>
          <w:trHeight w:val="455"/>
        </w:trPr>
        <w:tc>
          <w:tcPr>
            <w:tcW w:w="153" w:type="pct"/>
            <w:vAlign w:val="center"/>
          </w:tcPr>
          <w:p w14:paraId="7AD535F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1827" w:type="pct"/>
            <w:vAlign w:val="center"/>
          </w:tcPr>
          <w:p w14:paraId="6085032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asitlendirme</w:t>
            </w:r>
          </w:p>
        </w:tc>
        <w:tc>
          <w:tcPr>
            <w:tcW w:w="909" w:type="pct"/>
            <w:vAlign w:val="center"/>
          </w:tcPr>
          <w:p w14:paraId="69D7AE4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domuzlar</w:t>
            </w:r>
          </w:p>
        </w:tc>
        <w:tc>
          <w:tcPr>
            <w:tcW w:w="2111" w:type="pct"/>
            <w:vAlign w:val="center"/>
          </w:tcPr>
          <w:p w14:paraId="124617A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5AFB0102" w14:textId="77777777" w:rsidTr="000D79D6">
        <w:trPr>
          <w:trHeight w:val="688"/>
        </w:trPr>
        <w:tc>
          <w:tcPr>
            <w:tcW w:w="153" w:type="pct"/>
            <w:vAlign w:val="center"/>
          </w:tcPr>
          <w:p w14:paraId="653D651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1827" w:type="pct"/>
            <w:vAlign w:val="center"/>
          </w:tcPr>
          <w:p w14:paraId="7F5C8C74"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Gübre kanalında yüzen topların kullanımı</w:t>
            </w:r>
          </w:p>
        </w:tc>
        <w:tc>
          <w:tcPr>
            <w:tcW w:w="909" w:type="pct"/>
            <w:vAlign w:val="center"/>
          </w:tcPr>
          <w:p w14:paraId="1C85419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2111" w:type="pct"/>
            <w:vAlign w:val="center"/>
          </w:tcPr>
          <w:p w14:paraId="3F31223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Eğimli duvarlı çukurlara sahip tesislere ve yıkama yoluyla sulu gübre giderme uygulayan tesislere uygulanmaz.</w:t>
            </w:r>
          </w:p>
        </w:tc>
      </w:tr>
    </w:tbl>
    <w:p w14:paraId="6A627FD1" w14:textId="77777777" w:rsidR="003B155E" w:rsidRPr="00EE5089" w:rsidRDefault="003B155E" w:rsidP="003B155E">
      <w:pPr>
        <w:spacing w:before="240" w:after="0" w:line="360" w:lineRule="auto"/>
        <w:jc w:val="both"/>
        <w:rPr>
          <w:rFonts w:ascii="Times New Roman" w:eastAsia="Calibri" w:hAnsi="Times New Roman" w:cs="Calibri"/>
          <w:b/>
          <w:iCs/>
          <w:color w:val="000000"/>
          <w:kern w:val="0"/>
          <w14:ligatures w14:val="none"/>
        </w:rPr>
      </w:pPr>
      <w:r w:rsidRPr="00EE5089">
        <w:rPr>
          <w:rFonts w:ascii="Times New Roman" w:eastAsia="Calibri" w:hAnsi="Times New Roman" w:cs="Calibri"/>
          <w:b/>
          <w:iCs/>
          <w:color w:val="000000"/>
          <w:kern w:val="0"/>
          <w14:ligatures w14:val="none"/>
        </w:rPr>
        <w:t>Her bir domuz kümesinden havaya amonyak emisyonları için MET-İES</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0"/>
        <w:gridCol w:w="3023"/>
        <w:gridCol w:w="3019"/>
      </w:tblGrid>
      <w:tr w:rsidR="003B155E" w:rsidRPr="00FF45DE" w14:paraId="4CC32CFF" w14:textId="77777777" w:rsidTr="000D79D6">
        <w:trPr>
          <w:trHeight w:val="460"/>
        </w:trPr>
        <w:tc>
          <w:tcPr>
            <w:tcW w:w="1666" w:type="pct"/>
            <w:vAlign w:val="center"/>
          </w:tcPr>
          <w:p w14:paraId="5FCE69D0"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Parametre</w:t>
            </w:r>
          </w:p>
        </w:tc>
        <w:tc>
          <w:tcPr>
            <w:tcW w:w="1668" w:type="pct"/>
            <w:vAlign w:val="center"/>
          </w:tcPr>
          <w:p w14:paraId="0CBE3831"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Hayvan kategorisi</w:t>
            </w:r>
          </w:p>
        </w:tc>
        <w:tc>
          <w:tcPr>
            <w:tcW w:w="1666" w:type="pct"/>
            <w:vAlign w:val="center"/>
          </w:tcPr>
          <w:p w14:paraId="787E6B4A"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MET-İES (</w:t>
            </w:r>
            <w:r w:rsidRPr="00FF45DE">
              <w:rPr>
                <w:rFonts w:ascii="Times New Roman" w:eastAsia="Times New Roman" w:hAnsi="Times New Roman" w:cs="Times New Roman"/>
                <w:b/>
                <w:vertAlign w:val="superscript"/>
                <w:lang w:val="tr"/>
              </w:rPr>
              <w:t>1</w:t>
            </w:r>
            <w:r w:rsidRPr="00FF45DE">
              <w:rPr>
                <w:rFonts w:ascii="Times New Roman" w:eastAsia="Times New Roman" w:hAnsi="Times New Roman" w:cs="Times New Roman"/>
                <w:b/>
                <w:lang w:val="tr"/>
              </w:rPr>
              <w:t>)</w:t>
            </w:r>
          </w:p>
          <w:p w14:paraId="24E6FEA1"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(kg NH</w:t>
            </w:r>
            <w:r w:rsidRPr="00FF45DE">
              <w:rPr>
                <w:rFonts w:ascii="Times New Roman" w:eastAsia="Times New Roman" w:hAnsi="Times New Roman" w:cs="Times New Roman"/>
                <w:b/>
                <w:vertAlign w:val="subscript"/>
                <w:lang w:val="tr"/>
              </w:rPr>
              <w:t>3</w:t>
            </w:r>
            <w:r w:rsidRPr="00FF45DE">
              <w:rPr>
                <w:rFonts w:ascii="Times New Roman" w:eastAsia="Times New Roman" w:hAnsi="Times New Roman" w:cs="Times New Roman"/>
                <w:b/>
                <w:lang w:val="tr"/>
              </w:rPr>
              <w:t>/hayvan yeri/yıl)</w:t>
            </w:r>
          </w:p>
        </w:tc>
      </w:tr>
      <w:tr w:rsidR="003B155E" w:rsidRPr="00FF45DE" w14:paraId="410771F2" w14:textId="77777777" w:rsidTr="000D79D6">
        <w:trPr>
          <w:trHeight w:val="470"/>
        </w:trPr>
        <w:tc>
          <w:tcPr>
            <w:tcW w:w="1666" w:type="pct"/>
            <w:vMerge w:val="restart"/>
            <w:vAlign w:val="center"/>
          </w:tcPr>
          <w:p w14:paraId="76A2098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NH</w:t>
            </w:r>
            <w:r w:rsidRPr="00FF45DE">
              <w:rPr>
                <w:rFonts w:ascii="Times New Roman" w:eastAsia="Times New Roman" w:hAnsi="Times New Roman" w:cs="Times New Roman"/>
                <w:vertAlign w:val="subscript"/>
                <w:lang w:val="tr"/>
              </w:rPr>
              <w:t>3</w:t>
            </w:r>
            <w:r w:rsidRPr="00FF45DE">
              <w:rPr>
                <w:rFonts w:ascii="Times New Roman" w:eastAsia="Times New Roman" w:hAnsi="Times New Roman" w:cs="Times New Roman"/>
                <w:lang w:val="tr"/>
              </w:rPr>
              <w:t xml:space="preserve"> olarak ifade edilen amonyak</w:t>
            </w:r>
          </w:p>
        </w:tc>
        <w:tc>
          <w:tcPr>
            <w:tcW w:w="1668" w:type="pct"/>
            <w:vAlign w:val="center"/>
          </w:tcPr>
          <w:p w14:paraId="41555B0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Çiftleşme dönemindeki ve gebe dişi domuzlar</w:t>
            </w:r>
          </w:p>
        </w:tc>
        <w:tc>
          <w:tcPr>
            <w:tcW w:w="1666" w:type="pct"/>
          </w:tcPr>
          <w:p w14:paraId="02924902"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0,2–2,7 (</w:t>
            </w:r>
            <w:r w:rsidRPr="00FF45DE">
              <w:rPr>
                <w:rFonts w:ascii="Times New Roman" w:eastAsia="Times New Roman" w:hAnsi="Times New Roman" w:cs="Times New Roman"/>
                <w:vertAlign w:val="superscript"/>
                <w:lang w:val="tr"/>
              </w:rPr>
              <w:t>2</w:t>
            </w:r>
            <w:r w:rsidRPr="00FF45DE">
              <w:rPr>
                <w:rFonts w:ascii="Times New Roman" w:eastAsia="Times New Roman" w:hAnsi="Times New Roman" w:cs="Times New Roman"/>
                <w:lang w:val="tr"/>
              </w:rPr>
              <w:t>) (</w:t>
            </w:r>
            <w:r w:rsidRPr="00FF45DE">
              <w:rPr>
                <w:rFonts w:ascii="Times New Roman" w:eastAsia="Times New Roman" w:hAnsi="Times New Roman" w:cs="Times New Roman"/>
                <w:vertAlign w:val="superscript"/>
                <w:lang w:val="tr"/>
              </w:rPr>
              <w:t>3</w:t>
            </w:r>
            <w:r w:rsidRPr="00FF45DE">
              <w:rPr>
                <w:rFonts w:ascii="Times New Roman" w:eastAsia="Times New Roman" w:hAnsi="Times New Roman" w:cs="Times New Roman"/>
                <w:lang w:val="tr"/>
              </w:rPr>
              <w:t>)</w:t>
            </w:r>
          </w:p>
        </w:tc>
      </w:tr>
      <w:tr w:rsidR="003B155E" w:rsidRPr="00FF45DE" w14:paraId="7588C0C0" w14:textId="77777777" w:rsidTr="000D79D6">
        <w:trPr>
          <w:trHeight w:val="467"/>
        </w:trPr>
        <w:tc>
          <w:tcPr>
            <w:tcW w:w="1666" w:type="pct"/>
            <w:vMerge/>
            <w:tcBorders>
              <w:top w:val="nil"/>
            </w:tcBorders>
            <w:vAlign w:val="center"/>
          </w:tcPr>
          <w:p w14:paraId="55AB2ECD" w14:textId="77777777" w:rsidR="003B155E" w:rsidRPr="00FF45DE" w:rsidRDefault="003B155E" w:rsidP="000D79D6">
            <w:pPr>
              <w:ind w:left="74" w:right="74"/>
              <w:rPr>
                <w:rFonts w:ascii="Times New Roman" w:eastAsia="Calibri" w:hAnsi="Times New Roman" w:cs="Times New Roman"/>
              </w:rPr>
            </w:pPr>
          </w:p>
        </w:tc>
        <w:tc>
          <w:tcPr>
            <w:tcW w:w="1668" w:type="pct"/>
            <w:vAlign w:val="center"/>
          </w:tcPr>
          <w:p w14:paraId="232F4FC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Kafesli kasalarda çiftleşme dönemindeki dişi domuzlar (domuz yavruları dahil)</w:t>
            </w:r>
          </w:p>
        </w:tc>
        <w:tc>
          <w:tcPr>
            <w:tcW w:w="1666" w:type="pct"/>
          </w:tcPr>
          <w:p w14:paraId="691569CD"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0,4–5,6 (</w:t>
            </w:r>
            <w:r w:rsidRPr="00FF45DE">
              <w:rPr>
                <w:rFonts w:ascii="Times New Roman" w:eastAsia="Times New Roman" w:hAnsi="Times New Roman" w:cs="Times New Roman"/>
                <w:vertAlign w:val="superscript"/>
                <w:lang w:val="tr"/>
              </w:rPr>
              <w:t>4</w:t>
            </w:r>
            <w:r w:rsidRPr="00FF45DE">
              <w:rPr>
                <w:rFonts w:ascii="Times New Roman" w:eastAsia="Times New Roman" w:hAnsi="Times New Roman" w:cs="Times New Roman"/>
                <w:lang w:val="tr"/>
              </w:rPr>
              <w:t>)</w:t>
            </w:r>
          </w:p>
        </w:tc>
      </w:tr>
      <w:tr w:rsidR="003B155E" w:rsidRPr="00FF45DE" w14:paraId="6BDD2780" w14:textId="77777777" w:rsidTr="000D79D6">
        <w:trPr>
          <w:trHeight w:val="470"/>
        </w:trPr>
        <w:tc>
          <w:tcPr>
            <w:tcW w:w="1666" w:type="pct"/>
            <w:vMerge/>
            <w:tcBorders>
              <w:top w:val="nil"/>
            </w:tcBorders>
            <w:vAlign w:val="center"/>
          </w:tcPr>
          <w:p w14:paraId="1A577971" w14:textId="77777777" w:rsidR="003B155E" w:rsidRPr="00FF45DE" w:rsidRDefault="003B155E" w:rsidP="000D79D6">
            <w:pPr>
              <w:ind w:left="74" w:right="74"/>
              <w:rPr>
                <w:rFonts w:ascii="Times New Roman" w:eastAsia="Calibri" w:hAnsi="Times New Roman" w:cs="Times New Roman"/>
              </w:rPr>
            </w:pPr>
          </w:p>
        </w:tc>
        <w:tc>
          <w:tcPr>
            <w:tcW w:w="1668" w:type="pct"/>
            <w:vAlign w:val="center"/>
          </w:tcPr>
          <w:p w14:paraId="28DAA8E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Sütten kesilmiş domuz yavrusu</w:t>
            </w:r>
          </w:p>
        </w:tc>
        <w:tc>
          <w:tcPr>
            <w:tcW w:w="1666" w:type="pct"/>
          </w:tcPr>
          <w:p w14:paraId="678EC9B6"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0,03–0,53 (</w:t>
            </w:r>
            <w:r w:rsidRPr="00FF45DE">
              <w:rPr>
                <w:rFonts w:ascii="Times New Roman" w:eastAsia="Times New Roman" w:hAnsi="Times New Roman" w:cs="Times New Roman"/>
                <w:vertAlign w:val="superscript"/>
                <w:lang w:val="tr"/>
              </w:rPr>
              <w:t>5</w:t>
            </w:r>
            <w:r w:rsidRPr="00FF45DE">
              <w:rPr>
                <w:rFonts w:ascii="Times New Roman" w:eastAsia="Times New Roman" w:hAnsi="Times New Roman" w:cs="Times New Roman"/>
                <w:lang w:val="tr"/>
              </w:rPr>
              <w:t>) (</w:t>
            </w:r>
            <w:r w:rsidRPr="00FF45DE">
              <w:rPr>
                <w:rFonts w:ascii="Times New Roman" w:eastAsia="Times New Roman" w:hAnsi="Times New Roman" w:cs="Times New Roman"/>
                <w:vertAlign w:val="superscript"/>
                <w:lang w:val="tr"/>
              </w:rPr>
              <w:t>6</w:t>
            </w:r>
            <w:r w:rsidRPr="00FF45DE">
              <w:rPr>
                <w:rFonts w:ascii="Times New Roman" w:eastAsia="Times New Roman" w:hAnsi="Times New Roman" w:cs="Times New Roman"/>
                <w:lang w:val="tr"/>
              </w:rPr>
              <w:t>)</w:t>
            </w:r>
          </w:p>
        </w:tc>
      </w:tr>
      <w:tr w:rsidR="003B155E" w:rsidRPr="00FF45DE" w14:paraId="1C3AA844" w14:textId="77777777" w:rsidTr="000D79D6">
        <w:trPr>
          <w:trHeight w:val="370"/>
        </w:trPr>
        <w:tc>
          <w:tcPr>
            <w:tcW w:w="1666" w:type="pct"/>
            <w:vMerge/>
            <w:tcBorders>
              <w:top w:val="nil"/>
            </w:tcBorders>
            <w:vAlign w:val="center"/>
          </w:tcPr>
          <w:p w14:paraId="1E415848" w14:textId="77777777" w:rsidR="003B155E" w:rsidRPr="00FF45DE" w:rsidRDefault="003B155E" w:rsidP="000D79D6">
            <w:pPr>
              <w:ind w:left="74" w:right="74"/>
              <w:rPr>
                <w:rFonts w:ascii="Times New Roman" w:eastAsia="Calibri" w:hAnsi="Times New Roman" w:cs="Times New Roman"/>
              </w:rPr>
            </w:pPr>
          </w:p>
        </w:tc>
        <w:tc>
          <w:tcPr>
            <w:tcW w:w="1668" w:type="pct"/>
            <w:vAlign w:val="center"/>
          </w:tcPr>
          <w:p w14:paraId="4BE4828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Besi domuzları</w:t>
            </w:r>
          </w:p>
        </w:tc>
        <w:tc>
          <w:tcPr>
            <w:tcW w:w="1666" w:type="pct"/>
          </w:tcPr>
          <w:p w14:paraId="18700348"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0,1–2,6 (</w:t>
            </w:r>
            <w:r w:rsidRPr="00FF45DE">
              <w:rPr>
                <w:rFonts w:ascii="Times New Roman" w:eastAsia="Times New Roman" w:hAnsi="Times New Roman" w:cs="Times New Roman"/>
                <w:vertAlign w:val="superscript"/>
                <w:lang w:val="tr"/>
              </w:rPr>
              <w:t>7</w:t>
            </w:r>
            <w:r w:rsidRPr="00FF45DE">
              <w:rPr>
                <w:rFonts w:ascii="Times New Roman" w:eastAsia="Times New Roman" w:hAnsi="Times New Roman" w:cs="Times New Roman"/>
                <w:lang w:val="tr"/>
              </w:rPr>
              <w:t>) (</w:t>
            </w:r>
            <w:r w:rsidRPr="00FF45DE">
              <w:rPr>
                <w:rFonts w:ascii="Times New Roman" w:eastAsia="Times New Roman" w:hAnsi="Times New Roman" w:cs="Times New Roman"/>
                <w:vertAlign w:val="superscript"/>
                <w:lang w:val="tr"/>
              </w:rPr>
              <w:t>8</w:t>
            </w:r>
            <w:r w:rsidRPr="00FF45DE">
              <w:rPr>
                <w:rFonts w:ascii="Times New Roman" w:eastAsia="Times New Roman" w:hAnsi="Times New Roman" w:cs="Times New Roman"/>
                <w:lang w:val="tr"/>
              </w:rPr>
              <w:t>)</w:t>
            </w:r>
          </w:p>
        </w:tc>
      </w:tr>
      <w:tr w:rsidR="003B155E" w:rsidRPr="00FF45DE" w14:paraId="60625C55" w14:textId="77777777" w:rsidTr="000D79D6">
        <w:trPr>
          <w:trHeight w:val="2692"/>
        </w:trPr>
        <w:tc>
          <w:tcPr>
            <w:tcW w:w="5000" w:type="pct"/>
            <w:gridSpan w:val="3"/>
          </w:tcPr>
          <w:p w14:paraId="1155FAA5" w14:textId="77777777" w:rsidR="003B155E" w:rsidRPr="00EE5089" w:rsidRDefault="003B155E" w:rsidP="003B155E">
            <w:pPr>
              <w:numPr>
                <w:ilvl w:val="0"/>
                <w:numId w:val="177"/>
              </w:numPr>
              <w:tabs>
                <w:tab w:val="left" w:pos="334"/>
              </w:tabs>
              <w:ind w:left="301" w:right="74" w:hanging="227"/>
              <w:jc w:val="both"/>
              <w:rPr>
                <w:rFonts w:ascii="Times New Roman" w:eastAsia="Times New Roman" w:hAnsi="Times New Roman" w:cs="Times New Roman"/>
                <w:i/>
                <w:sz w:val="20"/>
                <w:szCs w:val="24"/>
                <w:lang w:val="tr-TR"/>
              </w:rPr>
            </w:pPr>
            <w:r w:rsidRPr="00FF45DE">
              <w:rPr>
                <w:rFonts w:ascii="Times New Roman" w:eastAsia="Times New Roman" w:hAnsi="Times New Roman" w:cs="Times New Roman"/>
                <w:i/>
                <w:sz w:val="20"/>
                <w:szCs w:val="24"/>
                <w:lang w:val="tr"/>
              </w:rPr>
              <w:t>Aralığın alt ucu, bir hava temizleme sisteminin kullanımıyla bağlantılıdır.</w:t>
            </w:r>
          </w:p>
          <w:p w14:paraId="2A7D396D" w14:textId="77777777" w:rsidR="003B155E" w:rsidRPr="00EE5089" w:rsidRDefault="003B155E" w:rsidP="003B155E">
            <w:pPr>
              <w:numPr>
                <w:ilvl w:val="0"/>
                <w:numId w:val="177"/>
              </w:numPr>
              <w:tabs>
                <w:tab w:val="left" w:pos="341"/>
              </w:tabs>
              <w:ind w:left="358" w:right="74" w:hanging="284"/>
              <w:jc w:val="both"/>
              <w:rPr>
                <w:rFonts w:ascii="Times New Roman" w:eastAsia="Times New Roman" w:hAnsi="Times New Roman" w:cs="Times New Roman"/>
                <w:i/>
                <w:sz w:val="20"/>
                <w:szCs w:val="24"/>
                <w:lang w:val="tr-TR"/>
              </w:rPr>
            </w:pPr>
            <w:r w:rsidRPr="00FF45DE">
              <w:rPr>
                <w:rFonts w:ascii="Times New Roman" w:eastAsia="Times New Roman" w:hAnsi="Times New Roman" w:cs="Times New Roman"/>
                <w:i/>
                <w:sz w:val="20"/>
                <w:szCs w:val="24"/>
                <w:lang w:val="tr"/>
              </w:rPr>
              <w:t>Besin yönetimi teknikleriyle birlikte derin çukur kullanan mevcut tesisler için MET-İES'nin üst sınırı 4,0 kg NH</w:t>
            </w:r>
            <w:r w:rsidRPr="00FF45DE">
              <w:rPr>
                <w:rFonts w:ascii="Times New Roman" w:eastAsia="Times New Roman" w:hAnsi="Times New Roman" w:cs="Times New Roman"/>
                <w:i/>
                <w:sz w:val="20"/>
                <w:szCs w:val="24"/>
                <w:vertAlign w:val="subscript"/>
                <w:lang w:val="tr"/>
              </w:rPr>
              <w:t>3</w:t>
            </w:r>
            <w:r w:rsidRPr="00FF45DE">
              <w:rPr>
                <w:rFonts w:ascii="Times New Roman" w:eastAsia="Times New Roman" w:hAnsi="Times New Roman" w:cs="Times New Roman"/>
                <w:i/>
                <w:sz w:val="20"/>
                <w:szCs w:val="24"/>
                <w:lang w:val="tr"/>
              </w:rPr>
              <w:t>/hayvan yeri/yıl'dır.</w:t>
            </w:r>
          </w:p>
          <w:p w14:paraId="2110C7E4" w14:textId="77777777" w:rsidR="003B155E" w:rsidRPr="0096283A" w:rsidRDefault="00545058" w:rsidP="003B155E">
            <w:pPr>
              <w:numPr>
                <w:ilvl w:val="0"/>
                <w:numId w:val="177"/>
              </w:numPr>
              <w:tabs>
                <w:tab w:val="left" w:pos="334"/>
              </w:tabs>
              <w:ind w:left="301" w:right="74" w:hanging="227"/>
              <w:jc w:val="both"/>
              <w:rPr>
                <w:rFonts w:ascii="Times New Roman" w:eastAsia="Times New Roman" w:hAnsi="Times New Roman" w:cs="Times New Roman"/>
                <w:i/>
                <w:sz w:val="20"/>
                <w:szCs w:val="24"/>
                <w:lang w:val="tr-TR"/>
              </w:rPr>
            </w:pPr>
            <w:hyperlink w:anchor="_bookmark1001" w:history="1">
              <w:r w:rsidR="003B155E" w:rsidRPr="0096283A">
                <w:rPr>
                  <w:rFonts w:ascii="Times New Roman" w:eastAsia="Times New Roman" w:hAnsi="Times New Roman" w:cs="Times New Roman"/>
                  <w:i/>
                  <w:sz w:val="20"/>
                  <w:szCs w:val="24"/>
                  <w:lang w:val="tr"/>
                </w:rPr>
                <w:t>MET 30.</w:t>
              </w:r>
            </w:hyperlink>
            <w:r w:rsidR="003B155E" w:rsidRPr="0096283A">
              <w:rPr>
                <w:rFonts w:ascii="Times New Roman" w:eastAsia="Times New Roman" w:hAnsi="Times New Roman" w:cs="Times New Roman"/>
                <w:i/>
                <w:sz w:val="20"/>
                <w:szCs w:val="24"/>
                <w:lang w:val="tr"/>
              </w:rPr>
              <w:t>a6, 30.a7 veya 30.a11 kullanan tesisler için MET-İES'nin üst sınırı 5,2 kg NH</w:t>
            </w:r>
            <w:r w:rsidR="003B155E" w:rsidRPr="0096283A">
              <w:rPr>
                <w:rFonts w:ascii="Times New Roman" w:eastAsia="Times New Roman" w:hAnsi="Times New Roman" w:cs="Times New Roman"/>
                <w:i/>
                <w:sz w:val="20"/>
                <w:szCs w:val="24"/>
                <w:vertAlign w:val="subscript"/>
                <w:lang w:val="tr"/>
              </w:rPr>
              <w:t>3</w:t>
            </w:r>
            <w:r w:rsidR="003B155E" w:rsidRPr="0096283A">
              <w:rPr>
                <w:rFonts w:ascii="Times New Roman" w:eastAsia="Times New Roman" w:hAnsi="Times New Roman" w:cs="Times New Roman"/>
                <w:i/>
                <w:sz w:val="20"/>
                <w:szCs w:val="24"/>
                <w:lang w:val="tr"/>
              </w:rPr>
              <w:t>/hayvan yeri/yıl'dır.</w:t>
            </w:r>
          </w:p>
          <w:p w14:paraId="1BD13FA3" w14:textId="77777777" w:rsidR="003B155E" w:rsidRPr="0096283A" w:rsidRDefault="003B155E" w:rsidP="003B155E">
            <w:pPr>
              <w:numPr>
                <w:ilvl w:val="0"/>
                <w:numId w:val="177"/>
              </w:numPr>
              <w:tabs>
                <w:tab w:val="left" w:pos="336"/>
              </w:tabs>
              <w:ind w:left="313" w:right="74" w:hanging="239"/>
              <w:jc w:val="both"/>
              <w:rPr>
                <w:rFonts w:ascii="Times New Roman" w:eastAsia="Times New Roman" w:hAnsi="Times New Roman" w:cs="Times New Roman"/>
                <w:i/>
                <w:sz w:val="20"/>
                <w:szCs w:val="24"/>
                <w:lang w:val="tr-TR"/>
              </w:rPr>
            </w:pPr>
            <w:r w:rsidRPr="0096283A">
              <w:rPr>
                <w:rFonts w:ascii="Times New Roman" w:eastAsia="Times New Roman" w:hAnsi="Times New Roman" w:cs="Times New Roman"/>
                <w:i/>
                <w:sz w:val="20"/>
                <w:szCs w:val="24"/>
                <w:lang w:val="tr"/>
              </w:rPr>
              <w:t xml:space="preserve">Besin yönetimi teknikleriyle birlikte </w:t>
            </w:r>
            <w:hyperlink w:anchor="_bookmark1001" w:history="1">
              <w:r w:rsidRPr="0096283A">
                <w:rPr>
                  <w:rFonts w:ascii="Times New Roman" w:eastAsia="Times New Roman" w:hAnsi="Times New Roman" w:cs="Times New Roman"/>
                  <w:i/>
                  <w:sz w:val="20"/>
                  <w:szCs w:val="24"/>
                  <w:lang w:val="tr"/>
                </w:rPr>
                <w:t>MET 30.</w:t>
              </w:r>
            </w:hyperlink>
            <w:r w:rsidRPr="0096283A">
              <w:rPr>
                <w:rFonts w:ascii="Times New Roman" w:eastAsia="Times New Roman" w:hAnsi="Times New Roman" w:cs="Times New Roman"/>
                <w:i/>
                <w:sz w:val="20"/>
                <w:szCs w:val="24"/>
                <w:lang w:val="tr"/>
              </w:rPr>
              <w:t>a0 kullanan mevcut tesisler için MET-İES'nin üst sınırı 7,5 kg NH</w:t>
            </w:r>
            <w:r w:rsidRPr="0096283A">
              <w:rPr>
                <w:rFonts w:ascii="Times New Roman" w:eastAsia="Times New Roman" w:hAnsi="Times New Roman" w:cs="Times New Roman"/>
                <w:i/>
                <w:sz w:val="20"/>
                <w:szCs w:val="24"/>
                <w:vertAlign w:val="subscript"/>
                <w:lang w:val="tr"/>
              </w:rPr>
              <w:t>3</w:t>
            </w:r>
            <w:r w:rsidRPr="0096283A">
              <w:rPr>
                <w:rFonts w:ascii="Times New Roman" w:eastAsia="Times New Roman" w:hAnsi="Times New Roman" w:cs="Times New Roman"/>
                <w:i/>
                <w:sz w:val="20"/>
                <w:szCs w:val="24"/>
                <w:lang w:val="tr"/>
              </w:rPr>
              <w:t>/hayvan yeri/yıl'dır.</w:t>
            </w:r>
          </w:p>
          <w:p w14:paraId="45830078" w14:textId="77777777" w:rsidR="003B155E" w:rsidRPr="0096283A" w:rsidRDefault="003B155E" w:rsidP="003B155E">
            <w:pPr>
              <w:numPr>
                <w:ilvl w:val="0"/>
                <w:numId w:val="177"/>
              </w:numPr>
              <w:tabs>
                <w:tab w:val="left" w:pos="341"/>
              </w:tabs>
              <w:ind w:left="332" w:right="74" w:hanging="258"/>
              <w:jc w:val="both"/>
              <w:rPr>
                <w:rFonts w:ascii="Times New Roman" w:eastAsia="Times New Roman" w:hAnsi="Times New Roman" w:cs="Times New Roman"/>
                <w:i/>
                <w:sz w:val="20"/>
                <w:szCs w:val="24"/>
                <w:lang w:val="tr-TR"/>
              </w:rPr>
            </w:pPr>
            <w:r w:rsidRPr="0096283A">
              <w:rPr>
                <w:rFonts w:ascii="Times New Roman" w:eastAsia="Times New Roman" w:hAnsi="Times New Roman" w:cs="Times New Roman"/>
                <w:i/>
                <w:sz w:val="20"/>
                <w:szCs w:val="24"/>
                <w:lang w:val="tr"/>
              </w:rPr>
              <w:t>Besin yönetimi teknikleriyle birlikte derin çukur kullanan mevcut tesisler için MET-İES'nin üst sınırı 0,7 kg NH</w:t>
            </w:r>
            <w:r w:rsidRPr="0096283A">
              <w:rPr>
                <w:rFonts w:ascii="Times New Roman" w:eastAsia="Times New Roman" w:hAnsi="Times New Roman" w:cs="Times New Roman"/>
                <w:i/>
                <w:sz w:val="20"/>
                <w:szCs w:val="24"/>
                <w:vertAlign w:val="subscript"/>
                <w:lang w:val="tr"/>
              </w:rPr>
              <w:t>3</w:t>
            </w:r>
            <w:r w:rsidRPr="0096283A">
              <w:rPr>
                <w:rFonts w:ascii="Times New Roman" w:eastAsia="Times New Roman" w:hAnsi="Times New Roman" w:cs="Times New Roman"/>
                <w:i/>
                <w:sz w:val="20"/>
                <w:szCs w:val="24"/>
                <w:lang w:val="tr"/>
              </w:rPr>
              <w:t>/hayvan yeri/yıl'dır.</w:t>
            </w:r>
          </w:p>
          <w:p w14:paraId="4DB5D488" w14:textId="77777777" w:rsidR="003B155E" w:rsidRPr="0096283A" w:rsidRDefault="00545058" w:rsidP="003B155E">
            <w:pPr>
              <w:numPr>
                <w:ilvl w:val="0"/>
                <w:numId w:val="177"/>
              </w:numPr>
              <w:tabs>
                <w:tab w:val="left" w:pos="334"/>
              </w:tabs>
              <w:ind w:left="301" w:right="74" w:hanging="227"/>
              <w:jc w:val="both"/>
              <w:rPr>
                <w:rFonts w:ascii="Times New Roman" w:eastAsia="Times New Roman" w:hAnsi="Times New Roman" w:cs="Times New Roman"/>
                <w:i/>
                <w:sz w:val="20"/>
                <w:szCs w:val="24"/>
                <w:lang w:val="tr-TR"/>
              </w:rPr>
            </w:pPr>
            <w:hyperlink w:anchor="_bookmark1001" w:history="1">
              <w:r w:rsidR="003B155E" w:rsidRPr="0096283A">
                <w:rPr>
                  <w:rFonts w:ascii="Times New Roman" w:eastAsia="Times New Roman" w:hAnsi="Times New Roman" w:cs="Times New Roman"/>
                  <w:i/>
                  <w:sz w:val="20"/>
                  <w:szCs w:val="24"/>
                  <w:lang w:val="tr"/>
                </w:rPr>
                <w:t>MET 30.</w:t>
              </w:r>
            </w:hyperlink>
            <w:r w:rsidR="003B155E" w:rsidRPr="0096283A">
              <w:rPr>
                <w:rFonts w:ascii="Times New Roman" w:eastAsia="Times New Roman" w:hAnsi="Times New Roman" w:cs="Times New Roman"/>
                <w:i/>
                <w:sz w:val="20"/>
                <w:szCs w:val="24"/>
                <w:lang w:val="tr"/>
              </w:rPr>
              <w:t>a6, 30.a7 veya 30.a8 kullanan tesisler için MET-İES'nin üst sınırı 0,7 kg NH</w:t>
            </w:r>
            <w:r w:rsidR="003B155E" w:rsidRPr="0096283A">
              <w:rPr>
                <w:rFonts w:ascii="Times New Roman" w:eastAsia="Times New Roman" w:hAnsi="Times New Roman" w:cs="Times New Roman"/>
                <w:i/>
                <w:sz w:val="20"/>
                <w:szCs w:val="24"/>
                <w:vertAlign w:val="subscript"/>
                <w:lang w:val="tr"/>
              </w:rPr>
              <w:t>3</w:t>
            </w:r>
            <w:r w:rsidR="003B155E" w:rsidRPr="0096283A">
              <w:rPr>
                <w:rFonts w:ascii="Times New Roman" w:eastAsia="Times New Roman" w:hAnsi="Times New Roman" w:cs="Times New Roman"/>
                <w:i/>
                <w:sz w:val="20"/>
                <w:szCs w:val="24"/>
                <w:lang w:val="tr"/>
              </w:rPr>
              <w:t>/hayvan yeri/yıl'dır.</w:t>
            </w:r>
          </w:p>
          <w:p w14:paraId="53A7568C" w14:textId="77777777" w:rsidR="003B155E" w:rsidRPr="0096283A" w:rsidRDefault="003B155E" w:rsidP="003B155E">
            <w:pPr>
              <w:numPr>
                <w:ilvl w:val="0"/>
                <w:numId w:val="177"/>
              </w:numPr>
              <w:tabs>
                <w:tab w:val="left" w:pos="341"/>
              </w:tabs>
              <w:ind w:left="373" w:right="74" w:hanging="299"/>
              <w:jc w:val="both"/>
              <w:rPr>
                <w:rFonts w:ascii="Times New Roman" w:eastAsia="Times New Roman" w:hAnsi="Times New Roman" w:cs="Times New Roman"/>
                <w:i/>
                <w:sz w:val="20"/>
                <w:szCs w:val="24"/>
                <w:lang w:val="tr-TR"/>
              </w:rPr>
            </w:pPr>
            <w:r w:rsidRPr="0096283A">
              <w:rPr>
                <w:rFonts w:ascii="Times New Roman" w:eastAsia="Times New Roman" w:hAnsi="Times New Roman" w:cs="Times New Roman"/>
                <w:i/>
                <w:sz w:val="20"/>
                <w:szCs w:val="24"/>
                <w:lang w:val="tr"/>
              </w:rPr>
              <w:t>Besin yönetimi teknikleriyle birlikte derin çukur kullanan mevcut tesisler için MET-İES'nin üst sınırı 3,6 kg NH</w:t>
            </w:r>
            <w:r w:rsidRPr="0096283A">
              <w:rPr>
                <w:rFonts w:ascii="Times New Roman" w:eastAsia="Times New Roman" w:hAnsi="Times New Roman" w:cs="Times New Roman"/>
                <w:i/>
                <w:sz w:val="20"/>
                <w:szCs w:val="24"/>
                <w:vertAlign w:val="subscript"/>
                <w:lang w:val="tr"/>
              </w:rPr>
              <w:t>3</w:t>
            </w:r>
            <w:r w:rsidRPr="0096283A">
              <w:rPr>
                <w:rFonts w:ascii="Times New Roman" w:eastAsia="Times New Roman" w:hAnsi="Times New Roman" w:cs="Times New Roman"/>
                <w:i/>
                <w:sz w:val="20"/>
                <w:szCs w:val="24"/>
                <w:lang w:val="tr"/>
              </w:rPr>
              <w:t>/hayvan yeri/yıl'dır.</w:t>
            </w:r>
          </w:p>
          <w:p w14:paraId="55B01D56" w14:textId="77777777" w:rsidR="003B155E" w:rsidRPr="00EE5089" w:rsidRDefault="00545058" w:rsidP="003B155E">
            <w:pPr>
              <w:numPr>
                <w:ilvl w:val="0"/>
                <w:numId w:val="177"/>
              </w:numPr>
              <w:tabs>
                <w:tab w:val="left" w:pos="365"/>
              </w:tabs>
              <w:ind w:left="358" w:right="74" w:hanging="284"/>
              <w:jc w:val="both"/>
              <w:rPr>
                <w:rFonts w:ascii="Times New Roman" w:eastAsia="Times New Roman" w:hAnsi="Times New Roman" w:cs="Times New Roman"/>
                <w:sz w:val="20"/>
                <w:szCs w:val="24"/>
                <w:lang w:val="tr-TR"/>
              </w:rPr>
            </w:pPr>
            <w:hyperlink w:anchor="_bookmark1001" w:history="1">
              <w:r w:rsidR="003B155E" w:rsidRPr="0096283A">
                <w:rPr>
                  <w:rFonts w:ascii="Times New Roman" w:eastAsia="Times New Roman" w:hAnsi="Times New Roman" w:cs="Times New Roman"/>
                  <w:i/>
                  <w:sz w:val="20"/>
                  <w:szCs w:val="24"/>
                  <w:lang w:val="tr"/>
                </w:rPr>
                <w:t>MET 30.</w:t>
              </w:r>
            </w:hyperlink>
            <w:r w:rsidR="003B155E" w:rsidRPr="0096283A">
              <w:rPr>
                <w:rFonts w:ascii="Times New Roman" w:eastAsia="Times New Roman" w:hAnsi="Times New Roman" w:cs="Times New Roman"/>
                <w:i/>
                <w:sz w:val="20"/>
                <w:szCs w:val="24"/>
                <w:lang w:val="tr"/>
              </w:rPr>
              <w:t>a6, 30.a7, 30.a8 veya 30.a16 kullanan tesisler için MET-İES'nin üst sınırı 5,65 kg NH</w:t>
            </w:r>
            <w:r w:rsidR="003B155E" w:rsidRPr="0096283A">
              <w:rPr>
                <w:rFonts w:ascii="Times New Roman" w:eastAsia="Times New Roman" w:hAnsi="Times New Roman" w:cs="Times New Roman"/>
                <w:i/>
                <w:sz w:val="20"/>
                <w:szCs w:val="24"/>
                <w:vertAlign w:val="subscript"/>
                <w:lang w:val="tr"/>
              </w:rPr>
              <w:t>3</w:t>
            </w:r>
            <w:r w:rsidR="003B155E" w:rsidRPr="0096283A">
              <w:rPr>
                <w:rFonts w:ascii="Times New Roman" w:eastAsia="Times New Roman" w:hAnsi="Times New Roman" w:cs="Times New Roman"/>
                <w:i/>
                <w:sz w:val="20"/>
                <w:szCs w:val="24"/>
                <w:lang w:val="tr"/>
              </w:rPr>
              <w:t>/hayvan yeri/yıl'dır.</w:t>
            </w:r>
          </w:p>
        </w:tc>
      </w:tr>
    </w:tbl>
    <w:p w14:paraId="387D1EE4"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nl-NL"/>
          <w14:ligatures w14:val="none"/>
        </w:rPr>
      </w:pPr>
      <w:r w:rsidRPr="00EE5089">
        <w:rPr>
          <w:rFonts w:ascii="Times New Roman" w:eastAsia="Calibri" w:hAnsi="Times New Roman" w:cs="Calibri"/>
          <w:bCs/>
          <w:kern w:val="0"/>
          <w:sz w:val="24"/>
          <w14:ligatures w14:val="none"/>
        </w:rPr>
        <w:t xml:space="preserve">MET-İES'ler organik hayvancılık üretiminde uygulanmayabilir. </w:t>
      </w:r>
      <w:r w:rsidRPr="00FF45DE">
        <w:rPr>
          <w:rFonts w:ascii="Times New Roman" w:eastAsia="Calibri" w:hAnsi="Times New Roman" w:cs="Calibri"/>
          <w:bCs/>
          <w:kern w:val="0"/>
          <w:sz w:val="24"/>
          <w:lang w:val="nl-NL"/>
          <w14:ligatures w14:val="none"/>
        </w:rPr>
        <w:t xml:space="preserve">İlgili </w:t>
      </w:r>
      <w:r w:rsidRPr="0096283A">
        <w:rPr>
          <w:rFonts w:ascii="Times New Roman" w:eastAsia="Calibri" w:hAnsi="Times New Roman" w:cs="Calibri"/>
          <w:bCs/>
          <w:kern w:val="0"/>
          <w:sz w:val="24"/>
          <w:lang w:val="nl-NL"/>
          <w14:ligatures w14:val="none"/>
        </w:rPr>
        <w:t>mevzuat MET 25'tedir</w:t>
      </w:r>
      <w:r w:rsidRPr="00FF45DE">
        <w:rPr>
          <w:rFonts w:ascii="Times New Roman" w:eastAsia="Calibri" w:hAnsi="Times New Roman" w:cs="Calibri"/>
          <w:bCs/>
          <w:kern w:val="0"/>
          <w:sz w:val="24"/>
          <w:lang w:val="nl-NL"/>
          <w14:ligatures w14:val="none"/>
        </w:rPr>
        <w:t>.</w:t>
      </w:r>
    </w:p>
    <w:p w14:paraId="6F3E4003" w14:textId="77777777" w:rsidR="0096283A" w:rsidRDefault="0096283A" w:rsidP="0096283A">
      <w:pPr>
        <w:keepNext/>
        <w:keepLines/>
        <w:numPr>
          <w:ilvl w:val="1"/>
          <w:numId w:val="0"/>
        </w:numPr>
        <w:spacing w:before="120" w:after="60" w:line="360" w:lineRule="auto"/>
        <w:ind w:left="666" w:hanging="576"/>
        <w:jc w:val="center"/>
        <w:outlineLvl w:val="1"/>
        <w:rPr>
          <w:rFonts w:ascii="Times New Roman" w:eastAsia="DengXian Light" w:hAnsi="Times New Roman" w:cs="Microsoft Uighur"/>
          <w:b/>
          <w:kern w:val="0"/>
          <w:sz w:val="24"/>
          <w:szCs w:val="26"/>
          <w:lang w:val="nl-NL"/>
          <w14:ligatures w14:val="none"/>
        </w:rPr>
      </w:pPr>
      <w:bookmarkStart w:id="37" w:name="_Toc136614317"/>
    </w:p>
    <w:p w14:paraId="3316EDE4" w14:textId="5C9585E3" w:rsidR="003B155E" w:rsidRPr="0096283A" w:rsidRDefault="003B155E" w:rsidP="0096283A">
      <w:pPr>
        <w:keepNext/>
        <w:keepLines/>
        <w:numPr>
          <w:ilvl w:val="1"/>
          <w:numId w:val="0"/>
        </w:numPr>
        <w:spacing w:before="120" w:after="60" w:line="360" w:lineRule="auto"/>
        <w:ind w:left="666" w:hanging="576"/>
        <w:jc w:val="center"/>
        <w:outlineLvl w:val="1"/>
        <w:rPr>
          <w:rFonts w:ascii="Times New Roman" w:eastAsia="DengXian Light" w:hAnsi="Times New Roman" w:cs="Microsoft Uighur"/>
          <w:b/>
          <w:kern w:val="0"/>
          <w:sz w:val="24"/>
          <w:szCs w:val="26"/>
          <w:lang w:val="nl-NL"/>
          <w14:ligatures w14:val="none"/>
        </w:rPr>
      </w:pPr>
      <w:r w:rsidRPr="0096283A">
        <w:rPr>
          <w:rFonts w:ascii="Times New Roman" w:eastAsia="DengXian Light" w:hAnsi="Times New Roman" w:cs="Microsoft Uighur"/>
          <w:b/>
          <w:kern w:val="0"/>
          <w:sz w:val="24"/>
          <w:szCs w:val="26"/>
          <w:lang w:val="nl-NL"/>
          <w14:ligatures w14:val="none"/>
        </w:rPr>
        <w:t>Kümes Hayvanlarının Yoğun Şekilde Yetiştirilmesi için</w:t>
      </w:r>
      <w:bookmarkEnd w:id="37"/>
      <w:r w:rsidRPr="0096283A">
        <w:rPr>
          <w:rFonts w:ascii="Times New Roman" w:eastAsia="DengXian Light" w:hAnsi="Times New Roman" w:cs="Microsoft Uighur"/>
          <w:b/>
          <w:kern w:val="0"/>
          <w:sz w:val="24"/>
          <w:szCs w:val="26"/>
          <w:lang w:val="nl-NL"/>
          <w14:ligatures w14:val="none"/>
        </w:rPr>
        <w:t xml:space="preserve"> MET Sonuçları</w:t>
      </w:r>
    </w:p>
    <w:p w14:paraId="11B10E3C"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nl-NL"/>
          <w14:ligatures w14:val="none"/>
        </w:rPr>
      </w:pPr>
      <w:bookmarkStart w:id="38" w:name="_Toc136614318"/>
      <w:r w:rsidRPr="00FF45DE">
        <w:rPr>
          <w:rFonts w:ascii="Times New Roman" w:eastAsia="DengXian Light" w:hAnsi="Times New Roman" w:cs="Microsoft Uighur"/>
          <w:b/>
          <w:kern w:val="0"/>
          <w:sz w:val="24"/>
          <w:szCs w:val="24"/>
          <w:lang w:val="nl-NL"/>
          <w14:ligatures w14:val="none"/>
        </w:rPr>
        <w:t>Kümeslerden Kaynaklanan Amonyak Emisyonları</w:t>
      </w:r>
      <w:bookmarkEnd w:id="38"/>
    </w:p>
    <w:p w14:paraId="507BD56F" w14:textId="77777777" w:rsidR="003B155E" w:rsidRPr="00FF45DE" w:rsidRDefault="003B155E" w:rsidP="003B155E">
      <w:pPr>
        <w:keepNext/>
        <w:numPr>
          <w:ilvl w:val="3"/>
          <w:numId w:val="0"/>
        </w:numPr>
        <w:spacing w:before="240" w:after="120" w:line="360" w:lineRule="auto"/>
        <w:ind w:left="864" w:hanging="864"/>
        <w:jc w:val="both"/>
        <w:outlineLvl w:val="3"/>
        <w:rPr>
          <w:rFonts w:ascii="Times New Roman" w:eastAsia="Calibri" w:hAnsi="Times New Roman" w:cs="Calibri"/>
          <w:b/>
          <w:bCs/>
          <w:kern w:val="0"/>
          <w:sz w:val="24"/>
          <w:szCs w:val="28"/>
          <w:lang w:val="nl-NL"/>
          <w14:ligatures w14:val="none"/>
        </w:rPr>
      </w:pPr>
      <w:bookmarkStart w:id="39" w:name="_Toc136614319"/>
      <w:r w:rsidRPr="00FF45DE">
        <w:rPr>
          <w:rFonts w:ascii="Times New Roman" w:eastAsia="Calibri" w:hAnsi="Times New Roman" w:cs="Calibri"/>
          <w:b/>
          <w:bCs/>
          <w:kern w:val="0"/>
          <w:sz w:val="24"/>
          <w:szCs w:val="28"/>
          <w:lang w:val="nl-NL"/>
          <w14:ligatures w14:val="none"/>
        </w:rPr>
        <w:t>Yumurtlayan Tavuklar, Damızlık Piliçler veya Yarkalar için Kümeslerden Kaynaklanan Amonyak Emisyonları</w:t>
      </w:r>
      <w:bookmarkEnd w:id="39"/>
    </w:p>
    <w:p w14:paraId="39B7E1A9"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nl-NL"/>
          <w14:ligatures w14:val="none"/>
        </w:rPr>
      </w:pPr>
      <w:r w:rsidRPr="00FF45DE">
        <w:rPr>
          <w:rFonts w:ascii="Times New Roman" w:eastAsia="Calibri" w:hAnsi="Times New Roman" w:cs="Calibri"/>
          <w:b/>
          <w:bCs/>
          <w:kern w:val="0"/>
          <w:sz w:val="24"/>
          <w:lang w:val="nl-NL"/>
          <w14:ligatures w14:val="none"/>
        </w:rPr>
        <w:t xml:space="preserve">MET 31: </w:t>
      </w:r>
      <w:r w:rsidRPr="00FF45DE">
        <w:rPr>
          <w:rFonts w:ascii="Times New Roman" w:eastAsia="Calibri" w:hAnsi="Times New Roman" w:cs="Calibri"/>
          <w:bCs/>
          <w:kern w:val="0"/>
          <w:sz w:val="24"/>
          <w:lang w:val="nl-NL"/>
          <w14:ligatures w14:val="none"/>
        </w:rPr>
        <w:t>Yumurta tavukları, damızlık piliçler veya yarkalar için her kümesten havaya salınan amonyak emisyonlarını azaltmak için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1"/>
        <w:gridCol w:w="4072"/>
        <w:gridCol w:w="4529"/>
      </w:tblGrid>
      <w:tr w:rsidR="003B155E" w:rsidRPr="00FF45DE" w14:paraId="715E3E20" w14:textId="77777777" w:rsidTr="000D79D6">
        <w:trPr>
          <w:trHeight w:val="282"/>
          <w:tblHeader/>
        </w:trPr>
        <w:tc>
          <w:tcPr>
            <w:tcW w:w="254" w:type="pct"/>
          </w:tcPr>
          <w:p w14:paraId="5E58DE2B" w14:textId="77777777" w:rsidR="003B155E" w:rsidRPr="00FF45DE" w:rsidRDefault="003B155E" w:rsidP="000D79D6">
            <w:pPr>
              <w:ind w:left="74" w:right="74"/>
              <w:rPr>
                <w:rFonts w:ascii="Times New Roman" w:eastAsia="Times New Roman" w:hAnsi="Times New Roman" w:cs="Times New Roman"/>
                <w:lang w:val="nl-NL"/>
              </w:rPr>
            </w:pPr>
          </w:p>
        </w:tc>
        <w:tc>
          <w:tcPr>
            <w:tcW w:w="2247" w:type="pct"/>
          </w:tcPr>
          <w:p w14:paraId="1250064B"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499" w:type="pct"/>
          </w:tcPr>
          <w:p w14:paraId="230E299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24366A2C" w14:textId="77777777" w:rsidTr="000D79D6">
        <w:trPr>
          <w:trHeight w:val="1152"/>
        </w:trPr>
        <w:tc>
          <w:tcPr>
            <w:tcW w:w="254" w:type="pct"/>
            <w:vAlign w:val="center"/>
          </w:tcPr>
          <w:p w14:paraId="47823B4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247" w:type="pct"/>
            <w:vAlign w:val="center"/>
          </w:tcPr>
          <w:p w14:paraId="6A28CAC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Bantlarla gübre tahliyesi (zenginleştirilmiş veya zenginleştirilmemiş kafes sistemleri durumunda) asgari olarak:</w:t>
            </w:r>
          </w:p>
          <w:p w14:paraId="39F78EFB" w14:textId="77777777" w:rsidR="003B155E" w:rsidRPr="00FF45DE" w:rsidRDefault="003B155E" w:rsidP="003B155E">
            <w:pPr>
              <w:numPr>
                <w:ilvl w:val="0"/>
                <w:numId w:val="180"/>
              </w:numPr>
              <w:tabs>
                <w:tab w:val="left" w:pos="223"/>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 ile kurutma ile haftada bir veya havayla kurutma olmadan haftada iki kez tahliye.</w:t>
            </w:r>
          </w:p>
        </w:tc>
        <w:tc>
          <w:tcPr>
            <w:tcW w:w="2499" w:type="pct"/>
            <w:vAlign w:val="center"/>
          </w:tcPr>
          <w:p w14:paraId="6934FB7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Zenginleştirilmiş kafes sistemleri, yarka ve damızlık piliçler için uygulanmaz.</w:t>
            </w:r>
          </w:p>
          <w:p w14:paraId="30A0CF1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Zenginleştirilmemiş kafes sistemleri, yumurta tavukları için uygulanamaz.</w:t>
            </w:r>
          </w:p>
        </w:tc>
      </w:tr>
      <w:tr w:rsidR="003B155E" w:rsidRPr="00FF45DE" w14:paraId="17BC89B1" w14:textId="77777777" w:rsidTr="000D79D6">
        <w:trPr>
          <w:trHeight w:val="282"/>
        </w:trPr>
        <w:tc>
          <w:tcPr>
            <w:tcW w:w="254" w:type="pct"/>
            <w:vAlign w:val="center"/>
          </w:tcPr>
          <w:p w14:paraId="5693DD4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247" w:type="pct"/>
            <w:vAlign w:val="center"/>
          </w:tcPr>
          <w:p w14:paraId="019C7E4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Kafessiz sistemlerde:</w:t>
            </w:r>
          </w:p>
        </w:tc>
        <w:tc>
          <w:tcPr>
            <w:tcW w:w="2499" w:type="pct"/>
            <w:vAlign w:val="center"/>
          </w:tcPr>
          <w:p w14:paraId="6BA44373"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4CEDC21A" w14:textId="77777777" w:rsidTr="000D79D6">
        <w:trPr>
          <w:trHeight w:val="1610"/>
        </w:trPr>
        <w:tc>
          <w:tcPr>
            <w:tcW w:w="254" w:type="pct"/>
            <w:vMerge w:val="restart"/>
            <w:vAlign w:val="center"/>
          </w:tcPr>
          <w:p w14:paraId="36FB1482" w14:textId="77777777" w:rsidR="003B155E" w:rsidRPr="00FF45DE" w:rsidRDefault="003B155E" w:rsidP="000D79D6">
            <w:pPr>
              <w:ind w:left="74" w:right="74"/>
              <w:rPr>
                <w:rFonts w:ascii="Times New Roman" w:eastAsia="Times New Roman" w:hAnsi="Times New Roman" w:cs="Times New Roman"/>
                <w:lang w:val="en-GB"/>
              </w:rPr>
            </w:pPr>
          </w:p>
        </w:tc>
        <w:tc>
          <w:tcPr>
            <w:tcW w:w="2247" w:type="pct"/>
            <w:vAlign w:val="center"/>
          </w:tcPr>
          <w:p w14:paraId="594E847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0. Yalnızca aşağıdakiler gibi ek bir etki azaltma önlemi ile birlikte kullanıldığında cebri havalandırma sistemi ve uzun aralıklarla gübre tahliyesi(gübre çukuru ile derin altlık olması durumunda)</w:t>
            </w:r>
          </w:p>
          <w:p w14:paraId="343C766A" w14:textId="77777777" w:rsidR="003B155E" w:rsidRPr="00FF45DE" w:rsidRDefault="003B155E" w:rsidP="003B155E">
            <w:pPr>
              <w:numPr>
                <w:ilvl w:val="0"/>
                <w:numId w:val="179"/>
              </w:numPr>
              <w:tabs>
                <w:tab w:val="left" w:pos="240"/>
              </w:tabs>
              <w:ind w:left="74" w:right="74"/>
              <w:jc w:val="both"/>
              <w:rPr>
                <w:rFonts w:ascii="Times New Roman" w:eastAsia="Times New Roman" w:hAnsi="Times New Roman" w:cs="Times New Roman"/>
                <w:lang w:val="nn-NO"/>
              </w:rPr>
            </w:pPr>
            <w:r w:rsidRPr="00FF45DE">
              <w:rPr>
                <w:rFonts w:ascii="Times New Roman" w:eastAsia="Times New Roman" w:hAnsi="Times New Roman" w:cs="Times New Roman"/>
                <w:lang w:val="tr"/>
              </w:rPr>
              <w:t>Gübrede yüksek bir kuru madde içeriği elde edilmesi</w:t>
            </w:r>
          </w:p>
          <w:p w14:paraId="0E97884B" w14:textId="77777777" w:rsidR="003B155E" w:rsidRPr="00FF45DE" w:rsidRDefault="003B155E" w:rsidP="003B155E">
            <w:pPr>
              <w:numPr>
                <w:ilvl w:val="0"/>
                <w:numId w:val="179"/>
              </w:numPr>
              <w:tabs>
                <w:tab w:val="left" w:pos="223"/>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Bir hava temizleme sistemi</w:t>
            </w:r>
          </w:p>
        </w:tc>
        <w:tc>
          <w:tcPr>
            <w:tcW w:w="2499" w:type="pct"/>
            <w:vAlign w:val="center"/>
          </w:tcPr>
          <w:p w14:paraId="6654592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Bir hava temizleme sistemi ile birlikte kullanılmadıkça yeni tesislerde uygulanmaz.</w:t>
            </w:r>
          </w:p>
        </w:tc>
      </w:tr>
      <w:tr w:rsidR="003B155E" w:rsidRPr="00FF45DE" w14:paraId="03BD85B8" w14:textId="77777777" w:rsidTr="000D79D6">
        <w:trPr>
          <w:trHeight w:val="691"/>
        </w:trPr>
        <w:tc>
          <w:tcPr>
            <w:tcW w:w="254" w:type="pct"/>
            <w:vMerge/>
            <w:tcBorders>
              <w:top w:val="nil"/>
            </w:tcBorders>
            <w:vAlign w:val="center"/>
          </w:tcPr>
          <w:p w14:paraId="583C4678" w14:textId="77777777" w:rsidR="003B155E" w:rsidRPr="00FF45DE" w:rsidRDefault="003B155E" w:rsidP="000D79D6">
            <w:pPr>
              <w:ind w:left="74" w:right="74"/>
              <w:rPr>
                <w:rFonts w:ascii="Times New Roman" w:eastAsia="Calibri" w:hAnsi="Times New Roman" w:cs="Times New Roman"/>
              </w:rPr>
            </w:pPr>
          </w:p>
        </w:tc>
        <w:tc>
          <w:tcPr>
            <w:tcW w:w="2247" w:type="pct"/>
            <w:vAlign w:val="center"/>
          </w:tcPr>
          <w:p w14:paraId="1B68606F" w14:textId="77777777" w:rsidR="003B155E" w:rsidRPr="00FF45DE" w:rsidRDefault="003B155E" w:rsidP="000D79D6">
            <w:pPr>
              <w:tabs>
                <w:tab w:val="left" w:pos="467"/>
              </w:tabs>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1.Gübre bandı veya sıyırıcısı (gübre çukurlu derin altlık olması durumunda).</w:t>
            </w:r>
          </w:p>
        </w:tc>
        <w:tc>
          <w:tcPr>
            <w:tcW w:w="2499" w:type="pct"/>
            <w:vAlign w:val="center"/>
          </w:tcPr>
          <w:p w14:paraId="0E4838F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Mevcut tesislere uygulanabilirlik, barınak sisteminin tam bir revizyonu gerekliliği ile sınırlandırılabilir.</w:t>
            </w:r>
          </w:p>
        </w:tc>
      </w:tr>
      <w:tr w:rsidR="003B155E" w:rsidRPr="00FF45DE" w14:paraId="1CD549DD" w14:textId="77777777" w:rsidTr="000D79D6">
        <w:trPr>
          <w:trHeight w:val="460"/>
        </w:trPr>
        <w:tc>
          <w:tcPr>
            <w:tcW w:w="254" w:type="pct"/>
            <w:vMerge/>
            <w:tcBorders>
              <w:top w:val="nil"/>
            </w:tcBorders>
            <w:vAlign w:val="center"/>
          </w:tcPr>
          <w:p w14:paraId="18BF833E" w14:textId="77777777" w:rsidR="003B155E" w:rsidRPr="00FF45DE" w:rsidRDefault="003B155E" w:rsidP="000D79D6">
            <w:pPr>
              <w:ind w:left="74" w:right="74"/>
              <w:rPr>
                <w:rFonts w:ascii="Times New Roman" w:eastAsia="Calibri" w:hAnsi="Times New Roman" w:cs="Times New Roman"/>
              </w:rPr>
            </w:pPr>
          </w:p>
        </w:tc>
        <w:tc>
          <w:tcPr>
            <w:tcW w:w="2247" w:type="pct"/>
            <w:vAlign w:val="center"/>
          </w:tcPr>
          <w:p w14:paraId="061A992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2.Gübrenin hava olukları yoluyla cebri havayla kurutulması (gübre çukurlu derin altlık olması durumunda)</w:t>
            </w:r>
          </w:p>
        </w:tc>
        <w:tc>
          <w:tcPr>
            <w:tcW w:w="2499" w:type="pct"/>
            <w:vAlign w:val="center"/>
          </w:tcPr>
          <w:p w14:paraId="45710B8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Teknik, yalnızca lataların altında yeterli boşluk bulunan tesislerde uygulanabilir.</w:t>
            </w:r>
          </w:p>
        </w:tc>
      </w:tr>
      <w:tr w:rsidR="003B155E" w:rsidRPr="00FF45DE" w14:paraId="2E778D2E" w14:textId="77777777" w:rsidTr="000D79D6">
        <w:trPr>
          <w:trHeight w:val="688"/>
        </w:trPr>
        <w:tc>
          <w:tcPr>
            <w:tcW w:w="254" w:type="pct"/>
            <w:vMerge/>
            <w:tcBorders>
              <w:top w:val="nil"/>
            </w:tcBorders>
            <w:vAlign w:val="center"/>
          </w:tcPr>
          <w:p w14:paraId="3D7F5FC1" w14:textId="77777777" w:rsidR="003B155E" w:rsidRPr="00FF45DE" w:rsidRDefault="003B155E" w:rsidP="000D79D6">
            <w:pPr>
              <w:ind w:left="74" w:right="74"/>
              <w:rPr>
                <w:rFonts w:ascii="Times New Roman" w:eastAsia="Calibri" w:hAnsi="Times New Roman" w:cs="Times New Roman"/>
              </w:rPr>
            </w:pPr>
          </w:p>
        </w:tc>
        <w:tc>
          <w:tcPr>
            <w:tcW w:w="2247" w:type="pct"/>
            <w:vAlign w:val="center"/>
          </w:tcPr>
          <w:p w14:paraId="5A8938FE"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3.Delikli zemin kullanarak gübrenin cebri havayla kurutulması</w:t>
            </w:r>
          </w:p>
          <w:p w14:paraId="5D5C45DB"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(gübre çukurlu derin altlık olması durumunda).</w:t>
            </w:r>
          </w:p>
        </w:tc>
        <w:tc>
          <w:tcPr>
            <w:tcW w:w="2499" w:type="pct"/>
            <w:vAlign w:val="center"/>
          </w:tcPr>
          <w:p w14:paraId="37F0DDBE"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Yüksek uygulama maliyetleri nedeniyle, mevcut tesislere uygulanabilirliği sınırlı olabilir.</w:t>
            </w:r>
          </w:p>
        </w:tc>
      </w:tr>
      <w:tr w:rsidR="003B155E" w:rsidRPr="00FF45DE" w14:paraId="3EAB94CD" w14:textId="77777777" w:rsidTr="000D79D6">
        <w:trPr>
          <w:trHeight w:val="460"/>
        </w:trPr>
        <w:tc>
          <w:tcPr>
            <w:tcW w:w="254" w:type="pct"/>
            <w:vMerge/>
            <w:tcBorders>
              <w:top w:val="nil"/>
            </w:tcBorders>
            <w:vAlign w:val="center"/>
          </w:tcPr>
          <w:p w14:paraId="3B6FD84E" w14:textId="77777777" w:rsidR="003B155E" w:rsidRPr="00FF45DE" w:rsidRDefault="003B155E" w:rsidP="000D79D6">
            <w:pPr>
              <w:ind w:left="74" w:right="74"/>
              <w:rPr>
                <w:rFonts w:ascii="Times New Roman" w:eastAsia="Calibri" w:hAnsi="Times New Roman" w:cs="Times New Roman"/>
                <w:lang w:val="fi-FI"/>
              </w:rPr>
            </w:pPr>
          </w:p>
        </w:tc>
        <w:tc>
          <w:tcPr>
            <w:tcW w:w="2247" w:type="pct"/>
            <w:vAlign w:val="center"/>
          </w:tcPr>
          <w:p w14:paraId="4CCA03D3"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4. Gübre bantları (kuşluk olması durumunda).</w:t>
            </w:r>
          </w:p>
        </w:tc>
        <w:tc>
          <w:tcPr>
            <w:tcW w:w="2499" w:type="pct"/>
            <w:vAlign w:val="center"/>
          </w:tcPr>
          <w:p w14:paraId="7D01872C"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Mevcut tesislere uygulanabilirliği, barakanın genişliğine bağlıdır.</w:t>
            </w:r>
          </w:p>
        </w:tc>
      </w:tr>
      <w:tr w:rsidR="003B155E" w:rsidRPr="00FF45DE" w14:paraId="61C7A23D" w14:textId="77777777" w:rsidTr="000D79D6">
        <w:trPr>
          <w:trHeight w:val="460"/>
        </w:trPr>
        <w:tc>
          <w:tcPr>
            <w:tcW w:w="254" w:type="pct"/>
            <w:vMerge/>
            <w:tcBorders>
              <w:top w:val="nil"/>
            </w:tcBorders>
            <w:vAlign w:val="center"/>
          </w:tcPr>
          <w:p w14:paraId="57785304" w14:textId="77777777" w:rsidR="003B155E" w:rsidRPr="00FF45DE" w:rsidRDefault="003B155E" w:rsidP="000D79D6">
            <w:pPr>
              <w:ind w:left="74" w:right="74"/>
              <w:rPr>
                <w:rFonts w:ascii="Times New Roman" w:eastAsia="Calibri" w:hAnsi="Times New Roman" w:cs="Times New Roman"/>
                <w:lang w:val="fi-FI"/>
              </w:rPr>
            </w:pPr>
          </w:p>
        </w:tc>
        <w:tc>
          <w:tcPr>
            <w:tcW w:w="2247" w:type="pct"/>
            <w:vAlign w:val="center"/>
          </w:tcPr>
          <w:p w14:paraId="3E15926D" w14:textId="77777777" w:rsidR="003B155E" w:rsidRPr="00FF45DE" w:rsidRDefault="003B155E" w:rsidP="000D79D6">
            <w:pPr>
              <w:tabs>
                <w:tab w:val="left" w:pos="467"/>
              </w:tabs>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5.</w:t>
            </w:r>
            <w:r w:rsidRPr="00FF45DE">
              <w:rPr>
                <w:rFonts w:ascii="Times New Roman" w:eastAsia="Times New Roman" w:hAnsi="Times New Roman" w:cs="Times New Roman"/>
                <w:lang w:val="tr"/>
              </w:rPr>
              <w:tab/>
              <w:t>Altlığın iç ortam havası kullanılarak cebri kurutulması (derin altlıklı sert zemin olması durumunda).</w:t>
            </w:r>
          </w:p>
        </w:tc>
        <w:tc>
          <w:tcPr>
            <w:tcW w:w="2499" w:type="pct"/>
            <w:vAlign w:val="center"/>
          </w:tcPr>
          <w:p w14:paraId="5C9F2E7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7A7302C4" w14:textId="77777777" w:rsidTr="000D79D6">
        <w:trPr>
          <w:trHeight w:val="1248"/>
        </w:trPr>
        <w:tc>
          <w:tcPr>
            <w:tcW w:w="254" w:type="pct"/>
            <w:vAlign w:val="center"/>
          </w:tcPr>
          <w:p w14:paraId="42A7F1C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247" w:type="pct"/>
            <w:vAlign w:val="center"/>
          </w:tcPr>
          <w:p w14:paraId="3FF31D2F"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Bir hava temizleme sisteminin kullanımı, örneğin:</w:t>
            </w:r>
          </w:p>
          <w:p w14:paraId="6CB36F42" w14:textId="77777777" w:rsidR="003B155E" w:rsidRPr="00FF45DE" w:rsidRDefault="003B155E" w:rsidP="003B155E">
            <w:pPr>
              <w:numPr>
                <w:ilvl w:val="0"/>
                <w:numId w:val="178"/>
              </w:numPr>
              <w:tabs>
                <w:tab w:val="left" w:pos="561"/>
                <w:tab w:val="left" w:pos="562"/>
              </w:tabs>
              <w:ind w:left="435" w:right="74" w:hanging="361"/>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asit yıkayıcı</w:t>
            </w:r>
          </w:p>
          <w:p w14:paraId="3AC0395A" w14:textId="77777777" w:rsidR="003B155E" w:rsidRPr="00FF45DE" w:rsidRDefault="003B155E" w:rsidP="003B155E">
            <w:pPr>
              <w:numPr>
                <w:ilvl w:val="0"/>
                <w:numId w:val="178"/>
              </w:numPr>
              <w:tabs>
                <w:tab w:val="left" w:pos="561"/>
                <w:tab w:val="left" w:pos="562"/>
              </w:tabs>
              <w:ind w:left="434"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İki kademeli veya üç kademeli hava temizleme sistemi</w:t>
            </w:r>
          </w:p>
          <w:p w14:paraId="7B650DA1" w14:textId="77777777" w:rsidR="003B155E" w:rsidRPr="00FF45DE" w:rsidRDefault="003B155E" w:rsidP="003B155E">
            <w:pPr>
              <w:numPr>
                <w:ilvl w:val="0"/>
                <w:numId w:val="178"/>
              </w:numPr>
              <w:tabs>
                <w:tab w:val="left" w:pos="561"/>
                <w:tab w:val="left" w:pos="562"/>
              </w:tabs>
              <w:ind w:left="438" w:right="74" w:hanging="36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Biyoyıkayıcı (veya biyo-damlatmalı filtre).</w:t>
            </w:r>
          </w:p>
        </w:tc>
        <w:tc>
          <w:tcPr>
            <w:tcW w:w="2499" w:type="pct"/>
            <w:vAlign w:val="center"/>
          </w:tcPr>
          <w:p w14:paraId="6EC8D4D1"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Yüksek uygulama maliyeti nedeniyle genel olarak uygulanmayabilir.</w:t>
            </w:r>
          </w:p>
          <w:p w14:paraId="29995588"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Yalnızca merkezi bir havalandırma sisteminin kullanıldığı mevcut tesislerde uygulanabilir.</w:t>
            </w:r>
          </w:p>
        </w:tc>
      </w:tr>
    </w:tbl>
    <w:p w14:paraId="771C84CE" w14:textId="77777777" w:rsidR="0096283A" w:rsidRDefault="0096283A" w:rsidP="003B155E">
      <w:pPr>
        <w:spacing w:before="240" w:after="0" w:line="360" w:lineRule="auto"/>
        <w:jc w:val="both"/>
        <w:rPr>
          <w:rFonts w:ascii="Times New Roman" w:eastAsia="Calibri" w:hAnsi="Times New Roman" w:cs="Calibri"/>
          <w:b/>
          <w:iCs/>
          <w:color w:val="000000"/>
          <w:kern w:val="0"/>
          <w:sz w:val="20"/>
          <w:szCs w:val="20"/>
          <w14:ligatures w14:val="none"/>
        </w:rPr>
      </w:pPr>
    </w:p>
    <w:p w14:paraId="293E1A88" w14:textId="422A982B" w:rsidR="003B155E" w:rsidRPr="00EE5089" w:rsidRDefault="003B155E" w:rsidP="003B155E">
      <w:pPr>
        <w:spacing w:before="240" w:after="0" w:line="360" w:lineRule="auto"/>
        <w:jc w:val="both"/>
        <w:rPr>
          <w:rFonts w:ascii="Times New Roman" w:eastAsia="Calibri" w:hAnsi="Times New Roman" w:cs="Calibri"/>
          <w:b/>
          <w:iCs/>
          <w:color w:val="000000"/>
          <w:kern w:val="0"/>
          <w:sz w:val="20"/>
          <w:szCs w:val="20"/>
          <w14:ligatures w14:val="none"/>
        </w:rPr>
      </w:pPr>
      <w:r w:rsidRPr="00EE5089">
        <w:rPr>
          <w:rFonts w:ascii="Times New Roman" w:eastAsia="Calibri" w:hAnsi="Times New Roman" w:cs="Calibri"/>
          <w:b/>
          <w:iCs/>
          <w:color w:val="000000"/>
          <w:kern w:val="0"/>
          <w:sz w:val="20"/>
          <w:szCs w:val="20"/>
          <w14:ligatures w14:val="none"/>
        </w:rPr>
        <w:lastRenderedPageBreak/>
        <w:t>Yumurtlayan tavuklar için her kümesten kaynaklanan havaya amonyak emisyonları için MET-İES'ler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14"/>
        <w:gridCol w:w="2740"/>
        <w:gridCol w:w="3808"/>
      </w:tblGrid>
      <w:tr w:rsidR="003B155E" w:rsidRPr="00FF45DE" w14:paraId="1E718B9E" w14:textId="77777777" w:rsidTr="000D79D6">
        <w:trPr>
          <w:trHeight w:val="460"/>
        </w:trPr>
        <w:tc>
          <w:tcPr>
            <w:tcW w:w="1387" w:type="pct"/>
          </w:tcPr>
          <w:p w14:paraId="4E8C9AAA" w14:textId="77777777" w:rsidR="003B155E" w:rsidRPr="00FF45DE" w:rsidRDefault="003B155E" w:rsidP="000D79D6">
            <w:pPr>
              <w:ind w:left="74" w:right="74"/>
              <w:jc w:val="center"/>
              <w:rPr>
                <w:rFonts w:ascii="Times New Roman" w:eastAsia="Times New Roman" w:hAnsi="Times New Roman" w:cs="Times New Roman"/>
                <w:b/>
                <w:szCs w:val="32"/>
                <w:lang w:val="en-GB"/>
              </w:rPr>
            </w:pPr>
            <w:r w:rsidRPr="00FF45DE">
              <w:rPr>
                <w:rFonts w:ascii="Times New Roman" w:eastAsia="Times New Roman" w:hAnsi="Times New Roman" w:cs="Times New Roman"/>
                <w:b/>
                <w:szCs w:val="32"/>
                <w:lang w:val="tr"/>
              </w:rPr>
              <w:t>Parametre</w:t>
            </w:r>
          </w:p>
        </w:tc>
        <w:tc>
          <w:tcPr>
            <w:tcW w:w="1512" w:type="pct"/>
          </w:tcPr>
          <w:p w14:paraId="03163BA3" w14:textId="77777777" w:rsidR="003B155E" w:rsidRPr="00FF45DE" w:rsidRDefault="003B155E" w:rsidP="000D79D6">
            <w:pPr>
              <w:ind w:left="74" w:right="74"/>
              <w:jc w:val="center"/>
              <w:rPr>
                <w:rFonts w:ascii="Times New Roman" w:eastAsia="Times New Roman" w:hAnsi="Times New Roman" w:cs="Times New Roman"/>
                <w:b/>
                <w:szCs w:val="32"/>
                <w:lang w:val="en-GB"/>
              </w:rPr>
            </w:pPr>
            <w:r w:rsidRPr="00FF45DE">
              <w:rPr>
                <w:rFonts w:ascii="Times New Roman" w:eastAsia="Times New Roman" w:hAnsi="Times New Roman" w:cs="Times New Roman"/>
                <w:b/>
                <w:szCs w:val="32"/>
                <w:lang w:val="tr"/>
              </w:rPr>
              <w:t>Barınak türü</w:t>
            </w:r>
          </w:p>
        </w:tc>
        <w:tc>
          <w:tcPr>
            <w:tcW w:w="2101" w:type="pct"/>
          </w:tcPr>
          <w:p w14:paraId="06FA8175" w14:textId="77777777" w:rsidR="003B155E" w:rsidRPr="00FF45DE" w:rsidRDefault="003B155E" w:rsidP="000D79D6">
            <w:pPr>
              <w:ind w:left="74" w:right="74"/>
              <w:jc w:val="center"/>
              <w:rPr>
                <w:rFonts w:ascii="Times New Roman" w:eastAsia="Times New Roman" w:hAnsi="Times New Roman" w:cs="Times New Roman"/>
                <w:b/>
                <w:szCs w:val="32"/>
                <w:lang w:val="en-GB"/>
              </w:rPr>
            </w:pPr>
            <w:r w:rsidRPr="00FF45DE">
              <w:rPr>
                <w:rFonts w:ascii="Times New Roman" w:eastAsia="Times New Roman" w:hAnsi="Times New Roman" w:cs="Times New Roman"/>
                <w:b/>
                <w:szCs w:val="32"/>
                <w:lang w:val="tr"/>
              </w:rPr>
              <w:t>MET-İES</w:t>
            </w:r>
          </w:p>
          <w:p w14:paraId="5345238C" w14:textId="77777777" w:rsidR="003B155E" w:rsidRPr="00FF45DE" w:rsidRDefault="003B155E" w:rsidP="000D79D6">
            <w:pPr>
              <w:ind w:left="74" w:right="74"/>
              <w:jc w:val="center"/>
              <w:rPr>
                <w:rFonts w:ascii="Times New Roman" w:eastAsia="Times New Roman" w:hAnsi="Times New Roman" w:cs="Times New Roman"/>
                <w:b/>
                <w:szCs w:val="32"/>
                <w:lang w:val="en-GB"/>
              </w:rPr>
            </w:pPr>
            <w:r w:rsidRPr="00FF45DE">
              <w:rPr>
                <w:rFonts w:ascii="Times New Roman" w:eastAsia="Times New Roman" w:hAnsi="Times New Roman" w:cs="Times New Roman"/>
                <w:b/>
                <w:szCs w:val="32"/>
                <w:lang w:val="tr"/>
              </w:rPr>
              <w:t>(kg NH</w:t>
            </w:r>
            <w:r w:rsidRPr="00FF45DE">
              <w:rPr>
                <w:rFonts w:ascii="Times New Roman" w:eastAsia="Times New Roman" w:hAnsi="Times New Roman" w:cs="Times New Roman"/>
                <w:b/>
                <w:szCs w:val="32"/>
                <w:vertAlign w:val="subscript"/>
                <w:lang w:val="tr"/>
              </w:rPr>
              <w:t>3</w:t>
            </w:r>
            <w:r w:rsidRPr="00FF45DE">
              <w:rPr>
                <w:rFonts w:ascii="Times New Roman" w:eastAsia="Times New Roman" w:hAnsi="Times New Roman" w:cs="Times New Roman"/>
                <w:b/>
                <w:szCs w:val="32"/>
                <w:lang w:val="tr"/>
              </w:rPr>
              <w:t>/hayvan yeri/yıl)</w:t>
            </w:r>
          </w:p>
        </w:tc>
      </w:tr>
      <w:tr w:rsidR="003B155E" w:rsidRPr="00FF45DE" w14:paraId="696AD077" w14:textId="77777777" w:rsidTr="000D79D6">
        <w:trPr>
          <w:trHeight w:val="282"/>
        </w:trPr>
        <w:tc>
          <w:tcPr>
            <w:tcW w:w="1387" w:type="pct"/>
            <w:vMerge w:val="restart"/>
            <w:vAlign w:val="center"/>
          </w:tcPr>
          <w:p w14:paraId="0505E7D2" w14:textId="77777777" w:rsidR="003B155E" w:rsidRPr="00FF45DE" w:rsidRDefault="003B155E" w:rsidP="000D79D6">
            <w:pPr>
              <w:ind w:left="74" w:right="74"/>
              <w:rPr>
                <w:rFonts w:ascii="Times New Roman" w:eastAsia="Times New Roman" w:hAnsi="Times New Roman" w:cs="Times New Roman"/>
                <w:szCs w:val="32"/>
                <w:lang w:val="en-GB"/>
              </w:rPr>
            </w:pPr>
            <w:r w:rsidRPr="00FF45DE">
              <w:rPr>
                <w:rFonts w:ascii="Times New Roman" w:eastAsia="Times New Roman" w:hAnsi="Times New Roman" w:cs="Times New Roman"/>
                <w:szCs w:val="32"/>
                <w:lang w:val="tr"/>
              </w:rPr>
              <w:t>NH</w:t>
            </w:r>
            <w:r w:rsidRPr="00FF45DE">
              <w:rPr>
                <w:rFonts w:ascii="Times New Roman" w:eastAsia="Times New Roman" w:hAnsi="Times New Roman" w:cs="Times New Roman"/>
                <w:szCs w:val="32"/>
                <w:vertAlign w:val="subscript"/>
                <w:lang w:val="tr"/>
              </w:rPr>
              <w:t>3</w:t>
            </w:r>
            <w:r w:rsidRPr="00FF45DE">
              <w:rPr>
                <w:rFonts w:ascii="Times New Roman" w:eastAsia="Times New Roman" w:hAnsi="Times New Roman" w:cs="Times New Roman"/>
                <w:szCs w:val="32"/>
                <w:lang w:val="tr"/>
              </w:rPr>
              <w:t xml:space="preserve"> olarak ifade edilen amonyak</w:t>
            </w:r>
          </w:p>
        </w:tc>
        <w:tc>
          <w:tcPr>
            <w:tcW w:w="1512" w:type="pct"/>
          </w:tcPr>
          <w:p w14:paraId="4E9B1856" w14:textId="77777777" w:rsidR="003B155E" w:rsidRPr="00FF45DE" w:rsidRDefault="003B155E" w:rsidP="000D79D6">
            <w:pPr>
              <w:ind w:left="74" w:right="74"/>
              <w:jc w:val="both"/>
              <w:rPr>
                <w:rFonts w:ascii="Times New Roman" w:eastAsia="Times New Roman" w:hAnsi="Times New Roman" w:cs="Times New Roman"/>
                <w:szCs w:val="32"/>
                <w:lang w:val="en-GB"/>
              </w:rPr>
            </w:pPr>
            <w:r w:rsidRPr="00FF45DE">
              <w:rPr>
                <w:rFonts w:ascii="Times New Roman" w:eastAsia="Times New Roman" w:hAnsi="Times New Roman" w:cs="Times New Roman"/>
                <w:szCs w:val="32"/>
                <w:lang w:val="tr"/>
              </w:rPr>
              <w:t>Kafes sistemi</w:t>
            </w:r>
          </w:p>
        </w:tc>
        <w:tc>
          <w:tcPr>
            <w:tcW w:w="2101" w:type="pct"/>
          </w:tcPr>
          <w:p w14:paraId="2F018C29" w14:textId="77777777" w:rsidR="003B155E" w:rsidRPr="00FF45DE" w:rsidRDefault="003B155E" w:rsidP="000D79D6">
            <w:pPr>
              <w:ind w:left="74" w:right="74"/>
              <w:jc w:val="center"/>
              <w:rPr>
                <w:rFonts w:ascii="Times New Roman" w:eastAsia="Times New Roman" w:hAnsi="Times New Roman" w:cs="Times New Roman"/>
                <w:szCs w:val="32"/>
                <w:lang w:val="en-GB"/>
              </w:rPr>
            </w:pPr>
            <w:r w:rsidRPr="00FF45DE">
              <w:rPr>
                <w:rFonts w:ascii="Times New Roman" w:eastAsia="Times New Roman" w:hAnsi="Times New Roman" w:cs="Times New Roman"/>
                <w:szCs w:val="32"/>
                <w:lang w:val="tr"/>
              </w:rPr>
              <w:t>0,02–0,08</w:t>
            </w:r>
          </w:p>
        </w:tc>
      </w:tr>
      <w:tr w:rsidR="003B155E" w:rsidRPr="00FF45DE" w14:paraId="77FF44A0" w14:textId="77777777" w:rsidTr="000D79D6">
        <w:trPr>
          <w:trHeight w:val="285"/>
        </w:trPr>
        <w:tc>
          <w:tcPr>
            <w:tcW w:w="1387" w:type="pct"/>
            <w:vMerge/>
            <w:tcBorders>
              <w:top w:val="nil"/>
            </w:tcBorders>
          </w:tcPr>
          <w:p w14:paraId="41CC61B0" w14:textId="77777777" w:rsidR="003B155E" w:rsidRPr="00FF45DE" w:rsidRDefault="003B155E" w:rsidP="000D79D6">
            <w:pPr>
              <w:ind w:left="74" w:right="74"/>
              <w:jc w:val="both"/>
              <w:rPr>
                <w:rFonts w:ascii="Times New Roman" w:eastAsia="Calibri" w:hAnsi="Times New Roman" w:cs="Times New Roman"/>
                <w:szCs w:val="32"/>
              </w:rPr>
            </w:pPr>
          </w:p>
        </w:tc>
        <w:tc>
          <w:tcPr>
            <w:tcW w:w="1512" w:type="pct"/>
          </w:tcPr>
          <w:p w14:paraId="58CC6B76" w14:textId="77777777" w:rsidR="003B155E" w:rsidRPr="00FF45DE" w:rsidRDefault="003B155E" w:rsidP="000D79D6">
            <w:pPr>
              <w:ind w:left="74" w:right="74"/>
              <w:jc w:val="both"/>
              <w:rPr>
                <w:rFonts w:ascii="Times New Roman" w:eastAsia="Times New Roman" w:hAnsi="Times New Roman" w:cs="Times New Roman"/>
                <w:szCs w:val="32"/>
                <w:lang w:val="en-GB"/>
              </w:rPr>
            </w:pPr>
            <w:r w:rsidRPr="00FF45DE">
              <w:rPr>
                <w:rFonts w:ascii="Times New Roman" w:eastAsia="Times New Roman" w:hAnsi="Times New Roman" w:cs="Times New Roman"/>
                <w:szCs w:val="32"/>
                <w:lang w:val="tr"/>
              </w:rPr>
              <w:t>Kafessiz sistem</w:t>
            </w:r>
          </w:p>
        </w:tc>
        <w:tc>
          <w:tcPr>
            <w:tcW w:w="2101" w:type="pct"/>
          </w:tcPr>
          <w:p w14:paraId="3543757E" w14:textId="77777777" w:rsidR="003B155E" w:rsidRPr="00FF45DE" w:rsidRDefault="003B155E" w:rsidP="000D79D6">
            <w:pPr>
              <w:ind w:left="74" w:right="74"/>
              <w:jc w:val="center"/>
              <w:rPr>
                <w:rFonts w:ascii="Times New Roman" w:eastAsia="Times New Roman" w:hAnsi="Times New Roman" w:cs="Times New Roman"/>
                <w:szCs w:val="32"/>
                <w:lang w:val="en-GB"/>
              </w:rPr>
            </w:pPr>
            <w:r w:rsidRPr="00FF45DE">
              <w:rPr>
                <w:rFonts w:ascii="Times New Roman" w:eastAsia="Times New Roman" w:hAnsi="Times New Roman" w:cs="Times New Roman"/>
                <w:szCs w:val="32"/>
                <w:lang w:val="tr"/>
              </w:rPr>
              <w:t>0,02–0,13 (</w:t>
            </w:r>
            <w:r w:rsidRPr="00FF45DE">
              <w:rPr>
                <w:rFonts w:ascii="Times New Roman" w:eastAsia="Times New Roman" w:hAnsi="Times New Roman" w:cs="Times New Roman"/>
                <w:szCs w:val="32"/>
                <w:vertAlign w:val="superscript"/>
                <w:lang w:val="tr"/>
              </w:rPr>
              <w:t>1</w:t>
            </w:r>
            <w:r w:rsidRPr="00FF45DE">
              <w:rPr>
                <w:rFonts w:ascii="Times New Roman" w:eastAsia="Times New Roman" w:hAnsi="Times New Roman" w:cs="Times New Roman"/>
                <w:szCs w:val="32"/>
                <w:lang w:val="tr"/>
              </w:rPr>
              <w:t>)</w:t>
            </w:r>
          </w:p>
        </w:tc>
      </w:tr>
      <w:tr w:rsidR="003B155E" w:rsidRPr="00FF45DE" w14:paraId="5E8C4F85" w14:textId="77777777" w:rsidTr="000D79D6">
        <w:trPr>
          <w:trHeight w:val="621"/>
        </w:trPr>
        <w:tc>
          <w:tcPr>
            <w:tcW w:w="5000" w:type="pct"/>
            <w:gridSpan w:val="3"/>
          </w:tcPr>
          <w:p w14:paraId="16F8B6DF" w14:textId="77777777" w:rsidR="003B155E" w:rsidRPr="00EE5089" w:rsidRDefault="003B155E" w:rsidP="000D79D6">
            <w:pPr>
              <w:ind w:left="74" w:right="74"/>
              <w:jc w:val="both"/>
              <w:rPr>
                <w:rFonts w:ascii="Times New Roman" w:eastAsia="Times New Roman" w:hAnsi="Times New Roman" w:cs="Times New Roman"/>
                <w:i/>
                <w:iCs/>
                <w:sz w:val="20"/>
                <w:szCs w:val="24"/>
                <w:lang w:val="tr-TR"/>
              </w:rPr>
            </w:pPr>
            <w:r w:rsidRPr="00FF45DE">
              <w:rPr>
                <w:rFonts w:ascii="Times New Roman" w:eastAsia="Times New Roman" w:hAnsi="Times New Roman" w:cs="Times New Roman"/>
                <w:i/>
                <w:iCs/>
                <w:sz w:val="20"/>
                <w:szCs w:val="24"/>
                <w:lang w:val="tr"/>
              </w:rPr>
              <w:t>(</w:t>
            </w:r>
            <w:r w:rsidRPr="00FF45DE">
              <w:rPr>
                <w:rFonts w:ascii="Times New Roman" w:eastAsia="Times New Roman" w:hAnsi="Times New Roman" w:cs="Times New Roman"/>
                <w:i/>
                <w:iCs/>
                <w:sz w:val="20"/>
                <w:szCs w:val="24"/>
                <w:vertAlign w:val="superscript"/>
                <w:lang w:val="tr"/>
              </w:rPr>
              <w:t>1</w:t>
            </w:r>
            <w:r w:rsidRPr="00FF45DE">
              <w:rPr>
                <w:rFonts w:ascii="Times New Roman" w:eastAsia="Times New Roman" w:hAnsi="Times New Roman" w:cs="Times New Roman"/>
                <w:i/>
                <w:iCs/>
                <w:sz w:val="20"/>
                <w:szCs w:val="24"/>
                <w:lang w:val="tr"/>
              </w:rPr>
              <w:t>) Cebri havalandırma sistemi kullanan ve gübrenin nadiren uzaklaştırıldığı (gübre çukurlu derin altlık olması durumunda) mevcut tesisler için gübrede yüksek kuru madde içeriği sağlayan bir önlemle birlikte, MET-İES'nin üst ucu, 0,25 kg NH</w:t>
            </w:r>
            <w:r w:rsidRPr="00FF45DE">
              <w:rPr>
                <w:rFonts w:ascii="Times New Roman" w:eastAsia="Times New Roman" w:hAnsi="Times New Roman" w:cs="Times New Roman"/>
                <w:i/>
                <w:iCs/>
                <w:sz w:val="20"/>
                <w:szCs w:val="24"/>
                <w:vertAlign w:val="subscript"/>
                <w:lang w:val="tr"/>
              </w:rPr>
              <w:t>3</w:t>
            </w:r>
            <w:r w:rsidRPr="00FF45DE">
              <w:rPr>
                <w:rFonts w:ascii="Times New Roman" w:eastAsia="Times New Roman" w:hAnsi="Times New Roman" w:cs="Times New Roman"/>
                <w:i/>
                <w:iCs/>
                <w:sz w:val="20"/>
                <w:szCs w:val="24"/>
                <w:lang w:val="tr"/>
              </w:rPr>
              <w:t>/hayvan yeri/yıl'dır.</w:t>
            </w:r>
          </w:p>
        </w:tc>
      </w:tr>
    </w:tbl>
    <w:p w14:paraId="47D3783C" w14:textId="77777777" w:rsidR="003B155E" w:rsidRPr="00EE5089" w:rsidRDefault="003B155E" w:rsidP="003B155E">
      <w:pPr>
        <w:spacing w:before="240" w:after="0" w:line="360" w:lineRule="auto"/>
        <w:jc w:val="both"/>
        <w:rPr>
          <w:rFonts w:ascii="Times New Roman" w:eastAsia="Calibri" w:hAnsi="Times New Roman" w:cs="Calibri"/>
          <w:kern w:val="0"/>
          <w:sz w:val="24"/>
          <w14:ligatures w14:val="none"/>
        </w:rPr>
      </w:pPr>
      <w:r w:rsidRPr="00EE5089">
        <w:rPr>
          <w:rFonts w:ascii="Times New Roman" w:eastAsia="Calibri" w:hAnsi="Times New Roman" w:cs="Calibri"/>
          <w:kern w:val="0"/>
          <w:sz w:val="24"/>
          <w14:ligatures w14:val="none"/>
        </w:rPr>
        <w:t xml:space="preserve">İlgili izleme </w:t>
      </w:r>
      <w:r w:rsidRPr="0096283A">
        <w:rPr>
          <w:rFonts w:ascii="Times New Roman" w:eastAsia="Calibri" w:hAnsi="Times New Roman" w:cs="Calibri"/>
          <w:bCs/>
          <w:kern w:val="0"/>
          <w:sz w:val="24"/>
          <w14:ligatures w14:val="none"/>
        </w:rPr>
        <w:t>MET 25'tedir</w:t>
      </w:r>
      <w:r w:rsidRPr="00EE5089">
        <w:rPr>
          <w:rFonts w:ascii="Times New Roman" w:eastAsia="Calibri" w:hAnsi="Times New Roman" w:cs="Calibri"/>
          <w:kern w:val="0"/>
          <w:sz w:val="24"/>
          <w14:ligatures w14:val="none"/>
        </w:rPr>
        <w:t>. MET-İES, organik hayvancılık üretiminde uygulanmayabilir.</w:t>
      </w:r>
    </w:p>
    <w:p w14:paraId="16B86440" w14:textId="77777777" w:rsidR="003B155E" w:rsidRPr="00EE5089" w:rsidRDefault="003B155E" w:rsidP="0096283A">
      <w:pPr>
        <w:keepNext/>
        <w:numPr>
          <w:ilvl w:val="3"/>
          <w:numId w:val="0"/>
        </w:numPr>
        <w:spacing w:before="240" w:after="120" w:line="240" w:lineRule="auto"/>
        <w:ind w:left="864" w:hanging="864"/>
        <w:jc w:val="both"/>
        <w:outlineLvl w:val="3"/>
        <w:rPr>
          <w:rFonts w:ascii="Times New Roman" w:eastAsia="Calibri" w:hAnsi="Times New Roman" w:cs="Calibri"/>
          <w:b/>
          <w:kern w:val="0"/>
          <w:sz w:val="24"/>
          <w:szCs w:val="28"/>
          <w14:ligatures w14:val="none"/>
        </w:rPr>
      </w:pPr>
      <w:bookmarkStart w:id="40" w:name="_Toc136614320"/>
      <w:r w:rsidRPr="00EE5089">
        <w:rPr>
          <w:rFonts w:ascii="Times New Roman" w:eastAsia="Calibri" w:hAnsi="Times New Roman" w:cs="Calibri"/>
          <w:b/>
          <w:bCs/>
          <w:kern w:val="0"/>
          <w:sz w:val="24"/>
          <w:szCs w:val="28"/>
          <w14:ligatures w14:val="none"/>
        </w:rPr>
        <w:t>Damızlık Piliçler için Kümeslerden Kaynaklanan Amonyak Emisyonları</w:t>
      </w:r>
      <w:bookmarkEnd w:id="40"/>
    </w:p>
    <w:p w14:paraId="3AEAA58B" w14:textId="77777777" w:rsidR="003B155E" w:rsidRPr="00EE5089" w:rsidRDefault="003B155E" w:rsidP="0096283A">
      <w:pPr>
        <w:spacing w:after="0" w:line="24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32: </w:t>
      </w:r>
      <w:r w:rsidRPr="00EE5089">
        <w:rPr>
          <w:rFonts w:ascii="Times New Roman" w:eastAsia="Calibri" w:hAnsi="Times New Roman" w:cs="Calibri"/>
          <w:bCs/>
          <w:kern w:val="0"/>
          <w:sz w:val="24"/>
          <w14:ligatures w14:val="none"/>
        </w:rPr>
        <w:t>Damızlık piliçler için her kümesten havaya salınan amonyak emisyonlarının azaltılması amacıyla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7"/>
        <w:gridCol w:w="3650"/>
        <w:gridCol w:w="5075"/>
      </w:tblGrid>
      <w:tr w:rsidR="003B155E" w:rsidRPr="00FF45DE" w14:paraId="1F294921" w14:textId="77777777" w:rsidTr="000D79D6">
        <w:trPr>
          <w:trHeight w:val="285"/>
        </w:trPr>
        <w:tc>
          <w:tcPr>
            <w:tcW w:w="186" w:type="pct"/>
          </w:tcPr>
          <w:p w14:paraId="56DDAB79" w14:textId="77777777" w:rsidR="003B155E" w:rsidRPr="00EE5089" w:rsidRDefault="003B155E" w:rsidP="000D79D6">
            <w:pPr>
              <w:ind w:left="74" w:right="74"/>
              <w:rPr>
                <w:rFonts w:ascii="Times New Roman" w:eastAsia="Times New Roman" w:hAnsi="Times New Roman" w:cs="Times New Roman"/>
                <w:lang w:val="tr-TR"/>
              </w:rPr>
            </w:pPr>
          </w:p>
        </w:tc>
        <w:tc>
          <w:tcPr>
            <w:tcW w:w="2014" w:type="pct"/>
          </w:tcPr>
          <w:p w14:paraId="110822F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800" w:type="pct"/>
          </w:tcPr>
          <w:p w14:paraId="003227B0"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40CAFBA3" w14:textId="77777777" w:rsidTr="000D79D6">
        <w:trPr>
          <w:trHeight w:val="688"/>
        </w:trPr>
        <w:tc>
          <w:tcPr>
            <w:tcW w:w="186" w:type="pct"/>
            <w:vAlign w:val="center"/>
          </w:tcPr>
          <w:p w14:paraId="0DE747B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014" w:type="pct"/>
            <w:vAlign w:val="center"/>
          </w:tcPr>
          <w:p w14:paraId="7CB604D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Cebri havalandırma ve sızdırmaz</w:t>
            </w:r>
          </w:p>
          <w:p w14:paraId="6DE4F7D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suluk sistemi (derin altlıklı sert zemin olması durumunda).</w:t>
            </w:r>
          </w:p>
        </w:tc>
        <w:tc>
          <w:tcPr>
            <w:tcW w:w="2800" w:type="pct"/>
            <w:vAlign w:val="center"/>
          </w:tcPr>
          <w:p w14:paraId="0404A21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Genel olarak uygulanabilir.</w:t>
            </w:r>
          </w:p>
        </w:tc>
      </w:tr>
      <w:tr w:rsidR="003B155E" w:rsidRPr="00FF45DE" w14:paraId="0E929670" w14:textId="77777777" w:rsidTr="000D79D6">
        <w:trPr>
          <w:trHeight w:val="921"/>
        </w:trPr>
        <w:tc>
          <w:tcPr>
            <w:tcW w:w="186" w:type="pct"/>
            <w:vAlign w:val="center"/>
          </w:tcPr>
          <w:p w14:paraId="4624674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014" w:type="pct"/>
            <w:vAlign w:val="center"/>
          </w:tcPr>
          <w:p w14:paraId="7D9B823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İç ortam havası kullanan altlığın cebri kurutma sistemi (derin altlıklı sert zemin olması durumunda).</w:t>
            </w:r>
          </w:p>
        </w:tc>
        <w:tc>
          <w:tcPr>
            <w:tcW w:w="2800" w:type="pct"/>
            <w:vAlign w:val="center"/>
          </w:tcPr>
          <w:p w14:paraId="51E0176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Mevcut tesisler için cebri hava kurutma sistemlerinin uygulanabilirliği tavan yüksekliğine bağlıdır.</w:t>
            </w:r>
          </w:p>
          <w:p w14:paraId="1CEEC1E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Cebri hava kurutma sistemleri, iç ortam sıcaklığına bağlı olarak sıcak iklimlerde uygulanamayabilir.</w:t>
            </w:r>
          </w:p>
        </w:tc>
      </w:tr>
      <w:tr w:rsidR="003B155E" w:rsidRPr="00FF45DE" w14:paraId="36FCCFBA" w14:textId="77777777" w:rsidTr="000D79D6">
        <w:trPr>
          <w:trHeight w:val="283"/>
        </w:trPr>
        <w:tc>
          <w:tcPr>
            <w:tcW w:w="186" w:type="pct"/>
            <w:vAlign w:val="center"/>
          </w:tcPr>
          <w:p w14:paraId="28A20B6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c</w:t>
            </w:r>
          </w:p>
        </w:tc>
        <w:tc>
          <w:tcPr>
            <w:tcW w:w="2014" w:type="pct"/>
            <w:vAlign w:val="center"/>
          </w:tcPr>
          <w:p w14:paraId="6B9C112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Sızdırmaz bir suluk sistemi ile donatılmış doğal havalandırma (derin altlıklı sert zemin olması durumunda).</w:t>
            </w:r>
          </w:p>
        </w:tc>
        <w:tc>
          <w:tcPr>
            <w:tcW w:w="2800" w:type="pct"/>
            <w:vAlign w:val="center"/>
          </w:tcPr>
          <w:p w14:paraId="5D4C1CB4" w14:textId="77777777" w:rsidR="003B155E" w:rsidRPr="00FF45DE" w:rsidRDefault="003B155E" w:rsidP="000D79D6">
            <w:pPr>
              <w:ind w:left="74" w:right="74"/>
              <w:rPr>
                <w:rFonts w:ascii="Times New Roman" w:eastAsia="Times New Roman" w:hAnsi="Times New Roman" w:cs="Times New Roman"/>
                <w:lang w:val="sv-SE"/>
              </w:rPr>
            </w:pPr>
            <w:r w:rsidRPr="00FF45DE">
              <w:rPr>
                <w:rFonts w:ascii="Times New Roman" w:eastAsia="Times New Roman" w:hAnsi="Times New Roman" w:cs="Times New Roman"/>
                <w:lang w:val="tr"/>
              </w:rPr>
              <w:t>Doğal havalandırma, merkezi havalandırma sistemine sahip tesislerinde uygulanmaz.</w:t>
            </w:r>
          </w:p>
          <w:p w14:paraId="4BF5FD22" w14:textId="77777777" w:rsidR="003B155E" w:rsidRPr="00FF45DE" w:rsidRDefault="003B155E" w:rsidP="000D79D6">
            <w:pPr>
              <w:ind w:left="74" w:right="74"/>
              <w:rPr>
                <w:rFonts w:ascii="Times New Roman" w:eastAsia="Times New Roman" w:hAnsi="Times New Roman" w:cs="Times New Roman"/>
                <w:lang w:val="sv-SE"/>
              </w:rPr>
            </w:pPr>
            <w:r w:rsidRPr="00FF45DE">
              <w:rPr>
                <w:rFonts w:ascii="Times New Roman" w:eastAsia="Times New Roman" w:hAnsi="Times New Roman" w:cs="Times New Roman"/>
                <w:lang w:val="tr"/>
              </w:rPr>
              <w:t>Etlik piliç yetiştirmenin ilk aşamasında ve aşırı iklim koşullarından dolayı doğal havalandırma uygulanamayabilir.</w:t>
            </w:r>
          </w:p>
        </w:tc>
      </w:tr>
      <w:tr w:rsidR="003B155E" w:rsidRPr="00FF45DE" w14:paraId="6173413E" w14:textId="77777777" w:rsidTr="000D79D6">
        <w:trPr>
          <w:trHeight w:val="283"/>
        </w:trPr>
        <w:tc>
          <w:tcPr>
            <w:tcW w:w="186" w:type="pct"/>
            <w:vAlign w:val="center"/>
          </w:tcPr>
          <w:p w14:paraId="1BB9EC4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d</w:t>
            </w:r>
          </w:p>
        </w:tc>
        <w:tc>
          <w:tcPr>
            <w:tcW w:w="2014" w:type="pct"/>
            <w:vAlign w:val="center"/>
          </w:tcPr>
          <w:p w14:paraId="46A98A1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bandındaki altlık ve cebri havayla kurutma (katmanlı zemin sistemlerinde).</w:t>
            </w:r>
          </w:p>
        </w:tc>
        <w:tc>
          <w:tcPr>
            <w:tcW w:w="2800" w:type="pct"/>
            <w:vAlign w:val="center"/>
          </w:tcPr>
          <w:p w14:paraId="7122DC8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Mevcut tesisler için, uygulanabilirlik yan duvarların yüksekliğine bağlıdır.</w:t>
            </w:r>
          </w:p>
        </w:tc>
      </w:tr>
      <w:tr w:rsidR="003B155E" w:rsidRPr="00FF45DE" w14:paraId="0179ED9B" w14:textId="77777777" w:rsidTr="000D79D6">
        <w:trPr>
          <w:trHeight w:val="688"/>
        </w:trPr>
        <w:tc>
          <w:tcPr>
            <w:tcW w:w="186" w:type="pct"/>
            <w:vAlign w:val="center"/>
          </w:tcPr>
          <w:p w14:paraId="1D9AE0D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e</w:t>
            </w:r>
          </w:p>
        </w:tc>
        <w:tc>
          <w:tcPr>
            <w:tcW w:w="2014" w:type="pct"/>
            <w:vAlign w:val="center"/>
          </w:tcPr>
          <w:p w14:paraId="59B0282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Isıtılmış ve soğutulmuş altlıklı zemin (birleşik sistemlerde).</w:t>
            </w:r>
          </w:p>
        </w:tc>
        <w:tc>
          <w:tcPr>
            <w:tcW w:w="2800" w:type="pct"/>
            <w:vAlign w:val="center"/>
          </w:tcPr>
          <w:p w14:paraId="5600C1F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Mevcut tesisler için uygulanabilirlik, dolaşan su için kapalı yer altı depolama tesis etme olasılığına</w:t>
            </w:r>
          </w:p>
          <w:p w14:paraId="761E3F9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bağlıdır.</w:t>
            </w:r>
          </w:p>
        </w:tc>
      </w:tr>
      <w:tr w:rsidR="003B155E" w:rsidRPr="00FF45DE" w14:paraId="6D3EA96D" w14:textId="77777777" w:rsidTr="000D79D6">
        <w:trPr>
          <w:trHeight w:val="1418"/>
        </w:trPr>
        <w:tc>
          <w:tcPr>
            <w:tcW w:w="186" w:type="pct"/>
            <w:vAlign w:val="center"/>
          </w:tcPr>
          <w:p w14:paraId="3D9D08E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f</w:t>
            </w:r>
          </w:p>
        </w:tc>
        <w:tc>
          <w:tcPr>
            <w:tcW w:w="2014" w:type="pct"/>
            <w:vAlign w:val="center"/>
          </w:tcPr>
          <w:p w14:paraId="4C6A9B12"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Bir hava temizleme sisteminin kullanımı, örneğin:</w:t>
            </w:r>
          </w:p>
          <w:p w14:paraId="30CBE618" w14:textId="77777777" w:rsidR="003B155E" w:rsidRPr="00FF45DE" w:rsidRDefault="003B155E" w:rsidP="003B155E">
            <w:pPr>
              <w:numPr>
                <w:ilvl w:val="0"/>
                <w:numId w:val="181"/>
              </w:numPr>
              <w:tabs>
                <w:tab w:val="left" w:pos="564"/>
                <w:tab w:val="left" w:pos="565"/>
              </w:tabs>
              <w:ind w:left="435" w:right="74" w:hanging="361"/>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asit yıkayıcı</w:t>
            </w:r>
          </w:p>
          <w:p w14:paraId="1946F76B" w14:textId="77777777" w:rsidR="003B155E" w:rsidRPr="00FF45DE" w:rsidRDefault="003B155E" w:rsidP="003B155E">
            <w:pPr>
              <w:numPr>
                <w:ilvl w:val="0"/>
                <w:numId w:val="181"/>
              </w:numPr>
              <w:tabs>
                <w:tab w:val="left" w:pos="564"/>
                <w:tab w:val="left" w:pos="565"/>
              </w:tabs>
              <w:ind w:left="434"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İki kademeli veya üç kademeli hava temizleme sistemi</w:t>
            </w:r>
          </w:p>
          <w:p w14:paraId="528E8F66" w14:textId="77777777" w:rsidR="003B155E" w:rsidRPr="00FF45DE" w:rsidRDefault="003B155E" w:rsidP="003B155E">
            <w:pPr>
              <w:numPr>
                <w:ilvl w:val="0"/>
                <w:numId w:val="181"/>
              </w:numPr>
              <w:tabs>
                <w:tab w:val="left" w:pos="564"/>
                <w:tab w:val="left" w:pos="565"/>
              </w:tabs>
              <w:ind w:left="434"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Biyoyıkayıcı (veya biyo-damlatmalı filtre).</w:t>
            </w:r>
          </w:p>
        </w:tc>
        <w:tc>
          <w:tcPr>
            <w:tcW w:w="2800" w:type="pct"/>
            <w:vAlign w:val="center"/>
          </w:tcPr>
          <w:p w14:paraId="4220197E"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Yüksek uygulama maliyeti nedeniyle genel olarak uygulanmayabilir.</w:t>
            </w:r>
          </w:p>
          <w:p w14:paraId="647EBDA7"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Yalnızca merkezi bir havalandırma sisteminin kullanıldığı mevcut tesislerde uygulanabilir.</w:t>
            </w:r>
          </w:p>
        </w:tc>
      </w:tr>
    </w:tbl>
    <w:p w14:paraId="17F69ACF" w14:textId="77777777" w:rsidR="003B155E" w:rsidRPr="00EE5089" w:rsidRDefault="003B155E" w:rsidP="003B155E">
      <w:pPr>
        <w:spacing w:before="240" w:after="0" w:line="360" w:lineRule="auto"/>
        <w:jc w:val="both"/>
        <w:rPr>
          <w:rFonts w:ascii="Times New Roman" w:eastAsia="Calibri" w:hAnsi="Times New Roman" w:cs="Calibri"/>
          <w:b/>
          <w:iCs/>
          <w:color w:val="000000"/>
          <w:kern w:val="0"/>
          <w14:ligatures w14:val="none"/>
        </w:rPr>
      </w:pPr>
      <w:r w:rsidRPr="00EE5089">
        <w:rPr>
          <w:rFonts w:ascii="Times New Roman" w:eastAsia="Calibri" w:hAnsi="Times New Roman" w:cs="Calibri"/>
          <w:b/>
          <w:iCs/>
          <w:color w:val="000000"/>
          <w:kern w:val="0"/>
          <w14:ligatures w14:val="none"/>
        </w:rPr>
        <w:t>Nihai ağırlığı 2,5 kg'a kadar olan damızlık piliçler için her kümesten havaya salınan amonyak emisyonları için MET-İES</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93"/>
        <w:gridCol w:w="4466"/>
      </w:tblGrid>
      <w:tr w:rsidR="003B155E" w:rsidRPr="00FF45DE" w14:paraId="5FC41080" w14:textId="77777777" w:rsidTr="000D79D6">
        <w:trPr>
          <w:trHeight w:val="460"/>
        </w:trPr>
        <w:tc>
          <w:tcPr>
            <w:tcW w:w="2535" w:type="pct"/>
            <w:vAlign w:val="center"/>
          </w:tcPr>
          <w:p w14:paraId="6A9DB35D"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Parametre</w:t>
            </w:r>
          </w:p>
        </w:tc>
        <w:tc>
          <w:tcPr>
            <w:tcW w:w="2465" w:type="pct"/>
            <w:tcBorders>
              <w:right w:val="single" w:sz="6" w:space="0" w:color="000000"/>
            </w:tcBorders>
            <w:vAlign w:val="center"/>
          </w:tcPr>
          <w:p w14:paraId="3EF6F18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MET-İES (</w:t>
            </w:r>
            <w:r w:rsidRPr="00FF45DE">
              <w:rPr>
                <w:rFonts w:ascii="Times New Roman" w:eastAsia="Times New Roman" w:hAnsi="Times New Roman" w:cs="Times New Roman"/>
                <w:b/>
                <w:vertAlign w:val="superscript"/>
                <w:lang w:val="tr"/>
              </w:rPr>
              <w:t>1</w:t>
            </w:r>
            <w:r w:rsidRPr="00FF45DE">
              <w:rPr>
                <w:rFonts w:ascii="Times New Roman" w:eastAsia="Times New Roman" w:hAnsi="Times New Roman" w:cs="Times New Roman"/>
                <w:b/>
                <w:lang w:val="tr"/>
              </w:rPr>
              <w:t>) (</w:t>
            </w:r>
            <w:r w:rsidRPr="00FF45DE">
              <w:rPr>
                <w:rFonts w:ascii="Times New Roman" w:eastAsia="Times New Roman" w:hAnsi="Times New Roman" w:cs="Times New Roman"/>
                <w:b/>
                <w:vertAlign w:val="superscript"/>
                <w:lang w:val="tr"/>
              </w:rPr>
              <w:t>2</w:t>
            </w:r>
            <w:r w:rsidRPr="00FF45DE">
              <w:rPr>
                <w:rFonts w:ascii="Times New Roman" w:eastAsia="Times New Roman" w:hAnsi="Times New Roman" w:cs="Times New Roman"/>
                <w:b/>
                <w:lang w:val="tr"/>
              </w:rPr>
              <w:t>)</w:t>
            </w:r>
          </w:p>
          <w:p w14:paraId="229C430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(kg NH</w:t>
            </w:r>
            <w:r w:rsidRPr="00FF45DE">
              <w:rPr>
                <w:rFonts w:ascii="Times New Roman" w:eastAsia="Times New Roman" w:hAnsi="Times New Roman" w:cs="Times New Roman"/>
                <w:b/>
                <w:vertAlign w:val="subscript"/>
                <w:lang w:val="tr"/>
              </w:rPr>
              <w:t>3</w:t>
            </w:r>
            <w:r w:rsidRPr="00FF45DE">
              <w:rPr>
                <w:rFonts w:ascii="Times New Roman" w:eastAsia="Times New Roman" w:hAnsi="Times New Roman" w:cs="Times New Roman"/>
                <w:b/>
                <w:lang w:val="tr"/>
              </w:rPr>
              <w:t>/hayvan yeri/yıl)</w:t>
            </w:r>
          </w:p>
        </w:tc>
      </w:tr>
      <w:tr w:rsidR="003B155E" w:rsidRPr="00FF45DE" w14:paraId="7D2D5534" w14:textId="77777777" w:rsidTr="000D79D6">
        <w:trPr>
          <w:trHeight w:val="282"/>
        </w:trPr>
        <w:tc>
          <w:tcPr>
            <w:tcW w:w="2535" w:type="pct"/>
          </w:tcPr>
          <w:p w14:paraId="7FB9D7BC" w14:textId="77777777" w:rsidR="003B155E" w:rsidRPr="00FF45DE" w:rsidRDefault="003B155E" w:rsidP="000D79D6">
            <w:pPr>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NH</w:t>
            </w:r>
            <w:r w:rsidRPr="00FF45DE">
              <w:rPr>
                <w:rFonts w:ascii="Times New Roman" w:eastAsia="Times New Roman" w:hAnsi="Times New Roman" w:cs="Times New Roman"/>
                <w:vertAlign w:val="subscript"/>
                <w:lang w:val="tr"/>
              </w:rPr>
              <w:t>3</w:t>
            </w:r>
            <w:r w:rsidRPr="00FF45DE">
              <w:rPr>
                <w:rFonts w:ascii="Times New Roman" w:eastAsia="Times New Roman" w:hAnsi="Times New Roman" w:cs="Times New Roman"/>
                <w:lang w:val="tr"/>
              </w:rPr>
              <w:t xml:space="preserve"> olarak ifade edilen amonyak</w:t>
            </w:r>
          </w:p>
        </w:tc>
        <w:tc>
          <w:tcPr>
            <w:tcW w:w="2465" w:type="pct"/>
            <w:tcBorders>
              <w:right w:val="single" w:sz="6" w:space="0" w:color="000000"/>
            </w:tcBorders>
          </w:tcPr>
          <w:p w14:paraId="17965451" w14:textId="77777777" w:rsidR="003B155E" w:rsidRPr="00FF45DE" w:rsidRDefault="003B155E" w:rsidP="000D79D6">
            <w:pPr>
              <w:ind w:left="74" w:right="74"/>
              <w:jc w:val="center"/>
              <w:rPr>
                <w:rFonts w:ascii="Times New Roman" w:eastAsia="Times New Roman" w:hAnsi="Times New Roman" w:cs="Times New Roman"/>
                <w:lang w:val="en-GB"/>
              </w:rPr>
            </w:pPr>
            <w:r w:rsidRPr="00FF45DE">
              <w:rPr>
                <w:rFonts w:ascii="Times New Roman" w:eastAsia="Times New Roman" w:hAnsi="Times New Roman" w:cs="Times New Roman"/>
                <w:lang w:val="tr"/>
              </w:rPr>
              <w:t>0,01–0,08</w:t>
            </w:r>
          </w:p>
        </w:tc>
      </w:tr>
      <w:tr w:rsidR="003B155E" w:rsidRPr="00FF45DE" w14:paraId="7CD76A71" w14:textId="77777777" w:rsidTr="0096283A">
        <w:trPr>
          <w:trHeight w:val="283"/>
        </w:trPr>
        <w:tc>
          <w:tcPr>
            <w:tcW w:w="5000" w:type="pct"/>
            <w:gridSpan w:val="2"/>
            <w:tcBorders>
              <w:right w:val="single" w:sz="6" w:space="0" w:color="000000"/>
            </w:tcBorders>
          </w:tcPr>
          <w:p w14:paraId="4F2AAB6B" w14:textId="77777777" w:rsidR="003B155E" w:rsidRPr="00FF45DE" w:rsidRDefault="003B155E" w:rsidP="003B155E">
            <w:pPr>
              <w:numPr>
                <w:ilvl w:val="0"/>
                <w:numId w:val="182"/>
              </w:numPr>
              <w:tabs>
                <w:tab w:val="left" w:pos="334"/>
              </w:tabs>
              <w:ind w:left="301" w:right="74" w:hanging="227"/>
              <w:jc w:val="both"/>
              <w:rPr>
                <w:rFonts w:ascii="Times New Roman" w:eastAsia="Times New Roman" w:hAnsi="Times New Roman" w:cs="Times New Roman"/>
                <w:i/>
                <w:sz w:val="20"/>
                <w:szCs w:val="20"/>
                <w:lang w:val="tr"/>
              </w:rPr>
            </w:pPr>
            <w:r w:rsidRPr="00EE5089">
              <w:rPr>
                <w:rFonts w:ascii="Times New Roman" w:eastAsia="Times New Roman" w:hAnsi="Times New Roman" w:cs="Times New Roman"/>
                <w:i/>
                <w:sz w:val="20"/>
                <w:szCs w:val="20"/>
                <w:lang w:val="tr-TR"/>
              </w:rPr>
              <w:t>MET</w:t>
            </w:r>
            <w:r w:rsidRPr="00FF45DE">
              <w:rPr>
                <w:rFonts w:ascii="Times New Roman" w:eastAsia="Times New Roman" w:hAnsi="Times New Roman" w:cs="Times New Roman"/>
                <w:i/>
                <w:sz w:val="20"/>
                <w:szCs w:val="20"/>
                <w:lang w:val="tr"/>
              </w:rPr>
              <w:t>-İES aşağıdaki çiftçilik türleri için geçerli olmayabilir: Kanatlı eti için pazarlama standartları ile ilgili olarak 1234/2007 sayılı Konsey Yönetmeliğinin (EC) uygulanmasına ilişkin ayrıntılı kuralları belirleyen 16 Haziran 2008 tarihli (EC) 543/2008 sayılı Komisyon Tüzüğünde tanımlandığı şekliyle kapsamlı kapalı alan, serbest gezinen, geleneksel serbest gezinen ve serbest gezinen- tamamen özgür (OJ L 157, 17.6.2008, s. 46).</w:t>
            </w:r>
          </w:p>
          <w:p w14:paraId="32FF07B5" w14:textId="77777777" w:rsidR="003B155E" w:rsidRPr="0057675E" w:rsidRDefault="003B155E" w:rsidP="003B155E">
            <w:pPr>
              <w:numPr>
                <w:ilvl w:val="0"/>
                <w:numId w:val="182"/>
              </w:numPr>
              <w:tabs>
                <w:tab w:val="left" w:pos="334"/>
              </w:tabs>
              <w:ind w:left="301" w:right="74" w:hanging="227"/>
              <w:jc w:val="both"/>
              <w:rPr>
                <w:rFonts w:ascii="Times New Roman" w:eastAsia="Times New Roman" w:hAnsi="Times New Roman" w:cs="Times New Roman"/>
                <w:lang w:val="tr"/>
              </w:rPr>
            </w:pPr>
            <w:r w:rsidRPr="00FF45DE">
              <w:rPr>
                <w:rFonts w:ascii="Times New Roman" w:eastAsia="Times New Roman" w:hAnsi="Times New Roman" w:cs="Times New Roman"/>
                <w:i/>
                <w:sz w:val="20"/>
                <w:szCs w:val="20"/>
                <w:lang w:val="tr"/>
              </w:rPr>
              <w:t>Aralığın alt ucu, bir hava temizleme sisteminin kullanımıyla bağlantılıdır.</w:t>
            </w:r>
          </w:p>
        </w:tc>
      </w:tr>
    </w:tbl>
    <w:p w14:paraId="6F1B5A06" w14:textId="77777777" w:rsidR="003B155E" w:rsidRPr="00FF45DE" w:rsidRDefault="003B155E" w:rsidP="003B155E">
      <w:pPr>
        <w:spacing w:before="240" w:after="0" w:line="360" w:lineRule="auto"/>
        <w:jc w:val="both"/>
        <w:rPr>
          <w:rFonts w:ascii="Times New Roman" w:eastAsia="Calibri" w:hAnsi="Times New Roman" w:cs="Calibri"/>
          <w:kern w:val="0"/>
          <w:sz w:val="24"/>
          <w:lang w:val="tr"/>
          <w14:ligatures w14:val="none"/>
        </w:rPr>
      </w:pPr>
      <w:r w:rsidRPr="00FF45DE">
        <w:rPr>
          <w:rFonts w:ascii="Times New Roman" w:eastAsia="Calibri" w:hAnsi="Times New Roman" w:cs="Calibri"/>
          <w:kern w:val="0"/>
          <w:sz w:val="24"/>
          <w:lang w:val="tr"/>
          <w14:ligatures w14:val="none"/>
        </w:rPr>
        <w:lastRenderedPageBreak/>
        <w:t xml:space="preserve">İlgili izleme </w:t>
      </w:r>
      <w:r w:rsidRPr="0096283A">
        <w:rPr>
          <w:rFonts w:ascii="Times New Roman" w:eastAsia="Calibri" w:hAnsi="Times New Roman" w:cs="Calibri"/>
          <w:bCs/>
          <w:kern w:val="0"/>
          <w:sz w:val="24"/>
          <w:lang w:val="tr"/>
          <w14:ligatures w14:val="none"/>
        </w:rPr>
        <w:t>MET 25'tedir</w:t>
      </w:r>
      <w:r w:rsidRPr="00FF45DE">
        <w:rPr>
          <w:rFonts w:ascii="Times New Roman" w:eastAsia="Calibri" w:hAnsi="Times New Roman" w:cs="Calibri"/>
          <w:kern w:val="0"/>
          <w:sz w:val="24"/>
          <w:lang w:val="tr"/>
          <w14:ligatures w14:val="none"/>
        </w:rPr>
        <w:t>. MET-İES, organik hayvancılık üretiminde uygulanmayabilir.</w:t>
      </w:r>
    </w:p>
    <w:p w14:paraId="07598474" w14:textId="77777777" w:rsidR="003B155E" w:rsidRPr="00FF45DE" w:rsidRDefault="003B155E" w:rsidP="003B155E">
      <w:pPr>
        <w:keepNext/>
        <w:numPr>
          <w:ilvl w:val="3"/>
          <w:numId w:val="0"/>
        </w:numPr>
        <w:spacing w:before="240" w:after="120" w:line="360" w:lineRule="auto"/>
        <w:ind w:left="864" w:hanging="864"/>
        <w:jc w:val="both"/>
        <w:outlineLvl w:val="3"/>
        <w:rPr>
          <w:rFonts w:ascii="Times New Roman" w:eastAsia="Calibri" w:hAnsi="Times New Roman" w:cs="Calibri"/>
          <w:b/>
          <w:bCs/>
          <w:kern w:val="0"/>
          <w:sz w:val="24"/>
          <w:szCs w:val="28"/>
          <w:lang w:val="tr"/>
          <w14:ligatures w14:val="none"/>
        </w:rPr>
      </w:pPr>
      <w:bookmarkStart w:id="41" w:name="_Toc136614321"/>
      <w:r w:rsidRPr="00FF45DE">
        <w:rPr>
          <w:rFonts w:ascii="Times New Roman" w:eastAsia="Calibri" w:hAnsi="Times New Roman" w:cs="Calibri"/>
          <w:b/>
          <w:bCs/>
          <w:kern w:val="0"/>
          <w:sz w:val="24"/>
          <w:szCs w:val="28"/>
          <w:lang w:val="tr"/>
          <w14:ligatures w14:val="none"/>
        </w:rPr>
        <w:t>Ördekler için Kümeslerden Kaynaklanan Amonyak Emisyonları</w:t>
      </w:r>
      <w:bookmarkEnd w:id="41"/>
    </w:p>
    <w:p w14:paraId="103B1BC1" w14:textId="77777777" w:rsidR="003B155E" w:rsidRPr="00FF45DE" w:rsidRDefault="003B155E" w:rsidP="003B155E">
      <w:pPr>
        <w:spacing w:before="240" w:after="0" w:line="360" w:lineRule="auto"/>
        <w:jc w:val="both"/>
        <w:rPr>
          <w:rFonts w:ascii="Times New Roman" w:eastAsia="Calibri" w:hAnsi="Times New Roman" w:cs="Calibri"/>
          <w:bCs/>
          <w:kern w:val="0"/>
          <w:sz w:val="24"/>
          <w:lang w:val="tr"/>
          <w14:ligatures w14:val="none"/>
        </w:rPr>
      </w:pPr>
      <w:r w:rsidRPr="00FF45DE">
        <w:rPr>
          <w:rFonts w:ascii="Times New Roman" w:eastAsia="Calibri" w:hAnsi="Times New Roman" w:cs="Calibri"/>
          <w:b/>
          <w:bCs/>
          <w:kern w:val="0"/>
          <w:sz w:val="24"/>
          <w:lang w:val="tr"/>
          <w14:ligatures w14:val="none"/>
        </w:rPr>
        <w:t xml:space="preserve">MET 33: </w:t>
      </w:r>
      <w:r w:rsidRPr="00FF45DE">
        <w:rPr>
          <w:rFonts w:ascii="Times New Roman" w:eastAsia="Calibri" w:hAnsi="Times New Roman" w:cs="Calibri"/>
          <w:bCs/>
          <w:kern w:val="0"/>
          <w:sz w:val="24"/>
          <w:lang w:val="tr"/>
          <w14:ligatures w14:val="none"/>
        </w:rPr>
        <w:t>Ördekler için her kümesten havaya salınan amonyak emisyonlarının azaltılması amacıyla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3772"/>
        <w:gridCol w:w="4830"/>
      </w:tblGrid>
      <w:tr w:rsidR="003B155E" w:rsidRPr="00FF45DE" w14:paraId="383151FD" w14:textId="77777777" w:rsidTr="000D79D6">
        <w:trPr>
          <w:trHeight w:val="285"/>
          <w:tblHeader/>
        </w:trPr>
        <w:tc>
          <w:tcPr>
            <w:tcW w:w="254" w:type="pct"/>
          </w:tcPr>
          <w:p w14:paraId="46A464C6" w14:textId="77777777" w:rsidR="003B155E" w:rsidRPr="00FF45DE" w:rsidRDefault="003B155E" w:rsidP="000D79D6">
            <w:pPr>
              <w:ind w:left="74" w:right="74"/>
              <w:rPr>
                <w:rFonts w:ascii="Times New Roman" w:eastAsia="Times New Roman" w:hAnsi="Times New Roman" w:cs="Times New Roman"/>
                <w:lang w:val="tr"/>
              </w:rPr>
            </w:pPr>
          </w:p>
        </w:tc>
        <w:tc>
          <w:tcPr>
            <w:tcW w:w="2081" w:type="pct"/>
          </w:tcPr>
          <w:p w14:paraId="2BBAD978"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2665" w:type="pct"/>
          </w:tcPr>
          <w:p w14:paraId="3A35ACC2"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75085C03" w14:textId="77777777" w:rsidTr="000D79D6">
        <w:trPr>
          <w:trHeight w:val="457"/>
        </w:trPr>
        <w:tc>
          <w:tcPr>
            <w:tcW w:w="254" w:type="pct"/>
            <w:vMerge w:val="restart"/>
            <w:vAlign w:val="center"/>
          </w:tcPr>
          <w:p w14:paraId="572323A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081" w:type="pct"/>
            <w:vAlign w:val="center"/>
          </w:tcPr>
          <w:p w14:paraId="7A1AFE0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veya zorunlu havalandırma kullanılan aşağıdaki tekniklerden biri:</w:t>
            </w:r>
          </w:p>
        </w:tc>
        <w:tc>
          <w:tcPr>
            <w:tcW w:w="2665" w:type="pct"/>
            <w:vAlign w:val="center"/>
          </w:tcPr>
          <w:p w14:paraId="789130C1" w14:textId="77777777" w:rsidR="003B155E" w:rsidRPr="00FF45DE" w:rsidRDefault="003B155E" w:rsidP="000D79D6">
            <w:pPr>
              <w:ind w:left="74" w:right="74"/>
              <w:rPr>
                <w:rFonts w:ascii="Times New Roman" w:eastAsia="Times New Roman" w:hAnsi="Times New Roman" w:cs="Times New Roman"/>
                <w:lang w:val="en-GB"/>
              </w:rPr>
            </w:pPr>
          </w:p>
        </w:tc>
      </w:tr>
      <w:tr w:rsidR="003B155E" w:rsidRPr="00FF45DE" w14:paraId="2AFBA072" w14:textId="77777777" w:rsidTr="000D79D6">
        <w:trPr>
          <w:trHeight w:val="986"/>
        </w:trPr>
        <w:tc>
          <w:tcPr>
            <w:tcW w:w="254" w:type="pct"/>
            <w:vMerge/>
            <w:tcBorders>
              <w:top w:val="nil"/>
            </w:tcBorders>
            <w:vAlign w:val="center"/>
          </w:tcPr>
          <w:p w14:paraId="5CBEE1B0" w14:textId="77777777" w:rsidR="003B155E" w:rsidRPr="00FF45DE" w:rsidRDefault="003B155E" w:rsidP="000D79D6">
            <w:pPr>
              <w:ind w:left="74" w:right="74"/>
              <w:rPr>
                <w:rFonts w:ascii="Times New Roman" w:eastAsia="Calibri" w:hAnsi="Times New Roman" w:cs="Times New Roman"/>
              </w:rPr>
            </w:pPr>
          </w:p>
        </w:tc>
        <w:tc>
          <w:tcPr>
            <w:tcW w:w="2081" w:type="pct"/>
            <w:vAlign w:val="center"/>
          </w:tcPr>
          <w:p w14:paraId="21E50DDB" w14:textId="77777777" w:rsidR="003B155E" w:rsidRPr="00FF45DE" w:rsidRDefault="003B155E" w:rsidP="003B155E">
            <w:pPr>
              <w:numPr>
                <w:ilvl w:val="0"/>
                <w:numId w:val="192"/>
              </w:numPr>
              <w:ind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Sık altlık ekleme (derin altlıklı sert zemin veya latalı zeminle birlikte derin altlık olması durumunda)</w:t>
            </w:r>
          </w:p>
        </w:tc>
        <w:tc>
          <w:tcPr>
            <w:tcW w:w="2665" w:type="pct"/>
            <w:vAlign w:val="center"/>
          </w:tcPr>
          <w:p w14:paraId="6B515A2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Latalı zemin ile birlikte derin altlık kullanılan mevcut tesisler için uygulanabilirlik, mevcut yapının tasarımına bağlıdır.</w:t>
            </w:r>
          </w:p>
        </w:tc>
      </w:tr>
      <w:tr w:rsidR="003B155E" w:rsidRPr="00FF45DE" w14:paraId="65575174" w14:textId="77777777" w:rsidTr="000D79D6">
        <w:trPr>
          <w:trHeight w:val="457"/>
        </w:trPr>
        <w:tc>
          <w:tcPr>
            <w:tcW w:w="254" w:type="pct"/>
            <w:vMerge/>
            <w:tcBorders>
              <w:top w:val="nil"/>
            </w:tcBorders>
            <w:vAlign w:val="center"/>
          </w:tcPr>
          <w:p w14:paraId="12470404" w14:textId="77777777" w:rsidR="003B155E" w:rsidRPr="00FF45DE" w:rsidRDefault="003B155E" w:rsidP="000D79D6">
            <w:pPr>
              <w:ind w:left="74" w:right="74"/>
              <w:rPr>
                <w:rFonts w:ascii="Times New Roman" w:eastAsia="Calibri" w:hAnsi="Times New Roman" w:cs="Times New Roman"/>
              </w:rPr>
            </w:pPr>
          </w:p>
        </w:tc>
        <w:tc>
          <w:tcPr>
            <w:tcW w:w="2081" w:type="pct"/>
            <w:vAlign w:val="center"/>
          </w:tcPr>
          <w:p w14:paraId="4971D5AF" w14:textId="77777777" w:rsidR="003B155E" w:rsidRPr="00FF45DE" w:rsidRDefault="003B155E" w:rsidP="003B155E">
            <w:pPr>
              <w:numPr>
                <w:ilvl w:val="0"/>
                <w:numId w:val="192"/>
              </w:numPr>
              <w:ind w:right="74"/>
              <w:jc w:val="both"/>
              <w:rPr>
                <w:rFonts w:ascii="Times New Roman" w:eastAsia="Times New Roman" w:hAnsi="Times New Roman" w:cs="Times New Roman"/>
                <w:lang w:val="es-ES"/>
              </w:rPr>
            </w:pPr>
            <w:r w:rsidRPr="00FF45DE">
              <w:rPr>
                <w:rFonts w:ascii="Times New Roman" w:eastAsia="Times New Roman" w:hAnsi="Times New Roman" w:cs="Times New Roman"/>
                <w:lang w:val="tr"/>
              </w:rPr>
              <w:t>Sık gübre temizleme (tamamen latalı zemin olması durumunda)</w:t>
            </w:r>
          </w:p>
        </w:tc>
        <w:tc>
          <w:tcPr>
            <w:tcW w:w="2665" w:type="pct"/>
            <w:vAlign w:val="center"/>
          </w:tcPr>
          <w:p w14:paraId="2F1F7850"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 xml:space="preserve">Hijyenik nedenlerden dolayı sadece </w:t>
            </w:r>
            <w:r w:rsidRPr="0057675E">
              <w:rPr>
                <w:rFonts w:ascii="Times New Roman" w:eastAsia="Times New Roman" w:hAnsi="Times New Roman" w:cs="Times New Roman"/>
                <w:lang w:val="tr"/>
              </w:rPr>
              <w:t>Bahama/Muscovy/Amerikan</w:t>
            </w:r>
            <w:r w:rsidRPr="00FF45DE">
              <w:rPr>
                <w:rFonts w:ascii="Times New Roman" w:eastAsia="Times New Roman" w:hAnsi="Times New Roman" w:cs="Times New Roman"/>
                <w:lang w:val="tr"/>
              </w:rPr>
              <w:t xml:space="preserve"> ördeklerinin (</w:t>
            </w:r>
            <w:r w:rsidRPr="00FF45DE">
              <w:rPr>
                <w:rFonts w:ascii="Times New Roman" w:eastAsia="Times New Roman" w:hAnsi="Times New Roman" w:cs="Times New Roman"/>
                <w:i/>
                <w:lang w:val="tr"/>
              </w:rPr>
              <w:t>Cairina Moschata</w:t>
            </w:r>
            <w:r w:rsidRPr="00FF45DE">
              <w:rPr>
                <w:rFonts w:ascii="Times New Roman" w:eastAsia="Times New Roman" w:hAnsi="Times New Roman" w:cs="Times New Roman"/>
                <w:lang w:val="tr"/>
              </w:rPr>
              <w:t>) yetiştirilmesi için geçerlidir.</w:t>
            </w:r>
          </w:p>
        </w:tc>
      </w:tr>
      <w:tr w:rsidR="003B155E" w:rsidRPr="00FF45DE" w14:paraId="16ED7C87" w14:textId="77777777" w:rsidTr="000D79D6">
        <w:trPr>
          <w:trHeight w:val="1305"/>
        </w:trPr>
        <w:tc>
          <w:tcPr>
            <w:tcW w:w="254" w:type="pct"/>
            <w:vAlign w:val="center"/>
          </w:tcPr>
          <w:p w14:paraId="61DCB86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081" w:type="pct"/>
            <w:vAlign w:val="center"/>
          </w:tcPr>
          <w:p w14:paraId="6B9B9C3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Bir hava temizleme sisteminin kullanımı, örneğin:</w:t>
            </w:r>
          </w:p>
          <w:p w14:paraId="4BC4BE6D" w14:textId="77777777" w:rsidR="003B155E" w:rsidRPr="00FF45DE" w:rsidRDefault="003B155E" w:rsidP="003B155E">
            <w:pPr>
              <w:numPr>
                <w:ilvl w:val="0"/>
                <w:numId w:val="179"/>
              </w:numPr>
              <w:ind w:left="206"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Sulu asit</w:t>
            </w:r>
          </w:p>
          <w:p w14:paraId="55CA2A59" w14:textId="77777777" w:rsidR="003B155E" w:rsidRPr="00FF45DE" w:rsidRDefault="003B155E" w:rsidP="003B155E">
            <w:pPr>
              <w:numPr>
                <w:ilvl w:val="0"/>
                <w:numId w:val="179"/>
              </w:numPr>
              <w:ind w:left="206"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İki kademeli veya üç kademeli hava temizleme sistemi</w:t>
            </w:r>
          </w:p>
          <w:p w14:paraId="47C76E80" w14:textId="77777777" w:rsidR="003B155E" w:rsidRPr="00FF45DE" w:rsidRDefault="003B155E" w:rsidP="003B155E">
            <w:pPr>
              <w:numPr>
                <w:ilvl w:val="0"/>
                <w:numId w:val="179"/>
              </w:numPr>
              <w:ind w:left="206"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Biyoyıkayıcı (veya biyo-damlatmalı filtre).</w:t>
            </w:r>
          </w:p>
        </w:tc>
        <w:tc>
          <w:tcPr>
            <w:tcW w:w="2665" w:type="pct"/>
            <w:vAlign w:val="center"/>
          </w:tcPr>
          <w:p w14:paraId="48E6F9FE"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Yüksek uygulama maliyeti nedeniyle genel olarak uygulanmayabilir.</w:t>
            </w:r>
          </w:p>
          <w:p w14:paraId="601168C7"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Yalnızca merkezi bir havalandırma sisteminin kullanıldığı mevcut tesislerde uygulanabilir.</w:t>
            </w:r>
          </w:p>
        </w:tc>
      </w:tr>
    </w:tbl>
    <w:p w14:paraId="2FCEFF8A" w14:textId="77777777" w:rsidR="003B155E" w:rsidRPr="00EE5089" w:rsidRDefault="003B155E" w:rsidP="003B155E">
      <w:pPr>
        <w:keepNext/>
        <w:numPr>
          <w:ilvl w:val="3"/>
          <w:numId w:val="0"/>
        </w:numPr>
        <w:spacing w:before="240" w:after="120" w:line="360" w:lineRule="auto"/>
        <w:ind w:left="864" w:hanging="864"/>
        <w:jc w:val="both"/>
        <w:outlineLvl w:val="3"/>
        <w:rPr>
          <w:rFonts w:ascii="Times New Roman" w:eastAsia="Calibri" w:hAnsi="Times New Roman" w:cs="Calibri"/>
          <w:b/>
          <w:kern w:val="0"/>
          <w:sz w:val="24"/>
          <w:szCs w:val="28"/>
          <w14:ligatures w14:val="none"/>
        </w:rPr>
      </w:pPr>
      <w:bookmarkStart w:id="42" w:name="_Toc136614322"/>
      <w:r w:rsidRPr="00EE5089">
        <w:rPr>
          <w:rFonts w:ascii="Times New Roman" w:eastAsia="Calibri" w:hAnsi="Times New Roman" w:cs="Calibri"/>
          <w:b/>
          <w:bCs/>
          <w:kern w:val="0"/>
          <w:sz w:val="24"/>
          <w:szCs w:val="28"/>
          <w14:ligatures w14:val="none"/>
        </w:rPr>
        <w:t>Hindiler için Kümeslerden Kaynaklanan Amonyak Emisyonları</w:t>
      </w:r>
      <w:bookmarkEnd w:id="42"/>
    </w:p>
    <w:p w14:paraId="332E2953" w14:textId="77777777" w:rsidR="003B155E" w:rsidRPr="00EE5089" w:rsidRDefault="003B155E" w:rsidP="003B155E">
      <w:pPr>
        <w:spacing w:after="0" w:line="360" w:lineRule="auto"/>
        <w:jc w:val="both"/>
        <w:rPr>
          <w:rFonts w:ascii="Times New Roman" w:eastAsia="Calibri" w:hAnsi="Times New Roman" w:cs="Calibri"/>
          <w:bCs/>
          <w:kern w:val="0"/>
          <w:sz w:val="24"/>
          <w14:ligatures w14:val="none"/>
        </w:rPr>
      </w:pPr>
      <w:r w:rsidRPr="00EE5089">
        <w:rPr>
          <w:rFonts w:ascii="Times New Roman" w:eastAsia="Calibri" w:hAnsi="Times New Roman" w:cs="Calibri"/>
          <w:b/>
          <w:bCs/>
          <w:kern w:val="0"/>
          <w:sz w:val="24"/>
          <w14:ligatures w14:val="none"/>
        </w:rPr>
        <w:t xml:space="preserve">MET 34: </w:t>
      </w:r>
      <w:r w:rsidRPr="00EE5089">
        <w:rPr>
          <w:rFonts w:ascii="Times New Roman" w:eastAsia="Calibri" w:hAnsi="Times New Roman" w:cs="Calibri"/>
          <w:bCs/>
          <w:kern w:val="0"/>
          <w:sz w:val="24"/>
          <w14:ligatures w14:val="none"/>
        </w:rPr>
        <w:t>Hindiler için her kümesten havaya salınan amonyak emisyonlarının azaltılması amacıyla aşağıda verilen tekniklerin biri veya birkaçı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3772"/>
        <w:gridCol w:w="4830"/>
      </w:tblGrid>
      <w:tr w:rsidR="003B155E" w:rsidRPr="00FF45DE" w14:paraId="1E1D10DE" w14:textId="77777777" w:rsidTr="000D79D6">
        <w:trPr>
          <w:trHeight w:val="285"/>
          <w:tblHeader/>
        </w:trPr>
        <w:tc>
          <w:tcPr>
            <w:tcW w:w="254" w:type="pct"/>
          </w:tcPr>
          <w:p w14:paraId="0CF426FA" w14:textId="77777777" w:rsidR="003B155E" w:rsidRPr="00EE5089" w:rsidRDefault="003B155E" w:rsidP="000D79D6">
            <w:pPr>
              <w:ind w:left="74" w:right="74"/>
              <w:rPr>
                <w:rFonts w:ascii="Times New Roman" w:eastAsia="Times New Roman" w:hAnsi="Times New Roman" w:cs="Times New Roman"/>
                <w:lang w:val="tr-TR"/>
              </w:rPr>
            </w:pPr>
          </w:p>
        </w:tc>
        <w:tc>
          <w:tcPr>
            <w:tcW w:w="2081" w:type="pct"/>
          </w:tcPr>
          <w:p w14:paraId="0D8805C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 xml:space="preserve">Teknik </w:t>
            </w:r>
          </w:p>
        </w:tc>
        <w:tc>
          <w:tcPr>
            <w:tcW w:w="2665" w:type="pct"/>
          </w:tcPr>
          <w:p w14:paraId="3652B601"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Uygulanabilirlik</w:t>
            </w:r>
          </w:p>
        </w:tc>
      </w:tr>
      <w:tr w:rsidR="003B155E" w:rsidRPr="00FF45DE" w14:paraId="04BC95CE" w14:textId="77777777" w:rsidTr="000D79D6">
        <w:trPr>
          <w:trHeight w:val="1149"/>
        </w:trPr>
        <w:tc>
          <w:tcPr>
            <w:tcW w:w="254" w:type="pct"/>
            <w:vAlign w:val="center"/>
          </w:tcPr>
          <w:p w14:paraId="5C1CD99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a</w:t>
            </w:r>
          </w:p>
        </w:tc>
        <w:tc>
          <w:tcPr>
            <w:tcW w:w="2081" w:type="pct"/>
            <w:vAlign w:val="center"/>
          </w:tcPr>
          <w:p w14:paraId="59D4072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Sızdırmaz suluk sistemi ile doğal veya cebri havalandırma (derin altlıklı sert zemin durumunda)</w:t>
            </w:r>
          </w:p>
        </w:tc>
        <w:tc>
          <w:tcPr>
            <w:tcW w:w="2665" w:type="pct"/>
            <w:vAlign w:val="center"/>
          </w:tcPr>
          <w:p w14:paraId="3623AE86" w14:textId="77777777" w:rsidR="003B155E" w:rsidRPr="00FF45DE" w:rsidRDefault="003B155E" w:rsidP="000D79D6">
            <w:pPr>
              <w:ind w:left="74" w:right="74"/>
              <w:rPr>
                <w:rFonts w:ascii="Times New Roman" w:eastAsia="Times New Roman" w:hAnsi="Times New Roman" w:cs="Times New Roman"/>
                <w:lang w:val="sv-SE"/>
              </w:rPr>
            </w:pPr>
            <w:r w:rsidRPr="00FF45DE">
              <w:rPr>
                <w:rFonts w:ascii="Times New Roman" w:eastAsia="Times New Roman" w:hAnsi="Times New Roman" w:cs="Times New Roman"/>
                <w:lang w:val="tr"/>
              </w:rPr>
              <w:t>Doğal havalandırma, merkezi havalandırma sistemine sahip tesislerinde uygulanmaz.</w:t>
            </w:r>
          </w:p>
          <w:p w14:paraId="11EB2379" w14:textId="77777777" w:rsidR="003B155E" w:rsidRPr="00FF45DE" w:rsidRDefault="003B155E" w:rsidP="000D79D6">
            <w:pPr>
              <w:ind w:left="74" w:right="74"/>
              <w:rPr>
                <w:rFonts w:ascii="Times New Roman" w:eastAsia="Times New Roman" w:hAnsi="Times New Roman" w:cs="Times New Roman"/>
                <w:lang w:val="sv-SE"/>
              </w:rPr>
            </w:pPr>
            <w:r w:rsidRPr="00FF45DE">
              <w:rPr>
                <w:rFonts w:ascii="Times New Roman" w:eastAsia="Times New Roman" w:hAnsi="Times New Roman" w:cs="Times New Roman"/>
                <w:lang w:val="tr"/>
              </w:rPr>
              <w:t>Yetiştirmenin ilk aşamasında veya aşırı iklim koşullarından dolayı doğal havalandırma uygulanamayabilir.</w:t>
            </w:r>
          </w:p>
        </w:tc>
      </w:tr>
      <w:tr w:rsidR="003B155E" w:rsidRPr="00FF45DE" w14:paraId="280FF2F7" w14:textId="77777777" w:rsidTr="000D79D6">
        <w:trPr>
          <w:trHeight w:val="1190"/>
        </w:trPr>
        <w:tc>
          <w:tcPr>
            <w:tcW w:w="254" w:type="pct"/>
            <w:vAlign w:val="center"/>
          </w:tcPr>
          <w:p w14:paraId="51CB9FD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w w:val="99"/>
                <w:lang w:val="tr"/>
              </w:rPr>
              <w:t>b</w:t>
            </w:r>
          </w:p>
        </w:tc>
        <w:tc>
          <w:tcPr>
            <w:tcW w:w="2081" w:type="pct"/>
            <w:vAlign w:val="center"/>
          </w:tcPr>
          <w:p w14:paraId="0BBF775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Bir hava temizleme sisteminin kullanımı, örneğin:</w:t>
            </w:r>
          </w:p>
          <w:p w14:paraId="4B52DB1D" w14:textId="77777777" w:rsidR="003B155E" w:rsidRPr="00FF45DE" w:rsidRDefault="003B155E" w:rsidP="003B155E">
            <w:pPr>
              <w:numPr>
                <w:ilvl w:val="0"/>
                <w:numId w:val="179"/>
              </w:numPr>
              <w:ind w:left="206"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Sulu asit yıkayıcı</w:t>
            </w:r>
          </w:p>
          <w:p w14:paraId="44ACC772" w14:textId="77777777" w:rsidR="003B155E" w:rsidRPr="00FF45DE" w:rsidRDefault="003B155E" w:rsidP="003B155E">
            <w:pPr>
              <w:numPr>
                <w:ilvl w:val="0"/>
                <w:numId w:val="179"/>
              </w:numPr>
              <w:ind w:left="206"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İki kademeli veya üç kademeli hava temizleme sistemi</w:t>
            </w:r>
          </w:p>
          <w:p w14:paraId="336C2713" w14:textId="77777777" w:rsidR="003B155E" w:rsidRPr="00FF45DE" w:rsidRDefault="003B155E" w:rsidP="003B155E">
            <w:pPr>
              <w:numPr>
                <w:ilvl w:val="0"/>
                <w:numId w:val="179"/>
              </w:numPr>
              <w:ind w:left="206"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Biyoyıkayıcı (veya biyo-damlatmalı filtre).</w:t>
            </w:r>
          </w:p>
        </w:tc>
        <w:tc>
          <w:tcPr>
            <w:tcW w:w="2665" w:type="pct"/>
            <w:vAlign w:val="center"/>
          </w:tcPr>
          <w:p w14:paraId="5723C264"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Yüksek uygulama maliyeti nedeniyle genel olarak uygulanmayabilir.</w:t>
            </w:r>
          </w:p>
          <w:p w14:paraId="11E562E7"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Yalnızca merkezi bir havalandırma sisteminin kullanıldığı mevcut tesislerde uygulanabilir.</w:t>
            </w:r>
          </w:p>
        </w:tc>
      </w:tr>
    </w:tbl>
    <w:p w14:paraId="06E8A64E" w14:textId="77777777" w:rsidR="003B155E" w:rsidRPr="00EE5089" w:rsidRDefault="003B155E" w:rsidP="0096283A">
      <w:pPr>
        <w:keepNext/>
        <w:keepLines/>
        <w:spacing w:before="240" w:after="0" w:line="360" w:lineRule="auto"/>
        <w:ind w:left="432" w:hanging="432"/>
        <w:jc w:val="center"/>
        <w:outlineLvl w:val="0"/>
        <w:rPr>
          <w:rFonts w:ascii="Times New Roman" w:eastAsia="DengXian Light" w:hAnsi="Times New Roman" w:cs="Microsoft Uighur"/>
          <w:b/>
          <w:kern w:val="0"/>
          <w:sz w:val="24"/>
          <w:szCs w:val="32"/>
          <w14:ligatures w14:val="none"/>
        </w:rPr>
      </w:pPr>
      <w:bookmarkStart w:id="43" w:name="_Toc136614323"/>
      <w:r w:rsidRPr="00EE5089">
        <w:rPr>
          <w:rFonts w:ascii="Times New Roman" w:eastAsia="DengXian Light" w:hAnsi="Times New Roman" w:cs="Microsoft Uighur"/>
          <w:b/>
          <w:kern w:val="0"/>
          <w:sz w:val="24"/>
          <w:szCs w:val="32"/>
          <w14:ligatures w14:val="none"/>
        </w:rPr>
        <w:lastRenderedPageBreak/>
        <w:t>ENTANSİF</w:t>
      </w:r>
      <w:r>
        <w:rPr>
          <w:rFonts w:ascii="Times New Roman" w:eastAsia="DengXian Light" w:hAnsi="Times New Roman" w:cs="Microsoft Uighur"/>
          <w:b/>
          <w:kern w:val="0"/>
          <w:sz w:val="24"/>
          <w:szCs w:val="32"/>
          <w14:ligatures w14:val="none"/>
        </w:rPr>
        <w:t xml:space="preserve"> (YOĞUN)</w:t>
      </w:r>
      <w:r w:rsidRPr="00EE5089">
        <w:rPr>
          <w:rFonts w:ascii="Times New Roman" w:eastAsia="DengXian Light" w:hAnsi="Times New Roman" w:cs="Microsoft Uighur"/>
          <w:b/>
          <w:kern w:val="0"/>
          <w:sz w:val="24"/>
          <w:szCs w:val="32"/>
          <w14:ligatures w14:val="none"/>
        </w:rPr>
        <w:t xml:space="preserve"> KÜMES HAYVANI VEYA DOMUZ YETİŞTİRİCİLİĞİ SEKTÖRLERİNE YÖNELİK TEKNİKLERİN AÇIKLAMALARI</w:t>
      </w:r>
      <w:bookmarkEnd w:id="43"/>
    </w:p>
    <w:p w14:paraId="2640B722" w14:textId="77777777" w:rsidR="003B155E" w:rsidRPr="00EE5089" w:rsidRDefault="003B155E" w:rsidP="003B155E">
      <w:pPr>
        <w:keepNext/>
        <w:keepLines/>
        <w:numPr>
          <w:ilvl w:val="1"/>
          <w:numId w:val="0"/>
        </w:numPr>
        <w:spacing w:before="120" w:after="0" w:line="360" w:lineRule="auto"/>
        <w:ind w:left="666" w:hanging="576"/>
        <w:jc w:val="both"/>
        <w:outlineLvl w:val="1"/>
        <w:rPr>
          <w:rFonts w:ascii="Times New Roman" w:eastAsia="DengXian Light" w:hAnsi="Times New Roman" w:cs="Microsoft Uighur"/>
          <w:b/>
          <w:kern w:val="0"/>
          <w:sz w:val="24"/>
          <w:szCs w:val="26"/>
          <w14:ligatures w14:val="none"/>
        </w:rPr>
      </w:pPr>
      <w:bookmarkStart w:id="44" w:name="_Toc136614324"/>
      <w:r w:rsidRPr="00EE5089">
        <w:rPr>
          <w:rFonts w:ascii="Times New Roman" w:eastAsia="DengXian Light" w:hAnsi="Times New Roman" w:cs="Microsoft Uighur"/>
          <w:b/>
          <w:kern w:val="0"/>
          <w:sz w:val="24"/>
          <w:szCs w:val="26"/>
          <w14:ligatures w14:val="none"/>
        </w:rPr>
        <w:t>Atık Sudan Kaynaklanan Emisyonları Azaltma Teknikleri</w:t>
      </w:r>
      <w:bookmarkEnd w:id="44"/>
      <w:r w:rsidRPr="00EE5089">
        <w:rPr>
          <w:rFonts w:ascii="Times New Roman" w:eastAsia="DengXian Light" w:hAnsi="Times New Roman" w:cs="Microsoft Uighur"/>
          <w:b/>
          <w:kern w:val="0"/>
          <w:sz w:val="24"/>
          <w:szCs w:val="26"/>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8"/>
        <w:gridCol w:w="5894"/>
      </w:tblGrid>
      <w:tr w:rsidR="003B155E" w:rsidRPr="00FF45DE" w14:paraId="58F5730F" w14:textId="77777777" w:rsidTr="000D79D6">
        <w:trPr>
          <w:trHeight w:val="230"/>
          <w:tblHeader/>
        </w:trPr>
        <w:tc>
          <w:tcPr>
            <w:tcW w:w="1748" w:type="pct"/>
            <w:vAlign w:val="center"/>
          </w:tcPr>
          <w:p w14:paraId="1BBE610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252" w:type="pct"/>
            <w:vAlign w:val="center"/>
          </w:tcPr>
          <w:p w14:paraId="719E176C"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2AB51A6B" w14:textId="77777777" w:rsidTr="000D79D6">
        <w:trPr>
          <w:trHeight w:val="690"/>
        </w:trPr>
        <w:tc>
          <w:tcPr>
            <w:tcW w:w="1748" w:type="pct"/>
            <w:vAlign w:val="center"/>
          </w:tcPr>
          <w:p w14:paraId="5B4BE4C8"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Su kullanımının en aza indirilmesi</w:t>
            </w:r>
          </w:p>
        </w:tc>
        <w:tc>
          <w:tcPr>
            <w:tcW w:w="3252" w:type="pct"/>
            <w:vAlign w:val="center"/>
          </w:tcPr>
          <w:p w14:paraId="0994C0CC"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Ön temizleme (ör. mekanik kuru temizleme) ve yüksek basınçlı temizleme gibi teknikler kullanılarak atık su hacmi azaltılabilir.</w:t>
            </w:r>
          </w:p>
        </w:tc>
      </w:tr>
      <w:tr w:rsidR="003B155E" w:rsidRPr="00FF45DE" w14:paraId="4F949FE6" w14:textId="77777777" w:rsidTr="000D79D6">
        <w:trPr>
          <w:trHeight w:val="688"/>
        </w:trPr>
        <w:tc>
          <w:tcPr>
            <w:tcW w:w="1748" w:type="pct"/>
            <w:vAlign w:val="center"/>
          </w:tcPr>
          <w:p w14:paraId="00C33937" w14:textId="77777777" w:rsidR="003B155E" w:rsidRPr="00EE5089" w:rsidRDefault="003B155E" w:rsidP="000D79D6">
            <w:pPr>
              <w:tabs>
                <w:tab w:val="left" w:pos="829"/>
                <w:tab w:val="left" w:pos="1717"/>
                <w:tab w:val="left" w:pos="2295"/>
              </w:tabs>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Arıtılması gereken atık su akıntılarının yağmur suyundan ayrıştırılması</w:t>
            </w:r>
          </w:p>
        </w:tc>
        <w:tc>
          <w:tcPr>
            <w:tcW w:w="3252" w:type="pct"/>
            <w:vAlign w:val="center"/>
          </w:tcPr>
          <w:p w14:paraId="5C76AB40"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Ayrıştırma, uygun şekilde tasarlanmış ve bakımı yapılmış drenaj sistemleri şeklinde ayrı toplama uygulanarak gerçekleştirilir.</w:t>
            </w:r>
          </w:p>
        </w:tc>
      </w:tr>
      <w:tr w:rsidR="003B155E" w:rsidRPr="00FF45DE" w14:paraId="6B96681A" w14:textId="77777777" w:rsidTr="000D79D6">
        <w:trPr>
          <w:trHeight w:val="1149"/>
        </w:trPr>
        <w:tc>
          <w:tcPr>
            <w:tcW w:w="1748" w:type="pct"/>
            <w:vAlign w:val="center"/>
          </w:tcPr>
          <w:p w14:paraId="13C7243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Atık suyun arıtılması</w:t>
            </w:r>
          </w:p>
        </w:tc>
        <w:tc>
          <w:tcPr>
            <w:tcW w:w="3252" w:type="pct"/>
            <w:vAlign w:val="center"/>
          </w:tcPr>
          <w:p w14:paraId="59C4BD1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Arıtma, sedimantasyon ve/veya biyolojik arıtma ile gerçekleştirilebilir. Düşük kirletici yüke sahip atık sular için yağmur hendeği, göletler, yapay sulak alanlar, kuru drenaj çukurları vb. aracılığıyla arıtma yapılabilir. Biyolojik arıtmadan önce ayırma için bir ön yıkama sistemi kullanılabilir.</w:t>
            </w:r>
          </w:p>
        </w:tc>
      </w:tr>
      <w:tr w:rsidR="003B155E" w:rsidRPr="00FF45DE" w14:paraId="0D9607A4" w14:textId="77777777" w:rsidTr="000D79D6">
        <w:trPr>
          <w:trHeight w:val="1840"/>
        </w:trPr>
        <w:tc>
          <w:tcPr>
            <w:tcW w:w="1748" w:type="pct"/>
            <w:vAlign w:val="center"/>
          </w:tcPr>
          <w:p w14:paraId="0424A45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Örneğin püskürtücü gezici sulama sistemi, tanker, göbek enjektörü gibi bir sulama sistemi kullanılarak atık suyun araziye yayılması</w:t>
            </w:r>
          </w:p>
        </w:tc>
        <w:tc>
          <w:tcPr>
            <w:tcW w:w="3252" w:type="pct"/>
            <w:vAlign w:val="center"/>
          </w:tcPr>
          <w:p w14:paraId="0CC21B1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Atık su akışları, örneğin tanklarda veya havuzlarda, araziye yayılmadan önce çökeltilebilir. Ortaya çıkan katı parça ayrıca araziye yayılabilir. Su depolardan pompalanabilir ve suyu düşük bir uygulama hızında toprağa yayan bir sprinkler sistemine veya gezici irrigatöre giden bir boru hattına getirilebilir. Sulama, düşük bir yörünge (düşük serpme modeli) ve büyük damlacıklar sağlamak için kontrollü uygulamalı ekipman kullanılarak da gerçekleştirilebilir.</w:t>
            </w:r>
          </w:p>
        </w:tc>
      </w:tr>
    </w:tbl>
    <w:p w14:paraId="4FAFE097"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45" w:name="_Toc136614325"/>
      <w:r w:rsidRPr="00FF45DE">
        <w:rPr>
          <w:rFonts w:ascii="Times New Roman" w:eastAsia="DengXian Light" w:hAnsi="Times New Roman" w:cs="Microsoft Uighur"/>
          <w:b/>
          <w:kern w:val="0"/>
          <w:sz w:val="24"/>
          <w:szCs w:val="26"/>
          <w:lang w:val="en-US"/>
          <w14:ligatures w14:val="none"/>
        </w:rPr>
        <w:t>Enerjiyi Verimli Kullanma Teknikleri</w:t>
      </w:r>
      <w:bookmarkEnd w:id="45"/>
      <w:r w:rsidRPr="00FF45DE">
        <w:rPr>
          <w:rFonts w:ascii="Times New Roman" w:eastAsia="DengXian Light" w:hAnsi="Times New Roman" w:cs="Microsoft Uighur"/>
          <w:b/>
          <w:kern w:val="0"/>
          <w:sz w:val="24"/>
          <w:szCs w:val="26"/>
          <w:lang w:val="en-US"/>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42"/>
        <w:gridCol w:w="5720"/>
      </w:tblGrid>
      <w:tr w:rsidR="003B155E" w:rsidRPr="00FF45DE" w14:paraId="0A160D37" w14:textId="77777777" w:rsidTr="000D79D6">
        <w:trPr>
          <w:trHeight w:val="282"/>
          <w:tblHeader/>
        </w:trPr>
        <w:tc>
          <w:tcPr>
            <w:tcW w:w="1844" w:type="pct"/>
          </w:tcPr>
          <w:p w14:paraId="2947DBAC"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56" w:type="pct"/>
          </w:tcPr>
          <w:p w14:paraId="44C30EA8"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49D8291C" w14:textId="77777777" w:rsidTr="000D79D6">
        <w:trPr>
          <w:trHeight w:val="697"/>
        </w:trPr>
        <w:tc>
          <w:tcPr>
            <w:tcW w:w="1844" w:type="pct"/>
            <w:vAlign w:val="center"/>
          </w:tcPr>
          <w:p w14:paraId="0B05A3B7"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Özellikle hava temizleme sistemlerinin kullanıldığı yerlerde ısıtma/soğutma ve havalandırma sistemlerinin ve yönetiminin optimizasyonu</w:t>
            </w:r>
          </w:p>
        </w:tc>
        <w:tc>
          <w:tcPr>
            <w:tcW w:w="3156" w:type="pct"/>
            <w:vAlign w:val="center"/>
          </w:tcPr>
          <w:p w14:paraId="726667D0"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Bu, hayvan refahı gereksinimlerini (ör. hava kirleticilerin konsantrasyonu, uygun sıcaklıklar) dikkate alır ve aşağıdaki gibi çeşitli önlemlerle elde edilebilir:</w:t>
            </w:r>
          </w:p>
          <w:p w14:paraId="5DA98993" w14:textId="77777777" w:rsidR="003B155E" w:rsidRPr="00EE5089" w:rsidRDefault="003B155E" w:rsidP="003B155E">
            <w:pPr>
              <w:numPr>
                <w:ilvl w:val="0"/>
                <w:numId w:val="184"/>
              </w:numPr>
              <w:tabs>
                <w:tab w:val="left" w:pos="343"/>
              </w:tabs>
              <w:ind w:left="74" w:right="74"/>
              <w:jc w:val="both"/>
              <w:rPr>
                <w:rFonts w:ascii="Times New Roman" w:eastAsia="Times New Roman" w:hAnsi="Times New Roman" w:cs="Times New Roman"/>
                <w:lang w:val="tr-TR"/>
              </w:rPr>
            </w:pPr>
            <w:r w:rsidRPr="00FF45DE">
              <w:rPr>
                <w:rFonts w:ascii="Times New Roman" w:eastAsia="Times New Roman" w:hAnsi="Times New Roman" w:cs="Times New Roman"/>
                <w:lang w:val="tr"/>
              </w:rPr>
              <w:t>Hayvanlar için termal konfor bölgesini korurken hava akışının otomasyonu ve en aza indirilmesi</w:t>
            </w:r>
          </w:p>
          <w:p w14:paraId="4C0FC5B6" w14:textId="77777777" w:rsidR="003B155E" w:rsidRPr="00EE5089" w:rsidRDefault="003B155E" w:rsidP="003B155E">
            <w:pPr>
              <w:numPr>
                <w:ilvl w:val="0"/>
                <w:numId w:val="184"/>
              </w:numPr>
              <w:tabs>
                <w:tab w:val="left" w:pos="223"/>
              </w:tabs>
              <w:ind w:left="190" w:right="74" w:hanging="116"/>
              <w:jc w:val="both"/>
              <w:rPr>
                <w:rFonts w:ascii="Times New Roman" w:eastAsia="Times New Roman" w:hAnsi="Times New Roman" w:cs="Times New Roman"/>
                <w:lang w:val="tr-TR"/>
              </w:rPr>
            </w:pPr>
            <w:r w:rsidRPr="00FF45DE">
              <w:rPr>
                <w:rFonts w:ascii="Times New Roman" w:eastAsia="Times New Roman" w:hAnsi="Times New Roman" w:cs="Times New Roman"/>
                <w:lang w:val="tr"/>
              </w:rPr>
              <w:t>Mümkün olan en düşük özgül güç tüketimine sahip fanlar</w:t>
            </w:r>
          </w:p>
          <w:p w14:paraId="1420B3E2" w14:textId="77777777" w:rsidR="003B155E" w:rsidRPr="00EE5089" w:rsidRDefault="003B155E" w:rsidP="003B155E">
            <w:pPr>
              <w:numPr>
                <w:ilvl w:val="0"/>
                <w:numId w:val="184"/>
              </w:numPr>
              <w:tabs>
                <w:tab w:val="left" w:pos="223"/>
              </w:tabs>
              <w:ind w:left="190" w:right="74" w:hanging="116"/>
              <w:jc w:val="both"/>
              <w:rPr>
                <w:rFonts w:ascii="Times New Roman" w:eastAsia="Times New Roman" w:hAnsi="Times New Roman" w:cs="Times New Roman"/>
                <w:lang w:val="tr-TR"/>
              </w:rPr>
            </w:pPr>
            <w:r w:rsidRPr="00FF45DE">
              <w:rPr>
                <w:rFonts w:ascii="Times New Roman" w:eastAsia="Times New Roman" w:hAnsi="Times New Roman" w:cs="Times New Roman"/>
                <w:lang w:val="tr"/>
              </w:rPr>
              <w:t>Akış direncinin mümkün olduğunca düşük tutulması</w:t>
            </w:r>
          </w:p>
          <w:p w14:paraId="45A193A2" w14:textId="77777777" w:rsidR="003B155E" w:rsidRPr="00FF45DE" w:rsidRDefault="003B155E" w:rsidP="003B155E">
            <w:pPr>
              <w:numPr>
                <w:ilvl w:val="0"/>
                <w:numId w:val="184"/>
              </w:numPr>
              <w:tabs>
                <w:tab w:val="left" w:pos="223"/>
              </w:tabs>
              <w:ind w:left="190" w:right="74" w:hanging="116"/>
              <w:jc w:val="both"/>
              <w:rPr>
                <w:rFonts w:ascii="Times New Roman" w:eastAsia="Times New Roman" w:hAnsi="Times New Roman" w:cs="Times New Roman"/>
                <w:lang w:val="nl-NL"/>
              </w:rPr>
            </w:pPr>
            <w:r w:rsidRPr="00FF45DE">
              <w:rPr>
                <w:rFonts w:ascii="Times New Roman" w:eastAsia="Times New Roman" w:hAnsi="Times New Roman" w:cs="Times New Roman"/>
                <w:lang w:val="tr"/>
              </w:rPr>
              <w:t>Frekans konvertörleri ve elektronik olarak değiştirilmiş motorlar</w:t>
            </w:r>
          </w:p>
          <w:p w14:paraId="62A97FF9" w14:textId="77777777" w:rsidR="003B155E" w:rsidRPr="00FF45DE" w:rsidRDefault="003B155E" w:rsidP="000D79D6">
            <w:pPr>
              <w:tabs>
                <w:tab w:val="left" w:pos="355"/>
              </w:tabs>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 Barınaklardaki CO</w:t>
            </w:r>
            <w:r w:rsidRPr="00FF45DE">
              <w:rPr>
                <w:rFonts w:ascii="Times New Roman" w:eastAsia="Times New Roman" w:hAnsi="Times New Roman" w:cs="Times New Roman"/>
                <w:vertAlign w:val="subscript"/>
                <w:lang w:val="tr"/>
              </w:rPr>
              <w:t>2</w:t>
            </w:r>
            <w:r w:rsidRPr="00FF45DE">
              <w:rPr>
                <w:rFonts w:ascii="Times New Roman" w:eastAsia="Times New Roman" w:hAnsi="Times New Roman" w:cs="Times New Roman"/>
                <w:lang w:val="tr"/>
              </w:rPr>
              <w:t xml:space="preserve"> konsantrasyonuna göre kontrol edilen enerji tasarruflu fanlar</w:t>
            </w:r>
          </w:p>
          <w:p w14:paraId="1B9F504C" w14:textId="77777777" w:rsidR="003B155E" w:rsidRPr="00FF45DE" w:rsidRDefault="003B155E" w:rsidP="003B155E">
            <w:pPr>
              <w:numPr>
                <w:ilvl w:val="0"/>
                <w:numId w:val="184"/>
              </w:numPr>
              <w:tabs>
                <w:tab w:val="left" w:pos="348"/>
              </w:tabs>
              <w:ind w:left="74" w:right="74"/>
              <w:jc w:val="both"/>
              <w:rPr>
                <w:rFonts w:ascii="Times New Roman" w:eastAsia="Times New Roman" w:hAnsi="Times New Roman" w:cs="Times New Roman"/>
                <w:lang w:val="nl-NL"/>
              </w:rPr>
            </w:pPr>
            <w:r w:rsidRPr="00FF45DE">
              <w:rPr>
                <w:rFonts w:ascii="Times New Roman" w:eastAsia="Times New Roman" w:hAnsi="Times New Roman" w:cs="Times New Roman"/>
                <w:lang w:val="tr"/>
              </w:rPr>
              <w:t>Isıtma/soğutma ve havalandırma ekipmanlarının, sıcaklık sensörlerinin ve ayrı ısıtmalı alanların doğru dağılımı</w:t>
            </w:r>
          </w:p>
        </w:tc>
      </w:tr>
      <w:tr w:rsidR="003B155E" w:rsidRPr="00FF45DE" w14:paraId="123CC8A0" w14:textId="77777777" w:rsidTr="000D79D6">
        <w:trPr>
          <w:trHeight w:val="1610"/>
        </w:trPr>
        <w:tc>
          <w:tcPr>
            <w:tcW w:w="1844" w:type="pct"/>
            <w:vAlign w:val="center"/>
          </w:tcPr>
          <w:p w14:paraId="04ADE52D"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Barınak duvarlarına, zeminlerine ve/veya tavanlarına yalıtım yapılması</w:t>
            </w:r>
          </w:p>
        </w:tc>
        <w:tc>
          <w:tcPr>
            <w:tcW w:w="3156" w:type="pct"/>
            <w:vAlign w:val="center"/>
          </w:tcPr>
          <w:p w14:paraId="1E3DA63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Yalıtım malzemesi doğal olarak geçirimsiz olabilir veya geçirimsiz bir kaplama ile sağlanabilir. Nem, yalıtım malzemesinin bozulmasının ana nedeni olduğundan, geçirgen malzemeler bir buhar bariyeri ile sağlanır.</w:t>
            </w:r>
          </w:p>
          <w:p w14:paraId="3E1DA48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Kümes hayvanı çiftlikleri için yalıtım malzemesinin bir çeşidi, barınağı hava kaçağı ve nemden korumak için lamine plastik folyolardan oluşan ısı yansıtan membranlar olabilir.</w:t>
            </w:r>
          </w:p>
        </w:tc>
      </w:tr>
      <w:tr w:rsidR="003B155E" w:rsidRPr="00FF45DE" w14:paraId="70D80F18" w14:textId="77777777" w:rsidTr="000D79D6">
        <w:trPr>
          <w:trHeight w:val="407"/>
        </w:trPr>
        <w:tc>
          <w:tcPr>
            <w:tcW w:w="1844" w:type="pct"/>
            <w:vAlign w:val="center"/>
          </w:tcPr>
          <w:p w14:paraId="40E95AD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Enerji tasarruflu aydınlatma kullanımı</w:t>
            </w:r>
          </w:p>
        </w:tc>
        <w:tc>
          <w:tcPr>
            <w:tcW w:w="3156" w:type="pct"/>
            <w:vAlign w:val="center"/>
          </w:tcPr>
          <w:p w14:paraId="534EFD9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Daha fazla enerji verimli aydınlatma şu şekilde elde edilebilir:</w:t>
            </w:r>
          </w:p>
          <w:p w14:paraId="18626923" w14:textId="77777777" w:rsidR="003B155E" w:rsidRPr="00FF45DE" w:rsidRDefault="003B155E" w:rsidP="003B155E">
            <w:pPr>
              <w:numPr>
                <w:ilvl w:val="0"/>
                <w:numId w:val="184"/>
              </w:numPr>
              <w:tabs>
                <w:tab w:val="left" w:pos="550"/>
              </w:tabs>
              <w:ind w:left="31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Geleneksel akkor ampullerin veya diğer düşük verimli ampullerin; floresan, sodyum ve LED ışıklar gibi enerji açısından daha verimli ışıklarla değiştirilmesi</w:t>
            </w:r>
          </w:p>
          <w:p w14:paraId="126825CE" w14:textId="77777777" w:rsidR="003B155E" w:rsidRPr="00FF45DE" w:rsidRDefault="003B155E" w:rsidP="003B155E">
            <w:pPr>
              <w:numPr>
                <w:ilvl w:val="0"/>
                <w:numId w:val="184"/>
              </w:numPr>
              <w:tabs>
                <w:tab w:val="left" w:pos="550"/>
              </w:tabs>
              <w:ind w:left="31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Mikro flaşların frekansını ayarlamak için cihazların, yapay aydınlatmayı ayarlamak için karartıcıların, aydınlatmayı </w:t>
            </w:r>
            <w:r w:rsidRPr="00FF45DE">
              <w:rPr>
                <w:rFonts w:ascii="Times New Roman" w:eastAsia="Times New Roman" w:hAnsi="Times New Roman" w:cs="Times New Roman"/>
                <w:lang w:val="tr"/>
              </w:rPr>
              <w:lastRenderedPageBreak/>
              <w:t>kontrol etmek için sensörler veya lamba anahtarlarının kullanılması</w:t>
            </w:r>
          </w:p>
          <w:p w14:paraId="407F0B41" w14:textId="77777777" w:rsidR="003B155E" w:rsidRPr="00FF45DE" w:rsidRDefault="003B155E" w:rsidP="003B155E">
            <w:pPr>
              <w:numPr>
                <w:ilvl w:val="0"/>
                <w:numId w:val="184"/>
              </w:numPr>
              <w:tabs>
                <w:tab w:val="left" w:pos="550"/>
              </w:tabs>
              <w:ind w:left="31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Örneğin havalandırma delikleri veya çatı pencereleri kullanılarak daha fazla doğal ışığın girmesinin sağlanması Doğal ışık, potansiyel ısı kayıpları ile dengelenmelidir.</w:t>
            </w:r>
          </w:p>
          <w:p w14:paraId="64DF9806" w14:textId="77777777" w:rsidR="003B155E" w:rsidRPr="00FF45DE" w:rsidRDefault="003B155E" w:rsidP="003B155E">
            <w:pPr>
              <w:numPr>
                <w:ilvl w:val="0"/>
                <w:numId w:val="184"/>
              </w:numPr>
              <w:tabs>
                <w:tab w:val="left" w:pos="550"/>
              </w:tabs>
              <w:ind w:left="31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Değişken aydınlatma süreleri kullanarak aydınlatma</w:t>
            </w:r>
          </w:p>
        </w:tc>
      </w:tr>
      <w:tr w:rsidR="003B155E" w:rsidRPr="00FF45DE" w14:paraId="39CCF19C" w14:textId="77777777" w:rsidTr="000D79D6">
        <w:trPr>
          <w:trHeight w:val="2070"/>
        </w:trPr>
        <w:tc>
          <w:tcPr>
            <w:tcW w:w="1844" w:type="pct"/>
            <w:vAlign w:val="center"/>
          </w:tcPr>
          <w:p w14:paraId="2BC801A8"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lastRenderedPageBreak/>
              <w:t>Isı eşanjörlerinin kullanımı. Aşağıdaki sistemlerden biri kullanılabilir:</w:t>
            </w:r>
          </w:p>
          <w:p w14:paraId="32F46046" w14:textId="77777777" w:rsidR="003B155E" w:rsidRPr="00FF45DE" w:rsidRDefault="003B155E" w:rsidP="003B155E">
            <w:pPr>
              <w:numPr>
                <w:ilvl w:val="0"/>
                <w:numId w:val="183"/>
              </w:numPr>
              <w:tabs>
                <w:tab w:val="left" w:pos="223"/>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hava-hava</w:t>
            </w:r>
          </w:p>
          <w:p w14:paraId="641E39E4" w14:textId="77777777" w:rsidR="003B155E" w:rsidRPr="00FF45DE" w:rsidRDefault="003B155E" w:rsidP="003B155E">
            <w:pPr>
              <w:numPr>
                <w:ilvl w:val="0"/>
                <w:numId w:val="183"/>
              </w:numPr>
              <w:tabs>
                <w:tab w:val="left" w:pos="223"/>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hava-su</w:t>
            </w:r>
          </w:p>
          <w:p w14:paraId="769FBF35" w14:textId="77777777" w:rsidR="003B155E" w:rsidRPr="00FF45DE" w:rsidRDefault="003B155E" w:rsidP="003B155E">
            <w:pPr>
              <w:numPr>
                <w:ilvl w:val="0"/>
                <w:numId w:val="183"/>
              </w:numPr>
              <w:tabs>
                <w:tab w:val="left" w:pos="223"/>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hava-toprak</w:t>
            </w:r>
          </w:p>
        </w:tc>
        <w:tc>
          <w:tcPr>
            <w:tcW w:w="3156" w:type="pct"/>
            <w:vAlign w:val="center"/>
          </w:tcPr>
          <w:p w14:paraId="69775D3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Bir hava-hava ısı eşanjöründe; gelen hava, tesisten çıkan atık havadan ısıyı emer. Eloksallı alüminyum levhalardan veya PVC borulardan oluşabilir.</w:t>
            </w:r>
          </w:p>
          <w:p w14:paraId="23402F0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Hava-su ısı eşanjöründe su, egzoz kanallarında bulunan alüminyum kanatlardan akar ve egzoz havasından ısıyı alır.</w:t>
            </w:r>
          </w:p>
          <w:p w14:paraId="7059A2F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Hava-toprak ısı eşanjöründe, temiz hava gömülü borular (örneğin yaklaşık 2 metre derinlikte) aracılığıyla dolaştırılır ve toprağın düşük mevsimsel sıcaklık değişiminden yararlanılır. </w:t>
            </w:r>
          </w:p>
        </w:tc>
      </w:tr>
      <w:tr w:rsidR="003B155E" w:rsidRPr="00FF45DE" w14:paraId="1CC08E36" w14:textId="77777777" w:rsidTr="000D79D6">
        <w:trPr>
          <w:trHeight w:val="2071"/>
        </w:trPr>
        <w:tc>
          <w:tcPr>
            <w:tcW w:w="1844" w:type="pct"/>
            <w:vAlign w:val="center"/>
          </w:tcPr>
          <w:p w14:paraId="065DC37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Isı geri kazanımı için ısı pompalarının kullanımı</w:t>
            </w:r>
          </w:p>
        </w:tc>
        <w:tc>
          <w:tcPr>
            <w:tcW w:w="3156" w:type="pct"/>
            <w:vAlign w:val="center"/>
          </w:tcPr>
          <w:p w14:paraId="5620853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Isı, çeşitli ortamlardan (su, sulu gübre, toprak, hava vb.) emilir ve ters soğutma döngüsü prensibi kullanılarak kapalı bir devrede sirküle edilen bir sıvı aracılığıyla başka bir yere aktarılır. Isı, sterilize su üretmek veya bir ısıtma sistemini veya bir soğutma sistemini beslemek için kullanılabilir.</w:t>
            </w:r>
          </w:p>
          <w:p w14:paraId="38A493A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Bu teknik, sulu gübre soğutma sistemleri, jeotermal enerji, temizleme suyu, sulu gübre biyolojik arıtma reaktörleri veya biyogaz motorunun atık gazları gibi çeşitli devrelerden ısıyı emebilir.</w:t>
            </w:r>
          </w:p>
        </w:tc>
      </w:tr>
      <w:tr w:rsidR="003B155E" w:rsidRPr="00FF45DE" w14:paraId="37647E4E" w14:textId="77777777" w:rsidTr="000D79D6">
        <w:trPr>
          <w:trHeight w:val="2298"/>
        </w:trPr>
        <w:tc>
          <w:tcPr>
            <w:tcW w:w="1844" w:type="pct"/>
            <w:vAlign w:val="center"/>
          </w:tcPr>
          <w:p w14:paraId="221C77B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Isıtılmış ve soğutulmuş altlık zemin ile ısı geri kazanımı (combideck sistemi)</w:t>
            </w:r>
          </w:p>
        </w:tc>
        <w:tc>
          <w:tcPr>
            <w:tcW w:w="3156" w:type="pct"/>
            <w:vAlign w:val="center"/>
          </w:tcPr>
          <w:p w14:paraId="3929C05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Zeminin altına kapalı bir su devresi kurulur ve fazla ısıyı depolamak veya gerektiğinde kümese geri döndürmek için daha derin bir seviyeye bir tane daha yapılır. Bir ısı pompası iki su devresini birbirine bağlar.</w:t>
            </w:r>
          </w:p>
          <w:p w14:paraId="11C46BB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Yetiştirme döneminin başında, nem yoğuşmasını önleyerek altlığın kuru kalması için zemin depolanan ısı ile ısıtılır. İkinci yetiştirme döngüsü sırasında, kuşlar zemini soğuturken depolama devresinde korunan bir ısı fazlası üretirler ve bu da mikrobiyal aktiviteyi azaltarak ürik asidin parçalanmasını azaltır.</w:t>
            </w:r>
          </w:p>
        </w:tc>
      </w:tr>
      <w:tr w:rsidR="003B155E" w:rsidRPr="00FF45DE" w14:paraId="536EB23C" w14:textId="77777777" w:rsidTr="000D79D6">
        <w:trPr>
          <w:trHeight w:val="1380"/>
        </w:trPr>
        <w:tc>
          <w:tcPr>
            <w:tcW w:w="1844" w:type="pct"/>
            <w:vAlign w:val="center"/>
          </w:tcPr>
          <w:p w14:paraId="254E4CBB"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havalandırma uygulanması</w:t>
            </w:r>
          </w:p>
        </w:tc>
        <w:tc>
          <w:tcPr>
            <w:tcW w:w="3156" w:type="pct"/>
            <w:vAlign w:val="center"/>
          </w:tcPr>
          <w:p w14:paraId="47E265F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Hayvan barınağında serbest havalandırma, termal etkiler ve/veya rüzgar akışıyla oluşur. Hayvan barınaklarında, yan duvarlarda kontrol edilebilir açıklıklara ek olarak mahyada ve gerekirse üçgen kenarlarda da açıklıklar olabilir. Açıklıklar rüzgar koruma ağları ile donatılabilir. Fan yardımı sıcak havalarda kullanılabilir.</w:t>
            </w:r>
          </w:p>
        </w:tc>
      </w:tr>
    </w:tbl>
    <w:p w14:paraId="58B88B27"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46" w:name="_Toc136614326"/>
      <w:r w:rsidRPr="00FF45DE">
        <w:rPr>
          <w:rFonts w:ascii="Times New Roman" w:eastAsia="DengXian Light" w:hAnsi="Times New Roman" w:cs="Microsoft Uighur"/>
          <w:b/>
          <w:kern w:val="0"/>
          <w:sz w:val="24"/>
          <w:szCs w:val="26"/>
          <w:lang w:val="en-US"/>
          <w14:ligatures w14:val="none"/>
        </w:rPr>
        <w:t>Toz Emisyonlarını Azaltma Teknikleri</w:t>
      </w:r>
      <w:bookmarkEnd w:id="46"/>
      <w:r w:rsidRPr="00FF45DE">
        <w:rPr>
          <w:rFonts w:ascii="Times New Roman" w:eastAsia="DengXian Light" w:hAnsi="Times New Roman" w:cs="Microsoft Uighur"/>
          <w:b/>
          <w:kern w:val="0"/>
          <w:sz w:val="24"/>
          <w:szCs w:val="26"/>
          <w:lang w:val="en-US"/>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6"/>
        <w:gridCol w:w="5666"/>
      </w:tblGrid>
      <w:tr w:rsidR="003B155E" w:rsidRPr="00FF45DE" w14:paraId="5743E589" w14:textId="77777777" w:rsidTr="00C32559">
        <w:trPr>
          <w:trHeight w:val="282"/>
          <w:tblHeader/>
        </w:trPr>
        <w:tc>
          <w:tcPr>
            <w:tcW w:w="1874" w:type="pct"/>
          </w:tcPr>
          <w:p w14:paraId="3ABF2B7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26" w:type="pct"/>
          </w:tcPr>
          <w:p w14:paraId="52F334F8"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0C2674C8" w14:textId="77777777" w:rsidTr="00C32559">
        <w:trPr>
          <w:trHeight w:val="921"/>
        </w:trPr>
        <w:tc>
          <w:tcPr>
            <w:tcW w:w="1874" w:type="pct"/>
            <w:vAlign w:val="center"/>
          </w:tcPr>
          <w:p w14:paraId="62C991A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 spreyi</w:t>
            </w:r>
          </w:p>
        </w:tc>
        <w:tc>
          <w:tcPr>
            <w:tcW w:w="3126" w:type="pct"/>
            <w:vAlign w:val="center"/>
          </w:tcPr>
          <w:p w14:paraId="69E4DE0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 ısıyı emen ve yerçekimi ile zemine düşen ince damlacıklar üretmek için yüksek basınçta nozullar tarafından püskürtülür ve düşecek kadar ağır hale gelen toz parçacıklarını da nemlendirir. Islak veya nemli altlıktan kaçınılmalıdır.</w:t>
            </w:r>
          </w:p>
        </w:tc>
      </w:tr>
      <w:tr w:rsidR="003B155E" w:rsidRPr="00FF45DE" w14:paraId="6E79D9A4" w14:textId="77777777" w:rsidTr="00C32559">
        <w:trPr>
          <w:trHeight w:val="918"/>
        </w:trPr>
        <w:tc>
          <w:tcPr>
            <w:tcW w:w="1874" w:type="pct"/>
            <w:vAlign w:val="center"/>
          </w:tcPr>
          <w:p w14:paraId="3A5AE60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İyonlaşma</w:t>
            </w:r>
          </w:p>
        </w:tc>
        <w:tc>
          <w:tcPr>
            <w:tcW w:w="3126" w:type="pct"/>
            <w:vAlign w:val="center"/>
          </w:tcPr>
          <w:p w14:paraId="4C36D44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Negatif iyonlar üretmek için barınakta bir elektrostatik alan oluşturulur. Dolaşan havadaki toz parçacıkları, serbest negatif iyonlar tarafından yüklenir; parçacıklar, yerçekimi kuvveti ve elektrostatik alan çekimi ile zemin ve oda yüzeylerinde toplanır.</w:t>
            </w:r>
          </w:p>
        </w:tc>
      </w:tr>
      <w:tr w:rsidR="003B155E" w:rsidRPr="00FF45DE" w14:paraId="4207ED29" w14:textId="77777777" w:rsidTr="00C32559">
        <w:trPr>
          <w:trHeight w:val="1149"/>
        </w:trPr>
        <w:tc>
          <w:tcPr>
            <w:tcW w:w="1874" w:type="pct"/>
            <w:vAlign w:val="center"/>
          </w:tcPr>
          <w:p w14:paraId="539F577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lastRenderedPageBreak/>
              <w:t>Yağ püskürtme</w:t>
            </w:r>
          </w:p>
        </w:tc>
        <w:tc>
          <w:tcPr>
            <w:tcW w:w="3126" w:type="pct"/>
            <w:vAlign w:val="center"/>
          </w:tcPr>
          <w:p w14:paraId="22EB903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Saf bitkisel yağ, barınağın içindeki nozüller tarafından püskürtülür. Püskürtme için su ve yaklaşık %3 bitkisel yağ karışımı da kullanılabilir. Dolaşan toz partikülleri yağ damlacıklarına bağlanır ve altlıkta toplanır. Toz emisyonlarını önlemek için altlığın üzerine ince bir tabaka bitkisel yağ da sürülür. Islak veya nemli altlıktan kaçınılmalıdır.</w:t>
            </w:r>
          </w:p>
        </w:tc>
      </w:tr>
    </w:tbl>
    <w:p w14:paraId="452228AB"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47" w:name="_Toc136614327"/>
      <w:r w:rsidRPr="00FF45DE">
        <w:rPr>
          <w:rFonts w:ascii="Times New Roman" w:eastAsia="DengXian Light" w:hAnsi="Times New Roman" w:cs="Microsoft Uighur"/>
          <w:b/>
          <w:kern w:val="0"/>
          <w:sz w:val="24"/>
          <w:szCs w:val="26"/>
          <w:lang w:val="en-US"/>
          <w14:ligatures w14:val="none"/>
        </w:rPr>
        <w:t>Koku Emisyonlarını Azaltma Teknikleri</w:t>
      </w:r>
      <w:bookmarkEnd w:id="47"/>
      <w:r w:rsidRPr="00FF45DE">
        <w:rPr>
          <w:rFonts w:ascii="Times New Roman" w:eastAsia="DengXian Light" w:hAnsi="Times New Roman" w:cs="Microsoft Uighur"/>
          <w:b/>
          <w:kern w:val="0"/>
          <w:sz w:val="24"/>
          <w:szCs w:val="26"/>
          <w:lang w:val="en-US"/>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6"/>
        <w:gridCol w:w="5666"/>
      </w:tblGrid>
      <w:tr w:rsidR="003B155E" w:rsidRPr="00FF45DE" w14:paraId="1BB5601A" w14:textId="77777777" w:rsidTr="00C32559">
        <w:trPr>
          <w:trHeight w:val="230"/>
        </w:trPr>
        <w:tc>
          <w:tcPr>
            <w:tcW w:w="1874" w:type="pct"/>
          </w:tcPr>
          <w:p w14:paraId="4A7EFBB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26" w:type="pct"/>
          </w:tcPr>
          <w:p w14:paraId="048C76C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6C6DBC83" w14:textId="77777777" w:rsidTr="00C32559">
        <w:trPr>
          <w:trHeight w:val="1149"/>
        </w:trPr>
        <w:tc>
          <w:tcPr>
            <w:tcW w:w="1874" w:type="pct"/>
            <w:vAlign w:val="center"/>
          </w:tcPr>
          <w:p w14:paraId="18347494"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Tesis/çiftlik ile hassas alıcılar arasında yeterli mesafe olmasının sağlanması</w:t>
            </w:r>
          </w:p>
        </w:tc>
        <w:tc>
          <w:tcPr>
            <w:tcW w:w="3126" w:type="pct"/>
            <w:vAlign w:val="center"/>
          </w:tcPr>
          <w:p w14:paraId="2F690EE9"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Tesisin/çiftliğin planlama aşamasında, tesis/çiftlik ile hassas alıcılar arasında yeterli mesafeler, minimum standart mesafeler uygulanarak veya çevredeki alanlardaki koku konsantrasyonunu tahmin etmek/simüle etmek için dağılım modellemesi yapılarak sağlanır.</w:t>
            </w:r>
          </w:p>
        </w:tc>
      </w:tr>
    </w:tbl>
    <w:p w14:paraId="48E5CC73"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48" w:name="_Toc136614328"/>
      <w:r w:rsidRPr="00EE5089">
        <w:rPr>
          <w:rFonts w:ascii="Times New Roman" w:eastAsia="DengXian Light" w:hAnsi="Times New Roman" w:cs="Microsoft Uighur"/>
          <w:b/>
          <w:kern w:val="0"/>
          <w:sz w:val="24"/>
          <w:szCs w:val="26"/>
          <w14:ligatures w14:val="none"/>
        </w:rPr>
        <w:t>Katı Gübrenin Depolanmasından Kaynaklanan Emisyonları Azaltma Teknikleri</w:t>
      </w:r>
      <w:bookmarkEnd w:id="48"/>
      <w:r w:rsidRPr="00EE5089">
        <w:rPr>
          <w:rFonts w:ascii="Times New Roman" w:eastAsia="DengXian Light" w:hAnsi="Times New Roman" w:cs="Microsoft Uighur"/>
          <w:b/>
          <w:kern w:val="0"/>
          <w:sz w:val="24"/>
          <w:szCs w:val="26"/>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07A7E21E" w14:textId="77777777" w:rsidTr="000D79D6">
        <w:trPr>
          <w:trHeight w:val="230"/>
          <w:tblHeader/>
        </w:trPr>
        <w:tc>
          <w:tcPr>
            <w:tcW w:w="1817" w:type="pct"/>
          </w:tcPr>
          <w:p w14:paraId="32E1301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tcPr>
          <w:p w14:paraId="03FFCEA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07ADB227" w14:textId="77777777" w:rsidTr="000D79D6">
        <w:trPr>
          <w:trHeight w:val="1610"/>
        </w:trPr>
        <w:tc>
          <w:tcPr>
            <w:tcW w:w="1817" w:type="pct"/>
            <w:vAlign w:val="center"/>
          </w:tcPr>
          <w:p w14:paraId="4E9A5FA1"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Kurutulmuş katı gübrenin bir ahırda saklanması</w:t>
            </w:r>
          </w:p>
        </w:tc>
        <w:tc>
          <w:tcPr>
            <w:tcW w:w="3183" w:type="pct"/>
            <w:vAlign w:val="center"/>
          </w:tcPr>
          <w:p w14:paraId="13538F50"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Ahır genellikle geçirimsiz bir zemine ve çatıya sahip, anaerobik koşulları önlemek için yeterli havalandırmaya ve nakliye için bir erişim kapısına sahip basit bir yapıdır. Kurutulmuş kümes hayvanı gübresi (ör. broiler piliçlerden ve yumurta tavuklarından gelen altlık, bantlarda toplanan havayla kurutulmuş yumurta tavuğu dışkısı), bantlar veya önden yükleyicilerle kümesten ahıra taşınır ve buradan yeniden nemlenme riski olmaksızın uzun süre sorunsuz bir şekilde depolanabilir.</w:t>
            </w:r>
          </w:p>
        </w:tc>
      </w:tr>
      <w:tr w:rsidR="003B155E" w:rsidRPr="00FF45DE" w14:paraId="6A3454D5" w14:textId="77777777" w:rsidTr="000D79D6">
        <w:trPr>
          <w:trHeight w:val="1379"/>
        </w:trPr>
        <w:tc>
          <w:tcPr>
            <w:tcW w:w="1817" w:type="pct"/>
            <w:vAlign w:val="center"/>
          </w:tcPr>
          <w:p w14:paraId="2D983D9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Depolama için beton bir silo kullanılması</w:t>
            </w:r>
          </w:p>
        </w:tc>
        <w:tc>
          <w:tcPr>
            <w:tcW w:w="3183" w:type="pct"/>
            <w:vAlign w:val="center"/>
          </w:tcPr>
          <w:p w14:paraId="447F7EE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Üç tarafı duvarlarla ve örneğin gübre platformu üzerinde çatı kaplaması, UV-stabilize plastik vb. ile birleştirilebilen su geçirmez betondan bir temel tabakası. Zemin ön drenaj oluğuna doğru eğimlidir (örneğin %2). Yağış nedeniyle oluşan sıvı fraksiyonlar ve herhangi bir akış, sızdırmaz bir beton çukurda toplanır ve daha sonra işlenir.</w:t>
            </w:r>
          </w:p>
        </w:tc>
      </w:tr>
      <w:tr w:rsidR="003B155E" w:rsidRPr="00FF45DE" w14:paraId="30287EEB" w14:textId="77777777" w:rsidTr="000D79D6">
        <w:trPr>
          <w:trHeight w:val="918"/>
        </w:trPr>
        <w:tc>
          <w:tcPr>
            <w:tcW w:w="1817" w:type="pct"/>
            <w:vAlign w:val="center"/>
          </w:tcPr>
          <w:p w14:paraId="74A76550"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Katı gübrenin bir drenaj sistemi ve akış için bir toplama tankı ile donatılmış, sağlam, geçirimsiz zemin üzerinde depolanması</w:t>
            </w:r>
          </w:p>
        </w:tc>
        <w:tc>
          <w:tcPr>
            <w:tcW w:w="3183" w:type="pct"/>
            <w:vAlign w:val="center"/>
          </w:tcPr>
          <w:p w14:paraId="54E6AA8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Depo; sert, geçirimsiz bir zemin, drenaj gibi bir drenaj sistemi ile donatılır ve sıvı kısmın ve yağmur nedeniyle oluşan herhangi bir akışın toplanması için bir tanka bağlanır.</w:t>
            </w:r>
          </w:p>
        </w:tc>
      </w:tr>
      <w:tr w:rsidR="003B155E" w:rsidRPr="00FF45DE" w14:paraId="77C50000" w14:textId="77777777" w:rsidTr="000D79D6">
        <w:trPr>
          <w:trHeight w:val="427"/>
        </w:trPr>
        <w:tc>
          <w:tcPr>
            <w:tcW w:w="1817" w:type="pct"/>
            <w:vAlign w:val="center"/>
          </w:tcPr>
          <w:p w14:paraId="1C99C59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Gübrenin araziye yayılmasının mümkün olmadığı dönemlerde gübreyi tutmak için yeterli kapasiteye sahip bir depolama tesisinin seçilmesi</w:t>
            </w:r>
          </w:p>
        </w:tc>
        <w:tc>
          <w:tcPr>
            <w:tcW w:w="3183" w:type="pct"/>
            <w:vAlign w:val="center"/>
          </w:tcPr>
          <w:p w14:paraId="523E82AE"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Gübrenin araziye yayılmasına izin verilen dönemler, yerel iklim koşullarına ve mevzuata vb. bağlıdır. Dolayısıyla uygun kapasitede bir depolama alanı gerektirir.</w:t>
            </w:r>
          </w:p>
          <w:p w14:paraId="43282FF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Mevcut kapasite aynı zamanda arazi yayma süresinin mahsulün azot gereksinimlerine göre ayarlanmasına da izin verir.</w:t>
            </w:r>
          </w:p>
        </w:tc>
      </w:tr>
      <w:tr w:rsidR="003B155E" w:rsidRPr="00FF45DE" w14:paraId="50B68839" w14:textId="77777777" w:rsidTr="000D79D6">
        <w:trPr>
          <w:trHeight w:val="1151"/>
        </w:trPr>
        <w:tc>
          <w:tcPr>
            <w:tcW w:w="1817" w:type="pct"/>
            <w:vAlign w:val="center"/>
          </w:tcPr>
          <w:p w14:paraId="5B9E081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Katı gübrenin, sıvı akışın girebileceği yüzey ve/veya yer altı su yollarından uzağa yerleştirilmiş tarla yığını olarak depolanması</w:t>
            </w:r>
          </w:p>
        </w:tc>
        <w:tc>
          <w:tcPr>
            <w:tcW w:w="3183" w:type="pct"/>
            <w:vAlign w:val="center"/>
          </w:tcPr>
          <w:p w14:paraId="58A86EF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Katı gübre, sınırlı bir süre boyunca (ör. birkaç gün veya birkaç hafta) araziye yayılmadan önce doğrudan tarladaki toprağın üzerine istiflenir. Depolama yeri en az her yıl değiştirilir ve mümkün olduğu kadar yüzey ve yeraltı sularından uzağa yerleştirilir.</w:t>
            </w:r>
          </w:p>
        </w:tc>
      </w:tr>
      <w:tr w:rsidR="003B155E" w:rsidRPr="00FF45DE" w14:paraId="4011C652" w14:textId="77777777" w:rsidTr="000D79D6">
        <w:trPr>
          <w:trHeight w:val="688"/>
        </w:trPr>
        <w:tc>
          <w:tcPr>
            <w:tcW w:w="1817" w:type="pct"/>
            <w:vAlign w:val="center"/>
          </w:tcPr>
          <w:p w14:paraId="0594C1E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Yayılan yüzey alanı ile gübre yığınının hacmi arasındaki oranının azaltılması</w:t>
            </w:r>
          </w:p>
        </w:tc>
        <w:tc>
          <w:tcPr>
            <w:tcW w:w="3183" w:type="pct"/>
            <w:vAlign w:val="center"/>
          </w:tcPr>
          <w:p w14:paraId="36DFBAE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sıkıştırılabilir veya üç taraflı bir duvar deposu kullanılabilir.</w:t>
            </w:r>
          </w:p>
        </w:tc>
      </w:tr>
      <w:tr w:rsidR="003B155E" w:rsidRPr="00FF45DE" w14:paraId="38C305E6" w14:textId="77777777" w:rsidTr="000D79D6">
        <w:trPr>
          <w:trHeight w:val="921"/>
        </w:trPr>
        <w:tc>
          <w:tcPr>
            <w:tcW w:w="1817" w:type="pct"/>
            <w:vAlign w:val="center"/>
          </w:tcPr>
          <w:p w14:paraId="04F21D8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lastRenderedPageBreak/>
              <w:t>Katı gübre yığınlarının örtülmesi</w:t>
            </w:r>
          </w:p>
        </w:tc>
        <w:tc>
          <w:tcPr>
            <w:tcW w:w="3183" w:type="pct"/>
            <w:vAlign w:val="center"/>
          </w:tcPr>
          <w:p w14:paraId="57642A9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UV ile stabilize edilmiş plastik örtüler, turba, talaş tozu veya tahta kıymık gibi malzemeler kullanılabilir. Sıkı örtüler, gübre yığınındaki hava değişimini ve aerobik ayrışmayı azaltarak havaya emisyonların azalmasına neden olur.</w:t>
            </w:r>
          </w:p>
        </w:tc>
      </w:tr>
    </w:tbl>
    <w:p w14:paraId="2CC62BFC" w14:textId="77777777" w:rsidR="003B155E" w:rsidRPr="00FF45DE" w:rsidRDefault="003B155E" w:rsidP="0096283A">
      <w:pPr>
        <w:keepNext/>
        <w:keepLines/>
        <w:numPr>
          <w:ilvl w:val="1"/>
          <w:numId w:val="0"/>
        </w:numPr>
        <w:spacing w:before="120" w:after="60" w:line="360" w:lineRule="auto"/>
        <w:ind w:left="666" w:hanging="576"/>
        <w:jc w:val="center"/>
        <w:outlineLvl w:val="1"/>
        <w:rPr>
          <w:rFonts w:ascii="Times New Roman" w:eastAsia="DengXian Light" w:hAnsi="Times New Roman" w:cs="Microsoft Uighur"/>
          <w:b/>
          <w:kern w:val="0"/>
          <w:sz w:val="24"/>
          <w:szCs w:val="26"/>
          <w:lang w:val="tr"/>
          <w14:ligatures w14:val="none"/>
        </w:rPr>
      </w:pPr>
      <w:bookmarkStart w:id="49" w:name="_Toc136614329"/>
      <w:r w:rsidRPr="00FF45DE">
        <w:rPr>
          <w:rFonts w:ascii="Times New Roman" w:eastAsia="DengXian Light" w:hAnsi="Times New Roman" w:cs="Microsoft Uighur"/>
          <w:b/>
          <w:kern w:val="0"/>
          <w:sz w:val="24"/>
          <w:szCs w:val="26"/>
          <w:lang w:val="tr"/>
          <w14:ligatures w14:val="none"/>
        </w:rPr>
        <w:t>Sulu Gübre Depolamadan Kaynaklanan Emisyonları Azaltma Teknikleri</w:t>
      </w:r>
      <w:bookmarkEnd w:id="49"/>
    </w:p>
    <w:p w14:paraId="49923DCF" w14:textId="71FC3829" w:rsidR="003B155E" w:rsidRPr="00FF45DE" w:rsidRDefault="003B155E" w:rsidP="0096283A">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tr"/>
          <w14:ligatures w14:val="none"/>
        </w:rPr>
      </w:pPr>
      <w:bookmarkStart w:id="50" w:name="_Toc136614330"/>
      <w:r w:rsidRPr="00FF45DE">
        <w:rPr>
          <w:rFonts w:ascii="Times New Roman" w:eastAsia="DengXian Light" w:hAnsi="Times New Roman" w:cs="Microsoft Uighur"/>
          <w:b/>
          <w:kern w:val="0"/>
          <w:sz w:val="24"/>
          <w:szCs w:val="24"/>
          <w:lang w:val="tr"/>
          <w14:ligatures w14:val="none"/>
        </w:rPr>
        <w:t>Sulu Gübre Depolarından ve Toprağa Gömülmüş Depolamadan Kaynaklanan Amonyak</w:t>
      </w:r>
      <w:r w:rsidR="0096283A">
        <w:rPr>
          <w:rFonts w:ascii="Times New Roman" w:eastAsia="DengXian Light" w:hAnsi="Times New Roman" w:cs="Microsoft Uighur"/>
          <w:b/>
          <w:kern w:val="0"/>
          <w:sz w:val="24"/>
          <w:szCs w:val="24"/>
          <w:lang w:val="tr"/>
          <w14:ligatures w14:val="none"/>
        </w:rPr>
        <w:t xml:space="preserve"> </w:t>
      </w:r>
      <w:r w:rsidRPr="00FF45DE">
        <w:rPr>
          <w:rFonts w:ascii="Times New Roman" w:eastAsia="DengXian Light" w:hAnsi="Times New Roman" w:cs="Microsoft Uighur"/>
          <w:b/>
          <w:kern w:val="0"/>
          <w:sz w:val="24"/>
          <w:szCs w:val="24"/>
          <w:lang w:val="tr"/>
          <w14:ligatures w14:val="none"/>
        </w:rPr>
        <w:t>Emisyonlarını Azaltma Teknikleri</w:t>
      </w:r>
      <w:bookmarkEnd w:id="50"/>
      <w:r w:rsidRPr="00FF45DE">
        <w:rPr>
          <w:rFonts w:ascii="Times New Roman" w:eastAsia="DengXian Light" w:hAnsi="Times New Roman" w:cs="Microsoft Uighur"/>
          <w:b/>
          <w:kern w:val="0"/>
          <w:sz w:val="24"/>
          <w:szCs w:val="24"/>
          <w:lang w:val="tr"/>
          <w14:ligatures w14:val="none"/>
        </w:rPr>
        <w:t>nin Tanımları</w:t>
      </w:r>
    </w:p>
    <w:tbl>
      <w:tblPr>
        <w:tblStyle w:val="TableNormal0"/>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5811"/>
      </w:tblGrid>
      <w:tr w:rsidR="003B155E" w:rsidRPr="00FF45DE" w14:paraId="2D78B563" w14:textId="77777777" w:rsidTr="000D79D6">
        <w:trPr>
          <w:trHeight w:val="282"/>
          <w:tblHeader/>
        </w:trPr>
        <w:tc>
          <w:tcPr>
            <w:tcW w:w="3261" w:type="dxa"/>
          </w:tcPr>
          <w:p w14:paraId="0A5A112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5811" w:type="dxa"/>
          </w:tcPr>
          <w:p w14:paraId="3C51E98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223B8411" w14:textId="77777777" w:rsidTr="000D79D6">
        <w:trPr>
          <w:trHeight w:val="1149"/>
        </w:trPr>
        <w:tc>
          <w:tcPr>
            <w:tcW w:w="3261" w:type="dxa"/>
            <w:vAlign w:val="center"/>
          </w:tcPr>
          <w:p w14:paraId="0AD36C89"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Yayılan yüzey alanı ile sulu gübre deposunun hacmi arasındaki oranın azaltılması</w:t>
            </w:r>
          </w:p>
        </w:tc>
        <w:tc>
          <w:tcPr>
            <w:tcW w:w="5811" w:type="dxa"/>
            <w:vAlign w:val="center"/>
          </w:tcPr>
          <w:p w14:paraId="6BF787E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Dikdörtgen sulu gübre depoları için yükseklik ve yüzey alanı oranı 1:30–50'ye eşittir. Dairesel depolar için, 1:3 ila 1:4 yükseklik-çap oranıyla uygun konteyner boyutları elde edilir.</w:t>
            </w:r>
          </w:p>
          <w:p w14:paraId="1224A0D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 deposunun yan duvarlarının yüksekliği arttırılabilir.</w:t>
            </w:r>
          </w:p>
        </w:tc>
      </w:tr>
      <w:tr w:rsidR="003B155E" w:rsidRPr="00FF45DE" w14:paraId="6187A38F" w14:textId="77777777" w:rsidTr="000D79D6">
        <w:trPr>
          <w:trHeight w:val="690"/>
        </w:trPr>
        <w:tc>
          <w:tcPr>
            <w:tcW w:w="3261" w:type="dxa"/>
            <w:vAlign w:val="center"/>
          </w:tcPr>
          <w:p w14:paraId="604654D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Daha düşük bir dolgu seviyesinde çalışarak sulu gübre yüzeyindeki rüzgar hızının ve hava değişiminin azaltılması</w:t>
            </w:r>
          </w:p>
        </w:tc>
        <w:tc>
          <w:tcPr>
            <w:tcW w:w="5811" w:type="dxa"/>
            <w:vAlign w:val="center"/>
          </w:tcPr>
          <w:p w14:paraId="0531C60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Üstü açık deponun fribordunu (sulu gübre yüzeyi ile sulu gübre deposunun üst kenarı arasındaki uzunluk) artırmak bir ön cam etkisi sağlar.</w:t>
            </w:r>
          </w:p>
        </w:tc>
      </w:tr>
      <w:tr w:rsidR="003B155E" w:rsidRPr="00FF45DE" w14:paraId="0C96D0E5" w14:textId="77777777" w:rsidTr="000D79D6">
        <w:trPr>
          <w:trHeight w:val="425"/>
        </w:trPr>
        <w:tc>
          <w:tcPr>
            <w:tcW w:w="3261" w:type="dxa"/>
            <w:vAlign w:val="center"/>
          </w:tcPr>
          <w:p w14:paraId="2B9A7FB0"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gübrenin karışmasının en aza indirilmesi</w:t>
            </w:r>
          </w:p>
        </w:tc>
        <w:tc>
          <w:tcPr>
            <w:tcW w:w="5811" w:type="dxa"/>
            <w:vAlign w:val="center"/>
          </w:tcPr>
          <w:p w14:paraId="61215B80"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gübrenin karıştırılmasını asgari tutulması. Bu uygulama şunları içerir:</w:t>
            </w:r>
          </w:p>
          <w:p w14:paraId="57C0322A" w14:textId="77777777" w:rsidR="003B155E" w:rsidRPr="00FF45DE" w:rsidRDefault="003B155E" w:rsidP="003B155E">
            <w:pPr>
              <w:numPr>
                <w:ilvl w:val="0"/>
                <w:numId w:val="185"/>
              </w:numPr>
              <w:tabs>
                <w:tab w:val="left" w:pos="224"/>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Deponun yüzey seviyesinin altında doldurulması</w:t>
            </w:r>
          </w:p>
          <w:p w14:paraId="035147FC" w14:textId="77777777" w:rsidR="003B155E" w:rsidRPr="00FF45DE" w:rsidRDefault="003B155E" w:rsidP="003B155E">
            <w:pPr>
              <w:numPr>
                <w:ilvl w:val="0"/>
                <w:numId w:val="185"/>
              </w:numPr>
              <w:tabs>
                <w:tab w:val="left" w:pos="224"/>
              </w:tabs>
              <w:ind w:left="190"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Deponun tabanına mümkün olduğunca yakın boşaltma</w:t>
            </w:r>
          </w:p>
          <w:p w14:paraId="6043300A" w14:textId="77777777" w:rsidR="003B155E" w:rsidRPr="00FF45DE" w:rsidRDefault="003B155E" w:rsidP="003B155E">
            <w:pPr>
              <w:numPr>
                <w:ilvl w:val="0"/>
                <w:numId w:val="185"/>
              </w:numPr>
              <w:tabs>
                <w:tab w:val="left" w:pos="231"/>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Gereksiz homojenizasyondan ve sulu gübre sirkülasyonundan kaçınılması (sulu gübre deposunu boşaltmadan önce).</w:t>
            </w:r>
          </w:p>
        </w:tc>
      </w:tr>
      <w:tr w:rsidR="003B155E" w:rsidRPr="00FF45DE" w14:paraId="2234B379" w14:textId="77777777" w:rsidTr="000D79D6">
        <w:trPr>
          <w:trHeight w:val="1151"/>
        </w:trPr>
        <w:tc>
          <w:tcPr>
            <w:tcW w:w="3261" w:type="dxa"/>
            <w:vAlign w:val="center"/>
          </w:tcPr>
          <w:p w14:paraId="10D8A2D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Sert örtü</w:t>
            </w:r>
          </w:p>
        </w:tc>
        <w:tc>
          <w:tcPr>
            <w:tcW w:w="5811" w:type="dxa"/>
            <w:vAlign w:val="center"/>
          </w:tcPr>
          <w:p w14:paraId="61EB7D5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Beton veya çelik tank ve silolara uygulanan, düz tabliyeli veya konik şekilli, beton, cam elyafı paneller veya polyester levhalardan yapılabilen çatı veya silolar Hava değişimini en aza indirmek ve yağmur ve karın girmesini önlemek için iyi kapatılmış ve "sızdırmaz" olmalıdır.</w:t>
            </w:r>
          </w:p>
        </w:tc>
      </w:tr>
      <w:tr w:rsidR="003B155E" w:rsidRPr="00FF45DE" w14:paraId="34A7CF0D" w14:textId="77777777" w:rsidTr="000D79D6">
        <w:trPr>
          <w:trHeight w:val="2068"/>
        </w:trPr>
        <w:tc>
          <w:tcPr>
            <w:tcW w:w="3261" w:type="dxa"/>
            <w:vAlign w:val="center"/>
          </w:tcPr>
          <w:p w14:paraId="5AD5F14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Esnek örtüler</w:t>
            </w:r>
          </w:p>
        </w:tc>
        <w:tc>
          <w:tcPr>
            <w:tcW w:w="5811" w:type="dxa"/>
            <w:vAlign w:val="center"/>
          </w:tcPr>
          <w:p w14:paraId="5C957C0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Çadır Örtüsü: Merkezi bir destek direği ve ucundan yayılan parmaklıkları olan bir örtü. Tellerin üzerine bir membran yayılır ve bir jant desteğine bağlanır. Kapatılmayan açıklıkların minimumda tutulması</w:t>
            </w:r>
          </w:p>
          <w:p w14:paraId="6DC490A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Kubbe örtü: Yuvarlak depoların üzerine çelik aksam ve civatalı bağlantı kullanılarak monte edilen kavisli yapısal çerçeveli örtü.</w:t>
            </w:r>
          </w:p>
          <w:p w14:paraId="28ED5A2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Düz örtü: Metal bir yapı üzerinde tapalarla tutulan esnek ve kendi kendini taşıyan kompozit malzemeden oluşan bir örtü.</w:t>
            </w:r>
          </w:p>
        </w:tc>
      </w:tr>
      <w:tr w:rsidR="003B155E" w:rsidRPr="00FF45DE" w14:paraId="549FEC8A" w14:textId="77777777" w:rsidTr="000D79D6">
        <w:trPr>
          <w:trHeight w:val="1379"/>
        </w:trPr>
        <w:tc>
          <w:tcPr>
            <w:tcW w:w="3261" w:type="dxa"/>
            <w:vAlign w:val="center"/>
          </w:tcPr>
          <w:p w14:paraId="24BEF38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kabuk</w:t>
            </w:r>
          </w:p>
        </w:tc>
        <w:tc>
          <w:tcPr>
            <w:tcW w:w="5811" w:type="dxa"/>
            <w:vAlign w:val="center"/>
          </w:tcPr>
          <w:p w14:paraId="4C903DC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katılarının doğasına bağlı olarak, yeterli kuru madde (KM) içeriğine (en az %2) sahip sulu gübrenin yüzeyinde bir kabuk tabakası oluşturulabilir. Etkili olabilmesi için kabuğun kalın olması, bozulmamış olması ve tüm sulu gübre yüzeyini kaplaması gerekir. Örtü oluşturulduktan sonra kırılmaması için depo yüzeyin altından doldurulur.</w:t>
            </w:r>
          </w:p>
        </w:tc>
      </w:tr>
      <w:tr w:rsidR="003B155E" w:rsidRPr="00FF45DE" w14:paraId="616C3961" w14:textId="77777777" w:rsidTr="000D79D6">
        <w:trPr>
          <w:trHeight w:val="1610"/>
        </w:trPr>
        <w:tc>
          <w:tcPr>
            <w:tcW w:w="3261" w:type="dxa"/>
            <w:tcBorders>
              <w:top w:val="nil"/>
            </w:tcBorders>
            <w:vAlign w:val="center"/>
          </w:tcPr>
          <w:p w14:paraId="164248C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Saman</w:t>
            </w:r>
          </w:p>
        </w:tc>
        <w:tc>
          <w:tcPr>
            <w:tcW w:w="5811" w:type="dxa"/>
            <w:vAlign w:val="center"/>
          </w:tcPr>
          <w:p w14:paraId="07EE70D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gübreye kıyılmış saman eklenir ve saman kaynaklı bir kabuk oluşur. Bu genellikle %4-5'ten daha yüksek KM için iyi sonuç verir. En az 10 cm'lik bir tabaka kalınlığı tavsiye edilir. Sulu gübre ilavesi sırasında saman eklenerek hava üfleme azaltılabilir. Saman tabakalarının yıl içinde kısmen veya tamamen yenilenmesi gerekebilir. Örtü oluşturulduktan sonra kırılmaması için depo yüzeyin altından doldurulur.</w:t>
            </w:r>
          </w:p>
        </w:tc>
      </w:tr>
      <w:tr w:rsidR="003B155E" w:rsidRPr="00FF45DE" w14:paraId="286E788A" w14:textId="77777777" w:rsidTr="000D79D6">
        <w:trPr>
          <w:trHeight w:val="918"/>
        </w:trPr>
        <w:tc>
          <w:tcPr>
            <w:tcW w:w="3261" w:type="dxa"/>
            <w:tcBorders>
              <w:top w:val="nil"/>
            </w:tcBorders>
            <w:vAlign w:val="center"/>
          </w:tcPr>
          <w:p w14:paraId="0FE2247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lastRenderedPageBreak/>
              <w:t>Plastik peletler</w:t>
            </w:r>
          </w:p>
        </w:tc>
        <w:tc>
          <w:tcPr>
            <w:tcW w:w="5811" w:type="dxa"/>
            <w:vAlign w:val="center"/>
          </w:tcPr>
          <w:p w14:paraId="719CD39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 yüzeyini kaplamak için 20 cm çapında ve 100 g ağırlığında polistiren toplar kullanılır. Bozulan elemanların düzenli olarak değiştirilmesi ve kaplanmamış noktalar için yeniden doldurulması gerekir.</w:t>
            </w:r>
          </w:p>
        </w:tc>
      </w:tr>
      <w:tr w:rsidR="003B155E" w:rsidRPr="00FF45DE" w14:paraId="1368E2DE" w14:textId="77777777" w:rsidTr="000D79D6">
        <w:trPr>
          <w:trHeight w:val="1151"/>
        </w:trPr>
        <w:tc>
          <w:tcPr>
            <w:tcW w:w="3261" w:type="dxa"/>
            <w:tcBorders>
              <w:top w:val="nil"/>
            </w:tcBorders>
            <w:vAlign w:val="center"/>
          </w:tcPr>
          <w:p w14:paraId="3113059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Hafif dökme malzemeler</w:t>
            </w:r>
          </w:p>
        </w:tc>
        <w:tc>
          <w:tcPr>
            <w:tcW w:w="5811" w:type="dxa"/>
            <w:vAlign w:val="center"/>
          </w:tcPr>
          <w:p w14:paraId="41CA92A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LECA (Hafif genişletilmiş kil agregaları), LECA bazlı ürünler, perlit veya zeolit gibi malzemeler, yüzer bir tabaka oluşturmak için sulu gübre yüzeyine eklenir. 10–12 cm'lik bir yüzer katman önerilir. Daha ince bir katman, daha küçük LECA parçacıkları için etkili olabilir.</w:t>
            </w:r>
          </w:p>
        </w:tc>
      </w:tr>
    </w:tbl>
    <w:p w14:paraId="39D41C17" w14:textId="456453EF"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tr"/>
          <w14:ligatures w14:val="none"/>
        </w:rPr>
      </w:pPr>
      <w:bookmarkStart w:id="51" w:name="_Toc136614331"/>
      <w:r w:rsidRPr="00FF45DE">
        <w:rPr>
          <w:rFonts w:ascii="Times New Roman" w:eastAsia="DengXian Light" w:hAnsi="Times New Roman" w:cs="Microsoft Uighur"/>
          <w:b/>
          <w:kern w:val="0"/>
          <w:sz w:val="24"/>
          <w:szCs w:val="24"/>
          <w:lang w:val="tr"/>
          <w14:ligatures w14:val="none"/>
        </w:rPr>
        <w:t>Sulu Gübre Depolarından Toprağa ve Suya Emisyonları Azaltma Teknikleri</w:t>
      </w:r>
      <w:bookmarkEnd w:id="51"/>
      <w:r w:rsidRPr="00FF45DE">
        <w:rPr>
          <w:rFonts w:ascii="Times New Roman" w:eastAsia="DengXian Light" w:hAnsi="Times New Roman" w:cs="Microsoft Uighur"/>
          <w:b/>
          <w:kern w:val="0"/>
          <w:sz w:val="24"/>
          <w:szCs w:val="24"/>
          <w:lang w:val="tr"/>
          <w14:ligatures w14:val="none"/>
        </w:rPr>
        <w:t>nin</w:t>
      </w:r>
      <w:r w:rsidR="0096283A">
        <w:rPr>
          <w:rFonts w:ascii="Times New Roman" w:eastAsia="DengXian Light" w:hAnsi="Times New Roman" w:cs="Microsoft Uighur"/>
          <w:b/>
          <w:kern w:val="0"/>
          <w:sz w:val="24"/>
          <w:szCs w:val="24"/>
          <w:lang w:val="tr"/>
          <w14:ligatures w14:val="none"/>
        </w:rPr>
        <w:t xml:space="preserve"> </w:t>
      </w:r>
      <w:r w:rsidRPr="00FF45DE">
        <w:rPr>
          <w:rFonts w:ascii="Times New Roman" w:eastAsia="DengXian Light" w:hAnsi="Times New Roman" w:cs="Microsoft Uighur"/>
          <w:b/>
          <w:kern w:val="0"/>
          <w:sz w:val="24"/>
          <w:szCs w:val="24"/>
          <w:lang w:val="tr"/>
          <w14:ligatures w14:val="none"/>
        </w:rPr>
        <w:t>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4C804131" w14:textId="77777777" w:rsidTr="000D79D6">
        <w:trPr>
          <w:trHeight w:val="249"/>
          <w:tblHeader/>
        </w:trPr>
        <w:tc>
          <w:tcPr>
            <w:tcW w:w="1817" w:type="pct"/>
          </w:tcPr>
          <w:p w14:paraId="1946761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tcPr>
          <w:p w14:paraId="3F2D6B7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7CAAA1FC" w14:textId="77777777" w:rsidTr="000D79D6">
        <w:trPr>
          <w:trHeight w:val="690"/>
        </w:trPr>
        <w:tc>
          <w:tcPr>
            <w:tcW w:w="1817" w:type="pct"/>
            <w:vAlign w:val="center"/>
          </w:tcPr>
          <w:p w14:paraId="6F51DEE6" w14:textId="77777777" w:rsidR="003B155E" w:rsidRPr="00EE5089" w:rsidRDefault="003B155E" w:rsidP="000D79D6">
            <w:pPr>
              <w:tabs>
                <w:tab w:val="left" w:pos="631"/>
                <w:tab w:val="left" w:pos="1310"/>
                <w:tab w:val="left" w:pos="1821"/>
                <w:tab w:val="left" w:pos="2256"/>
                <w:tab w:val="left" w:pos="2826"/>
              </w:tabs>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Mekanik, kimyasal ve termal etkilere dayanabilecek depoların kullanılması</w:t>
            </w:r>
          </w:p>
        </w:tc>
        <w:tc>
          <w:tcPr>
            <w:tcW w:w="3183" w:type="pct"/>
            <w:vAlign w:val="center"/>
          </w:tcPr>
          <w:p w14:paraId="32E0FF30"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Uygun beton karışımları ve çoğu durumda beton duvarlarda astar veya çelik saclarda geçirimsiz tabakalar uygulanabilir.</w:t>
            </w:r>
          </w:p>
        </w:tc>
      </w:tr>
    </w:tbl>
    <w:p w14:paraId="391540AD"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52" w:name="_Toc136614332"/>
      <w:r w:rsidRPr="00FF45DE">
        <w:rPr>
          <w:rFonts w:ascii="Times New Roman" w:eastAsia="DengXian Light" w:hAnsi="Times New Roman" w:cs="Microsoft Uighur"/>
          <w:b/>
          <w:kern w:val="0"/>
          <w:sz w:val="24"/>
          <w:szCs w:val="26"/>
          <w:lang w:val="en-US"/>
          <w14:ligatures w14:val="none"/>
        </w:rPr>
        <w:t>Çiftlik Gübresi İşleme Teknikleri</w:t>
      </w:r>
      <w:bookmarkEnd w:id="52"/>
      <w:r w:rsidRPr="00FF45DE">
        <w:rPr>
          <w:rFonts w:ascii="Times New Roman" w:eastAsia="DengXian Light" w:hAnsi="Times New Roman" w:cs="Microsoft Uighur"/>
          <w:b/>
          <w:kern w:val="0"/>
          <w:sz w:val="24"/>
          <w:szCs w:val="26"/>
          <w:lang w:val="en-US"/>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42"/>
        <w:gridCol w:w="5720"/>
      </w:tblGrid>
      <w:tr w:rsidR="003B155E" w:rsidRPr="00FF45DE" w14:paraId="45AE0314" w14:textId="77777777" w:rsidTr="000D79D6">
        <w:trPr>
          <w:trHeight w:val="282"/>
          <w:tblHeader/>
        </w:trPr>
        <w:tc>
          <w:tcPr>
            <w:tcW w:w="1844" w:type="pct"/>
          </w:tcPr>
          <w:p w14:paraId="7F5EF7B3"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56" w:type="pct"/>
          </w:tcPr>
          <w:p w14:paraId="7951797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31D92AF4" w14:textId="77777777" w:rsidTr="000D79D6">
        <w:trPr>
          <w:trHeight w:val="921"/>
        </w:trPr>
        <w:tc>
          <w:tcPr>
            <w:tcW w:w="1844" w:type="pct"/>
            <w:vAlign w:val="center"/>
          </w:tcPr>
          <w:p w14:paraId="3FB8F44D"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Sulu gübrenin mekanik olarak ayrılması</w:t>
            </w:r>
          </w:p>
        </w:tc>
        <w:tc>
          <w:tcPr>
            <w:tcW w:w="3156" w:type="pct"/>
            <w:vAlign w:val="center"/>
          </w:tcPr>
          <w:p w14:paraId="3581063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Farklı kuru madde içeriğine sahip sıvı ve katı fraksiyonların, örneğin vidalı pres ayırıcılar, dekantör-santrifüj ayırıcılar, elekleme ve filtre presleme kullanılarak ayrılması. Ayırma, katı parçacıkların flokülasyon (topaklaştırma) ile geliştirilebilir.</w:t>
            </w:r>
          </w:p>
        </w:tc>
      </w:tr>
      <w:tr w:rsidR="003B155E" w:rsidRPr="00FF45DE" w14:paraId="0F9EB4D7" w14:textId="77777777" w:rsidTr="000D79D6">
        <w:trPr>
          <w:trHeight w:val="2071"/>
        </w:trPr>
        <w:tc>
          <w:tcPr>
            <w:tcW w:w="1844" w:type="pct"/>
            <w:vAlign w:val="center"/>
          </w:tcPr>
          <w:p w14:paraId="73518F7B"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 xml:space="preserve">Bir </w:t>
            </w:r>
            <w:r w:rsidR="00BA1FD0">
              <w:rPr>
                <w:rFonts w:ascii="Times New Roman" w:eastAsia="Times New Roman" w:hAnsi="Times New Roman" w:cs="Times New Roman"/>
                <w:lang w:val="tr"/>
              </w:rPr>
              <w:t>biyometanizasyon</w:t>
            </w:r>
            <w:r w:rsidRPr="00FF45DE">
              <w:rPr>
                <w:rFonts w:ascii="Times New Roman" w:eastAsia="Times New Roman" w:hAnsi="Times New Roman" w:cs="Times New Roman"/>
                <w:lang w:val="tr"/>
              </w:rPr>
              <w:t xml:space="preserve"> tesisinde gübrenin oksijensiz ortamda çürütülmesi</w:t>
            </w:r>
          </w:p>
        </w:tc>
        <w:tc>
          <w:tcPr>
            <w:tcW w:w="3156" w:type="pct"/>
            <w:vAlign w:val="center"/>
          </w:tcPr>
          <w:p w14:paraId="1AFA4E68" w14:textId="77777777" w:rsidR="003B155E" w:rsidRPr="00FF45DE" w:rsidRDefault="00BA1FD0" w:rsidP="000D79D6">
            <w:pPr>
              <w:ind w:left="74" w:right="74"/>
              <w:rPr>
                <w:rFonts w:ascii="Times New Roman" w:eastAsia="Times New Roman" w:hAnsi="Times New Roman" w:cs="Times New Roman"/>
                <w:lang w:val="tr"/>
              </w:rPr>
            </w:pPr>
            <w:r>
              <w:rPr>
                <w:rFonts w:ascii="Times New Roman" w:hAnsi="Times New Roman" w:cs="Times New Roman"/>
                <w:color w:val="000000"/>
              </w:rPr>
              <w:t>Biyobozunur atıkların içerisindeki o</w:t>
            </w:r>
            <w:r w:rsidRPr="00FD73C0">
              <w:rPr>
                <w:rFonts w:ascii="Times New Roman" w:hAnsi="Times New Roman" w:cs="Times New Roman"/>
                <w:color w:val="000000"/>
              </w:rPr>
              <w:t>rganik maddelerin</w:t>
            </w:r>
            <w:r>
              <w:rPr>
                <w:rFonts w:ascii="Times New Roman" w:hAnsi="Times New Roman" w:cs="Times New Roman"/>
                <w:color w:val="000000"/>
              </w:rPr>
              <w:t xml:space="preserve"> biyometanizasyon tesislerinde</w:t>
            </w:r>
            <w:r w:rsidRPr="00FD73C0">
              <w:rPr>
                <w:rFonts w:ascii="Times New Roman" w:hAnsi="Times New Roman" w:cs="Times New Roman"/>
                <w:color w:val="000000"/>
              </w:rPr>
              <w:t xml:space="preserve"> anaerobik mikroorganizmalarla ayrışması sırasında meydana gelen çok adımlı biyokimyasal reaksiy</w:t>
            </w:r>
            <w:r>
              <w:rPr>
                <w:rFonts w:ascii="Times New Roman" w:hAnsi="Times New Roman" w:cs="Times New Roman"/>
                <w:color w:val="000000"/>
              </w:rPr>
              <w:t xml:space="preserve">onlardan oluşan biyolojik süreçte atık geri kazanımı sağlanır. </w:t>
            </w:r>
            <w:r>
              <w:rPr>
                <w:rFonts w:ascii="Times New Roman" w:eastAsia="Times New Roman" w:hAnsi="Times New Roman" w:cs="Times New Roman"/>
                <w:lang w:val="tr"/>
              </w:rPr>
              <w:t xml:space="preserve">Proses sonucu elde edilen katı ve sıvı fermente ürün toprakta kullanılabilir (katı fermente ürün, kuru madde oranını arttırarak stabilize edilmek amacıyla ilave olarak kompost işlemine tabi tutulabilir). </w:t>
            </w:r>
            <w:r w:rsidRPr="00FF45DE">
              <w:rPr>
                <w:rFonts w:ascii="Times New Roman" w:eastAsia="Times New Roman" w:hAnsi="Times New Roman" w:cs="Times New Roman"/>
                <w:lang w:val="tr"/>
              </w:rPr>
              <w:t>Biyogaz; enerji üretimine, yani ısı, kombine ısı ve güç ve/veya nakliye yakıtı üretimine hizmet etmek için üretilir ve toplanır. Üretilen ısının bir kısmı işlemde geri dönüştürülür.</w:t>
            </w:r>
          </w:p>
        </w:tc>
      </w:tr>
      <w:tr w:rsidR="003B155E" w:rsidRPr="00FF45DE" w14:paraId="21F2224A" w14:textId="77777777" w:rsidTr="000D79D6">
        <w:trPr>
          <w:trHeight w:val="1379"/>
        </w:trPr>
        <w:tc>
          <w:tcPr>
            <w:tcW w:w="1844" w:type="pct"/>
            <w:vAlign w:val="center"/>
          </w:tcPr>
          <w:p w14:paraId="568C536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kurutma için harici bir tünelin kullanılması</w:t>
            </w:r>
          </w:p>
        </w:tc>
        <w:tc>
          <w:tcPr>
            <w:tcW w:w="3156" w:type="pct"/>
            <w:vAlign w:val="center"/>
          </w:tcPr>
          <w:p w14:paraId="60687234"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yumurtlayan tavuk kümeslerinden toplanır ve tüneli oluşturan bir dizi delikli üst üste binen bant içeren özel bir kapalı yapıya taşıyan bantlarla dışarı çıkarılır. Bantlardan sıcak hava üflenir ve gübre yaklaşık iki veya üç gün içinde kurutulur. Tünel, yumurtlayan tavuk kümeslerinden çıkan hava ile havalandırılır.</w:t>
            </w:r>
          </w:p>
        </w:tc>
      </w:tr>
      <w:tr w:rsidR="003B155E" w:rsidRPr="00FF45DE" w14:paraId="6058622C" w14:textId="77777777" w:rsidTr="000D79D6">
        <w:trPr>
          <w:trHeight w:val="1380"/>
        </w:trPr>
        <w:tc>
          <w:tcPr>
            <w:tcW w:w="1844" w:type="pct"/>
            <w:vAlign w:val="center"/>
          </w:tcPr>
          <w:p w14:paraId="611A2BDA"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Sulu gübrenin aerobik çürütülmesi (havalandırması)</w:t>
            </w:r>
          </w:p>
        </w:tc>
        <w:tc>
          <w:tcPr>
            <w:tcW w:w="3156" w:type="pct"/>
            <w:vAlign w:val="center"/>
          </w:tcPr>
          <w:p w14:paraId="4411222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Aerobik koşullar altında organik maddenin biyolojik ayrıştırılması Depolanan sulu gübre, sürekli veya kesikli bir işlemde daldırılmış veya yüzer havalandırıcılar vasıtasıyla havalandırılır. Çalışma değişkenleri, sulu gübre ajitasyonunu mümkün olduğu kadar düşük tutmak gibi azot giderimini önlemek için kontrol edilir. Tortu, konsantrasyondan sonra gübre (kompostlanmış veya kompostlanmamış) olarak kullanılabilir.</w:t>
            </w:r>
          </w:p>
        </w:tc>
      </w:tr>
      <w:tr w:rsidR="003B155E" w:rsidRPr="00FF45DE" w14:paraId="4FBD50D2" w14:textId="77777777" w:rsidTr="000D79D6">
        <w:trPr>
          <w:trHeight w:val="1610"/>
        </w:trPr>
        <w:tc>
          <w:tcPr>
            <w:tcW w:w="1844" w:type="pct"/>
            <w:vAlign w:val="center"/>
          </w:tcPr>
          <w:p w14:paraId="39BB25A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lastRenderedPageBreak/>
              <w:t>Sulu gübrenin nitrifikasyon-denitrifikasyonu</w:t>
            </w:r>
          </w:p>
        </w:tc>
        <w:tc>
          <w:tcPr>
            <w:tcW w:w="3156" w:type="pct"/>
            <w:vAlign w:val="center"/>
          </w:tcPr>
          <w:p w14:paraId="5BA122B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Organik azotun bir kısmı amonyağa dönüşür. Amonyak, nitrifikasyon bakterileri tarafından nitrit ve nitrata oksitlenir. Anaerobik periyotlar uygulanarak nitrat, organik karbon varlığında N</w:t>
            </w:r>
            <w:r w:rsidRPr="00FF45DE">
              <w:rPr>
                <w:rFonts w:ascii="Times New Roman" w:eastAsia="Times New Roman" w:hAnsi="Times New Roman" w:cs="Times New Roman"/>
                <w:vertAlign w:val="subscript"/>
                <w:lang w:val="tr"/>
              </w:rPr>
              <w:t>2</w:t>
            </w:r>
            <w:r w:rsidRPr="00FF45DE">
              <w:rPr>
                <w:rFonts w:ascii="Times New Roman" w:eastAsia="Times New Roman" w:hAnsi="Times New Roman" w:cs="Times New Roman"/>
                <w:lang w:val="tr"/>
              </w:rPr>
              <w:t>'ye dönüştürülebilir. Sulu gübre ikincil bir havuzda çökelir ve bir kısmı havalandırma havuzunda yeniden kullanılır. Tortu, konsantrasyondan sonra gübre (kompostlanmış veya kompostlanmamış) olarak kullanılabilir.</w:t>
            </w:r>
          </w:p>
        </w:tc>
      </w:tr>
      <w:tr w:rsidR="003B155E" w:rsidRPr="00FF45DE" w14:paraId="5A6F0611" w14:textId="77777777" w:rsidTr="000D79D6">
        <w:trPr>
          <w:trHeight w:val="2021"/>
        </w:trPr>
        <w:tc>
          <w:tcPr>
            <w:tcW w:w="1844" w:type="pct"/>
            <w:vAlign w:val="center"/>
          </w:tcPr>
          <w:p w14:paraId="2CD264A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Katı gübrenin kompostlanması</w:t>
            </w:r>
          </w:p>
        </w:tc>
        <w:tc>
          <w:tcPr>
            <w:tcW w:w="3156" w:type="pct"/>
            <w:vAlign w:val="center"/>
          </w:tcPr>
          <w:p w14:paraId="1E6D194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Katı gübrenin </w:t>
            </w:r>
            <w:r w:rsidR="00BA1FD0">
              <w:rPr>
                <w:rFonts w:ascii="Times New Roman" w:eastAsia="Times New Roman" w:hAnsi="Times New Roman" w:cs="Times New Roman"/>
                <w:lang w:val="tr"/>
              </w:rPr>
              <w:t xml:space="preserve">kompost tesislerinde </w:t>
            </w:r>
            <w:r w:rsidRPr="00FF45DE">
              <w:rPr>
                <w:rFonts w:ascii="Times New Roman" w:eastAsia="Times New Roman" w:hAnsi="Times New Roman" w:cs="Times New Roman"/>
                <w:lang w:val="tr"/>
              </w:rPr>
              <w:t>mikroorganizmalar tarafından kontrollü aerobik ayrışım</w:t>
            </w:r>
            <w:r w:rsidR="00BA1FD0">
              <w:rPr>
                <w:rFonts w:ascii="Times New Roman" w:eastAsia="Times New Roman" w:hAnsi="Times New Roman" w:cs="Times New Roman"/>
                <w:lang w:val="tr"/>
              </w:rPr>
              <w:t>as</w:t>
            </w:r>
            <w:r w:rsidRPr="00FF45DE">
              <w:rPr>
                <w:rFonts w:ascii="Times New Roman" w:eastAsia="Times New Roman" w:hAnsi="Times New Roman" w:cs="Times New Roman"/>
                <w:lang w:val="tr"/>
              </w:rPr>
              <w:t>ı</w:t>
            </w:r>
            <w:r w:rsidR="00BA1FD0">
              <w:rPr>
                <w:rFonts w:ascii="Times New Roman" w:eastAsia="Times New Roman" w:hAnsi="Times New Roman" w:cs="Times New Roman"/>
                <w:lang w:val="tr"/>
              </w:rPr>
              <w:t xml:space="preserve"> ile toprakta kullanım için </w:t>
            </w:r>
            <w:r w:rsidRPr="00FF45DE">
              <w:rPr>
                <w:rFonts w:ascii="Times New Roman" w:eastAsia="Times New Roman" w:hAnsi="Times New Roman" w:cs="Times New Roman"/>
                <w:lang w:val="tr"/>
              </w:rPr>
              <w:t>yeterince kararlı bir nihai ürün (kompost) üreti</w:t>
            </w:r>
            <w:r w:rsidR="00BA1FD0">
              <w:rPr>
                <w:rFonts w:ascii="Times New Roman" w:eastAsia="Times New Roman" w:hAnsi="Times New Roman" w:cs="Times New Roman"/>
                <w:lang w:val="tr"/>
              </w:rPr>
              <w:t>lir</w:t>
            </w:r>
            <w:r w:rsidRPr="00FF45DE">
              <w:rPr>
                <w:rFonts w:ascii="Times New Roman" w:eastAsia="Times New Roman" w:hAnsi="Times New Roman" w:cs="Times New Roman"/>
                <w:lang w:val="tr"/>
              </w:rPr>
              <w:t xml:space="preserve">. Gübre kokusu, mikrobiyal patojenler ve su içeriği azaltılır. Sulu gübrenin katı fraksiyonu da kompostlanabilir. </w:t>
            </w:r>
            <w:r w:rsidR="00BA1FD0">
              <w:rPr>
                <w:rFonts w:ascii="Times New Roman" w:eastAsia="Times New Roman" w:hAnsi="Times New Roman" w:cs="Times New Roman"/>
                <w:lang w:val="tr"/>
              </w:rPr>
              <w:t xml:space="preserve">Farklı kompost teknolojileri kullanılabilir. </w:t>
            </w:r>
            <w:r w:rsidRPr="00FF45DE">
              <w:rPr>
                <w:rFonts w:ascii="Times New Roman" w:eastAsia="Times New Roman" w:hAnsi="Times New Roman" w:cs="Times New Roman"/>
                <w:lang w:val="tr"/>
              </w:rPr>
              <w:t xml:space="preserve">Biyolojik aşı, yeşil atıklar veya diğer </w:t>
            </w:r>
            <w:r w:rsidR="00BA1FD0">
              <w:rPr>
                <w:rFonts w:ascii="Times New Roman" w:eastAsia="Times New Roman" w:hAnsi="Times New Roman" w:cs="Times New Roman"/>
                <w:lang w:val="tr"/>
              </w:rPr>
              <w:t xml:space="preserve">biyobozunur </w:t>
            </w:r>
            <w:r w:rsidRPr="00FF45DE">
              <w:rPr>
                <w:rFonts w:ascii="Times New Roman" w:eastAsia="Times New Roman" w:hAnsi="Times New Roman" w:cs="Times New Roman"/>
                <w:lang w:val="tr"/>
              </w:rPr>
              <w:t xml:space="preserve">atıklar (ör. </w:t>
            </w:r>
            <w:r w:rsidR="00BA1FD0">
              <w:rPr>
                <w:rFonts w:ascii="Times New Roman" w:eastAsia="Times New Roman" w:hAnsi="Times New Roman" w:cs="Times New Roman"/>
                <w:lang w:val="tr"/>
              </w:rPr>
              <w:t>katı fermente</w:t>
            </w:r>
            <w:r w:rsidRPr="00FF45DE">
              <w:rPr>
                <w:rFonts w:ascii="Times New Roman" w:eastAsia="Times New Roman" w:hAnsi="Times New Roman" w:cs="Times New Roman"/>
                <w:lang w:val="tr"/>
              </w:rPr>
              <w:t xml:space="preserve"> ürün) </w:t>
            </w:r>
            <w:r w:rsidR="00BA1FD0">
              <w:rPr>
                <w:rFonts w:ascii="Times New Roman" w:eastAsia="Times New Roman" w:hAnsi="Times New Roman" w:cs="Times New Roman"/>
                <w:lang w:val="tr"/>
              </w:rPr>
              <w:t>hayvansal atık</w:t>
            </w:r>
            <w:r w:rsidRPr="00FF45DE">
              <w:rPr>
                <w:rFonts w:ascii="Times New Roman" w:eastAsia="Times New Roman" w:hAnsi="Times New Roman" w:cs="Times New Roman"/>
                <w:lang w:val="tr"/>
              </w:rPr>
              <w:t xml:space="preserve"> ile birlikte kompostlanabilir.</w:t>
            </w:r>
          </w:p>
        </w:tc>
      </w:tr>
    </w:tbl>
    <w:p w14:paraId="70489523" w14:textId="77777777" w:rsidR="003B155E" w:rsidRPr="00FF45DE" w:rsidRDefault="003B155E" w:rsidP="0096283A">
      <w:pPr>
        <w:keepNext/>
        <w:keepLines/>
        <w:numPr>
          <w:ilvl w:val="1"/>
          <w:numId w:val="0"/>
        </w:numPr>
        <w:spacing w:before="120" w:after="60" w:line="360" w:lineRule="auto"/>
        <w:ind w:left="666" w:hanging="576"/>
        <w:jc w:val="center"/>
        <w:outlineLvl w:val="1"/>
        <w:rPr>
          <w:rFonts w:ascii="Times New Roman" w:eastAsia="DengXian Light" w:hAnsi="Times New Roman" w:cs="Microsoft Uighur"/>
          <w:b/>
          <w:kern w:val="0"/>
          <w:sz w:val="24"/>
          <w:szCs w:val="26"/>
          <w:lang w:val="tr"/>
          <w14:ligatures w14:val="none"/>
        </w:rPr>
      </w:pPr>
      <w:bookmarkStart w:id="53" w:name="_Toc136614333"/>
      <w:r w:rsidRPr="00FF45DE">
        <w:rPr>
          <w:rFonts w:ascii="Times New Roman" w:eastAsia="DengXian Light" w:hAnsi="Times New Roman" w:cs="Microsoft Uighur"/>
          <w:b/>
          <w:kern w:val="0"/>
          <w:sz w:val="24"/>
          <w:szCs w:val="26"/>
          <w:lang w:val="tr"/>
          <w14:ligatures w14:val="none"/>
        </w:rPr>
        <w:t>Gübrenin Araziye Yayılması için Teknikler</w:t>
      </w:r>
      <w:bookmarkEnd w:id="53"/>
      <w:r w:rsidRPr="00FF45DE">
        <w:rPr>
          <w:rFonts w:ascii="Times New Roman" w:eastAsia="DengXian Light" w:hAnsi="Times New Roman" w:cs="Microsoft Uighur"/>
          <w:b/>
          <w:kern w:val="0"/>
          <w:sz w:val="24"/>
          <w:szCs w:val="26"/>
          <w:lang w:val="tr"/>
          <w14:ligatures w14:val="none"/>
        </w:rPr>
        <w:t>inin Tanımları</w:t>
      </w:r>
    </w:p>
    <w:p w14:paraId="2B8E4D30"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tr"/>
          <w14:ligatures w14:val="none"/>
        </w:rPr>
      </w:pPr>
      <w:bookmarkStart w:id="54" w:name="_Toc136614334"/>
      <w:r w:rsidRPr="00FF45DE">
        <w:rPr>
          <w:rFonts w:ascii="Times New Roman" w:eastAsia="DengXian Light" w:hAnsi="Times New Roman" w:cs="Microsoft Uighur"/>
          <w:b/>
          <w:kern w:val="0"/>
          <w:sz w:val="24"/>
          <w:szCs w:val="24"/>
          <w:lang w:val="tr"/>
          <w14:ligatures w14:val="none"/>
        </w:rPr>
        <w:t>Sulu Gübre Arazi Yayma Teknikleri</w:t>
      </w:r>
      <w:bookmarkEnd w:id="54"/>
      <w:r w:rsidRPr="00FF45DE">
        <w:rPr>
          <w:rFonts w:ascii="Times New Roman" w:eastAsia="DengXian Light" w:hAnsi="Times New Roman" w:cs="Microsoft Uighur"/>
          <w:b/>
          <w:kern w:val="0"/>
          <w:sz w:val="24"/>
          <w:szCs w:val="24"/>
          <w:lang w:val="tr"/>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42"/>
        <w:gridCol w:w="5720"/>
      </w:tblGrid>
      <w:tr w:rsidR="003B155E" w:rsidRPr="00FF45DE" w14:paraId="3355CA64" w14:textId="77777777" w:rsidTr="000D79D6">
        <w:trPr>
          <w:trHeight w:val="249"/>
        </w:trPr>
        <w:tc>
          <w:tcPr>
            <w:tcW w:w="1844" w:type="pct"/>
          </w:tcPr>
          <w:p w14:paraId="0D33EC74"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56" w:type="pct"/>
          </w:tcPr>
          <w:p w14:paraId="1C02D298"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49E2F290" w14:textId="77777777" w:rsidTr="000D79D6">
        <w:trPr>
          <w:trHeight w:val="986"/>
        </w:trPr>
        <w:tc>
          <w:tcPr>
            <w:tcW w:w="1844" w:type="pct"/>
            <w:vAlign w:val="center"/>
          </w:tcPr>
          <w:p w14:paraId="7D42288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seyreltme</w:t>
            </w:r>
          </w:p>
        </w:tc>
        <w:tc>
          <w:tcPr>
            <w:tcW w:w="3156" w:type="pct"/>
            <w:vAlign w:val="center"/>
          </w:tcPr>
          <w:p w14:paraId="6E18D65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 Sulu gübre seyreltme oranı 1:1'den 50:1'e kadardır. Seyreltilmiş sulu gübrenin kuru madde içeriği %2'den azdır. Sulu gübrenin mekanik olarak ayrılmasından elde edilen berraklaştırılmış sıvı fraksiyonun ve anaerobik çürütmeden elde edilen ürün de kullanılabilir.</w:t>
            </w:r>
          </w:p>
        </w:tc>
      </w:tr>
      <w:tr w:rsidR="003B155E" w:rsidRPr="00FF45DE" w14:paraId="6339A375" w14:textId="77777777" w:rsidTr="000D79D6">
        <w:trPr>
          <w:trHeight w:val="857"/>
        </w:trPr>
        <w:tc>
          <w:tcPr>
            <w:tcW w:w="1844" w:type="pct"/>
            <w:vAlign w:val="center"/>
          </w:tcPr>
          <w:p w14:paraId="22805202" w14:textId="77777777" w:rsidR="003B155E" w:rsidRPr="00FF45DE" w:rsidRDefault="003B155E" w:rsidP="000D79D6">
            <w:pPr>
              <w:tabs>
                <w:tab w:val="left" w:pos="1522"/>
                <w:tab w:val="left" w:pos="2280"/>
              </w:tabs>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Düşük basınçlı su sulama sistemleri</w:t>
            </w:r>
          </w:p>
        </w:tc>
        <w:tc>
          <w:tcPr>
            <w:tcW w:w="3156" w:type="pct"/>
            <w:vAlign w:val="center"/>
          </w:tcPr>
          <w:p w14:paraId="2FD6EC72"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Seyreltilmiş sulu gübre, sulama suyu boru hattına enjekte edilir ve düşük basınç altında sulama sistemine (ör. sprinkler sistemi veya gezici irrigatör) pompalanır.</w:t>
            </w:r>
          </w:p>
        </w:tc>
      </w:tr>
      <w:tr w:rsidR="003B155E" w:rsidRPr="00FF45DE" w14:paraId="2FAAC6C9" w14:textId="77777777" w:rsidTr="000D79D6">
        <w:trPr>
          <w:trHeight w:val="921"/>
        </w:trPr>
        <w:tc>
          <w:tcPr>
            <w:tcW w:w="1844" w:type="pct"/>
            <w:vAlign w:val="center"/>
          </w:tcPr>
          <w:p w14:paraId="3540BBBC"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Bantlı serpme makinesi (arka hortum)</w:t>
            </w:r>
          </w:p>
        </w:tc>
        <w:tc>
          <w:tcPr>
            <w:tcW w:w="3156" w:type="pct"/>
            <w:vAlign w:val="center"/>
          </w:tcPr>
          <w:p w14:paraId="0F6EFB4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römorkuna monte edilmiş geniş bir çubuktan bir dizi esnek hortum sarkmaktadır. Hortumlar, sulu gübreyi geniş paralel bantlar halinde zemin seviyesinde boşaltır. Büyüyen ekilebilir bir mahsulün sıraları arasına uygulama yapılabilir.</w:t>
            </w:r>
          </w:p>
        </w:tc>
      </w:tr>
      <w:tr w:rsidR="003B155E" w:rsidRPr="00FF45DE" w14:paraId="7BF08187" w14:textId="77777777" w:rsidTr="000D79D6">
        <w:trPr>
          <w:trHeight w:val="1149"/>
        </w:trPr>
        <w:tc>
          <w:tcPr>
            <w:tcW w:w="1844" w:type="pct"/>
            <w:vAlign w:val="center"/>
          </w:tcPr>
          <w:p w14:paraId="4598C763" w14:textId="77777777" w:rsidR="003B155E" w:rsidRPr="00FF45DE" w:rsidRDefault="003B155E" w:rsidP="000D79D6">
            <w:pPr>
              <w:ind w:left="74" w:right="74"/>
              <w:rPr>
                <w:rFonts w:ascii="Times New Roman" w:eastAsia="Times New Roman" w:hAnsi="Times New Roman" w:cs="Times New Roman"/>
                <w:lang w:val="fi-FI"/>
              </w:rPr>
            </w:pPr>
            <w:r w:rsidRPr="00FF45DE">
              <w:rPr>
                <w:rFonts w:ascii="Times New Roman" w:eastAsia="Times New Roman" w:hAnsi="Times New Roman" w:cs="Times New Roman"/>
                <w:lang w:val="tr"/>
              </w:rPr>
              <w:t>Bantlı serpme makinesi (arka hortum)</w:t>
            </w:r>
          </w:p>
        </w:tc>
        <w:tc>
          <w:tcPr>
            <w:tcW w:w="3156" w:type="pct"/>
            <w:vAlign w:val="center"/>
          </w:tcPr>
          <w:p w14:paraId="11260DE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 sulu gübreyi doğrudan toprak yüzeyine ve ekin örtüsünün altına dar bantlar halinde uygulamak için tasarlanmış metal 'pabuçlarda' son bulan sert borulardan boşaltılır. Bazı arka pabuç türleri, sızmaya yardımcı olmak için toprakta sığ bir yarık kesmek üzere tasarlanmıştır.</w:t>
            </w:r>
          </w:p>
        </w:tc>
      </w:tr>
      <w:tr w:rsidR="003B155E" w:rsidRPr="00FF45DE" w14:paraId="133579F9" w14:textId="77777777" w:rsidTr="000D79D6">
        <w:trPr>
          <w:trHeight w:val="1149"/>
        </w:trPr>
        <w:tc>
          <w:tcPr>
            <w:tcW w:w="1844" w:type="pct"/>
            <w:vAlign w:val="center"/>
          </w:tcPr>
          <w:p w14:paraId="54A608B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Sığ enjektör </w:t>
            </w:r>
          </w:p>
        </w:tc>
        <w:tc>
          <w:tcPr>
            <w:tcW w:w="3156" w:type="pct"/>
            <w:vAlign w:val="center"/>
          </w:tcPr>
          <w:p w14:paraId="00A9F55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Toprakta dikey yarıklar (tipik olarak 4-6 cm derinliğinde) kesmek için ayaklı veya diskli tırmıklar kullanılır ve sulu gübrenin biriktiği oluklar oluşturulur. Enjekte edilen sulu gübre tamamen veya kısmen toprak yüzeyinin altına yerleştirilir ve oluklar normal olarak sulu gübre uygulamasından sonra açılır.</w:t>
            </w:r>
          </w:p>
        </w:tc>
      </w:tr>
      <w:tr w:rsidR="003B155E" w:rsidRPr="00FF45DE" w14:paraId="25C9CDD9" w14:textId="77777777" w:rsidTr="000D79D6">
        <w:trPr>
          <w:trHeight w:val="921"/>
        </w:trPr>
        <w:tc>
          <w:tcPr>
            <w:tcW w:w="1844" w:type="pct"/>
            <w:vAlign w:val="center"/>
          </w:tcPr>
          <w:p w14:paraId="059512D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 xml:space="preserve">Derin enjektör </w:t>
            </w:r>
          </w:p>
        </w:tc>
        <w:tc>
          <w:tcPr>
            <w:tcW w:w="3156" w:type="pct"/>
            <w:vAlign w:val="center"/>
          </w:tcPr>
          <w:p w14:paraId="4301594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Pres tekerlekleri veya merdaneler vasıtasıyla sulu gübreyi tamamen örtmeden önce, toprağı işlemek ve sulu gübreyi içine bırakmak için ayaklı veya diskli tırmık makineleri kullanılır. Kapalı yuvanın derinliği 10 cm ile 20 cm arasında değişmektedir.</w:t>
            </w:r>
          </w:p>
        </w:tc>
      </w:tr>
    </w:tbl>
    <w:p w14:paraId="49EAB4AE"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55" w:name="_Toc136614335"/>
      <w:r w:rsidRPr="00FF45DE">
        <w:rPr>
          <w:rFonts w:ascii="Times New Roman" w:eastAsia="DengXian Light" w:hAnsi="Times New Roman" w:cs="Microsoft Uighur"/>
          <w:b/>
          <w:kern w:val="0"/>
          <w:sz w:val="24"/>
          <w:szCs w:val="26"/>
          <w:lang w:val="en-US"/>
          <w14:ligatures w14:val="none"/>
        </w:rPr>
        <w:lastRenderedPageBreak/>
        <w:t>Takip Teknikleri</w:t>
      </w:r>
      <w:bookmarkEnd w:id="55"/>
      <w:r w:rsidRPr="00FF45DE">
        <w:rPr>
          <w:rFonts w:ascii="Times New Roman" w:eastAsia="DengXian Light" w:hAnsi="Times New Roman" w:cs="Microsoft Uighur"/>
          <w:b/>
          <w:kern w:val="0"/>
          <w:sz w:val="24"/>
          <w:szCs w:val="26"/>
          <w:lang w:val="en-US"/>
          <w14:ligatures w14:val="none"/>
        </w:rPr>
        <w:t>nin Tanımları</w:t>
      </w:r>
    </w:p>
    <w:p w14:paraId="4C224F8D"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fi-FI"/>
          <w14:ligatures w14:val="none"/>
        </w:rPr>
      </w:pPr>
      <w:bookmarkStart w:id="56" w:name="_Toc136614336"/>
      <w:r w:rsidRPr="00FF45DE">
        <w:rPr>
          <w:rFonts w:ascii="Times New Roman" w:eastAsia="DengXian Light" w:hAnsi="Times New Roman" w:cs="Microsoft Uighur"/>
          <w:b/>
          <w:kern w:val="0"/>
          <w:sz w:val="24"/>
          <w:szCs w:val="24"/>
          <w:lang w:val="fi-FI"/>
          <w14:ligatures w14:val="none"/>
        </w:rPr>
        <w:t>N ve P Salım Takibi Teknikleri</w:t>
      </w:r>
      <w:bookmarkEnd w:id="56"/>
      <w:r w:rsidRPr="00FF45DE">
        <w:rPr>
          <w:rFonts w:ascii="Times New Roman" w:eastAsia="DengXian Light" w:hAnsi="Times New Roman" w:cs="Microsoft Uighur"/>
          <w:b/>
          <w:kern w:val="0"/>
          <w:sz w:val="24"/>
          <w:szCs w:val="24"/>
          <w:lang w:val="fi-FI"/>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24"/>
        <w:gridCol w:w="5738"/>
      </w:tblGrid>
      <w:tr w:rsidR="003B155E" w:rsidRPr="00FF45DE" w14:paraId="49EBB4CC" w14:textId="77777777" w:rsidTr="000D79D6">
        <w:trPr>
          <w:trHeight w:val="285"/>
          <w:tblHeader/>
        </w:trPr>
        <w:tc>
          <w:tcPr>
            <w:tcW w:w="1834" w:type="pct"/>
          </w:tcPr>
          <w:p w14:paraId="5B52B3FB"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66" w:type="pct"/>
          </w:tcPr>
          <w:p w14:paraId="0ECF834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5E7DFA6F" w14:textId="77777777" w:rsidTr="000D79D6">
        <w:trPr>
          <w:trHeight w:val="7267"/>
        </w:trPr>
        <w:tc>
          <w:tcPr>
            <w:tcW w:w="1834" w:type="pct"/>
            <w:vAlign w:val="center"/>
          </w:tcPr>
          <w:p w14:paraId="7283E1EE"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Yem alımı, beslenmeyle alınan ham protein içeriği, toplam fosfor ve hayvan performansına bağlı olarak azot ve fosfor kütle dengesi kullanılarak hesaplama</w:t>
            </w:r>
          </w:p>
        </w:tc>
        <w:tc>
          <w:tcPr>
            <w:tcW w:w="3166" w:type="pct"/>
            <w:vAlign w:val="center"/>
          </w:tcPr>
          <w:p w14:paraId="487F4FE9"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Kütle dengesi, çiftlikte yetiştirilen her bir hayvan kategorisi için, yetiştirme döngüsünün sonuna denk gelen, aşağıdaki denklemler temelinde hesaplanır:</w:t>
            </w:r>
          </w:p>
          <w:p w14:paraId="57297F9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position w:val="3"/>
                <w:lang w:val="tr"/>
              </w:rPr>
              <w:t>N</w:t>
            </w:r>
            <w:r w:rsidRPr="00FF45DE">
              <w:rPr>
                <w:rFonts w:ascii="Times New Roman" w:eastAsia="Times New Roman" w:hAnsi="Times New Roman" w:cs="Times New Roman"/>
                <w:vertAlign w:val="subscript"/>
                <w:lang w:val="tr"/>
              </w:rPr>
              <w:t>atılan</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 N</w:t>
            </w:r>
            <w:r w:rsidRPr="00FF45DE">
              <w:rPr>
                <w:rFonts w:ascii="Times New Roman" w:eastAsia="Times New Roman" w:hAnsi="Times New Roman" w:cs="Times New Roman"/>
                <w:vertAlign w:val="subscript"/>
                <w:lang w:val="tr"/>
              </w:rPr>
              <w:t>beslenme</w:t>
            </w:r>
            <w:r w:rsidRPr="00FF45DE">
              <w:rPr>
                <w:rFonts w:ascii="Times New Roman" w:eastAsia="Times New Roman" w:hAnsi="Times New Roman" w:cs="Times New Roman"/>
                <w:position w:val="3"/>
                <w:lang w:val="tr"/>
              </w:rPr>
              <w:t>– N</w:t>
            </w:r>
            <w:r w:rsidRPr="00FF45DE">
              <w:rPr>
                <w:rFonts w:ascii="Times New Roman" w:eastAsia="Times New Roman" w:hAnsi="Times New Roman" w:cs="Times New Roman"/>
                <w:vertAlign w:val="subscript"/>
                <w:lang w:val="tr"/>
              </w:rPr>
              <w:t>birikim</w:t>
            </w:r>
          </w:p>
          <w:p w14:paraId="6E1013C0"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position w:val="3"/>
                <w:lang w:val="tr"/>
              </w:rPr>
              <w:t>P</w:t>
            </w:r>
            <w:r w:rsidRPr="00FF45DE">
              <w:rPr>
                <w:rFonts w:ascii="Times New Roman" w:eastAsia="Times New Roman" w:hAnsi="Times New Roman" w:cs="Times New Roman"/>
                <w:vertAlign w:val="subscript"/>
                <w:lang w:val="tr"/>
              </w:rPr>
              <w:t>atılan</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 P</w:t>
            </w:r>
            <w:r w:rsidRPr="00FF45DE">
              <w:rPr>
                <w:rFonts w:ascii="Times New Roman" w:eastAsia="Times New Roman" w:hAnsi="Times New Roman" w:cs="Times New Roman"/>
                <w:vertAlign w:val="subscript"/>
                <w:lang w:val="tr"/>
              </w:rPr>
              <w:t>beslenme</w:t>
            </w:r>
            <w:r w:rsidRPr="00FF45DE">
              <w:rPr>
                <w:rFonts w:ascii="Times New Roman" w:eastAsia="Times New Roman" w:hAnsi="Times New Roman" w:cs="Times New Roman"/>
                <w:position w:val="3"/>
                <w:lang w:val="tr"/>
              </w:rPr>
              <w:t>– P</w:t>
            </w:r>
            <w:r w:rsidRPr="00FF45DE">
              <w:rPr>
                <w:rFonts w:ascii="Times New Roman" w:eastAsia="Times New Roman" w:hAnsi="Times New Roman" w:cs="Times New Roman"/>
                <w:vertAlign w:val="subscript"/>
                <w:lang w:val="tr"/>
              </w:rPr>
              <w:t>birikim</w:t>
            </w:r>
          </w:p>
          <w:p w14:paraId="79D2956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N</w:t>
            </w:r>
            <w:r w:rsidRPr="00FF45DE">
              <w:rPr>
                <w:rFonts w:ascii="Times New Roman" w:eastAsia="Times New Roman" w:hAnsi="Times New Roman" w:cs="Times New Roman"/>
                <w:vertAlign w:val="subscript"/>
                <w:lang w:val="tr"/>
              </w:rPr>
              <w:t>beslenme</w:t>
            </w:r>
            <w:r w:rsidRPr="00FF45DE">
              <w:rPr>
                <w:rFonts w:ascii="Times New Roman" w:eastAsia="Times New Roman" w:hAnsi="Times New Roman" w:cs="Times New Roman"/>
                <w:lang w:val="tr"/>
              </w:rPr>
              <w:t>, alınan yem miktarına ve beslenmenin ham protein içeriğine bağlıdır. P</w:t>
            </w:r>
            <w:r w:rsidRPr="00FF45DE">
              <w:rPr>
                <w:rFonts w:ascii="Times New Roman" w:eastAsia="Times New Roman" w:hAnsi="Times New Roman" w:cs="Times New Roman"/>
                <w:vertAlign w:val="subscript"/>
                <w:lang w:val="tr"/>
              </w:rPr>
              <w:t>beslenme</w:t>
            </w:r>
            <w:r w:rsidRPr="00FF45DE">
              <w:rPr>
                <w:rFonts w:ascii="Times New Roman" w:eastAsia="Times New Roman" w:hAnsi="Times New Roman" w:cs="Times New Roman"/>
                <w:lang w:val="tr"/>
              </w:rPr>
              <w:t>, alınan yem miktarına ve beslenmenin toplam fosfor içeriğine bağlıdır. Ham protein ve toplam fosfor içeriği aşağıdaki yöntemlerden biri ile elde edilebilir:</w:t>
            </w:r>
          </w:p>
          <w:p w14:paraId="1EBB4700" w14:textId="77777777" w:rsidR="003B155E" w:rsidRPr="00FF45DE" w:rsidRDefault="003B155E" w:rsidP="003B155E">
            <w:pPr>
              <w:numPr>
                <w:ilvl w:val="0"/>
                <w:numId w:val="185"/>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Harici yem beslemesi durumunda: beraberindeki belgelerde</w:t>
            </w:r>
          </w:p>
          <w:p w14:paraId="119F7ABC" w14:textId="77777777" w:rsidR="003B155E" w:rsidRPr="00FF45DE" w:rsidRDefault="003B155E" w:rsidP="003B155E">
            <w:pPr>
              <w:numPr>
                <w:ilvl w:val="0"/>
                <w:numId w:val="185"/>
              </w:numPr>
              <w:ind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Yemin kendi kendine işlenmesi durumunda: toplam fosfor ve ham protein içeriğini analiz etmek için silolardan veya yemleme sisteminden yem maddesi bileşiklerinden numune alarak veya alternatif olarak eşlik eden belgelerde veya toplam fosfor içeriğinin standart değerlerini kullanarak ve yem bileşiklerinin ham proteini.</w:t>
            </w:r>
          </w:p>
          <w:p w14:paraId="2E34267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N</w:t>
            </w:r>
            <w:r w:rsidRPr="00FF45DE">
              <w:rPr>
                <w:rFonts w:ascii="Times New Roman" w:eastAsia="Times New Roman" w:hAnsi="Times New Roman" w:cs="Times New Roman"/>
                <w:vertAlign w:val="subscript"/>
                <w:lang w:val="tr"/>
              </w:rPr>
              <w:t>birikim</w:t>
            </w:r>
            <w:r w:rsidRPr="00FF45DE">
              <w:rPr>
                <w:rFonts w:ascii="Times New Roman" w:eastAsia="Times New Roman" w:hAnsi="Times New Roman" w:cs="Times New Roman"/>
                <w:lang w:val="tr"/>
              </w:rPr>
              <w:t xml:space="preserve"> ve P</w:t>
            </w:r>
            <w:r w:rsidRPr="00FF45DE">
              <w:rPr>
                <w:rFonts w:ascii="Times New Roman" w:eastAsia="Times New Roman" w:hAnsi="Times New Roman" w:cs="Times New Roman"/>
                <w:vertAlign w:val="subscript"/>
                <w:lang w:val="tr"/>
              </w:rPr>
              <w:t>birikim</w:t>
            </w:r>
            <w:r w:rsidRPr="00FF45DE">
              <w:rPr>
                <w:rFonts w:ascii="Times New Roman" w:eastAsia="Times New Roman" w:hAnsi="Times New Roman" w:cs="Times New Roman"/>
                <w:lang w:val="tr"/>
              </w:rPr>
              <w:t>, aşağıdaki yöntemlerden biri ile tahmin edilebilir:</w:t>
            </w:r>
          </w:p>
          <w:p w14:paraId="21B43E22" w14:textId="77777777" w:rsidR="003B155E" w:rsidRPr="00FF45DE" w:rsidRDefault="003B155E" w:rsidP="003B155E">
            <w:pPr>
              <w:numPr>
                <w:ilvl w:val="0"/>
                <w:numId w:val="185"/>
              </w:numPr>
              <w:ind w:left="190"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İstatistiksel olarak türetilmiş denklemler veya modeller</w:t>
            </w:r>
          </w:p>
          <w:p w14:paraId="1AC059D9" w14:textId="77777777" w:rsidR="003B155E" w:rsidRPr="00FF45DE" w:rsidRDefault="003B155E" w:rsidP="003B155E">
            <w:pPr>
              <w:numPr>
                <w:ilvl w:val="0"/>
                <w:numId w:val="185"/>
              </w:numPr>
              <w:tabs>
                <w:tab w:val="left" w:pos="567"/>
              </w:tabs>
              <w:ind w:left="190"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Hayvanın (veya yumurta tavuklarında yumurtaların) azot ve fosfor içerikleri için standart bakma faktörleri</w:t>
            </w:r>
          </w:p>
          <w:p w14:paraId="604395D9" w14:textId="77777777" w:rsidR="003B155E" w:rsidRPr="00FF45DE" w:rsidRDefault="003B155E" w:rsidP="003B155E">
            <w:pPr>
              <w:numPr>
                <w:ilvl w:val="0"/>
                <w:numId w:val="185"/>
              </w:numPr>
              <w:tabs>
                <w:tab w:val="left" w:pos="567"/>
              </w:tabs>
              <w:ind w:left="190"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Hayvanın (veya yumurta tavuklarında yumurtaların) temsili bir örneğinin azot ve fosfor içeriklerinin analizi</w:t>
            </w:r>
          </w:p>
          <w:p w14:paraId="1BD892A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Kütle dengesinde özellikle yaygın olarak uygulanan beslenme düzenindeki önemli değişiklikler (ör. bir karma yemin değiştirilmesi) dikkate alınır.</w:t>
            </w:r>
          </w:p>
        </w:tc>
      </w:tr>
      <w:tr w:rsidR="003B155E" w:rsidRPr="00FF45DE" w14:paraId="22849692" w14:textId="77777777" w:rsidTr="000D79D6">
        <w:trPr>
          <w:trHeight w:val="2301"/>
        </w:trPr>
        <w:tc>
          <w:tcPr>
            <w:tcW w:w="1834" w:type="pct"/>
            <w:vAlign w:val="center"/>
          </w:tcPr>
          <w:p w14:paraId="21FD6D4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Toplam azot ve toplam fosfor içerikleri için gübre analizi kullanılarak tahmin</w:t>
            </w:r>
          </w:p>
        </w:tc>
        <w:tc>
          <w:tcPr>
            <w:tcW w:w="3166" w:type="pct"/>
            <w:vAlign w:val="center"/>
          </w:tcPr>
          <w:p w14:paraId="12555D43"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Temsili bir karma gübre örneğinin toplam azot ve fosfor içeriği ölçülür ve gübrenin hacmi (sulu gübre için) veya ağırlığı (katı gübre için) için kayıtlara dayalı olarak azot ve fosforun toplam atılımı tahmin edilir. Katı gübre sistemleri için altlığın azot içeriği de dikkate alınır.</w:t>
            </w:r>
          </w:p>
          <w:p w14:paraId="6FE7967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Kompozit numunenin temsili olabilmesi için, kompozit numuneyi oluşturacak en az 10 farklı yerden ve/veya derinlikten numune alınması gerekir. Kümes hayvanı altlığı söz konusu olduğunda, altlığın alt kısmından numune alınır.</w:t>
            </w:r>
          </w:p>
        </w:tc>
      </w:tr>
    </w:tbl>
    <w:p w14:paraId="53912732"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tr"/>
          <w14:ligatures w14:val="none"/>
        </w:rPr>
      </w:pPr>
      <w:bookmarkStart w:id="57" w:name="_Toc136614337"/>
      <w:r w:rsidRPr="00FF45DE">
        <w:rPr>
          <w:rFonts w:ascii="Times New Roman" w:eastAsia="DengXian Light" w:hAnsi="Times New Roman" w:cs="Microsoft Uighur"/>
          <w:b/>
          <w:kern w:val="0"/>
          <w:sz w:val="24"/>
          <w:szCs w:val="24"/>
          <w:lang w:val="tr"/>
          <w14:ligatures w14:val="none"/>
        </w:rPr>
        <w:t>Amonyak ve Toz İzleme Teknikleri</w:t>
      </w:r>
      <w:bookmarkEnd w:id="57"/>
      <w:r w:rsidRPr="00FF45DE">
        <w:rPr>
          <w:rFonts w:ascii="Times New Roman" w:eastAsia="DengXian Light" w:hAnsi="Times New Roman" w:cs="Microsoft Uighur"/>
          <w:b/>
          <w:kern w:val="0"/>
          <w:sz w:val="24"/>
          <w:szCs w:val="24"/>
          <w:lang w:val="tr"/>
          <w14:ligatures w14:val="none"/>
        </w:rPr>
        <w:t>nin Tanımları</w:t>
      </w:r>
    </w:p>
    <w:tbl>
      <w:tblPr>
        <w:tblStyle w:val="TableNormal0"/>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0"/>
        <w:gridCol w:w="6822"/>
      </w:tblGrid>
      <w:tr w:rsidR="003B155E" w:rsidRPr="00FF45DE" w14:paraId="4F8C3025" w14:textId="77777777" w:rsidTr="000D79D6">
        <w:trPr>
          <w:trHeight w:val="20"/>
          <w:tblHeader/>
        </w:trPr>
        <w:tc>
          <w:tcPr>
            <w:tcW w:w="2250" w:type="dxa"/>
          </w:tcPr>
          <w:p w14:paraId="02997FE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6822" w:type="dxa"/>
          </w:tcPr>
          <w:p w14:paraId="55CDB456"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69587032" w14:textId="77777777" w:rsidTr="000D79D6">
        <w:trPr>
          <w:trHeight w:val="20"/>
        </w:trPr>
        <w:tc>
          <w:tcPr>
            <w:tcW w:w="2250" w:type="dxa"/>
            <w:vAlign w:val="center"/>
          </w:tcPr>
          <w:p w14:paraId="501FD14F"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Her gübre yönetimi aşamasında mevcut olan toplam (veya amonyak) azot ve atılıma dayalı bir kütle dengesi kullanılarak tahmin.</w:t>
            </w:r>
          </w:p>
        </w:tc>
        <w:tc>
          <w:tcPr>
            <w:tcW w:w="6822" w:type="dxa"/>
            <w:vAlign w:val="center"/>
          </w:tcPr>
          <w:p w14:paraId="6FADA3AE"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Amonyak emisyonları, her bir hayvan kategorisi tarafından atılan azot miktarına dayalı olarak ve her bir gübre yönetim aşamasında (barındırma, depolama, araziye yayma) toplam azot (veya toplam amonyak azot - TAA) akışı ve buharlaşma katsayıları (VC) kullanılarak tahmin edilir.</w:t>
            </w:r>
          </w:p>
          <w:p w14:paraId="736D3E32"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Gübre yönetimi aşamalarının her biri için uygulanan denklemler şunlardır:</w:t>
            </w:r>
          </w:p>
          <w:p w14:paraId="40F80B43"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position w:val="3"/>
                <w:lang w:val="tr"/>
              </w:rPr>
              <w:t>E</w:t>
            </w:r>
            <w:r w:rsidRPr="00FF45DE">
              <w:rPr>
                <w:rFonts w:ascii="Times New Roman" w:eastAsia="Times New Roman" w:hAnsi="Times New Roman" w:cs="Times New Roman"/>
                <w:vertAlign w:val="subscript"/>
                <w:lang w:val="tr"/>
              </w:rPr>
              <w:t>barınak</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 N</w:t>
            </w:r>
            <w:r w:rsidRPr="00FF45DE">
              <w:rPr>
                <w:rFonts w:ascii="Times New Roman" w:eastAsia="Times New Roman" w:hAnsi="Times New Roman" w:cs="Times New Roman"/>
                <w:vertAlign w:val="subscript"/>
                <w:lang w:val="tr"/>
              </w:rPr>
              <w:t xml:space="preserve">atılan </w:t>
            </w:r>
            <w:r w:rsidRPr="00FF45DE">
              <w:rPr>
                <w:rFonts w:ascii="Times New Roman" w:eastAsia="Times New Roman" w:hAnsi="Times New Roman" w:cs="Times New Roman"/>
                <w:position w:val="3"/>
                <w:lang w:val="tr"/>
              </w:rPr>
              <w:t>· VC</w:t>
            </w:r>
            <w:r w:rsidRPr="00FF45DE">
              <w:rPr>
                <w:rFonts w:ascii="Times New Roman" w:eastAsia="Times New Roman" w:hAnsi="Times New Roman" w:cs="Times New Roman"/>
                <w:vertAlign w:val="subscript"/>
                <w:lang w:val="tr"/>
              </w:rPr>
              <w:t>barınak</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E</w:t>
            </w:r>
            <w:r w:rsidRPr="00FF45DE">
              <w:rPr>
                <w:rFonts w:ascii="Times New Roman" w:eastAsia="Times New Roman" w:hAnsi="Times New Roman" w:cs="Times New Roman"/>
                <w:vertAlign w:val="subscript"/>
                <w:lang w:val="tr"/>
              </w:rPr>
              <w:t>depolama</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 N</w:t>
            </w:r>
            <w:r w:rsidRPr="00FF45DE">
              <w:rPr>
                <w:rFonts w:ascii="Times New Roman" w:eastAsia="Times New Roman" w:hAnsi="Times New Roman" w:cs="Times New Roman"/>
                <w:vertAlign w:val="subscript"/>
                <w:lang w:val="tr"/>
              </w:rPr>
              <w:t>depolama</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 VC</w:t>
            </w:r>
            <w:r w:rsidRPr="00FF45DE">
              <w:rPr>
                <w:rFonts w:ascii="Times New Roman" w:eastAsia="Times New Roman" w:hAnsi="Times New Roman" w:cs="Times New Roman"/>
                <w:vertAlign w:val="subscript"/>
                <w:lang w:val="tr"/>
              </w:rPr>
              <w:t>depolama</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E</w:t>
            </w:r>
            <w:r w:rsidRPr="00FF45DE">
              <w:rPr>
                <w:rFonts w:ascii="Times New Roman" w:eastAsia="Times New Roman" w:hAnsi="Times New Roman" w:cs="Times New Roman"/>
                <w:vertAlign w:val="subscript"/>
                <w:lang w:val="tr"/>
              </w:rPr>
              <w:t xml:space="preserve">yayma </w:t>
            </w:r>
            <w:r w:rsidRPr="00FF45DE">
              <w:rPr>
                <w:rFonts w:ascii="Times New Roman" w:eastAsia="Times New Roman" w:hAnsi="Times New Roman" w:cs="Times New Roman"/>
                <w:position w:val="3"/>
                <w:lang w:val="tr"/>
              </w:rPr>
              <w:t>= N</w:t>
            </w:r>
            <w:r w:rsidRPr="00FF45DE">
              <w:rPr>
                <w:rFonts w:ascii="Times New Roman" w:eastAsia="Times New Roman" w:hAnsi="Times New Roman" w:cs="Times New Roman"/>
                <w:vertAlign w:val="subscript"/>
                <w:lang w:val="tr"/>
              </w:rPr>
              <w:t>yayma</w:t>
            </w:r>
            <w:r w:rsidRPr="00FF45DE">
              <w:rPr>
                <w:rFonts w:ascii="Times New Roman" w:eastAsia="Times New Roman" w:hAnsi="Times New Roman" w:cs="Times New Roman"/>
                <w:lang w:val="tr"/>
              </w:rPr>
              <w:t xml:space="preserve"> </w:t>
            </w:r>
            <w:r w:rsidRPr="00FF45DE">
              <w:rPr>
                <w:rFonts w:ascii="Times New Roman" w:eastAsia="Times New Roman" w:hAnsi="Times New Roman" w:cs="Times New Roman"/>
                <w:position w:val="3"/>
                <w:lang w:val="tr"/>
              </w:rPr>
              <w:t>· VC</w:t>
            </w:r>
            <w:r w:rsidRPr="00FF45DE">
              <w:rPr>
                <w:rFonts w:ascii="Times New Roman" w:eastAsia="Times New Roman" w:hAnsi="Times New Roman" w:cs="Times New Roman"/>
                <w:vertAlign w:val="subscript"/>
                <w:lang w:val="tr"/>
              </w:rPr>
              <w:t>yayma</w:t>
            </w:r>
          </w:p>
          <w:p w14:paraId="06D4D000"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lastRenderedPageBreak/>
              <w:t>ki burada:</w:t>
            </w:r>
          </w:p>
          <w:p w14:paraId="2D3C4E7E"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E, hayvan barınağından, gübre deposundan veya araziye yaymadan kaynaklanan yıllık NH</w:t>
            </w:r>
            <w:r w:rsidRPr="00FF45DE">
              <w:rPr>
                <w:rFonts w:ascii="Times New Roman" w:eastAsia="Times New Roman" w:hAnsi="Times New Roman" w:cs="Times New Roman"/>
                <w:vertAlign w:val="subscript"/>
                <w:lang w:val="tr"/>
              </w:rPr>
              <w:t>3</w:t>
            </w:r>
            <w:r w:rsidRPr="00FF45DE">
              <w:rPr>
                <w:rFonts w:ascii="Times New Roman" w:eastAsia="Times New Roman" w:hAnsi="Times New Roman" w:cs="Times New Roman"/>
                <w:lang w:val="tr"/>
              </w:rPr>
              <w:t xml:space="preserve"> emisyonudur (ör. kg NH</w:t>
            </w:r>
            <w:r w:rsidRPr="00FF45DE">
              <w:rPr>
                <w:rFonts w:ascii="Times New Roman" w:eastAsia="Times New Roman" w:hAnsi="Times New Roman" w:cs="Times New Roman"/>
                <w:vertAlign w:val="subscript"/>
                <w:lang w:val="tr"/>
              </w:rPr>
              <w:t>3</w:t>
            </w:r>
            <w:r w:rsidRPr="00FF45DE">
              <w:rPr>
                <w:rFonts w:ascii="Times New Roman" w:eastAsia="Times New Roman" w:hAnsi="Times New Roman" w:cs="Times New Roman"/>
                <w:lang w:val="tr"/>
              </w:rPr>
              <w:t>/hayvan yeri/yılı olarak).</w:t>
            </w:r>
          </w:p>
          <w:p w14:paraId="7D9BFDF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Yıllık toplam azot veya atılan, depolanan veya arazide uygulanan TAA'dır (ör. kg N/hayvan yeri/yıl olarak). Uygunsa, azot ilaveleri (ör. altlık, yıkama sıvılarının geri dönüşümü ile ilgili) ve/veya azot kayıpları (ör. gübre işleme ile ilgili) dikkate alınabilir.</w:t>
            </w:r>
          </w:p>
          <w:p w14:paraId="646B679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VC havaya salınan TAA veya toplam N oranını temsil eden buharlaşma katsayısıdır (boyutsuz, barınak sistemi, gübre depolama veya araziye yayma teknikleri ile ilgili).</w:t>
            </w:r>
          </w:p>
          <w:p w14:paraId="0771EAC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VC, ulusal veya uluslararası bir protokole (ör. VERA protokolü) göre tasarlanmış ve gerçekleştirilen ölçümlerden elde edilir ve aynı teknik ve benzer iklim koşullarına sahip bir çiftlik için doğrulanır. Alternatif olarak, VC'yi bulmak için bilgiler, Avrupa'dan veya diğer uluslararası kabul görmüş kılavuzlardan alınabilir.</w:t>
            </w:r>
          </w:p>
          <w:p w14:paraId="3849268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Kütle dengesinde özellikle çiftlikte yetiştirilen canlı hayvan türünde ve/veya barınak, depolama ve araziye yayma için uygulanan tekniklerdeki önemli değişiklikleri dikkate alınır.</w:t>
            </w:r>
          </w:p>
        </w:tc>
      </w:tr>
      <w:tr w:rsidR="003B155E" w:rsidRPr="00FF45DE" w14:paraId="4810352F" w14:textId="77777777" w:rsidTr="000D79D6">
        <w:trPr>
          <w:trHeight w:val="20"/>
        </w:trPr>
        <w:tc>
          <w:tcPr>
            <w:tcW w:w="2250" w:type="dxa"/>
            <w:vAlign w:val="center"/>
          </w:tcPr>
          <w:p w14:paraId="00D515DE" w14:textId="77777777" w:rsidR="003B155E" w:rsidRPr="00FF45DE" w:rsidRDefault="003B155E" w:rsidP="000D79D6">
            <w:pPr>
              <w:tabs>
                <w:tab w:val="left" w:pos="1451"/>
                <w:tab w:val="left" w:pos="2288"/>
              </w:tabs>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lastRenderedPageBreak/>
              <w:t>ISO, ulusal veya uluslararası standart yöntemler veya eşdeğer bilimsel kalitede veri sağlayan diğer yöntemler kullanılarak amonyak (veya toz) konsantrasyonunun ve havalandırma oranının ölçülmesiyle hesaplama.</w:t>
            </w:r>
          </w:p>
        </w:tc>
        <w:tc>
          <w:tcPr>
            <w:tcW w:w="6822" w:type="dxa"/>
            <w:vAlign w:val="center"/>
          </w:tcPr>
          <w:p w14:paraId="09B4A81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Amonyak (veya toz) numuneleri, bir yıla dağıtılarak en az altı günde alınır. Numune alma günleri aşağıdaki gibi dağıtılır:</w:t>
            </w:r>
          </w:p>
          <w:p w14:paraId="72A2186E" w14:textId="77777777" w:rsidR="003B155E" w:rsidRPr="00FF45DE" w:rsidRDefault="003B155E" w:rsidP="003B155E">
            <w:pPr>
              <w:numPr>
                <w:ilvl w:val="0"/>
                <w:numId w:val="186"/>
              </w:numPr>
              <w:tabs>
                <w:tab w:val="left" w:pos="243"/>
              </w:tabs>
              <w:ind w:left="74"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İstikrarlı bir emisyon paterni olan hayvan kategorileri için (ör. yumurta tavukları), numune alma günleri her iki aylık dönemde rastgele seçilir. Günlük ortalama, tüm numune alma günleri üzerinden bir ortalama olarak hesaplanır.</w:t>
            </w:r>
          </w:p>
          <w:p w14:paraId="4F902CA2" w14:textId="77777777" w:rsidR="003B155E" w:rsidRPr="00FF45DE" w:rsidRDefault="003B155E" w:rsidP="003B155E">
            <w:pPr>
              <w:numPr>
                <w:ilvl w:val="0"/>
                <w:numId w:val="186"/>
              </w:numPr>
              <w:tabs>
                <w:tab w:val="left" w:pos="250"/>
              </w:tabs>
              <w:ind w:left="74"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Yetiştirme döngüsü sırasında emisyonlarda doğrusal bir artış olan hayvan kategorileri için (ör. besi domuzları), numune alma günleri büyüme periyoduna eşit olarak dağıtılır. Bunu gerçekleştirmek için ölçümlerin yarısı yetiştirme döngüsünün ilk yarısında, geri kalanı ise yetiştirme döngüsünün ikinci yarısında yapılır. Yetiştirme döngüsünün ikinci yarısındaki numune alma günleri yıl içinde eşit olarak dağıtılır (mevsim başına aynı sayıda ölçüm). Günlük ortalama, tüm numune alma günleri üzerinden bir ortalama olarak hesaplanır.</w:t>
            </w:r>
          </w:p>
          <w:p w14:paraId="690D1E0A" w14:textId="77777777" w:rsidR="003B155E" w:rsidRPr="00FF45DE" w:rsidRDefault="003B155E" w:rsidP="003B155E">
            <w:pPr>
              <w:numPr>
                <w:ilvl w:val="0"/>
                <w:numId w:val="186"/>
              </w:numPr>
              <w:tabs>
                <w:tab w:val="left" w:pos="252"/>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Emisyonlarda eksponansiyel olarak artan hayvan kategorileri için (ör. damızlık piliçler), yetiştirme döngüsü eşit uzunlukta (aynı sayıda gün) üç döneme bölünür. Birinci periyoda bir ölçüm günü, ikinci periyoda iki ölçüm ve üçüncü periyoda üç ölçüm düşer. Ayrıca, yetiştirme döngüsünün üçüncü dönemindeki numune alma günleri yıl içinde eşit olarak dağıtılır (mevsim başına aynı sayıda ölçüm). Günlük ortalama, üç periyodik ortalamanın ortalaması olarak hesaplanır.</w:t>
            </w:r>
          </w:p>
          <w:p w14:paraId="374641A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Numune alma, 24 saatlik numune alma periyotlarına dayalıdır ve hava girişinde/çıkışında gerçekleştirilir. Daha sonra hava çıkışındaki amonyak (veya toz) konsantrasyonu ölçülür ve gelen gazın konsantrasyonu için düzeltilir.</w:t>
            </w:r>
          </w:p>
          <w:p w14:paraId="1D5132E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Hava ve günlük amonyak (veya toz) emisyonları, havalandırma oranı ve amonyak (veya toz) konsantrasyonu ölçülerek ve çarpılarak elde edilir. Günlük ortalama amonyak (veya toz) emisyonlarından, bir hayvan barınağından kaynaklanan yıllık ortalama amonyak (veya toz) emisyonları, 365 ile çarpılması ve herhangi bir işgal dışı dönem için düzeltilmesi halinde, hesaplanabilir.</w:t>
            </w:r>
          </w:p>
          <w:p w14:paraId="4F19B6B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Emisyon kütle akışını belirlemek için gerekli olan havalandırma oranı, cebri havalandırmalı kümeslerde (ör. fan çarkı anemometresi, havalandırma kontrol sistemi kayıtları) hesaplama veya havanın uygun şekilde karışmasına izin veren doğal olarak havalandırılan kümeslerde izleyici gazlar aracılığıyla (SF</w:t>
            </w:r>
            <w:r w:rsidRPr="00FF45DE">
              <w:rPr>
                <w:rFonts w:ascii="Times New Roman" w:eastAsia="Times New Roman" w:hAnsi="Times New Roman" w:cs="Times New Roman"/>
                <w:vertAlign w:val="subscript"/>
                <w:lang w:val="tr"/>
              </w:rPr>
              <w:t>6</w:t>
            </w:r>
            <w:r w:rsidRPr="00FF45DE">
              <w:rPr>
                <w:rFonts w:ascii="Times New Roman" w:eastAsia="Times New Roman" w:hAnsi="Times New Roman" w:cs="Times New Roman"/>
                <w:lang w:val="tr"/>
              </w:rPr>
              <w:t xml:space="preserve"> ve CFCleri içeren herhangi bir gaz içeren </w:t>
            </w:r>
            <w:r w:rsidRPr="00FF45DE">
              <w:rPr>
                <w:rFonts w:ascii="Times New Roman" w:eastAsia="Times New Roman" w:hAnsi="Times New Roman" w:cs="Times New Roman"/>
                <w:lang w:val="tr"/>
              </w:rPr>
              <w:lastRenderedPageBreak/>
              <w:t>gaz kullanımı hariç) belirlenir.</w:t>
            </w:r>
          </w:p>
          <w:p w14:paraId="288316D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Birden çok hava girişi ve çıkışı olan tesisler için yalnızca tesisi temsil ettiği düşünülen (beklenen kütle emisyonları açısından) numune alma noktaları izlenir.</w:t>
            </w:r>
          </w:p>
        </w:tc>
      </w:tr>
      <w:tr w:rsidR="003B155E" w:rsidRPr="00FF45DE" w14:paraId="715DCFBB" w14:textId="77777777" w:rsidTr="000D79D6">
        <w:trPr>
          <w:trHeight w:val="20"/>
        </w:trPr>
        <w:tc>
          <w:tcPr>
            <w:tcW w:w="2250" w:type="dxa"/>
            <w:vAlign w:val="center"/>
          </w:tcPr>
          <w:p w14:paraId="30D5285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lastRenderedPageBreak/>
              <w:t>Emisyon faktörleri kullanılarak tahmin.</w:t>
            </w:r>
          </w:p>
        </w:tc>
        <w:tc>
          <w:tcPr>
            <w:tcW w:w="6822" w:type="dxa"/>
            <w:vAlign w:val="center"/>
          </w:tcPr>
          <w:p w14:paraId="7C784F8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Amonyak (veya toz) emisyonları, aynı teknikle (barınma sistemi, gübre depolama ve/veya araziye yayma) ve benzer iklim koşulları ile bir çiftlikte ulusal veya uluslararası bir protokole (ör. VERA protokolü) göre tasarlanan ve gerçekleştirilen ölçümlerden elde edilen emisyon faktörlerine dayalı olarak tahmin edilir. Alternatif olarak, emisyon faktörleri Avrupa veya diğer uluslararası kabul görmüş kılavuzlardan alınabilir.</w:t>
            </w:r>
          </w:p>
          <w:p w14:paraId="2E90501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Emisyon faktörlerinin kullanımında özellikle çiftlikte yetiştirilen canlı hayvan türünde ve/veya barınak, depolama, arazi yayma için uygulanan tekniklerdeki önemli değişiklikleri göz önünde bulundurulur.</w:t>
            </w:r>
          </w:p>
        </w:tc>
      </w:tr>
    </w:tbl>
    <w:p w14:paraId="36F7346B"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fi-FI"/>
          <w14:ligatures w14:val="none"/>
        </w:rPr>
      </w:pPr>
      <w:bookmarkStart w:id="58" w:name="_Toc136614338"/>
      <w:r w:rsidRPr="00FF45DE">
        <w:rPr>
          <w:rFonts w:ascii="Times New Roman" w:eastAsia="DengXian Light" w:hAnsi="Times New Roman" w:cs="Microsoft Uighur"/>
          <w:b/>
          <w:kern w:val="0"/>
          <w:sz w:val="24"/>
          <w:szCs w:val="24"/>
          <w:lang w:val="fi-FI"/>
          <w14:ligatures w14:val="none"/>
        </w:rPr>
        <w:t>Hava Temizleme Sistemlerinin İzlenmesi için Teknikler</w:t>
      </w:r>
      <w:bookmarkEnd w:id="58"/>
      <w:r w:rsidRPr="00FF45DE">
        <w:rPr>
          <w:rFonts w:ascii="Times New Roman" w:eastAsia="DengXian Light" w:hAnsi="Times New Roman" w:cs="Microsoft Uighur"/>
          <w:b/>
          <w:kern w:val="0"/>
          <w:sz w:val="24"/>
          <w:szCs w:val="24"/>
          <w:lang w:val="fi-FI"/>
          <w14:ligatures w14:val="none"/>
        </w:rPr>
        <w:t>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37"/>
        <w:gridCol w:w="5725"/>
      </w:tblGrid>
      <w:tr w:rsidR="003B155E" w:rsidRPr="00FF45DE" w14:paraId="79B5F482" w14:textId="77777777" w:rsidTr="000D79D6">
        <w:trPr>
          <w:trHeight w:val="285"/>
        </w:trPr>
        <w:tc>
          <w:tcPr>
            <w:tcW w:w="1841" w:type="pct"/>
          </w:tcPr>
          <w:p w14:paraId="44A2AD8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59" w:type="pct"/>
          </w:tcPr>
          <w:p w14:paraId="2FE8313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3177C2EF" w14:textId="77777777" w:rsidTr="000D79D6">
        <w:trPr>
          <w:trHeight w:val="2759"/>
        </w:trPr>
        <w:tc>
          <w:tcPr>
            <w:tcW w:w="1841" w:type="pct"/>
            <w:vAlign w:val="center"/>
          </w:tcPr>
          <w:p w14:paraId="54720906"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Pratik çiftlik koşullarında ve önceden belirlenmiş bir ölçüm protokolüne göre amonyak, koku ve/veya toz ölçülerek ve eşdeğer bilimsel kalitede verilerin sağlanması için TS EN standart yöntemleri veya diğer yöntemler (ISO, ulusal veya uluslararası) kullanılarak hava temizleme sistemi performansının doğrulanması.</w:t>
            </w:r>
          </w:p>
        </w:tc>
        <w:tc>
          <w:tcPr>
            <w:tcW w:w="3159" w:type="pct"/>
            <w:vAlign w:val="center"/>
          </w:tcPr>
          <w:p w14:paraId="35D1174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Doğrulama; giriş ve çıkış havasındaki amonyak, koku ve/veya tozun ve çalışmayla ilgili tüm ek parametrelerin (ör. hava debisi, basınç düşüşü, sıcaklık, pH seviyesi, iletkenlik) ölçülmesiyle yapılır. Ölçümler, yaz iklim koşullarında (havalandırma oranı maksimum havalandırma oranının &gt; %80'i ile en az sekiz haftalık bir süre) ve kış iklim koşulları (havalandırma oranı maksimum havalandırma oranının &lt; %30'u ile en az sekiz haftalık bir süre) altında, barınağın temsili yönetimi ve tam kapasitesi ile ve yalnızca son yıkama suyu değişiminden sonra yeterli bir süre (ör. dört hafta) geçmişse gerçekleştirilir. Farklı numune alma stratejileri uygulanabilir.</w:t>
            </w:r>
          </w:p>
        </w:tc>
      </w:tr>
      <w:tr w:rsidR="003B155E" w:rsidRPr="00FF45DE" w14:paraId="559EA41E" w14:textId="77777777" w:rsidTr="000D79D6">
        <w:trPr>
          <w:trHeight w:val="2145"/>
        </w:trPr>
        <w:tc>
          <w:tcPr>
            <w:tcW w:w="1841" w:type="pct"/>
            <w:vAlign w:val="center"/>
          </w:tcPr>
          <w:p w14:paraId="5A7E1C1F"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Hava temizleme sisteminin etkili işlevinin kontrolü (ör. operasyonel parametreleri sürekli olarak kaydederek veya alarm sistemlerini kullanarak).</w:t>
            </w:r>
          </w:p>
        </w:tc>
        <w:tc>
          <w:tcPr>
            <w:tcW w:w="3159" w:type="pct"/>
            <w:vAlign w:val="center"/>
          </w:tcPr>
          <w:p w14:paraId="3309AE2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1-5 yıllık bir süre boyunca tüm ölçüm ve işletim verilerini kaydetmek için bir elektronik kayıt defterinin kullanılması. Kaydedilen parametreler hava temizleme sisteminin tipine bağlıdır ve şunları içerebilir:</w:t>
            </w:r>
          </w:p>
          <w:p w14:paraId="156BB0D1" w14:textId="77777777" w:rsidR="003B155E" w:rsidRPr="00FF45DE" w:rsidRDefault="003B155E" w:rsidP="003B155E">
            <w:pPr>
              <w:numPr>
                <w:ilvl w:val="0"/>
                <w:numId w:val="187"/>
              </w:numPr>
              <w:tabs>
                <w:tab w:val="left" w:pos="676"/>
                <w:tab w:val="left" w:pos="677"/>
              </w:tabs>
              <w:ind w:left="641"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Yıkama sıvısının pH'ı ve iletkenliği</w:t>
            </w:r>
          </w:p>
          <w:p w14:paraId="5F6B0BCE" w14:textId="77777777" w:rsidR="003B155E" w:rsidRPr="00FF45DE" w:rsidRDefault="003B155E" w:rsidP="003B155E">
            <w:pPr>
              <w:numPr>
                <w:ilvl w:val="0"/>
                <w:numId w:val="187"/>
              </w:numPr>
              <w:tabs>
                <w:tab w:val="left" w:pos="676"/>
                <w:tab w:val="left" w:pos="677"/>
              </w:tabs>
              <w:ind w:left="641"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Azaltma sisteminin hava akışı ve basınç düşüşü</w:t>
            </w:r>
          </w:p>
          <w:p w14:paraId="28B0BB6C" w14:textId="77777777" w:rsidR="003B155E" w:rsidRPr="00FF45DE" w:rsidRDefault="003B155E" w:rsidP="003B155E">
            <w:pPr>
              <w:numPr>
                <w:ilvl w:val="0"/>
                <w:numId w:val="187"/>
              </w:numPr>
              <w:tabs>
                <w:tab w:val="left" w:pos="676"/>
                <w:tab w:val="left" w:pos="677"/>
              </w:tabs>
              <w:ind w:left="641"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Pompa çalışma süresi</w:t>
            </w:r>
          </w:p>
          <w:p w14:paraId="1F12F30E" w14:textId="77777777" w:rsidR="003B155E" w:rsidRPr="00FF45DE" w:rsidRDefault="003B155E" w:rsidP="003B155E">
            <w:pPr>
              <w:numPr>
                <w:ilvl w:val="0"/>
                <w:numId w:val="187"/>
              </w:numPr>
              <w:tabs>
                <w:tab w:val="left" w:pos="676"/>
                <w:tab w:val="left" w:pos="677"/>
              </w:tabs>
              <w:ind w:left="641"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 ve asit tüketimi</w:t>
            </w:r>
          </w:p>
          <w:p w14:paraId="35032B3D" w14:textId="77777777" w:rsidR="003B155E" w:rsidRPr="00FF45DE" w:rsidRDefault="003B155E" w:rsidP="000D79D6">
            <w:pPr>
              <w:ind w:left="74" w:right="74"/>
              <w:rPr>
                <w:rFonts w:ascii="Times New Roman" w:eastAsia="Times New Roman" w:hAnsi="Times New Roman" w:cs="Times New Roman"/>
                <w:lang w:val="es-ES"/>
              </w:rPr>
            </w:pPr>
            <w:r w:rsidRPr="00FF45DE">
              <w:rPr>
                <w:rFonts w:ascii="Times New Roman" w:eastAsia="Times New Roman" w:hAnsi="Times New Roman" w:cs="Times New Roman"/>
                <w:lang w:val="tr"/>
              </w:rPr>
              <w:t>Diğer parametreler manuel olarak kaydedilebilir.</w:t>
            </w:r>
          </w:p>
        </w:tc>
      </w:tr>
    </w:tbl>
    <w:p w14:paraId="420AEE63"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59" w:name="_Toc136614339"/>
      <w:r w:rsidRPr="00EE5089">
        <w:rPr>
          <w:rFonts w:ascii="Times New Roman" w:eastAsia="DengXian Light" w:hAnsi="Times New Roman" w:cs="Microsoft Uighur"/>
          <w:b/>
          <w:kern w:val="0"/>
          <w:sz w:val="24"/>
          <w:szCs w:val="26"/>
          <w14:ligatures w14:val="none"/>
        </w:rPr>
        <w:t>Beslenme Yönetimi</w:t>
      </w:r>
      <w:bookmarkEnd w:id="59"/>
      <w:r w:rsidRPr="00EE5089">
        <w:rPr>
          <w:rFonts w:ascii="Times New Roman" w:eastAsia="DengXian Light" w:hAnsi="Times New Roman" w:cs="Microsoft Uighur"/>
          <w:b/>
          <w:kern w:val="0"/>
          <w:sz w:val="24"/>
          <w:szCs w:val="26"/>
          <w14:ligatures w14:val="none"/>
        </w:rPr>
        <w:t xml:space="preserve"> </w:t>
      </w:r>
      <w:r w:rsidRPr="00FF45DE">
        <w:rPr>
          <w:rFonts w:ascii="Times New Roman" w:eastAsia="DengXian Light" w:hAnsi="Times New Roman" w:cs="Microsoft Uighur"/>
          <w:b/>
          <w:kern w:val="0"/>
          <w:sz w:val="24"/>
          <w:szCs w:val="26"/>
          <w:lang w:val="tr"/>
          <w14:ligatures w14:val="none"/>
        </w:rPr>
        <w:t>Tekniklerinin Tanımları</w:t>
      </w:r>
    </w:p>
    <w:p w14:paraId="38681D7D" w14:textId="77777777" w:rsidR="003B155E" w:rsidRPr="00EE5089"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14:ligatures w14:val="none"/>
        </w:rPr>
      </w:pPr>
      <w:bookmarkStart w:id="60" w:name="_Toc136614340"/>
      <w:r w:rsidRPr="00EE5089">
        <w:rPr>
          <w:rFonts w:ascii="Times New Roman" w:eastAsia="DengXian Light" w:hAnsi="Times New Roman" w:cs="Microsoft Uighur"/>
          <w:b/>
          <w:kern w:val="0"/>
          <w:sz w:val="24"/>
          <w:szCs w:val="24"/>
          <w14:ligatures w14:val="none"/>
        </w:rPr>
        <w:t xml:space="preserve">Atılan Azotu Azaltma </w:t>
      </w:r>
      <w:bookmarkEnd w:id="60"/>
      <w:r w:rsidRPr="00FF45DE">
        <w:rPr>
          <w:rFonts w:ascii="Times New Roman" w:eastAsia="DengXian Light" w:hAnsi="Times New Roman" w:cs="Microsoft Uighur"/>
          <w:b/>
          <w:kern w:val="0"/>
          <w:sz w:val="24"/>
          <w:szCs w:val="24"/>
          <w:lang w:val="tr"/>
          <w14:ligatures w14:val="none"/>
        </w:rPr>
        <w:t>Tekniklerinin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0"/>
        <w:gridCol w:w="5952"/>
      </w:tblGrid>
      <w:tr w:rsidR="003B155E" w:rsidRPr="00FF45DE" w14:paraId="3072221E" w14:textId="77777777" w:rsidTr="000D79D6">
        <w:trPr>
          <w:trHeight w:val="285"/>
          <w:tblHeader/>
        </w:trPr>
        <w:tc>
          <w:tcPr>
            <w:tcW w:w="1716" w:type="pct"/>
          </w:tcPr>
          <w:p w14:paraId="0D400FD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284" w:type="pct"/>
          </w:tcPr>
          <w:p w14:paraId="6DAD67C0"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2903321C" w14:textId="77777777" w:rsidTr="000D79D6">
        <w:trPr>
          <w:trHeight w:val="918"/>
        </w:trPr>
        <w:tc>
          <w:tcPr>
            <w:tcW w:w="1716" w:type="pct"/>
            <w:vAlign w:val="center"/>
          </w:tcPr>
          <w:p w14:paraId="2593ABFF"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Enerji gereksinimlerine ve sindirilebilir amino asitlere dayalı N-dengeli bir beslenme düzeni kullanarak ham protein içeriğinin azaltılması.</w:t>
            </w:r>
          </w:p>
        </w:tc>
        <w:tc>
          <w:tcPr>
            <w:tcW w:w="3284" w:type="pct"/>
            <w:vAlign w:val="center"/>
          </w:tcPr>
          <w:p w14:paraId="2D3A19F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Besleme önerilerini aşmamasını sağlayarak ham protein kaynağındaki fazlalıkların azaltılması. Beslenme düzeni, enerji ve sindirilebilir amino asitlerin hayvan gereksinimlerini karşılamak için dengelenmiştir.</w:t>
            </w:r>
          </w:p>
        </w:tc>
      </w:tr>
      <w:tr w:rsidR="003B155E" w:rsidRPr="00FF45DE" w14:paraId="23DDB479" w14:textId="77777777" w:rsidTr="000D79D6">
        <w:trPr>
          <w:trHeight w:val="921"/>
        </w:trPr>
        <w:tc>
          <w:tcPr>
            <w:tcW w:w="1716" w:type="pct"/>
            <w:vAlign w:val="center"/>
          </w:tcPr>
          <w:p w14:paraId="7AA62F0A" w14:textId="77777777" w:rsidR="003B155E" w:rsidRPr="00FF45DE" w:rsidRDefault="003B155E" w:rsidP="000D79D6">
            <w:pPr>
              <w:tabs>
                <w:tab w:val="left" w:pos="1294"/>
                <w:tab w:val="left" w:pos="2162"/>
                <w:tab w:val="left" w:pos="2562"/>
              </w:tabs>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Üretim döneminin gerekliliklerine uyarlanmış bir beslenme düzeni formülasyonu ile çok fazlı yemleme</w:t>
            </w:r>
          </w:p>
        </w:tc>
        <w:tc>
          <w:tcPr>
            <w:tcW w:w="3284" w:type="pct"/>
            <w:vAlign w:val="center"/>
          </w:tcPr>
          <w:p w14:paraId="54678EC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Yem karışımı, hayvanın ağırlığına ve/veya üretim aşamasına bağlı olarak enerji, amino asitler ve mineraller açısından hayvan gereksinimlerini daha doğru bir şekilde karşılar.</w:t>
            </w:r>
          </w:p>
        </w:tc>
      </w:tr>
      <w:tr w:rsidR="003B155E" w:rsidRPr="00FF45DE" w14:paraId="28162BB0" w14:textId="77777777" w:rsidTr="000D79D6">
        <w:trPr>
          <w:trHeight w:val="1149"/>
        </w:trPr>
        <w:tc>
          <w:tcPr>
            <w:tcW w:w="1716" w:type="pct"/>
            <w:vAlign w:val="center"/>
          </w:tcPr>
          <w:p w14:paraId="0B615EA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lastRenderedPageBreak/>
              <w:t>Düşük ham proteinli bir beslenme düzenine kontrollü miktarlarda esansiyel amino asitlerin eklenmesi.</w:t>
            </w:r>
          </w:p>
        </w:tc>
        <w:tc>
          <w:tcPr>
            <w:tcW w:w="3284" w:type="pct"/>
            <w:vAlign w:val="center"/>
          </w:tcPr>
          <w:p w14:paraId="3179C8B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Ham protein içeriğini daha da azaltmak için belirli bir miktar proteince zengin yemler, düşük proteinli yemlerle değiştirilir. Beslenme düzeni; amino asit profilinde eksiklik olmaması için sentetik amino asitlerle (ör. lizin, metiyonin, treonin, triptofan, valin) desteklenir.</w:t>
            </w:r>
          </w:p>
        </w:tc>
      </w:tr>
      <w:tr w:rsidR="003B155E" w:rsidRPr="00FF45DE" w14:paraId="13858945" w14:textId="77777777" w:rsidTr="000D79D6">
        <w:trPr>
          <w:trHeight w:val="1379"/>
        </w:trPr>
        <w:tc>
          <w:tcPr>
            <w:tcW w:w="1716" w:type="pct"/>
            <w:vAlign w:val="center"/>
          </w:tcPr>
          <w:p w14:paraId="7596C78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Atılan toplam azotu azaltan onaylı yem katkı maddelerinin kullanımı.</w:t>
            </w:r>
          </w:p>
        </w:tc>
        <w:tc>
          <w:tcPr>
            <w:tcW w:w="3284" w:type="pct"/>
            <w:vAlign w:val="center"/>
          </w:tcPr>
          <w:p w14:paraId="3471F9B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İzin verilen (Avrupa Parlamentosu ve Konseyi'nin (EC) 1831/2003 Sayılı Tüzüğüne (</w:t>
            </w:r>
            <w:r w:rsidRPr="00FF45DE">
              <w:rPr>
                <w:rFonts w:ascii="Times New Roman" w:eastAsia="Times New Roman" w:hAnsi="Times New Roman" w:cs="Times New Roman"/>
                <w:vertAlign w:val="superscript"/>
                <w:lang w:val="tr"/>
              </w:rPr>
              <w:t>1</w:t>
            </w:r>
            <w:r w:rsidRPr="00FF45DE">
              <w:rPr>
                <w:rFonts w:ascii="Times New Roman" w:eastAsia="Times New Roman" w:hAnsi="Times New Roman" w:cs="Times New Roman"/>
                <w:lang w:val="tr"/>
              </w:rPr>
              <w:t>) göre) maddeler, mikroorganizmalar veya enzimler (ör. NSP enzimleri, proteazlar) müstahzarlar veya probiyotikler; yem verimliliğini olumlu yönde etkilemek için (örneğin yemlerin sindirilebilirliğini iyileştirerek veya gastrointestinal florayı etkileyerek) yeme veya suya eklenir.</w:t>
            </w:r>
          </w:p>
        </w:tc>
      </w:tr>
      <w:tr w:rsidR="003B155E" w:rsidRPr="00FF45DE" w14:paraId="0191DB4C" w14:textId="77777777" w:rsidTr="000D79D6">
        <w:trPr>
          <w:trHeight w:val="414"/>
        </w:trPr>
        <w:tc>
          <w:tcPr>
            <w:tcW w:w="5000" w:type="pct"/>
            <w:gridSpan w:val="2"/>
            <w:vAlign w:val="center"/>
          </w:tcPr>
          <w:p w14:paraId="04EFE0D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w:t>
            </w:r>
            <w:r w:rsidRPr="00FF45DE">
              <w:rPr>
                <w:rFonts w:ascii="Times New Roman" w:eastAsia="Times New Roman" w:hAnsi="Times New Roman" w:cs="Times New Roman"/>
                <w:vertAlign w:val="superscript"/>
                <w:lang w:val="tr"/>
              </w:rPr>
              <w:t>1</w:t>
            </w:r>
            <w:r w:rsidRPr="00FF45DE">
              <w:rPr>
                <w:rFonts w:ascii="Times New Roman" w:eastAsia="Times New Roman" w:hAnsi="Times New Roman" w:cs="Times New Roman"/>
                <w:lang w:val="tr"/>
              </w:rPr>
              <w:t>) Hayvan beslenmesinde kullanılan katkı maddelerine ilişkin 22 Eylül 2003 tarihli ve (EC) 1831/2003 sayılı Avrupa Parlamentosu ve Konsey Tüzüğü (OJ L 268, 18.10.2003, s. 29).</w:t>
            </w:r>
          </w:p>
        </w:tc>
      </w:tr>
    </w:tbl>
    <w:p w14:paraId="5396ACC1"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tr"/>
          <w14:ligatures w14:val="none"/>
        </w:rPr>
      </w:pPr>
      <w:bookmarkStart w:id="61" w:name="_Toc136614341"/>
      <w:r w:rsidRPr="00FF45DE">
        <w:rPr>
          <w:rFonts w:ascii="Times New Roman" w:eastAsia="DengXian Light" w:hAnsi="Times New Roman" w:cs="Microsoft Uighur"/>
          <w:b/>
          <w:kern w:val="0"/>
          <w:sz w:val="24"/>
          <w:szCs w:val="24"/>
          <w:lang w:val="tr"/>
          <w14:ligatures w14:val="none"/>
        </w:rPr>
        <w:t xml:space="preserve">Atılan Fosforu Azaltma </w:t>
      </w:r>
      <w:bookmarkEnd w:id="61"/>
      <w:r w:rsidRPr="00FF45DE">
        <w:rPr>
          <w:rFonts w:ascii="Times New Roman" w:eastAsia="DengXian Light" w:hAnsi="Times New Roman" w:cs="Microsoft Uighur"/>
          <w:b/>
          <w:kern w:val="0"/>
          <w:sz w:val="24"/>
          <w:szCs w:val="24"/>
          <w:lang w:val="tr"/>
          <w14:ligatures w14:val="none"/>
        </w:rPr>
        <w:t>Tekniklerinin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5"/>
        <w:gridCol w:w="5767"/>
      </w:tblGrid>
      <w:tr w:rsidR="003B155E" w:rsidRPr="00FF45DE" w14:paraId="3D41584A" w14:textId="77777777" w:rsidTr="000D79D6">
        <w:trPr>
          <w:trHeight w:val="230"/>
        </w:trPr>
        <w:tc>
          <w:tcPr>
            <w:tcW w:w="1818" w:type="pct"/>
          </w:tcPr>
          <w:p w14:paraId="566E402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2" w:type="pct"/>
          </w:tcPr>
          <w:p w14:paraId="5EA00DE1"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4E40A599" w14:textId="77777777" w:rsidTr="000D79D6">
        <w:trPr>
          <w:trHeight w:val="918"/>
        </w:trPr>
        <w:tc>
          <w:tcPr>
            <w:tcW w:w="1818" w:type="pct"/>
            <w:vAlign w:val="center"/>
          </w:tcPr>
          <w:p w14:paraId="0EE4E9C6" w14:textId="77777777" w:rsidR="003B155E" w:rsidRPr="00EE5089" w:rsidRDefault="003B155E" w:rsidP="000D79D6">
            <w:pPr>
              <w:tabs>
                <w:tab w:val="left" w:pos="1311"/>
                <w:tab w:val="left" w:pos="2220"/>
                <w:tab w:val="left" w:pos="2615"/>
              </w:tabs>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Üretim dönemimin özel gereksinimlerine uyarlanmış bir beslenme düzeni formülasyonyla çok fazlı yemleme</w:t>
            </w:r>
          </w:p>
        </w:tc>
        <w:tc>
          <w:tcPr>
            <w:tcW w:w="3182" w:type="pct"/>
            <w:vAlign w:val="center"/>
          </w:tcPr>
          <w:p w14:paraId="7EE91111"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Yem, hayvanın ağırlığına ve/veya üretim aşamasına bağlı olarak, fosfor miktarını hayvanın fosfor gereksinimleriyle daha doğru bir şekilde eşleştiren bir karışımdan oluşur.</w:t>
            </w:r>
          </w:p>
        </w:tc>
      </w:tr>
      <w:tr w:rsidR="003B155E" w:rsidRPr="00FF45DE" w14:paraId="4CCB56DB" w14:textId="77777777" w:rsidTr="000D79D6">
        <w:trPr>
          <w:trHeight w:val="1610"/>
        </w:trPr>
        <w:tc>
          <w:tcPr>
            <w:tcW w:w="1818" w:type="pct"/>
            <w:vAlign w:val="center"/>
          </w:tcPr>
          <w:p w14:paraId="211DB221"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Atılan toplam fosforu (ör. fitaz) azaltan onaylı yem katkı maddelerinin kullanımı.</w:t>
            </w:r>
          </w:p>
        </w:tc>
        <w:tc>
          <w:tcPr>
            <w:tcW w:w="3182" w:type="pct"/>
            <w:vAlign w:val="center"/>
          </w:tcPr>
          <w:p w14:paraId="0B4763C6"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İzin verilen (Avrupa Parlamentosu ve Konseyi'nin (EC) 1831/2003 Sayılı Tüzüğüne göre) maddeler, mikroorganizmalar veya enzimler (ör. fitaz) gibi müstahzarlar; yem verimliliğini olumlu yönde etkilemek için (örneğin yemlerdeki fitik fosforun sindirilebilirliğini iyileştirerek veya gastrointestinal florayı etkileyerek) yeme veya suya eklenir.</w:t>
            </w:r>
          </w:p>
        </w:tc>
      </w:tr>
    </w:tbl>
    <w:p w14:paraId="2FCFE4AE" w14:textId="77777777" w:rsidR="003B155E" w:rsidRPr="00EE508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14:ligatures w14:val="none"/>
        </w:rPr>
      </w:pPr>
      <w:bookmarkStart w:id="62" w:name="_Toc136614342"/>
      <w:r w:rsidRPr="00EE5089">
        <w:rPr>
          <w:rFonts w:ascii="Times New Roman" w:eastAsia="DengXian Light" w:hAnsi="Times New Roman" w:cs="Microsoft Uighur"/>
          <w:b/>
          <w:kern w:val="0"/>
          <w:sz w:val="24"/>
          <w:szCs w:val="26"/>
          <w14:ligatures w14:val="none"/>
        </w:rPr>
        <w:t xml:space="preserve">Hayvan Barınaklarından Kaynaklanan Havaya Emisyonları Arıtma </w:t>
      </w:r>
      <w:bookmarkEnd w:id="62"/>
      <w:r w:rsidRPr="00FF45DE">
        <w:rPr>
          <w:rFonts w:ascii="Times New Roman" w:eastAsia="DengXian Light" w:hAnsi="Times New Roman" w:cs="Microsoft Uighur"/>
          <w:b/>
          <w:kern w:val="0"/>
          <w:sz w:val="24"/>
          <w:szCs w:val="26"/>
          <w:lang w:val="tr"/>
          <w14:ligatures w14:val="none"/>
        </w:rPr>
        <w:t>Tekniklerinin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1"/>
        <w:gridCol w:w="6041"/>
      </w:tblGrid>
      <w:tr w:rsidR="003B155E" w:rsidRPr="00FF45DE" w14:paraId="0ADEBDD2" w14:textId="77777777" w:rsidTr="000D79D6">
        <w:trPr>
          <w:trHeight w:val="285"/>
          <w:tblHeader/>
        </w:trPr>
        <w:tc>
          <w:tcPr>
            <w:tcW w:w="1667" w:type="pct"/>
          </w:tcPr>
          <w:p w14:paraId="5584A7E0"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333" w:type="pct"/>
          </w:tcPr>
          <w:p w14:paraId="5D290CD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04A6697B" w14:textId="77777777" w:rsidTr="000D79D6">
        <w:trPr>
          <w:trHeight w:val="1379"/>
        </w:trPr>
        <w:tc>
          <w:tcPr>
            <w:tcW w:w="1667" w:type="pct"/>
            <w:vAlign w:val="center"/>
          </w:tcPr>
          <w:p w14:paraId="1E24E4B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Biyofiltre</w:t>
            </w:r>
          </w:p>
        </w:tc>
        <w:tc>
          <w:tcPr>
            <w:tcW w:w="3333" w:type="pct"/>
            <w:vAlign w:val="center"/>
          </w:tcPr>
          <w:p w14:paraId="0867795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Atık hava; kök odunu, talaş, ağaç kabuğu, kompost veya turba gibi organik malzemeden oluşan bir filtre yatağından geçirilir. Filtre malzemesi, yüzeye aralıklı olarak serpilerek daima nemli tutulur. Toz parçacıkları ve kokulu hava bileşikleri ıslak film tarafından emilir ve nemli altlık malzemesi üzerinde yaşayan mikroorganizmalar tarafından oksitlenir veya bozunur.</w:t>
            </w:r>
          </w:p>
        </w:tc>
      </w:tr>
      <w:tr w:rsidR="003B155E" w:rsidRPr="00FF45DE" w14:paraId="70028987" w14:textId="77777777" w:rsidTr="000D79D6">
        <w:trPr>
          <w:trHeight w:val="401"/>
        </w:trPr>
        <w:tc>
          <w:tcPr>
            <w:tcW w:w="1667" w:type="pct"/>
            <w:vAlign w:val="center"/>
          </w:tcPr>
          <w:p w14:paraId="7F293E9D" w14:textId="77777777" w:rsidR="003B155E" w:rsidRPr="00FF45DE" w:rsidRDefault="003B155E" w:rsidP="000D79D6">
            <w:pPr>
              <w:tabs>
                <w:tab w:val="left" w:pos="1324"/>
                <w:tab w:val="left" w:pos="1796"/>
              </w:tabs>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Biyoyıkayıcı </w:t>
            </w:r>
            <w:r w:rsidRPr="00FF45DE">
              <w:rPr>
                <w:rFonts w:ascii="Times New Roman" w:eastAsia="Times New Roman" w:hAnsi="Times New Roman" w:cs="Times New Roman"/>
                <w:lang w:val="tr"/>
              </w:rPr>
              <w:tab/>
              <w:t>(veya biyo-damlatmalı filtre)</w:t>
            </w:r>
          </w:p>
        </w:tc>
        <w:tc>
          <w:tcPr>
            <w:tcW w:w="3333" w:type="pct"/>
            <w:vAlign w:val="center"/>
          </w:tcPr>
          <w:p w14:paraId="6C54104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Normalde su serpilerek sürekli ıslak tutulan atıl dolgu malzemesine sahip dolgulu bir kule filtre. Hava kirleticiler sıvı fazda emilir ve daha sonra filtre elemanları üzerine yerleşen mikroorganizmalar tarafından parçalanır. %70 ile %95 arasında bir amonyak azaltımı elde edilebilir.</w:t>
            </w:r>
          </w:p>
        </w:tc>
      </w:tr>
      <w:tr w:rsidR="003B155E" w:rsidRPr="00FF45DE" w14:paraId="5E727063" w14:textId="77777777" w:rsidTr="000D79D6">
        <w:trPr>
          <w:trHeight w:val="921"/>
        </w:trPr>
        <w:tc>
          <w:tcPr>
            <w:tcW w:w="1667" w:type="pct"/>
            <w:vAlign w:val="center"/>
          </w:tcPr>
          <w:p w14:paraId="2C62F05D"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Kuru filtre</w:t>
            </w:r>
          </w:p>
        </w:tc>
        <w:tc>
          <w:tcPr>
            <w:tcW w:w="3333" w:type="pct"/>
            <w:vAlign w:val="center"/>
          </w:tcPr>
          <w:p w14:paraId="6AABDE0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Atık hava; örneğin uç duvar vantilatörü önüne yerleştirilmiş çok katmanlı plastikten yapılmış bir ekrana üflenir. Geçen hava, parçacıkların merkezkaç kuvveti ile ayrılmasına neden olan güçlü yön değişikliklerine tabidir.</w:t>
            </w:r>
          </w:p>
        </w:tc>
      </w:tr>
      <w:tr w:rsidR="003B155E" w:rsidRPr="00FF45DE" w14:paraId="64F4E288" w14:textId="77777777" w:rsidTr="000D79D6">
        <w:trPr>
          <w:trHeight w:val="1379"/>
        </w:trPr>
        <w:tc>
          <w:tcPr>
            <w:tcW w:w="1667" w:type="pct"/>
            <w:vAlign w:val="center"/>
          </w:tcPr>
          <w:p w14:paraId="674E73B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İki kademeli veya üç kademeli hava temizleme sistemi</w:t>
            </w:r>
          </w:p>
        </w:tc>
        <w:tc>
          <w:tcPr>
            <w:tcW w:w="3333" w:type="pct"/>
            <w:vAlign w:val="center"/>
          </w:tcPr>
          <w:p w14:paraId="47BAD11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İki aşamalı bir sistemde, birinci aşama (sulu asit yıkayıcı) genellikle bir biyoyıkayıcı (ikinci aşama) ile birleştirilir. Üç aşamalı bir sistemde, bir su yıkayıcıdan oluşan birinci aşama genellikle ikinci aşama (sulu asit yıkayıcı) ile birleştirilir ve ardından bir biyofiltre (üçüncü aşama) gelir. %70 ile %95 arasında bir amonyak azaltımı elde edilebilir.</w:t>
            </w:r>
          </w:p>
        </w:tc>
      </w:tr>
      <w:tr w:rsidR="003B155E" w:rsidRPr="00FF45DE" w14:paraId="358B73D4" w14:textId="77777777" w:rsidTr="000D79D6">
        <w:trPr>
          <w:trHeight w:val="918"/>
        </w:trPr>
        <w:tc>
          <w:tcPr>
            <w:tcW w:w="1667" w:type="pct"/>
            <w:vAlign w:val="center"/>
          </w:tcPr>
          <w:p w14:paraId="21A3609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lastRenderedPageBreak/>
              <w:t>Sulu yıkayıcı</w:t>
            </w:r>
          </w:p>
        </w:tc>
        <w:tc>
          <w:tcPr>
            <w:tcW w:w="3333" w:type="pct"/>
            <w:vAlign w:val="center"/>
          </w:tcPr>
          <w:p w14:paraId="13BC300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Atık hava, enine akışla dolu bir filtre ortamından üflenir. Dolgu malzemesinin üzerine sürekli olarak su püskürtülür. Toz alınır ve yeniden doldurulmadan önce boşaltılan su haznesine yerleşir.</w:t>
            </w:r>
          </w:p>
        </w:tc>
      </w:tr>
      <w:tr w:rsidR="003B155E" w:rsidRPr="00FF45DE" w14:paraId="184F9B34" w14:textId="77777777" w:rsidTr="000D79D6">
        <w:trPr>
          <w:trHeight w:val="921"/>
        </w:trPr>
        <w:tc>
          <w:tcPr>
            <w:tcW w:w="1667" w:type="pct"/>
            <w:vAlign w:val="center"/>
          </w:tcPr>
          <w:p w14:paraId="41E76C7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 kapanı</w:t>
            </w:r>
          </w:p>
        </w:tc>
        <w:tc>
          <w:tcPr>
            <w:tcW w:w="3333" w:type="pct"/>
            <w:vAlign w:val="center"/>
          </w:tcPr>
          <w:p w14:paraId="663848D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Atık hava, havalandırma fanları tarafından toz parçacıklarının emildiği bir su banyosuna yönlendirilir. Akış daha sonra 180 ° yukarı doğru yönlendirilir. Buharlaşmayı telafi etmek için su seviyesi düzenli olarak tamamlanır.</w:t>
            </w:r>
          </w:p>
        </w:tc>
      </w:tr>
      <w:tr w:rsidR="003B155E" w:rsidRPr="00FF45DE" w14:paraId="08631485" w14:textId="77777777" w:rsidTr="000D79D6">
        <w:trPr>
          <w:trHeight w:val="690"/>
        </w:trPr>
        <w:tc>
          <w:tcPr>
            <w:tcW w:w="1667" w:type="pct"/>
            <w:vAlign w:val="center"/>
          </w:tcPr>
          <w:p w14:paraId="4101E2B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asit yıkayıcı</w:t>
            </w:r>
          </w:p>
        </w:tc>
        <w:tc>
          <w:tcPr>
            <w:tcW w:w="3333" w:type="pct"/>
            <w:vAlign w:val="center"/>
          </w:tcPr>
          <w:p w14:paraId="00639BF7"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Atık hava, dolaşan bir asit sıvısının (ör. sülfürik asit) püskürtüldüğü bir filtreden (ör., dolgulu duvar) geçirilir. %70 ile %95 arasında bir amonyak azaltımı elde edilebilir.</w:t>
            </w:r>
          </w:p>
        </w:tc>
      </w:tr>
    </w:tbl>
    <w:p w14:paraId="5C16F839" w14:textId="77777777" w:rsidR="003B155E" w:rsidRPr="00FF45DE"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kern w:val="0"/>
          <w:sz w:val="24"/>
          <w:szCs w:val="26"/>
          <w:lang w:val="en-US"/>
          <w14:ligatures w14:val="none"/>
        </w:rPr>
      </w:pPr>
      <w:bookmarkStart w:id="63" w:name="_Toc136614343"/>
      <w:r w:rsidRPr="00FF45DE">
        <w:rPr>
          <w:rFonts w:ascii="Times New Roman" w:eastAsia="DengXian Light" w:hAnsi="Times New Roman" w:cs="Microsoft Uighur"/>
          <w:b/>
          <w:kern w:val="0"/>
          <w:sz w:val="24"/>
          <w:szCs w:val="26"/>
          <w:lang w:val="en-US"/>
          <w14:ligatures w14:val="none"/>
        </w:rPr>
        <w:t xml:space="preserve">Domuz Barınakları için </w:t>
      </w:r>
      <w:bookmarkEnd w:id="63"/>
      <w:r w:rsidRPr="00FF45DE">
        <w:rPr>
          <w:rFonts w:ascii="Times New Roman" w:eastAsia="DengXian Light" w:hAnsi="Times New Roman" w:cs="Microsoft Uighur"/>
          <w:b/>
          <w:kern w:val="0"/>
          <w:sz w:val="24"/>
          <w:szCs w:val="26"/>
          <w:lang w:val="tr"/>
          <w14:ligatures w14:val="none"/>
        </w:rPr>
        <w:t>Tekniklerinin Tanımları</w:t>
      </w:r>
    </w:p>
    <w:p w14:paraId="783D9CFA"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en-US"/>
          <w14:ligatures w14:val="none"/>
        </w:rPr>
      </w:pPr>
      <w:bookmarkStart w:id="64" w:name="_Toc136614344"/>
      <w:r w:rsidRPr="00FF45DE">
        <w:rPr>
          <w:rFonts w:ascii="Times New Roman" w:eastAsia="DengXian Light" w:hAnsi="Times New Roman" w:cs="Microsoft Uighur"/>
          <w:b/>
          <w:kern w:val="0"/>
          <w:sz w:val="24"/>
          <w:szCs w:val="24"/>
          <w:lang w:val="en-US"/>
          <w14:ligatures w14:val="none"/>
        </w:rPr>
        <w:t xml:space="preserve">Domuz Barınaklarında Amonyak Emisyonlarını Azaltmak için Zemin Tiplerinin ve </w:t>
      </w:r>
      <w:bookmarkEnd w:id="64"/>
      <w:r w:rsidRPr="00FF45DE">
        <w:rPr>
          <w:rFonts w:ascii="Times New Roman" w:eastAsia="DengXian Light" w:hAnsi="Times New Roman" w:cs="Microsoft Uighur"/>
          <w:b/>
          <w:kern w:val="0"/>
          <w:sz w:val="24"/>
          <w:szCs w:val="24"/>
          <w:lang w:val="tr"/>
          <w14:ligatures w14:val="none"/>
        </w:rPr>
        <w:t>Tekniklerinin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0A64A059" w14:textId="77777777" w:rsidTr="000D79D6">
        <w:trPr>
          <w:trHeight w:val="230"/>
        </w:trPr>
        <w:tc>
          <w:tcPr>
            <w:tcW w:w="1817" w:type="pct"/>
          </w:tcPr>
          <w:p w14:paraId="6EBC248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Zemin tipi</w:t>
            </w:r>
          </w:p>
        </w:tc>
        <w:tc>
          <w:tcPr>
            <w:tcW w:w="3183" w:type="pct"/>
          </w:tcPr>
          <w:p w14:paraId="42D1EC5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113F2B43" w14:textId="77777777" w:rsidTr="000D79D6">
        <w:trPr>
          <w:trHeight w:val="690"/>
        </w:trPr>
        <w:tc>
          <w:tcPr>
            <w:tcW w:w="1817" w:type="pct"/>
            <w:vAlign w:val="center"/>
          </w:tcPr>
          <w:p w14:paraId="5168288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Tamamen latalı zemin</w:t>
            </w:r>
          </w:p>
        </w:tc>
        <w:tc>
          <w:tcPr>
            <w:tcW w:w="3183" w:type="pct"/>
            <w:vAlign w:val="center"/>
          </w:tcPr>
          <w:p w14:paraId="23E7DE1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Dışkı ve idrarın altındaki bir kanala veya çukura akmasına izin veren açıklıklara sahip metal, beton veya plastik zemin kullanılarak tüm alanın çıtalarla kaplandığı bir zemin.</w:t>
            </w:r>
          </w:p>
        </w:tc>
      </w:tr>
      <w:tr w:rsidR="003B155E" w:rsidRPr="00FF45DE" w14:paraId="64663C3B" w14:textId="77777777" w:rsidTr="000D79D6">
        <w:trPr>
          <w:trHeight w:val="1379"/>
        </w:trPr>
        <w:tc>
          <w:tcPr>
            <w:tcW w:w="1817" w:type="pct"/>
            <w:vAlign w:val="center"/>
          </w:tcPr>
          <w:p w14:paraId="3F6B713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Kısmen latalı zemin</w:t>
            </w:r>
          </w:p>
        </w:tc>
        <w:tc>
          <w:tcPr>
            <w:tcW w:w="3183" w:type="pct"/>
            <w:vAlign w:val="center"/>
          </w:tcPr>
          <w:p w14:paraId="17E26C6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Dışkı ve idrarın altındaki bir kanala veya çukura akmasına izin veren açıklıklara sahip metal, beton veya plastik zemin kullanılarak kısmen sert ve kısmen çıtalı bir zemin. Sert zeminin kirlenmesi, özellikle sıcak koşullar altında iç ortam iklim parametrelerinin uygun yönetimi ve/veya konut sistemlerinin uygun tasarımı ile önlenir.</w:t>
            </w:r>
          </w:p>
        </w:tc>
      </w:tr>
      <w:tr w:rsidR="003B155E" w:rsidRPr="00FF45DE" w14:paraId="7F9F750B" w14:textId="77777777" w:rsidTr="000D79D6">
        <w:trPr>
          <w:trHeight w:val="690"/>
        </w:trPr>
        <w:tc>
          <w:tcPr>
            <w:tcW w:w="1817" w:type="pct"/>
            <w:vAlign w:val="center"/>
          </w:tcPr>
          <w:p w14:paraId="41218AD6"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Sert beton zemin</w:t>
            </w:r>
          </w:p>
        </w:tc>
        <w:tc>
          <w:tcPr>
            <w:tcW w:w="3183" w:type="pct"/>
            <w:vAlign w:val="center"/>
          </w:tcPr>
          <w:p w14:paraId="3ED800B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Tüm alanın sert betondan oluştuğu bir zemin. Zemin, değişen derecelerde altlık (ör. saman) ile kaplanabilir. Zemin genellikle idrar tahliyesini kolaylaştırmak için eğimlidir.</w:t>
            </w:r>
          </w:p>
        </w:tc>
      </w:tr>
    </w:tbl>
    <w:p w14:paraId="235A12AC" w14:textId="77777777" w:rsidR="003B155E" w:rsidRPr="00EE5089" w:rsidRDefault="003B155E" w:rsidP="003B155E">
      <w:pPr>
        <w:spacing w:before="240" w:after="0" w:line="360" w:lineRule="auto"/>
        <w:jc w:val="both"/>
        <w:rPr>
          <w:rFonts w:ascii="Times New Roman" w:eastAsia="Calibri" w:hAnsi="Times New Roman" w:cs="Calibri"/>
          <w:kern w:val="0"/>
          <w:sz w:val="24"/>
          <w14:ligatures w14:val="none"/>
        </w:rPr>
      </w:pPr>
      <w:r w:rsidRPr="00EE5089">
        <w:rPr>
          <w:rFonts w:ascii="Times New Roman" w:eastAsia="Calibri" w:hAnsi="Times New Roman" w:cs="Calibri"/>
          <w:kern w:val="0"/>
          <w:sz w:val="24"/>
          <w14:ligatures w14:val="none"/>
        </w:rPr>
        <w:t>Yukarıda listelenen zemin türleri, uygun olduğunda, belirtilen barınak sistemlerinde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0F3169EF" w14:textId="77777777" w:rsidTr="000D79D6">
        <w:trPr>
          <w:trHeight w:val="285"/>
          <w:tblHeader/>
        </w:trPr>
        <w:tc>
          <w:tcPr>
            <w:tcW w:w="1817" w:type="pct"/>
          </w:tcPr>
          <w:p w14:paraId="518B04B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tcPr>
          <w:p w14:paraId="5D4084B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5237C1E1" w14:textId="77777777" w:rsidTr="000D79D6">
        <w:trPr>
          <w:trHeight w:val="2071"/>
        </w:trPr>
        <w:tc>
          <w:tcPr>
            <w:tcW w:w="1817" w:type="pct"/>
            <w:vAlign w:val="center"/>
          </w:tcPr>
          <w:p w14:paraId="75B9A16E"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Derin bir çukur (tamamen veya kısmen latalı bir zemin olması durumunda), yalnızca ek bir etki azaltma önlemi ile birlikte kullanıldığında, örneğin:</w:t>
            </w:r>
          </w:p>
          <w:p w14:paraId="6D72EE39" w14:textId="77777777" w:rsidR="003B155E" w:rsidRPr="00FF45DE" w:rsidRDefault="003B155E" w:rsidP="003B155E">
            <w:pPr>
              <w:numPr>
                <w:ilvl w:val="0"/>
                <w:numId w:val="188"/>
              </w:numPr>
              <w:tabs>
                <w:tab w:val="left" w:pos="353"/>
              </w:tabs>
              <w:ind w:left="74" w:right="74"/>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Besin yönetimi tekniklerinin bir kombinasyonu</w:t>
            </w:r>
          </w:p>
          <w:p w14:paraId="6D29E4E2" w14:textId="77777777" w:rsidR="003B155E" w:rsidRPr="00FF45DE" w:rsidRDefault="003B155E" w:rsidP="003B155E">
            <w:pPr>
              <w:numPr>
                <w:ilvl w:val="0"/>
                <w:numId w:val="188"/>
              </w:numPr>
              <w:tabs>
                <w:tab w:val="left" w:pos="223"/>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Hava temizleme sistemi</w:t>
            </w:r>
          </w:p>
          <w:p w14:paraId="7B3EACC2" w14:textId="77777777" w:rsidR="003B155E" w:rsidRPr="00FF45DE" w:rsidRDefault="003B155E" w:rsidP="003B155E">
            <w:pPr>
              <w:numPr>
                <w:ilvl w:val="0"/>
                <w:numId w:val="188"/>
              </w:numPr>
              <w:tabs>
                <w:tab w:val="left" w:pos="223"/>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pH'ının düşürülmesi</w:t>
            </w:r>
          </w:p>
          <w:p w14:paraId="2E7675A7" w14:textId="77777777" w:rsidR="003B155E" w:rsidRPr="00FF45DE" w:rsidRDefault="003B155E" w:rsidP="003B155E">
            <w:pPr>
              <w:numPr>
                <w:ilvl w:val="0"/>
                <w:numId w:val="188"/>
              </w:numPr>
              <w:tabs>
                <w:tab w:val="left" w:pos="223"/>
              </w:tabs>
              <w:ind w:left="190" w:right="74" w:hanging="116"/>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Sulu gübrenin soğutulması</w:t>
            </w:r>
          </w:p>
        </w:tc>
        <w:tc>
          <w:tcPr>
            <w:tcW w:w="3183" w:type="pct"/>
            <w:vAlign w:val="center"/>
          </w:tcPr>
          <w:p w14:paraId="118C662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Kümesler, latalı zeminin altında, sulu gübrenin sık olmayan aralıklarla çıkarılması arasında depolanmasına izin veren derin bir çukur ile donatılmıştır. Besi domuzları için taşma gübre kanalı kullanılabilir. Teknik kısıtlamalar olmadığı sürece (ör. depolama kapasitesi), araziye yaymak veya açık havada depolamak için sulu gübrenin çıkarılması mümkün olduğunca sık (ör. en az iki ayda bir) yapılır.</w:t>
            </w:r>
          </w:p>
        </w:tc>
      </w:tr>
      <w:tr w:rsidR="003B155E" w:rsidRPr="00FF45DE" w14:paraId="2B5F60B6" w14:textId="77777777" w:rsidTr="000D79D6">
        <w:trPr>
          <w:trHeight w:val="1838"/>
        </w:trPr>
        <w:tc>
          <w:tcPr>
            <w:tcW w:w="1817" w:type="pct"/>
            <w:vAlign w:val="center"/>
          </w:tcPr>
          <w:p w14:paraId="4015BB2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gübrenin sık sık uzaklaştırılması için bir vakum sistemi (tamamen veya kısmen latalı bir zemin olması durumunda).</w:t>
            </w:r>
          </w:p>
        </w:tc>
        <w:tc>
          <w:tcPr>
            <w:tcW w:w="3183" w:type="pct"/>
            <w:vAlign w:val="center"/>
          </w:tcPr>
          <w:p w14:paraId="1CBA1FB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Çukurun veya kanalın altındaki çıkışlar, sulu gübreyi açık hava deposuna aktaran bir boşaltma borusuna bağlanır. Sulu gübre sıklıkla, örneğin haftada bir veya iki kez, ana sulu gübre borusunda bir valf veya bir tapa açılarak boşaltılır. Hafif bir vakum oluşur ve çukurun veya kanalın tamamen boşalmasını sağlar. Vakumun etkili olabilmesine imkan tanımak amacıyla sistemin düzgün bir şekilde çalışabilmesi için önce belirli bir sulu gübre derinliğinin elde edilmesi gerekir.</w:t>
            </w:r>
          </w:p>
        </w:tc>
      </w:tr>
      <w:tr w:rsidR="003B155E" w:rsidRPr="00FF45DE" w14:paraId="5D572C4D" w14:textId="77777777" w:rsidTr="000D79D6">
        <w:trPr>
          <w:trHeight w:val="866"/>
        </w:trPr>
        <w:tc>
          <w:tcPr>
            <w:tcW w:w="1817" w:type="pct"/>
            <w:vAlign w:val="center"/>
          </w:tcPr>
          <w:p w14:paraId="050DE68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lastRenderedPageBreak/>
              <w:t>Gübre kanalındaki eğimli duvarlar (tamamen veya kısmen latalı zemin olması durumunda).</w:t>
            </w:r>
          </w:p>
        </w:tc>
        <w:tc>
          <w:tcPr>
            <w:tcW w:w="3183" w:type="pct"/>
            <w:vAlign w:val="center"/>
          </w:tcPr>
          <w:p w14:paraId="0152B78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kanalı, boşaltma noktası altta olacak şekilde bir V kesit oluşturur. Yüzeyin eğimi ve düzgünlüğü sulu gübre tahliyesini kolaylaştırır. Gübre temizleme haftada en az iki kez yapılır.</w:t>
            </w:r>
          </w:p>
        </w:tc>
      </w:tr>
      <w:tr w:rsidR="003B155E" w:rsidRPr="00FF45DE" w14:paraId="231D09D4" w14:textId="77777777" w:rsidTr="000D79D6">
        <w:trPr>
          <w:trHeight w:val="1610"/>
        </w:trPr>
        <w:tc>
          <w:tcPr>
            <w:tcW w:w="1817" w:type="pct"/>
            <w:vAlign w:val="center"/>
          </w:tcPr>
          <w:p w14:paraId="744B6EA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gübrenin sık sık çıkarılması için bir sıyırıcı (tamamen veya kısmen latalı bir zemin olması durumunda).</w:t>
            </w:r>
          </w:p>
        </w:tc>
        <w:tc>
          <w:tcPr>
            <w:tcW w:w="3183" w:type="pct"/>
            <w:vAlign w:val="center"/>
          </w:tcPr>
          <w:p w14:paraId="0CE0B21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Merkezi bir oluğun her iki yanında iki eğimli yüzeye sahip V şeklinde bir kanal vardır. Burada idrar, gübre kanalının tabanındaki bir kanaldan bir toplama çukuruna boşaltılabilir. Gübrenin katı fraksiyonu kukurdan sık sık (ör. günlük olarak) bir sıyırıcı ile çıkarılır. Pürüzsüz (daha pürüzsüz) bir yüzey elde etmek için sıyrılmış zemin üzerine bir kaplama eklenmesi tavsiye edilir.</w:t>
            </w:r>
          </w:p>
        </w:tc>
      </w:tr>
      <w:tr w:rsidR="003B155E" w:rsidRPr="00FF45DE" w14:paraId="49652FB4" w14:textId="77777777" w:rsidTr="000D79D6">
        <w:trPr>
          <w:trHeight w:val="2108"/>
        </w:trPr>
        <w:tc>
          <w:tcPr>
            <w:tcW w:w="1817" w:type="pct"/>
            <w:vAlign w:val="center"/>
          </w:tcPr>
          <w:p w14:paraId="2C0ECBF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Dışbükey zemin ve ayrılmış gübre ve su kanalları (kısmen latalı ağıllarda).</w:t>
            </w:r>
          </w:p>
        </w:tc>
        <w:tc>
          <w:tcPr>
            <w:tcW w:w="3183" w:type="pct"/>
            <w:vAlign w:val="center"/>
          </w:tcPr>
          <w:p w14:paraId="4EB3237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ve su kanalları, dışbükey ve pürüzsüz sert beton zeminin zıt taraflarına yapılmıştır. Su kanalı, domuzların yeme ve içme eğiliminde olduğu bölmenin yan tarafının altına yerleştirilmiştir. Ağıl temizleme suyu, su kanallarını doldurmak için kullanılabilir. Kanal kısmen en az 10 cm su ile doludur. Gübre kanalı, normalde günde iki kez, örneğin diğer kanaldan gelen su veya sulu gübrenin sıvı kısmı (kuru madde içeriği yaklaşık %5'ten yüksek olmayan) ile yıkanan eğimli oluklar veya eğimli duvarlarla inşa edilebilir.</w:t>
            </w:r>
          </w:p>
        </w:tc>
      </w:tr>
      <w:tr w:rsidR="003B155E" w:rsidRPr="00FF45DE" w14:paraId="58E65B98" w14:textId="77777777" w:rsidTr="000D79D6">
        <w:trPr>
          <w:trHeight w:val="1149"/>
        </w:trPr>
        <w:tc>
          <w:tcPr>
            <w:tcW w:w="1817" w:type="pct"/>
            <w:vAlign w:val="center"/>
          </w:tcPr>
          <w:p w14:paraId="49E3D63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V-biçimli gübre bantları (kısmen latalı zemin olması durumunda).</w:t>
            </w:r>
          </w:p>
        </w:tc>
        <w:tc>
          <w:tcPr>
            <w:tcW w:w="3183" w:type="pct"/>
            <w:vAlign w:val="center"/>
          </w:tcPr>
          <w:p w14:paraId="449D12C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V şeklindeki gübre bantları tüm yüzeyi kaplayan gübre kanallarının içinde yuvarlanarak tüm dışkı ve idrarın üzerlerine dökülmesini sağlar. İdrar ve dışkıyı ayrı ayrı kapalı gübre deposuna taşımak için bantlar günde en az iki kez çalıştırılır. Kayışlar plastikten (polipropilen veya polietilen) yapılmıştır.</w:t>
            </w:r>
          </w:p>
        </w:tc>
      </w:tr>
      <w:tr w:rsidR="003B155E" w:rsidRPr="00FF45DE" w14:paraId="14097FA7" w14:textId="77777777" w:rsidTr="000D79D6">
        <w:trPr>
          <w:trHeight w:val="259"/>
        </w:trPr>
        <w:tc>
          <w:tcPr>
            <w:tcW w:w="1817" w:type="pct"/>
            <w:vAlign w:val="center"/>
          </w:tcPr>
          <w:p w14:paraId="1854C75D"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Küçültülmüş gübre çukuru (kısmen çıtalı zemin olması durumunda).</w:t>
            </w:r>
          </w:p>
        </w:tc>
        <w:tc>
          <w:tcPr>
            <w:tcW w:w="3183" w:type="pct"/>
            <w:vAlign w:val="center"/>
          </w:tcPr>
          <w:p w14:paraId="0770F8E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Ağıl, yaklaşık 0,6 m genişliğinde dar bir çukur ile donatılmıştır. Çukur harici bir avluya yerleştirilebilir.</w:t>
            </w:r>
          </w:p>
        </w:tc>
      </w:tr>
      <w:tr w:rsidR="003B155E" w:rsidRPr="00FF45DE" w14:paraId="027B3ECC" w14:textId="77777777" w:rsidTr="000D79D6">
        <w:trPr>
          <w:trHeight w:val="1610"/>
        </w:trPr>
        <w:tc>
          <w:tcPr>
            <w:tcW w:w="1817" w:type="pct"/>
            <w:vAlign w:val="center"/>
          </w:tcPr>
          <w:p w14:paraId="4B72D2F4"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Yıkayarak sık sık sulu gübre giderme (tamamen veya kısmen çıtalı zemin olması durumunda).</w:t>
            </w:r>
          </w:p>
        </w:tc>
        <w:tc>
          <w:tcPr>
            <w:tcW w:w="3183" w:type="pct"/>
            <w:vAlign w:val="center"/>
          </w:tcPr>
          <w:p w14:paraId="0F13B7B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gübrenin çok sık bir şekilde (örneğin günde bir veya iki kez) uzaklaştırılması, kanalların sulu gübrenin sıvı fraksiyonu (kuru madde içeriği yaklaşık %5'ten yüksek olmayan) veya suyla yıkanmasıyla gerçekleştirilir. Sulu gübrenin sıvı fraksiyonu da yıkamadan önce havalandırılabilir. Bu teknik; oluklar, tüpler veya kalıcı bir sulu gübre tabakası gibi kanalların veya çukurların tabanlarının bireysel varyasyonları ile birleştirilebilir.</w:t>
            </w:r>
          </w:p>
        </w:tc>
      </w:tr>
      <w:tr w:rsidR="003B155E" w:rsidRPr="00FF45DE" w14:paraId="4EEC67FC" w14:textId="77777777" w:rsidTr="000D79D6">
        <w:trPr>
          <w:trHeight w:val="1840"/>
        </w:trPr>
        <w:tc>
          <w:tcPr>
            <w:tcW w:w="1817" w:type="pct"/>
            <w:vAlign w:val="center"/>
          </w:tcPr>
          <w:p w14:paraId="4D24D9B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Kulübe/Baraka (kısmen çıtalı zemin olması durumunda).</w:t>
            </w:r>
          </w:p>
        </w:tc>
        <w:tc>
          <w:tcPr>
            <w:tcW w:w="3183" w:type="pct"/>
            <w:vAlign w:val="center"/>
          </w:tcPr>
          <w:p w14:paraId="19C252B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Doğal havalandırmalı barınak ağıllarında ayrı fonksiyonel alanlar düzenlenmiştir. Yatma alanı (toplam alanın yaklaşık %50-60'ı), sıcaklık ve havalandırmayı kontrol etmek için yükseltilebilen veya alçaltılabilen menteşeli bir çatıya sahip, üstü kapalı, yalıtımlı kulübeler veya barakalar ile düzleştirilmiş yalıtımlı bir beton zeminden oluşur. Faaliyet ve besleme alanları, altında bir gübre çukuru bulunan ve sık sık gübrenin atıldığı (örneğin vakumla) latalı bir zemin üzerinde yer alır. Sert beton zeminde saman kullanılabilir.</w:t>
            </w:r>
          </w:p>
        </w:tc>
      </w:tr>
      <w:tr w:rsidR="003B155E" w:rsidRPr="00FF45DE" w14:paraId="37F6ED5E" w14:textId="77777777" w:rsidTr="000D79D6">
        <w:trPr>
          <w:trHeight w:val="1840"/>
        </w:trPr>
        <w:tc>
          <w:tcPr>
            <w:tcW w:w="1817" w:type="pct"/>
            <w:vAlign w:val="center"/>
          </w:tcPr>
          <w:p w14:paraId="5E5E1426"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Tam altlık sistemi (sert beton zemin durumunda).</w:t>
            </w:r>
          </w:p>
        </w:tc>
        <w:tc>
          <w:tcPr>
            <w:tcW w:w="3183" w:type="pct"/>
            <w:vAlign w:val="center"/>
          </w:tcPr>
          <w:p w14:paraId="5A37DB55"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Tamamen beton bir zemin, neredeyse tamamen bir saman tabakası veya diğer lignoselülozik malzeme ile kaplanmıştır.</w:t>
            </w:r>
          </w:p>
          <w:p w14:paraId="2BE62A7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Altlıklı sistemde, katı gübre sık sık (ör. haftada iki kez) uzaklaştırılır. Alternatif olarak, derin altlık sisteminde, üstüne taze saman eklenir ve yetiştirme döngüsünün sonunda biriken gübre çıkarılır. Yatma, beslenme, yürüme ve dışkılama alanları olarak ayrı fonksiyonel alanlar düzenlenebilir.</w:t>
            </w:r>
          </w:p>
        </w:tc>
      </w:tr>
      <w:tr w:rsidR="003B155E" w:rsidRPr="00FF45DE" w14:paraId="04FB222B" w14:textId="77777777" w:rsidTr="000D79D6">
        <w:trPr>
          <w:trHeight w:val="688"/>
        </w:trPr>
        <w:tc>
          <w:tcPr>
            <w:tcW w:w="1817" w:type="pct"/>
            <w:vAlign w:val="center"/>
          </w:tcPr>
          <w:p w14:paraId="16FD117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Altlıklı dolu avlu (sert beton zemin olması durumunda).</w:t>
            </w:r>
          </w:p>
        </w:tc>
        <w:tc>
          <w:tcPr>
            <w:tcW w:w="3183" w:type="pct"/>
            <w:vAlign w:val="center"/>
          </w:tcPr>
          <w:p w14:paraId="059374F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Küçük bir kapı, domuzun dışkılamak için beton altlıklı zemine sahip dışarıdaki bir avluya çıkmasına izin verir. Gübre her gün bir kez sıyrıldığı bir kanala düşer.</w:t>
            </w:r>
          </w:p>
        </w:tc>
      </w:tr>
      <w:tr w:rsidR="003B155E" w:rsidRPr="00FF45DE" w14:paraId="46509BA8" w14:textId="77777777" w:rsidTr="000D79D6">
        <w:trPr>
          <w:trHeight w:val="921"/>
        </w:trPr>
        <w:tc>
          <w:tcPr>
            <w:tcW w:w="1817" w:type="pct"/>
            <w:vAlign w:val="center"/>
          </w:tcPr>
          <w:p w14:paraId="315A7775"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lastRenderedPageBreak/>
              <w:t>Sert zemin üzerinde besleme/yatma kutuları (altlık tabanlı ağıllarda).</w:t>
            </w:r>
          </w:p>
        </w:tc>
        <w:tc>
          <w:tcPr>
            <w:tcW w:w="3183" w:type="pct"/>
            <w:vAlign w:val="center"/>
          </w:tcPr>
          <w:p w14:paraId="76A580F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Dişi domuzlar, iki işlevsel alana bölünmüş bir ağılda tutulur. Ana bölümde altlıklı ve sert bir zemin üzerinde bir dizi besleme/yatma kutusu bulunur. Gübre, düzenli olarak tedarik edilen ve değiştirilen saman veya diğer lignoselülozik malzemelerde tutulur.</w:t>
            </w:r>
          </w:p>
        </w:tc>
      </w:tr>
      <w:tr w:rsidR="003B155E" w:rsidRPr="00FF45DE" w14:paraId="54FFBC95" w14:textId="77777777" w:rsidTr="000D79D6">
        <w:trPr>
          <w:trHeight w:val="919"/>
        </w:trPr>
        <w:tc>
          <w:tcPr>
            <w:tcW w:w="1817" w:type="pct"/>
            <w:vAlign w:val="center"/>
          </w:tcPr>
          <w:p w14:paraId="1D704A7C"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Suda gübre toplama.</w:t>
            </w:r>
          </w:p>
        </w:tc>
        <w:tc>
          <w:tcPr>
            <w:tcW w:w="3183" w:type="pct"/>
            <w:vAlign w:val="center"/>
          </w:tcPr>
          <w:p w14:paraId="77E63157"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gübre kanalında tutulan ve yaklaşık 120–150 mm seviyesine kadar tekrar doldurulan temizleme suyunda toplanır. Eğimli kanal duvarları opsiyoneldir. Her yetiştirme döngüsünden sonra gübre kanalı boşaltılır.</w:t>
            </w:r>
          </w:p>
        </w:tc>
      </w:tr>
      <w:tr w:rsidR="003B155E" w:rsidRPr="00FF45DE" w14:paraId="0B8BE892" w14:textId="77777777" w:rsidTr="000D79D6">
        <w:trPr>
          <w:trHeight w:val="1271"/>
        </w:trPr>
        <w:tc>
          <w:tcPr>
            <w:tcW w:w="1817" w:type="pct"/>
            <w:vAlign w:val="center"/>
          </w:tcPr>
          <w:p w14:paraId="71F2823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 ve gübre kanallarının bir kombinasyonu (tamamen latalı zemin olması durumunda).</w:t>
            </w:r>
          </w:p>
        </w:tc>
        <w:tc>
          <w:tcPr>
            <w:tcW w:w="3183" w:type="pct"/>
            <w:vAlign w:val="center"/>
          </w:tcPr>
          <w:p w14:paraId="7F7A228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Dişi domuz, belirli bir dışkılama alanı olan sabit bir yerde (bir yetiştirme kafesli kasası kullanılarak) tutulur. Gübre çukuru önde geniş bir su kanalına ve arkada küçük bir gübre kanalına ayrılmıştır ve gübre yüzeyi azaltılmıştır. Ön kanal kısmen su ile doludur.</w:t>
            </w:r>
          </w:p>
        </w:tc>
      </w:tr>
      <w:tr w:rsidR="003B155E" w:rsidRPr="00FF45DE" w14:paraId="55302932" w14:textId="77777777" w:rsidTr="000D79D6">
        <w:trPr>
          <w:trHeight w:val="685"/>
        </w:trPr>
        <w:tc>
          <w:tcPr>
            <w:tcW w:w="1817" w:type="pct"/>
            <w:vAlign w:val="center"/>
          </w:tcPr>
          <w:p w14:paraId="1165D3D4"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Gübre tavası (tamamen veya kısmen latalı zemin olması durumunda).</w:t>
            </w:r>
          </w:p>
        </w:tc>
        <w:tc>
          <w:tcPr>
            <w:tcW w:w="3183" w:type="pct"/>
            <w:vAlign w:val="center"/>
          </w:tcPr>
          <w:p w14:paraId="0A7C14A1"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Latalı zeminin altına prefabrik bir tava (veya çukur) yerleştirilir. Tava, merkezi bir gübre kanalına doğru en az 3°'lik bir eğimle bir uçta en derindir. Gübre, seviyesi yaklaşık 12 cm'ye ulaştığında boşalır. Bir su kanalı varsa, tava bir su bölümü ve bir gübre bölümü olarak alt bölümlere ayrılabilir.</w:t>
            </w:r>
          </w:p>
        </w:tc>
      </w:tr>
      <w:tr w:rsidR="003B155E" w:rsidRPr="00FF45DE" w14:paraId="5DFBBA0F" w14:textId="77777777" w:rsidTr="000D79D6">
        <w:trPr>
          <w:trHeight w:val="1380"/>
        </w:trPr>
        <w:tc>
          <w:tcPr>
            <w:tcW w:w="1817" w:type="pct"/>
            <w:vAlign w:val="center"/>
          </w:tcPr>
          <w:p w14:paraId="33A952A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Saman akış sistemi (sert beton zemin durumunda).</w:t>
            </w:r>
          </w:p>
        </w:tc>
        <w:tc>
          <w:tcPr>
            <w:tcW w:w="3183" w:type="pct"/>
            <w:vAlign w:val="center"/>
          </w:tcPr>
          <w:p w14:paraId="01D4DBA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Domuzlar, eğimli bir yatma alanı ve bir boşaltım alanının tanımlandığı, sert zeminli ağıllarda yetiştirilir. Hayvanlara günlük olarak saman verilmektedir. Domuz aktivitesi altlığı ağılın eğiminden aşağı (%4-10) iter ve gübre toplama koridoruna dağıtır. Katı fraksiyon sık sık (ör. günlük olarak) bir sıyırıcı ile çıkarılabilir.</w:t>
            </w:r>
          </w:p>
        </w:tc>
      </w:tr>
      <w:tr w:rsidR="003B155E" w:rsidRPr="00FF45DE" w14:paraId="70682B30" w14:textId="77777777" w:rsidTr="000D79D6">
        <w:trPr>
          <w:trHeight w:val="1610"/>
        </w:trPr>
        <w:tc>
          <w:tcPr>
            <w:tcW w:w="1817" w:type="pct"/>
            <w:vAlign w:val="center"/>
          </w:tcPr>
          <w:p w14:paraId="1D1DBF3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Kombine gübre üretimine (sulu ve katı gübre) sahip altlıklı ağıllar.</w:t>
            </w:r>
          </w:p>
        </w:tc>
        <w:tc>
          <w:tcPr>
            <w:tcW w:w="3183" w:type="pct"/>
            <w:vAlign w:val="center"/>
          </w:tcPr>
          <w:p w14:paraId="193DBC29"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Yavrulama ağılları ayrı işlevsel alanlarla donatılmıştır: yataklı bir yatma alanı, latalı veya delikli zeminlere sahip yürüme ve gübrelik alanları ve sert bir zemin üzerinde bir beslenme alanı. Domuz yavrularına altlıklı ve üstü kapalı bir yuva sağlanır. Sulu gübre sıklıkla bir sıyırıcı ile çıkarılır. Katı gübre, katı zemin alanlarından günlük olarak manuel olarak kaldırılır. Altlık düzenli olarak sağlanır. Sistemle bir avlu birleştirilebilir.</w:t>
            </w:r>
          </w:p>
        </w:tc>
      </w:tr>
      <w:tr w:rsidR="003B155E" w:rsidRPr="00FF45DE" w14:paraId="7F108BC6" w14:textId="77777777" w:rsidTr="000D79D6">
        <w:trPr>
          <w:trHeight w:val="581"/>
        </w:trPr>
        <w:tc>
          <w:tcPr>
            <w:tcW w:w="1817" w:type="pct"/>
            <w:vAlign w:val="center"/>
          </w:tcPr>
          <w:p w14:paraId="674DB66A"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Gübre kanalında yüzen topların kullanımı.</w:t>
            </w:r>
          </w:p>
        </w:tc>
        <w:tc>
          <w:tcPr>
            <w:tcW w:w="3183" w:type="pct"/>
            <w:vAlign w:val="center"/>
          </w:tcPr>
          <w:p w14:paraId="2B5BE297" w14:textId="77777777" w:rsidR="003B155E" w:rsidRPr="00FF45DE" w:rsidRDefault="003B155E" w:rsidP="000D79D6">
            <w:pPr>
              <w:ind w:left="74" w:right="74"/>
              <w:rPr>
                <w:rFonts w:ascii="Times New Roman" w:eastAsia="Times New Roman" w:hAnsi="Times New Roman" w:cs="Times New Roman"/>
                <w:lang w:val="nl-NL"/>
              </w:rPr>
            </w:pPr>
            <w:r w:rsidRPr="00FF45DE">
              <w:rPr>
                <w:rFonts w:ascii="Times New Roman" w:eastAsia="Times New Roman" w:hAnsi="Times New Roman" w:cs="Times New Roman"/>
                <w:lang w:val="tr"/>
              </w:rPr>
              <w:t>Yarıya kadar su ile doldurulmuş ve yapışmaz kaplamalı özel plastikten yapılmış toplar, gübre kanallarının yüzeyinde yüzer.</w:t>
            </w:r>
          </w:p>
        </w:tc>
      </w:tr>
    </w:tbl>
    <w:p w14:paraId="38CF31BA"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nl-NL"/>
          <w14:ligatures w14:val="none"/>
        </w:rPr>
      </w:pPr>
      <w:bookmarkStart w:id="65" w:name="_Toc136614345"/>
      <w:r w:rsidRPr="00FF45DE">
        <w:rPr>
          <w:rFonts w:ascii="Times New Roman" w:eastAsia="DengXian Light" w:hAnsi="Times New Roman" w:cs="Microsoft Uighur"/>
          <w:b/>
          <w:kern w:val="0"/>
          <w:sz w:val="24"/>
          <w:szCs w:val="24"/>
          <w:lang w:val="nl-NL"/>
          <w14:ligatures w14:val="none"/>
        </w:rPr>
        <w:t xml:space="preserve">Sulu Gübre Soğutma </w:t>
      </w:r>
      <w:bookmarkEnd w:id="65"/>
      <w:r w:rsidRPr="00FF45DE">
        <w:rPr>
          <w:rFonts w:ascii="Times New Roman" w:eastAsia="DengXian Light" w:hAnsi="Times New Roman" w:cs="Microsoft Uighur"/>
          <w:b/>
          <w:kern w:val="0"/>
          <w:sz w:val="24"/>
          <w:szCs w:val="24"/>
          <w:lang w:val="tr"/>
          <w14:ligatures w14:val="none"/>
        </w:rPr>
        <w:t>Tekniklerinin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01739F27" w14:textId="77777777" w:rsidTr="000D79D6">
        <w:trPr>
          <w:trHeight w:val="282"/>
        </w:trPr>
        <w:tc>
          <w:tcPr>
            <w:tcW w:w="1817" w:type="pct"/>
          </w:tcPr>
          <w:p w14:paraId="7FB37DB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tcPr>
          <w:p w14:paraId="23EACAD2"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29E4DAF0" w14:textId="77777777" w:rsidTr="000D79D6">
        <w:trPr>
          <w:trHeight w:val="2301"/>
        </w:trPr>
        <w:tc>
          <w:tcPr>
            <w:tcW w:w="1817" w:type="pct"/>
            <w:vAlign w:val="center"/>
          </w:tcPr>
          <w:p w14:paraId="4BAD4BD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Sulu gübre soğutma boruları</w:t>
            </w:r>
          </w:p>
        </w:tc>
        <w:tc>
          <w:tcPr>
            <w:tcW w:w="3183" w:type="pct"/>
            <w:vAlign w:val="center"/>
          </w:tcPr>
          <w:p w14:paraId="5244866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Sulu gübre sıcaklığının düşürülmesi (genellikle 12 °C'den daha az), sulu gübrenin üzerine, beton zeminin üzerine veya zemine dökülen bir soğutma sistemi kurularak elde edilir. Uygulanan soğutma yoğunluğu, kısmen latallı zeminlerde barındırılan gebelik dönemindeki dişi domuzlar ve besi domuzları için 10 W/m</w:t>
            </w:r>
            <w:r w:rsidRPr="00FF45DE">
              <w:rPr>
                <w:rFonts w:ascii="Times New Roman" w:eastAsia="Times New Roman" w:hAnsi="Times New Roman" w:cs="Times New Roman"/>
                <w:vertAlign w:val="superscript"/>
                <w:lang w:val="tr"/>
              </w:rPr>
              <w:t>2</w:t>
            </w:r>
            <w:r w:rsidRPr="00FF45DE">
              <w:rPr>
                <w:rFonts w:ascii="Times New Roman" w:eastAsia="Times New Roman" w:hAnsi="Times New Roman" w:cs="Times New Roman"/>
                <w:lang w:val="tr"/>
              </w:rPr>
              <w:t xml:space="preserve"> ila 50 W/m</w:t>
            </w:r>
            <w:r w:rsidRPr="00FF45DE">
              <w:rPr>
                <w:rFonts w:ascii="Times New Roman" w:eastAsia="Times New Roman" w:hAnsi="Times New Roman" w:cs="Times New Roman"/>
                <w:vertAlign w:val="superscript"/>
                <w:lang w:val="tr"/>
              </w:rPr>
              <w:t>2</w:t>
            </w:r>
            <w:r w:rsidRPr="00FF45DE">
              <w:rPr>
                <w:rFonts w:ascii="Times New Roman" w:eastAsia="Times New Roman" w:hAnsi="Times New Roman" w:cs="Times New Roman"/>
                <w:lang w:val="tr"/>
              </w:rPr>
              <w:t xml:space="preserve"> arasında olabilir. Sistem, içinde bir soğutucu akışkanın veya suyun sirküle edildiği borulardan oluşur. Borular, çiftliğin diğer bölümlerini ısıtmak için kullanılabilecek enerjiyi geri kazanmak için bir ısı değişim cihazına bağlanır. Boruların nispeten küçük bir değiş tokuş yüzeyi nedeniyle çukur veya kanalların sık sık boşaltılması gerekir.</w:t>
            </w:r>
          </w:p>
        </w:tc>
      </w:tr>
    </w:tbl>
    <w:p w14:paraId="4BAFE188" w14:textId="77777777" w:rsidR="003B155E" w:rsidRPr="00FF45DE" w:rsidRDefault="003B155E" w:rsidP="0096283A">
      <w:pPr>
        <w:keepNext/>
        <w:keepLines/>
        <w:numPr>
          <w:ilvl w:val="1"/>
          <w:numId w:val="0"/>
        </w:numPr>
        <w:spacing w:before="120" w:after="60" w:line="360" w:lineRule="auto"/>
        <w:ind w:left="666" w:hanging="576"/>
        <w:jc w:val="center"/>
        <w:outlineLvl w:val="1"/>
        <w:rPr>
          <w:rFonts w:ascii="Times New Roman" w:eastAsia="DengXian Light" w:hAnsi="Times New Roman" w:cs="Microsoft Uighur"/>
          <w:b/>
          <w:kern w:val="0"/>
          <w:sz w:val="24"/>
          <w:szCs w:val="26"/>
          <w:lang w:val="tr"/>
          <w14:ligatures w14:val="none"/>
        </w:rPr>
      </w:pPr>
      <w:bookmarkStart w:id="66" w:name="_Toc136614346"/>
      <w:r w:rsidRPr="00FF45DE">
        <w:rPr>
          <w:rFonts w:ascii="Times New Roman" w:eastAsia="DengXian Light" w:hAnsi="Times New Roman" w:cs="Microsoft Uighur"/>
          <w:b/>
          <w:kern w:val="0"/>
          <w:sz w:val="24"/>
          <w:szCs w:val="26"/>
          <w:lang w:val="tr"/>
          <w14:ligatures w14:val="none"/>
        </w:rPr>
        <w:lastRenderedPageBreak/>
        <w:t xml:space="preserve">Kümes Hayvanı Barınakları için </w:t>
      </w:r>
      <w:bookmarkEnd w:id="66"/>
      <w:r w:rsidRPr="00FF45DE">
        <w:rPr>
          <w:rFonts w:ascii="Times New Roman" w:eastAsia="DengXian Light" w:hAnsi="Times New Roman" w:cs="Microsoft Uighur"/>
          <w:b/>
          <w:kern w:val="0"/>
          <w:sz w:val="24"/>
          <w:szCs w:val="26"/>
          <w:lang w:val="tr"/>
          <w14:ligatures w14:val="none"/>
        </w:rPr>
        <w:t>Tekniklerinin Tanımları</w:t>
      </w:r>
    </w:p>
    <w:p w14:paraId="356C0F06" w14:textId="77777777" w:rsidR="003B155E" w:rsidRPr="00FF45DE"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lang w:val="tr"/>
          <w14:ligatures w14:val="none"/>
        </w:rPr>
      </w:pPr>
      <w:bookmarkStart w:id="67" w:name="_Toc136614347"/>
      <w:r w:rsidRPr="00FF45DE">
        <w:rPr>
          <w:rFonts w:ascii="Times New Roman" w:eastAsia="DengXian Light" w:hAnsi="Times New Roman" w:cs="Microsoft Uighur"/>
          <w:b/>
          <w:kern w:val="0"/>
          <w:sz w:val="24"/>
          <w:szCs w:val="24"/>
          <w:lang w:val="tr"/>
          <w14:ligatures w14:val="none"/>
        </w:rPr>
        <w:t>Yumurtlayan Tavuklar, Damızlık Piliçler veya Yarkalar için Kümeslerden Çıkan Amonyak Emisyonlarını Azaltma Teknikleri</w:t>
      </w:r>
      <w:bookmarkEnd w:id="67"/>
      <w:r w:rsidRPr="00FF45DE">
        <w:rPr>
          <w:rFonts w:ascii="Times New Roman" w:eastAsia="DengXian Light" w:hAnsi="Times New Roman" w:cs="Microsoft Uighur"/>
          <w:b/>
          <w:kern w:val="0"/>
          <w:sz w:val="24"/>
          <w:szCs w:val="24"/>
          <w:lang w:val="tr"/>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35C68A79" w14:textId="77777777" w:rsidTr="000D79D6">
        <w:trPr>
          <w:trHeight w:val="230"/>
          <w:tblHeader/>
        </w:trPr>
        <w:tc>
          <w:tcPr>
            <w:tcW w:w="1817" w:type="pct"/>
          </w:tcPr>
          <w:p w14:paraId="0D89333F"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Barınak sistemi</w:t>
            </w:r>
          </w:p>
        </w:tc>
        <w:tc>
          <w:tcPr>
            <w:tcW w:w="3183" w:type="pct"/>
          </w:tcPr>
          <w:p w14:paraId="637FB819"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7270A55A" w14:textId="77777777" w:rsidTr="000D79D6">
        <w:trPr>
          <w:trHeight w:val="1610"/>
        </w:trPr>
        <w:tc>
          <w:tcPr>
            <w:tcW w:w="1817" w:type="pct"/>
            <w:vAlign w:val="center"/>
          </w:tcPr>
          <w:p w14:paraId="1CBB134F"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Zenginleştirilmemiş kafes sistemi</w:t>
            </w:r>
          </w:p>
        </w:tc>
        <w:tc>
          <w:tcPr>
            <w:tcW w:w="3183" w:type="pct"/>
            <w:vAlign w:val="center"/>
          </w:tcPr>
          <w:p w14:paraId="4FE07EE3"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Damızlık piliç yetiştiricileri, tünekler, altlık alanı ve yuva ile donatılmış zenginleştirilmemiş kafes sistemlerinde barındırılır. Yarkalara, daha sonraki yaşamlarında karşılaşacakları yetiştirme sistemlerine uyum sağlamalarını sağlamak için yönetim uygulamaları (ör. belirli besleme ve sulama sistemleri) ve çevre koşulları (ör. doğal ışık, tünekler, altlık) hakkında uygun deneyim verilmelidir. Kafesler genellikle üç veya daha fazla katmanda düzenlenir.</w:t>
            </w:r>
          </w:p>
        </w:tc>
      </w:tr>
      <w:tr w:rsidR="003B155E" w:rsidRPr="00FF45DE" w14:paraId="5533C3F6" w14:textId="77777777" w:rsidTr="000D79D6">
        <w:trPr>
          <w:trHeight w:val="1379"/>
        </w:trPr>
        <w:tc>
          <w:tcPr>
            <w:tcW w:w="1817" w:type="pct"/>
            <w:vAlign w:val="center"/>
          </w:tcPr>
          <w:p w14:paraId="6684543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Zenginleştirilmiş kafes sistemi</w:t>
            </w:r>
          </w:p>
        </w:tc>
        <w:tc>
          <w:tcPr>
            <w:tcW w:w="3183" w:type="pct"/>
            <w:vAlign w:val="center"/>
          </w:tcPr>
          <w:p w14:paraId="7D9EEE9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Zenginleştirilmiş kafesler eğimli zeminlerle inşa edilmiş, kaynaklı tel örgü veya plastik latalardan yapılmış, demirbaşlarla donatılmış ve besleme, içme, yuvalama, tırmalama, tüneme ve yumurta toplama için artırılmış alanlarla donatılmıştır. Kafeslerin kapasitesi yaklaşık 10 ila 60 kuş arasında değişebilir. Kafesler genellikle üç veya daha fazla katmanda düzenlenir.</w:t>
            </w:r>
          </w:p>
        </w:tc>
      </w:tr>
      <w:tr w:rsidR="003B155E" w:rsidRPr="00FF45DE" w14:paraId="7A87C9CE" w14:textId="77777777" w:rsidTr="000D79D6">
        <w:trPr>
          <w:trHeight w:val="1379"/>
        </w:trPr>
        <w:tc>
          <w:tcPr>
            <w:tcW w:w="1817" w:type="pct"/>
            <w:vAlign w:val="center"/>
          </w:tcPr>
          <w:p w14:paraId="3DF19BB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çukurlu derin altlık</w:t>
            </w:r>
          </w:p>
        </w:tc>
        <w:tc>
          <w:tcPr>
            <w:tcW w:w="3183" w:type="pct"/>
            <w:vAlign w:val="center"/>
          </w:tcPr>
          <w:p w14:paraId="78EEC1A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Barınaktaki toplam zeminin en az üçte biri altlıkla (ör. kum, talaş, saman) kaplıdır. Kalan zemin alanı, altında bir gübre çukuru ile latalıdır. Yemlik ve suluk armatürleri latalı alan üzerine yerleştirilmiştir. Konutun içinde veya dışında sundurmalar ve serbest gezme sistemi gibi ek yapılar bulunabilir.</w:t>
            </w:r>
          </w:p>
        </w:tc>
      </w:tr>
      <w:tr w:rsidR="003B155E" w:rsidRPr="00FF45DE" w14:paraId="15A7D152" w14:textId="77777777" w:rsidTr="000D79D6">
        <w:trPr>
          <w:trHeight w:val="1610"/>
        </w:trPr>
        <w:tc>
          <w:tcPr>
            <w:tcW w:w="1817" w:type="pct"/>
            <w:vAlign w:val="center"/>
          </w:tcPr>
          <w:p w14:paraId="4655CF35"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Kuşluklu sistemler</w:t>
            </w:r>
          </w:p>
        </w:tc>
        <w:tc>
          <w:tcPr>
            <w:tcW w:w="3183" w:type="pct"/>
            <w:vAlign w:val="center"/>
          </w:tcPr>
          <w:p w14:paraId="64FB0955"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Kuşluklu sistemler; beslenme, içme, yumurtlama, tırmalama ve dinlenme için farklı fonksiyonel alanlara ayrılmıştır. Katlarla birleştirilen yükseltilmiş latalı zeminler sayesinde kullanım alanı arttırılmıştır. Latalı alan, toplam zemin alanının %30 ila %60'ı arasında değişmektedir. Kalan zemin tipik olarak altlıklıdır.</w:t>
            </w:r>
          </w:p>
          <w:p w14:paraId="0DA1DCFF"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Yumurtlayan tavuk ve damızlık piliç yetiştiricileri için tesislerde sistem, serbest dolaşım sistemi olan veya olmayan verandalarla birleştirilebilir.</w:t>
            </w:r>
          </w:p>
        </w:tc>
      </w:tr>
      <w:tr w:rsidR="003B155E" w:rsidRPr="00FF45DE" w14:paraId="3B0F7731" w14:textId="77777777" w:rsidTr="000D79D6">
        <w:trPr>
          <w:trHeight w:val="1840"/>
        </w:trPr>
        <w:tc>
          <w:tcPr>
            <w:tcW w:w="1817" w:type="pct"/>
            <w:vAlign w:val="center"/>
          </w:tcPr>
          <w:p w14:paraId="6215F07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Bantlarla gübre çıkarma (zenginleştirilmiş veya zenginleştirilmemiş kafes sistemleri durumunda) asgari olarak:</w:t>
            </w:r>
          </w:p>
          <w:p w14:paraId="7EB799A3" w14:textId="77777777" w:rsidR="003B155E" w:rsidRPr="00FF45DE" w:rsidRDefault="003B155E" w:rsidP="003B155E">
            <w:pPr>
              <w:numPr>
                <w:ilvl w:val="0"/>
                <w:numId w:val="189"/>
              </w:numPr>
              <w:tabs>
                <w:tab w:val="left" w:pos="277"/>
              </w:tabs>
              <w:ind w:left="74" w:right="74"/>
              <w:jc w:val="both"/>
              <w:rPr>
                <w:rFonts w:ascii="Times New Roman" w:eastAsia="Times New Roman" w:hAnsi="Times New Roman" w:cs="Times New Roman"/>
                <w:lang w:val="tr"/>
              </w:rPr>
            </w:pPr>
            <w:r w:rsidRPr="00FF45DE">
              <w:rPr>
                <w:rFonts w:ascii="Times New Roman" w:eastAsia="Times New Roman" w:hAnsi="Times New Roman" w:cs="Times New Roman"/>
                <w:lang w:val="tr"/>
              </w:rPr>
              <w:t>Hava ile kurutma ile haftada bir çıkarma</w:t>
            </w:r>
          </w:p>
          <w:p w14:paraId="648E0530"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veya</w:t>
            </w:r>
          </w:p>
          <w:p w14:paraId="3769EFC2" w14:textId="77777777" w:rsidR="003B155E" w:rsidRPr="00FF45DE" w:rsidRDefault="003B155E" w:rsidP="003B155E">
            <w:pPr>
              <w:numPr>
                <w:ilvl w:val="0"/>
                <w:numId w:val="189"/>
              </w:numPr>
              <w:tabs>
                <w:tab w:val="left" w:pos="272"/>
              </w:tabs>
              <w:ind w:left="74" w:right="74"/>
              <w:jc w:val="both"/>
              <w:rPr>
                <w:rFonts w:ascii="Times New Roman" w:eastAsia="Times New Roman" w:hAnsi="Times New Roman" w:cs="Times New Roman"/>
                <w:lang w:val="fi-FI"/>
              </w:rPr>
            </w:pPr>
            <w:r w:rsidRPr="00FF45DE">
              <w:rPr>
                <w:rFonts w:ascii="Times New Roman" w:eastAsia="Times New Roman" w:hAnsi="Times New Roman" w:cs="Times New Roman"/>
                <w:lang w:val="tr"/>
              </w:rPr>
              <w:t>Havayla kurutma olmadan haftada iki kez çıkarma.</w:t>
            </w:r>
          </w:p>
        </w:tc>
        <w:tc>
          <w:tcPr>
            <w:tcW w:w="3183" w:type="pct"/>
            <w:vAlign w:val="center"/>
          </w:tcPr>
          <w:p w14:paraId="761FBFD6"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Gübrenin atılması için kafeslerin altına bantlar yerleştirilmiştir. Çıkarma sıklığı haftada bir (hava ile kurutma ile) veya daha fazla (hava ile kurutma olmadan) olabilir. Gübrenin kurutulması için toplama bandı havalandırılabilir. Gübre bandında hızlı hareket ile havayla kurutma da kullanılabilir.</w:t>
            </w:r>
          </w:p>
        </w:tc>
      </w:tr>
      <w:tr w:rsidR="003B155E" w:rsidRPr="00FF45DE" w14:paraId="1D85644E" w14:textId="77777777" w:rsidTr="000D79D6">
        <w:trPr>
          <w:trHeight w:val="460"/>
        </w:trPr>
        <w:tc>
          <w:tcPr>
            <w:tcW w:w="1817" w:type="pct"/>
            <w:vAlign w:val="center"/>
          </w:tcPr>
          <w:p w14:paraId="5B5C75C8"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bandı veya sıyırıcısı (gübre çukurlu derin altlık olması durumunda).</w:t>
            </w:r>
          </w:p>
        </w:tc>
        <w:tc>
          <w:tcPr>
            <w:tcW w:w="3183" w:type="pct"/>
            <w:vAlign w:val="center"/>
          </w:tcPr>
          <w:p w14:paraId="051F517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Gübre sıyırıcılar (periyodik olarak) veya bantlarla (kurutulmuş gübre için haftada bir, kurutma olmadan haftada iki kez) çıkarılır.</w:t>
            </w:r>
          </w:p>
        </w:tc>
      </w:tr>
      <w:tr w:rsidR="003B155E" w:rsidRPr="00FF45DE" w14:paraId="4DE8DB6B" w14:textId="77777777" w:rsidTr="000D79D6">
        <w:trPr>
          <w:trHeight w:val="699"/>
        </w:trPr>
        <w:tc>
          <w:tcPr>
            <w:tcW w:w="1817" w:type="pct"/>
            <w:vAlign w:val="center"/>
          </w:tcPr>
          <w:p w14:paraId="2165B38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 xml:space="preserve">Cebri havalandırma sistemi ve nadiren gübre çıkarma (gübre çukurlu derin altlık olması durumunda) yalnızca ek bir </w:t>
            </w:r>
            <w:r w:rsidRPr="00FF45DE">
              <w:rPr>
                <w:rFonts w:ascii="Times New Roman" w:eastAsia="Times New Roman" w:hAnsi="Times New Roman" w:cs="Times New Roman"/>
                <w:lang w:val="tr"/>
              </w:rPr>
              <w:lastRenderedPageBreak/>
              <w:t>hafifletme önlemi ile birlikte kullanıldığında (ör. gübrede yüksek bir kuru madde içeriği elde edilmesi, bir hava temizleme sistemi).</w:t>
            </w:r>
          </w:p>
        </w:tc>
        <w:tc>
          <w:tcPr>
            <w:tcW w:w="3183" w:type="pct"/>
            <w:vAlign w:val="center"/>
          </w:tcPr>
          <w:p w14:paraId="55A59F9B"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lastRenderedPageBreak/>
              <w:t xml:space="preserve">Derin altlık sistemi (açıklama için yukarıya bakınız), örneğin yetiştirme döngüsünün sonunda nadiren gübre çıkarma ile birleştirilir. Gübrenin minimum kuru madde içeriği yaklaşık %50-60 civarında sağlanır. Bu, uygun bir cebri havalandırma </w:t>
            </w:r>
            <w:r w:rsidRPr="00FF45DE">
              <w:rPr>
                <w:rFonts w:ascii="Times New Roman" w:eastAsia="Times New Roman" w:hAnsi="Times New Roman" w:cs="Times New Roman"/>
                <w:lang w:val="tr"/>
              </w:rPr>
              <w:lastRenderedPageBreak/>
              <w:t>sistemi (ör. zemin seviyesinde yerleştirilmiş fanlar ve hava tahliyesi) ile sağlanır.</w:t>
            </w:r>
          </w:p>
        </w:tc>
      </w:tr>
      <w:tr w:rsidR="003B155E" w:rsidRPr="00FF45DE" w14:paraId="1C1EFB0D" w14:textId="77777777" w:rsidTr="000D79D6">
        <w:trPr>
          <w:trHeight w:val="918"/>
        </w:trPr>
        <w:tc>
          <w:tcPr>
            <w:tcW w:w="1817" w:type="pct"/>
            <w:vAlign w:val="center"/>
          </w:tcPr>
          <w:p w14:paraId="7936771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lastRenderedPageBreak/>
              <w:t>Gübrenin tüpler yoluyla cebri havayla kurutulması (gübre çukurlu derin altlık olması durumunda).</w:t>
            </w:r>
          </w:p>
        </w:tc>
        <w:tc>
          <w:tcPr>
            <w:tcW w:w="3183" w:type="pct"/>
            <w:vAlign w:val="center"/>
          </w:tcPr>
          <w:p w14:paraId="39841B7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Derin altlık sistemi (açıklama için yukarıya bakınız), latalı zeminin altında depolanan gübre üzerine hava üfleyen (ör. 17–20 °C'de ve 1,2 m</w:t>
            </w:r>
            <w:r w:rsidRPr="00FF45DE">
              <w:rPr>
                <w:rFonts w:ascii="Times New Roman" w:eastAsia="Times New Roman" w:hAnsi="Times New Roman" w:cs="Times New Roman"/>
                <w:vertAlign w:val="superscript"/>
                <w:lang w:val="tr"/>
              </w:rPr>
              <w:t>3</w:t>
            </w:r>
            <w:r w:rsidRPr="00FF45DE">
              <w:rPr>
                <w:rFonts w:ascii="Times New Roman" w:eastAsia="Times New Roman" w:hAnsi="Times New Roman" w:cs="Times New Roman"/>
                <w:lang w:val="tr"/>
              </w:rPr>
              <w:t>/kuş) borular aracılığıyla uygulanan cebri havalandırma yoluyla gübre kurutma ile birleştirilir.</w:t>
            </w:r>
          </w:p>
        </w:tc>
      </w:tr>
      <w:tr w:rsidR="003B155E" w:rsidRPr="00FF45DE" w14:paraId="7354543D" w14:textId="77777777" w:rsidTr="000D79D6">
        <w:trPr>
          <w:trHeight w:val="921"/>
        </w:trPr>
        <w:tc>
          <w:tcPr>
            <w:tcW w:w="1817" w:type="pct"/>
            <w:vAlign w:val="center"/>
          </w:tcPr>
          <w:p w14:paraId="6B91F27E"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Delikli zemin kullanılarak gübrenin cebri havayla kurutulması (gübre çukurlu derin altlık durumunda).</w:t>
            </w:r>
          </w:p>
        </w:tc>
        <w:tc>
          <w:tcPr>
            <w:tcW w:w="3183" w:type="pct"/>
            <w:vAlign w:val="center"/>
          </w:tcPr>
          <w:p w14:paraId="5910C4A2"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Derin altlık sistemi (açıklama için yukarıya bakınız), gübrenin altına yerleştirilmiş ve alttan basınçlı hava üflenmesine izin veren delikli bir zemin ile donatılmıştır. Gübre, yetiştirme döngüsünün sonunda çıkarılır.</w:t>
            </w:r>
          </w:p>
        </w:tc>
      </w:tr>
      <w:tr w:rsidR="003B155E" w:rsidRPr="00FF45DE" w14:paraId="7F1649D6" w14:textId="77777777" w:rsidTr="000D79D6">
        <w:trPr>
          <w:trHeight w:val="688"/>
        </w:trPr>
        <w:tc>
          <w:tcPr>
            <w:tcW w:w="1817" w:type="pct"/>
            <w:vAlign w:val="center"/>
          </w:tcPr>
          <w:p w14:paraId="05309CC1"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Gübre bantları (kuş kafesi olması durumunda).</w:t>
            </w:r>
          </w:p>
        </w:tc>
        <w:tc>
          <w:tcPr>
            <w:tcW w:w="3183" w:type="pct"/>
            <w:vAlign w:val="center"/>
          </w:tcPr>
          <w:p w14:paraId="34FA3D8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latalı zeminin altındaki bantlarda toplanır ve havalandırmalı veya havalandırmasız bantlarla haftada en az bir kez çıkarılır. Yarkalar için kümeslerde altlıklı ve sert zeminler birleştirilebilir.</w:t>
            </w:r>
          </w:p>
        </w:tc>
      </w:tr>
      <w:tr w:rsidR="003B155E" w:rsidRPr="00FF45DE" w14:paraId="1D5A7C7A" w14:textId="77777777" w:rsidTr="000D79D6">
        <w:trPr>
          <w:trHeight w:val="1164"/>
        </w:trPr>
        <w:tc>
          <w:tcPr>
            <w:tcW w:w="1817" w:type="pct"/>
            <w:vAlign w:val="center"/>
          </w:tcPr>
          <w:p w14:paraId="151B9DFE"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Altlığın iç ortam havası kullanılarak cebri kurutulması (derin altlıklı sert zemin olması durumunda).</w:t>
            </w:r>
          </w:p>
        </w:tc>
        <w:tc>
          <w:tcPr>
            <w:tcW w:w="3183" w:type="pct"/>
            <w:vAlign w:val="center"/>
          </w:tcPr>
          <w:p w14:paraId="5F88C781"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Gübre çukuru olmayan derin altlık sisteminde, kuşların fizyolojik ihtiyaçlarını karşılarken altlığı kurutmak için kapalı hava sirkülasyon sistemleri kullanılabilir. Bunun için fanlar, ısı eşanjörleri ve/veya ısıtıcılar kullanılabilir.</w:t>
            </w:r>
          </w:p>
        </w:tc>
      </w:tr>
    </w:tbl>
    <w:p w14:paraId="33661B47" w14:textId="77777777" w:rsidR="003B155E" w:rsidRPr="00EE5089"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14:ligatures w14:val="none"/>
        </w:rPr>
      </w:pPr>
      <w:bookmarkStart w:id="68" w:name="_Toc136614348"/>
      <w:r w:rsidRPr="00EE5089">
        <w:rPr>
          <w:rFonts w:ascii="Times New Roman" w:eastAsia="DengXian Light" w:hAnsi="Times New Roman" w:cs="Microsoft Uighur"/>
          <w:b/>
          <w:kern w:val="0"/>
          <w:sz w:val="24"/>
          <w:szCs w:val="24"/>
          <w14:ligatures w14:val="none"/>
        </w:rPr>
        <w:t>Etlik Piliç Kümeslerinden Amonyak Emisyonlarını Azaltma Teknikleri</w:t>
      </w:r>
      <w:bookmarkEnd w:id="68"/>
      <w:r w:rsidRPr="00EE5089">
        <w:rPr>
          <w:rFonts w:ascii="Times New Roman" w:eastAsia="DengXian Light" w:hAnsi="Times New Roman" w:cs="Microsoft Uighur"/>
          <w:b/>
          <w:kern w:val="0"/>
          <w:sz w:val="24"/>
          <w:szCs w:val="24"/>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63E83760" w14:textId="77777777" w:rsidTr="000D79D6">
        <w:trPr>
          <w:trHeight w:val="282"/>
          <w:tblHeader/>
        </w:trPr>
        <w:tc>
          <w:tcPr>
            <w:tcW w:w="1817" w:type="pct"/>
          </w:tcPr>
          <w:p w14:paraId="6F314D27"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tcPr>
          <w:p w14:paraId="5169D39E"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387B0388" w14:textId="77777777" w:rsidTr="000D79D6">
        <w:trPr>
          <w:trHeight w:val="1622"/>
        </w:trPr>
        <w:tc>
          <w:tcPr>
            <w:tcW w:w="1817" w:type="pct"/>
            <w:vAlign w:val="center"/>
          </w:tcPr>
          <w:p w14:paraId="5EA15C0D"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Sızdırmayan içme sistemi ile doğal veya cebri havalandırma (derin altlıklı sert zemin olması durumunda).</w:t>
            </w:r>
          </w:p>
        </w:tc>
        <w:tc>
          <w:tcPr>
            <w:tcW w:w="3183" w:type="pct"/>
            <w:vAlign w:val="center"/>
          </w:tcPr>
          <w:p w14:paraId="6F555A6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Bina kapalı ve iyi yalıtılmıştır, doğal veya cebri havalandırma ile donatılmıştır ve bir sundurma ve/veya serbest dolaşım sistemi ile birleştirilebilir. Sert zemin, ihtiyaca göre eklenebilen altlıkla tamamen kaplıdır. Zemin yalıtımı (ör. beton, kil, membran) altlıkta su yoğuşmasını önler. Katı gübre, yetiştirme döngüsünün sonunda çıkarılır. İçme suyu sisteminin tasarımı ve işletimi, altlığın üzerine su sızmasını ve dökülmesini önler.</w:t>
            </w:r>
          </w:p>
        </w:tc>
      </w:tr>
      <w:tr w:rsidR="003B155E" w:rsidRPr="00FF45DE" w14:paraId="393282D4" w14:textId="77777777" w:rsidTr="000D79D6">
        <w:trPr>
          <w:trHeight w:val="690"/>
        </w:trPr>
        <w:tc>
          <w:tcPr>
            <w:tcW w:w="1817" w:type="pct"/>
            <w:vAlign w:val="center"/>
          </w:tcPr>
          <w:p w14:paraId="62433CA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İç ortam havası kullanan altlığın cebri kurutma sistemi (derin altlıklı sert zemin olması durumunda).</w:t>
            </w:r>
          </w:p>
        </w:tc>
        <w:tc>
          <w:tcPr>
            <w:tcW w:w="3183" w:type="pct"/>
            <w:vAlign w:val="center"/>
          </w:tcPr>
          <w:p w14:paraId="487B31CE"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Kapalı hava devridaim sistemleri, kuşların fizyolojik ihtiyaçlarını karşılarken altlığı kurutmak için kullanılabilir. Bunun için fanlar, ısı eşanjörleri ve/veya ısıtıcılar kullanılabilir.</w:t>
            </w:r>
          </w:p>
        </w:tc>
      </w:tr>
      <w:tr w:rsidR="003B155E" w:rsidRPr="00FF45DE" w14:paraId="38DC1846" w14:textId="77777777" w:rsidTr="000D79D6">
        <w:trPr>
          <w:trHeight w:val="1838"/>
        </w:trPr>
        <w:tc>
          <w:tcPr>
            <w:tcW w:w="1817" w:type="pct"/>
            <w:vAlign w:val="center"/>
          </w:tcPr>
          <w:p w14:paraId="61D1D46F"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Gübre bandındaki altlık ve cebri havayla kurutma (katmanlı zemin sistemlerinde).</w:t>
            </w:r>
          </w:p>
        </w:tc>
        <w:tc>
          <w:tcPr>
            <w:tcW w:w="3183" w:type="pct"/>
            <w:vAlign w:val="center"/>
          </w:tcPr>
          <w:p w14:paraId="49CF82DC"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Altlık ile kaplı gübre bantlarıyla donatılmış katmanlar üzerinde çok katlı bir sistem. Havalandırma koridorları, katman sıraları arasında bırakılır. Hava bir koridordan girer ve gübre bandı üzerindeki altlık malzemesine yönlendirilir. Altlık, yetiştirme döngüsünün sonunda çıkarılır. Sistem, piliç civcivlerinin yumurtadan çıktığı ve sınırlı bir süre için çok katmanlı bir sistemde altlıklı gübre bantlarında büyütüldüğü ayrı bir başlangıç aşaması ile birlikte kullanılabilir.</w:t>
            </w:r>
          </w:p>
        </w:tc>
      </w:tr>
    </w:tbl>
    <w:p w14:paraId="6E9C13E9" w14:textId="77777777" w:rsidR="003B155E" w:rsidRPr="00FF45DE" w:rsidRDefault="003B155E" w:rsidP="003B155E">
      <w:pPr>
        <w:keepNext/>
        <w:keepLines/>
        <w:numPr>
          <w:ilvl w:val="2"/>
          <w:numId w:val="0"/>
        </w:numPr>
        <w:spacing w:before="240" w:after="120" w:line="240" w:lineRule="auto"/>
        <w:ind w:left="720" w:hanging="720"/>
        <w:jc w:val="both"/>
        <w:outlineLvl w:val="2"/>
        <w:rPr>
          <w:rFonts w:ascii="Times New Roman" w:eastAsia="DengXian Light" w:hAnsi="Times New Roman" w:cs="Microsoft Uighur"/>
          <w:b/>
          <w:kern w:val="0"/>
          <w:sz w:val="24"/>
          <w:szCs w:val="24"/>
          <w:lang w:val="tr"/>
          <w14:ligatures w14:val="none"/>
        </w:rPr>
      </w:pPr>
      <w:bookmarkStart w:id="69" w:name="_Toc136614349"/>
      <w:r w:rsidRPr="00FF45DE">
        <w:rPr>
          <w:rFonts w:ascii="Times New Roman" w:eastAsia="DengXian Light" w:hAnsi="Times New Roman" w:cs="Microsoft Uighur"/>
          <w:b/>
          <w:kern w:val="0"/>
          <w:sz w:val="24"/>
          <w:szCs w:val="24"/>
          <w:lang w:val="tr"/>
          <w14:ligatures w14:val="none"/>
        </w:rPr>
        <w:lastRenderedPageBreak/>
        <w:t>Ördek Kümeslerinden Kaynaklanan Amonyak Emisyonlarını Azaltma Teknikleri</w:t>
      </w:r>
      <w:bookmarkEnd w:id="69"/>
      <w:r w:rsidRPr="00FF45DE">
        <w:rPr>
          <w:rFonts w:ascii="Times New Roman" w:eastAsia="DengXian Light" w:hAnsi="Times New Roman" w:cs="Microsoft Uighur"/>
          <w:b/>
          <w:kern w:val="0"/>
          <w:sz w:val="24"/>
          <w:szCs w:val="24"/>
          <w:lang w:val="tr"/>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0981DC99" w14:textId="77777777" w:rsidTr="000D79D6">
        <w:trPr>
          <w:trHeight w:val="285"/>
          <w:tblHeader/>
        </w:trPr>
        <w:tc>
          <w:tcPr>
            <w:tcW w:w="1817" w:type="pct"/>
            <w:vAlign w:val="center"/>
          </w:tcPr>
          <w:p w14:paraId="74B4D3B8" w14:textId="77777777" w:rsidR="003B155E" w:rsidRPr="00FF45DE" w:rsidRDefault="003B155E" w:rsidP="000D79D6">
            <w:pPr>
              <w:spacing w:before="26"/>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vAlign w:val="center"/>
          </w:tcPr>
          <w:p w14:paraId="582B2045" w14:textId="77777777" w:rsidR="003B155E" w:rsidRPr="00FF45DE" w:rsidRDefault="003B155E" w:rsidP="000D79D6">
            <w:pPr>
              <w:spacing w:before="26"/>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03F58132" w14:textId="77777777" w:rsidTr="000D79D6">
        <w:trPr>
          <w:trHeight w:val="1840"/>
        </w:trPr>
        <w:tc>
          <w:tcPr>
            <w:tcW w:w="1817" w:type="pct"/>
            <w:vAlign w:val="center"/>
          </w:tcPr>
          <w:p w14:paraId="55F891C7"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Sık altlık ilavesi (derin altlıklı sert zemin veya çıtalı zeminle birleştirilmiş derin altlık olması durumunda).</w:t>
            </w:r>
          </w:p>
        </w:tc>
        <w:tc>
          <w:tcPr>
            <w:tcW w:w="3183" w:type="pct"/>
            <w:vAlign w:val="center"/>
          </w:tcPr>
          <w:p w14:paraId="3BFD61F9"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Gerektiğinde sık sık (ör. günlük) taze malzeme eklenerek altlık kuru tutulur. Katı gübre, yetiştirme döngüsünün sonunda çıkarılır.</w:t>
            </w:r>
          </w:p>
          <w:p w14:paraId="02A46FC4"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Barınak sistemi, doğal veya cebri havalandırma ile donatılabilir ve serbest gezmeli bir sistemle birleştirilebilir.</w:t>
            </w:r>
          </w:p>
          <w:p w14:paraId="796071AA"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Derin altlığın çıtalı zeminle birleştirilmesi durumunda, suluk alanında zemin latalarla donatılır (toplam zemin alanının yaklaşık %25'i).</w:t>
            </w:r>
          </w:p>
        </w:tc>
      </w:tr>
      <w:tr w:rsidR="003B155E" w:rsidRPr="00FF45DE" w14:paraId="480DC98F" w14:textId="77777777" w:rsidTr="000D79D6">
        <w:trPr>
          <w:trHeight w:val="1610"/>
        </w:trPr>
        <w:tc>
          <w:tcPr>
            <w:tcW w:w="1817" w:type="pct"/>
            <w:vAlign w:val="center"/>
          </w:tcPr>
          <w:p w14:paraId="7C6A1E12"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Sık gübre temizleme (tamamen çıtalı zemin olması durumunda).</w:t>
            </w:r>
          </w:p>
        </w:tc>
        <w:tc>
          <w:tcPr>
            <w:tcW w:w="3183" w:type="pct"/>
            <w:vAlign w:val="center"/>
          </w:tcPr>
          <w:p w14:paraId="0E10A09D" w14:textId="77777777" w:rsidR="003B155E" w:rsidRPr="00FF45DE" w:rsidRDefault="003B155E" w:rsidP="000D79D6">
            <w:pPr>
              <w:ind w:left="74" w:right="74"/>
              <w:rPr>
                <w:rFonts w:ascii="Times New Roman" w:eastAsia="Times New Roman" w:hAnsi="Times New Roman" w:cs="Times New Roman"/>
                <w:lang w:val="tr"/>
              </w:rPr>
            </w:pPr>
            <w:r w:rsidRPr="00FF45DE">
              <w:rPr>
                <w:rFonts w:ascii="Times New Roman" w:eastAsia="Times New Roman" w:hAnsi="Times New Roman" w:cs="Times New Roman"/>
                <w:lang w:val="tr"/>
              </w:rPr>
              <w:t>Latalar, gübrenin depolandığı çukuru kaplar ve dış depoya boşaltılır. Harici bir depoya aşağıdaki yöntemlerle sık gübre çıkarma işlemi yapılabilir:</w:t>
            </w:r>
          </w:p>
          <w:p w14:paraId="2EEE551E" w14:textId="77777777" w:rsidR="003B155E" w:rsidRPr="00FF45DE" w:rsidRDefault="003B155E" w:rsidP="003B155E">
            <w:pPr>
              <w:numPr>
                <w:ilvl w:val="0"/>
                <w:numId w:val="190"/>
              </w:numPr>
              <w:tabs>
                <w:tab w:val="left" w:pos="828"/>
              </w:tabs>
              <w:ind w:left="435" w:right="74" w:hanging="361"/>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Kalıcı yerçekimi akışı ile</w:t>
            </w:r>
          </w:p>
          <w:p w14:paraId="08442E94" w14:textId="77777777" w:rsidR="003B155E" w:rsidRPr="00FF45DE" w:rsidRDefault="003B155E" w:rsidP="003B155E">
            <w:pPr>
              <w:numPr>
                <w:ilvl w:val="0"/>
                <w:numId w:val="190"/>
              </w:numPr>
              <w:tabs>
                <w:tab w:val="left" w:pos="828"/>
              </w:tabs>
              <w:ind w:left="435" w:right="74" w:hanging="361"/>
              <w:jc w:val="both"/>
              <w:rPr>
                <w:rFonts w:ascii="Times New Roman" w:eastAsia="Times New Roman" w:hAnsi="Times New Roman" w:cs="Times New Roman"/>
                <w:lang w:val="en-GB"/>
              </w:rPr>
            </w:pPr>
            <w:r w:rsidRPr="00FF45DE">
              <w:rPr>
                <w:rFonts w:ascii="Times New Roman" w:eastAsia="Times New Roman" w:hAnsi="Times New Roman" w:cs="Times New Roman"/>
                <w:lang w:val="tr"/>
              </w:rPr>
              <w:t>Değişken sıklıkta sıyırma yaparak</w:t>
            </w:r>
          </w:p>
          <w:p w14:paraId="3ABB8C9A"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Barınak sistemi, doğal veya cebri havalandırma ile donatılabilir ve serbest gezmeli bir sistemle birleştirilebilir.</w:t>
            </w:r>
          </w:p>
        </w:tc>
      </w:tr>
    </w:tbl>
    <w:p w14:paraId="53FA5614" w14:textId="77777777" w:rsidR="003B155E" w:rsidRPr="00EE5089"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kern w:val="0"/>
          <w:sz w:val="24"/>
          <w:szCs w:val="24"/>
          <w14:ligatures w14:val="none"/>
        </w:rPr>
      </w:pPr>
      <w:bookmarkStart w:id="70" w:name="_Toc136614350"/>
      <w:r w:rsidRPr="00EE5089">
        <w:rPr>
          <w:rFonts w:ascii="Times New Roman" w:eastAsia="DengXian Light" w:hAnsi="Times New Roman" w:cs="Microsoft Uighur"/>
          <w:b/>
          <w:kern w:val="0"/>
          <w:sz w:val="24"/>
          <w:szCs w:val="24"/>
          <w14:ligatures w14:val="none"/>
        </w:rPr>
        <w:t>Hindi Kümeslerinden Kaynaklanan Amonyak Emisyonlarını Azaltma Teknikleri</w:t>
      </w:r>
      <w:bookmarkEnd w:id="70"/>
      <w:r w:rsidRPr="00EE5089">
        <w:rPr>
          <w:rFonts w:ascii="Times New Roman" w:eastAsia="DengXian Light" w:hAnsi="Times New Roman" w:cs="Microsoft Uighur"/>
          <w:b/>
          <w:kern w:val="0"/>
          <w:sz w:val="24"/>
          <w:szCs w:val="24"/>
          <w14:ligatures w14:val="none"/>
        </w:rPr>
        <w:t>nin Tanımları</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93"/>
        <w:gridCol w:w="5769"/>
      </w:tblGrid>
      <w:tr w:rsidR="003B155E" w:rsidRPr="00FF45DE" w14:paraId="618364B0" w14:textId="77777777" w:rsidTr="000D79D6">
        <w:trPr>
          <w:trHeight w:val="285"/>
        </w:trPr>
        <w:tc>
          <w:tcPr>
            <w:tcW w:w="1817" w:type="pct"/>
          </w:tcPr>
          <w:p w14:paraId="45C52305"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Teknik</w:t>
            </w:r>
          </w:p>
        </w:tc>
        <w:tc>
          <w:tcPr>
            <w:tcW w:w="3183" w:type="pct"/>
          </w:tcPr>
          <w:p w14:paraId="36DD43EB" w14:textId="77777777" w:rsidR="003B155E" w:rsidRPr="00FF45DE" w:rsidRDefault="003B155E" w:rsidP="000D79D6">
            <w:pPr>
              <w:ind w:left="74" w:right="74"/>
              <w:jc w:val="center"/>
              <w:rPr>
                <w:rFonts w:ascii="Times New Roman" w:eastAsia="Times New Roman" w:hAnsi="Times New Roman" w:cs="Times New Roman"/>
                <w:b/>
                <w:lang w:val="en-GB"/>
              </w:rPr>
            </w:pPr>
            <w:r w:rsidRPr="00FF45DE">
              <w:rPr>
                <w:rFonts w:ascii="Times New Roman" w:eastAsia="Times New Roman" w:hAnsi="Times New Roman" w:cs="Times New Roman"/>
                <w:b/>
                <w:lang w:val="tr"/>
              </w:rPr>
              <w:t>Tanım</w:t>
            </w:r>
          </w:p>
        </w:tc>
      </w:tr>
      <w:tr w:rsidR="003B155E" w:rsidRPr="00FF45DE" w14:paraId="38A7BB20" w14:textId="77777777" w:rsidTr="000D79D6">
        <w:trPr>
          <w:trHeight w:val="1610"/>
        </w:trPr>
        <w:tc>
          <w:tcPr>
            <w:tcW w:w="1817" w:type="pct"/>
            <w:vAlign w:val="center"/>
          </w:tcPr>
          <w:p w14:paraId="08BA975F" w14:textId="77777777" w:rsidR="003B155E" w:rsidRPr="00EE5089" w:rsidRDefault="003B155E" w:rsidP="000D79D6">
            <w:pPr>
              <w:ind w:left="74" w:right="74"/>
              <w:rPr>
                <w:rFonts w:ascii="Times New Roman" w:eastAsia="Times New Roman" w:hAnsi="Times New Roman" w:cs="Times New Roman"/>
                <w:lang w:val="tr-TR"/>
              </w:rPr>
            </w:pPr>
            <w:r w:rsidRPr="00FF45DE">
              <w:rPr>
                <w:rFonts w:ascii="Times New Roman" w:eastAsia="Times New Roman" w:hAnsi="Times New Roman" w:cs="Times New Roman"/>
                <w:lang w:val="tr"/>
              </w:rPr>
              <w:t>Sızdırmayan içme sistemi ile doğal veya cebri havalandırma (derin altlıklı sert zemin olması durumunda).</w:t>
            </w:r>
          </w:p>
        </w:tc>
        <w:tc>
          <w:tcPr>
            <w:tcW w:w="3183" w:type="pct"/>
            <w:vAlign w:val="center"/>
          </w:tcPr>
          <w:p w14:paraId="794DCC68" w14:textId="77777777" w:rsidR="003B155E" w:rsidRPr="00FF45DE" w:rsidRDefault="003B155E" w:rsidP="000D79D6">
            <w:pPr>
              <w:ind w:left="74" w:right="74"/>
              <w:rPr>
                <w:rFonts w:ascii="Times New Roman" w:eastAsia="Times New Roman" w:hAnsi="Times New Roman" w:cs="Times New Roman"/>
                <w:lang w:val="en-GB"/>
              </w:rPr>
            </w:pPr>
            <w:r w:rsidRPr="00FF45DE">
              <w:rPr>
                <w:rFonts w:ascii="Times New Roman" w:eastAsia="Times New Roman" w:hAnsi="Times New Roman" w:cs="Times New Roman"/>
                <w:lang w:val="tr"/>
              </w:rPr>
              <w:t>Sert zemin, ihtiyaca göre eklenebilen altlık ile tamamen kaplıdır. Zemin yalıtımı (ör. beton, kil) altlıkta su yoğuşmasını önler. Katı gübre, yetiştirme döngüsünün sonunda çıkarılır. İçme suyu sisteminin tasarımı ve işletimi, altlığın üzerine su sızmasını ve dökülmesini önler. Doğal havalandırma, serbest gezme sistemi ile birleştirilebilir.</w:t>
            </w:r>
          </w:p>
        </w:tc>
      </w:tr>
    </w:tbl>
    <w:p w14:paraId="15C29285" w14:textId="77777777" w:rsidR="003B155E" w:rsidRDefault="003B155E" w:rsidP="003B155E">
      <w:pPr>
        <w:spacing w:after="120" w:line="276" w:lineRule="auto"/>
        <w:jc w:val="both"/>
        <w:rPr>
          <w:rFonts w:ascii="Times New Roman" w:hAnsi="Times New Roman" w:cs="Times New Roman"/>
          <w:sz w:val="24"/>
          <w:szCs w:val="24"/>
        </w:rPr>
      </w:pPr>
    </w:p>
    <w:p w14:paraId="647BAE43" w14:textId="77777777" w:rsidR="003B155E" w:rsidRDefault="003B155E" w:rsidP="003B155E">
      <w:pPr>
        <w:spacing w:after="120" w:line="276" w:lineRule="auto"/>
        <w:jc w:val="both"/>
        <w:rPr>
          <w:rFonts w:ascii="Times New Roman" w:hAnsi="Times New Roman" w:cs="Times New Roman"/>
          <w:sz w:val="24"/>
          <w:szCs w:val="24"/>
        </w:rPr>
      </w:pPr>
    </w:p>
    <w:p w14:paraId="77D93826" w14:textId="77777777" w:rsidR="003B155E" w:rsidRDefault="003B155E" w:rsidP="003B155E"/>
    <w:p w14:paraId="634BF4A7" w14:textId="77777777" w:rsidR="00EF6FAF" w:rsidRDefault="00EF6FAF" w:rsidP="00B97F8E">
      <w:pPr>
        <w:spacing w:after="120" w:line="276" w:lineRule="auto"/>
        <w:jc w:val="both"/>
        <w:rPr>
          <w:rFonts w:ascii="Times New Roman" w:hAnsi="Times New Roman" w:cs="Times New Roman"/>
          <w:sz w:val="24"/>
          <w:szCs w:val="24"/>
        </w:rPr>
        <w:sectPr w:rsidR="00EF6FAF">
          <w:pgSz w:w="11906" w:h="16838"/>
          <w:pgMar w:top="1417" w:right="1417" w:bottom="1417" w:left="1417" w:header="708" w:footer="708" w:gutter="0"/>
          <w:cols w:space="708"/>
          <w:docGrid w:linePitch="360"/>
        </w:sectPr>
      </w:pPr>
    </w:p>
    <w:p w14:paraId="73F58567" w14:textId="77777777" w:rsidR="003B155E" w:rsidRPr="00D943B7" w:rsidRDefault="003B155E" w:rsidP="003B155E">
      <w:pPr>
        <w:pStyle w:val="Balk1"/>
        <w:spacing w:before="0" w:after="120" w:line="276" w:lineRule="auto"/>
        <w:jc w:val="right"/>
        <w:rPr>
          <w:rFonts w:cs="Times New Roman"/>
          <w:bCs/>
          <w:szCs w:val="24"/>
        </w:rPr>
      </w:pPr>
      <w:r w:rsidRPr="00D943B7">
        <w:rPr>
          <w:rFonts w:cs="Times New Roman"/>
          <w:bCs/>
          <w:szCs w:val="24"/>
        </w:rPr>
        <w:lastRenderedPageBreak/>
        <w:t>EK-9</w:t>
      </w:r>
    </w:p>
    <w:p w14:paraId="2D0BBF59" w14:textId="77777777" w:rsidR="003B155E" w:rsidRPr="00D943B7" w:rsidRDefault="003B155E" w:rsidP="003B155E">
      <w:pPr>
        <w:pStyle w:val="Balk1"/>
        <w:spacing w:before="0" w:after="120" w:line="276" w:lineRule="auto"/>
        <w:jc w:val="center"/>
        <w:rPr>
          <w:rFonts w:cs="Times New Roman"/>
          <w:bCs/>
          <w:szCs w:val="24"/>
        </w:rPr>
      </w:pPr>
      <w:r w:rsidRPr="00D943B7">
        <w:rPr>
          <w:rFonts w:cs="Times New Roman"/>
          <w:bCs/>
          <w:szCs w:val="24"/>
        </w:rPr>
        <w:t>AHŞAP VE AHŞAP ÜRÜNLERİNİN KİMYASALLARLA KORUNMASI DAHİL, ORGANİK SOLVENT KULLANILAN YÜZEY İŞLEME SEKTÖRÜ İÇİN MEVCUT EN İYİ TEKNİKLER</w:t>
      </w:r>
    </w:p>
    <w:p w14:paraId="36B887C8" w14:textId="30022E16"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w:t>
      </w:r>
      <w:r w:rsidR="0096283A">
        <w:rPr>
          <w:rFonts w:ascii="Times New Roman" w:hAnsi="Times New Roman" w:cs="Times New Roman"/>
          <w:sz w:val="24"/>
          <w:szCs w:val="24"/>
        </w:rPr>
        <w:t>K</w:t>
      </w:r>
      <w:r>
        <w:rPr>
          <w:rFonts w:ascii="Times New Roman" w:hAnsi="Times New Roman" w:cs="Times New Roman"/>
          <w:sz w:val="24"/>
          <w:szCs w:val="24"/>
        </w:rPr>
        <w:t>-1’inde yer alan aşağıdaki endüstriyel faaliyetleri kapsar:</w:t>
      </w:r>
    </w:p>
    <w:p w14:paraId="603DE450"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6.7. Organik solvent tüketim kapasitesi saatte 150 kg veya yıllık 200 ton üzeri maddelerin veya ürünlerin özellikle haşıl, basma, kaplama, yağ temizleme, su geçirmez hale getirme, apreleme, boyama, temizleme, emdirme gibi yüzey işlemlerinden geçirilmesi.</w:t>
      </w:r>
    </w:p>
    <w:p w14:paraId="416CB70A" w14:textId="77777777" w:rsidR="003B155E" w:rsidRPr="003E0957"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6.10. Yalnızca mavi küf/mantar ile işlem yapılan haller dışında, ahşabın ve ahşap ürünlerinin günlük 75 m</w:t>
      </w:r>
      <w:r>
        <w:rPr>
          <w:rFonts w:ascii="Times New Roman" w:hAnsi="Times New Roman" w:cs="Times New Roman"/>
          <w:sz w:val="24"/>
          <w:szCs w:val="24"/>
          <w:vertAlign w:val="superscript"/>
        </w:rPr>
        <w:t>3</w:t>
      </w:r>
      <w:r>
        <w:rPr>
          <w:rFonts w:ascii="Times New Roman" w:hAnsi="Times New Roman" w:cs="Times New Roman"/>
          <w:sz w:val="24"/>
          <w:szCs w:val="24"/>
        </w:rPr>
        <w:t xml:space="preserve"> üzeri üretim kapasitesiyle kimyasal maddeler kullanılarak işlenmesi.</w:t>
      </w:r>
    </w:p>
    <w:p w14:paraId="02B6DCA5"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6.11. Esas kirletici yükünün (6.7) veya (6.10) maddeleri kapsamındaki faaliyetlerden kaynaklanması halinde, Kentsel Atıksu Arıtımı Yönetmeliği kapsamında bulunmayan ve bağımsız işletilen atık su arıtma tesisleri.</w:t>
      </w:r>
    </w:p>
    <w:p w14:paraId="3C3B4988" w14:textId="77777777" w:rsidR="003B155E" w:rsidRPr="007421ED"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ayrıca, esas kirletici yükünün (6.7) veya (6.10) maddeleri kapsamındaki faaliyetlerden kaynaklanması halinde ve atık su arıtımının Kentsel Atıksu Arıtımı Yönetmeliği kapsamında olmaması halinde, farklı kaynaklardan gelen atık suyun ortak arıtımını da kapsar.</w:t>
      </w:r>
    </w:p>
    <w:p w14:paraId="4980CAF6"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aşağıdaki faaliyetleri kapsamaz:</w:t>
      </w:r>
    </w:p>
    <w:p w14:paraId="6CF72711"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Maddelerin, nesnelerin veya ürünlerin organik solvent kullanılan yüzey işlemesi için:</w:t>
      </w:r>
    </w:p>
    <w:p w14:paraId="60A2A000"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Tekstil ürünlerinin, solvent tabanlı sürekli film kullanılması haricindeki yöntemler yoluyla su geçirmez hale getirilmesi.</w:t>
      </w:r>
    </w:p>
    <w:p w14:paraId="59E0FE55"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Tekstil ürünlerinin baskısı, aprelemesi ve emprenyesi.</w:t>
      </w:r>
    </w:p>
    <w:p w14:paraId="2789F705"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Ahşap panellerin laminasyonu.</w:t>
      </w:r>
    </w:p>
    <w:p w14:paraId="72D6431F"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Kauçuğun dönüştürülmesi.</w:t>
      </w:r>
    </w:p>
    <w:p w14:paraId="20D9E0F8"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Kaplama karışımlarının, verniklerin, boyaların, mürekkeplerin, yarı iletkenlerin, yapıştırıcıların veya farmakolojik ürünlerin üretimi.</w:t>
      </w:r>
    </w:p>
    <w:p w14:paraId="6198425D"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Doğrudan temaslı ısıtma, kurutma veya nesne veya materyallerin herhangi bir diğer işlemi için kullanılmayan sıcak gazları üreten saha içi yakma tesisleri.</w:t>
      </w:r>
    </w:p>
    <w:p w14:paraId="2936D370"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Ahşap ve ahşap ürünlerin kimyasal kullanılarak korunması için:</w:t>
      </w:r>
    </w:p>
    <w:p w14:paraId="375A2783"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Ahşap ve ahşap ürünlerinin kimyasal modifikasyonu ve hidrofobizasyonu (örn. reçine kullanılarak).</w:t>
      </w:r>
    </w:p>
    <w:p w14:paraId="18AA8C6E"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Ahşap ve ahşap ürünlerinin mavi küf/mantar ile işlenmesi.</w:t>
      </w:r>
    </w:p>
    <w:p w14:paraId="61DA2882"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Ahşap ve ahşap ürünlerinin amonyak ile işlenmesi.</w:t>
      </w:r>
    </w:p>
    <w:p w14:paraId="0950E72F" w14:textId="77777777" w:rsidR="003B155E" w:rsidRDefault="003B155E" w:rsidP="003B155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Saha içi yakma tesisleri.</w:t>
      </w:r>
    </w:p>
    <w:p w14:paraId="7FC1B563" w14:textId="77777777" w:rsidR="003B155E" w:rsidRPr="000A5D99" w:rsidRDefault="003B155E" w:rsidP="003B155E">
      <w:pPr>
        <w:keepNext/>
        <w:keepLines/>
        <w:spacing w:after="120" w:line="360" w:lineRule="auto"/>
        <w:ind w:left="432" w:hanging="432"/>
        <w:jc w:val="both"/>
        <w:outlineLvl w:val="0"/>
        <w:rPr>
          <w:rFonts w:ascii="Times New Roman" w:eastAsia="DengXian Light" w:hAnsi="Times New Roman" w:cs="Microsoft Uighur"/>
          <w:b/>
          <w:sz w:val="24"/>
          <w:szCs w:val="32"/>
          <w:lang w:val="en-US"/>
        </w:rPr>
      </w:pPr>
      <w:r w:rsidRPr="000A5D99">
        <w:rPr>
          <w:rFonts w:ascii="Times New Roman" w:eastAsia="DengXian Light" w:hAnsi="Times New Roman" w:cs="Microsoft Uighur"/>
          <w:b/>
          <w:sz w:val="24"/>
          <w:szCs w:val="32"/>
          <w:lang w:val="en-US"/>
        </w:rPr>
        <w:lastRenderedPageBreak/>
        <w:t>GENEL MET</w:t>
      </w:r>
    </w:p>
    <w:p w14:paraId="45588376" w14:textId="77777777" w:rsidR="003B155E" w:rsidRPr="000A5D99" w:rsidRDefault="003B155E" w:rsidP="003B155E">
      <w:pPr>
        <w:keepNext/>
        <w:keepLines/>
        <w:spacing w:before="120" w:after="60" w:line="360" w:lineRule="auto"/>
        <w:jc w:val="both"/>
        <w:outlineLvl w:val="1"/>
        <w:rPr>
          <w:rFonts w:ascii="Times New Roman" w:eastAsia="DengXian Light" w:hAnsi="Times New Roman" w:cs="Microsoft Uighur"/>
          <w:b/>
          <w:sz w:val="24"/>
          <w:szCs w:val="26"/>
          <w:lang w:val="en-US"/>
        </w:rPr>
      </w:pPr>
      <w:bookmarkStart w:id="71" w:name="_Toc137210475"/>
      <w:r w:rsidRPr="000A5D99">
        <w:rPr>
          <w:rFonts w:ascii="Times New Roman" w:eastAsia="DengXian Light" w:hAnsi="Times New Roman" w:cs="Microsoft Uighur"/>
          <w:b/>
          <w:sz w:val="24"/>
          <w:szCs w:val="26"/>
          <w:lang w:val="en-US"/>
        </w:rPr>
        <w:t>Çevre Yönetim Sistemleri (ÇYS)</w:t>
      </w:r>
      <w:bookmarkEnd w:id="71"/>
    </w:p>
    <w:p w14:paraId="6FB8204E" w14:textId="77777777" w:rsidR="003B155E" w:rsidRPr="000A5D99" w:rsidRDefault="003B155E" w:rsidP="003B155E">
      <w:pPr>
        <w:spacing w:before="240" w:after="0" w:line="360" w:lineRule="auto"/>
        <w:ind w:right="275"/>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1: </w:t>
      </w:r>
      <w:r w:rsidRPr="000A5D99">
        <w:rPr>
          <w:rFonts w:ascii="Times New Roman" w:eastAsia="Calibri" w:hAnsi="Times New Roman" w:cs="Calibri"/>
          <w:sz w:val="24"/>
          <w:lang w:val="en-US"/>
        </w:rPr>
        <w:t>Aşağıdaki  özellikleri, bireysel koşullara uygun olarak, kapsayan bir Çevre Yönetim Sistemi (ÇYS) uygulanır ve bu sisteme bağlı kalınır:</w:t>
      </w:r>
    </w:p>
    <w:p w14:paraId="05BC3365"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Etkili </w:t>
      </w:r>
      <w:r w:rsidR="003B155E" w:rsidRPr="000A5D99">
        <w:rPr>
          <w:rFonts w:ascii="Times New Roman" w:eastAsia="Calibri" w:hAnsi="Times New Roman" w:cs="Calibri"/>
          <w:sz w:val="24"/>
        </w:rPr>
        <w:t>bir ÇYS’nin uygulanabilmesi için üst yönetimin de dahil olduğu yönetimin taahhüdü, liderliği ve hesap verebilirliği,</w:t>
      </w:r>
    </w:p>
    <w:p w14:paraId="200C6244"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Kuruluşun </w:t>
      </w:r>
      <w:r w:rsidR="003B155E" w:rsidRPr="000A5D99">
        <w:rPr>
          <w:rFonts w:ascii="Times New Roman" w:eastAsia="Calibri" w:hAnsi="Times New Roman" w:cs="Calibri"/>
          <w:sz w:val="24"/>
        </w:rPr>
        <w:t>bağlamının belirlenmesini, ilgili tarafların ihtiyaç ve beklentilerinin belirlenmesini, tesisin çevre (veya insan sağlığı) için olası risklerle ilişkili özelliklerinin ve ayrıca çevre ile ilgili geçerli yasal düzenlemelerin belirlenmesini içeren analizin yapılması,</w:t>
      </w:r>
    </w:p>
    <w:p w14:paraId="16228380"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Tesisin </w:t>
      </w:r>
      <w:r w:rsidR="003B155E" w:rsidRPr="000A5D99">
        <w:rPr>
          <w:rFonts w:ascii="Times New Roman" w:eastAsia="Calibri" w:hAnsi="Times New Roman" w:cs="Calibri"/>
          <w:sz w:val="24"/>
        </w:rPr>
        <w:t>çevresel performansının sürekli iyileştirilmesini içeren bir çevre politikasının geliştirilmesi,</w:t>
      </w:r>
    </w:p>
    <w:p w14:paraId="451B9333"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Geçerli </w:t>
      </w:r>
      <w:r w:rsidR="003B155E" w:rsidRPr="000A5D99">
        <w:rPr>
          <w:rFonts w:ascii="Times New Roman" w:eastAsia="Calibri" w:hAnsi="Times New Roman" w:cs="Calibri"/>
          <w:sz w:val="24"/>
        </w:rPr>
        <w:t>yasal gerekliliklere uygunluğun güvence altına alınması da dahil olmak üzere, önemli çevresel boyutlarla ilgili hedeflerin ve performans göstergelerinin oluşturulması,</w:t>
      </w:r>
    </w:p>
    <w:p w14:paraId="4DEAF33A"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Çevresel </w:t>
      </w:r>
      <w:r w:rsidR="003B155E" w:rsidRPr="000A5D99">
        <w:rPr>
          <w:rFonts w:ascii="Times New Roman" w:eastAsia="Calibri" w:hAnsi="Times New Roman" w:cs="Calibri"/>
          <w:sz w:val="24"/>
        </w:rPr>
        <w:t>hedeflere ulaşmak ve çevresel risklerden kaçınmak için gerekli prosedürleri ve eylemleri (gerektiğinde düzeltici ve önleyici faaliyetler dahil) planlaması ve uygulanması,</w:t>
      </w:r>
    </w:p>
    <w:p w14:paraId="4981E0E5"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Çevresel </w:t>
      </w:r>
      <w:r w:rsidR="003B155E" w:rsidRPr="000A5D99">
        <w:rPr>
          <w:rFonts w:ascii="Times New Roman" w:eastAsia="Calibri" w:hAnsi="Times New Roman" w:cs="Calibri"/>
          <w:sz w:val="24"/>
        </w:rPr>
        <w:t>boyutlar ve amaçlarla ilgili yapıların, rollerin ve sorumlulukların belirlenmesi ve ihtiyaç duyulan mali ve insan kaynaklarının sağlanması,</w:t>
      </w:r>
    </w:p>
    <w:p w14:paraId="169D8F74"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Çalışmaları </w:t>
      </w:r>
      <w:r w:rsidR="003B155E" w:rsidRPr="000A5D99">
        <w:rPr>
          <w:rFonts w:ascii="Times New Roman" w:eastAsia="Calibri" w:hAnsi="Times New Roman" w:cs="Calibri"/>
          <w:sz w:val="24"/>
        </w:rPr>
        <w:t>tesisin çevresel performansını etkileyebilecek personelin gerekli yeterlilik ve farkındalığının sağlanması (örneğin bilgi ve eğitim sağlayarak),</w:t>
      </w:r>
    </w:p>
    <w:p w14:paraId="35951BF3"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İç </w:t>
      </w:r>
      <w:r w:rsidR="003B155E" w:rsidRPr="000A5D99">
        <w:rPr>
          <w:rFonts w:ascii="Times New Roman" w:eastAsia="Calibri" w:hAnsi="Times New Roman" w:cs="Calibri"/>
          <w:sz w:val="24"/>
        </w:rPr>
        <w:t>ve dış iletişim,</w:t>
      </w:r>
    </w:p>
    <w:p w14:paraId="345E05B5"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Çalışanların </w:t>
      </w:r>
      <w:r w:rsidR="003B155E" w:rsidRPr="000A5D99">
        <w:rPr>
          <w:rFonts w:ascii="Times New Roman" w:eastAsia="Calibri" w:hAnsi="Times New Roman" w:cs="Calibri"/>
          <w:sz w:val="24"/>
        </w:rPr>
        <w:t>iyi çevre yönetimi uygulamalarına katılımının teşvik edilmesi,</w:t>
      </w:r>
    </w:p>
    <w:p w14:paraId="160DAEB9"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Önemli </w:t>
      </w:r>
      <w:r w:rsidR="003B155E" w:rsidRPr="000A5D99">
        <w:rPr>
          <w:rFonts w:ascii="Times New Roman" w:eastAsia="Calibri" w:hAnsi="Times New Roman" w:cs="Calibri"/>
          <w:sz w:val="24"/>
        </w:rPr>
        <w:t>çevresel etkiye sahip faaliyetleri ve ilgili kayıtları kontrol etmek için yönetim el kitabı ve yazılı prosedürler oluşturulması ve sürdürülmesi,</w:t>
      </w:r>
    </w:p>
    <w:p w14:paraId="25F4AB00"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Etkili </w:t>
      </w:r>
      <w:r w:rsidR="003B155E" w:rsidRPr="000A5D99">
        <w:rPr>
          <w:rFonts w:ascii="Times New Roman" w:eastAsia="Calibri" w:hAnsi="Times New Roman" w:cs="Calibri"/>
          <w:sz w:val="24"/>
        </w:rPr>
        <w:t>operasyonel planlama ve süreç kontrolü,</w:t>
      </w:r>
    </w:p>
    <w:p w14:paraId="3650F6E4"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Uygun </w:t>
      </w:r>
      <w:r w:rsidR="003B155E" w:rsidRPr="000A5D99">
        <w:rPr>
          <w:rFonts w:ascii="Times New Roman" w:eastAsia="Calibri" w:hAnsi="Times New Roman" w:cs="Calibri"/>
          <w:sz w:val="24"/>
        </w:rPr>
        <w:t>bakım programlarının uygulanması,</w:t>
      </w:r>
    </w:p>
    <w:p w14:paraId="5B1C6523"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Acil </w:t>
      </w:r>
      <w:r w:rsidR="003B155E" w:rsidRPr="000A5D99">
        <w:rPr>
          <w:rFonts w:ascii="Times New Roman" w:eastAsia="Calibri" w:hAnsi="Times New Roman" w:cs="Calibri"/>
          <w:sz w:val="24"/>
        </w:rPr>
        <w:t>durumların olumsuz (çevresel) etkilerinin önlenmesi ve/veya hafifletilmesi dahil olmak üzere acil duruma hazırlık ve müdahale protokolleri,</w:t>
      </w:r>
    </w:p>
    <w:p w14:paraId="6B60E786" w14:textId="77777777" w:rsidR="003B155E" w:rsidRPr="000A5D99" w:rsidRDefault="003B155E"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(yeni) bir tesisi veya bir parçasını (yeniden) tasarlarken, inşaat, bakım, işletme ve devre dışı bırakma dahil olmak üzere kullanım ömrü boyunca çevresel etkilerinin dikkate alınması,</w:t>
      </w:r>
    </w:p>
    <w:p w14:paraId="7F9EEA86"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lastRenderedPageBreak/>
        <w:t xml:space="preserve">İzleme ve ölçüm programının uygulanması; </w:t>
      </w:r>
    </w:p>
    <w:p w14:paraId="0E9817C9"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Sektörel kıyaslamanın düzenli olarak uygulanması,</w:t>
      </w:r>
    </w:p>
    <w:p w14:paraId="7BD52C4B"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Çevresel performansı değerlendirmek ve çys'nin planlanan düzenlemelere uyup uymadığını ve uygun şek</w:t>
      </w:r>
      <w:r w:rsidR="003B155E" w:rsidRPr="000A5D99">
        <w:rPr>
          <w:rFonts w:ascii="Times New Roman" w:eastAsia="Calibri" w:hAnsi="Times New Roman" w:cs="Calibri"/>
          <w:sz w:val="24"/>
        </w:rPr>
        <w:t xml:space="preserve">ilde uygulanıp uygulanmadığını belirlemek için periyodik bağımsız (uygulanabilir olduğu ölçüde) iç denetim ve periyodik bağımsız dış denetim, </w:t>
      </w:r>
    </w:p>
    <w:p w14:paraId="3C1134E1"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Uygunsuzlukların nedenlerinin değerlendirilmesi, uygunsuzluklara cevaben düzeltici faaliyetlerin uygulanması, düz</w:t>
      </w:r>
      <w:r w:rsidR="003B155E" w:rsidRPr="000A5D99">
        <w:rPr>
          <w:rFonts w:ascii="Times New Roman" w:eastAsia="Calibri" w:hAnsi="Times New Roman" w:cs="Calibri"/>
          <w:sz w:val="24"/>
        </w:rPr>
        <w:t>eltici faaliyetlerin etkinliğinin gözden geçirilmesi ve benzer uygunsuzlukların mevcut olup olmadığının veya potansiyel olarak ortaya çıkma olasılığının belirlenmesi,</w:t>
      </w:r>
    </w:p>
    <w:p w14:paraId="7B266A7C"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Çys’nin ve sürekli uygunluğunun, yeterliliğinin ve etkinliğinin üst yönetim tarafından pe</w:t>
      </w:r>
      <w:r w:rsidR="003B155E" w:rsidRPr="000A5D99">
        <w:rPr>
          <w:rFonts w:ascii="Times New Roman" w:eastAsia="Calibri" w:hAnsi="Times New Roman" w:cs="Calibri"/>
          <w:sz w:val="24"/>
        </w:rPr>
        <w:t>riyodik olarak gözden geçirilmesi,</w:t>
      </w:r>
    </w:p>
    <w:p w14:paraId="0BD01395" w14:textId="77777777" w:rsidR="003B155E" w:rsidRPr="000A5D99" w:rsidRDefault="00232B2C" w:rsidP="003B155E">
      <w:pPr>
        <w:numPr>
          <w:ilvl w:val="0"/>
          <w:numId w:val="195"/>
        </w:numPr>
        <w:spacing w:before="240" w:after="0" w:line="360" w:lineRule="auto"/>
        <w:contextualSpacing/>
        <w:jc w:val="both"/>
        <w:rPr>
          <w:rFonts w:ascii="Times New Roman" w:eastAsia="Calibri" w:hAnsi="Times New Roman" w:cs="Calibri"/>
          <w:sz w:val="24"/>
        </w:rPr>
      </w:pPr>
      <w:r w:rsidRPr="000A5D99">
        <w:rPr>
          <w:rFonts w:ascii="Times New Roman" w:eastAsia="Calibri" w:hAnsi="Times New Roman" w:cs="Calibri"/>
          <w:sz w:val="24"/>
        </w:rPr>
        <w:t xml:space="preserve">Temiz tekniklerin gelişiminin </w:t>
      </w:r>
      <w:r w:rsidR="003B155E" w:rsidRPr="000A5D99">
        <w:rPr>
          <w:rFonts w:ascii="Times New Roman" w:eastAsia="Calibri" w:hAnsi="Times New Roman" w:cs="Calibri"/>
          <w:sz w:val="24"/>
        </w:rPr>
        <w:t>takip edilmesi ve dikkate alınması.</w:t>
      </w:r>
    </w:p>
    <w:p w14:paraId="488BEA69" w14:textId="77777777" w:rsidR="003B155E" w:rsidRPr="000A5D99" w:rsidRDefault="003B155E" w:rsidP="003B155E">
      <w:pPr>
        <w:spacing w:before="240" w:after="0" w:line="360" w:lineRule="auto"/>
        <w:ind w:right="275"/>
        <w:jc w:val="both"/>
        <w:rPr>
          <w:rFonts w:ascii="Times New Roman" w:eastAsia="Calibri" w:hAnsi="Times New Roman" w:cs="Times New Roman"/>
          <w:bCs/>
          <w:sz w:val="24"/>
          <w:szCs w:val="24"/>
        </w:rPr>
      </w:pPr>
      <w:r w:rsidRPr="000A5D99">
        <w:rPr>
          <w:rFonts w:ascii="Times New Roman" w:eastAsia="Calibri" w:hAnsi="Times New Roman" w:cs="Times New Roman"/>
          <w:bCs/>
          <w:sz w:val="24"/>
          <w:szCs w:val="24"/>
        </w:rPr>
        <w:t>Özellikle organik solventler kullanılarak yüzey işleme için MET, ÇYS'ye aşağıdaki özellikleri de dahil edilmektedir:</w:t>
      </w:r>
    </w:p>
    <w:p w14:paraId="3AAC8939" w14:textId="77777777" w:rsidR="003B155E" w:rsidRPr="000A5D99" w:rsidRDefault="003B155E" w:rsidP="003B155E">
      <w:pPr>
        <w:numPr>
          <w:ilvl w:val="0"/>
          <w:numId w:val="126"/>
        </w:numPr>
        <w:spacing w:before="240" w:after="0" w:line="360" w:lineRule="auto"/>
        <w:ind w:right="275"/>
        <w:contextualSpacing/>
        <w:jc w:val="both"/>
        <w:rPr>
          <w:rFonts w:ascii="Times New Roman" w:eastAsia="Calibri" w:hAnsi="Times New Roman" w:cs="Times New Roman"/>
          <w:bCs/>
          <w:sz w:val="24"/>
          <w:szCs w:val="24"/>
        </w:rPr>
      </w:pPr>
      <w:r w:rsidRPr="000A5D99">
        <w:rPr>
          <w:rFonts w:ascii="Times New Roman" w:eastAsia="Calibri" w:hAnsi="Times New Roman" w:cs="Times New Roman"/>
          <w:bCs/>
          <w:sz w:val="24"/>
          <w:szCs w:val="24"/>
        </w:rPr>
        <w:t>Kalite kontrol ve güvencenin yanı sıra sağlık ve güvenlik konularına ilişkin etkileşim.</w:t>
      </w:r>
    </w:p>
    <w:p w14:paraId="081929B3" w14:textId="77777777" w:rsidR="003B155E" w:rsidRPr="000A5D99" w:rsidRDefault="003B155E" w:rsidP="003B155E">
      <w:pPr>
        <w:numPr>
          <w:ilvl w:val="0"/>
          <w:numId w:val="126"/>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rPr>
        <w:t xml:space="preserve">Bir tesisin çevresel ayak izini azaltmayı planlama. </w:t>
      </w:r>
      <w:r w:rsidRPr="000A5D99">
        <w:rPr>
          <w:rFonts w:ascii="Times New Roman" w:eastAsia="Calibri" w:hAnsi="Times New Roman" w:cs="Times New Roman"/>
          <w:bCs/>
          <w:sz w:val="24"/>
          <w:szCs w:val="24"/>
          <w:lang w:val="en-US"/>
        </w:rPr>
        <w:t>Özellikle, bu aşağıdakileri içerir:</w:t>
      </w:r>
    </w:p>
    <w:p w14:paraId="48617146" w14:textId="77777777" w:rsidR="003B155E" w:rsidRPr="000A5D99" w:rsidRDefault="003B155E" w:rsidP="003B155E">
      <w:pPr>
        <w:numPr>
          <w:ilvl w:val="0"/>
          <w:numId w:val="127"/>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s-ES"/>
        </w:rPr>
        <w:t xml:space="preserve">Tesisin genel çevresel performansının değerlendirilmesi (bkz. </w:t>
      </w:r>
      <w:r w:rsidRPr="000A5D99">
        <w:rPr>
          <w:rFonts w:ascii="Times New Roman" w:eastAsia="Calibri" w:hAnsi="Times New Roman" w:cs="Times New Roman"/>
          <w:bCs/>
          <w:sz w:val="24"/>
          <w:szCs w:val="24"/>
          <w:lang w:val="en-US"/>
        </w:rPr>
        <w:t>MET 2);</w:t>
      </w:r>
    </w:p>
    <w:p w14:paraId="5D435B93" w14:textId="77777777" w:rsidR="003B155E" w:rsidRPr="000A5D99" w:rsidRDefault="003B155E" w:rsidP="003B155E">
      <w:pPr>
        <w:numPr>
          <w:ilvl w:val="0"/>
          <w:numId w:val="127"/>
        </w:numPr>
        <w:spacing w:before="240" w:after="0" w:line="360" w:lineRule="auto"/>
        <w:ind w:right="275"/>
        <w:contextualSpacing/>
        <w:jc w:val="both"/>
        <w:rPr>
          <w:rFonts w:ascii="Times New Roman" w:eastAsia="Calibri" w:hAnsi="Times New Roman" w:cs="Times New Roman"/>
          <w:bCs/>
          <w:sz w:val="24"/>
          <w:szCs w:val="24"/>
          <w:lang w:val="es-ES"/>
        </w:rPr>
      </w:pPr>
      <w:r w:rsidRPr="000A5D99">
        <w:rPr>
          <w:rFonts w:ascii="Times New Roman" w:eastAsia="Calibri" w:hAnsi="Times New Roman" w:cs="Times New Roman"/>
          <w:bCs/>
          <w:sz w:val="24"/>
          <w:szCs w:val="24"/>
          <w:lang w:val="en-US"/>
        </w:rPr>
        <w:t xml:space="preserve">Özellikle solvent emisyonlarının azaltılması ile enerji (bkz. </w:t>
      </w:r>
      <w:r w:rsidRPr="000A5D99">
        <w:rPr>
          <w:rFonts w:ascii="Times New Roman" w:eastAsia="Calibri" w:hAnsi="Times New Roman" w:cs="Times New Roman"/>
          <w:bCs/>
          <w:sz w:val="24"/>
          <w:szCs w:val="24"/>
          <w:lang w:val="es-ES"/>
        </w:rPr>
        <w:t>MET 19), su (bkz. MET 20) ve hammaddeler (bkz. MET 6) arasında uygun bir dengenin korunması olmak üzere çapraz ortam hususlarının dikkate alınması;</w:t>
      </w:r>
    </w:p>
    <w:p w14:paraId="7C1D0BBD" w14:textId="77777777" w:rsidR="003B155E" w:rsidRPr="000A5D99" w:rsidRDefault="003B155E" w:rsidP="003B155E">
      <w:pPr>
        <w:numPr>
          <w:ilvl w:val="0"/>
          <w:numId w:val="127"/>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s-ES"/>
        </w:rPr>
        <w:t xml:space="preserve">Temizleme işlemlerinden kaynaklanan Uçucu Organik Bileşiklerin (UOB) emisyonlarının azaltılması (bkz. </w:t>
      </w:r>
      <w:r w:rsidRPr="000A5D99">
        <w:rPr>
          <w:rFonts w:ascii="Times New Roman" w:eastAsia="Calibri" w:hAnsi="Times New Roman" w:cs="Times New Roman"/>
          <w:bCs/>
          <w:sz w:val="24"/>
          <w:szCs w:val="24"/>
          <w:lang w:val="en-US"/>
        </w:rPr>
        <w:t>MET 9).</w:t>
      </w:r>
    </w:p>
    <w:p w14:paraId="01583CBD" w14:textId="77777777" w:rsidR="003B155E" w:rsidRPr="000A5D99" w:rsidRDefault="003B155E" w:rsidP="003B155E">
      <w:pPr>
        <w:numPr>
          <w:ilvl w:val="0"/>
          <w:numId w:val="126"/>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Aşağıdakilerin dahil edilmesi:</w:t>
      </w:r>
    </w:p>
    <w:p w14:paraId="311EC181"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Sızıntıların ve dökülmelerin önlenmesi ve kontrolüne ilişkin plan (bkz. MET 5(a));</w:t>
      </w:r>
    </w:p>
    <w:p w14:paraId="03F2371A"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Düşük çevresel etkiye sahip hammaddeleri kullanmak için bir hammadde değerlendirme sistemi ve işlemde solvent kullanımını optimize etmek için bir plan (bkz. MET 3);</w:t>
      </w:r>
    </w:p>
    <w:p w14:paraId="7E389920"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Solvent kütle dengesi (bkz. MET 10);</w:t>
      </w:r>
    </w:p>
    <w:p w14:paraId="5C575D6B"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lastRenderedPageBreak/>
        <w:t>Normal olmayan çalışma koşullarının (NOÇK) sıklığını ve çevresel sonuçlarını azaltmak için bir bakım programı (bkz. MET 13);</w:t>
      </w:r>
    </w:p>
    <w:p w14:paraId="1EA7AC9D"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Enerji verimliliği planı (bkz. MET 19(a));</w:t>
      </w:r>
    </w:p>
    <w:p w14:paraId="2195B53D"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Su yönetim planı (bkz. MET 20(a));</w:t>
      </w:r>
    </w:p>
    <w:p w14:paraId="0756B377"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Atık yönetim planı (bkz. MET 22(a));</w:t>
      </w:r>
    </w:p>
    <w:p w14:paraId="242F8897" w14:textId="77777777" w:rsidR="003B155E" w:rsidRPr="000A5D99" w:rsidRDefault="003B155E" w:rsidP="003B155E">
      <w:pPr>
        <w:numPr>
          <w:ilvl w:val="0"/>
          <w:numId w:val="128"/>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Koku yönetim planı (bkz. MET 23).</w:t>
      </w:r>
    </w:p>
    <w:p w14:paraId="4E97D0B6" w14:textId="77777777" w:rsidR="003B155E" w:rsidRPr="000A5D99" w:rsidRDefault="003B155E" w:rsidP="003B155E">
      <w:pPr>
        <w:keepNext/>
        <w:keepLines/>
        <w:spacing w:before="120" w:after="60" w:line="360" w:lineRule="auto"/>
        <w:jc w:val="both"/>
        <w:outlineLvl w:val="1"/>
        <w:rPr>
          <w:rFonts w:ascii="Times New Roman" w:eastAsia="DengXian Light" w:hAnsi="Times New Roman" w:cs="Microsoft Uighur"/>
          <w:b/>
          <w:sz w:val="24"/>
          <w:szCs w:val="26"/>
          <w:lang w:val="en-US"/>
        </w:rPr>
      </w:pPr>
      <w:bookmarkStart w:id="72" w:name="_Toc137210476"/>
      <w:r w:rsidRPr="000A5D99">
        <w:rPr>
          <w:rFonts w:ascii="Times New Roman" w:eastAsia="DengXian Light" w:hAnsi="Times New Roman" w:cs="Microsoft Uighur"/>
          <w:b/>
          <w:sz w:val="24"/>
          <w:szCs w:val="26"/>
          <w:lang w:val="en-US"/>
        </w:rPr>
        <w:t>Genel Çevresel Performans</w:t>
      </w:r>
      <w:bookmarkEnd w:id="72"/>
    </w:p>
    <w:p w14:paraId="312EB760" w14:textId="77777777" w:rsidR="003B155E" w:rsidRPr="000A5D99" w:rsidRDefault="003B155E" w:rsidP="003B155E">
      <w:pPr>
        <w:spacing w:before="240" w:after="0" w:line="360" w:lineRule="auto"/>
        <w:ind w:right="275"/>
        <w:jc w:val="both"/>
        <w:rPr>
          <w:rFonts w:ascii="Times New Roman" w:eastAsia="Calibri" w:hAnsi="Times New Roman" w:cs="Times New Roman"/>
          <w:bCs/>
          <w:sz w:val="24"/>
          <w:szCs w:val="24"/>
          <w:lang w:val="en-US"/>
        </w:rPr>
      </w:pPr>
      <w:r w:rsidRPr="000A5D99">
        <w:rPr>
          <w:rFonts w:ascii="Times New Roman" w:eastAsia="Calibri" w:hAnsi="Times New Roman" w:cs="Times New Roman"/>
          <w:b/>
          <w:sz w:val="24"/>
          <w:szCs w:val="24"/>
          <w:lang w:val="en-US"/>
        </w:rPr>
        <w:t xml:space="preserve">MET 2: </w:t>
      </w:r>
      <w:r w:rsidRPr="000A5D99">
        <w:rPr>
          <w:rFonts w:ascii="Times New Roman" w:eastAsia="Calibri" w:hAnsi="Times New Roman" w:cs="Times New Roman"/>
          <w:bCs/>
          <w:sz w:val="24"/>
          <w:szCs w:val="24"/>
          <w:lang w:val="en-US"/>
        </w:rPr>
        <w:t>Tesisin özellikle UOB emisyonları ve enerji tüketimiyle ilgili olarak genel çevresel performansını iyileştirmek için:</w:t>
      </w:r>
    </w:p>
    <w:p w14:paraId="683DAEDF" w14:textId="77777777" w:rsidR="003B155E" w:rsidRPr="000A5D99" w:rsidRDefault="003B155E" w:rsidP="003B155E">
      <w:pPr>
        <w:numPr>
          <w:ilvl w:val="0"/>
          <w:numId w:val="153"/>
        </w:numPr>
        <w:spacing w:before="240" w:after="0" w:line="360" w:lineRule="auto"/>
        <w:ind w:right="275"/>
        <w:contextualSpacing/>
        <w:jc w:val="both"/>
        <w:rPr>
          <w:rFonts w:ascii="Times New Roman" w:eastAsia="Calibri" w:hAnsi="Times New Roman" w:cs="Times New Roman"/>
          <w:bCs/>
          <w:sz w:val="24"/>
          <w:szCs w:val="24"/>
          <w:lang w:val="en-US"/>
        </w:rPr>
      </w:pPr>
      <w:r w:rsidRPr="000A5D99">
        <w:rPr>
          <w:rFonts w:ascii="Times New Roman" w:eastAsia="Calibri" w:hAnsi="Times New Roman" w:cs="Times New Roman"/>
          <w:bCs/>
          <w:sz w:val="24"/>
          <w:szCs w:val="24"/>
          <w:lang w:val="en-US"/>
        </w:rPr>
        <w:t>UOB emisyonlarına ve enerji tüketimine en büyük katkıyı ve iyileştirme için en büyük potansiyeli temsil eden süreç alanları/bölümleri/adımları belirlenir (ayrıca bkz. MET 1);</w:t>
      </w:r>
    </w:p>
    <w:p w14:paraId="216A886A" w14:textId="77777777" w:rsidR="003B155E" w:rsidRPr="000A5D99" w:rsidRDefault="003B155E" w:rsidP="003B155E">
      <w:pPr>
        <w:numPr>
          <w:ilvl w:val="0"/>
          <w:numId w:val="153"/>
        </w:numPr>
        <w:spacing w:before="240" w:after="0" w:line="360" w:lineRule="auto"/>
        <w:ind w:right="275"/>
        <w:contextualSpacing/>
        <w:jc w:val="both"/>
        <w:rPr>
          <w:rFonts w:ascii="Times New Roman" w:eastAsia="Calibri" w:hAnsi="Times New Roman" w:cs="Times New Roman"/>
          <w:bCs/>
          <w:sz w:val="24"/>
          <w:szCs w:val="24"/>
          <w:lang w:val="es-ES"/>
        </w:rPr>
      </w:pPr>
      <w:r w:rsidRPr="000A5D99">
        <w:rPr>
          <w:rFonts w:ascii="Times New Roman" w:eastAsia="Calibri" w:hAnsi="Times New Roman" w:cs="Times New Roman"/>
          <w:bCs/>
          <w:sz w:val="24"/>
          <w:szCs w:val="24"/>
          <w:lang w:val="es-ES"/>
        </w:rPr>
        <w:t>UOB emisyonlarını ve enerji tüketimini en aza indirecek eylemler belirlenir ve uygulanır;</w:t>
      </w:r>
    </w:p>
    <w:p w14:paraId="0F001776" w14:textId="77777777" w:rsidR="003B155E" w:rsidRPr="000A5D99" w:rsidRDefault="003B155E" w:rsidP="003B155E">
      <w:pPr>
        <w:numPr>
          <w:ilvl w:val="0"/>
          <w:numId w:val="153"/>
        </w:numPr>
        <w:spacing w:before="240" w:after="0" w:line="360" w:lineRule="auto"/>
        <w:ind w:right="275"/>
        <w:contextualSpacing/>
        <w:jc w:val="both"/>
        <w:rPr>
          <w:rFonts w:ascii="Times New Roman" w:eastAsia="Calibri" w:hAnsi="Times New Roman" w:cs="Times New Roman"/>
          <w:bCs/>
          <w:sz w:val="24"/>
          <w:szCs w:val="24"/>
          <w:lang w:val="es-ES"/>
        </w:rPr>
      </w:pPr>
      <w:r w:rsidRPr="000A5D99">
        <w:rPr>
          <w:rFonts w:ascii="Times New Roman" w:eastAsia="Calibri" w:hAnsi="Times New Roman" w:cs="Times New Roman"/>
          <w:bCs/>
          <w:sz w:val="24"/>
          <w:szCs w:val="24"/>
          <w:lang w:val="es-ES"/>
        </w:rPr>
        <w:t>Düzenli olarak (en az yılda bir kez) durum güncellenir ve belirlenen eylemlerin uygulanması takip edilir.</w:t>
      </w:r>
    </w:p>
    <w:p w14:paraId="1190D240" w14:textId="77777777" w:rsidR="003B155E" w:rsidRPr="000A5D99" w:rsidRDefault="003B155E" w:rsidP="003B155E">
      <w:pPr>
        <w:keepNext/>
        <w:keepLines/>
        <w:numPr>
          <w:ilvl w:val="2"/>
          <w:numId w:val="207"/>
        </w:numPr>
        <w:spacing w:after="120" w:line="360" w:lineRule="auto"/>
        <w:jc w:val="both"/>
        <w:outlineLvl w:val="1"/>
        <w:rPr>
          <w:rFonts w:ascii="Times New Roman" w:eastAsia="DengXian Light" w:hAnsi="Times New Roman" w:cs="Microsoft Uighur"/>
          <w:b/>
          <w:sz w:val="24"/>
          <w:szCs w:val="26"/>
          <w:lang w:val="en-US"/>
        </w:rPr>
      </w:pPr>
      <w:bookmarkStart w:id="73" w:name="_Toc137210477"/>
      <w:r w:rsidRPr="000A5D99">
        <w:rPr>
          <w:rFonts w:ascii="Times New Roman" w:eastAsia="DengXian Light" w:hAnsi="Times New Roman" w:cs="Microsoft Uighur"/>
          <w:b/>
          <w:sz w:val="24"/>
          <w:szCs w:val="26"/>
          <w:lang w:val="en-US"/>
        </w:rPr>
        <w:t>Ham madde seçimi</w:t>
      </w:r>
      <w:bookmarkEnd w:id="73"/>
      <w:r w:rsidRPr="000A5D99">
        <w:rPr>
          <w:rFonts w:ascii="Times New Roman" w:eastAsia="DengXian Light" w:hAnsi="Times New Roman" w:cs="Microsoft Uighur"/>
          <w:b/>
          <w:sz w:val="24"/>
          <w:szCs w:val="26"/>
          <w:lang w:val="en-US"/>
        </w:rPr>
        <w:t xml:space="preserve"> </w:t>
      </w:r>
    </w:p>
    <w:p w14:paraId="7BDEA68E" w14:textId="77777777" w:rsidR="003B155E" w:rsidRPr="000A5D99" w:rsidRDefault="003B155E" w:rsidP="003B155E">
      <w:pPr>
        <w:spacing w:after="120" w:line="360" w:lineRule="auto"/>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3: </w:t>
      </w:r>
      <w:r w:rsidRPr="000A5D99">
        <w:rPr>
          <w:rFonts w:ascii="Times New Roman" w:eastAsia="Calibri" w:hAnsi="Times New Roman" w:cs="Times New Roman"/>
          <w:bCs/>
          <w:sz w:val="24"/>
          <w:szCs w:val="24"/>
          <w:lang w:val="en-US"/>
        </w:rPr>
        <w:t>Kullanılan ham maddelerin çevresel etkilerini önlemek veya azaltmak için, aşağıda verilen tekniklerin her ikisi de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1"/>
        <w:gridCol w:w="2423"/>
        <w:gridCol w:w="3947"/>
        <w:gridCol w:w="2311"/>
      </w:tblGrid>
      <w:tr w:rsidR="003B155E" w:rsidRPr="000A5D99" w14:paraId="1F2270EF" w14:textId="77777777" w:rsidTr="000D79D6">
        <w:trPr>
          <w:trHeight w:val="230"/>
          <w:tblHeader/>
        </w:trPr>
        <w:tc>
          <w:tcPr>
            <w:tcW w:w="210" w:type="pct"/>
            <w:tcBorders>
              <w:top w:val="single" w:sz="4" w:space="0" w:color="auto"/>
              <w:right w:val="single" w:sz="4" w:space="0" w:color="auto"/>
            </w:tcBorders>
          </w:tcPr>
          <w:p w14:paraId="27A8967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tc>
        <w:tc>
          <w:tcPr>
            <w:tcW w:w="1337" w:type="pct"/>
            <w:tcBorders>
              <w:top w:val="single" w:sz="4" w:space="0" w:color="auto"/>
              <w:left w:val="single" w:sz="4" w:space="0" w:color="auto"/>
            </w:tcBorders>
          </w:tcPr>
          <w:p w14:paraId="09A116E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178" w:type="pct"/>
          </w:tcPr>
          <w:p w14:paraId="03F8037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275" w:type="pct"/>
          </w:tcPr>
          <w:p w14:paraId="5CAACA5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28479897" w14:textId="77777777" w:rsidTr="000D79D6">
        <w:trPr>
          <w:trHeight w:val="2760"/>
        </w:trPr>
        <w:tc>
          <w:tcPr>
            <w:tcW w:w="210" w:type="pct"/>
            <w:tcBorders>
              <w:right w:val="single" w:sz="4" w:space="0" w:color="auto"/>
            </w:tcBorders>
            <w:vAlign w:val="center"/>
          </w:tcPr>
          <w:p w14:paraId="0753532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337" w:type="pct"/>
            <w:tcBorders>
              <w:left w:val="single" w:sz="4" w:space="0" w:color="auto"/>
            </w:tcBorders>
            <w:vAlign w:val="center"/>
          </w:tcPr>
          <w:p w14:paraId="22AA8A5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çevresel etkiye sahip ham madde kullanımı</w:t>
            </w:r>
          </w:p>
        </w:tc>
        <w:tc>
          <w:tcPr>
            <w:tcW w:w="2178" w:type="pct"/>
            <w:vAlign w:val="center"/>
          </w:tcPr>
          <w:p w14:paraId="038AE14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ÇYS'nin bir parçası olarak (bkz. </w:t>
            </w:r>
            <w:r w:rsidRPr="000A5D99">
              <w:rPr>
                <w:rFonts w:ascii="Times New Roman" w:eastAsia="Times New Roman" w:hAnsi="Times New Roman" w:cs="Times New Roman"/>
                <w:b/>
                <w:bCs/>
              </w:rPr>
              <w:t>MET 1</w:t>
            </w:r>
            <w:r w:rsidRPr="000A5D99">
              <w:rPr>
                <w:rFonts w:ascii="Times New Roman" w:eastAsia="Times New Roman" w:hAnsi="Times New Roman" w:cs="Times New Roman"/>
              </w:rPr>
              <w:t>), kullanılan malzemelerin (özellikle kanserojen, mutajenik ve üreme için toksik olan maddeler ile yüksek önem arz eden maddeler) olumsuz çevresel etkilerinin sistematik olarak değerlendirilmesi ve ürün kalite gereklilikleri veya özellikleri dikkate alınarak, mümkün olduğunda çevresel ve sağlık etkileri olmayan veya daha düşük olan başka maddelerle ikame edilmesidir.</w:t>
            </w:r>
          </w:p>
        </w:tc>
        <w:tc>
          <w:tcPr>
            <w:tcW w:w="1275" w:type="pct"/>
            <w:vAlign w:val="center"/>
          </w:tcPr>
          <w:p w14:paraId="01F17CA6" w14:textId="77777777" w:rsidR="003B155E" w:rsidRPr="000A5D99" w:rsidRDefault="003B155E" w:rsidP="000D79D6">
            <w:pPr>
              <w:widowControl w:val="0"/>
              <w:tabs>
                <w:tab w:val="left" w:pos="960"/>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Değerlendirmenin kapsamı (örneğin, ayrıntı düzeyi) ve niteliği genellikle tesisin niteliği, ölçeği ve karmaşıklığı ve sahip olabileceği çevresel etkilerin yanı sıra kullanılan malzemelerin türü ve miktarı ile ilgili olacaktır.</w:t>
            </w:r>
          </w:p>
        </w:tc>
      </w:tr>
      <w:tr w:rsidR="003B155E" w:rsidRPr="000A5D99" w14:paraId="711CD88A" w14:textId="77777777" w:rsidTr="000D79D6">
        <w:trPr>
          <w:trHeight w:val="1379"/>
        </w:trPr>
        <w:tc>
          <w:tcPr>
            <w:tcW w:w="210" w:type="pct"/>
            <w:vAlign w:val="center"/>
          </w:tcPr>
          <w:p w14:paraId="5DB599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337" w:type="pct"/>
            <w:vAlign w:val="center"/>
          </w:tcPr>
          <w:p w14:paraId="1AD80A6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İşlemde solvent kullanımının optimizasyonu</w:t>
            </w:r>
          </w:p>
        </w:tc>
        <w:tc>
          <w:tcPr>
            <w:tcW w:w="2178" w:type="pct"/>
            <w:vAlign w:val="center"/>
          </w:tcPr>
          <w:p w14:paraId="6D13FF5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Gerekli eylemleri belirlemeyi ve uygulamayı amaçlayan bir yönetim planı (ÇYS'nin bir parçası olarak (bkz. </w:t>
            </w:r>
            <w:r w:rsidRPr="000A5D99">
              <w:rPr>
                <w:rFonts w:ascii="Times New Roman" w:eastAsia="Times New Roman" w:hAnsi="Times New Roman" w:cs="Times New Roman"/>
                <w:b/>
                <w:bCs/>
              </w:rPr>
              <w:t>MET 1</w:t>
            </w:r>
            <w:r w:rsidRPr="000A5D99">
              <w:rPr>
                <w:rFonts w:ascii="Times New Roman" w:eastAsia="Times New Roman" w:hAnsi="Times New Roman" w:cs="Times New Roman"/>
              </w:rPr>
              <w:t>)) ile işlemde solvent kullanımının optimize edilmesidir (örneğin, renk harmanlama, püskürtme pulverizasyonunun optimizasyonu).</w:t>
            </w:r>
          </w:p>
        </w:tc>
        <w:tc>
          <w:tcPr>
            <w:tcW w:w="1275" w:type="pct"/>
            <w:vAlign w:val="center"/>
          </w:tcPr>
          <w:p w14:paraId="333771F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bl>
    <w:p w14:paraId="7AAC19F8" w14:textId="77777777" w:rsidR="003B155E" w:rsidRPr="00EE5089" w:rsidRDefault="003B155E" w:rsidP="003B155E">
      <w:pPr>
        <w:spacing w:before="240" w:after="0" w:line="360" w:lineRule="auto"/>
        <w:jc w:val="both"/>
        <w:rPr>
          <w:rFonts w:ascii="Times New Roman" w:eastAsia="Calibri" w:hAnsi="Times New Roman" w:cs="Times New Roman"/>
          <w:b/>
          <w:sz w:val="24"/>
          <w:szCs w:val="24"/>
        </w:rPr>
      </w:pPr>
      <w:r w:rsidRPr="00EE5089">
        <w:rPr>
          <w:rFonts w:ascii="Times New Roman" w:eastAsia="Calibri" w:hAnsi="Times New Roman" w:cs="Times New Roman"/>
          <w:b/>
          <w:sz w:val="24"/>
          <w:szCs w:val="24"/>
        </w:rPr>
        <w:lastRenderedPageBreak/>
        <w:t xml:space="preserve">MET 4: </w:t>
      </w:r>
      <w:r w:rsidRPr="00EE5089">
        <w:rPr>
          <w:rFonts w:ascii="Times New Roman" w:eastAsia="Calibri" w:hAnsi="Times New Roman" w:cs="Times New Roman"/>
          <w:bCs/>
          <w:sz w:val="24"/>
          <w:szCs w:val="24"/>
        </w:rPr>
        <w:t>Solvent tüketimini, UOB emisyonlarını ve kullanılan ham maddelerin genel çevresel etkisini azaltmak için, aşağıda verilen tekniklerden biri veya birkaçı kullanılır.</w:t>
      </w: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
        <w:gridCol w:w="3753"/>
        <w:gridCol w:w="3058"/>
        <w:gridCol w:w="1898"/>
      </w:tblGrid>
      <w:tr w:rsidR="003B155E" w:rsidRPr="000A5D99" w14:paraId="260139BE" w14:textId="77777777" w:rsidTr="000D79D6">
        <w:trPr>
          <w:trHeight w:val="230"/>
          <w:tblHeader/>
        </w:trPr>
        <w:tc>
          <w:tcPr>
            <w:tcW w:w="195" w:type="pct"/>
            <w:tcBorders>
              <w:right w:val="single" w:sz="4" w:space="0" w:color="auto"/>
            </w:tcBorders>
          </w:tcPr>
          <w:p w14:paraId="376D3867"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2071" w:type="pct"/>
            <w:tcBorders>
              <w:left w:val="single" w:sz="4" w:space="0" w:color="auto"/>
            </w:tcBorders>
          </w:tcPr>
          <w:p w14:paraId="7419A44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1687" w:type="pct"/>
          </w:tcPr>
          <w:p w14:paraId="16BF2D7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047" w:type="pct"/>
          </w:tcPr>
          <w:p w14:paraId="3F406F7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64D8474D" w14:textId="77777777" w:rsidTr="000D79D6">
        <w:trPr>
          <w:trHeight w:val="401"/>
        </w:trPr>
        <w:tc>
          <w:tcPr>
            <w:tcW w:w="195" w:type="pct"/>
            <w:vAlign w:val="center"/>
          </w:tcPr>
          <w:p w14:paraId="1810FE2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2071" w:type="pct"/>
            <w:vAlign w:val="center"/>
          </w:tcPr>
          <w:p w14:paraId="5EF1CBC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katı içerikli solvent bazlı boya/kaplama/vernik/mürekkep/ yapıştırıcıların kullanımı</w:t>
            </w:r>
          </w:p>
        </w:tc>
        <w:tc>
          <w:tcPr>
            <w:tcW w:w="1687" w:type="pct"/>
            <w:vAlign w:val="center"/>
          </w:tcPr>
          <w:p w14:paraId="7D231C9B" w14:textId="77777777" w:rsidR="003B155E" w:rsidRPr="000A5D99" w:rsidRDefault="003B155E" w:rsidP="000D79D6">
            <w:pPr>
              <w:widowControl w:val="0"/>
              <w:tabs>
                <w:tab w:val="left" w:pos="620"/>
                <w:tab w:val="left" w:pos="989"/>
                <w:tab w:val="left" w:pos="1719"/>
                <w:tab w:val="left" w:pos="2637"/>
                <w:tab w:val="left" w:pos="3306"/>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miktarda solvent ve yüksek oranda katı madde içeren boyalar, kaplamalar, sıvı mürekkepler, vernikler ve yapıştırıcıların kullanılmasıdır.</w:t>
            </w:r>
          </w:p>
        </w:tc>
        <w:tc>
          <w:tcPr>
            <w:tcW w:w="1047" w:type="pct"/>
            <w:vMerge w:val="restart"/>
            <w:vAlign w:val="center"/>
          </w:tcPr>
          <w:p w14:paraId="470D508F" w14:textId="77777777" w:rsidR="003B155E" w:rsidRPr="000A5D99" w:rsidRDefault="003B155E" w:rsidP="000D79D6">
            <w:pPr>
              <w:widowControl w:val="0"/>
              <w:tabs>
                <w:tab w:val="left" w:pos="1358"/>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Yüzey işleme tekniklerinin seçimi, faaliyet türü, alt tabaka türü ve şekli, ürün kalite gerekliliklerinin yanı sıra kullanılan malzemelerin, kaplama uygulama tekniklerinin, kurutma/kürleme tekniklerinin ve çıkış gazı işleme sistemlerinin birbiriyle uyumlu olmasını sağlama ihtiyacı ile sınırlandırılabilir.</w:t>
            </w:r>
          </w:p>
        </w:tc>
      </w:tr>
      <w:tr w:rsidR="003B155E" w:rsidRPr="000A5D99" w14:paraId="57881398" w14:textId="77777777" w:rsidTr="000D79D6">
        <w:trPr>
          <w:trHeight w:val="688"/>
        </w:trPr>
        <w:tc>
          <w:tcPr>
            <w:tcW w:w="195" w:type="pct"/>
            <w:vAlign w:val="center"/>
          </w:tcPr>
          <w:p w14:paraId="58344E8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2071" w:type="pct"/>
            <w:vAlign w:val="center"/>
          </w:tcPr>
          <w:p w14:paraId="69B49C8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bazlı boya/kaplama/mürekkep/ vernik/yapıştırıcı kullanımı</w:t>
            </w:r>
          </w:p>
        </w:tc>
        <w:tc>
          <w:tcPr>
            <w:tcW w:w="1687" w:type="pct"/>
            <w:vAlign w:val="center"/>
          </w:tcPr>
          <w:p w14:paraId="50E5D5F0" w14:textId="77777777" w:rsidR="003B155E" w:rsidRPr="000A5D99" w:rsidRDefault="003B155E" w:rsidP="000D79D6">
            <w:pPr>
              <w:widowControl w:val="0"/>
              <w:tabs>
                <w:tab w:val="left" w:pos="620"/>
                <w:tab w:val="left" w:pos="989"/>
                <w:tab w:val="left" w:pos="1719"/>
                <w:tab w:val="left" w:pos="2637"/>
                <w:tab w:val="left" w:pos="3306"/>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Organik solventin kısmen su ile değiştirildiği yerlerde boya, kaplama, sıvı mürekkep, vernik ve yapıştırıcı kullanılmasıdır.</w:t>
            </w:r>
          </w:p>
        </w:tc>
        <w:tc>
          <w:tcPr>
            <w:tcW w:w="1047" w:type="pct"/>
            <w:vMerge/>
            <w:vAlign w:val="center"/>
          </w:tcPr>
          <w:p w14:paraId="1C4D2B6F"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6A838D7C" w14:textId="77777777" w:rsidTr="000D79D6">
        <w:trPr>
          <w:trHeight w:val="1379"/>
        </w:trPr>
        <w:tc>
          <w:tcPr>
            <w:tcW w:w="195" w:type="pct"/>
            <w:vAlign w:val="center"/>
          </w:tcPr>
          <w:p w14:paraId="1A6498F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2071" w:type="pct"/>
            <w:vAlign w:val="center"/>
          </w:tcPr>
          <w:p w14:paraId="204E1BE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Radyasyonla kürlenen mürekkep/kaplama/boya/vernik/ yapıştırıcıların kullanımı</w:t>
            </w:r>
          </w:p>
        </w:tc>
        <w:tc>
          <w:tcPr>
            <w:tcW w:w="1687" w:type="pct"/>
            <w:vAlign w:val="center"/>
          </w:tcPr>
          <w:p w14:paraId="6F90EEF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Belirli kimyasal grupların kızılötesi (IR) veya  ultraviyole (UV) radyasyonu veya hızlı elektronlar ile ve ısı olmadan ve UOB emisyonu olmadan aktivasyonu ile kürlenmeye uygun boyaların, kaplamaların, sıvı mürekkeplerin, verniklerin ve yapıştırıcıların kullanılmasıdır.</w:t>
            </w:r>
          </w:p>
        </w:tc>
        <w:tc>
          <w:tcPr>
            <w:tcW w:w="1047" w:type="pct"/>
            <w:vMerge/>
            <w:vAlign w:val="center"/>
          </w:tcPr>
          <w:p w14:paraId="262B69B8"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35B9B542" w14:textId="77777777" w:rsidTr="000D79D6">
        <w:trPr>
          <w:trHeight w:val="689"/>
        </w:trPr>
        <w:tc>
          <w:tcPr>
            <w:tcW w:w="195" w:type="pct"/>
            <w:vAlign w:val="center"/>
          </w:tcPr>
          <w:p w14:paraId="53D7BF7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2071" w:type="pct"/>
            <w:vAlign w:val="center"/>
          </w:tcPr>
          <w:p w14:paraId="16D9F8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içermeyen iki bileşenli yapıştırıcıların kullanımı</w:t>
            </w:r>
          </w:p>
        </w:tc>
        <w:tc>
          <w:tcPr>
            <w:tcW w:w="1687" w:type="pct"/>
            <w:vAlign w:val="center"/>
          </w:tcPr>
          <w:p w14:paraId="431B40AA" w14:textId="77777777" w:rsidR="003B155E" w:rsidRPr="000A5D99" w:rsidRDefault="003B155E" w:rsidP="000D79D6">
            <w:pPr>
              <w:widowControl w:val="0"/>
              <w:tabs>
                <w:tab w:val="left" w:pos="716"/>
                <w:tab w:val="left" w:pos="1182"/>
                <w:tab w:val="left" w:pos="2435"/>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Reçine ve sertleştiriciden oluşan solventsiz iki bileşenli yapışkan malzemelerin kullanılmasıdır.</w:t>
            </w:r>
          </w:p>
        </w:tc>
        <w:tc>
          <w:tcPr>
            <w:tcW w:w="1047" w:type="pct"/>
            <w:vMerge/>
            <w:vAlign w:val="center"/>
          </w:tcPr>
          <w:p w14:paraId="078C8AE9"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246FE4B2" w14:textId="77777777" w:rsidTr="000D79D6">
        <w:trPr>
          <w:trHeight w:val="918"/>
        </w:trPr>
        <w:tc>
          <w:tcPr>
            <w:tcW w:w="195" w:type="pct"/>
            <w:vAlign w:val="center"/>
          </w:tcPr>
          <w:p w14:paraId="306B69B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2071" w:type="pct"/>
            <w:vAlign w:val="center"/>
          </w:tcPr>
          <w:p w14:paraId="23C24E1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Isıyla eriyen yapıştırıcıların kullanımı</w:t>
            </w:r>
          </w:p>
        </w:tc>
        <w:tc>
          <w:tcPr>
            <w:tcW w:w="1687" w:type="pct"/>
            <w:vAlign w:val="center"/>
          </w:tcPr>
          <w:p w14:paraId="7039C6C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Sentetik kauçukların, hidrokarbon reçinelerin ve çeşitli katkı maddelerinin sıcak ekstrüzyonundan yapılan yapıştırıcılarla kaplama kullanılmasıdır.</w:t>
            </w:r>
          </w:p>
          <w:p w14:paraId="738CA48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kullanılmaz.</w:t>
            </w:r>
          </w:p>
        </w:tc>
        <w:tc>
          <w:tcPr>
            <w:tcW w:w="1047" w:type="pct"/>
            <w:vMerge/>
            <w:vAlign w:val="center"/>
          </w:tcPr>
          <w:p w14:paraId="758FB06B"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r>
      <w:tr w:rsidR="003B155E" w:rsidRPr="000A5D99" w14:paraId="68601431" w14:textId="77777777" w:rsidTr="000D79D6">
        <w:trPr>
          <w:trHeight w:val="689"/>
        </w:trPr>
        <w:tc>
          <w:tcPr>
            <w:tcW w:w="195" w:type="pct"/>
            <w:vAlign w:val="center"/>
          </w:tcPr>
          <w:p w14:paraId="73A542D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2071" w:type="pct"/>
            <w:vAlign w:val="center"/>
          </w:tcPr>
          <w:p w14:paraId="260181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Toz kaplamaların kullanımı</w:t>
            </w:r>
          </w:p>
        </w:tc>
        <w:tc>
          <w:tcPr>
            <w:tcW w:w="1687" w:type="pct"/>
            <w:vAlign w:val="center"/>
          </w:tcPr>
          <w:p w14:paraId="22CE23D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İnce toz halinde uygulanan ve termal fırınlarda kürlenen solventsiz kaplama kullanılmasıdır.</w:t>
            </w:r>
          </w:p>
        </w:tc>
        <w:tc>
          <w:tcPr>
            <w:tcW w:w="1047" w:type="pct"/>
            <w:vMerge/>
            <w:vAlign w:val="center"/>
          </w:tcPr>
          <w:p w14:paraId="594287C9"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23B21148" w14:textId="77777777" w:rsidTr="000D79D6">
        <w:trPr>
          <w:trHeight w:val="919"/>
        </w:trPr>
        <w:tc>
          <w:tcPr>
            <w:tcW w:w="195" w:type="pct"/>
            <w:vAlign w:val="center"/>
          </w:tcPr>
          <w:p w14:paraId="48F384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w:t>
            </w:r>
          </w:p>
        </w:tc>
        <w:tc>
          <w:tcPr>
            <w:tcW w:w="2071" w:type="pct"/>
            <w:vAlign w:val="center"/>
          </w:tcPr>
          <w:p w14:paraId="412B2CC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Ağ veya bobin kaplamalar için laminat film kullanımı</w:t>
            </w:r>
          </w:p>
        </w:tc>
        <w:tc>
          <w:tcPr>
            <w:tcW w:w="1687" w:type="pct"/>
            <w:vAlign w:val="center"/>
          </w:tcPr>
          <w:p w14:paraId="30617B1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Estetik veya işlevsel özellikler kazandırmak için bobin veya ağ üzerine uygulanan polimer filmlerin kullanılması, bu sayede gereken kaplama katmanlarının sayısının azaltılmasıdır.</w:t>
            </w:r>
          </w:p>
        </w:tc>
        <w:tc>
          <w:tcPr>
            <w:tcW w:w="1047" w:type="pct"/>
            <w:vMerge/>
            <w:vAlign w:val="center"/>
          </w:tcPr>
          <w:p w14:paraId="26BC5FC0"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41C1BB85" w14:textId="77777777" w:rsidTr="000D79D6">
        <w:trPr>
          <w:trHeight w:val="920"/>
        </w:trPr>
        <w:tc>
          <w:tcPr>
            <w:tcW w:w="195" w:type="pct"/>
            <w:vAlign w:val="center"/>
          </w:tcPr>
          <w:p w14:paraId="014DCA6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w:t>
            </w:r>
          </w:p>
        </w:tc>
        <w:tc>
          <w:tcPr>
            <w:tcW w:w="2071" w:type="pct"/>
            <w:vAlign w:val="center"/>
          </w:tcPr>
          <w:p w14:paraId="205AA3B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UOB olmayan veya daha düşük uçuculuğa sahip UOB olan maddelerin kullanımı</w:t>
            </w:r>
          </w:p>
        </w:tc>
        <w:tc>
          <w:tcPr>
            <w:tcW w:w="1687" w:type="pct"/>
            <w:vAlign w:val="center"/>
          </w:tcPr>
          <w:p w14:paraId="504681B6" w14:textId="77777777" w:rsidR="003B155E" w:rsidRPr="000A5D99" w:rsidRDefault="003B155E" w:rsidP="000D79D6">
            <w:pPr>
              <w:widowControl w:val="0"/>
              <w:tabs>
                <w:tab w:val="left" w:pos="1369"/>
                <w:tab w:val="left" w:pos="1830"/>
                <w:tab w:val="left" w:pos="3641"/>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uçuculuktaki UOB maddelerinin, UOB olmayan organik bileşikler veya daha düşük uçuculuğa sahip UOB'ler (örneğin, esterler) içeren başka maddelerle ikame edilmesidir.</w:t>
            </w:r>
          </w:p>
        </w:tc>
        <w:tc>
          <w:tcPr>
            <w:tcW w:w="1047" w:type="pct"/>
            <w:vMerge/>
            <w:vAlign w:val="center"/>
          </w:tcPr>
          <w:p w14:paraId="3BEB023D" w14:textId="77777777" w:rsidR="003B155E" w:rsidRPr="000A5D99" w:rsidRDefault="003B155E" w:rsidP="000D79D6">
            <w:pPr>
              <w:spacing w:after="0" w:line="240" w:lineRule="auto"/>
              <w:ind w:left="74" w:right="74"/>
              <w:rPr>
                <w:rFonts w:ascii="Times New Roman" w:eastAsia="Calibri" w:hAnsi="Times New Roman" w:cs="Times New Roman"/>
              </w:rPr>
            </w:pPr>
          </w:p>
        </w:tc>
      </w:tr>
    </w:tbl>
    <w:p w14:paraId="4043C398" w14:textId="77777777" w:rsidR="003B155E" w:rsidRPr="000A5D99" w:rsidRDefault="003B155E" w:rsidP="003B155E">
      <w:pPr>
        <w:keepNext/>
        <w:keepLines/>
        <w:spacing w:after="120" w:line="360" w:lineRule="auto"/>
        <w:jc w:val="both"/>
        <w:outlineLvl w:val="1"/>
        <w:rPr>
          <w:rFonts w:ascii="Times New Roman" w:eastAsia="DengXian Light" w:hAnsi="Times New Roman" w:cs="Microsoft Uighur"/>
          <w:b/>
          <w:sz w:val="24"/>
          <w:szCs w:val="26"/>
          <w:lang w:val="en-US"/>
        </w:rPr>
      </w:pPr>
      <w:bookmarkStart w:id="74" w:name="_Toc137210478"/>
      <w:r w:rsidRPr="000A5D99">
        <w:rPr>
          <w:rFonts w:ascii="Times New Roman" w:eastAsia="DengXian Light" w:hAnsi="Times New Roman" w:cs="Microsoft Uighur"/>
          <w:b/>
          <w:sz w:val="24"/>
          <w:szCs w:val="26"/>
          <w:lang w:val="en-US"/>
        </w:rPr>
        <w:lastRenderedPageBreak/>
        <w:t xml:space="preserve">Ham maddelerin depolanması ve </w:t>
      </w:r>
      <w:bookmarkEnd w:id="74"/>
      <w:r w:rsidRPr="000A5D99">
        <w:rPr>
          <w:rFonts w:ascii="Times New Roman" w:eastAsia="DengXian Light" w:hAnsi="Times New Roman" w:cs="Microsoft Uighur"/>
          <w:b/>
          <w:sz w:val="24"/>
          <w:szCs w:val="26"/>
          <w:lang w:val="en-US"/>
        </w:rPr>
        <w:t>taşınması</w:t>
      </w:r>
    </w:p>
    <w:p w14:paraId="02B375BD" w14:textId="77777777" w:rsidR="003B155E" w:rsidRPr="000A5D99" w:rsidRDefault="003B155E" w:rsidP="003B155E">
      <w:pPr>
        <w:spacing w:after="120" w:line="360" w:lineRule="auto"/>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5: </w:t>
      </w:r>
      <w:r w:rsidRPr="000A5D99">
        <w:rPr>
          <w:rFonts w:ascii="Times New Roman" w:eastAsia="Calibri" w:hAnsi="Times New Roman" w:cs="Times New Roman"/>
          <w:bCs/>
          <w:sz w:val="24"/>
          <w:szCs w:val="24"/>
          <w:lang w:val="en-US"/>
        </w:rPr>
        <w:t xml:space="preserve">Solvent içeren malzemelerin ve/veya </w:t>
      </w:r>
      <w:r w:rsidR="0071338C">
        <w:rPr>
          <w:rFonts w:ascii="Times New Roman" w:eastAsia="Times New Roman" w:hAnsi="Times New Roman" w:cs="Times New Roman"/>
          <w:color w:val="000000"/>
          <w:kern w:val="0"/>
          <w:sz w:val="24"/>
          <w:szCs w:val="24"/>
          <w:lang w:eastAsia="tr-TR"/>
          <w14:ligatures w14:val="none"/>
        </w:rPr>
        <w:t>Zararlı</w:t>
      </w:r>
      <w:r w:rsidRPr="000A5D99">
        <w:rPr>
          <w:rFonts w:ascii="Times New Roman" w:eastAsia="Calibri" w:hAnsi="Times New Roman" w:cs="Times New Roman"/>
          <w:bCs/>
          <w:sz w:val="24"/>
          <w:szCs w:val="24"/>
          <w:lang w:val="en-US"/>
        </w:rPr>
        <w:t xml:space="preserve"> maddelerin depolanması ve taşınması sırasında kaçak </w:t>
      </w:r>
      <w:r w:rsidRPr="000A5D99">
        <w:rPr>
          <w:rFonts w:ascii="Times New Roman" w:eastAsia="Calibri" w:hAnsi="Times New Roman" w:cs="Calibri"/>
          <w:bCs/>
          <w:sz w:val="24"/>
          <w:szCs w:val="24"/>
          <w:lang w:val="en-US"/>
        </w:rPr>
        <w:t xml:space="preserve">UOB </w:t>
      </w:r>
      <w:r w:rsidRPr="000A5D99">
        <w:rPr>
          <w:rFonts w:ascii="Times New Roman" w:eastAsia="Calibri" w:hAnsi="Times New Roman" w:cs="Times New Roman"/>
          <w:bCs/>
          <w:sz w:val="24"/>
          <w:szCs w:val="24"/>
          <w:lang w:val="en-US"/>
        </w:rPr>
        <w:t>emisyonlarını önlemek veya azaltmak için, aşağıda verilen tekniklerin tümü kullanılarak iyi temizlik ilkeleri 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
        <w:gridCol w:w="1552"/>
        <w:gridCol w:w="5153"/>
        <w:gridCol w:w="2047"/>
      </w:tblGrid>
      <w:tr w:rsidR="003B155E" w:rsidRPr="000A5D99" w14:paraId="317FBFCE" w14:textId="77777777" w:rsidTr="000D79D6">
        <w:trPr>
          <w:trHeight w:val="230"/>
          <w:tblHeader/>
        </w:trPr>
        <w:tc>
          <w:tcPr>
            <w:tcW w:w="1026" w:type="pct"/>
            <w:gridSpan w:val="2"/>
          </w:tcPr>
          <w:p w14:paraId="39B88D2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844" w:type="pct"/>
          </w:tcPr>
          <w:p w14:paraId="780B110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129" w:type="pct"/>
          </w:tcPr>
          <w:p w14:paraId="5B99AC9C" w14:textId="77777777" w:rsidR="003B155E" w:rsidRPr="000A5D99" w:rsidRDefault="003B155E" w:rsidP="000D79D6">
            <w:pPr>
              <w:widowControl w:val="0"/>
              <w:autoSpaceDE w:val="0"/>
              <w:autoSpaceDN w:val="0"/>
              <w:spacing w:after="0" w:line="240" w:lineRule="auto"/>
              <w:ind w:left="243" w:right="74" w:hanging="169"/>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21B1DB2C" w14:textId="77777777" w:rsidTr="000D79D6">
        <w:trPr>
          <w:trHeight w:val="282"/>
        </w:trPr>
        <w:tc>
          <w:tcPr>
            <w:tcW w:w="5000" w:type="pct"/>
            <w:gridSpan w:val="4"/>
          </w:tcPr>
          <w:p w14:paraId="0CEE013B"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iCs/>
              </w:rPr>
            </w:pPr>
            <w:r w:rsidRPr="000A5D99">
              <w:rPr>
                <w:rFonts w:ascii="Times New Roman" w:eastAsia="Times New Roman" w:hAnsi="Times New Roman" w:cs="Times New Roman"/>
                <w:b/>
                <w:iCs/>
              </w:rPr>
              <w:t>Yönetim teknikleri</w:t>
            </w:r>
          </w:p>
        </w:tc>
      </w:tr>
      <w:tr w:rsidR="003B155E" w:rsidRPr="000A5D99" w14:paraId="4FD8AF68" w14:textId="77777777" w:rsidTr="000D79D6">
        <w:trPr>
          <w:trHeight w:val="5404"/>
        </w:trPr>
        <w:tc>
          <w:tcPr>
            <w:tcW w:w="172" w:type="pct"/>
            <w:vAlign w:val="center"/>
          </w:tcPr>
          <w:p w14:paraId="3F31FD4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854" w:type="pct"/>
            <w:vAlign w:val="center"/>
          </w:tcPr>
          <w:p w14:paraId="7BCF566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Sızıntı ve dökülmelerin önlenmesi ve kontrolüne ilişkin bir planın hazırlanması ve uygulanması</w:t>
            </w:r>
          </w:p>
        </w:tc>
        <w:tc>
          <w:tcPr>
            <w:tcW w:w="2844" w:type="pct"/>
            <w:vAlign w:val="center"/>
          </w:tcPr>
          <w:p w14:paraId="5C3288A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Sızıntıların ve dökülmelerin önlenmesi ve kontrolüne yönelik bir plan, ÇYS'nin bir parçasıdır (bkz. </w:t>
            </w:r>
            <w:r w:rsidRPr="000A5D99">
              <w:rPr>
                <w:rFonts w:ascii="Times New Roman" w:eastAsia="Times New Roman" w:hAnsi="Times New Roman" w:cs="Times New Roman"/>
                <w:b/>
                <w:bCs/>
              </w:rPr>
              <w:t>MET 1</w:t>
            </w:r>
            <w:r w:rsidRPr="000A5D99">
              <w:rPr>
                <w:rFonts w:ascii="Times New Roman" w:eastAsia="Times New Roman" w:hAnsi="Times New Roman" w:cs="Times New Roman"/>
              </w:rPr>
              <w:t>) ve bunlarla sınırlı olmamak kaydıyla aşağıdakileri içerir:</w:t>
            </w:r>
          </w:p>
          <w:p w14:paraId="19B25E58"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Küçük ve büyük dökülmeler için saha olay planları;</w:t>
            </w:r>
          </w:p>
          <w:p w14:paraId="6ADA155B"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İlgili kişilerin görev ve sorumluluklarının belirlenmesi;</w:t>
            </w:r>
          </w:p>
          <w:p w14:paraId="4B723786"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Personelin çevreye duyarlı olmasının ve dökülme olaylarını önlemek/bunlara müdahale etmek için eğitimli olmasının sağlanması;</w:t>
            </w:r>
          </w:p>
          <w:p w14:paraId="77C8E612" w14:textId="77777777" w:rsidR="003B155E" w:rsidRPr="000A5D99" w:rsidRDefault="0071338C"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Pr>
                <w:rFonts w:ascii="Times New Roman" w:eastAsia="Times New Roman" w:hAnsi="Times New Roman" w:cs="Times New Roman"/>
                <w:color w:val="000000"/>
                <w:kern w:val="0"/>
                <w:sz w:val="24"/>
                <w:szCs w:val="24"/>
                <w:lang w:eastAsia="tr-TR"/>
                <w14:ligatures w14:val="none"/>
              </w:rPr>
              <w:t>Zararlı</w:t>
            </w:r>
            <w:r w:rsidR="003B155E" w:rsidRPr="000A5D99">
              <w:rPr>
                <w:rFonts w:ascii="Times New Roman" w:eastAsia="Times New Roman" w:hAnsi="Times New Roman" w:cs="Times New Roman"/>
              </w:rPr>
              <w:t xml:space="preserve"> maddeler için dökülme ve/veya sızıntı riski olan alanların belirlenmesi ve riske göre sıralanması;</w:t>
            </w:r>
          </w:p>
          <w:p w14:paraId="712F2AEF"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Belirli alanlarda, geçirimsiz zeminler gibi uygun muhafaza sistemlerinin sağlanması;</w:t>
            </w:r>
          </w:p>
          <w:p w14:paraId="398F1054"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Uygun dökülme önleme ve temizleme ekipmanının belirlenmesi ve düzenli olarak kullanılabilir, iyi çalışır durumda olması ve bu olayların meydana gelebileceği noktalara yakın olmasının sağlanması;</w:t>
            </w:r>
          </w:p>
          <w:p w14:paraId="407249F2"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Dökülme kontrolünden kaynaklanan atıklarla mücadele için atık yönetimi kılavuzları;</w:t>
            </w:r>
          </w:p>
          <w:p w14:paraId="7B8BA42C"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 xml:space="preserve">Depolama ve işletme alanlarının düzenli (en az yılda bir kez) denetlenmesi, sızıntı tespit ekipmanının test ve kalibrasyonu ve vanalardan, rakorlardan, flanşlardan vb. sızıntıların derhal onarılması (bkz. </w:t>
            </w:r>
            <w:r w:rsidRPr="000A5D99">
              <w:rPr>
                <w:rFonts w:ascii="Times New Roman" w:eastAsia="Times New Roman" w:hAnsi="Times New Roman" w:cs="Times New Roman"/>
                <w:b/>
                <w:bCs/>
              </w:rPr>
              <w:t>MET 13</w:t>
            </w:r>
            <w:r w:rsidRPr="000A5D99">
              <w:rPr>
                <w:rFonts w:ascii="Times New Roman" w:eastAsia="Times New Roman" w:hAnsi="Times New Roman" w:cs="Times New Roman"/>
              </w:rPr>
              <w:t>).</w:t>
            </w:r>
          </w:p>
        </w:tc>
        <w:tc>
          <w:tcPr>
            <w:tcW w:w="1129" w:type="pct"/>
            <w:vAlign w:val="center"/>
          </w:tcPr>
          <w:p w14:paraId="37263554" w14:textId="77777777" w:rsidR="003B155E" w:rsidRPr="000A5D99" w:rsidRDefault="003B155E" w:rsidP="000D79D6">
            <w:pPr>
              <w:widowControl w:val="0"/>
              <w:tabs>
                <w:tab w:val="left" w:pos="1125"/>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Planın kapsamı (örneğin, ayrıntı düzeyi) genellikle tesisin niteliği, ölçeği ve karmaşıklığının yanı sıra kullanılan malzemelerin türü ve miktarı ile ilgili olacaktır.</w:t>
            </w:r>
          </w:p>
        </w:tc>
      </w:tr>
      <w:tr w:rsidR="003B155E" w:rsidRPr="000A5D99" w14:paraId="68A63B2A" w14:textId="77777777" w:rsidTr="000D79D6">
        <w:trPr>
          <w:trHeight w:val="375"/>
        </w:trPr>
        <w:tc>
          <w:tcPr>
            <w:tcW w:w="5000" w:type="pct"/>
            <w:gridSpan w:val="4"/>
            <w:vAlign w:val="center"/>
          </w:tcPr>
          <w:p w14:paraId="46CE0518"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iCs/>
              </w:rPr>
            </w:pPr>
            <w:r w:rsidRPr="000A5D99">
              <w:rPr>
                <w:rFonts w:ascii="Times New Roman" w:eastAsia="Times New Roman" w:hAnsi="Times New Roman" w:cs="Times New Roman"/>
                <w:b/>
                <w:iCs/>
              </w:rPr>
              <w:t>Depolama teknikleri</w:t>
            </w:r>
          </w:p>
        </w:tc>
      </w:tr>
      <w:tr w:rsidR="003B155E" w:rsidRPr="000A5D99" w14:paraId="665A3EDE" w14:textId="77777777" w:rsidTr="000D79D6">
        <w:trPr>
          <w:trHeight w:val="1150"/>
        </w:trPr>
        <w:tc>
          <w:tcPr>
            <w:tcW w:w="172" w:type="pct"/>
            <w:vAlign w:val="center"/>
          </w:tcPr>
          <w:p w14:paraId="4C38A51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854" w:type="pct"/>
            <w:vAlign w:val="center"/>
          </w:tcPr>
          <w:p w14:paraId="3422D76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Konteynerlerin ve setle çevrelenmiş depolama alanlarının sızdırmaz hale getirilmesi veya örtülmesi</w:t>
            </w:r>
          </w:p>
        </w:tc>
        <w:tc>
          <w:tcPr>
            <w:tcW w:w="2844" w:type="pct"/>
            <w:vAlign w:val="center"/>
          </w:tcPr>
          <w:p w14:paraId="37AE2EA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Solventler, </w:t>
            </w:r>
            <w:r w:rsidR="0071338C">
              <w:rPr>
                <w:rFonts w:ascii="Times New Roman" w:eastAsia="Times New Roman" w:hAnsi="Times New Roman" w:cs="Times New Roman"/>
                <w:color w:val="000000"/>
                <w:kern w:val="0"/>
                <w:sz w:val="24"/>
                <w:szCs w:val="24"/>
                <w:lang w:eastAsia="tr-TR"/>
                <w14:ligatures w14:val="none"/>
              </w:rPr>
              <w:t>zararlı</w:t>
            </w:r>
            <w:r w:rsidRPr="000A5D99">
              <w:rPr>
                <w:rFonts w:ascii="Times New Roman" w:eastAsia="Times New Roman" w:hAnsi="Times New Roman" w:cs="Times New Roman"/>
              </w:rPr>
              <w:t xml:space="preserve"> maddeler, atık solventler ve atık temizlik malzemeleri, ilgili riske uygun ve emisyonları en aza indirecek şekilde tasarlanmış kapalı veya örtülü konteynerlerde depolanır. Konteynerlerin depolama alanı setle çevrilidir ve yeterli kapasitededir.</w:t>
            </w:r>
          </w:p>
        </w:tc>
        <w:tc>
          <w:tcPr>
            <w:tcW w:w="1129" w:type="pct"/>
            <w:vMerge w:val="restart"/>
            <w:vAlign w:val="center"/>
          </w:tcPr>
          <w:p w14:paraId="3041C61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4A66CCCD" w14:textId="77777777" w:rsidTr="000D79D6">
        <w:trPr>
          <w:trHeight w:val="1149"/>
        </w:trPr>
        <w:tc>
          <w:tcPr>
            <w:tcW w:w="172" w:type="pct"/>
            <w:vAlign w:val="center"/>
          </w:tcPr>
          <w:p w14:paraId="2F2ABFE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854" w:type="pct"/>
            <w:vAlign w:val="center"/>
          </w:tcPr>
          <w:p w14:paraId="161131C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Üretim alanlarında </w:t>
            </w:r>
            <w:r w:rsidR="0071338C">
              <w:rPr>
                <w:rFonts w:ascii="Times New Roman" w:eastAsia="Times New Roman" w:hAnsi="Times New Roman" w:cs="Times New Roman"/>
                <w:color w:val="000000"/>
                <w:kern w:val="0"/>
                <w:sz w:val="24"/>
                <w:szCs w:val="24"/>
                <w:lang w:eastAsia="tr-TR"/>
                <w14:ligatures w14:val="none"/>
              </w:rPr>
              <w:t>zararlı</w:t>
            </w:r>
            <w:r w:rsidRPr="000A5D99">
              <w:rPr>
                <w:rFonts w:ascii="Times New Roman" w:eastAsia="Times New Roman" w:hAnsi="Times New Roman" w:cs="Times New Roman"/>
              </w:rPr>
              <w:t xml:space="preserve"> maddelerin depolanmasının en aza indirilmesi</w:t>
            </w:r>
          </w:p>
        </w:tc>
        <w:tc>
          <w:tcPr>
            <w:tcW w:w="2844" w:type="pct"/>
            <w:vAlign w:val="center"/>
          </w:tcPr>
          <w:p w14:paraId="2CAE600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Zararlı maddeler üretim alanlarında sadece üretim için gerekli miktarlarda bulunur; daha büyük miktarlar ayrı olarak depolanır.</w:t>
            </w:r>
          </w:p>
        </w:tc>
        <w:tc>
          <w:tcPr>
            <w:tcW w:w="1129" w:type="pct"/>
            <w:vMerge/>
            <w:tcBorders>
              <w:top w:val="nil"/>
            </w:tcBorders>
            <w:vAlign w:val="center"/>
          </w:tcPr>
          <w:p w14:paraId="38A5C441"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753E60FB" w14:textId="77777777" w:rsidTr="000D79D6">
        <w:trPr>
          <w:trHeight w:val="283"/>
        </w:trPr>
        <w:tc>
          <w:tcPr>
            <w:tcW w:w="5000" w:type="pct"/>
            <w:gridSpan w:val="4"/>
            <w:vAlign w:val="center"/>
          </w:tcPr>
          <w:p w14:paraId="64CBB07C"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iCs/>
              </w:rPr>
            </w:pPr>
            <w:r w:rsidRPr="000A5D99">
              <w:rPr>
                <w:rFonts w:ascii="Times New Roman" w:eastAsia="Times New Roman" w:hAnsi="Times New Roman" w:cs="Times New Roman"/>
                <w:b/>
                <w:iCs/>
              </w:rPr>
              <w:lastRenderedPageBreak/>
              <w:t>Sıvıları pompalama ve taşıma teknikleri</w:t>
            </w:r>
          </w:p>
        </w:tc>
      </w:tr>
      <w:tr w:rsidR="003B155E" w:rsidRPr="000A5D99" w14:paraId="3720DCD6" w14:textId="77777777" w:rsidTr="000D79D6">
        <w:trPr>
          <w:trHeight w:val="1608"/>
        </w:trPr>
        <w:tc>
          <w:tcPr>
            <w:tcW w:w="172" w:type="pct"/>
            <w:vAlign w:val="center"/>
          </w:tcPr>
          <w:p w14:paraId="751B788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854" w:type="pct"/>
            <w:vAlign w:val="center"/>
          </w:tcPr>
          <w:p w14:paraId="39EB393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Pompalama sırasında sızıntı ve dökülmeleri önleme teknikleri</w:t>
            </w:r>
          </w:p>
        </w:tc>
        <w:tc>
          <w:tcPr>
            <w:tcW w:w="2844" w:type="pct"/>
            <w:vAlign w:val="center"/>
          </w:tcPr>
          <w:p w14:paraId="0FFDF38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Sızıntı ve dökülmeler taşınan malzemeye uygun ve sızdırmazlık sağlayan pompalar ve contalar kullanılarak önlenir. Bu kapsamda salmastrasız motorlu pompalar, manyetik bağlantılı pompalar, çoklu mekanik salmastralı ve söndürme veya tampon sistemine sahip pompalar, çoklu mekanik salmastralı ve atmosfere kuru salmastralı pompalar, diyaframlı pompalar veya körüklü pompalar gibi ekipmanlar kullanılır.</w:t>
            </w:r>
          </w:p>
        </w:tc>
        <w:tc>
          <w:tcPr>
            <w:tcW w:w="1129" w:type="pct"/>
            <w:vMerge w:val="restart"/>
            <w:vAlign w:val="center"/>
          </w:tcPr>
          <w:p w14:paraId="1C745D02" w14:textId="77777777" w:rsidR="003B155E" w:rsidRPr="000A5D99" w:rsidRDefault="003B155E" w:rsidP="000D79D6">
            <w:pPr>
              <w:widowControl w:val="0"/>
              <w:autoSpaceDE w:val="0"/>
              <w:autoSpaceDN w:val="0"/>
              <w:spacing w:after="0" w:line="240" w:lineRule="auto"/>
              <w:ind w:left="74" w:right="74" w:firstLine="40"/>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3246E2C6" w14:textId="77777777" w:rsidTr="000D79D6">
        <w:trPr>
          <w:trHeight w:val="1179"/>
        </w:trPr>
        <w:tc>
          <w:tcPr>
            <w:tcW w:w="172" w:type="pct"/>
            <w:vAlign w:val="center"/>
          </w:tcPr>
          <w:p w14:paraId="02C4BFA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854" w:type="pct"/>
            <w:vAlign w:val="center"/>
          </w:tcPr>
          <w:p w14:paraId="50FA4A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Pompalama sırasında taşmaları önleme teknikleri</w:t>
            </w:r>
          </w:p>
        </w:tc>
        <w:tc>
          <w:tcPr>
            <w:tcW w:w="2844" w:type="pct"/>
            <w:vAlign w:val="center"/>
          </w:tcPr>
          <w:p w14:paraId="2CF7DE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 örneğin aşağıdakilerin sağlanmasını içerir:</w:t>
            </w:r>
          </w:p>
          <w:p w14:paraId="3C28FFD5"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pompalama işleminin denetlenmesi;</w:t>
            </w:r>
          </w:p>
          <w:p w14:paraId="0BEB5BEF"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daha büyük miktarlar için, döküm depolama tanklarının, akustik ve/veya optik yüksek seviyeli alarmlarla ve gerektiği takdirde kapatma sistemleri ile donatılması.</w:t>
            </w:r>
          </w:p>
        </w:tc>
        <w:tc>
          <w:tcPr>
            <w:tcW w:w="1129" w:type="pct"/>
            <w:vMerge/>
            <w:vAlign w:val="center"/>
          </w:tcPr>
          <w:p w14:paraId="5F329339"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775E3AAF" w14:textId="77777777" w:rsidTr="000D79D6">
        <w:trPr>
          <w:trHeight w:val="1150"/>
        </w:trPr>
        <w:tc>
          <w:tcPr>
            <w:tcW w:w="172" w:type="pct"/>
            <w:vAlign w:val="center"/>
          </w:tcPr>
          <w:p w14:paraId="6476A37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854" w:type="pct"/>
            <w:vAlign w:val="center"/>
          </w:tcPr>
          <w:p w14:paraId="3668F3E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içeren malzeme dağıtımı sırasında UOB buharının toplanması</w:t>
            </w:r>
          </w:p>
        </w:tc>
        <w:tc>
          <w:tcPr>
            <w:tcW w:w="2844" w:type="pct"/>
            <w:vAlign w:val="center"/>
          </w:tcPr>
          <w:p w14:paraId="7361B43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içeren malzemelerin teslimi sırasında (örneğin, tankların yüklenmesi veya boşaltılması), alıcı tanklardan çıkan buhar, genellikle geri havalandırma yoluyla toplanır.</w:t>
            </w:r>
          </w:p>
        </w:tc>
        <w:tc>
          <w:tcPr>
            <w:tcW w:w="1129" w:type="pct"/>
            <w:vAlign w:val="center"/>
          </w:tcPr>
          <w:p w14:paraId="064A9C6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buhar basıncına sahip solventler için veya maliyet hususları nedeniyle uygulanamayabilir.</w:t>
            </w:r>
          </w:p>
        </w:tc>
      </w:tr>
      <w:tr w:rsidR="003B155E" w:rsidRPr="000A5D99" w14:paraId="4CDD1FF5" w14:textId="77777777" w:rsidTr="000D79D6">
        <w:trPr>
          <w:trHeight w:val="1150"/>
        </w:trPr>
        <w:tc>
          <w:tcPr>
            <w:tcW w:w="172" w:type="pct"/>
            <w:vAlign w:val="center"/>
          </w:tcPr>
          <w:p w14:paraId="74FE38A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g</w:t>
            </w:r>
          </w:p>
        </w:tc>
        <w:tc>
          <w:tcPr>
            <w:tcW w:w="854" w:type="pct"/>
            <w:vAlign w:val="center"/>
          </w:tcPr>
          <w:p w14:paraId="57D0E3F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içeren malzemelerle çalışırken dökülmeleri kontrol etme ve/veya hızlı bir şekilde toplama</w:t>
            </w:r>
          </w:p>
        </w:tc>
        <w:tc>
          <w:tcPr>
            <w:tcW w:w="2844" w:type="pct"/>
            <w:vAlign w:val="center"/>
          </w:tcPr>
          <w:p w14:paraId="03C57D1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Solvent içeren malzemelerin konteynerlerde taşınması sırasında, olası dökülmelerin önlenmesi için uygun muhafaza önlemleri alınır. Bu, tepsili arabalar, paletler ve/veya dahili toplama sistemine sahip muhafazalar (örneğin, sızdırmaz toplama tavaları) kullanılarak ve/veya absorban malzemelerle hızlıca temizlenerek sağlanır.</w:t>
            </w:r>
          </w:p>
        </w:tc>
        <w:tc>
          <w:tcPr>
            <w:tcW w:w="1129" w:type="pct"/>
            <w:vAlign w:val="center"/>
          </w:tcPr>
          <w:p w14:paraId="4A5C2AA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bl>
    <w:p w14:paraId="5A1FEB4B" w14:textId="77777777" w:rsidR="003B155E" w:rsidRPr="000A5D99" w:rsidRDefault="003B155E" w:rsidP="003B155E">
      <w:pPr>
        <w:keepNext/>
        <w:keepLines/>
        <w:spacing w:before="120" w:after="120" w:line="360" w:lineRule="auto"/>
        <w:jc w:val="both"/>
        <w:outlineLvl w:val="1"/>
        <w:rPr>
          <w:rFonts w:ascii="Times New Roman" w:eastAsia="DengXian Light" w:hAnsi="Times New Roman" w:cs="Microsoft Uighur"/>
          <w:b/>
          <w:sz w:val="24"/>
          <w:szCs w:val="26"/>
          <w:lang w:val="en-US"/>
        </w:rPr>
      </w:pPr>
      <w:bookmarkStart w:id="75" w:name="_Toc137210479"/>
      <w:r w:rsidRPr="000A5D99">
        <w:rPr>
          <w:rFonts w:ascii="Times New Roman" w:eastAsia="DengXian Light" w:hAnsi="Times New Roman" w:cs="Microsoft Uighur"/>
          <w:b/>
          <w:sz w:val="24"/>
          <w:szCs w:val="26"/>
          <w:lang w:val="en-US"/>
        </w:rPr>
        <w:t>Ham maddelerin dağılımı</w:t>
      </w:r>
      <w:bookmarkEnd w:id="75"/>
    </w:p>
    <w:p w14:paraId="15928EAA" w14:textId="77777777" w:rsidR="003B155E" w:rsidRPr="000A5D99" w:rsidRDefault="003B155E" w:rsidP="003B155E">
      <w:pPr>
        <w:spacing w:after="120" w:line="360" w:lineRule="auto"/>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6: </w:t>
      </w:r>
      <w:r w:rsidRPr="000A5D99">
        <w:rPr>
          <w:rFonts w:ascii="Times New Roman" w:eastAsia="Calibri" w:hAnsi="Times New Roman" w:cs="Times New Roman"/>
          <w:bCs/>
          <w:sz w:val="24"/>
          <w:szCs w:val="24"/>
          <w:lang w:val="en-US"/>
        </w:rPr>
        <w:t>Ham madde tüketimini ve UOB emisyonlarını azaltmak için, aşağıda verilen tekniklerden biri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
        <w:gridCol w:w="2052"/>
        <w:gridCol w:w="4281"/>
        <w:gridCol w:w="2403"/>
      </w:tblGrid>
      <w:tr w:rsidR="003B155E" w:rsidRPr="000A5D99" w14:paraId="00A528B0" w14:textId="77777777" w:rsidTr="00C32559">
        <w:trPr>
          <w:trHeight w:val="230"/>
          <w:tblHeader/>
        </w:trPr>
        <w:tc>
          <w:tcPr>
            <w:tcW w:w="180" w:type="pct"/>
            <w:tcBorders>
              <w:right w:val="single" w:sz="4" w:space="0" w:color="auto"/>
            </w:tcBorders>
          </w:tcPr>
          <w:p w14:paraId="3277D13F"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132" w:type="pct"/>
            <w:tcBorders>
              <w:left w:val="single" w:sz="4" w:space="0" w:color="auto"/>
            </w:tcBorders>
            <w:vAlign w:val="center"/>
          </w:tcPr>
          <w:p w14:paraId="39A32E4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362" w:type="pct"/>
            <w:vAlign w:val="center"/>
          </w:tcPr>
          <w:p w14:paraId="44337C8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326" w:type="pct"/>
            <w:vAlign w:val="center"/>
          </w:tcPr>
          <w:p w14:paraId="063D81B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34BBEF26" w14:textId="77777777" w:rsidTr="00C32559">
        <w:trPr>
          <w:trHeight w:val="1149"/>
        </w:trPr>
        <w:tc>
          <w:tcPr>
            <w:tcW w:w="180" w:type="pct"/>
            <w:vAlign w:val="center"/>
          </w:tcPr>
          <w:p w14:paraId="5B16A3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132" w:type="pct"/>
            <w:vAlign w:val="center"/>
          </w:tcPr>
          <w:p w14:paraId="0E7A35F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UOB içeren malzemelerin (örneğin, mürekkepler, kaplamalar, yapıştırıcılar, temizlik maddeleri) merkezi tedariki</w:t>
            </w:r>
          </w:p>
        </w:tc>
        <w:tc>
          <w:tcPr>
            <w:tcW w:w="2362" w:type="pct"/>
            <w:vAlign w:val="center"/>
          </w:tcPr>
          <w:p w14:paraId="017611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UOB içeren malzemeler (örneğin, mürekkepler, kaplamalar, yapıştırıcılar, temizlik maddeleri) uygulama alanına doğrudan borulama ile halka hatlar kullanılarak tedarik edilir; sistem temizliği için pig temizleme veya havayla yıkama gibi yöntemler uygulanır.</w:t>
            </w:r>
          </w:p>
        </w:tc>
        <w:tc>
          <w:tcPr>
            <w:tcW w:w="1326" w:type="pct"/>
            <w:vAlign w:val="center"/>
          </w:tcPr>
          <w:p w14:paraId="2986D59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Mürekkeplerin/boyaların/ kaplamaların/yapıştırıcıların veya solventlerin sık değiştirildiği durumlarda uygulanamayabilir.</w:t>
            </w:r>
          </w:p>
        </w:tc>
      </w:tr>
      <w:tr w:rsidR="003B155E" w:rsidRPr="000A5D99" w14:paraId="52A92336" w14:textId="77777777" w:rsidTr="00C32559">
        <w:trPr>
          <w:trHeight w:val="690"/>
        </w:trPr>
        <w:tc>
          <w:tcPr>
            <w:tcW w:w="180" w:type="pct"/>
            <w:vAlign w:val="center"/>
          </w:tcPr>
          <w:p w14:paraId="28D2511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132" w:type="pct"/>
            <w:vAlign w:val="center"/>
          </w:tcPr>
          <w:p w14:paraId="277ED8F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Gelişmiş karıştırma sistemleri</w:t>
            </w:r>
          </w:p>
        </w:tc>
        <w:tc>
          <w:tcPr>
            <w:tcW w:w="2362" w:type="pct"/>
            <w:vAlign w:val="center"/>
          </w:tcPr>
          <w:p w14:paraId="4856042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İstenen boya/kaplama/mürekkep/</w:t>
            </w:r>
          </w:p>
          <w:p w14:paraId="26EA703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yapıştırıcıyı elde etmek için bilgisayar kontrollü karıştırma ekipmanı kullanılır.</w:t>
            </w:r>
          </w:p>
        </w:tc>
        <w:tc>
          <w:tcPr>
            <w:tcW w:w="1326" w:type="pct"/>
            <w:vMerge w:val="restart"/>
            <w:vAlign w:val="center"/>
          </w:tcPr>
          <w:p w14:paraId="0AE01C4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0E81D992" w14:textId="77777777" w:rsidTr="00C32559">
        <w:trPr>
          <w:trHeight w:val="1610"/>
        </w:trPr>
        <w:tc>
          <w:tcPr>
            <w:tcW w:w="180" w:type="pct"/>
            <w:vAlign w:val="center"/>
          </w:tcPr>
          <w:p w14:paraId="3DB8A5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132" w:type="pct"/>
            <w:vAlign w:val="center"/>
          </w:tcPr>
          <w:p w14:paraId="6FB3473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UOB içeren malzemelerin (örneğin,  mürekkepler, kaplamalar, yapıştırıcılar, </w:t>
            </w:r>
            <w:r w:rsidRPr="000A5D99">
              <w:rPr>
                <w:rFonts w:ascii="Times New Roman" w:eastAsia="Times New Roman" w:hAnsi="Times New Roman" w:cs="Times New Roman"/>
              </w:rPr>
              <w:lastRenderedPageBreak/>
              <w:t>temizlik maddeleri) kapalı bir sistem kullanılarak uygulama noktasında tedariki</w:t>
            </w:r>
          </w:p>
        </w:tc>
        <w:tc>
          <w:tcPr>
            <w:tcW w:w="2362" w:type="pct"/>
            <w:vAlign w:val="center"/>
          </w:tcPr>
          <w:p w14:paraId="4BC0100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 xml:space="preserve">Mürekkeplerin/ boyaların/ kaplamaların/ yapıştırıcıların ve solventlerin sık sık değiştirilmesi durumunda veya küçük ölçekli kullanımlarda, mürekkeplerin/ boyaların/kaplamaların/yapıştırıcıların ve solventlerin, kapalı bir sistem kullanılarak </w:t>
            </w:r>
            <w:r w:rsidRPr="000A5D99">
              <w:rPr>
                <w:rFonts w:ascii="Times New Roman" w:eastAsia="Times New Roman" w:hAnsi="Times New Roman" w:cs="Times New Roman"/>
              </w:rPr>
              <w:lastRenderedPageBreak/>
              <w:t>uygulama alanının yakınına yerleştirilmiş küçük taşıma konteynerlerinden temin edilmesidir.</w:t>
            </w:r>
          </w:p>
        </w:tc>
        <w:tc>
          <w:tcPr>
            <w:tcW w:w="1326" w:type="pct"/>
            <w:vMerge/>
            <w:tcBorders>
              <w:top w:val="nil"/>
            </w:tcBorders>
            <w:vAlign w:val="center"/>
          </w:tcPr>
          <w:p w14:paraId="2232B621"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16C267BA" w14:textId="77777777" w:rsidTr="00C32559">
        <w:trPr>
          <w:trHeight w:val="459"/>
        </w:trPr>
        <w:tc>
          <w:tcPr>
            <w:tcW w:w="180" w:type="pct"/>
            <w:vAlign w:val="center"/>
          </w:tcPr>
          <w:p w14:paraId="268477C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132" w:type="pct"/>
            <w:vAlign w:val="center"/>
          </w:tcPr>
          <w:p w14:paraId="42F2E6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Renk değişimi otomasyonu</w:t>
            </w:r>
          </w:p>
        </w:tc>
        <w:tc>
          <w:tcPr>
            <w:tcW w:w="2362" w:type="pct"/>
            <w:vAlign w:val="center"/>
          </w:tcPr>
          <w:p w14:paraId="7B7070B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yakalama ile otomatik renk değişimi ve mürekkep/boya/kaplama hattı temizlenmesidir.</w:t>
            </w:r>
          </w:p>
        </w:tc>
        <w:tc>
          <w:tcPr>
            <w:tcW w:w="1326" w:type="pct"/>
            <w:vMerge/>
            <w:tcBorders>
              <w:top w:val="nil"/>
            </w:tcBorders>
            <w:vAlign w:val="center"/>
          </w:tcPr>
          <w:p w14:paraId="23A1F1B5"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59068245" w14:textId="77777777" w:rsidTr="00C32559">
        <w:trPr>
          <w:trHeight w:val="689"/>
        </w:trPr>
        <w:tc>
          <w:tcPr>
            <w:tcW w:w="180" w:type="pct"/>
            <w:vAlign w:val="center"/>
          </w:tcPr>
          <w:p w14:paraId="3B11FC2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132" w:type="pct"/>
            <w:vAlign w:val="center"/>
          </w:tcPr>
          <w:p w14:paraId="3C04074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Renk gruplaması</w:t>
            </w:r>
          </w:p>
        </w:tc>
        <w:tc>
          <w:tcPr>
            <w:tcW w:w="2362" w:type="pct"/>
            <w:vAlign w:val="center"/>
          </w:tcPr>
          <w:p w14:paraId="0197890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Aynı renkte büyük seriler elde etmek için ürün serisi değiştirilir.</w:t>
            </w:r>
          </w:p>
        </w:tc>
        <w:tc>
          <w:tcPr>
            <w:tcW w:w="1326" w:type="pct"/>
            <w:vMerge/>
            <w:tcBorders>
              <w:top w:val="nil"/>
            </w:tcBorders>
            <w:vAlign w:val="center"/>
          </w:tcPr>
          <w:p w14:paraId="2D70BCC4"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0EE2D40C" w14:textId="77777777" w:rsidTr="00C32559">
        <w:trPr>
          <w:trHeight w:val="460"/>
        </w:trPr>
        <w:tc>
          <w:tcPr>
            <w:tcW w:w="180" w:type="pct"/>
            <w:vAlign w:val="center"/>
          </w:tcPr>
          <w:p w14:paraId="69C078F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132" w:type="pct"/>
            <w:vAlign w:val="center"/>
          </w:tcPr>
          <w:p w14:paraId="17ED0F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Püskürtmede yumuşak tasfiye</w:t>
            </w:r>
          </w:p>
        </w:tc>
        <w:tc>
          <w:tcPr>
            <w:tcW w:w="2362" w:type="pct"/>
            <w:vAlign w:val="center"/>
          </w:tcPr>
          <w:p w14:paraId="7C81C37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 durulama yapılmadan püskürtme tabancası yeni boya ile doldurulur.</w:t>
            </w:r>
          </w:p>
        </w:tc>
        <w:tc>
          <w:tcPr>
            <w:tcW w:w="1326" w:type="pct"/>
            <w:vMerge/>
            <w:tcBorders>
              <w:top w:val="nil"/>
            </w:tcBorders>
            <w:vAlign w:val="center"/>
          </w:tcPr>
          <w:p w14:paraId="19348519" w14:textId="77777777" w:rsidR="003B155E" w:rsidRPr="000A5D99" w:rsidRDefault="003B155E" w:rsidP="000D79D6">
            <w:pPr>
              <w:spacing w:after="0" w:line="240" w:lineRule="auto"/>
              <w:ind w:left="74" w:right="74"/>
              <w:rPr>
                <w:rFonts w:ascii="Times New Roman" w:eastAsia="Calibri" w:hAnsi="Times New Roman" w:cs="Times New Roman"/>
                <w:lang w:val="es-ES"/>
              </w:rPr>
            </w:pPr>
          </w:p>
        </w:tc>
      </w:tr>
    </w:tbl>
    <w:p w14:paraId="2EED7A2C" w14:textId="77777777" w:rsidR="003B155E" w:rsidRPr="000A5D99" w:rsidRDefault="003B155E" w:rsidP="003B155E">
      <w:pPr>
        <w:keepNext/>
        <w:keepLines/>
        <w:spacing w:before="240" w:after="120" w:line="360" w:lineRule="auto"/>
        <w:jc w:val="both"/>
        <w:outlineLvl w:val="1"/>
        <w:rPr>
          <w:rFonts w:ascii="Times New Roman" w:eastAsia="DengXian Light" w:hAnsi="Times New Roman" w:cs="Microsoft Uighur"/>
          <w:b/>
          <w:sz w:val="24"/>
          <w:szCs w:val="26"/>
          <w:lang w:val="en-US"/>
        </w:rPr>
      </w:pPr>
      <w:bookmarkStart w:id="76" w:name="_Toc137210480"/>
      <w:r w:rsidRPr="000A5D99">
        <w:rPr>
          <w:rFonts w:ascii="Times New Roman" w:eastAsia="DengXian Light" w:hAnsi="Times New Roman" w:cs="Microsoft Uighur"/>
          <w:b/>
          <w:sz w:val="24"/>
          <w:szCs w:val="26"/>
          <w:lang w:val="en-US"/>
        </w:rPr>
        <w:t>Kaplama uygulaması</w:t>
      </w:r>
      <w:bookmarkEnd w:id="76"/>
    </w:p>
    <w:p w14:paraId="6774AB18" w14:textId="77777777" w:rsidR="003B155E" w:rsidRPr="000A5D99" w:rsidRDefault="003B155E" w:rsidP="003B155E">
      <w:pPr>
        <w:spacing w:after="120" w:line="360" w:lineRule="auto"/>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7: </w:t>
      </w:r>
      <w:r w:rsidRPr="000A5D99">
        <w:rPr>
          <w:rFonts w:ascii="Times New Roman" w:eastAsia="Calibri" w:hAnsi="Times New Roman" w:cs="Times New Roman"/>
          <w:bCs/>
          <w:sz w:val="24"/>
          <w:szCs w:val="24"/>
          <w:lang w:val="en-US"/>
        </w:rPr>
        <w:t>Ham madde tüketimini ve kaplama uygulama süreçlerinin genel çevresel etkisini azaltmak için, aşağıda verilen tekniklerden biri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8"/>
        <w:gridCol w:w="1787"/>
        <w:gridCol w:w="4759"/>
        <w:gridCol w:w="2068"/>
      </w:tblGrid>
      <w:tr w:rsidR="003B155E" w:rsidRPr="000A5D99" w14:paraId="31FC8A32" w14:textId="77777777" w:rsidTr="000D79D6">
        <w:trPr>
          <w:trHeight w:val="230"/>
          <w:tblHeader/>
        </w:trPr>
        <w:tc>
          <w:tcPr>
            <w:tcW w:w="1233" w:type="pct"/>
            <w:gridSpan w:val="2"/>
            <w:vAlign w:val="center"/>
          </w:tcPr>
          <w:p w14:paraId="01D4B20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626" w:type="pct"/>
            <w:vAlign w:val="center"/>
          </w:tcPr>
          <w:p w14:paraId="57BD949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141" w:type="pct"/>
            <w:vAlign w:val="center"/>
          </w:tcPr>
          <w:p w14:paraId="1EFB83D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1BA5E151" w14:textId="77777777" w:rsidTr="000D79D6">
        <w:trPr>
          <w:trHeight w:val="230"/>
        </w:trPr>
        <w:tc>
          <w:tcPr>
            <w:tcW w:w="5000" w:type="pct"/>
            <w:gridSpan w:val="4"/>
            <w:vAlign w:val="center"/>
          </w:tcPr>
          <w:p w14:paraId="404E6C84"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rPr>
            </w:pPr>
            <w:r w:rsidRPr="000A5D99">
              <w:rPr>
                <w:rFonts w:ascii="Times New Roman" w:eastAsia="Times New Roman" w:hAnsi="Times New Roman" w:cs="Times New Roman"/>
                <w:b/>
              </w:rPr>
              <w:t>Püskürtmesiz uygulama teknikleri</w:t>
            </w:r>
          </w:p>
        </w:tc>
      </w:tr>
      <w:tr w:rsidR="003B155E" w:rsidRPr="000A5D99" w14:paraId="5A8BA68A" w14:textId="77777777" w:rsidTr="000D79D6">
        <w:trPr>
          <w:trHeight w:val="460"/>
        </w:trPr>
        <w:tc>
          <w:tcPr>
            <w:tcW w:w="247" w:type="pct"/>
            <w:vAlign w:val="center"/>
          </w:tcPr>
          <w:p w14:paraId="45C1A05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986" w:type="pct"/>
            <w:vAlign w:val="center"/>
          </w:tcPr>
          <w:p w14:paraId="3031011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Merdaneli kaplama</w:t>
            </w:r>
          </w:p>
        </w:tc>
        <w:tc>
          <w:tcPr>
            <w:tcW w:w="2626" w:type="pct"/>
            <w:vAlign w:val="center"/>
          </w:tcPr>
          <w:p w14:paraId="6304E21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Sıvı kaplamayı hareketli bir şerit üzerine aktarmak veya ölçmek için merdanelerin kullanıldığı uygulamadır.</w:t>
            </w:r>
          </w:p>
        </w:tc>
        <w:tc>
          <w:tcPr>
            <w:tcW w:w="1141" w:type="pct"/>
            <w:vAlign w:val="center"/>
          </w:tcPr>
          <w:p w14:paraId="4D6298C5" w14:textId="77777777" w:rsidR="003B155E" w:rsidRPr="000A5D99" w:rsidRDefault="003B155E" w:rsidP="000D79D6">
            <w:pPr>
              <w:widowControl w:val="0"/>
              <w:autoSpaceDE w:val="0"/>
              <w:autoSpaceDN w:val="0"/>
              <w:spacing w:after="0" w:line="240" w:lineRule="auto"/>
              <w:ind w:left="74" w:right="74" w:hanging="39"/>
              <w:rPr>
                <w:rFonts w:ascii="Times New Roman" w:eastAsia="Times New Roman" w:hAnsi="Times New Roman" w:cs="Times New Roman"/>
              </w:rPr>
            </w:pPr>
            <w:r w:rsidRPr="000A5D99">
              <w:rPr>
                <w:rFonts w:ascii="Times New Roman" w:eastAsia="Times New Roman" w:hAnsi="Times New Roman" w:cs="Times New Roman"/>
              </w:rPr>
              <w:t>Yalnızca düz yüzeylere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252E0B35" w14:textId="77777777" w:rsidTr="000D79D6">
        <w:trPr>
          <w:trHeight w:val="689"/>
        </w:trPr>
        <w:tc>
          <w:tcPr>
            <w:tcW w:w="247" w:type="pct"/>
            <w:vAlign w:val="center"/>
          </w:tcPr>
          <w:p w14:paraId="3A80E85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986" w:type="pct"/>
            <w:vAlign w:val="center"/>
          </w:tcPr>
          <w:p w14:paraId="7E5DC3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Merdane üzerinde sıyırma bıçağı</w:t>
            </w:r>
          </w:p>
        </w:tc>
        <w:tc>
          <w:tcPr>
            <w:tcW w:w="2626" w:type="pct"/>
            <w:vAlign w:val="center"/>
          </w:tcPr>
          <w:p w14:paraId="6E1FB99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Kaplama, bıçak ve merdane arasındaki boşluktan alt tabakaya uygulanır. Kaplama ve alt tabaka geçerken, fazlalık kazınır.</w:t>
            </w:r>
          </w:p>
        </w:tc>
        <w:tc>
          <w:tcPr>
            <w:tcW w:w="1141" w:type="pct"/>
            <w:vAlign w:val="center"/>
          </w:tcPr>
          <w:p w14:paraId="521FB34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59B684D7" w14:textId="77777777" w:rsidTr="000D79D6">
        <w:trPr>
          <w:trHeight w:val="920"/>
        </w:trPr>
        <w:tc>
          <w:tcPr>
            <w:tcW w:w="247" w:type="pct"/>
            <w:vAlign w:val="center"/>
          </w:tcPr>
          <w:p w14:paraId="7270A44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986" w:type="pct"/>
            <w:vAlign w:val="center"/>
          </w:tcPr>
          <w:p w14:paraId="665A2DB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kaplamada durulamasız (yerinde kuru) uygulama</w:t>
            </w:r>
          </w:p>
        </w:tc>
        <w:tc>
          <w:tcPr>
            <w:tcW w:w="2626" w:type="pct"/>
            <w:vAlign w:val="center"/>
          </w:tcPr>
          <w:p w14:paraId="2C980F0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Bir merdaneli kaplayıcı (kimyasal kaplayıcı) veya silme silindirleri kullanılarak ilave bir su durulaması gerektirmeyen dönüşüm kaplamalarının uygulanması.</w:t>
            </w:r>
          </w:p>
        </w:tc>
        <w:tc>
          <w:tcPr>
            <w:tcW w:w="1141" w:type="pct"/>
            <w:vAlign w:val="center"/>
          </w:tcPr>
          <w:p w14:paraId="6084978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2EB0933D" w14:textId="77777777" w:rsidTr="000D79D6">
        <w:trPr>
          <w:trHeight w:val="460"/>
        </w:trPr>
        <w:tc>
          <w:tcPr>
            <w:tcW w:w="247" w:type="pct"/>
            <w:vAlign w:val="center"/>
          </w:tcPr>
          <w:p w14:paraId="4A1301A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986" w:type="pct"/>
            <w:vAlign w:val="center"/>
          </w:tcPr>
          <w:p w14:paraId="56340DF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Perde kaplama (döküm)</w:t>
            </w:r>
          </w:p>
        </w:tc>
        <w:tc>
          <w:tcPr>
            <w:tcW w:w="2626" w:type="pct"/>
            <w:vAlign w:val="center"/>
          </w:tcPr>
          <w:p w14:paraId="26084E1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 parçaları, bir kolektör tankından boşaltılan laminer bir kaplama filminden geçirilir.</w:t>
            </w:r>
          </w:p>
        </w:tc>
        <w:tc>
          <w:tcPr>
            <w:tcW w:w="1141" w:type="pct"/>
            <w:vAlign w:val="center"/>
          </w:tcPr>
          <w:p w14:paraId="27A98DC5" w14:textId="77777777" w:rsidR="003B155E" w:rsidRPr="000A5D99" w:rsidRDefault="003B155E" w:rsidP="000D79D6">
            <w:pPr>
              <w:widowControl w:val="0"/>
              <w:autoSpaceDE w:val="0"/>
              <w:autoSpaceDN w:val="0"/>
              <w:spacing w:after="0" w:line="240" w:lineRule="auto"/>
              <w:ind w:left="74" w:right="74" w:hanging="39"/>
              <w:rPr>
                <w:rFonts w:ascii="Times New Roman" w:eastAsia="Times New Roman" w:hAnsi="Times New Roman" w:cs="Times New Roman"/>
              </w:rPr>
            </w:pPr>
            <w:r w:rsidRPr="000A5D99">
              <w:rPr>
                <w:rFonts w:ascii="Times New Roman" w:eastAsia="Times New Roman" w:hAnsi="Times New Roman" w:cs="Times New Roman"/>
              </w:rPr>
              <w:t>Yalnızca düz yüzeylere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41E564BE" w14:textId="77777777" w:rsidTr="000D79D6">
        <w:trPr>
          <w:trHeight w:val="689"/>
        </w:trPr>
        <w:tc>
          <w:tcPr>
            <w:tcW w:w="247" w:type="pct"/>
            <w:vAlign w:val="center"/>
          </w:tcPr>
          <w:p w14:paraId="470D486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986" w:type="pct"/>
            <w:vAlign w:val="center"/>
          </w:tcPr>
          <w:p w14:paraId="639E741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Elektro kaplama (e-kaplama)</w:t>
            </w:r>
          </w:p>
        </w:tc>
        <w:tc>
          <w:tcPr>
            <w:tcW w:w="2626" w:type="pct"/>
            <w:vAlign w:val="center"/>
          </w:tcPr>
          <w:p w14:paraId="50D7D7A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bazlı bir çözelti içinde dağılan boya parçacıkları, bir elektrik alanının etkisi altında (elektroforetik biriktirme) batırılmış alt tabakalar üzerinde biriktirilir.</w:t>
            </w:r>
          </w:p>
        </w:tc>
        <w:tc>
          <w:tcPr>
            <w:tcW w:w="1141" w:type="pct"/>
            <w:vAlign w:val="center"/>
          </w:tcPr>
          <w:p w14:paraId="037887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metal yüzeylere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68A58811" w14:textId="77777777" w:rsidTr="000D79D6">
        <w:trPr>
          <w:trHeight w:val="425"/>
        </w:trPr>
        <w:tc>
          <w:tcPr>
            <w:tcW w:w="247" w:type="pct"/>
            <w:vAlign w:val="center"/>
          </w:tcPr>
          <w:p w14:paraId="18569F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986" w:type="pct"/>
            <w:vAlign w:val="center"/>
          </w:tcPr>
          <w:p w14:paraId="4E3B2A3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Taşırma</w:t>
            </w:r>
          </w:p>
        </w:tc>
        <w:tc>
          <w:tcPr>
            <w:tcW w:w="2626" w:type="pct"/>
            <w:vAlign w:val="center"/>
          </w:tcPr>
          <w:p w14:paraId="4ED06DC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 parçaları, konveyör sistemleri aracılığıyla kapalı bir kanala taşınır ve daha sonra enjeksiyon boruları aracılığıyla kaplama malzemesi ile doldurulur. Fazla malzeme toplanır ve yeniden kullanılır.</w:t>
            </w:r>
          </w:p>
        </w:tc>
        <w:tc>
          <w:tcPr>
            <w:tcW w:w="1141" w:type="pct"/>
            <w:vAlign w:val="center"/>
          </w:tcPr>
          <w:p w14:paraId="2D1062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3B2F256C" w14:textId="77777777" w:rsidTr="000D79D6">
        <w:trPr>
          <w:trHeight w:val="1478"/>
        </w:trPr>
        <w:tc>
          <w:tcPr>
            <w:tcW w:w="247" w:type="pct"/>
            <w:vAlign w:val="center"/>
          </w:tcPr>
          <w:p w14:paraId="3161E77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w:t>
            </w:r>
          </w:p>
        </w:tc>
        <w:tc>
          <w:tcPr>
            <w:tcW w:w="986" w:type="pct"/>
            <w:vAlign w:val="center"/>
          </w:tcPr>
          <w:p w14:paraId="13FA952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Ko-ekstrüzyon</w:t>
            </w:r>
          </w:p>
        </w:tc>
        <w:tc>
          <w:tcPr>
            <w:tcW w:w="2626" w:type="pct"/>
            <w:vAlign w:val="center"/>
          </w:tcPr>
          <w:p w14:paraId="0F38E4D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Basılan alt tabaka, ılık, sıvılaştırılmış bir plastik film ile birleştirilir ve ardından soğutulur. Bu film, gerekli ek kaplama tabakasının yerini alır. Yapıştırıcı görevi gören iki farklı farklı taşıyıcı katmanı arasında kullanılabilir.</w:t>
            </w:r>
          </w:p>
        </w:tc>
        <w:tc>
          <w:tcPr>
            <w:tcW w:w="1141" w:type="pct"/>
            <w:vAlign w:val="center"/>
          </w:tcPr>
          <w:p w14:paraId="14AFE69F" w14:textId="77777777" w:rsidR="003B155E" w:rsidRPr="000A5D99" w:rsidRDefault="003B155E" w:rsidP="000D79D6">
            <w:pPr>
              <w:widowControl w:val="0"/>
              <w:tabs>
                <w:tab w:val="left" w:pos="1578"/>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bağ kuvveti veya sterilizasyon sıcaklığına direnç gerektiğinde uygulanmaz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25669B27" w14:textId="77777777" w:rsidTr="000D79D6">
        <w:trPr>
          <w:trHeight w:val="230"/>
        </w:trPr>
        <w:tc>
          <w:tcPr>
            <w:tcW w:w="5000" w:type="pct"/>
            <w:gridSpan w:val="4"/>
            <w:vAlign w:val="center"/>
          </w:tcPr>
          <w:p w14:paraId="1ABB7AE6"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rPr>
            </w:pPr>
            <w:r w:rsidRPr="000A5D99">
              <w:rPr>
                <w:rFonts w:ascii="Times New Roman" w:eastAsia="Times New Roman" w:hAnsi="Times New Roman" w:cs="Times New Roman"/>
                <w:b/>
              </w:rPr>
              <w:t>Püskürtme atomizasyon teknikleri</w:t>
            </w:r>
          </w:p>
        </w:tc>
      </w:tr>
      <w:tr w:rsidR="003B155E" w:rsidRPr="000A5D99" w14:paraId="635DEF8F" w14:textId="77777777" w:rsidTr="000D79D6">
        <w:trPr>
          <w:trHeight w:val="459"/>
        </w:trPr>
        <w:tc>
          <w:tcPr>
            <w:tcW w:w="247" w:type="pct"/>
            <w:vAlign w:val="center"/>
          </w:tcPr>
          <w:p w14:paraId="6C5AF99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w:t>
            </w:r>
          </w:p>
        </w:tc>
        <w:tc>
          <w:tcPr>
            <w:tcW w:w="986" w:type="pct"/>
            <w:vAlign w:val="center"/>
          </w:tcPr>
          <w:p w14:paraId="7925E83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Hava takviyeli havasız </w:t>
            </w:r>
            <w:r w:rsidRPr="000A5D99">
              <w:rPr>
                <w:rFonts w:ascii="Times New Roman" w:eastAsia="Times New Roman" w:hAnsi="Times New Roman" w:cs="Times New Roman"/>
              </w:rPr>
              <w:lastRenderedPageBreak/>
              <w:t>püskürtme</w:t>
            </w:r>
          </w:p>
        </w:tc>
        <w:tc>
          <w:tcPr>
            <w:tcW w:w="2626" w:type="pct"/>
            <w:vAlign w:val="center"/>
          </w:tcPr>
          <w:p w14:paraId="3E49DE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 xml:space="preserve">Havasız püskürtme tabancasının püskürtme konisini değiştirmek için hava akımı (şekillendirme havası) </w:t>
            </w:r>
            <w:r w:rsidRPr="000A5D99">
              <w:rPr>
                <w:rFonts w:ascii="Times New Roman" w:eastAsia="Times New Roman" w:hAnsi="Times New Roman" w:cs="Times New Roman"/>
              </w:rPr>
              <w:lastRenderedPageBreak/>
              <w:t>kullanılır.</w:t>
            </w:r>
          </w:p>
        </w:tc>
        <w:tc>
          <w:tcPr>
            <w:tcW w:w="1141" w:type="pct"/>
            <w:vAlign w:val="center"/>
          </w:tcPr>
          <w:p w14:paraId="32E3AC8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45E15CD0" w14:textId="77777777" w:rsidTr="000D79D6">
        <w:trPr>
          <w:trHeight w:val="821"/>
        </w:trPr>
        <w:tc>
          <w:tcPr>
            <w:tcW w:w="247" w:type="pct"/>
            <w:vAlign w:val="center"/>
          </w:tcPr>
          <w:p w14:paraId="25BC363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w:t>
            </w:r>
          </w:p>
        </w:tc>
        <w:tc>
          <w:tcPr>
            <w:tcW w:w="986" w:type="pct"/>
            <w:vAlign w:val="center"/>
          </w:tcPr>
          <w:p w14:paraId="407899B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İnert gazlarla pnömatik atomizasyon</w:t>
            </w:r>
          </w:p>
        </w:tc>
        <w:tc>
          <w:tcPr>
            <w:tcW w:w="2626" w:type="pct"/>
            <w:vAlign w:val="center"/>
          </w:tcPr>
          <w:p w14:paraId="6DAE1B7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Basınçlı inert gazlarla (ör. azot, karbon dioksit) pnömatik boya uygulanır.</w:t>
            </w:r>
          </w:p>
        </w:tc>
        <w:tc>
          <w:tcPr>
            <w:tcW w:w="1141" w:type="pct"/>
            <w:vAlign w:val="center"/>
          </w:tcPr>
          <w:p w14:paraId="4B603BC2" w14:textId="77777777" w:rsidR="003B155E" w:rsidRPr="000A5D99" w:rsidRDefault="003B155E" w:rsidP="000D79D6">
            <w:pPr>
              <w:widowControl w:val="0"/>
              <w:tabs>
                <w:tab w:val="left" w:pos="880"/>
                <w:tab w:val="left" w:pos="1543"/>
              </w:tabs>
              <w:autoSpaceDE w:val="0"/>
              <w:autoSpaceDN w:val="0"/>
              <w:spacing w:after="0" w:line="240" w:lineRule="auto"/>
              <w:ind w:left="74" w:right="74"/>
              <w:rPr>
                <w:rFonts w:ascii="Times New Roman" w:eastAsia="Times New Roman" w:hAnsi="Times New Roman" w:cs="Times New Roman"/>
              </w:rPr>
            </w:pPr>
            <w:r w:rsidRPr="002C4E63">
              <w:rPr>
                <w:rFonts w:ascii="Times New Roman" w:eastAsia="Times New Roman" w:hAnsi="Times New Roman" w:cs="Times New Roman"/>
              </w:rPr>
              <w:t>Ahşap</w:t>
            </w:r>
            <w:r w:rsidRPr="000A5D99">
              <w:rPr>
                <w:rFonts w:ascii="Times New Roman" w:eastAsia="Times New Roman" w:hAnsi="Times New Roman" w:cs="Times New Roman"/>
              </w:rPr>
              <w:t xml:space="preserve"> yüzeylerin kaplanmasında uygulanamayabilir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465E9F03" w14:textId="77777777" w:rsidTr="000D79D6">
        <w:trPr>
          <w:trHeight w:val="919"/>
        </w:trPr>
        <w:tc>
          <w:tcPr>
            <w:tcW w:w="247" w:type="pct"/>
            <w:vAlign w:val="center"/>
          </w:tcPr>
          <w:p w14:paraId="71B2818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j</w:t>
            </w:r>
          </w:p>
        </w:tc>
        <w:tc>
          <w:tcPr>
            <w:tcW w:w="986" w:type="pct"/>
            <w:vAlign w:val="center"/>
          </w:tcPr>
          <w:p w14:paraId="681F524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hacimli düşük basınçlı (HVLP) atomizasyon</w:t>
            </w:r>
          </w:p>
        </w:tc>
        <w:tc>
          <w:tcPr>
            <w:tcW w:w="2626" w:type="pct"/>
            <w:vAlign w:val="center"/>
          </w:tcPr>
          <w:p w14:paraId="14A4905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Boyayı yüksek hacimde hava ile düşük basınçta (azami 1,7 bar) karıştırarak püskürtme memesinde boya atomizasyonudur. HVLP tabancaları, %50'den yüksek boya aktarım verimliliğine sahiptir.</w:t>
            </w:r>
          </w:p>
        </w:tc>
        <w:tc>
          <w:tcPr>
            <w:tcW w:w="1141" w:type="pct"/>
            <w:vMerge w:val="restart"/>
            <w:vAlign w:val="center"/>
          </w:tcPr>
          <w:p w14:paraId="0841261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69EA431A" w14:textId="77777777" w:rsidTr="000D79D6">
        <w:trPr>
          <w:trHeight w:val="688"/>
        </w:trPr>
        <w:tc>
          <w:tcPr>
            <w:tcW w:w="247" w:type="pct"/>
            <w:vAlign w:val="center"/>
          </w:tcPr>
          <w:p w14:paraId="3707167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w:t>
            </w:r>
          </w:p>
        </w:tc>
        <w:tc>
          <w:tcPr>
            <w:tcW w:w="986" w:type="pct"/>
            <w:vAlign w:val="center"/>
          </w:tcPr>
          <w:p w14:paraId="25F503E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Elektrostatik atomizasyon (tam otomatik)</w:t>
            </w:r>
          </w:p>
        </w:tc>
        <w:tc>
          <w:tcPr>
            <w:tcW w:w="2626" w:type="pct"/>
            <w:vAlign w:val="center"/>
          </w:tcPr>
          <w:p w14:paraId="43A2C13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hızlı döner diskler ve çan tipi nozullar ile atomizasyonun sağlanması ve püskürtme jetinin elektrostatik alanlar ile şekillendirme havası kullanılarak yönlendirilmesidir.</w:t>
            </w:r>
          </w:p>
        </w:tc>
        <w:tc>
          <w:tcPr>
            <w:tcW w:w="1141" w:type="pct"/>
            <w:vMerge/>
            <w:tcBorders>
              <w:top w:val="nil"/>
            </w:tcBorders>
            <w:vAlign w:val="center"/>
          </w:tcPr>
          <w:p w14:paraId="55DBBCE3"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0D72E940" w14:textId="77777777" w:rsidTr="000D79D6">
        <w:trPr>
          <w:trHeight w:val="1149"/>
        </w:trPr>
        <w:tc>
          <w:tcPr>
            <w:tcW w:w="247" w:type="pct"/>
            <w:vAlign w:val="center"/>
          </w:tcPr>
          <w:p w14:paraId="5B1D393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l</w:t>
            </w:r>
          </w:p>
        </w:tc>
        <w:tc>
          <w:tcPr>
            <w:tcW w:w="986" w:type="pct"/>
            <w:vAlign w:val="center"/>
          </w:tcPr>
          <w:p w14:paraId="0B2843E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Elektrostatik destekli havalı veya havasız püskürtme</w:t>
            </w:r>
          </w:p>
        </w:tc>
        <w:tc>
          <w:tcPr>
            <w:tcW w:w="2626" w:type="pct"/>
            <w:vAlign w:val="center"/>
          </w:tcPr>
          <w:p w14:paraId="22C2B23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Elektrostatik bir alanla pnömatik veya havasız atomizasyonun püskürtme jeti şekillendirilir. Elektrostatik boya tabancaları %60’dan yüksek aktarım verimine sahiptir. Sabit elektrostatik yöntemler, %75'e kadar aktarım verimliliğine sahiptir.</w:t>
            </w:r>
          </w:p>
        </w:tc>
        <w:tc>
          <w:tcPr>
            <w:tcW w:w="1141" w:type="pct"/>
            <w:vMerge/>
            <w:tcBorders>
              <w:top w:val="nil"/>
            </w:tcBorders>
            <w:vAlign w:val="center"/>
          </w:tcPr>
          <w:p w14:paraId="223CB184"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2390839B" w14:textId="77777777" w:rsidTr="000D79D6">
        <w:trPr>
          <w:trHeight w:val="733"/>
        </w:trPr>
        <w:tc>
          <w:tcPr>
            <w:tcW w:w="247" w:type="pct"/>
            <w:vAlign w:val="center"/>
          </w:tcPr>
          <w:p w14:paraId="0C6AFCF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w:t>
            </w:r>
          </w:p>
        </w:tc>
        <w:tc>
          <w:tcPr>
            <w:tcW w:w="986" w:type="pct"/>
            <w:vAlign w:val="center"/>
          </w:tcPr>
          <w:p w14:paraId="7F784D5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Sıcak püskürtme</w:t>
            </w:r>
          </w:p>
        </w:tc>
        <w:tc>
          <w:tcPr>
            <w:tcW w:w="2626" w:type="pct"/>
            <w:vAlign w:val="center"/>
          </w:tcPr>
          <w:p w14:paraId="453C4E8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Sıcak hava veya ısıtılmış boya ile pnömatik atomizasyondur.</w:t>
            </w:r>
          </w:p>
        </w:tc>
        <w:tc>
          <w:tcPr>
            <w:tcW w:w="1141" w:type="pct"/>
            <w:vAlign w:val="center"/>
          </w:tcPr>
          <w:p w14:paraId="359EAE46" w14:textId="77777777" w:rsidR="003B155E" w:rsidRPr="000A5D99" w:rsidRDefault="003B155E" w:rsidP="000D79D6">
            <w:pPr>
              <w:widowControl w:val="0"/>
              <w:tabs>
                <w:tab w:val="left" w:pos="880"/>
                <w:tab w:val="left" w:pos="1543"/>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Sık renk değişimlerinde geçerli olmayabilir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004BB31B" w14:textId="77777777" w:rsidTr="000D79D6">
        <w:trPr>
          <w:trHeight w:val="1056"/>
        </w:trPr>
        <w:tc>
          <w:tcPr>
            <w:tcW w:w="247" w:type="pct"/>
            <w:vAlign w:val="center"/>
          </w:tcPr>
          <w:p w14:paraId="7A1592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w:t>
            </w:r>
          </w:p>
        </w:tc>
        <w:tc>
          <w:tcPr>
            <w:tcW w:w="986" w:type="pct"/>
            <w:vAlign w:val="center"/>
          </w:tcPr>
          <w:p w14:paraId="289F0D2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kaplamada 'püskürtme, silme ve durulama' uygulaması</w:t>
            </w:r>
          </w:p>
        </w:tc>
        <w:tc>
          <w:tcPr>
            <w:tcW w:w="2626" w:type="pct"/>
            <w:vAlign w:val="center"/>
          </w:tcPr>
          <w:p w14:paraId="78C87BC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 temizleyicilerin uygulanması, ön işlemler ve durulama için kullanılır. Püskürtmeden sonra, solüsyonun sürüklenmesini en aza indirmek için silecekler kullanılır, ardından durulama yapılır.</w:t>
            </w:r>
          </w:p>
        </w:tc>
        <w:tc>
          <w:tcPr>
            <w:tcW w:w="1141" w:type="pct"/>
            <w:vAlign w:val="center"/>
          </w:tcPr>
          <w:p w14:paraId="3E41E06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198ABFC5" w14:textId="77777777" w:rsidTr="000D79D6">
        <w:trPr>
          <w:trHeight w:val="310"/>
        </w:trPr>
        <w:tc>
          <w:tcPr>
            <w:tcW w:w="5000" w:type="pct"/>
            <w:gridSpan w:val="4"/>
            <w:vAlign w:val="center"/>
          </w:tcPr>
          <w:p w14:paraId="7322CFC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b/>
              </w:rPr>
              <w:t>Püskürtme uygulamasının otomasyonu</w:t>
            </w:r>
          </w:p>
        </w:tc>
      </w:tr>
      <w:tr w:rsidR="003B155E" w:rsidRPr="000A5D99" w14:paraId="69CE6734" w14:textId="77777777" w:rsidTr="000D79D6">
        <w:trPr>
          <w:trHeight w:val="595"/>
        </w:trPr>
        <w:tc>
          <w:tcPr>
            <w:tcW w:w="247" w:type="pct"/>
            <w:vAlign w:val="center"/>
          </w:tcPr>
          <w:p w14:paraId="7AEBB7C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o</w:t>
            </w:r>
          </w:p>
        </w:tc>
        <w:tc>
          <w:tcPr>
            <w:tcW w:w="986" w:type="pct"/>
            <w:vAlign w:val="center"/>
          </w:tcPr>
          <w:p w14:paraId="3FF5B3D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Robot ile uygulama</w:t>
            </w:r>
          </w:p>
        </w:tc>
        <w:tc>
          <w:tcPr>
            <w:tcW w:w="2626" w:type="pct"/>
            <w:vAlign w:val="center"/>
          </w:tcPr>
          <w:p w14:paraId="50003C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Kaplamaların ve dolgu macunlarının iç ve dış yüzeylere robot ile uygulanmasıdır.</w:t>
            </w:r>
          </w:p>
        </w:tc>
        <w:tc>
          <w:tcPr>
            <w:tcW w:w="1141" w:type="pct"/>
            <w:vMerge w:val="restart"/>
            <w:vAlign w:val="center"/>
          </w:tcPr>
          <w:p w14:paraId="340CCAD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1B3695F4" w14:textId="77777777" w:rsidTr="000D79D6">
        <w:trPr>
          <w:trHeight w:val="850"/>
        </w:trPr>
        <w:tc>
          <w:tcPr>
            <w:tcW w:w="247" w:type="pct"/>
            <w:vAlign w:val="center"/>
          </w:tcPr>
          <w:p w14:paraId="2E5A329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p</w:t>
            </w:r>
          </w:p>
        </w:tc>
        <w:tc>
          <w:tcPr>
            <w:tcW w:w="986" w:type="pct"/>
            <w:vAlign w:val="center"/>
          </w:tcPr>
          <w:p w14:paraId="5552EE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Makine ile uygulama</w:t>
            </w:r>
          </w:p>
        </w:tc>
        <w:tc>
          <w:tcPr>
            <w:tcW w:w="2626" w:type="pct"/>
            <w:vAlign w:val="center"/>
          </w:tcPr>
          <w:p w14:paraId="69934CD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 kafasının/püskürtme tabancasının/ nozulun yönetimi için boya makinelerinin kullanılmasıdır.</w:t>
            </w:r>
          </w:p>
        </w:tc>
        <w:tc>
          <w:tcPr>
            <w:tcW w:w="1141" w:type="pct"/>
            <w:vMerge/>
            <w:vAlign w:val="center"/>
          </w:tcPr>
          <w:p w14:paraId="52F8508A" w14:textId="77777777" w:rsidR="003B155E" w:rsidRPr="000A5D99" w:rsidRDefault="003B155E" w:rsidP="000D79D6">
            <w:pPr>
              <w:widowControl w:val="0"/>
              <w:autoSpaceDE w:val="0"/>
              <w:autoSpaceDN w:val="0"/>
              <w:spacing w:after="0" w:line="240" w:lineRule="auto"/>
              <w:ind w:right="74"/>
              <w:rPr>
                <w:rFonts w:ascii="Times New Roman" w:eastAsia="Times New Roman" w:hAnsi="Times New Roman" w:cs="Times New Roman"/>
                <w:b/>
              </w:rPr>
            </w:pPr>
          </w:p>
        </w:tc>
      </w:tr>
      <w:tr w:rsidR="003B155E" w:rsidRPr="000A5D99" w14:paraId="203E8955" w14:textId="77777777" w:rsidTr="000D79D6">
        <w:trPr>
          <w:trHeight w:val="337"/>
        </w:trPr>
        <w:tc>
          <w:tcPr>
            <w:tcW w:w="5000" w:type="pct"/>
            <w:gridSpan w:val="4"/>
            <w:vAlign w:val="center"/>
          </w:tcPr>
          <w:p w14:paraId="182360A0"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i/>
                <w:iCs/>
                <w:sz w:val="20"/>
                <w:szCs w:val="20"/>
              </w:rPr>
            </w:pPr>
            <w:r w:rsidRPr="000A5D99">
              <w:rPr>
                <w:rFonts w:ascii="Times New Roman" w:eastAsia="Times New Roman" w:hAnsi="Times New Roman" w:cs="Times New Roman"/>
                <w:i/>
                <w:iCs/>
                <w:sz w:val="20"/>
                <w:szCs w:val="20"/>
              </w:rPr>
              <w:t>(</w:t>
            </w:r>
            <w:r w:rsidRPr="000A5D99">
              <w:rPr>
                <w:rFonts w:ascii="Times New Roman" w:eastAsia="Times New Roman" w:hAnsi="Times New Roman" w:cs="Times New Roman"/>
                <w:i/>
                <w:iCs/>
                <w:sz w:val="20"/>
                <w:szCs w:val="20"/>
                <w:vertAlign w:val="superscript"/>
              </w:rPr>
              <w:t>1</w:t>
            </w:r>
            <w:r w:rsidRPr="000A5D99">
              <w:rPr>
                <w:rFonts w:ascii="Times New Roman" w:eastAsia="Times New Roman" w:hAnsi="Times New Roman" w:cs="Times New Roman"/>
                <w:i/>
                <w:iCs/>
                <w:sz w:val="20"/>
                <w:szCs w:val="20"/>
              </w:rPr>
              <w:t>) Uygulama tekniklerinin seçimi, düşük üretim kapasitesine ve/veya yüksek ürün çeşitliliğine sahip tesislerde sınırlı olabilir. Ayrıca, alt tabakanın türü ve şekli, ürün kalite gereksinimleri ve kullanılan malzemelerin, kaplama uygulama tekniklerinin, kurutma/pişirme yöntemlerinin ve atık gaz arıtma sistemlerinin birbiriyle uyumlu olma gerekliliği de seçim üzerinde kısıtlayıcı bir etkiye sahip olabilir.</w:t>
            </w:r>
          </w:p>
        </w:tc>
      </w:tr>
    </w:tbl>
    <w:p w14:paraId="1A2745FE" w14:textId="77777777" w:rsidR="003B155E" w:rsidRPr="000A5D99" w:rsidRDefault="003B155E" w:rsidP="003B155E">
      <w:pPr>
        <w:keepNext/>
        <w:keepLines/>
        <w:spacing w:after="120" w:line="360" w:lineRule="auto"/>
        <w:jc w:val="both"/>
        <w:outlineLvl w:val="1"/>
        <w:rPr>
          <w:rFonts w:ascii="Times New Roman" w:eastAsia="DengXian Light" w:hAnsi="Times New Roman" w:cs="Microsoft Uighur"/>
          <w:b/>
          <w:sz w:val="24"/>
          <w:szCs w:val="26"/>
          <w:lang w:val="en-US"/>
        </w:rPr>
      </w:pPr>
      <w:bookmarkStart w:id="77" w:name="_Toc137210481"/>
      <w:r w:rsidRPr="000A5D99">
        <w:rPr>
          <w:rFonts w:ascii="Times New Roman" w:eastAsia="DengXian Light" w:hAnsi="Times New Roman" w:cs="Microsoft Uighur"/>
          <w:b/>
          <w:sz w:val="24"/>
          <w:szCs w:val="26"/>
          <w:lang w:val="en-US"/>
        </w:rPr>
        <w:t>Kurutma/Kürleme</w:t>
      </w:r>
      <w:bookmarkEnd w:id="77"/>
    </w:p>
    <w:p w14:paraId="6FB4D904" w14:textId="77777777" w:rsidR="003B155E" w:rsidRPr="000A5D99" w:rsidRDefault="003B155E" w:rsidP="003B155E">
      <w:pPr>
        <w:spacing w:after="120" w:line="360" w:lineRule="auto"/>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8: </w:t>
      </w:r>
      <w:r w:rsidRPr="000A5D99">
        <w:rPr>
          <w:rFonts w:ascii="Times New Roman" w:eastAsia="Calibri" w:hAnsi="Times New Roman" w:cs="Times New Roman"/>
          <w:bCs/>
          <w:sz w:val="24"/>
          <w:szCs w:val="24"/>
          <w:lang w:val="en-US"/>
        </w:rPr>
        <w:t>Enerji tüketimini ve kurutma/kürleme işlemlerinden kaynaklanan genel çevresel etkiyi azaltmak için, aşağıda verilen tekniklerden biri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8"/>
        <w:gridCol w:w="2282"/>
        <w:gridCol w:w="3969"/>
        <w:gridCol w:w="2403"/>
      </w:tblGrid>
      <w:tr w:rsidR="003B155E" w:rsidRPr="000A5D99" w14:paraId="109320A1" w14:textId="77777777" w:rsidTr="000D79D6">
        <w:trPr>
          <w:trHeight w:val="230"/>
          <w:tblHeader/>
        </w:trPr>
        <w:tc>
          <w:tcPr>
            <w:tcW w:w="225" w:type="pct"/>
            <w:tcBorders>
              <w:right w:val="single" w:sz="4" w:space="0" w:color="auto"/>
            </w:tcBorders>
          </w:tcPr>
          <w:p w14:paraId="07F6740E"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259" w:type="pct"/>
            <w:tcBorders>
              <w:left w:val="single" w:sz="4" w:space="0" w:color="auto"/>
            </w:tcBorders>
          </w:tcPr>
          <w:p w14:paraId="14CEEB78"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190" w:type="pct"/>
          </w:tcPr>
          <w:p w14:paraId="612C1EC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326" w:type="pct"/>
          </w:tcPr>
          <w:p w14:paraId="74A59D5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151C3864" w14:textId="77777777" w:rsidTr="000D79D6">
        <w:trPr>
          <w:trHeight w:val="920"/>
        </w:trPr>
        <w:tc>
          <w:tcPr>
            <w:tcW w:w="225" w:type="pct"/>
            <w:vAlign w:val="center"/>
          </w:tcPr>
          <w:p w14:paraId="77576F2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59" w:type="pct"/>
            <w:vAlign w:val="center"/>
          </w:tcPr>
          <w:p w14:paraId="7050A4A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İnert gaz konveksiyonlu kurutma/kürleme</w:t>
            </w:r>
          </w:p>
        </w:tc>
        <w:tc>
          <w:tcPr>
            <w:tcW w:w="2190" w:type="pct"/>
            <w:vAlign w:val="center"/>
          </w:tcPr>
          <w:p w14:paraId="60CA7BF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İnert gaz (azot) fırında ısıtılarak solventin asgari infilak limitinin (LEL) üzerinde yüklenmesi sağlanır. 1200 g/m</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’ten yüksek azot solvent yükleri mümkündür.</w:t>
            </w:r>
          </w:p>
        </w:tc>
        <w:tc>
          <w:tcPr>
            <w:tcW w:w="1326" w:type="pct"/>
            <w:vAlign w:val="center"/>
          </w:tcPr>
          <w:p w14:paraId="53022A4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Kurutucuların düzenli olarak açılması gerektiğinde uygulanmaz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6ECA9801" w14:textId="77777777" w:rsidTr="000D79D6">
        <w:trPr>
          <w:trHeight w:val="920"/>
        </w:trPr>
        <w:tc>
          <w:tcPr>
            <w:tcW w:w="225" w:type="pct"/>
            <w:vAlign w:val="center"/>
          </w:tcPr>
          <w:p w14:paraId="76AC04F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259" w:type="pct"/>
            <w:vAlign w:val="center"/>
          </w:tcPr>
          <w:p w14:paraId="4047006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İndüksiyonla kurutma/kürleme</w:t>
            </w:r>
          </w:p>
        </w:tc>
        <w:tc>
          <w:tcPr>
            <w:tcW w:w="2190" w:type="pct"/>
            <w:vAlign w:val="center"/>
          </w:tcPr>
          <w:p w14:paraId="7EE80BC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Salınımlı bir manyetik alan ile metalik iş parçasının içinde ısı üreten elektromanyetik indüktörler tarafından online termal kürleme veya kurutma </w:t>
            </w:r>
            <w:r w:rsidRPr="000A5D99">
              <w:rPr>
                <w:rFonts w:ascii="Times New Roman" w:eastAsia="Times New Roman" w:hAnsi="Times New Roman" w:cs="Times New Roman"/>
              </w:rPr>
              <w:lastRenderedPageBreak/>
              <w:t>yapılır.</w:t>
            </w:r>
          </w:p>
        </w:tc>
        <w:tc>
          <w:tcPr>
            <w:tcW w:w="1326" w:type="pct"/>
            <w:vAlign w:val="center"/>
          </w:tcPr>
          <w:p w14:paraId="27186AE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Yalnızca metal yüzeylere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0625AA75" w14:textId="77777777" w:rsidTr="000D79D6">
        <w:trPr>
          <w:trHeight w:val="920"/>
        </w:trPr>
        <w:tc>
          <w:tcPr>
            <w:tcW w:w="225" w:type="pct"/>
            <w:vAlign w:val="center"/>
          </w:tcPr>
          <w:p w14:paraId="6D36480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259" w:type="pct"/>
            <w:vAlign w:val="center"/>
          </w:tcPr>
          <w:p w14:paraId="5675796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Mikrodalga ve yüksek frekanslı kurutma</w:t>
            </w:r>
          </w:p>
        </w:tc>
        <w:tc>
          <w:tcPr>
            <w:tcW w:w="2190" w:type="pct"/>
            <w:vAlign w:val="center"/>
          </w:tcPr>
          <w:p w14:paraId="73C0187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Mikrodalga veya yüksek frekanslı radyasyon kullanarak kurutmadır.</w:t>
            </w:r>
          </w:p>
        </w:tc>
        <w:tc>
          <w:tcPr>
            <w:tcW w:w="1326" w:type="pct"/>
            <w:vAlign w:val="center"/>
          </w:tcPr>
          <w:p w14:paraId="2B76C3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su bazlı kaplamalar, mürekkepler ve metalik olmayan yüzeyler için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613B7678" w14:textId="77777777" w:rsidTr="000D79D6">
        <w:trPr>
          <w:trHeight w:val="1149"/>
        </w:trPr>
        <w:tc>
          <w:tcPr>
            <w:tcW w:w="225" w:type="pct"/>
            <w:vAlign w:val="center"/>
          </w:tcPr>
          <w:p w14:paraId="6E09111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259" w:type="pct"/>
            <w:vAlign w:val="center"/>
          </w:tcPr>
          <w:p w14:paraId="6CE156E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Radyasyonla kürleme</w:t>
            </w:r>
          </w:p>
        </w:tc>
        <w:tc>
          <w:tcPr>
            <w:tcW w:w="2190" w:type="pct"/>
            <w:vAlign w:val="center"/>
          </w:tcPr>
          <w:p w14:paraId="1BCEC02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Radyasyonla kürleme; radyasyona (kızılötesi (IR), ultraviyole (UV)) veya yüksek enerjili elektron ışınlarına (EB) maruz kaldığında reaksiyona giren reçinelere ve reaktif seyrelticilere (monomerler) uygulanır.</w:t>
            </w:r>
          </w:p>
        </w:tc>
        <w:tc>
          <w:tcPr>
            <w:tcW w:w="1326" w:type="pct"/>
            <w:vAlign w:val="center"/>
          </w:tcPr>
          <w:p w14:paraId="65AE0D2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belirli kaplamalar ve mürekkepler için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066D7A8C" w14:textId="77777777" w:rsidTr="000D79D6">
        <w:trPr>
          <w:trHeight w:val="689"/>
        </w:trPr>
        <w:tc>
          <w:tcPr>
            <w:tcW w:w="225" w:type="pct"/>
            <w:vAlign w:val="center"/>
          </w:tcPr>
          <w:p w14:paraId="413CC99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259" w:type="pct"/>
            <w:vAlign w:val="center"/>
          </w:tcPr>
          <w:p w14:paraId="540F54B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Kombine konveksiyon / IR radyasyonla kurutma</w:t>
            </w:r>
          </w:p>
        </w:tc>
        <w:tc>
          <w:tcPr>
            <w:tcW w:w="2190" w:type="pct"/>
            <w:vAlign w:val="center"/>
          </w:tcPr>
          <w:p w14:paraId="6B31D1A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Dolaşan sıcak hava (konveksiyon) ve kızılötesi radyatör kombinasyonu ile ıslak bir yüzeyin kurutulmasıdır.</w:t>
            </w:r>
          </w:p>
        </w:tc>
        <w:tc>
          <w:tcPr>
            <w:tcW w:w="1326" w:type="pct"/>
            <w:vAlign w:val="center"/>
          </w:tcPr>
          <w:p w14:paraId="714530C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10161DF8" w14:textId="77777777" w:rsidTr="000D79D6">
        <w:trPr>
          <w:trHeight w:val="919"/>
        </w:trPr>
        <w:tc>
          <w:tcPr>
            <w:tcW w:w="225" w:type="pct"/>
            <w:vAlign w:val="center"/>
          </w:tcPr>
          <w:p w14:paraId="3102F3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259" w:type="pct"/>
            <w:vAlign w:val="center"/>
          </w:tcPr>
          <w:p w14:paraId="5936CBA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Isı geri kazanımı ile birlikte konveksiyonla kurutma/kürleme</w:t>
            </w:r>
          </w:p>
        </w:tc>
        <w:tc>
          <w:tcPr>
            <w:tcW w:w="2190" w:type="pct"/>
            <w:vAlign w:val="center"/>
          </w:tcPr>
          <w:p w14:paraId="263081A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Çıkış gazlarından gelen ısı geri kazanılır (bkz. </w:t>
            </w:r>
            <w:r w:rsidRPr="000A5D99">
              <w:rPr>
                <w:rFonts w:ascii="Times New Roman" w:eastAsia="Times New Roman" w:hAnsi="Times New Roman" w:cs="Times New Roman"/>
                <w:b/>
                <w:bCs/>
              </w:rPr>
              <w:t>MET 19(e)</w:t>
            </w:r>
            <w:r w:rsidRPr="000A5D99">
              <w:rPr>
                <w:rFonts w:ascii="Times New Roman" w:eastAsia="Times New Roman" w:hAnsi="Times New Roman" w:cs="Times New Roman"/>
              </w:rPr>
              <w:t>) ve konveksiyonlu kurutucu/kürleme fırınına giren havayı önceden ısıtmak için kullanılır.</w:t>
            </w:r>
          </w:p>
        </w:tc>
        <w:tc>
          <w:tcPr>
            <w:tcW w:w="1326" w:type="pct"/>
            <w:vAlign w:val="center"/>
          </w:tcPr>
          <w:p w14:paraId="2DEA499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7BCDD575" w14:textId="77777777" w:rsidTr="000D79D6">
        <w:trPr>
          <w:trHeight w:val="620"/>
        </w:trPr>
        <w:tc>
          <w:tcPr>
            <w:tcW w:w="5000" w:type="pct"/>
            <w:gridSpan w:val="4"/>
            <w:vAlign w:val="center"/>
          </w:tcPr>
          <w:p w14:paraId="3B886D17" w14:textId="77777777" w:rsidR="003B155E" w:rsidRPr="000A5D99" w:rsidRDefault="003B155E" w:rsidP="000D79D6">
            <w:pPr>
              <w:widowControl w:val="0"/>
              <w:autoSpaceDE w:val="0"/>
              <w:autoSpaceDN w:val="0"/>
              <w:spacing w:after="0" w:line="240" w:lineRule="auto"/>
              <w:ind w:left="314" w:right="74" w:hanging="240"/>
              <w:jc w:val="both"/>
              <w:rPr>
                <w:rFonts w:ascii="Times New Roman" w:eastAsia="Times New Roman" w:hAnsi="Times New Roman" w:cs="Times New Roman"/>
                <w:i/>
                <w:iCs/>
              </w:rPr>
            </w:pPr>
            <w:r w:rsidRPr="000A5D99">
              <w:rPr>
                <w:rFonts w:ascii="Times New Roman" w:eastAsia="Times New Roman" w:hAnsi="Times New Roman" w:cs="Times New Roman"/>
                <w:i/>
                <w:iCs/>
                <w:sz w:val="20"/>
                <w:szCs w:val="20"/>
              </w:rPr>
              <w:t>(</w:t>
            </w:r>
            <w:r w:rsidRPr="000A5D99">
              <w:rPr>
                <w:rFonts w:ascii="Times New Roman" w:eastAsia="Times New Roman" w:hAnsi="Times New Roman" w:cs="Times New Roman"/>
                <w:i/>
                <w:iCs/>
                <w:sz w:val="20"/>
                <w:szCs w:val="20"/>
                <w:vertAlign w:val="superscript"/>
              </w:rPr>
              <w:t>1</w:t>
            </w:r>
            <w:r w:rsidRPr="000A5D99">
              <w:rPr>
                <w:rFonts w:ascii="Times New Roman" w:eastAsia="Times New Roman" w:hAnsi="Times New Roman" w:cs="Times New Roman"/>
                <w:i/>
                <w:iCs/>
                <w:sz w:val="20"/>
                <w:szCs w:val="20"/>
              </w:rPr>
              <w:t>) Kurutma/kürleme tekniklerinin seçimi; alt tabaka tipi ve şekli, ürün kalite gerekliliklerinin yanı sıra kullanılan malzemelerin, kaplama uygulama tekniklerinin, kurutma/kürleme tekniklerinin ve atık gaz işleme sistemlerinin karşılıklı olarak uyumlu olmasını sağlama ihtiyacı ile sınırlandırılabilmektedir.</w:t>
            </w:r>
          </w:p>
        </w:tc>
      </w:tr>
    </w:tbl>
    <w:p w14:paraId="2282DBFF" w14:textId="77777777" w:rsidR="003B155E" w:rsidRPr="000A5D99" w:rsidRDefault="003B155E" w:rsidP="003B155E">
      <w:pPr>
        <w:keepNext/>
        <w:keepLines/>
        <w:spacing w:after="120" w:line="360" w:lineRule="auto"/>
        <w:jc w:val="both"/>
        <w:outlineLvl w:val="1"/>
        <w:rPr>
          <w:rFonts w:ascii="Times New Roman" w:eastAsia="DengXian Light" w:hAnsi="Times New Roman" w:cs="Microsoft Uighur"/>
          <w:b/>
          <w:sz w:val="24"/>
          <w:szCs w:val="26"/>
          <w:lang w:val="en-US"/>
        </w:rPr>
      </w:pPr>
      <w:bookmarkStart w:id="78" w:name="_Toc137210482"/>
      <w:r w:rsidRPr="000A5D99">
        <w:rPr>
          <w:rFonts w:ascii="Times New Roman" w:eastAsia="DengXian Light" w:hAnsi="Times New Roman" w:cs="Microsoft Uighur"/>
          <w:b/>
          <w:sz w:val="24"/>
          <w:szCs w:val="26"/>
          <w:lang w:val="en-US"/>
        </w:rPr>
        <w:t>Temiz</w:t>
      </w:r>
      <w:bookmarkEnd w:id="78"/>
      <w:r w:rsidRPr="000A5D99">
        <w:rPr>
          <w:rFonts w:ascii="Times New Roman" w:eastAsia="DengXian Light" w:hAnsi="Times New Roman" w:cs="Microsoft Uighur"/>
          <w:b/>
          <w:sz w:val="24"/>
          <w:szCs w:val="26"/>
          <w:lang w:val="en-US"/>
        </w:rPr>
        <w:t>leme</w:t>
      </w:r>
    </w:p>
    <w:p w14:paraId="113E8E18" w14:textId="77777777" w:rsidR="003B155E" w:rsidRPr="000A5D99" w:rsidRDefault="003B155E" w:rsidP="003B155E">
      <w:pPr>
        <w:spacing w:after="120" w:line="360" w:lineRule="auto"/>
        <w:jc w:val="both"/>
        <w:rPr>
          <w:rFonts w:ascii="Times New Roman" w:eastAsia="Calibri" w:hAnsi="Times New Roman" w:cs="Times New Roman"/>
          <w:b/>
          <w:sz w:val="24"/>
          <w:szCs w:val="24"/>
          <w:lang w:val="en-US"/>
        </w:rPr>
      </w:pPr>
      <w:r w:rsidRPr="000A5D99">
        <w:rPr>
          <w:rFonts w:ascii="Times New Roman" w:eastAsia="Calibri" w:hAnsi="Times New Roman" w:cs="Times New Roman"/>
          <w:b/>
          <w:sz w:val="24"/>
          <w:szCs w:val="24"/>
          <w:lang w:val="en-US"/>
        </w:rPr>
        <w:t xml:space="preserve">MET 9: </w:t>
      </w:r>
      <w:r w:rsidRPr="000A5D99">
        <w:rPr>
          <w:rFonts w:ascii="Times New Roman" w:eastAsia="Calibri" w:hAnsi="Times New Roman" w:cs="Times New Roman"/>
          <w:bCs/>
          <w:sz w:val="24"/>
          <w:szCs w:val="24"/>
          <w:lang w:val="en-US"/>
        </w:rPr>
        <w:t>Temizleme işlemlerinden kaynaklanan UOB emisyonlarını azaltmak için, solvent bazlı temizlik maddelerinin kullanımı en aza indirilir ve aşağıda verilen tekniklerin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9"/>
        <w:gridCol w:w="1803"/>
        <w:gridCol w:w="4518"/>
        <w:gridCol w:w="2282"/>
      </w:tblGrid>
      <w:tr w:rsidR="003B155E" w:rsidRPr="000A5D99" w14:paraId="13B28EA9" w14:textId="77777777" w:rsidTr="000D79D6">
        <w:trPr>
          <w:trHeight w:val="230"/>
          <w:tblHeader/>
        </w:trPr>
        <w:tc>
          <w:tcPr>
            <w:tcW w:w="253" w:type="pct"/>
            <w:tcBorders>
              <w:right w:val="single" w:sz="4" w:space="0" w:color="auto"/>
            </w:tcBorders>
            <w:vAlign w:val="center"/>
          </w:tcPr>
          <w:p w14:paraId="27DDFAFF"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995" w:type="pct"/>
            <w:tcBorders>
              <w:left w:val="single" w:sz="4" w:space="0" w:color="auto"/>
            </w:tcBorders>
            <w:vAlign w:val="center"/>
          </w:tcPr>
          <w:p w14:paraId="09F2DF0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493" w:type="pct"/>
            <w:vAlign w:val="center"/>
          </w:tcPr>
          <w:p w14:paraId="4562F9F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259" w:type="pct"/>
            <w:vAlign w:val="center"/>
          </w:tcPr>
          <w:p w14:paraId="011B69B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43B9BAA1" w14:textId="77777777" w:rsidTr="000D79D6">
        <w:trPr>
          <w:trHeight w:val="978"/>
        </w:trPr>
        <w:tc>
          <w:tcPr>
            <w:tcW w:w="253" w:type="pct"/>
            <w:vAlign w:val="center"/>
          </w:tcPr>
          <w:p w14:paraId="4417975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995" w:type="pct"/>
            <w:vAlign w:val="center"/>
          </w:tcPr>
          <w:p w14:paraId="58153DC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 alanlarının ve ekipmanlarının korunması</w:t>
            </w:r>
          </w:p>
        </w:tc>
        <w:tc>
          <w:tcPr>
            <w:tcW w:w="2493" w:type="pct"/>
            <w:vAlign w:val="center"/>
          </w:tcPr>
          <w:p w14:paraId="41EEFB2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Aşırı püskürtme ve damlama benzeri durumlara duyarlı uygulama alanları ve ekipman (örneğin, püskürtme kabini duvarları ve robotlar), folyoların yırtılmaya veya aşınmaya maruz kalmadığı yerlerde kumaş örtüler veya tek kullanımlık folyolarla kaplanır.</w:t>
            </w:r>
          </w:p>
        </w:tc>
        <w:tc>
          <w:tcPr>
            <w:tcW w:w="1259" w:type="pct"/>
            <w:vMerge w:val="restart"/>
            <w:vAlign w:val="center"/>
          </w:tcPr>
          <w:p w14:paraId="0826633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Temizleme tekniklerinin seçimi, işlemin türü, temizlenecek yüzey veya ekipman ve kontaminasyon türü ile sınırlandırılabilir.</w:t>
            </w:r>
          </w:p>
        </w:tc>
      </w:tr>
      <w:tr w:rsidR="003B155E" w:rsidRPr="000A5D99" w14:paraId="57422DE3" w14:textId="77777777" w:rsidTr="000D79D6">
        <w:trPr>
          <w:trHeight w:val="1379"/>
        </w:trPr>
        <w:tc>
          <w:tcPr>
            <w:tcW w:w="253" w:type="pct"/>
            <w:vAlign w:val="center"/>
          </w:tcPr>
          <w:p w14:paraId="473997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995" w:type="pct"/>
            <w:vAlign w:val="center"/>
          </w:tcPr>
          <w:p w14:paraId="0772B10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Tam temizlikten önce katıların uzaklaştırılması</w:t>
            </w:r>
          </w:p>
        </w:tc>
        <w:tc>
          <w:tcPr>
            <w:tcW w:w="2493" w:type="pct"/>
            <w:vAlign w:val="center"/>
          </w:tcPr>
          <w:p w14:paraId="55FEF6A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Katı maddeler, (kuru) konsantre bir biçimde, genellikle elle, az miktarda temizleme solventi kullanarak veya kullanmayarak uzaklaştırılır. Bu uygulama, sonraki temizleme aşamalarında solvent ve/veya su ile uzaklaştırılacak malzeme miktarını ve dolayısıyla kullanılan solvent ve/veya su miktarını azaltır.</w:t>
            </w:r>
          </w:p>
        </w:tc>
        <w:tc>
          <w:tcPr>
            <w:tcW w:w="1259" w:type="pct"/>
            <w:vMerge/>
            <w:tcBorders>
              <w:top w:val="nil"/>
            </w:tcBorders>
            <w:vAlign w:val="center"/>
          </w:tcPr>
          <w:p w14:paraId="3148F740"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5637F020" w14:textId="77777777" w:rsidTr="000D79D6">
        <w:trPr>
          <w:trHeight w:val="1149"/>
        </w:trPr>
        <w:tc>
          <w:tcPr>
            <w:tcW w:w="253" w:type="pct"/>
            <w:vAlign w:val="center"/>
          </w:tcPr>
          <w:p w14:paraId="20E73CE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995" w:type="pct"/>
            <w:vAlign w:val="center"/>
          </w:tcPr>
          <w:p w14:paraId="6219134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Önceden emprenye edilmiş bezler kullanılarak elle temizleme</w:t>
            </w:r>
          </w:p>
        </w:tc>
        <w:tc>
          <w:tcPr>
            <w:tcW w:w="2493" w:type="pct"/>
            <w:vAlign w:val="center"/>
          </w:tcPr>
          <w:p w14:paraId="770694E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Elle temizlik için temizlik maddeleri ile önceden emprenye edilmiş bezler kullanılmaktadır. Temizlik maddeleri solvent bazlı malzemeler, düşük uçuculukta solventler veya solventsiz malzemeler olabilir.</w:t>
            </w:r>
          </w:p>
        </w:tc>
        <w:tc>
          <w:tcPr>
            <w:tcW w:w="1259" w:type="pct"/>
            <w:vMerge/>
            <w:tcBorders>
              <w:top w:val="nil"/>
            </w:tcBorders>
            <w:vAlign w:val="center"/>
          </w:tcPr>
          <w:p w14:paraId="528BBF55"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0A7FD054" w14:textId="77777777" w:rsidTr="000D79D6">
        <w:trPr>
          <w:trHeight w:val="919"/>
        </w:trPr>
        <w:tc>
          <w:tcPr>
            <w:tcW w:w="253" w:type="pct"/>
            <w:vAlign w:val="center"/>
          </w:tcPr>
          <w:p w14:paraId="3B03EA1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d</w:t>
            </w:r>
          </w:p>
        </w:tc>
        <w:tc>
          <w:tcPr>
            <w:tcW w:w="995" w:type="pct"/>
            <w:vAlign w:val="center"/>
          </w:tcPr>
          <w:p w14:paraId="2037845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uçuculuktaki temizlik maddelerinin kullanımı</w:t>
            </w:r>
          </w:p>
        </w:tc>
        <w:tc>
          <w:tcPr>
            <w:tcW w:w="2493" w:type="pct"/>
            <w:vAlign w:val="center"/>
          </w:tcPr>
          <w:p w14:paraId="0CDCC23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temizleme gücü ile elle veya otomatik temizlik için temizlik maddesi olarak düşük uçuculuğa sahip solventler uygulanır.</w:t>
            </w:r>
          </w:p>
        </w:tc>
        <w:tc>
          <w:tcPr>
            <w:tcW w:w="1259" w:type="pct"/>
            <w:vMerge/>
            <w:tcBorders>
              <w:top w:val="nil"/>
            </w:tcBorders>
            <w:vAlign w:val="center"/>
          </w:tcPr>
          <w:p w14:paraId="0C1486B0"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0F38BE65" w14:textId="77777777" w:rsidTr="000D79D6">
        <w:trPr>
          <w:trHeight w:val="460"/>
        </w:trPr>
        <w:tc>
          <w:tcPr>
            <w:tcW w:w="253" w:type="pct"/>
            <w:vAlign w:val="center"/>
          </w:tcPr>
          <w:p w14:paraId="6467D7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995" w:type="pct"/>
            <w:vAlign w:val="center"/>
          </w:tcPr>
          <w:p w14:paraId="7EC0FB5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bazlı temizleme</w:t>
            </w:r>
          </w:p>
        </w:tc>
        <w:tc>
          <w:tcPr>
            <w:tcW w:w="2493" w:type="pct"/>
            <w:vAlign w:val="center"/>
          </w:tcPr>
          <w:p w14:paraId="4C772B0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Temizlik için su bazlı deterjanlar veya alkoller veya glikoller gibi suyla karışabilen solventler kullanılır.</w:t>
            </w:r>
          </w:p>
        </w:tc>
        <w:tc>
          <w:tcPr>
            <w:tcW w:w="1259" w:type="pct"/>
            <w:vMerge/>
            <w:tcBorders>
              <w:top w:val="nil"/>
            </w:tcBorders>
            <w:vAlign w:val="center"/>
          </w:tcPr>
          <w:p w14:paraId="12BA46BF"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0F51F38D" w14:textId="77777777" w:rsidTr="000D79D6">
        <w:trPr>
          <w:trHeight w:val="2070"/>
        </w:trPr>
        <w:tc>
          <w:tcPr>
            <w:tcW w:w="253" w:type="pct"/>
            <w:vAlign w:val="center"/>
          </w:tcPr>
          <w:p w14:paraId="0EECD43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995" w:type="pct"/>
            <w:vAlign w:val="center"/>
          </w:tcPr>
          <w:p w14:paraId="2E967D0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Kapalı yıkama makineleri</w:t>
            </w:r>
          </w:p>
        </w:tc>
        <w:tc>
          <w:tcPr>
            <w:tcW w:w="2493" w:type="pct"/>
            <w:vAlign w:val="center"/>
          </w:tcPr>
          <w:p w14:paraId="5E46513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Kapalı yıkama makinelerinde pres makinesinin/makine parçalarının otomatik toplu temizliği/yağdan arındırılmasıdır. Bu, aşağıdakilerden biri kullanılarak yapılabilir:</w:t>
            </w:r>
          </w:p>
          <w:p w14:paraId="4AA6EAF2" w14:textId="77777777" w:rsidR="003B155E" w:rsidRPr="000A5D99" w:rsidRDefault="003B155E" w:rsidP="003B155E">
            <w:pPr>
              <w:widowControl w:val="0"/>
              <w:numPr>
                <w:ilvl w:val="0"/>
                <w:numId w:val="129"/>
              </w:numPr>
              <w:tabs>
                <w:tab w:val="left" w:pos="466"/>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 xml:space="preserve">organik solventler (hava ile ekstraksiyon ve ardından UOB azaltımı ve/veya kullanılmış solventlerin geri kazanımı ile) (bkz. </w:t>
            </w:r>
            <w:r w:rsidRPr="0096283A">
              <w:rPr>
                <w:rFonts w:ascii="Times New Roman" w:eastAsia="Times New Roman" w:hAnsi="Times New Roman" w:cs="Times New Roman"/>
              </w:rPr>
              <w:t>MET 15</w:t>
            </w:r>
            <w:r w:rsidRPr="000A5D99">
              <w:rPr>
                <w:rFonts w:ascii="Times New Roman" w:eastAsia="Times New Roman" w:hAnsi="Times New Roman" w:cs="Times New Roman"/>
              </w:rPr>
              <w:t>) veya</w:t>
            </w:r>
          </w:p>
          <w:p w14:paraId="00902DB2" w14:textId="77777777" w:rsidR="003B155E" w:rsidRPr="000A5D99" w:rsidRDefault="003B155E" w:rsidP="003B155E">
            <w:pPr>
              <w:widowControl w:val="0"/>
              <w:numPr>
                <w:ilvl w:val="0"/>
                <w:numId w:val="129"/>
              </w:numPr>
              <w:tabs>
                <w:tab w:val="left" w:pos="477"/>
              </w:tabs>
              <w:autoSpaceDE w:val="0"/>
              <w:autoSpaceDN w:val="0"/>
              <w:spacing w:after="0" w:line="240" w:lineRule="auto"/>
              <w:ind w:left="292" w:right="74" w:hanging="218"/>
              <w:jc w:val="both"/>
              <w:rPr>
                <w:rFonts w:ascii="Times New Roman" w:eastAsia="Times New Roman" w:hAnsi="Times New Roman" w:cs="Times New Roman"/>
              </w:rPr>
            </w:pPr>
            <w:r w:rsidRPr="000A5D99">
              <w:rPr>
                <w:rFonts w:ascii="Times New Roman" w:eastAsia="Times New Roman" w:hAnsi="Times New Roman" w:cs="Times New Roman"/>
              </w:rPr>
              <w:t>UOB içermeyen solventler veya</w:t>
            </w:r>
          </w:p>
          <w:p w14:paraId="3635A8BB" w14:textId="77777777" w:rsidR="003B155E" w:rsidRPr="000A5D99" w:rsidRDefault="003B155E" w:rsidP="003B155E">
            <w:pPr>
              <w:widowControl w:val="0"/>
              <w:numPr>
                <w:ilvl w:val="0"/>
                <w:numId w:val="129"/>
              </w:numPr>
              <w:tabs>
                <w:tab w:val="left" w:pos="468"/>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alkali temizleyiciler (harici veya dahili atık su arıtmalı).</w:t>
            </w:r>
          </w:p>
        </w:tc>
        <w:tc>
          <w:tcPr>
            <w:tcW w:w="1259" w:type="pct"/>
            <w:vMerge/>
            <w:tcBorders>
              <w:top w:val="nil"/>
            </w:tcBorders>
            <w:vAlign w:val="center"/>
          </w:tcPr>
          <w:p w14:paraId="4396E813"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452F87E3" w14:textId="77777777" w:rsidTr="000D79D6">
        <w:trPr>
          <w:trHeight w:val="283"/>
        </w:trPr>
        <w:tc>
          <w:tcPr>
            <w:tcW w:w="253" w:type="pct"/>
            <w:vAlign w:val="center"/>
          </w:tcPr>
          <w:p w14:paraId="55F9291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w:t>
            </w:r>
          </w:p>
        </w:tc>
        <w:tc>
          <w:tcPr>
            <w:tcW w:w="995" w:type="pct"/>
            <w:vAlign w:val="center"/>
          </w:tcPr>
          <w:p w14:paraId="52AAFC8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geri kazanımı ile temizleme</w:t>
            </w:r>
          </w:p>
        </w:tc>
        <w:tc>
          <w:tcPr>
            <w:tcW w:w="2493" w:type="pct"/>
            <w:vAlign w:val="center"/>
          </w:tcPr>
          <w:p w14:paraId="04A77DD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Tabancaları/aplikatörleri ve renk değişimleri arasındaki çizgileri temizlemek için kullanılan solventler toplanır, saklanır ve mümkünse yeniden kullanılır.</w:t>
            </w:r>
          </w:p>
        </w:tc>
        <w:tc>
          <w:tcPr>
            <w:tcW w:w="1259" w:type="pct"/>
            <w:vMerge/>
            <w:tcBorders>
              <w:top w:val="nil"/>
            </w:tcBorders>
            <w:vAlign w:val="center"/>
          </w:tcPr>
          <w:p w14:paraId="2893B265"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75D41C2C" w14:textId="77777777" w:rsidTr="000D79D6">
        <w:trPr>
          <w:trHeight w:val="689"/>
        </w:trPr>
        <w:tc>
          <w:tcPr>
            <w:tcW w:w="253" w:type="pct"/>
            <w:vAlign w:val="center"/>
          </w:tcPr>
          <w:p w14:paraId="4B7CD5F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w:t>
            </w:r>
          </w:p>
        </w:tc>
        <w:tc>
          <w:tcPr>
            <w:tcW w:w="995" w:type="pct"/>
            <w:vAlign w:val="center"/>
          </w:tcPr>
          <w:p w14:paraId="0F29886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basınçlı su püskürtme ile temizleme</w:t>
            </w:r>
          </w:p>
        </w:tc>
        <w:tc>
          <w:tcPr>
            <w:tcW w:w="2493" w:type="pct"/>
            <w:vAlign w:val="center"/>
          </w:tcPr>
          <w:p w14:paraId="4761995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Pres/makine parçalarının otomatik toplu temizliği için yüksek basınçlı su püskürtme ve sodyum bikarbonat sistemleri veya benzerleri kullanılır.</w:t>
            </w:r>
          </w:p>
        </w:tc>
        <w:tc>
          <w:tcPr>
            <w:tcW w:w="1259" w:type="pct"/>
            <w:vMerge/>
            <w:tcBorders>
              <w:top w:val="nil"/>
            </w:tcBorders>
            <w:vAlign w:val="center"/>
          </w:tcPr>
          <w:p w14:paraId="0643E5D0"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6FF87D1A" w14:textId="77777777" w:rsidTr="000D79D6">
        <w:trPr>
          <w:trHeight w:val="259"/>
        </w:trPr>
        <w:tc>
          <w:tcPr>
            <w:tcW w:w="253" w:type="pct"/>
            <w:vAlign w:val="center"/>
          </w:tcPr>
          <w:p w14:paraId="6549CC5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w:t>
            </w:r>
          </w:p>
        </w:tc>
        <w:tc>
          <w:tcPr>
            <w:tcW w:w="995" w:type="pct"/>
            <w:vAlign w:val="center"/>
          </w:tcPr>
          <w:p w14:paraId="5B31890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Ultrasonik temizleme</w:t>
            </w:r>
          </w:p>
        </w:tc>
        <w:tc>
          <w:tcPr>
            <w:tcW w:w="2493" w:type="pct"/>
            <w:vAlign w:val="center"/>
          </w:tcPr>
          <w:p w14:paraId="16621CA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Yapışmış kirleri çözmek için yüksek frekanslı titreşimler kullanılarak bir sıvı içinde temizlemedir.</w:t>
            </w:r>
          </w:p>
        </w:tc>
        <w:tc>
          <w:tcPr>
            <w:tcW w:w="1259" w:type="pct"/>
            <w:vMerge/>
            <w:tcBorders>
              <w:top w:val="nil"/>
            </w:tcBorders>
            <w:vAlign w:val="center"/>
          </w:tcPr>
          <w:p w14:paraId="4CF1B6A4"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79920022" w14:textId="77777777" w:rsidTr="000D79D6">
        <w:trPr>
          <w:trHeight w:val="460"/>
        </w:trPr>
        <w:tc>
          <w:tcPr>
            <w:tcW w:w="253" w:type="pct"/>
            <w:vAlign w:val="center"/>
          </w:tcPr>
          <w:p w14:paraId="2AE4523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j</w:t>
            </w:r>
          </w:p>
        </w:tc>
        <w:tc>
          <w:tcPr>
            <w:tcW w:w="995" w:type="pct"/>
            <w:vAlign w:val="center"/>
          </w:tcPr>
          <w:p w14:paraId="143401D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Kuru buz (CO</w:t>
            </w:r>
            <w:r w:rsidRPr="000A5D99">
              <w:rPr>
                <w:rFonts w:ascii="Times New Roman" w:eastAsia="Times New Roman" w:hAnsi="Times New Roman" w:cs="Times New Roman"/>
                <w:vertAlign w:val="subscript"/>
              </w:rPr>
              <w:t>2</w:t>
            </w:r>
            <w:r w:rsidRPr="000A5D99">
              <w:rPr>
                <w:rFonts w:ascii="Times New Roman" w:eastAsia="Times New Roman" w:hAnsi="Times New Roman" w:cs="Times New Roman"/>
              </w:rPr>
              <w:t>) ile temizleme</w:t>
            </w:r>
          </w:p>
        </w:tc>
        <w:tc>
          <w:tcPr>
            <w:tcW w:w="2493" w:type="pct"/>
            <w:vAlign w:val="center"/>
          </w:tcPr>
          <w:p w14:paraId="2A3795D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CO</w:t>
            </w:r>
            <w:r w:rsidRPr="000A5D99">
              <w:rPr>
                <w:rFonts w:ascii="Times New Roman" w:eastAsia="Times New Roman" w:hAnsi="Times New Roman" w:cs="Times New Roman"/>
                <w:vertAlign w:val="subscript"/>
              </w:rPr>
              <w:t>2</w:t>
            </w:r>
            <w:r w:rsidRPr="000A5D99">
              <w:rPr>
                <w:rFonts w:ascii="Times New Roman" w:eastAsia="Times New Roman" w:hAnsi="Times New Roman" w:cs="Times New Roman"/>
              </w:rPr>
              <w:t xml:space="preserve"> talaşları veya kar ile püskürtme yoluyla makine parçaları ve metalik veya plastik alt tabakalar temizlenir.</w:t>
            </w:r>
          </w:p>
        </w:tc>
        <w:tc>
          <w:tcPr>
            <w:tcW w:w="1259" w:type="pct"/>
            <w:vMerge/>
            <w:tcBorders>
              <w:top w:val="nil"/>
            </w:tcBorders>
            <w:vAlign w:val="center"/>
          </w:tcPr>
          <w:p w14:paraId="317BE878"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45134271" w14:textId="77777777" w:rsidTr="000D79D6">
        <w:trPr>
          <w:trHeight w:val="689"/>
        </w:trPr>
        <w:tc>
          <w:tcPr>
            <w:tcW w:w="253" w:type="pct"/>
            <w:vAlign w:val="center"/>
          </w:tcPr>
          <w:p w14:paraId="711C0F8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w:t>
            </w:r>
          </w:p>
        </w:tc>
        <w:tc>
          <w:tcPr>
            <w:tcW w:w="995" w:type="pct"/>
            <w:vAlign w:val="center"/>
          </w:tcPr>
          <w:p w14:paraId="5C8DE0D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Plastik kumlama ile temizleme</w:t>
            </w:r>
          </w:p>
        </w:tc>
        <w:tc>
          <w:tcPr>
            <w:tcW w:w="2493" w:type="pct"/>
            <w:vAlign w:val="center"/>
          </w:tcPr>
          <w:p w14:paraId="49F7E76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Panel jigleri ve gövde taşıyıcılarındaki fazla boya birikimi, plastik parçacıklarla kumlama yapılarak giderilir.</w:t>
            </w:r>
          </w:p>
        </w:tc>
        <w:tc>
          <w:tcPr>
            <w:tcW w:w="1259" w:type="pct"/>
            <w:vMerge/>
            <w:tcBorders>
              <w:top w:val="nil"/>
            </w:tcBorders>
            <w:vAlign w:val="center"/>
          </w:tcPr>
          <w:p w14:paraId="467657CE" w14:textId="77777777" w:rsidR="003B155E" w:rsidRPr="000A5D99" w:rsidRDefault="003B155E" w:rsidP="000D79D6">
            <w:pPr>
              <w:spacing w:after="0" w:line="240" w:lineRule="auto"/>
              <w:ind w:left="74" w:right="74"/>
              <w:rPr>
                <w:rFonts w:ascii="Times New Roman" w:eastAsia="Calibri" w:hAnsi="Times New Roman" w:cs="Times New Roman"/>
              </w:rPr>
            </w:pPr>
          </w:p>
        </w:tc>
      </w:tr>
    </w:tbl>
    <w:p w14:paraId="0EE8C345" w14:textId="77777777" w:rsidR="003B155E" w:rsidRPr="000A5D99" w:rsidRDefault="003B155E" w:rsidP="003B155E">
      <w:pPr>
        <w:keepNext/>
        <w:keepLines/>
        <w:spacing w:before="240" w:after="120" w:line="360" w:lineRule="auto"/>
        <w:jc w:val="both"/>
        <w:outlineLvl w:val="1"/>
        <w:rPr>
          <w:rFonts w:ascii="Times New Roman" w:eastAsia="DengXian Light" w:hAnsi="Times New Roman" w:cs="Microsoft Uighur"/>
          <w:b/>
          <w:sz w:val="24"/>
          <w:szCs w:val="26"/>
          <w:lang w:val="en-US"/>
        </w:rPr>
      </w:pPr>
      <w:bookmarkStart w:id="79" w:name="_Toc137210483"/>
      <w:r w:rsidRPr="000A5D99">
        <w:rPr>
          <w:rFonts w:ascii="Times New Roman" w:eastAsia="DengXian Light" w:hAnsi="Times New Roman" w:cs="Microsoft Uighur"/>
          <w:b/>
          <w:sz w:val="24"/>
          <w:szCs w:val="26"/>
          <w:lang w:val="en-US"/>
        </w:rPr>
        <w:t>İzleme</w:t>
      </w:r>
      <w:bookmarkEnd w:id="79"/>
    </w:p>
    <w:p w14:paraId="1297D5DB" w14:textId="77777777" w:rsidR="003B155E" w:rsidRPr="000A5D99" w:rsidRDefault="003B155E" w:rsidP="003B155E">
      <w:pPr>
        <w:keepNext/>
        <w:keepLines/>
        <w:spacing w:after="120" w:line="360" w:lineRule="auto"/>
        <w:ind w:firstLine="708"/>
        <w:jc w:val="both"/>
        <w:outlineLvl w:val="2"/>
        <w:rPr>
          <w:rFonts w:ascii="Times New Roman" w:eastAsia="DengXian Light" w:hAnsi="Times New Roman" w:cs="Microsoft Uighur"/>
          <w:b/>
          <w:sz w:val="24"/>
          <w:szCs w:val="24"/>
          <w:lang w:val="en-US"/>
        </w:rPr>
      </w:pPr>
      <w:r w:rsidRPr="000A5D99">
        <w:rPr>
          <w:rFonts w:ascii="Times New Roman" w:eastAsia="DengXian Light" w:hAnsi="Times New Roman" w:cs="Microsoft Uighur"/>
          <w:b/>
          <w:sz w:val="24"/>
          <w:szCs w:val="24"/>
          <w:lang w:val="en-US"/>
        </w:rPr>
        <w:t>Solvent kütle dengesi</w:t>
      </w:r>
    </w:p>
    <w:p w14:paraId="65F3F757" w14:textId="77777777" w:rsidR="003B155E" w:rsidRDefault="003B155E" w:rsidP="003B155E">
      <w:pPr>
        <w:spacing w:after="120" w:line="360" w:lineRule="auto"/>
        <w:jc w:val="both"/>
        <w:rPr>
          <w:rFonts w:ascii="Times New Roman" w:eastAsia="Calibri" w:hAnsi="Times New Roman" w:cs="Times New Roman"/>
          <w:bCs/>
          <w:sz w:val="24"/>
          <w:szCs w:val="24"/>
          <w:lang w:val="en-US"/>
        </w:rPr>
      </w:pPr>
      <w:r w:rsidRPr="000A5D99">
        <w:rPr>
          <w:rFonts w:ascii="Times New Roman" w:eastAsia="Calibri" w:hAnsi="Times New Roman" w:cs="Times New Roman"/>
          <w:b/>
          <w:sz w:val="24"/>
          <w:szCs w:val="24"/>
          <w:lang w:val="en-US"/>
        </w:rPr>
        <w:t xml:space="preserve">MET 10: </w:t>
      </w:r>
      <w:r w:rsidRPr="000A5D99">
        <w:rPr>
          <w:rFonts w:ascii="Times New Roman" w:eastAsia="Calibri" w:hAnsi="Times New Roman" w:cs="Times New Roman"/>
          <w:bCs/>
          <w:sz w:val="24"/>
          <w:szCs w:val="24"/>
          <w:lang w:val="en-US"/>
        </w:rPr>
        <w:t>Yılda en az bir kez olmak üzere, solvent kütle denkliği hesaplanılması için tesisin solvent girdi ve çıktıları derlenir, bu sayede toplam ve kaçak UOB emisyonları izlenir ve aşağıda verilen tüm teknikler kullanılarak solvent kütle denkliği verilerindeki belirsizlik en aza indirilir.</w:t>
      </w:r>
    </w:p>
    <w:p w14:paraId="5B64BB11" w14:textId="77777777" w:rsidR="003B155E" w:rsidRDefault="003B155E" w:rsidP="003B155E">
      <w:pP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1"/>
        <w:gridCol w:w="3264"/>
        <w:gridCol w:w="5377"/>
      </w:tblGrid>
      <w:tr w:rsidR="003B155E" w:rsidRPr="000A5D99" w14:paraId="547AE6B9" w14:textId="77777777" w:rsidTr="000D79D6">
        <w:trPr>
          <w:trHeight w:val="264"/>
        </w:trPr>
        <w:tc>
          <w:tcPr>
            <w:tcW w:w="232" w:type="pct"/>
            <w:tcBorders>
              <w:top w:val="single" w:sz="4" w:space="0" w:color="auto"/>
              <w:right w:val="single" w:sz="4" w:space="0" w:color="auto"/>
            </w:tcBorders>
          </w:tcPr>
          <w:p w14:paraId="42695BA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tc>
        <w:tc>
          <w:tcPr>
            <w:tcW w:w="1801" w:type="pct"/>
            <w:tcBorders>
              <w:top w:val="single" w:sz="4" w:space="0" w:color="auto"/>
              <w:left w:val="single" w:sz="4" w:space="0" w:color="auto"/>
            </w:tcBorders>
          </w:tcPr>
          <w:p w14:paraId="5EEF209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967" w:type="pct"/>
          </w:tcPr>
          <w:p w14:paraId="16C3114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r>
      <w:tr w:rsidR="003B155E" w:rsidRPr="000A5D99" w14:paraId="5282AE51" w14:textId="77777777" w:rsidTr="000D79D6">
        <w:trPr>
          <w:trHeight w:val="3276"/>
        </w:trPr>
        <w:tc>
          <w:tcPr>
            <w:tcW w:w="232" w:type="pct"/>
            <w:tcBorders>
              <w:right w:val="single" w:sz="4" w:space="0" w:color="auto"/>
            </w:tcBorders>
            <w:vAlign w:val="center"/>
          </w:tcPr>
          <w:p w14:paraId="09F232C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801" w:type="pct"/>
            <w:tcBorders>
              <w:left w:val="single" w:sz="4" w:space="0" w:color="auto"/>
            </w:tcBorders>
            <w:vAlign w:val="center"/>
          </w:tcPr>
          <w:p w14:paraId="2B93DC6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İlgili solvent girdi ve çıktılarının tam olarak tanımlanması ve miktarının belirlenmesi, buna bağlı belirsizliklerin de dahil edilmesi</w:t>
            </w:r>
          </w:p>
        </w:tc>
        <w:tc>
          <w:tcPr>
            <w:tcW w:w="2967" w:type="pct"/>
            <w:vAlign w:val="center"/>
          </w:tcPr>
          <w:p w14:paraId="627A636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 aşağıdakileri içerir:</w:t>
            </w:r>
          </w:p>
          <w:p w14:paraId="0C4380E5"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Solvent girdi ve çıktılarının tanımlanması ve belgelenmesi, (örneğin, atık gazlardaki emisyonlar, her bir kaçak emisyon kaynağından kaynaklanan emisyonlar, atıktaki solvent çıktısı);</w:t>
            </w:r>
          </w:p>
          <w:p w14:paraId="14B47FF3"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Her ilgili solvent girişi ve çıkışının doğrulanmış miktarının belirlenmesi ve kullanılan metodolojinin kaydı (örneğin, ölçüm, emisyon faktörleri kullanarak hesaplama, operasyonel parametrelere dayalı tahmin);</w:t>
            </w:r>
          </w:p>
          <w:p w14:paraId="6B9D4DF0"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Bahsi geçen miktarlandırmadaki ana belirsizlik kaynaklarının belirlenmesi ve belirsizliği azaltmak için düzeltici eylemlerin uygulanması;</w:t>
            </w:r>
          </w:p>
          <w:p w14:paraId="0CC3E707"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Solvent girdi ve çıktı verilerinin düzenli olarak güncellenmesi.</w:t>
            </w:r>
          </w:p>
        </w:tc>
      </w:tr>
      <w:tr w:rsidR="003B155E" w:rsidRPr="000A5D99" w14:paraId="0E98D4E4" w14:textId="77777777" w:rsidTr="000D79D6">
        <w:trPr>
          <w:trHeight w:val="936"/>
        </w:trPr>
        <w:tc>
          <w:tcPr>
            <w:tcW w:w="232" w:type="pct"/>
            <w:vAlign w:val="center"/>
          </w:tcPr>
          <w:p w14:paraId="7A662AC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801" w:type="pct"/>
            <w:vAlign w:val="center"/>
          </w:tcPr>
          <w:p w14:paraId="3C84B7F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takip sisteminin uygulanması</w:t>
            </w:r>
          </w:p>
        </w:tc>
        <w:tc>
          <w:tcPr>
            <w:tcW w:w="2967" w:type="pct"/>
            <w:vAlign w:val="center"/>
          </w:tcPr>
          <w:p w14:paraId="4A9343B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takip sistemi, hem kullanılmış hem de kullanılmayan solvent miktarlarının kontrolünü sağlamayı amaçlar (örneğin, uygulama alanından depoya geri gönderilen kullanılmamış miktardaki solventlerin tartılması).</w:t>
            </w:r>
          </w:p>
        </w:tc>
      </w:tr>
      <w:tr w:rsidR="003B155E" w:rsidRPr="000A5D99" w14:paraId="626C2814" w14:textId="77777777" w:rsidTr="000D79D6">
        <w:trPr>
          <w:trHeight w:val="1639"/>
        </w:trPr>
        <w:tc>
          <w:tcPr>
            <w:tcW w:w="232" w:type="pct"/>
            <w:vAlign w:val="center"/>
          </w:tcPr>
          <w:p w14:paraId="182BDE6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801" w:type="pct"/>
            <w:vAlign w:val="center"/>
          </w:tcPr>
          <w:p w14:paraId="660022B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verilerinin belirsizliğini etkileyebilecek değişikliklerin izlenmesi</w:t>
            </w:r>
          </w:p>
        </w:tc>
        <w:tc>
          <w:tcPr>
            <w:tcW w:w="2967" w:type="pct"/>
            <w:vAlign w:val="center"/>
          </w:tcPr>
          <w:p w14:paraId="2E414FC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verilerinin belirsizliğini etkileyebilecek herhangi bir değişiklik kaydedilir, örneğin:</w:t>
            </w:r>
          </w:p>
          <w:p w14:paraId="1A9F4C95"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Çıkış gazı işleme sisteminin arızaları: tarih ve süre kaydedilir;</w:t>
            </w:r>
          </w:p>
          <w:p w14:paraId="6C49B330" w14:textId="77777777" w:rsidR="003B155E" w:rsidRPr="000A5D99" w:rsidRDefault="003B155E" w:rsidP="003B155E">
            <w:pPr>
              <w:widowControl w:val="0"/>
              <w:numPr>
                <w:ilvl w:val="0"/>
                <w:numId w:val="152"/>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Hava/gaz akış oranlarını etkileyebilecek değişiklikler, örneğin, fanların, tahrik kasnaklarının, motorların değiştirilmesi; değişikliğin tarihi ve türü kaydedilir.</w:t>
            </w:r>
          </w:p>
        </w:tc>
      </w:tr>
    </w:tbl>
    <w:p w14:paraId="6A4A79FB" w14:textId="77777777" w:rsidR="003B155E" w:rsidRPr="000A5D99" w:rsidRDefault="003B155E" w:rsidP="003B155E">
      <w:pPr>
        <w:keepNext/>
        <w:keepLines/>
        <w:spacing w:before="240" w:after="120" w:line="360" w:lineRule="auto"/>
        <w:ind w:left="855"/>
        <w:jc w:val="both"/>
        <w:outlineLvl w:val="2"/>
        <w:rPr>
          <w:rFonts w:ascii="Times New Roman" w:eastAsia="DengXian Light" w:hAnsi="Times New Roman" w:cs="Microsoft Uighur"/>
          <w:b/>
          <w:sz w:val="24"/>
          <w:szCs w:val="24"/>
          <w:lang w:val="en-US"/>
        </w:rPr>
      </w:pPr>
      <w:r w:rsidRPr="000A5D99">
        <w:rPr>
          <w:rFonts w:ascii="Times New Roman" w:eastAsia="DengXian Light" w:hAnsi="Times New Roman" w:cs="Microsoft Uighur"/>
          <w:b/>
          <w:sz w:val="24"/>
          <w:szCs w:val="24"/>
          <w:lang w:val="en-US"/>
        </w:rPr>
        <w:t>Atık gazlardaki emisyonlar</w:t>
      </w:r>
    </w:p>
    <w:p w14:paraId="46366F8B"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11: </w:t>
      </w:r>
      <w:r w:rsidRPr="000A5D99">
        <w:rPr>
          <w:rFonts w:ascii="Times New Roman" w:eastAsia="Calibri" w:hAnsi="Times New Roman" w:cs="Calibri"/>
          <w:sz w:val="24"/>
          <w:lang w:val="en-US"/>
        </w:rPr>
        <w:t>Atık gazlardaki emisyonlar en az aşağıda verilen sıklıkta ve TS EN standartlarına uygun olarak izlenir. TS EN standartları mevcut değilse, eşdeğer bir bilimsel kaliteye sahip verilerin sunulmasını sağlayan ISO standartları, ulusal veya diğer uluslararası standartlar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00"/>
        <w:gridCol w:w="1339"/>
        <w:gridCol w:w="1721"/>
        <w:gridCol w:w="1589"/>
        <w:gridCol w:w="1402"/>
        <w:gridCol w:w="1411"/>
      </w:tblGrid>
      <w:tr w:rsidR="003B155E" w:rsidRPr="000A5D99" w14:paraId="3ED5BC17" w14:textId="77777777" w:rsidTr="000D79D6">
        <w:trPr>
          <w:trHeight w:val="872"/>
        </w:trPr>
        <w:tc>
          <w:tcPr>
            <w:tcW w:w="706" w:type="pct"/>
            <w:vAlign w:val="center"/>
          </w:tcPr>
          <w:p w14:paraId="31620DC6" w14:textId="77777777" w:rsidR="003B155E" w:rsidRPr="000A5D99" w:rsidRDefault="003B155E" w:rsidP="000D79D6">
            <w:pPr>
              <w:widowControl w:val="0"/>
              <w:autoSpaceDE w:val="0"/>
              <w:autoSpaceDN w:val="0"/>
              <w:spacing w:after="0" w:line="240" w:lineRule="auto"/>
              <w:ind w:left="74" w:right="74" w:hanging="6"/>
              <w:jc w:val="center"/>
              <w:rPr>
                <w:rFonts w:ascii="Times New Roman" w:eastAsia="Times New Roman" w:hAnsi="Times New Roman" w:cs="Times New Roman"/>
                <w:b/>
              </w:rPr>
            </w:pPr>
            <w:r w:rsidRPr="000A5D99">
              <w:rPr>
                <w:rFonts w:ascii="Times New Roman" w:eastAsia="Times New Roman" w:hAnsi="Times New Roman" w:cs="Times New Roman"/>
                <w:b/>
              </w:rPr>
              <w:t>Madde/ Parametre</w:t>
            </w:r>
          </w:p>
        </w:tc>
        <w:tc>
          <w:tcPr>
            <w:tcW w:w="1759" w:type="pct"/>
            <w:gridSpan w:val="2"/>
            <w:vAlign w:val="center"/>
          </w:tcPr>
          <w:p w14:paraId="19B73C7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Sektörler/Kaynaklar</w:t>
            </w:r>
          </w:p>
        </w:tc>
        <w:tc>
          <w:tcPr>
            <w:tcW w:w="912" w:type="pct"/>
            <w:vAlign w:val="center"/>
          </w:tcPr>
          <w:p w14:paraId="2596C14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Standart(lar)</w:t>
            </w:r>
          </w:p>
        </w:tc>
        <w:tc>
          <w:tcPr>
            <w:tcW w:w="809" w:type="pct"/>
            <w:vAlign w:val="center"/>
          </w:tcPr>
          <w:p w14:paraId="238073F1" w14:textId="77777777" w:rsidR="003B155E" w:rsidRPr="000A5D99" w:rsidRDefault="003B155E" w:rsidP="000D79D6">
            <w:pPr>
              <w:widowControl w:val="0"/>
              <w:autoSpaceDE w:val="0"/>
              <w:autoSpaceDN w:val="0"/>
              <w:spacing w:after="0" w:line="240" w:lineRule="auto"/>
              <w:ind w:left="74" w:right="74" w:firstLine="49"/>
              <w:jc w:val="center"/>
              <w:rPr>
                <w:rFonts w:ascii="Times New Roman" w:eastAsia="Times New Roman" w:hAnsi="Times New Roman" w:cs="Times New Roman"/>
                <w:b/>
              </w:rPr>
            </w:pPr>
            <w:r w:rsidRPr="000A5D99">
              <w:rPr>
                <w:rFonts w:ascii="Times New Roman" w:eastAsia="Times New Roman" w:hAnsi="Times New Roman" w:cs="Times New Roman"/>
                <w:b/>
              </w:rPr>
              <w:t>Asgari izleme sıklığı</w:t>
            </w:r>
          </w:p>
        </w:tc>
        <w:tc>
          <w:tcPr>
            <w:tcW w:w="814" w:type="pct"/>
            <w:vAlign w:val="center"/>
          </w:tcPr>
          <w:p w14:paraId="11ECA72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İzlemenin ilgili olduğu teknik</w:t>
            </w:r>
          </w:p>
        </w:tc>
      </w:tr>
      <w:tr w:rsidR="003B155E" w:rsidRPr="000A5D99" w14:paraId="32214186" w14:textId="77777777" w:rsidTr="000D79D6">
        <w:trPr>
          <w:trHeight w:val="459"/>
        </w:trPr>
        <w:tc>
          <w:tcPr>
            <w:tcW w:w="706" w:type="pct"/>
            <w:vMerge w:val="restart"/>
            <w:vAlign w:val="center"/>
          </w:tcPr>
          <w:p w14:paraId="289DA34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Toz</w:t>
            </w:r>
          </w:p>
        </w:tc>
        <w:tc>
          <w:tcPr>
            <w:tcW w:w="1759" w:type="pct"/>
            <w:gridSpan w:val="2"/>
            <w:vAlign w:val="center"/>
          </w:tcPr>
          <w:p w14:paraId="428DF4B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 – Püskürtmeli kaplama</w:t>
            </w:r>
          </w:p>
        </w:tc>
        <w:tc>
          <w:tcPr>
            <w:tcW w:w="912" w:type="pct"/>
            <w:vMerge w:val="restart"/>
            <w:vAlign w:val="center"/>
          </w:tcPr>
          <w:p w14:paraId="5AF12DF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TS EN 13284-1</w:t>
            </w:r>
          </w:p>
        </w:tc>
        <w:tc>
          <w:tcPr>
            <w:tcW w:w="809" w:type="pct"/>
            <w:vMerge w:val="restart"/>
            <w:vAlign w:val="center"/>
          </w:tcPr>
          <w:p w14:paraId="717CA295" w14:textId="77777777" w:rsidR="003B155E" w:rsidRPr="000A5D99" w:rsidRDefault="003B155E" w:rsidP="000D79D6">
            <w:pPr>
              <w:widowControl w:val="0"/>
              <w:autoSpaceDE w:val="0"/>
              <w:autoSpaceDN w:val="0"/>
              <w:spacing w:before="100" w:beforeAutospacing="1" w:after="0" w:line="240" w:lineRule="auto"/>
              <w:ind w:left="236" w:right="74" w:hanging="162"/>
              <w:rPr>
                <w:rFonts w:ascii="Times New Roman" w:eastAsia="Times New Roman" w:hAnsi="Times New Roman" w:cs="Times New Roman"/>
              </w:rPr>
            </w:pPr>
            <w:r w:rsidRPr="000A5D99">
              <w:rPr>
                <w:rFonts w:ascii="Times New Roman" w:eastAsia="Times New Roman" w:hAnsi="Times New Roman" w:cs="Times New Roman"/>
              </w:rPr>
              <w:t>Yılda bir kez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c>
          <w:tcPr>
            <w:tcW w:w="814" w:type="pct"/>
            <w:vMerge w:val="restart"/>
            <w:vAlign w:val="center"/>
          </w:tcPr>
          <w:p w14:paraId="55763021" w14:textId="77777777" w:rsidR="003B155E" w:rsidRPr="0096283A"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96283A">
              <w:rPr>
                <w:rFonts w:ascii="Times New Roman" w:eastAsia="Times New Roman" w:hAnsi="Times New Roman" w:cs="Times New Roman"/>
              </w:rPr>
              <w:t>MET 18</w:t>
            </w:r>
          </w:p>
        </w:tc>
      </w:tr>
      <w:tr w:rsidR="003B155E" w:rsidRPr="000A5D99" w14:paraId="20FB42B1" w14:textId="77777777" w:rsidTr="000D79D6">
        <w:trPr>
          <w:trHeight w:val="459"/>
        </w:trPr>
        <w:tc>
          <w:tcPr>
            <w:tcW w:w="706" w:type="pct"/>
            <w:vMerge/>
            <w:tcBorders>
              <w:top w:val="nil"/>
            </w:tcBorders>
            <w:vAlign w:val="center"/>
          </w:tcPr>
          <w:p w14:paraId="40DB7BDC"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759" w:type="pct"/>
            <w:gridSpan w:val="2"/>
            <w:vAlign w:val="center"/>
          </w:tcPr>
          <w:p w14:paraId="3F2B7A0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Diğer metal ve plastik yüzeylerin kaplanması – Püskürtmeli kaplama</w:t>
            </w:r>
          </w:p>
        </w:tc>
        <w:tc>
          <w:tcPr>
            <w:tcW w:w="912" w:type="pct"/>
            <w:vMerge/>
            <w:tcBorders>
              <w:top w:val="nil"/>
            </w:tcBorders>
            <w:vAlign w:val="center"/>
          </w:tcPr>
          <w:p w14:paraId="01F4D628"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09" w:type="pct"/>
            <w:vMerge/>
            <w:tcBorders>
              <w:top w:val="nil"/>
            </w:tcBorders>
            <w:vAlign w:val="center"/>
          </w:tcPr>
          <w:p w14:paraId="28C862D2"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14" w:type="pct"/>
            <w:vMerge/>
            <w:tcBorders>
              <w:top w:val="nil"/>
            </w:tcBorders>
            <w:vAlign w:val="center"/>
          </w:tcPr>
          <w:p w14:paraId="2A83E52A" w14:textId="77777777" w:rsidR="003B155E" w:rsidRPr="0096283A"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2997C293" w14:textId="77777777" w:rsidTr="000D79D6">
        <w:trPr>
          <w:trHeight w:val="689"/>
        </w:trPr>
        <w:tc>
          <w:tcPr>
            <w:tcW w:w="706" w:type="pct"/>
            <w:vMerge/>
            <w:tcBorders>
              <w:top w:val="nil"/>
            </w:tcBorders>
            <w:vAlign w:val="center"/>
          </w:tcPr>
          <w:p w14:paraId="623A503F"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759" w:type="pct"/>
            <w:gridSpan w:val="2"/>
            <w:vAlign w:val="center"/>
          </w:tcPr>
          <w:p w14:paraId="722579D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Uçağın kaplanması – Hazırlık (ör. zımparalama, püskürtme) ve kaplama</w:t>
            </w:r>
          </w:p>
        </w:tc>
        <w:tc>
          <w:tcPr>
            <w:tcW w:w="912" w:type="pct"/>
            <w:vMerge/>
            <w:tcBorders>
              <w:top w:val="nil"/>
            </w:tcBorders>
            <w:vAlign w:val="center"/>
          </w:tcPr>
          <w:p w14:paraId="22BF4D93"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09" w:type="pct"/>
            <w:vMerge/>
            <w:tcBorders>
              <w:top w:val="nil"/>
            </w:tcBorders>
            <w:vAlign w:val="center"/>
          </w:tcPr>
          <w:p w14:paraId="200FC39E"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14" w:type="pct"/>
            <w:vMerge/>
            <w:tcBorders>
              <w:top w:val="nil"/>
            </w:tcBorders>
            <w:vAlign w:val="center"/>
          </w:tcPr>
          <w:p w14:paraId="17D03541" w14:textId="77777777" w:rsidR="003B155E" w:rsidRPr="0096283A"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1C1E3E7A" w14:textId="77777777" w:rsidTr="000D79D6">
        <w:trPr>
          <w:trHeight w:val="460"/>
        </w:trPr>
        <w:tc>
          <w:tcPr>
            <w:tcW w:w="706" w:type="pct"/>
            <w:vMerge/>
            <w:tcBorders>
              <w:top w:val="nil"/>
            </w:tcBorders>
            <w:vAlign w:val="center"/>
          </w:tcPr>
          <w:p w14:paraId="3E105193"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759" w:type="pct"/>
            <w:gridSpan w:val="2"/>
            <w:vAlign w:val="center"/>
          </w:tcPr>
          <w:p w14:paraId="13165BE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baskısı – Püskürtme uygulaması</w:t>
            </w:r>
          </w:p>
        </w:tc>
        <w:tc>
          <w:tcPr>
            <w:tcW w:w="912" w:type="pct"/>
            <w:vMerge/>
            <w:tcBorders>
              <w:top w:val="nil"/>
            </w:tcBorders>
            <w:vAlign w:val="center"/>
          </w:tcPr>
          <w:p w14:paraId="5BCF9AA8"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09" w:type="pct"/>
            <w:vMerge/>
            <w:tcBorders>
              <w:top w:val="nil"/>
            </w:tcBorders>
            <w:vAlign w:val="center"/>
          </w:tcPr>
          <w:p w14:paraId="466D09A7"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14" w:type="pct"/>
            <w:vMerge/>
            <w:tcBorders>
              <w:top w:val="nil"/>
            </w:tcBorders>
            <w:vAlign w:val="center"/>
          </w:tcPr>
          <w:p w14:paraId="601837B7" w14:textId="77777777" w:rsidR="003B155E" w:rsidRPr="0096283A"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025F8363" w14:textId="77777777" w:rsidTr="000D79D6">
        <w:trPr>
          <w:trHeight w:val="459"/>
        </w:trPr>
        <w:tc>
          <w:tcPr>
            <w:tcW w:w="706" w:type="pct"/>
            <w:vMerge/>
            <w:tcBorders>
              <w:top w:val="nil"/>
            </w:tcBorders>
            <w:vAlign w:val="center"/>
          </w:tcPr>
          <w:p w14:paraId="4F4F7D60"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759" w:type="pct"/>
            <w:gridSpan w:val="2"/>
            <w:vAlign w:val="center"/>
          </w:tcPr>
          <w:p w14:paraId="3789A86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Ahşap yüzeylerin kaplanması – Hazırlık ve kaplama</w:t>
            </w:r>
          </w:p>
        </w:tc>
        <w:tc>
          <w:tcPr>
            <w:tcW w:w="912" w:type="pct"/>
            <w:vMerge/>
            <w:tcBorders>
              <w:top w:val="nil"/>
            </w:tcBorders>
            <w:vAlign w:val="center"/>
          </w:tcPr>
          <w:p w14:paraId="370EAA7F"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09" w:type="pct"/>
            <w:vMerge/>
            <w:tcBorders>
              <w:top w:val="nil"/>
            </w:tcBorders>
            <w:vAlign w:val="center"/>
          </w:tcPr>
          <w:p w14:paraId="48AFA89F"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14" w:type="pct"/>
            <w:vMerge/>
            <w:tcBorders>
              <w:top w:val="nil"/>
            </w:tcBorders>
            <w:vAlign w:val="center"/>
          </w:tcPr>
          <w:p w14:paraId="15E4B77A" w14:textId="77777777" w:rsidR="003B155E" w:rsidRPr="0096283A"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48D5A51C" w14:textId="77777777" w:rsidTr="000D79D6">
        <w:trPr>
          <w:trHeight w:val="929"/>
        </w:trPr>
        <w:tc>
          <w:tcPr>
            <w:tcW w:w="706" w:type="pct"/>
            <w:vMerge w:val="restart"/>
            <w:vAlign w:val="center"/>
          </w:tcPr>
          <w:p w14:paraId="25402C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Toplam uçucu organik bileşikler (TUOB)</w:t>
            </w:r>
          </w:p>
        </w:tc>
        <w:tc>
          <w:tcPr>
            <w:tcW w:w="774" w:type="pct"/>
            <w:vMerge w:val="restart"/>
            <w:vAlign w:val="center"/>
          </w:tcPr>
          <w:p w14:paraId="29E6ECA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Tüm sektörler</w:t>
            </w:r>
          </w:p>
        </w:tc>
        <w:tc>
          <w:tcPr>
            <w:tcW w:w="985" w:type="pct"/>
            <w:vAlign w:val="center"/>
          </w:tcPr>
          <w:p w14:paraId="1B12A6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TUOB yükü &lt; 10 kg C/saat olan herhangi bir baca</w:t>
            </w:r>
          </w:p>
        </w:tc>
        <w:tc>
          <w:tcPr>
            <w:tcW w:w="912" w:type="pct"/>
            <w:vAlign w:val="center"/>
          </w:tcPr>
          <w:p w14:paraId="35902D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TS EN 12619</w:t>
            </w:r>
          </w:p>
        </w:tc>
        <w:tc>
          <w:tcPr>
            <w:tcW w:w="809" w:type="pct"/>
            <w:vAlign w:val="center"/>
          </w:tcPr>
          <w:p w14:paraId="772FA494" w14:textId="77777777" w:rsidR="003B155E" w:rsidRPr="000A5D99" w:rsidRDefault="003B155E" w:rsidP="000D79D6">
            <w:pPr>
              <w:widowControl w:val="0"/>
              <w:autoSpaceDE w:val="0"/>
              <w:autoSpaceDN w:val="0"/>
              <w:spacing w:after="0" w:line="240" w:lineRule="auto"/>
              <w:ind w:left="74" w:right="74" w:firstLine="36"/>
              <w:rPr>
                <w:rFonts w:ascii="Times New Roman" w:eastAsia="Times New Roman" w:hAnsi="Times New Roman" w:cs="Times New Roman"/>
              </w:rPr>
            </w:pPr>
            <w:r w:rsidRPr="000A5D99">
              <w:rPr>
                <w:rFonts w:ascii="Times New Roman" w:eastAsia="Times New Roman" w:hAnsi="Times New Roman" w:cs="Times New Roman"/>
              </w:rPr>
              <w:t>Yılda bir kez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814" w:type="pct"/>
            <w:vMerge w:val="restart"/>
            <w:vAlign w:val="center"/>
          </w:tcPr>
          <w:p w14:paraId="79C9AA5D" w14:textId="77777777" w:rsidR="003B155E" w:rsidRPr="0096283A"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96283A">
              <w:rPr>
                <w:rFonts w:ascii="Times New Roman" w:eastAsia="Times New Roman" w:hAnsi="Times New Roman" w:cs="Times New Roman"/>
              </w:rPr>
              <w:t>MET 14,</w:t>
            </w:r>
          </w:p>
          <w:p w14:paraId="4899A181" w14:textId="77777777" w:rsidR="003B155E" w:rsidRPr="0096283A"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96283A">
              <w:rPr>
                <w:rFonts w:ascii="Times New Roman" w:eastAsia="Times New Roman" w:hAnsi="Times New Roman" w:cs="Times New Roman"/>
              </w:rPr>
              <w:t>MET 15</w:t>
            </w:r>
          </w:p>
        </w:tc>
      </w:tr>
      <w:tr w:rsidR="003B155E" w:rsidRPr="000A5D99" w14:paraId="24161DAF" w14:textId="77777777" w:rsidTr="000D79D6">
        <w:trPr>
          <w:trHeight w:val="929"/>
        </w:trPr>
        <w:tc>
          <w:tcPr>
            <w:tcW w:w="706" w:type="pct"/>
            <w:vMerge/>
            <w:tcBorders>
              <w:top w:val="nil"/>
            </w:tcBorders>
            <w:vAlign w:val="center"/>
          </w:tcPr>
          <w:p w14:paraId="472BF571"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774" w:type="pct"/>
            <w:vMerge/>
            <w:tcBorders>
              <w:top w:val="nil"/>
            </w:tcBorders>
            <w:vAlign w:val="center"/>
          </w:tcPr>
          <w:p w14:paraId="7C73DAD2"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985" w:type="pct"/>
            <w:vAlign w:val="center"/>
          </w:tcPr>
          <w:p w14:paraId="039EA44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TUOB yükü ≥ 10 kg C/saat olan herhangi bir baca</w:t>
            </w:r>
          </w:p>
        </w:tc>
        <w:tc>
          <w:tcPr>
            <w:tcW w:w="912" w:type="pct"/>
            <w:vAlign w:val="center"/>
          </w:tcPr>
          <w:p w14:paraId="7810E02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TS EN standartları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p>
        </w:tc>
        <w:tc>
          <w:tcPr>
            <w:tcW w:w="809" w:type="pct"/>
            <w:vAlign w:val="center"/>
          </w:tcPr>
          <w:p w14:paraId="3A751AE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Sürekli</w:t>
            </w:r>
          </w:p>
        </w:tc>
        <w:tc>
          <w:tcPr>
            <w:tcW w:w="814" w:type="pct"/>
            <w:vMerge/>
            <w:tcBorders>
              <w:top w:val="nil"/>
            </w:tcBorders>
            <w:vAlign w:val="center"/>
          </w:tcPr>
          <w:p w14:paraId="3994FF62" w14:textId="77777777" w:rsidR="003B155E" w:rsidRPr="0096283A"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35E89FD3" w14:textId="77777777" w:rsidTr="000D79D6">
        <w:trPr>
          <w:trHeight w:val="850"/>
        </w:trPr>
        <w:tc>
          <w:tcPr>
            <w:tcW w:w="706" w:type="pct"/>
            <w:vAlign w:val="center"/>
          </w:tcPr>
          <w:p w14:paraId="7F7D763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N,N-dimetilformamit (DMF)</w:t>
            </w:r>
          </w:p>
        </w:tc>
        <w:tc>
          <w:tcPr>
            <w:tcW w:w="1759" w:type="pct"/>
            <w:gridSpan w:val="2"/>
            <w:vAlign w:val="center"/>
          </w:tcPr>
          <w:p w14:paraId="0B2C6224" w14:textId="77777777" w:rsidR="003B155E" w:rsidRPr="000A48E1"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48E1">
              <w:rPr>
                <w:rFonts w:ascii="Times New Roman" w:eastAsia="Times New Roman" w:hAnsi="Times New Roman" w:cs="Times New Roman"/>
              </w:rPr>
              <w:t>Tekstil, folyo ve kağıdın kaplanması (</w:t>
            </w:r>
            <w:r w:rsidRPr="000A48E1">
              <w:rPr>
                <w:rFonts w:ascii="Times New Roman" w:eastAsia="Times New Roman" w:hAnsi="Times New Roman" w:cs="Times New Roman"/>
                <w:vertAlign w:val="superscript"/>
              </w:rPr>
              <w:t>5</w:t>
            </w:r>
            <w:r w:rsidRPr="000A48E1">
              <w:rPr>
                <w:rFonts w:ascii="Times New Roman" w:eastAsia="Times New Roman" w:hAnsi="Times New Roman" w:cs="Times New Roman"/>
              </w:rPr>
              <w:t>)</w:t>
            </w:r>
          </w:p>
        </w:tc>
        <w:tc>
          <w:tcPr>
            <w:tcW w:w="912" w:type="pct"/>
            <w:vAlign w:val="center"/>
          </w:tcPr>
          <w:p w14:paraId="40BDA9DD" w14:textId="77777777" w:rsidR="003B155E" w:rsidRPr="000A48E1"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48E1">
              <w:rPr>
                <w:rFonts w:ascii="Times New Roman" w:eastAsia="Times New Roman" w:hAnsi="Times New Roman" w:cs="Times New Roman"/>
              </w:rPr>
              <w:t>TS EN ISO 16189</w:t>
            </w:r>
          </w:p>
          <w:p w14:paraId="472A5242" w14:textId="77777777" w:rsidR="003B155E" w:rsidRPr="000A48E1"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48E1">
              <w:rPr>
                <w:rFonts w:ascii="Times New Roman" w:eastAsia="Times New Roman" w:hAnsi="Times New Roman" w:cs="Times New Roman"/>
              </w:rPr>
              <w:t>EN standardı mevcut değil (</w:t>
            </w:r>
            <w:r w:rsidRPr="000A48E1">
              <w:rPr>
                <w:rFonts w:ascii="Times New Roman" w:eastAsia="Times New Roman" w:hAnsi="Times New Roman" w:cs="Times New Roman"/>
                <w:vertAlign w:val="superscript"/>
              </w:rPr>
              <w:t>6</w:t>
            </w:r>
            <w:r w:rsidRPr="000A48E1">
              <w:rPr>
                <w:rFonts w:ascii="Times New Roman" w:eastAsia="Times New Roman" w:hAnsi="Times New Roman" w:cs="Times New Roman"/>
              </w:rPr>
              <w:t>)</w:t>
            </w:r>
          </w:p>
        </w:tc>
        <w:tc>
          <w:tcPr>
            <w:tcW w:w="809" w:type="pct"/>
            <w:vAlign w:val="center"/>
          </w:tcPr>
          <w:p w14:paraId="3DA2990D" w14:textId="77777777" w:rsidR="003B155E" w:rsidRPr="000A5D99" w:rsidRDefault="003B155E" w:rsidP="000D79D6">
            <w:pPr>
              <w:widowControl w:val="0"/>
              <w:autoSpaceDE w:val="0"/>
              <w:autoSpaceDN w:val="0"/>
              <w:spacing w:after="0" w:line="240" w:lineRule="auto"/>
              <w:ind w:left="74" w:right="74" w:hanging="2"/>
              <w:rPr>
                <w:rFonts w:ascii="Times New Roman" w:eastAsia="Times New Roman" w:hAnsi="Times New Roman" w:cs="Times New Roman"/>
              </w:rPr>
            </w:pPr>
            <w:r w:rsidRPr="000A5D99">
              <w:rPr>
                <w:rFonts w:ascii="Times New Roman" w:eastAsia="Times New Roman" w:hAnsi="Times New Roman" w:cs="Times New Roman"/>
              </w:rPr>
              <w:t>Her üç ayda bir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c>
          <w:tcPr>
            <w:tcW w:w="814" w:type="pct"/>
            <w:vAlign w:val="center"/>
          </w:tcPr>
          <w:p w14:paraId="21D650DB" w14:textId="77777777" w:rsidR="003B155E" w:rsidRPr="0096283A"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96283A">
              <w:rPr>
                <w:rFonts w:ascii="Times New Roman" w:eastAsia="Times New Roman" w:hAnsi="Times New Roman" w:cs="Times New Roman"/>
              </w:rPr>
              <w:t>MET 15</w:t>
            </w:r>
          </w:p>
        </w:tc>
      </w:tr>
      <w:tr w:rsidR="003B155E" w:rsidRPr="000A5D99" w14:paraId="3DF9FC84" w14:textId="77777777" w:rsidTr="000D79D6">
        <w:trPr>
          <w:trHeight w:val="700"/>
        </w:trPr>
        <w:tc>
          <w:tcPr>
            <w:tcW w:w="706" w:type="pct"/>
            <w:vAlign w:val="center"/>
          </w:tcPr>
          <w:p w14:paraId="3848395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NO</w:t>
            </w:r>
            <w:r w:rsidRPr="000A5D99">
              <w:rPr>
                <w:rFonts w:ascii="Times New Roman" w:eastAsia="Times New Roman" w:hAnsi="Times New Roman" w:cs="Times New Roman"/>
                <w:vertAlign w:val="subscript"/>
              </w:rPr>
              <w:t>x</w:t>
            </w:r>
          </w:p>
        </w:tc>
        <w:tc>
          <w:tcPr>
            <w:tcW w:w="1759" w:type="pct"/>
            <w:gridSpan w:val="2"/>
            <w:vAlign w:val="center"/>
          </w:tcPr>
          <w:p w14:paraId="45CBC63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gazlarının ısıl işlemi</w:t>
            </w:r>
          </w:p>
        </w:tc>
        <w:tc>
          <w:tcPr>
            <w:tcW w:w="912" w:type="pct"/>
            <w:vAlign w:val="center"/>
          </w:tcPr>
          <w:p w14:paraId="357F49F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TS EN 14792</w:t>
            </w:r>
          </w:p>
        </w:tc>
        <w:tc>
          <w:tcPr>
            <w:tcW w:w="809" w:type="pct"/>
            <w:vAlign w:val="center"/>
          </w:tcPr>
          <w:p w14:paraId="6F45BF2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Yılda bir kez (</w:t>
            </w:r>
            <w:r w:rsidRPr="000A5D99">
              <w:rPr>
                <w:rFonts w:ascii="Times New Roman" w:eastAsia="Times New Roman" w:hAnsi="Times New Roman" w:cs="Times New Roman"/>
                <w:vertAlign w:val="superscript"/>
              </w:rPr>
              <w:t>7</w:t>
            </w:r>
            <w:r w:rsidRPr="000A5D99">
              <w:rPr>
                <w:rFonts w:ascii="Times New Roman" w:eastAsia="Times New Roman" w:hAnsi="Times New Roman" w:cs="Times New Roman"/>
              </w:rPr>
              <w:t>)</w:t>
            </w:r>
          </w:p>
        </w:tc>
        <w:tc>
          <w:tcPr>
            <w:tcW w:w="814" w:type="pct"/>
            <w:vAlign w:val="center"/>
          </w:tcPr>
          <w:p w14:paraId="61C42CDD" w14:textId="77777777" w:rsidR="003B155E" w:rsidRPr="0096283A"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96283A">
              <w:rPr>
                <w:rFonts w:ascii="Times New Roman" w:eastAsia="Times New Roman" w:hAnsi="Times New Roman" w:cs="Times New Roman"/>
              </w:rPr>
              <w:t>MET 17</w:t>
            </w:r>
          </w:p>
        </w:tc>
      </w:tr>
      <w:tr w:rsidR="003B155E" w:rsidRPr="000A5D99" w14:paraId="7D4CD089" w14:textId="77777777" w:rsidTr="000D79D6">
        <w:trPr>
          <w:trHeight w:val="699"/>
        </w:trPr>
        <w:tc>
          <w:tcPr>
            <w:tcW w:w="706" w:type="pct"/>
            <w:vAlign w:val="center"/>
          </w:tcPr>
          <w:p w14:paraId="3A5932D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CO</w:t>
            </w:r>
          </w:p>
        </w:tc>
        <w:tc>
          <w:tcPr>
            <w:tcW w:w="1759" w:type="pct"/>
            <w:gridSpan w:val="2"/>
            <w:vAlign w:val="center"/>
          </w:tcPr>
          <w:p w14:paraId="0AFF2DC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gazlarının ısıl işlemi</w:t>
            </w:r>
          </w:p>
        </w:tc>
        <w:tc>
          <w:tcPr>
            <w:tcW w:w="912" w:type="pct"/>
            <w:vAlign w:val="center"/>
          </w:tcPr>
          <w:p w14:paraId="7A8B16E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TS EN 15058</w:t>
            </w:r>
          </w:p>
        </w:tc>
        <w:tc>
          <w:tcPr>
            <w:tcW w:w="809" w:type="pct"/>
            <w:vAlign w:val="center"/>
          </w:tcPr>
          <w:p w14:paraId="44FBB6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Yılda bir kez (</w:t>
            </w:r>
            <w:r w:rsidRPr="000A5D99">
              <w:rPr>
                <w:rFonts w:ascii="Times New Roman" w:eastAsia="Times New Roman" w:hAnsi="Times New Roman" w:cs="Times New Roman"/>
                <w:vertAlign w:val="superscript"/>
              </w:rPr>
              <w:t>7</w:t>
            </w:r>
            <w:r w:rsidRPr="000A5D99">
              <w:rPr>
                <w:rFonts w:ascii="Times New Roman" w:eastAsia="Times New Roman" w:hAnsi="Times New Roman" w:cs="Times New Roman"/>
              </w:rPr>
              <w:t>)</w:t>
            </w:r>
          </w:p>
        </w:tc>
        <w:tc>
          <w:tcPr>
            <w:tcW w:w="814" w:type="pct"/>
            <w:vAlign w:val="center"/>
          </w:tcPr>
          <w:p w14:paraId="0787BC3B" w14:textId="77777777" w:rsidR="003B155E" w:rsidRPr="0096283A"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96283A">
              <w:rPr>
                <w:rFonts w:ascii="Times New Roman" w:eastAsia="Times New Roman" w:hAnsi="Times New Roman" w:cs="Times New Roman"/>
              </w:rPr>
              <w:t>MET 17</w:t>
            </w:r>
          </w:p>
        </w:tc>
      </w:tr>
      <w:tr w:rsidR="003B155E" w:rsidRPr="000A5D99" w14:paraId="62F005EF" w14:textId="77777777" w:rsidTr="000D79D6">
        <w:trPr>
          <w:trHeight w:val="3105"/>
        </w:trPr>
        <w:tc>
          <w:tcPr>
            <w:tcW w:w="5000" w:type="pct"/>
            <w:gridSpan w:val="6"/>
            <w:vAlign w:val="center"/>
          </w:tcPr>
          <w:p w14:paraId="06E92550" w14:textId="77777777" w:rsidR="003B155E" w:rsidRPr="0082590D" w:rsidRDefault="003B155E" w:rsidP="003B155E">
            <w:pPr>
              <w:widowControl w:val="0"/>
              <w:numPr>
                <w:ilvl w:val="0"/>
                <w:numId w:val="130"/>
              </w:numPr>
              <w:tabs>
                <w:tab w:val="left" w:pos="336"/>
              </w:tabs>
              <w:autoSpaceDE w:val="0"/>
              <w:autoSpaceDN w:val="0"/>
              <w:spacing w:after="0" w:line="240" w:lineRule="auto"/>
              <w:ind w:left="343" w:right="74" w:hanging="269"/>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Mümkün olduğu ölçüde, ölçümler normal çalışma koşulları altında beklenen en yüksek emisyon durumunda gerçekleştirilir.</w:t>
            </w:r>
          </w:p>
          <w:p w14:paraId="3949262F" w14:textId="77777777" w:rsidR="003B155E" w:rsidRPr="0082590D" w:rsidRDefault="003B155E" w:rsidP="003B155E">
            <w:pPr>
              <w:widowControl w:val="0"/>
              <w:numPr>
                <w:ilvl w:val="0"/>
                <w:numId w:val="130"/>
              </w:numPr>
              <w:tabs>
                <w:tab w:val="left" w:pos="342"/>
              </w:tabs>
              <w:autoSpaceDE w:val="0"/>
              <w:autoSpaceDN w:val="0"/>
              <w:spacing w:after="0" w:line="240" w:lineRule="auto"/>
              <w:ind w:left="343" w:right="74" w:hanging="269"/>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0,1 kg C/saat’ten daha düşük bir TUOB yükü durumunda veya 0,3 kg C/saat’ten daha düşük azalmayan ve sabit bir TUOB yükü durumunda, izleme sıklığı 3 yılda bire düşürülebilir veya eşdeğer bilimsel kalitede veri sunulmasını sağlamak kaydıyla ölçüm hesaplama ile değiştirilebilir.</w:t>
            </w:r>
          </w:p>
          <w:p w14:paraId="464AB4C9" w14:textId="77777777" w:rsidR="003B155E" w:rsidRPr="0082590D" w:rsidRDefault="003B155E" w:rsidP="003B155E">
            <w:pPr>
              <w:widowControl w:val="0"/>
              <w:numPr>
                <w:ilvl w:val="0"/>
                <w:numId w:val="130"/>
              </w:numPr>
              <w:tabs>
                <w:tab w:val="left" w:pos="389"/>
              </w:tabs>
              <w:autoSpaceDE w:val="0"/>
              <w:autoSpaceDN w:val="0"/>
              <w:spacing w:after="0" w:line="240" w:lineRule="auto"/>
              <w:ind w:left="343" w:right="74" w:hanging="269"/>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Çıkan gazların ısıl işlemi için yanma odasındaki sıcaklık sürekli olarak ölçülür. Bu, optimize edilmiş sıcaklık penceresinin dışına düşen sıcaklıklar için bir alarm sistemi ile birleştirilmiştir.</w:t>
            </w:r>
          </w:p>
          <w:p w14:paraId="3B066972" w14:textId="77777777" w:rsidR="003B155E" w:rsidRPr="0082590D" w:rsidRDefault="003B155E" w:rsidP="003B155E">
            <w:pPr>
              <w:widowControl w:val="0"/>
              <w:numPr>
                <w:ilvl w:val="0"/>
                <w:numId w:val="130"/>
              </w:numPr>
              <w:tabs>
                <w:tab w:val="left" w:pos="406"/>
              </w:tabs>
              <w:autoSpaceDE w:val="0"/>
              <w:autoSpaceDN w:val="0"/>
              <w:spacing w:after="0" w:line="240" w:lineRule="auto"/>
              <w:ind w:left="343" w:right="74" w:hanging="269"/>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Sürekli ölçümler için genel TS EN standartları TS EN15267-1, TS EN15267-2, TS EN15267-3 ve TS EN 14181'dir.</w:t>
            </w:r>
          </w:p>
          <w:p w14:paraId="00081FDF" w14:textId="77777777" w:rsidR="003B155E" w:rsidRPr="0082590D" w:rsidRDefault="003B155E" w:rsidP="003B155E">
            <w:pPr>
              <w:widowControl w:val="0"/>
              <w:numPr>
                <w:ilvl w:val="0"/>
                <w:numId w:val="130"/>
              </w:numPr>
              <w:tabs>
                <w:tab w:val="left" w:pos="334"/>
              </w:tabs>
              <w:autoSpaceDE w:val="0"/>
              <w:autoSpaceDN w:val="0"/>
              <w:spacing w:after="0" w:line="240" w:lineRule="auto"/>
              <w:ind w:left="301" w:right="74" w:hanging="227"/>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İzleme, yalnızca süreçlerde DMF kullanılıyorsa geçerlidir.</w:t>
            </w:r>
          </w:p>
          <w:p w14:paraId="52BB5F3D" w14:textId="77777777" w:rsidR="003B155E" w:rsidRPr="0082590D" w:rsidRDefault="003B155E" w:rsidP="003B155E">
            <w:pPr>
              <w:widowControl w:val="0"/>
              <w:numPr>
                <w:ilvl w:val="0"/>
                <w:numId w:val="130"/>
              </w:numPr>
              <w:tabs>
                <w:tab w:val="left" w:pos="334"/>
              </w:tabs>
              <w:autoSpaceDE w:val="0"/>
              <w:autoSpaceDN w:val="0"/>
              <w:spacing w:after="0" w:line="240" w:lineRule="auto"/>
              <w:ind w:right="74"/>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Bir EN standardı mevcut değilse, ölçüm, yoğun fazda bulunan DMF'yi içerir.</w:t>
            </w:r>
          </w:p>
          <w:p w14:paraId="79418DF6" w14:textId="77777777" w:rsidR="003B155E" w:rsidRPr="000A5D99" w:rsidRDefault="003B155E" w:rsidP="003B155E">
            <w:pPr>
              <w:widowControl w:val="0"/>
              <w:numPr>
                <w:ilvl w:val="0"/>
                <w:numId w:val="130"/>
              </w:numPr>
              <w:tabs>
                <w:tab w:val="left" w:pos="335"/>
              </w:tabs>
              <w:autoSpaceDE w:val="0"/>
              <w:autoSpaceDN w:val="0"/>
              <w:spacing w:after="0" w:line="240" w:lineRule="auto"/>
              <w:ind w:left="343" w:right="74" w:hanging="269"/>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TUOB yükü 0,1 kg C/saat’ten az olan bir baca durumunda, izleme sıklığı her 3 yılda bire düşürülebilir.</w:t>
            </w:r>
          </w:p>
        </w:tc>
      </w:tr>
    </w:tbl>
    <w:p w14:paraId="2D208D7F" w14:textId="77777777" w:rsidR="003B155E" w:rsidRPr="000A5D99" w:rsidRDefault="003B155E" w:rsidP="003B155E">
      <w:pPr>
        <w:keepNext/>
        <w:keepLines/>
        <w:numPr>
          <w:ilvl w:val="3"/>
          <w:numId w:val="207"/>
        </w:numPr>
        <w:spacing w:before="240" w:after="120" w:line="360" w:lineRule="auto"/>
        <w:jc w:val="both"/>
        <w:outlineLvl w:val="2"/>
        <w:rPr>
          <w:rFonts w:ascii="Times New Roman" w:eastAsia="DengXian Light" w:hAnsi="Times New Roman" w:cs="Microsoft Uighur"/>
          <w:b/>
          <w:sz w:val="24"/>
          <w:szCs w:val="24"/>
          <w:lang w:val="en-US"/>
        </w:rPr>
      </w:pPr>
      <w:r w:rsidRPr="000A5D99">
        <w:rPr>
          <w:rFonts w:ascii="Times New Roman" w:eastAsia="DengXian Light" w:hAnsi="Times New Roman" w:cs="Microsoft Uighur"/>
          <w:b/>
          <w:sz w:val="24"/>
          <w:szCs w:val="24"/>
          <w:lang w:val="en-US"/>
        </w:rPr>
        <w:t>Suya emisyonlar</w:t>
      </w:r>
    </w:p>
    <w:p w14:paraId="54E11BA6"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12: </w:t>
      </w:r>
      <w:r w:rsidRPr="000A5D99">
        <w:rPr>
          <w:rFonts w:ascii="Times New Roman" w:eastAsia="Calibri" w:hAnsi="Times New Roman" w:cs="Calibri"/>
          <w:sz w:val="24"/>
          <w:lang w:val="en-US"/>
        </w:rPr>
        <w:t>Suya salınan emisyonlar en az aşağıda verilen sıklıkta ve TS EN standartlarına uygun olarak izlenir. TS EN standartları mevcut değilse, eşdeğer bir bilimsel kaliteye sahip verilerin sunulmasını sağlayan ISO standartları, ulusal veya diğer uluslararası standartlar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39"/>
        <w:gridCol w:w="2473"/>
        <w:gridCol w:w="1865"/>
        <w:gridCol w:w="1528"/>
        <w:gridCol w:w="1657"/>
      </w:tblGrid>
      <w:tr w:rsidR="003B155E" w:rsidRPr="000A5D99" w14:paraId="6B568C0C" w14:textId="77777777" w:rsidTr="000D79D6">
        <w:trPr>
          <w:trHeight w:val="689"/>
          <w:tblHeader/>
        </w:trPr>
        <w:tc>
          <w:tcPr>
            <w:tcW w:w="754" w:type="pct"/>
            <w:vAlign w:val="center"/>
          </w:tcPr>
          <w:p w14:paraId="5AEE9954" w14:textId="77777777" w:rsidR="003B155E" w:rsidRPr="000A5D99" w:rsidRDefault="003B155E" w:rsidP="000D79D6">
            <w:pPr>
              <w:widowControl w:val="0"/>
              <w:autoSpaceDE w:val="0"/>
              <w:autoSpaceDN w:val="0"/>
              <w:spacing w:after="0" w:line="240" w:lineRule="auto"/>
              <w:ind w:left="74" w:right="74" w:hanging="6"/>
              <w:jc w:val="center"/>
              <w:rPr>
                <w:rFonts w:ascii="Times New Roman" w:eastAsia="Times New Roman" w:hAnsi="Times New Roman" w:cs="Times New Roman"/>
                <w:b/>
              </w:rPr>
            </w:pPr>
            <w:r w:rsidRPr="000A5D99">
              <w:rPr>
                <w:rFonts w:ascii="Times New Roman" w:eastAsia="Times New Roman" w:hAnsi="Times New Roman" w:cs="Times New Roman"/>
                <w:b/>
              </w:rPr>
              <w:t>Madde/ Parametre</w:t>
            </w:r>
          </w:p>
        </w:tc>
        <w:tc>
          <w:tcPr>
            <w:tcW w:w="1388" w:type="pct"/>
            <w:vAlign w:val="center"/>
          </w:tcPr>
          <w:p w14:paraId="0E7D062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w:t>
            </w:r>
          </w:p>
        </w:tc>
        <w:tc>
          <w:tcPr>
            <w:tcW w:w="1053" w:type="pct"/>
            <w:vAlign w:val="center"/>
          </w:tcPr>
          <w:p w14:paraId="6D62E44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Standart(lar)</w:t>
            </w:r>
          </w:p>
        </w:tc>
        <w:tc>
          <w:tcPr>
            <w:tcW w:w="867" w:type="pct"/>
            <w:vAlign w:val="center"/>
          </w:tcPr>
          <w:p w14:paraId="05DD7D20" w14:textId="77777777" w:rsidR="003B155E" w:rsidRPr="000A5D99" w:rsidRDefault="003B155E" w:rsidP="000D79D6">
            <w:pPr>
              <w:widowControl w:val="0"/>
              <w:autoSpaceDE w:val="0"/>
              <w:autoSpaceDN w:val="0"/>
              <w:spacing w:after="0" w:line="240" w:lineRule="auto"/>
              <w:ind w:left="74" w:right="74" w:firstLine="50"/>
              <w:jc w:val="center"/>
              <w:rPr>
                <w:rFonts w:ascii="Times New Roman" w:eastAsia="Times New Roman" w:hAnsi="Times New Roman" w:cs="Times New Roman"/>
                <w:b/>
              </w:rPr>
            </w:pPr>
            <w:r w:rsidRPr="000A5D99">
              <w:rPr>
                <w:rFonts w:ascii="Times New Roman" w:eastAsia="Times New Roman" w:hAnsi="Times New Roman" w:cs="Times New Roman"/>
                <w:b/>
              </w:rPr>
              <w:t>Asgari izleme sıklığı</w:t>
            </w:r>
          </w:p>
        </w:tc>
        <w:tc>
          <w:tcPr>
            <w:tcW w:w="938" w:type="pct"/>
            <w:vAlign w:val="center"/>
          </w:tcPr>
          <w:p w14:paraId="1D15E09C" w14:textId="77777777" w:rsidR="003B155E" w:rsidRPr="000A5D99" w:rsidRDefault="003B155E" w:rsidP="000D79D6">
            <w:pPr>
              <w:widowControl w:val="0"/>
              <w:autoSpaceDE w:val="0"/>
              <w:autoSpaceDN w:val="0"/>
              <w:spacing w:after="0" w:line="240" w:lineRule="auto"/>
              <w:ind w:left="74" w:right="74" w:firstLine="158"/>
              <w:jc w:val="center"/>
              <w:rPr>
                <w:rFonts w:ascii="Times New Roman" w:eastAsia="Times New Roman" w:hAnsi="Times New Roman" w:cs="Times New Roman"/>
                <w:b/>
              </w:rPr>
            </w:pPr>
            <w:r w:rsidRPr="000A5D99">
              <w:rPr>
                <w:rFonts w:ascii="Times New Roman" w:eastAsia="Times New Roman" w:hAnsi="Times New Roman" w:cs="Times New Roman"/>
                <w:b/>
              </w:rPr>
              <w:t>İzlemenin ilgili olduğu teknik</w:t>
            </w:r>
          </w:p>
        </w:tc>
      </w:tr>
      <w:tr w:rsidR="003B155E" w:rsidRPr="000A5D99" w14:paraId="6E29D8CC" w14:textId="77777777" w:rsidTr="000D79D6">
        <w:trPr>
          <w:trHeight w:val="339"/>
        </w:trPr>
        <w:tc>
          <w:tcPr>
            <w:tcW w:w="754" w:type="pct"/>
            <w:vMerge w:val="restart"/>
            <w:vAlign w:val="center"/>
          </w:tcPr>
          <w:p w14:paraId="72479E3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Toplam askıda katı madde (AKM)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c>
          <w:tcPr>
            <w:tcW w:w="1388" w:type="pct"/>
            <w:vAlign w:val="center"/>
          </w:tcPr>
          <w:p w14:paraId="408DBFE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val="restart"/>
            <w:vAlign w:val="center"/>
          </w:tcPr>
          <w:p w14:paraId="190800F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872</w:t>
            </w:r>
          </w:p>
        </w:tc>
        <w:tc>
          <w:tcPr>
            <w:tcW w:w="867" w:type="pct"/>
            <w:vMerge w:val="restart"/>
            <w:vAlign w:val="center"/>
          </w:tcPr>
          <w:p w14:paraId="631A1431" w14:textId="77777777" w:rsidR="003B155E" w:rsidRPr="000A5D99" w:rsidRDefault="003B155E" w:rsidP="000D79D6">
            <w:pPr>
              <w:widowControl w:val="0"/>
              <w:autoSpaceDE w:val="0"/>
              <w:autoSpaceDN w:val="0"/>
              <w:spacing w:after="0" w:line="240" w:lineRule="auto"/>
              <w:ind w:left="74" w:right="74" w:firstLine="20"/>
              <w:jc w:val="both"/>
              <w:rPr>
                <w:rFonts w:ascii="Times New Roman" w:eastAsia="Times New Roman" w:hAnsi="Times New Roman" w:cs="Times New Roman"/>
              </w:rPr>
            </w:pPr>
            <w:r w:rsidRPr="000A5D99">
              <w:rPr>
                <w:rFonts w:ascii="Times New Roman" w:eastAsia="Times New Roman" w:hAnsi="Times New Roman" w:cs="Times New Roman"/>
              </w:rPr>
              <w:t>Ayda bir kez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938" w:type="pct"/>
            <w:vMerge w:val="restart"/>
            <w:vAlign w:val="center"/>
          </w:tcPr>
          <w:p w14:paraId="7A857D6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bCs/>
              </w:rPr>
            </w:pPr>
            <w:r w:rsidRPr="000A5D99">
              <w:rPr>
                <w:rFonts w:ascii="Times New Roman" w:eastAsia="Times New Roman" w:hAnsi="Times New Roman" w:cs="Times New Roman"/>
                <w:b/>
                <w:bCs/>
              </w:rPr>
              <w:t>MET 21</w:t>
            </w:r>
          </w:p>
        </w:tc>
      </w:tr>
      <w:tr w:rsidR="003B155E" w:rsidRPr="000A5D99" w14:paraId="1E88E0D4" w14:textId="77777777" w:rsidTr="000D79D6">
        <w:trPr>
          <w:trHeight w:val="337"/>
        </w:trPr>
        <w:tc>
          <w:tcPr>
            <w:tcW w:w="754" w:type="pct"/>
            <w:vMerge/>
            <w:tcBorders>
              <w:top w:val="nil"/>
            </w:tcBorders>
            <w:vAlign w:val="center"/>
          </w:tcPr>
          <w:p w14:paraId="566F036B"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7BE2FCB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4E05879E"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4530868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71A6940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16F96F4F" w14:textId="77777777" w:rsidTr="000D79D6">
        <w:trPr>
          <w:trHeight w:val="690"/>
        </w:trPr>
        <w:tc>
          <w:tcPr>
            <w:tcW w:w="754" w:type="pct"/>
            <w:vMerge/>
            <w:tcBorders>
              <w:top w:val="nil"/>
            </w:tcBorders>
            <w:vAlign w:val="center"/>
          </w:tcPr>
          <w:p w14:paraId="0425DF3D"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3BF1DFC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 (yalnızca DWI kutular için)</w:t>
            </w:r>
          </w:p>
        </w:tc>
        <w:tc>
          <w:tcPr>
            <w:tcW w:w="1053" w:type="pct"/>
            <w:vMerge/>
            <w:tcBorders>
              <w:top w:val="nil"/>
            </w:tcBorders>
            <w:vAlign w:val="center"/>
          </w:tcPr>
          <w:p w14:paraId="4923C7F7"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7CBB184F"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30A076C7"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6A5EBE79" w14:textId="77777777" w:rsidTr="000D79D6">
        <w:trPr>
          <w:trHeight w:val="339"/>
        </w:trPr>
        <w:tc>
          <w:tcPr>
            <w:tcW w:w="754" w:type="pct"/>
            <w:vMerge w:val="restart"/>
            <w:vAlign w:val="center"/>
          </w:tcPr>
          <w:p w14:paraId="7A2FFA5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Kimyasal oksiyen ihtiyacı (KOİ)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c>
          <w:tcPr>
            <w:tcW w:w="1388" w:type="pct"/>
            <w:vAlign w:val="center"/>
          </w:tcPr>
          <w:p w14:paraId="1DA306B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val="restart"/>
            <w:vAlign w:val="center"/>
          </w:tcPr>
          <w:p w14:paraId="124555C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Pr>
                <w:rFonts w:ascii="Times New Roman" w:eastAsia="Times New Roman" w:hAnsi="Times New Roman" w:cs="Times New Roman"/>
              </w:rPr>
              <w:t>TS 2789</w:t>
            </w:r>
          </w:p>
        </w:tc>
        <w:tc>
          <w:tcPr>
            <w:tcW w:w="867" w:type="pct"/>
            <w:vMerge/>
            <w:tcBorders>
              <w:top w:val="nil"/>
            </w:tcBorders>
            <w:vAlign w:val="center"/>
          </w:tcPr>
          <w:p w14:paraId="08F7743B"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938" w:type="pct"/>
            <w:vMerge/>
            <w:tcBorders>
              <w:top w:val="nil"/>
            </w:tcBorders>
            <w:vAlign w:val="center"/>
          </w:tcPr>
          <w:p w14:paraId="1832A7DE"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2FD0FA5D" w14:textId="77777777" w:rsidTr="000D79D6">
        <w:trPr>
          <w:trHeight w:val="340"/>
        </w:trPr>
        <w:tc>
          <w:tcPr>
            <w:tcW w:w="754" w:type="pct"/>
            <w:vMerge/>
            <w:tcBorders>
              <w:top w:val="nil"/>
            </w:tcBorders>
            <w:vAlign w:val="center"/>
          </w:tcPr>
          <w:p w14:paraId="4FBE0518"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47D63B1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00A5C53D"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728C6D8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1051DE7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46C01C03" w14:textId="77777777" w:rsidTr="000D79D6">
        <w:trPr>
          <w:trHeight w:val="689"/>
        </w:trPr>
        <w:tc>
          <w:tcPr>
            <w:tcW w:w="754" w:type="pct"/>
            <w:vMerge/>
            <w:tcBorders>
              <w:top w:val="nil"/>
            </w:tcBorders>
            <w:vAlign w:val="center"/>
          </w:tcPr>
          <w:p w14:paraId="7F2187EA"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44681CC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Metal ambalajların kaplanması ve basılması </w:t>
            </w:r>
            <w:r w:rsidRPr="000A5D99">
              <w:rPr>
                <w:rFonts w:ascii="Times New Roman" w:eastAsia="Times New Roman" w:hAnsi="Times New Roman" w:cs="Times New Roman"/>
              </w:rPr>
              <w:lastRenderedPageBreak/>
              <w:t>(yalnızca DWI kutular için)</w:t>
            </w:r>
          </w:p>
        </w:tc>
        <w:tc>
          <w:tcPr>
            <w:tcW w:w="1053" w:type="pct"/>
            <w:vMerge/>
            <w:tcBorders>
              <w:top w:val="nil"/>
            </w:tcBorders>
            <w:vAlign w:val="center"/>
          </w:tcPr>
          <w:p w14:paraId="69261454"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74E6C044"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536AE42B"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0B973A9" w14:textId="77777777" w:rsidTr="000D79D6">
        <w:trPr>
          <w:trHeight w:val="339"/>
        </w:trPr>
        <w:tc>
          <w:tcPr>
            <w:tcW w:w="754" w:type="pct"/>
            <w:vMerge w:val="restart"/>
            <w:vAlign w:val="center"/>
          </w:tcPr>
          <w:p w14:paraId="52FF897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Toplam organik karbon (TOK)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c>
          <w:tcPr>
            <w:tcW w:w="1388" w:type="pct"/>
            <w:vAlign w:val="center"/>
          </w:tcPr>
          <w:p w14:paraId="304A578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val="restart"/>
            <w:vAlign w:val="center"/>
          </w:tcPr>
          <w:p w14:paraId="2F0D9F9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8295 EN 1484</w:t>
            </w:r>
          </w:p>
        </w:tc>
        <w:tc>
          <w:tcPr>
            <w:tcW w:w="867" w:type="pct"/>
            <w:vMerge/>
            <w:tcBorders>
              <w:top w:val="nil"/>
            </w:tcBorders>
            <w:vAlign w:val="center"/>
          </w:tcPr>
          <w:p w14:paraId="38AFC510"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4A27B78D"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1ED6399B" w14:textId="77777777" w:rsidTr="000D79D6">
        <w:trPr>
          <w:trHeight w:val="340"/>
        </w:trPr>
        <w:tc>
          <w:tcPr>
            <w:tcW w:w="754" w:type="pct"/>
            <w:vMerge/>
            <w:tcBorders>
              <w:top w:val="nil"/>
            </w:tcBorders>
            <w:vAlign w:val="center"/>
          </w:tcPr>
          <w:p w14:paraId="159719A0"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60BED31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13B4C32B"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18B009BD"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34724538"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6F29C780" w14:textId="77777777" w:rsidTr="000D79D6">
        <w:trPr>
          <w:trHeight w:val="689"/>
        </w:trPr>
        <w:tc>
          <w:tcPr>
            <w:tcW w:w="754" w:type="pct"/>
            <w:vMerge/>
            <w:tcBorders>
              <w:top w:val="nil"/>
            </w:tcBorders>
            <w:vAlign w:val="center"/>
          </w:tcPr>
          <w:p w14:paraId="1B6CB4FF"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34684B4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 (yalnızca DWI kutular için)</w:t>
            </w:r>
          </w:p>
        </w:tc>
        <w:tc>
          <w:tcPr>
            <w:tcW w:w="1053" w:type="pct"/>
            <w:vMerge/>
            <w:tcBorders>
              <w:top w:val="nil"/>
            </w:tcBorders>
            <w:vAlign w:val="center"/>
          </w:tcPr>
          <w:p w14:paraId="201C4520"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779492C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19D08277"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5F12C08" w14:textId="77777777" w:rsidTr="000D79D6">
        <w:trPr>
          <w:trHeight w:val="454"/>
        </w:trPr>
        <w:tc>
          <w:tcPr>
            <w:tcW w:w="754" w:type="pct"/>
            <w:vMerge w:val="restart"/>
            <w:vAlign w:val="center"/>
          </w:tcPr>
          <w:p w14:paraId="30D763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Cr(VI) (</w:t>
            </w:r>
            <w:r w:rsidRPr="000A5D99">
              <w:rPr>
                <w:rFonts w:ascii="Times New Roman" w:eastAsia="Times New Roman" w:hAnsi="Times New Roman" w:cs="Times New Roman"/>
                <w:vertAlign w:val="superscript"/>
              </w:rPr>
              <w:t>5</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388" w:type="pct"/>
            <w:vAlign w:val="center"/>
          </w:tcPr>
          <w:p w14:paraId="5203872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Uçakların kaplanması</w:t>
            </w:r>
          </w:p>
        </w:tc>
        <w:tc>
          <w:tcPr>
            <w:tcW w:w="1053" w:type="pct"/>
            <w:vMerge w:val="restart"/>
            <w:vAlign w:val="center"/>
          </w:tcPr>
          <w:p w14:paraId="6C643DD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10304-3 veya</w:t>
            </w:r>
          </w:p>
          <w:p w14:paraId="5CA5C2D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23913</w:t>
            </w:r>
          </w:p>
        </w:tc>
        <w:tc>
          <w:tcPr>
            <w:tcW w:w="867" w:type="pct"/>
            <w:vMerge/>
            <w:tcBorders>
              <w:top w:val="nil"/>
            </w:tcBorders>
            <w:vAlign w:val="center"/>
          </w:tcPr>
          <w:p w14:paraId="5E317D10" w14:textId="77777777" w:rsidR="003B155E" w:rsidRPr="000A5D99" w:rsidRDefault="003B155E" w:rsidP="000D79D6">
            <w:pPr>
              <w:spacing w:after="0" w:line="240" w:lineRule="auto"/>
              <w:ind w:left="74" w:right="74"/>
              <w:jc w:val="both"/>
              <w:rPr>
                <w:rFonts w:ascii="Times New Roman" w:eastAsia="Calibri" w:hAnsi="Times New Roman" w:cs="Times New Roman"/>
                <w:lang w:val="es-ES"/>
              </w:rPr>
            </w:pPr>
          </w:p>
        </w:tc>
        <w:tc>
          <w:tcPr>
            <w:tcW w:w="938" w:type="pct"/>
            <w:vMerge/>
            <w:tcBorders>
              <w:top w:val="nil"/>
            </w:tcBorders>
            <w:vAlign w:val="center"/>
          </w:tcPr>
          <w:p w14:paraId="2B97B46B" w14:textId="77777777" w:rsidR="003B155E" w:rsidRPr="000A5D99" w:rsidRDefault="003B155E" w:rsidP="000D79D6">
            <w:pPr>
              <w:spacing w:after="0" w:line="240" w:lineRule="auto"/>
              <w:ind w:left="74" w:right="74"/>
              <w:jc w:val="both"/>
              <w:rPr>
                <w:rFonts w:ascii="Times New Roman" w:eastAsia="Calibri" w:hAnsi="Times New Roman" w:cs="Times New Roman"/>
                <w:lang w:val="es-ES"/>
              </w:rPr>
            </w:pPr>
          </w:p>
        </w:tc>
      </w:tr>
      <w:tr w:rsidR="003B155E" w:rsidRPr="000A5D99" w14:paraId="62CB47C5" w14:textId="77777777" w:rsidTr="000D79D6">
        <w:trPr>
          <w:trHeight w:val="230"/>
        </w:trPr>
        <w:tc>
          <w:tcPr>
            <w:tcW w:w="754" w:type="pct"/>
            <w:vMerge/>
            <w:tcBorders>
              <w:top w:val="nil"/>
            </w:tcBorders>
            <w:vAlign w:val="center"/>
          </w:tcPr>
          <w:p w14:paraId="403333D4" w14:textId="77777777" w:rsidR="003B155E" w:rsidRPr="000A5D99" w:rsidRDefault="003B155E" w:rsidP="000D79D6">
            <w:pPr>
              <w:spacing w:after="0" w:line="240" w:lineRule="auto"/>
              <w:ind w:left="74" w:right="74"/>
              <w:rPr>
                <w:rFonts w:ascii="Times New Roman" w:eastAsia="Calibri" w:hAnsi="Times New Roman" w:cs="Times New Roman"/>
                <w:lang w:val="es-ES"/>
              </w:rPr>
            </w:pPr>
          </w:p>
        </w:tc>
        <w:tc>
          <w:tcPr>
            <w:tcW w:w="1388" w:type="pct"/>
            <w:vAlign w:val="center"/>
          </w:tcPr>
          <w:p w14:paraId="07582ED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5D0A04B6"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646397B3"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5BBFA93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33CBFB14" w14:textId="77777777" w:rsidTr="000D79D6">
        <w:trPr>
          <w:trHeight w:val="339"/>
        </w:trPr>
        <w:tc>
          <w:tcPr>
            <w:tcW w:w="754" w:type="pct"/>
            <w:vMerge w:val="restart"/>
            <w:vAlign w:val="center"/>
          </w:tcPr>
          <w:p w14:paraId="2B8D318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Cr (</w:t>
            </w:r>
            <w:r w:rsidRPr="000A5D99">
              <w:rPr>
                <w:rFonts w:ascii="Times New Roman" w:eastAsia="Times New Roman" w:hAnsi="Times New Roman" w:cs="Times New Roman"/>
                <w:vertAlign w:val="superscript"/>
              </w:rPr>
              <w:t>7</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388" w:type="pct"/>
            <w:vAlign w:val="center"/>
          </w:tcPr>
          <w:p w14:paraId="62B1BD2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Uçakların kaplanması</w:t>
            </w:r>
          </w:p>
        </w:tc>
        <w:tc>
          <w:tcPr>
            <w:tcW w:w="1053" w:type="pct"/>
            <w:vMerge w:val="restart"/>
            <w:vAlign w:val="center"/>
          </w:tcPr>
          <w:p w14:paraId="57B2EC2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Çeşitli TS EN standartları mevcuttur</w:t>
            </w:r>
          </w:p>
          <w:p w14:paraId="061A12E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(örneğin, TS EN ISO 11885, TS EN ISO 17294-2, TS EN ISO 15586)</w:t>
            </w:r>
          </w:p>
        </w:tc>
        <w:tc>
          <w:tcPr>
            <w:tcW w:w="867" w:type="pct"/>
            <w:vMerge/>
            <w:tcBorders>
              <w:top w:val="nil"/>
            </w:tcBorders>
            <w:vAlign w:val="center"/>
          </w:tcPr>
          <w:p w14:paraId="3153B1A9"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72D36B6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33E1F98E" w14:textId="77777777" w:rsidTr="000D79D6">
        <w:trPr>
          <w:trHeight w:val="340"/>
        </w:trPr>
        <w:tc>
          <w:tcPr>
            <w:tcW w:w="754" w:type="pct"/>
            <w:vMerge/>
            <w:tcBorders>
              <w:top w:val="nil"/>
            </w:tcBorders>
            <w:vAlign w:val="center"/>
          </w:tcPr>
          <w:p w14:paraId="336BEBA2"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4E3B76A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5A42AA9F"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4A986F13"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54EA198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3E129BB1" w14:textId="77777777" w:rsidTr="000D79D6">
        <w:trPr>
          <w:trHeight w:val="340"/>
        </w:trPr>
        <w:tc>
          <w:tcPr>
            <w:tcW w:w="754" w:type="pct"/>
            <w:vMerge w:val="restart"/>
            <w:vAlign w:val="center"/>
          </w:tcPr>
          <w:p w14:paraId="7F2F882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Ni (</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388" w:type="pct"/>
            <w:vAlign w:val="center"/>
          </w:tcPr>
          <w:p w14:paraId="5D887DD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tcBorders>
              <w:top w:val="nil"/>
            </w:tcBorders>
            <w:vAlign w:val="center"/>
          </w:tcPr>
          <w:p w14:paraId="58508A3B"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24D3CD3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6C742093"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E58E810" w14:textId="77777777" w:rsidTr="000D79D6">
        <w:trPr>
          <w:trHeight w:val="339"/>
        </w:trPr>
        <w:tc>
          <w:tcPr>
            <w:tcW w:w="754" w:type="pct"/>
            <w:vMerge/>
            <w:tcBorders>
              <w:top w:val="nil"/>
            </w:tcBorders>
            <w:vAlign w:val="center"/>
          </w:tcPr>
          <w:p w14:paraId="6AEBAB8A"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6E20CFF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7BD6C989"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79FE7D62"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331D191B"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1F92CAC3" w14:textId="77777777" w:rsidTr="000D79D6">
        <w:trPr>
          <w:trHeight w:val="340"/>
        </w:trPr>
        <w:tc>
          <w:tcPr>
            <w:tcW w:w="754" w:type="pct"/>
            <w:vMerge w:val="restart"/>
            <w:vAlign w:val="center"/>
          </w:tcPr>
          <w:p w14:paraId="33CBA40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Zn (</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388" w:type="pct"/>
            <w:vAlign w:val="center"/>
          </w:tcPr>
          <w:p w14:paraId="2661527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tcBorders>
              <w:top w:val="nil"/>
            </w:tcBorders>
            <w:vAlign w:val="center"/>
          </w:tcPr>
          <w:p w14:paraId="7EA5DE4B"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3C4DEA7E"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1429B85F"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5016E5AB" w14:textId="77777777" w:rsidTr="000D79D6">
        <w:trPr>
          <w:trHeight w:val="340"/>
        </w:trPr>
        <w:tc>
          <w:tcPr>
            <w:tcW w:w="754" w:type="pct"/>
            <w:vMerge/>
            <w:tcBorders>
              <w:top w:val="nil"/>
            </w:tcBorders>
            <w:vAlign w:val="center"/>
          </w:tcPr>
          <w:p w14:paraId="5D7961CC"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14A9A97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4BD7630B"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20FF7FE7"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04DA91C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947AE8B" w14:textId="77777777" w:rsidTr="000D79D6">
        <w:trPr>
          <w:trHeight w:val="339"/>
        </w:trPr>
        <w:tc>
          <w:tcPr>
            <w:tcW w:w="754" w:type="pct"/>
            <w:vMerge w:val="restart"/>
            <w:vAlign w:val="center"/>
          </w:tcPr>
          <w:p w14:paraId="1975A65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Adsorblanabilir Organik Bağlı Halojenler (AOX) (</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388" w:type="pct"/>
            <w:vAlign w:val="center"/>
          </w:tcPr>
          <w:p w14:paraId="517A39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val="restart"/>
            <w:vAlign w:val="center"/>
          </w:tcPr>
          <w:p w14:paraId="58EBC0C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9562</w:t>
            </w:r>
          </w:p>
        </w:tc>
        <w:tc>
          <w:tcPr>
            <w:tcW w:w="867" w:type="pct"/>
            <w:vMerge/>
            <w:tcBorders>
              <w:top w:val="nil"/>
            </w:tcBorders>
            <w:vAlign w:val="center"/>
          </w:tcPr>
          <w:p w14:paraId="675055D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0FF9B2A9"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570DE462" w14:textId="77777777" w:rsidTr="000D79D6">
        <w:trPr>
          <w:trHeight w:val="340"/>
        </w:trPr>
        <w:tc>
          <w:tcPr>
            <w:tcW w:w="754" w:type="pct"/>
            <w:vMerge/>
            <w:tcBorders>
              <w:top w:val="nil"/>
            </w:tcBorders>
            <w:vAlign w:val="center"/>
          </w:tcPr>
          <w:p w14:paraId="4E0010B1"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738D3C6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0C54118B"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1031C35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60206D4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653D0634" w14:textId="77777777" w:rsidTr="000D79D6">
        <w:trPr>
          <w:trHeight w:val="689"/>
        </w:trPr>
        <w:tc>
          <w:tcPr>
            <w:tcW w:w="754" w:type="pct"/>
            <w:vMerge/>
            <w:tcBorders>
              <w:top w:val="nil"/>
            </w:tcBorders>
            <w:vAlign w:val="center"/>
          </w:tcPr>
          <w:p w14:paraId="4AFF7365"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388" w:type="pct"/>
            <w:vAlign w:val="center"/>
          </w:tcPr>
          <w:p w14:paraId="44FAC3D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 (yalnızca DWI kutular için)</w:t>
            </w:r>
          </w:p>
        </w:tc>
        <w:tc>
          <w:tcPr>
            <w:tcW w:w="1053" w:type="pct"/>
            <w:vMerge/>
            <w:tcBorders>
              <w:top w:val="nil"/>
            </w:tcBorders>
            <w:vAlign w:val="center"/>
          </w:tcPr>
          <w:p w14:paraId="6337898F"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67" w:type="pct"/>
            <w:vMerge/>
            <w:tcBorders>
              <w:top w:val="nil"/>
            </w:tcBorders>
            <w:vAlign w:val="center"/>
          </w:tcPr>
          <w:p w14:paraId="64A52237"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2E1E8E12"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1FF149D9" w14:textId="77777777" w:rsidTr="000D79D6">
        <w:trPr>
          <w:trHeight w:val="339"/>
        </w:trPr>
        <w:tc>
          <w:tcPr>
            <w:tcW w:w="754" w:type="pct"/>
            <w:vMerge w:val="restart"/>
            <w:vAlign w:val="center"/>
          </w:tcPr>
          <w:p w14:paraId="7123E5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r w:rsidRPr="000A5D99">
              <w:rPr>
                <w:rFonts w:ascii="Times New Roman" w:eastAsia="Times New Roman" w:hAnsi="Times New Roman" w:cs="Times New Roman"/>
                <w:vertAlign w:val="superscript"/>
              </w:rPr>
              <w:t>-</w:t>
            </w:r>
            <w:r w:rsidRPr="000A5D99">
              <w:rPr>
                <w:rFonts w:ascii="Times New Roman" w:eastAsia="Times New Roman" w:hAnsi="Times New Roman" w:cs="Times New Roman"/>
              </w:rPr>
              <w:t xml:space="preserve"> (</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8</w:t>
            </w:r>
            <w:r w:rsidRPr="000A5D99">
              <w:rPr>
                <w:rFonts w:ascii="Times New Roman" w:eastAsia="Times New Roman" w:hAnsi="Times New Roman" w:cs="Times New Roman"/>
              </w:rPr>
              <w:t>)</w:t>
            </w:r>
          </w:p>
        </w:tc>
        <w:tc>
          <w:tcPr>
            <w:tcW w:w="1388" w:type="pct"/>
            <w:vAlign w:val="center"/>
          </w:tcPr>
          <w:p w14:paraId="0929A1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053" w:type="pct"/>
            <w:vMerge w:val="restart"/>
            <w:vAlign w:val="center"/>
          </w:tcPr>
          <w:p w14:paraId="1D17E35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10304-1</w:t>
            </w:r>
          </w:p>
        </w:tc>
        <w:tc>
          <w:tcPr>
            <w:tcW w:w="867" w:type="pct"/>
            <w:vMerge/>
            <w:tcBorders>
              <w:top w:val="nil"/>
            </w:tcBorders>
            <w:vAlign w:val="center"/>
          </w:tcPr>
          <w:p w14:paraId="3878F40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133629E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E3FC07C" w14:textId="77777777" w:rsidTr="000D79D6">
        <w:trPr>
          <w:trHeight w:val="340"/>
        </w:trPr>
        <w:tc>
          <w:tcPr>
            <w:tcW w:w="754" w:type="pct"/>
            <w:vMerge/>
            <w:tcBorders>
              <w:top w:val="nil"/>
            </w:tcBorders>
            <w:vAlign w:val="center"/>
          </w:tcPr>
          <w:p w14:paraId="06AACAA6"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388" w:type="pct"/>
            <w:vAlign w:val="center"/>
          </w:tcPr>
          <w:p w14:paraId="612CFA5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053" w:type="pct"/>
            <w:vMerge/>
            <w:tcBorders>
              <w:top w:val="nil"/>
            </w:tcBorders>
            <w:vAlign w:val="center"/>
          </w:tcPr>
          <w:p w14:paraId="158D237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867" w:type="pct"/>
            <w:vMerge/>
            <w:tcBorders>
              <w:top w:val="nil"/>
            </w:tcBorders>
            <w:vAlign w:val="center"/>
          </w:tcPr>
          <w:p w14:paraId="62956A3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tcBorders>
            <w:vAlign w:val="center"/>
          </w:tcPr>
          <w:p w14:paraId="191964E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2D4A5A48" w14:textId="77777777" w:rsidTr="000D79D6">
        <w:trPr>
          <w:trHeight w:val="689"/>
        </w:trPr>
        <w:tc>
          <w:tcPr>
            <w:tcW w:w="754" w:type="pct"/>
            <w:vMerge/>
            <w:tcBorders>
              <w:top w:val="nil"/>
              <w:bottom w:val="single" w:sz="4" w:space="0" w:color="auto"/>
            </w:tcBorders>
            <w:vAlign w:val="center"/>
          </w:tcPr>
          <w:p w14:paraId="6EC85074"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388" w:type="pct"/>
            <w:tcBorders>
              <w:bottom w:val="single" w:sz="4" w:space="0" w:color="auto"/>
            </w:tcBorders>
            <w:vAlign w:val="center"/>
          </w:tcPr>
          <w:p w14:paraId="15C3524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 (yalnızca DWI kutular için)</w:t>
            </w:r>
          </w:p>
        </w:tc>
        <w:tc>
          <w:tcPr>
            <w:tcW w:w="1053" w:type="pct"/>
            <w:vMerge/>
            <w:tcBorders>
              <w:top w:val="nil"/>
              <w:bottom w:val="single" w:sz="4" w:space="0" w:color="auto"/>
            </w:tcBorders>
            <w:vAlign w:val="center"/>
          </w:tcPr>
          <w:p w14:paraId="01382312"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867" w:type="pct"/>
            <w:vMerge/>
            <w:tcBorders>
              <w:top w:val="nil"/>
              <w:bottom w:val="single" w:sz="4" w:space="0" w:color="auto"/>
            </w:tcBorders>
            <w:vAlign w:val="center"/>
          </w:tcPr>
          <w:p w14:paraId="61A622A2"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38" w:type="pct"/>
            <w:vMerge/>
            <w:tcBorders>
              <w:top w:val="nil"/>
              <w:bottom w:val="single" w:sz="4" w:space="0" w:color="auto"/>
            </w:tcBorders>
            <w:vAlign w:val="center"/>
          </w:tcPr>
          <w:p w14:paraId="3D8B8A6D"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6E2D875" w14:textId="77777777" w:rsidTr="000D79D6">
        <w:trPr>
          <w:trHeight w:val="3175"/>
        </w:trPr>
        <w:tc>
          <w:tcPr>
            <w:tcW w:w="5000" w:type="pct"/>
            <w:gridSpan w:val="5"/>
            <w:tcBorders>
              <w:top w:val="single" w:sz="4" w:space="0" w:color="auto"/>
            </w:tcBorders>
            <w:vAlign w:val="center"/>
          </w:tcPr>
          <w:p w14:paraId="1876381A" w14:textId="77777777" w:rsidR="003B155E" w:rsidRPr="0082590D" w:rsidRDefault="003B155E" w:rsidP="003B155E">
            <w:pPr>
              <w:widowControl w:val="0"/>
              <w:numPr>
                <w:ilvl w:val="0"/>
                <w:numId w:val="131"/>
              </w:numPr>
              <w:tabs>
                <w:tab w:val="left" w:pos="250"/>
              </w:tabs>
              <w:autoSpaceDE w:val="0"/>
              <w:autoSpaceDN w:val="0"/>
              <w:spacing w:after="0" w:line="240" w:lineRule="auto"/>
              <w:ind w:left="300" w:right="74"/>
              <w:jc w:val="both"/>
              <w:rPr>
                <w:rFonts w:ascii="Times New Roman" w:eastAsia="Calibri" w:hAnsi="Times New Roman" w:cs="Calibri"/>
                <w:sz w:val="20"/>
                <w:szCs w:val="20"/>
              </w:rPr>
            </w:pPr>
            <w:r w:rsidRPr="0082590D">
              <w:rPr>
                <w:rFonts w:ascii="Times New Roman" w:eastAsia="Calibri" w:hAnsi="Times New Roman" w:cs="Calibri"/>
                <w:sz w:val="20"/>
                <w:szCs w:val="20"/>
                <w:lang w:val="tr"/>
              </w:rPr>
              <w:t>İzleme, yalnızca alıcı su kütlesine doğrudan boşaltılması durumunda geçerlidir.</w:t>
            </w:r>
          </w:p>
          <w:p w14:paraId="0A52FCEA" w14:textId="77777777" w:rsidR="003B155E" w:rsidRPr="0082590D" w:rsidRDefault="003B155E" w:rsidP="003B155E">
            <w:pPr>
              <w:widowControl w:val="0"/>
              <w:numPr>
                <w:ilvl w:val="0"/>
                <w:numId w:val="131"/>
              </w:numPr>
              <w:tabs>
                <w:tab w:val="left" w:pos="267"/>
              </w:tabs>
              <w:autoSpaceDE w:val="0"/>
              <w:autoSpaceDN w:val="0"/>
              <w:spacing w:after="0" w:line="240" w:lineRule="auto"/>
              <w:ind w:left="312" w:right="74" w:hanging="238"/>
              <w:jc w:val="both"/>
              <w:rPr>
                <w:rFonts w:ascii="Times New Roman" w:eastAsia="Calibri" w:hAnsi="Times New Roman" w:cs="Calibri"/>
                <w:sz w:val="20"/>
                <w:szCs w:val="20"/>
              </w:rPr>
            </w:pPr>
            <w:r w:rsidRPr="0082590D">
              <w:rPr>
                <w:rFonts w:ascii="Times New Roman" w:eastAsia="Calibri" w:hAnsi="Times New Roman" w:cs="Calibri"/>
                <w:sz w:val="20"/>
                <w:szCs w:val="20"/>
                <w:lang w:val="tr"/>
              </w:rPr>
              <w:t>Emisyon seviyelerinin yeterince stabil olduğu kanıtlanırsa, izleme sıklığı her 3 ayda bire düşürülebilir.</w:t>
            </w:r>
          </w:p>
          <w:p w14:paraId="2CBD4AB7" w14:textId="77777777" w:rsidR="003B155E" w:rsidRPr="0082590D" w:rsidRDefault="003B155E" w:rsidP="003B155E">
            <w:pPr>
              <w:widowControl w:val="0"/>
              <w:numPr>
                <w:ilvl w:val="0"/>
                <w:numId w:val="131"/>
              </w:numPr>
              <w:tabs>
                <w:tab w:val="left" w:pos="267"/>
              </w:tabs>
              <w:autoSpaceDE w:val="0"/>
              <w:autoSpaceDN w:val="0"/>
              <w:spacing w:after="0" w:line="240" w:lineRule="auto"/>
              <w:ind w:left="312" w:right="74" w:hanging="238"/>
              <w:jc w:val="both"/>
              <w:rPr>
                <w:rFonts w:ascii="Times New Roman" w:eastAsia="Calibri" w:hAnsi="Times New Roman" w:cs="Calibri"/>
                <w:sz w:val="20"/>
                <w:szCs w:val="20"/>
              </w:rPr>
            </w:pPr>
            <w:r w:rsidRPr="0082590D">
              <w:rPr>
                <w:rFonts w:ascii="Times New Roman" w:eastAsia="Calibri" w:hAnsi="Times New Roman" w:cs="Calibri"/>
                <w:sz w:val="20"/>
                <w:szCs w:val="20"/>
                <w:lang w:val="tr"/>
              </w:rPr>
              <w:t>Asgari izleme sıklığından daha az sıklıkta parti boşaltımı olması durumunda, izleme her parti için bir kez gerçekleştirilir.</w:t>
            </w:r>
          </w:p>
          <w:p w14:paraId="74E820AD" w14:textId="77777777" w:rsidR="003B155E" w:rsidRPr="0082590D" w:rsidRDefault="003B155E" w:rsidP="003B155E">
            <w:pPr>
              <w:widowControl w:val="0"/>
              <w:numPr>
                <w:ilvl w:val="0"/>
                <w:numId w:val="131"/>
              </w:numPr>
              <w:tabs>
                <w:tab w:val="left" w:pos="268"/>
              </w:tabs>
              <w:autoSpaceDE w:val="0"/>
              <w:autoSpaceDN w:val="0"/>
              <w:spacing w:after="0" w:line="240" w:lineRule="auto"/>
              <w:ind w:left="312" w:right="74" w:hanging="238"/>
              <w:jc w:val="both"/>
              <w:rPr>
                <w:rFonts w:ascii="Times New Roman" w:eastAsia="Calibri" w:hAnsi="Times New Roman" w:cs="Calibri"/>
                <w:sz w:val="20"/>
                <w:szCs w:val="20"/>
                <w:lang w:val="tr"/>
              </w:rPr>
            </w:pPr>
            <w:r w:rsidRPr="0082590D">
              <w:rPr>
                <w:rFonts w:ascii="Times New Roman" w:eastAsia="Calibri" w:hAnsi="Times New Roman" w:cs="Calibri"/>
                <w:sz w:val="20"/>
                <w:szCs w:val="20"/>
                <w:lang w:val="tr"/>
              </w:rPr>
              <w:t>TOK izleme ve KOİ izleme alternatiflerdir. TOK izleme, çok toksik bileşiklerin kullanımını gerektirmediği için tercih edilen seçenektir.</w:t>
            </w:r>
          </w:p>
          <w:p w14:paraId="083A70A8" w14:textId="77777777" w:rsidR="003B155E" w:rsidRPr="0082590D" w:rsidRDefault="003B155E" w:rsidP="003B155E">
            <w:pPr>
              <w:widowControl w:val="0"/>
              <w:numPr>
                <w:ilvl w:val="0"/>
                <w:numId w:val="131"/>
              </w:numPr>
              <w:tabs>
                <w:tab w:val="left" w:pos="250"/>
              </w:tabs>
              <w:autoSpaceDE w:val="0"/>
              <w:autoSpaceDN w:val="0"/>
              <w:spacing w:after="0" w:line="240" w:lineRule="auto"/>
              <w:ind w:left="300" w:right="74"/>
              <w:jc w:val="both"/>
              <w:rPr>
                <w:rFonts w:ascii="Times New Roman" w:eastAsia="Calibri" w:hAnsi="Times New Roman" w:cs="Calibri"/>
                <w:sz w:val="20"/>
                <w:szCs w:val="20"/>
                <w:lang w:val="tr"/>
              </w:rPr>
            </w:pPr>
            <w:r w:rsidRPr="0082590D">
              <w:rPr>
                <w:rFonts w:ascii="Times New Roman" w:eastAsia="Calibri" w:hAnsi="Times New Roman" w:cs="Calibri"/>
                <w:sz w:val="20"/>
                <w:szCs w:val="20"/>
                <w:lang w:val="tr"/>
              </w:rPr>
              <w:t>Cr(VI)'nın izlenmesi, sadece işlemlerde krom(VI) bileşikleri kullanılıyorsa geçerlidir.</w:t>
            </w:r>
          </w:p>
          <w:p w14:paraId="45008E69" w14:textId="77777777" w:rsidR="003B155E" w:rsidRPr="0082590D" w:rsidRDefault="003B155E" w:rsidP="003B155E">
            <w:pPr>
              <w:widowControl w:val="0"/>
              <w:numPr>
                <w:ilvl w:val="0"/>
                <w:numId w:val="131"/>
              </w:numPr>
              <w:tabs>
                <w:tab w:val="left" w:pos="261"/>
              </w:tabs>
              <w:autoSpaceDE w:val="0"/>
              <w:autoSpaceDN w:val="0"/>
              <w:spacing w:after="0" w:line="240" w:lineRule="auto"/>
              <w:ind w:left="312" w:right="74" w:hanging="238"/>
              <w:jc w:val="both"/>
              <w:rPr>
                <w:rFonts w:ascii="Times New Roman" w:eastAsia="Calibri" w:hAnsi="Times New Roman" w:cs="Calibri"/>
                <w:sz w:val="20"/>
                <w:szCs w:val="20"/>
                <w:lang w:val="tr"/>
              </w:rPr>
            </w:pPr>
            <w:r w:rsidRPr="0082590D">
              <w:rPr>
                <w:rFonts w:ascii="Times New Roman" w:eastAsia="Calibri" w:hAnsi="Times New Roman" w:cs="Calibri"/>
                <w:sz w:val="20"/>
                <w:szCs w:val="20"/>
                <w:lang w:val="tr"/>
              </w:rPr>
              <w:t>Bir alıcı su kütlesine dolaylı deşarj durumunda, aşağı akış yönündeki atık su arıtma tesisinin ilgili kirleticileri azaltmak için uygun şekilde tasarlanması ve donatılması halinde izleme sıklığı azaltılabilir.</w:t>
            </w:r>
          </w:p>
          <w:p w14:paraId="41642085" w14:textId="77777777" w:rsidR="003B155E" w:rsidRPr="0082590D" w:rsidRDefault="003B155E" w:rsidP="003B155E">
            <w:pPr>
              <w:widowControl w:val="0"/>
              <w:numPr>
                <w:ilvl w:val="0"/>
                <w:numId w:val="131"/>
              </w:numPr>
              <w:tabs>
                <w:tab w:val="left" w:pos="250"/>
              </w:tabs>
              <w:autoSpaceDE w:val="0"/>
              <w:autoSpaceDN w:val="0"/>
              <w:spacing w:after="0" w:line="240" w:lineRule="auto"/>
              <w:ind w:left="300" w:right="74"/>
              <w:jc w:val="both"/>
              <w:rPr>
                <w:rFonts w:ascii="Times New Roman" w:eastAsia="Calibri" w:hAnsi="Times New Roman" w:cs="Calibri"/>
                <w:sz w:val="20"/>
                <w:szCs w:val="20"/>
                <w:lang w:val="tr"/>
              </w:rPr>
            </w:pPr>
            <w:r w:rsidRPr="0082590D">
              <w:rPr>
                <w:rFonts w:ascii="Times New Roman" w:eastAsia="Calibri" w:hAnsi="Times New Roman" w:cs="Calibri"/>
                <w:sz w:val="20"/>
                <w:szCs w:val="20"/>
                <w:lang w:val="tr"/>
              </w:rPr>
              <w:t>Cr'nin izlenmesi sadece işlemlerde krom bileşikleri kullanılıyorsa geçerlidir.</w:t>
            </w:r>
          </w:p>
          <w:p w14:paraId="39406802" w14:textId="77777777" w:rsidR="003B155E" w:rsidRPr="000A5D99" w:rsidRDefault="003B155E" w:rsidP="003B155E">
            <w:pPr>
              <w:widowControl w:val="0"/>
              <w:numPr>
                <w:ilvl w:val="0"/>
                <w:numId w:val="131"/>
              </w:numPr>
              <w:tabs>
                <w:tab w:val="left" w:pos="250"/>
              </w:tabs>
              <w:autoSpaceDE w:val="0"/>
              <w:autoSpaceDN w:val="0"/>
              <w:spacing w:after="0" w:line="240" w:lineRule="auto"/>
              <w:ind w:left="300" w:right="74"/>
              <w:jc w:val="both"/>
              <w:rPr>
                <w:rFonts w:ascii="Times New Roman" w:eastAsia="Calibri" w:hAnsi="Times New Roman" w:cs="Calibri"/>
                <w:sz w:val="20"/>
                <w:szCs w:val="20"/>
                <w:lang w:val="tr"/>
              </w:rPr>
            </w:pPr>
            <w:r w:rsidRPr="0082590D">
              <w:rPr>
                <w:rFonts w:ascii="Times New Roman" w:eastAsia="Calibri" w:hAnsi="Times New Roman" w:cs="Calibri"/>
                <w:sz w:val="20"/>
                <w:szCs w:val="20"/>
                <w:lang w:val="tr"/>
              </w:rPr>
              <w:t>F</w:t>
            </w:r>
            <w:r w:rsidRPr="0082590D">
              <w:rPr>
                <w:rFonts w:ascii="Times New Roman" w:eastAsia="Calibri" w:hAnsi="Times New Roman" w:cs="Calibri"/>
                <w:sz w:val="20"/>
                <w:szCs w:val="20"/>
                <w:vertAlign w:val="superscript"/>
                <w:lang w:val="tr"/>
              </w:rPr>
              <w:t>-</w:t>
            </w:r>
            <w:r w:rsidRPr="0082590D">
              <w:rPr>
                <w:rFonts w:ascii="Times New Roman" w:eastAsia="Calibri" w:hAnsi="Times New Roman" w:cs="Calibri"/>
                <w:sz w:val="20"/>
                <w:szCs w:val="20"/>
                <w:lang w:val="tr"/>
              </w:rPr>
              <w:t>'nin izlenmesi, yalnızca işlemlerde flor bileşikleri kullanılıyorsa geçerlidir.</w:t>
            </w:r>
          </w:p>
        </w:tc>
      </w:tr>
    </w:tbl>
    <w:p w14:paraId="7797087F" w14:textId="0A0C5B5F" w:rsidR="003B155E" w:rsidRPr="000A5D99" w:rsidRDefault="003B155E" w:rsidP="003B155E">
      <w:pPr>
        <w:keepNext/>
        <w:keepLines/>
        <w:numPr>
          <w:ilvl w:val="2"/>
          <w:numId w:val="207"/>
        </w:numPr>
        <w:spacing w:after="120" w:line="360" w:lineRule="auto"/>
        <w:jc w:val="both"/>
        <w:outlineLvl w:val="1"/>
        <w:rPr>
          <w:rFonts w:ascii="Times New Roman" w:eastAsia="DengXian Light" w:hAnsi="Times New Roman" w:cs="Microsoft Uighur"/>
          <w:b/>
          <w:sz w:val="24"/>
          <w:szCs w:val="26"/>
          <w:lang w:val="tr"/>
        </w:rPr>
      </w:pPr>
      <w:bookmarkStart w:id="80" w:name="_Toc137210484"/>
      <w:r w:rsidRPr="000A5D99">
        <w:rPr>
          <w:rFonts w:ascii="Times New Roman" w:eastAsia="DengXian Light" w:hAnsi="Times New Roman" w:cs="Microsoft Uighur"/>
          <w:b/>
          <w:sz w:val="24"/>
          <w:szCs w:val="26"/>
          <w:lang w:val="tr"/>
        </w:rPr>
        <w:t>Normal olmayan çalışma koşulları (NOÇK) sırasındaki emisyonlar</w:t>
      </w:r>
      <w:bookmarkEnd w:id="80"/>
    </w:p>
    <w:p w14:paraId="782DE40C" w14:textId="77777777" w:rsidR="003B155E" w:rsidRPr="000A5D99" w:rsidRDefault="003B155E" w:rsidP="003B155E">
      <w:pPr>
        <w:spacing w:after="120" w:line="360" w:lineRule="auto"/>
        <w:jc w:val="both"/>
        <w:rPr>
          <w:rFonts w:ascii="Times New Roman" w:eastAsia="Calibri" w:hAnsi="Times New Roman" w:cs="Calibri"/>
          <w:b/>
          <w:bCs/>
          <w:sz w:val="24"/>
          <w:lang w:val="tr"/>
        </w:rPr>
      </w:pPr>
      <w:r w:rsidRPr="000A5D99">
        <w:rPr>
          <w:rFonts w:ascii="Times New Roman" w:eastAsia="Calibri" w:hAnsi="Times New Roman" w:cs="Calibri"/>
          <w:b/>
          <w:bCs/>
          <w:sz w:val="24"/>
          <w:lang w:val="tr"/>
        </w:rPr>
        <w:t xml:space="preserve">MET 13: </w:t>
      </w:r>
      <w:r w:rsidRPr="000A5D99">
        <w:rPr>
          <w:rFonts w:ascii="Times New Roman" w:eastAsia="Calibri" w:hAnsi="Times New Roman" w:cs="Calibri"/>
          <w:sz w:val="24"/>
          <w:lang w:val="tr"/>
        </w:rPr>
        <w:t>NOÇK oluşum sıklığını azaltmak ve NOÇK sırasında emisyonları azaltmak için, aşağıda verilen tekniklerin her ikisi de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
        <w:gridCol w:w="2193"/>
        <w:gridCol w:w="6449"/>
      </w:tblGrid>
      <w:tr w:rsidR="003B155E" w:rsidRPr="000A5D99" w14:paraId="4A714874" w14:textId="77777777" w:rsidTr="000D79D6">
        <w:trPr>
          <w:trHeight w:val="230"/>
          <w:tblHeader/>
        </w:trPr>
        <w:tc>
          <w:tcPr>
            <w:tcW w:w="232" w:type="pct"/>
            <w:tcBorders>
              <w:top w:val="single" w:sz="4" w:space="0" w:color="auto"/>
            </w:tcBorders>
          </w:tcPr>
          <w:p w14:paraId="1392A09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p>
        </w:tc>
        <w:tc>
          <w:tcPr>
            <w:tcW w:w="1210" w:type="pct"/>
            <w:tcBorders>
              <w:top w:val="single" w:sz="4" w:space="0" w:color="auto"/>
            </w:tcBorders>
          </w:tcPr>
          <w:p w14:paraId="7B26860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558" w:type="pct"/>
          </w:tcPr>
          <w:p w14:paraId="0FF1CDC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r>
      <w:tr w:rsidR="003B155E" w:rsidRPr="000A5D99" w14:paraId="14DD17FC" w14:textId="77777777" w:rsidTr="000D79D6">
        <w:trPr>
          <w:trHeight w:val="919"/>
        </w:trPr>
        <w:tc>
          <w:tcPr>
            <w:tcW w:w="232" w:type="pct"/>
            <w:tcBorders>
              <w:right w:val="single" w:sz="4" w:space="0" w:color="auto"/>
            </w:tcBorders>
            <w:vAlign w:val="center"/>
          </w:tcPr>
          <w:p w14:paraId="76F5643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10" w:type="pct"/>
            <w:tcBorders>
              <w:left w:val="single" w:sz="4" w:space="0" w:color="auto"/>
            </w:tcBorders>
            <w:vAlign w:val="center"/>
          </w:tcPr>
          <w:p w14:paraId="3F1205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Kritik ekipmanın tanımlanması</w:t>
            </w:r>
          </w:p>
        </w:tc>
        <w:tc>
          <w:tcPr>
            <w:tcW w:w="3558" w:type="pct"/>
            <w:vAlign w:val="center"/>
          </w:tcPr>
          <w:p w14:paraId="316899B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Çevrenin korunması için kritik olan ekipman ('kritik ekipman') bir risk değerlendirmesi temelinde belirlenir. Prensip olarak bu, UOB'leri işleyen tüm ekipman ve sistemlerle ilgilidir (örneğin, çıkış gazı işleme sistemi, kaçak tespit sistemi).</w:t>
            </w:r>
          </w:p>
        </w:tc>
      </w:tr>
      <w:tr w:rsidR="003B155E" w:rsidRPr="000A5D99" w14:paraId="30012B23" w14:textId="77777777" w:rsidTr="000D79D6">
        <w:trPr>
          <w:trHeight w:val="1150"/>
        </w:trPr>
        <w:tc>
          <w:tcPr>
            <w:tcW w:w="232" w:type="pct"/>
            <w:vAlign w:val="center"/>
          </w:tcPr>
          <w:p w14:paraId="00EDDB9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210" w:type="pct"/>
            <w:vAlign w:val="center"/>
          </w:tcPr>
          <w:p w14:paraId="400EF14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Denetleme, bakım ve izleme</w:t>
            </w:r>
          </w:p>
        </w:tc>
        <w:tc>
          <w:tcPr>
            <w:tcW w:w="3558" w:type="pct"/>
            <w:vAlign w:val="center"/>
          </w:tcPr>
          <w:p w14:paraId="184BD39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Standart işletim prosedürlerini, önleyici bakımı, düzenli ve plansız bakımı içeren kritik ekipman kullanılabilirliğini ve performansını en üst düzeye çıkarmak için yapılandırılmış olan programdır. NOÇK periyotları, süreleri, nedenleri ve mümkünse oluşumları sırasındaki emisyonlar izlenir.</w:t>
            </w:r>
          </w:p>
        </w:tc>
      </w:tr>
    </w:tbl>
    <w:p w14:paraId="37E0AB0B" w14:textId="77777777" w:rsidR="003B155E" w:rsidRPr="000A5D99" w:rsidRDefault="003B155E" w:rsidP="003B155E">
      <w:pPr>
        <w:keepNext/>
        <w:keepLines/>
        <w:spacing w:before="240" w:after="120" w:line="360" w:lineRule="auto"/>
        <w:ind w:firstLine="708"/>
        <w:jc w:val="both"/>
        <w:outlineLvl w:val="1"/>
        <w:rPr>
          <w:rFonts w:ascii="Times New Roman" w:eastAsia="DengXian Light" w:hAnsi="Times New Roman" w:cs="Microsoft Uighur"/>
          <w:b/>
          <w:sz w:val="24"/>
          <w:szCs w:val="26"/>
          <w:lang w:val="en-US"/>
        </w:rPr>
      </w:pPr>
      <w:bookmarkStart w:id="81" w:name="_Toc137210485"/>
      <w:r w:rsidRPr="000A5D99">
        <w:rPr>
          <w:rFonts w:ascii="Times New Roman" w:eastAsia="DengXian Light" w:hAnsi="Times New Roman" w:cs="Microsoft Uighur"/>
          <w:b/>
          <w:sz w:val="24"/>
          <w:szCs w:val="26"/>
          <w:lang w:val="en-US"/>
        </w:rPr>
        <w:t>Atık gazlardaki emisyonlar</w:t>
      </w:r>
      <w:bookmarkEnd w:id="81"/>
    </w:p>
    <w:p w14:paraId="410E89DB" w14:textId="77777777" w:rsidR="003B155E" w:rsidRPr="000A5D99" w:rsidRDefault="003B155E" w:rsidP="003B155E">
      <w:pPr>
        <w:keepNext/>
        <w:keepLines/>
        <w:spacing w:after="120" w:line="360" w:lineRule="auto"/>
        <w:ind w:left="855" w:firstLine="561"/>
        <w:jc w:val="both"/>
        <w:outlineLvl w:val="2"/>
        <w:rPr>
          <w:rFonts w:ascii="Times New Roman" w:eastAsia="DengXian Light" w:hAnsi="Times New Roman" w:cs="Microsoft Uighur"/>
          <w:b/>
          <w:sz w:val="24"/>
          <w:szCs w:val="24"/>
          <w:lang w:val="en-US"/>
        </w:rPr>
      </w:pPr>
      <w:r w:rsidRPr="000A5D99">
        <w:rPr>
          <w:rFonts w:ascii="Times New Roman" w:eastAsia="DengXian Light" w:hAnsi="Times New Roman" w:cs="Microsoft Uighur"/>
          <w:b/>
          <w:sz w:val="24"/>
          <w:szCs w:val="24"/>
          <w:lang w:val="en-US"/>
        </w:rPr>
        <w:t>UOB emisyonları</w:t>
      </w:r>
    </w:p>
    <w:p w14:paraId="65CB6DA0" w14:textId="77777777" w:rsidR="003B155E" w:rsidRPr="000A5D99" w:rsidRDefault="003B155E" w:rsidP="003B155E">
      <w:pPr>
        <w:spacing w:after="12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14: </w:t>
      </w:r>
      <w:r w:rsidRPr="000A5D99">
        <w:rPr>
          <w:rFonts w:ascii="Times New Roman" w:eastAsia="Calibri" w:hAnsi="Times New Roman" w:cs="Calibri"/>
          <w:sz w:val="24"/>
          <w:lang w:val="en-US"/>
        </w:rPr>
        <w:t>Üretim ve depolama alanlarından kaynaklanan UOB emisyonlarını azaltmak için, (a) tekniği ve aşağıda verilen diğer tekniklerin uygun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
        <w:gridCol w:w="2410"/>
        <w:gridCol w:w="4254"/>
        <w:gridCol w:w="1979"/>
      </w:tblGrid>
      <w:tr w:rsidR="003B155E" w:rsidRPr="000A5D99" w14:paraId="55CA3FE5" w14:textId="77777777" w:rsidTr="000D79D6">
        <w:trPr>
          <w:trHeight w:val="230"/>
          <w:tblHeader/>
        </w:trPr>
        <w:tc>
          <w:tcPr>
            <w:tcW w:w="231" w:type="pct"/>
            <w:tcBorders>
              <w:right w:val="single" w:sz="4" w:space="0" w:color="auto"/>
            </w:tcBorders>
          </w:tcPr>
          <w:p w14:paraId="48396F83"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330" w:type="pct"/>
            <w:tcBorders>
              <w:left w:val="single" w:sz="4" w:space="0" w:color="auto"/>
            </w:tcBorders>
          </w:tcPr>
          <w:p w14:paraId="5E77CD01"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347" w:type="pct"/>
          </w:tcPr>
          <w:p w14:paraId="3500861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092" w:type="pct"/>
          </w:tcPr>
          <w:p w14:paraId="7024FB5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685F9419" w14:textId="77777777" w:rsidTr="000D79D6">
        <w:trPr>
          <w:trHeight w:val="5313"/>
        </w:trPr>
        <w:tc>
          <w:tcPr>
            <w:tcW w:w="231" w:type="pct"/>
            <w:tcBorders>
              <w:right w:val="single" w:sz="4" w:space="0" w:color="auto"/>
            </w:tcBorders>
            <w:vAlign w:val="center"/>
          </w:tcPr>
          <w:p w14:paraId="4B021C9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330" w:type="pct"/>
            <w:tcBorders>
              <w:left w:val="single" w:sz="4" w:space="0" w:color="auto"/>
            </w:tcBorders>
            <w:vAlign w:val="center"/>
          </w:tcPr>
          <w:p w14:paraId="2B0EC17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Sistem seçimi, tasarımı ve optimizasyonu</w:t>
            </w:r>
          </w:p>
        </w:tc>
        <w:tc>
          <w:tcPr>
            <w:tcW w:w="2347" w:type="pct"/>
            <w:vAlign w:val="center"/>
          </w:tcPr>
          <w:p w14:paraId="7021B7F1" w14:textId="77777777" w:rsidR="003B155E" w:rsidRPr="000A5D99" w:rsidRDefault="003B155E" w:rsidP="000D79D6">
            <w:pPr>
              <w:widowControl w:val="0"/>
              <w:tabs>
                <w:tab w:val="left" w:pos="263"/>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Atık gaz sistemi aşağıdakiler parametreler dikkate alınarak seçilir, tasarlanır ve optimize edilir: </w:t>
            </w:r>
          </w:p>
          <w:p w14:paraId="589A8918" w14:textId="77777777" w:rsidR="003B155E" w:rsidRPr="000A5D99" w:rsidRDefault="003B155E" w:rsidP="003B155E">
            <w:pPr>
              <w:widowControl w:val="0"/>
              <w:numPr>
                <w:ilvl w:val="0"/>
                <w:numId w:val="132"/>
              </w:numPr>
              <w:tabs>
                <w:tab w:val="left" w:pos="263"/>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tahliye edilen hava miktarı;</w:t>
            </w:r>
          </w:p>
          <w:p w14:paraId="3B8A30F7" w14:textId="77777777" w:rsidR="003B155E" w:rsidRPr="000A5D99" w:rsidRDefault="003B155E" w:rsidP="003B155E">
            <w:pPr>
              <w:widowControl w:val="0"/>
              <w:numPr>
                <w:ilvl w:val="0"/>
                <w:numId w:val="132"/>
              </w:numPr>
              <w:tabs>
                <w:tab w:val="left" w:pos="263"/>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tahliye edilen havadaki solventlerin türü ve konsantrasyonu;</w:t>
            </w:r>
          </w:p>
          <w:p w14:paraId="3F854601" w14:textId="77777777" w:rsidR="003B155E" w:rsidRPr="000A5D99" w:rsidRDefault="003B155E" w:rsidP="003B155E">
            <w:pPr>
              <w:widowControl w:val="0"/>
              <w:numPr>
                <w:ilvl w:val="0"/>
                <w:numId w:val="132"/>
              </w:numPr>
              <w:tabs>
                <w:tab w:val="left" w:pos="225"/>
              </w:tabs>
              <w:autoSpaceDE w:val="0"/>
              <w:autoSpaceDN w:val="0"/>
              <w:spacing w:after="0" w:line="240" w:lineRule="auto"/>
              <w:ind w:left="193" w:right="74" w:hanging="119"/>
              <w:jc w:val="both"/>
              <w:rPr>
                <w:rFonts w:ascii="Times New Roman" w:eastAsia="Times New Roman" w:hAnsi="Times New Roman" w:cs="Times New Roman"/>
              </w:rPr>
            </w:pPr>
            <w:r w:rsidRPr="000A5D99">
              <w:rPr>
                <w:rFonts w:ascii="Times New Roman" w:eastAsia="Times New Roman" w:hAnsi="Times New Roman" w:cs="Times New Roman"/>
              </w:rPr>
              <w:t>arıtma sisteminin türü (özel/merkezi);</w:t>
            </w:r>
          </w:p>
          <w:p w14:paraId="76DB58C5" w14:textId="77777777" w:rsidR="003B155E" w:rsidRPr="000A5D99" w:rsidRDefault="003B155E" w:rsidP="003B155E">
            <w:pPr>
              <w:widowControl w:val="0"/>
              <w:numPr>
                <w:ilvl w:val="0"/>
                <w:numId w:val="132"/>
              </w:numPr>
              <w:tabs>
                <w:tab w:val="left" w:pos="225"/>
              </w:tabs>
              <w:autoSpaceDE w:val="0"/>
              <w:autoSpaceDN w:val="0"/>
              <w:spacing w:after="0" w:line="240" w:lineRule="auto"/>
              <w:ind w:left="193" w:right="74" w:hanging="119"/>
              <w:jc w:val="both"/>
              <w:rPr>
                <w:rFonts w:ascii="Times New Roman" w:eastAsia="Times New Roman" w:hAnsi="Times New Roman" w:cs="Times New Roman"/>
              </w:rPr>
            </w:pPr>
            <w:r w:rsidRPr="000A5D99">
              <w:rPr>
                <w:rFonts w:ascii="Times New Roman" w:eastAsia="Times New Roman" w:hAnsi="Times New Roman" w:cs="Times New Roman"/>
              </w:rPr>
              <w:t>sağlık ve güvenlik;</w:t>
            </w:r>
          </w:p>
          <w:p w14:paraId="57E9778C" w14:textId="77777777" w:rsidR="003B155E" w:rsidRPr="000A5D99" w:rsidRDefault="003B155E" w:rsidP="003B155E">
            <w:pPr>
              <w:widowControl w:val="0"/>
              <w:numPr>
                <w:ilvl w:val="0"/>
                <w:numId w:val="132"/>
              </w:numPr>
              <w:tabs>
                <w:tab w:val="left" w:pos="226"/>
              </w:tabs>
              <w:autoSpaceDE w:val="0"/>
              <w:autoSpaceDN w:val="0"/>
              <w:spacing w:after="0" w:line="240" w:lineRule="auto"/>
              <w:ind w:left="193" w:right="74" w:hanging="119"/>
              <w:jc w:val="both"/>
              <w:rPr>
                <w:rFonts w:ascii="Times New Roman" w:eastAsia="Times New Roman" w:hAnsi="Times New Roman" w:cs="Times New Roman"/>
              </w:rPr>
            </w:pPr>
            <w:r w:rsidRPr="000A5D99">
              <w:rPr>
                <w:rFonts w:ascii="Times New Roman" w:eastAsia="Times New Roman" w:hAnsi="Times New Roman" w:cs="Times New Roman"/>
              </w:rPr>
              <w:t>enerji verimliliği.</w:t>
            </w:r>
          </w:p>
          <w:p w14:paraId="329C2AF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Sistem seçimi için aşağıdaki öncelik sırası dikkate alınabilir:</w:t>
            </w:r>
          </w:p>
          <w:p w14:paraId="2C2968A0" w14:textId="77777777" w:rsidR="003B155E" w:rsidRPr="000A5D99" w:rsidRDefault="003B155E" w:rsidP="003B155E">
            <w:pPr>
              <w:widowControl w:val="0"/>
              <w:numPr>
                <w:ilvl w:val="0"/>
                <w:numId w:val="132"/>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yüksek ve düşük UOB konsantrasyonlu çıkış gazlarının ayrıştırılması;</w:t>
            </w:r>
          </w:p>
          <w:p w14:paraId="4B9F979E" w14:textId="77777777" w:rsidR="003B155E" w:rsidRPr="0096283A" w:rsidRDefault="003B155E" w:rsidP="003B155E">
            <w:pPr>
              <w:widowControl w:val="0"/>
              <w:numPr>
                <w:ilvl w:val="0"/>
                <w:numId w:val="132"/>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 xml:space="preserve">UOB konsantrasyonunu homojenleştirme ve artırma </w:t>
            </w:r>
            <w:r w:rsidRPr="0096283A">
              <w:rPr>
                <w:rFonts w:ascii="Times New Roman" w:eastAsia="Times New Roman" w:hAnsi="Times New Roman" w:cs="Times New Roman"/>
              </w:rPr>
              <w:t>teknikleri (bkz. MET 16 (b) ve (c));</w:t>
            </w:r>
          </w:p>
          <w:p w14:paraId="44886BE7" w14:textId="77777777" w:rsidR="003B155E" w:rsidRPr="0096283A" w:rsidRDefault="003B155E" w:rsidP="003B155E">
            <w:pPr>
              <w:widowControl w:val="0"/>
              <w:numPr>
                <w:ilvl w:val="0"/>
                <w:numId w:val="132"/>
              </w:numPr>
              <w:autoSpaceDE w:val="0"/>
              <w:autoSpaceDN w:val="0"/>
              <w:spacing w:after="0" w:line="240" w:lineRule="auto"/>
              <w:ind w:left="192" w:right="74"/>
              <w:jc w:val="both"/>
              <w:rPr>
                <w:rFonts w:ascii="Times New Roman" w:eastAsia="Times New Roman" w:hAnsi="Times New Roman" w:cs="Times New Roman"/>
              </w:rPr>
            </w:pPr>
            <w:r w:rsidRPr="0096283A">
              <w:rPr>
                <w:rFonts w:ascii="Times New Roman" w:eastAsia="Times New Roman" w:hAnsi="Times New Roman" w:cs="Times New Roman"/>
              </w:rPr>
              <w:t>çıkış gazlarında solventlerin geri kazanımına dair teknikler (bkz. MET 15);</w:t>
            </w:r>
          </w:p>
          <w:p w14:paraId="40A05F26" w14:textId="77777777" w:rsidR="003B155E" w:rsidRPr="0096283A" w:rsidRDefault="003B155E" w:rsidP="003B155E">
            <w:pPr>
              <w:widowControl w:val="0"/>
              <w:numPr>
                <w:ilvl w:val="0"/>
                <w:numId w:val="132"/>
              </w:numPr>
              <w:autoSpaceDE w:val="0"/>
              <w:autoSpaceDN w:val="0"/>
              <w:spacing w:after="0" w:line="240" w:lineRule="auto"/>
              <w:ind w:left="192" w:right="74"/>
              <w:jc w:val="both"/>
              <w:rPr>
                <w:rFonts w:ascii="Times New Roman" w:eastAsia="Times New Roman" w:hAnsi="Times New Roman" w:cs="Times New Roman"/>
              </w:rPr>
            </w:pPr>
            <w:r w:rsidRPr="0096283A">
              <w:rPr>
                <w:rFonts w:ascii="Times New Roman" w:eastAsia="Times New Roman" w:hAnsi="Times New Roman" w:cs="Times New Roman"/>
              </w:rPr>
              <w:t>ısı geri kazanımlı UOB azaltma teknikleri (bkz. MET 15);</w:t>
            </w:r>
          </w:p>
          <w:p w14:paraId="636F13A9" w14:textId="77777777" w:rsidR="003B155E" w:rsidRPr="000A5D99" w:rsidRDefault="003B155E" w:rsidP="003B155E">
            <w:pPr>
              <w:widowControl w:val="0"/>
              <w:numPr>
                <w:ilvl w:val="0"/>
                <w:numId w:val="132"/>
              </w:numPr>
              <w:autoSpaceDE w:val="0"/>
              <w:autoSpaceDN w:val="0"/>
              <w:spacing w:after="0" w:line="240" w:lineRule="auto"/>
              <w:ind w:left="192" w:right="74"/>
              <w:jc w:val="both"/>
              <w:rPr>
                <w:rFonts w:ascii="Times New Roman" w:eastAsia="Times New Roman" w:hAnsi="Times New Roman" w:cs="Times New Roman"/>
              </w:rPr>
            </w:pPr>
            <w:r w:rsidRPr="0096283A">
              <w:rPr>
                <w:rFonts w:ascii="Times New Roman" w:eastAsia="Times New Roman" w:hAnsi="Times New Roman" w:cs="Times New Roman"/>
              </w:rPr>
              <w:t>ısı geri kazanımı olmayan UOB azaltma teknikleri (bkz. MET 15).</w:t>
            </w:r>
          </w:p>
        </w:tc>
        <w:tc>
          <w:tcPr>
            <w:tcW w:w="1092" w:type="pct"/>
            <w:vAlign w:val="center"/>
          </w:tcPr>
          <w:p w14:paraId="375238F3" w14:textId="77777777" w:rsidR="003B155E" w:rsidRPr="000A5D99" w:rsidRDefault="003B155E" w:rsidP="000D79D6">
            <w:pPr>
              <w:widowControl w:val="0"/>
              <w:autoSpaceDE w:val="0"/>
              <w:autoSpaceDN w:val="0"/>
              <w:spacing w:after="0" w:line="240" w:lineRule="auto"/>
              <w:ind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2C2B8DCA" w14:textId="77777777" w:rsidTr="000D79D6">
        <w:trPr>
          <w:trHeight w:val="2529"/>
        </w:trPr>
        <w:tc>
          <w:tcPr>
            <w:tcW w:w="231" w:type="pct"/>
            <w:vAlign w:val="center"/>
          </w:tcPr>
          <w:p w14:paraId="35C16A6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330" w:type="pct"/>
            <w:vAlign w:val="center"/>
          </w:tcPr>
          <w:p w14:paraId="581C042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UOB içeren malzemelerin uygulama noktasına mümkün olduğunca yakın hava tahliyesi</w:t>
            </w:r>
          </w:p>
        </w:tc>
        <w:tc>
          <w:tcPr>
            <w:tcW w:w="2347" w:type="pct"/>
            <w:vAlign w:val="center"/>
          </w:tcPr>
          <w:p w14:paraId="45D7327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uygulama alanlarının (örneğin, kaplayıcılar, uygulama makineleri, püskürtme kabinleri) tamamen veya kısmen muhafazası ile uygulama noktasına mümkün olduğunca yakın hava tahliyesi bulunmasıdır. Tahliye edilen hava, bir çıkış gazı arıtma sistemi ile arıtılabilir.</w:t>
            </w:r>
          </w:p>
        </w:tc>
        <w:tc>
          <w:tcPr>
            <w:tcW w:w="1092" w:type="pct"/>
            <w:vAlign w:val="center"/>
          </w:tcPr>
          <w:p w14:paraId="6BB8D0B5" w14:textId="77777777" w:rsidR="003B155E" w:rsidRPr="000A5D99" w:rsidRDefault="003B155E" w:rsidP="000D79D6">
            <w:pPr>
              <w:widowControl w:val="0"/>
              <w:tabs>
                <w:tab w:val="left" w:pos="556"/>
                <w:tab w:val="left" w:pos="834"/>
                <w:tab w:val="left" w:pos="1093"/>
                <w:tab w:val="left" w:pos="1152"/>
                <w:tab w:val="left" w:pos="1450"/>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Muhafazanın çalışma sırasında makine erişimini zorlaştırdığı durumlarda uygulanamayabilir. Uygulanabilirlik, kapatılacak alanın şekli ve boyutu ile sınırlandırılabilir.</w:t>
            </w:r>
          </w:p>
        </w:tc>
      </w:tr>
      <w:tr w:rsidR="003B155E" w:rsidRPr="000A5D99" w14:paraId="350570DB" w14:textId="77777777" w:rsidTr="000D79D6">
        <w:trPr>
          <w:trHeight w:val="1379"/>
        </w:trPr>
        <w:tc>
          <w:tcPr>
            <w:tcW w:w="231" w:type="pct"/>
            <w:vAlign w:val="center"/>
          </w:tcPr>
          <w:p w14:paraId="1DEB56B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c</w:t>
            </w:r>
          </w:p>
        </w:tc>
        <w:tc>
          <w:tcPr>
            <w:tcW w:w="1330" w:type="pct"/>
            <w:vAlign w:val="center"/>
          </w:tcPr>
          <w:p w14:paraId="686AD6F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Boya/kaplama/yapıştırıcı/mürekkep hazırlama noktasına mümkün olduğunca yakın hava tahliyesi</w:t>
            </w:r>
          </w:p>
        </w:tc>
        <w:tc>
          <w:tcPr>
            <w:tcW w:w="2347" w:type="pct"/>
            <w:vAlign w:val="center"/>
          </w:tcPr>
          <w:p w14:paraId="65C5A0D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Boya/kaplama/yapıştırıcı/mürekkeplerin (ör. karıştırma alanı) hazırlanma noktasına mümkün olduğunca yakın hava tahliyesi bulunmasıdır. Tahliye edilen hava, bir çıkış gazı arıtma sistemi ile arıtılabilir.</w:t>
            </w:r>
          </w:p>
        </w:tc>
        <w:tc>
          <w:tcPr>
            <w:tcW w:w="1092" w:type="pct"/>
            <w:vAlign w:val="center"/>
          </w:tcPr>
          <w:p w14:paraId="69B738A8" w14:textId="77777777" w:rsidR="003B155E" w:rsidRPr="000A5D99" w:rsidRDefault="003B155E" w:rsidP="000D79D6">
            <w:pPr>
              <w:widowControl w:val="0"/>
              <w:tabs>
                <w:tab w:val="left" w:pos="819"/>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boya/ kaplama/yapıştırıcı/ mürekkeplerin hazırlandığı yerlerde uygulanabilir.</w:t>
            </w:r>
          </w:p>
        </w:tc>
      </w:tr>
      <w:tr w:rsidR="003B155E" w:rsidRPr="000A5D99" w14:paraId="5F714700" w14:textId="77777777" w:rsidTr="000D79D6">
        <w:trPr>
          <w:trHeight w:val="920"/>
        </w:trPr>
        <w:tc>
          <w:tcPr>
            <w:tcW w:w="231" w:type="pct"/>
            <w:vAlign w:val="center"/>
          </w:tcPr>
          <w:p w14:paraId="2CC743A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330" w:type="pct"/>
            <w:vAlign w:val="center"/>
          </w:tcPr>
          <w:p w14:paraId="737AF2B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Kurutma/kürleme işlemlerinden hava tahliyesi</w:t>
            </w:r>
          </w:p>
        </w:tc>
        <w:tc>
          <w:tcPr>
            <w:tcW w:w="2347" w:type="pct"/>
            <w:vAlign w:val="center"/>
          </w:tcPr>
          <w:p w14:paraId="4EBE7E9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Kürleme fırınları/kurutucuları bir hava tahliye sistemi ile donatılır. Tahliye edilen hava, bir çıkış gazı arıtma sistemi ile arıtılabilir.</w:t>
            </w:r>
          </w:p>
        </w:tc>
        <w:tc>
          <w:tcPr>
            <w:tcW w:w="1092" w:type="pct"/>
            <w:vAlign w:val="center"/>
          </w:tcPr>
          <w:p w14:paraId="7D0C645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kurutma/kürleme işlemleri için uygulanabilir.</w:t>
            </w:r>
          </w:p>
        </w:tc>
      </w:tr>
      <w:tr w:rsidR="003B155E" w:rsidRPr="000A5D99" w14:paraId="3FB20184" w14:textId="77777777" w:rsidTr="000D79D6">
        <w:trPr>
          <w:trHeight w:val="558"/>
        </w:trPr>
        <w:tc>
          <w:tcPr>
            <w:tcW w:w="231" w:type="pct"/>
            <w:vAlign w:val="center"/>
          </w:tcPr>
          <w:p w14:paraId="17BDA13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330" w:type="pct"/>
            <w:vAlign w:val="center"/>
          </w:tcPr>
          <w:p w14:paraId="60DFA3F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Kürleme fırınlarının/ kurutucularının giriş ve çıkışlarının sızdırmaz hale getirilmesi veya kurutmada atmosfer altı basınç uygulanması yoluyla fırınlardan/ kurutuculardan kaynaklanan kaçak emisyonların ve ısı kayıplarının en aza indirilmesi</w:t>
            </w:r>
          </w:p>
        </w:tc>
        <w:tc>
          <w:tcPr>
            <w:tcW w:w="2347" w:type="pct"/>
            <w:vAlign w:val="center"/>
          </w:tcPr>
          <w:p w14:paraId="7EA2D9E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Kürleme fırınlarına/kurutucularına giriş ve çıkışlar, kaçak UOB emisyonlarını ve ısı kaybını en aza indirmek için kapatılır. Sızdırmazlık hava jetleri veya hava bıçakları, kapılar, plastik veya metal perdeler, sıyırma bıçakları benzeri ekipmanlar ile sağlanabilir. Alternatif olarak, fırınlar/kurutucular atmosfer altı basınç altında tutulur.</w:t>
            </w:r>
          </w:p>
        </w:tc>
        <w:tc>
          <w:tcPr>
            <w:tcW w:w="1092" w:type="pct"/>
            <w:vAlign w:val="center"/>
          </w:tcPr>
          <w:p w14:paraId="488F621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kürleme fırınları/ kurutucular kullanıldığında uygulanabilir.</w:t>
            </w:r>
          </w:p>
        </w:tc>
      </w:tr>
      <w:tr w:rsidR="003B155E" w:rsidRPr="000A5D99" w14:paraId="3BDE22D6" w14:textId="77777777" w:rsidTr="000D79D6">
        <w:trPr>
          <w:trHeight w:val="1149"/>
        </w:trPr>
        <w:tc>
          <w:tcPr>
            <w:tcW w:w="231" w:type="pct"/>
            <w:vAlign w:val="center"/>
          </w:tcPr>
          <w:p w14:paraId="2AF0E88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330" w:type="pct"/>
            <w:vAlign w:val="center"/>
          </w:tcPr>
          <w:p w14:paraId="7715C9D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Soğutma bölgesinden hava tahliyesi</w:t>
            </w:r>
          </w:p>
        </w:tc>
        <w:tc>
          <w:tcPr>
            <w:tcW w:w="2347" w:type="pct"/>
            <w:vAlign w:val="center"/>
          </w:tcPr>
          <w:p w14:paraId="19EC9FB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Alt tabaka soğutması, kurutma/kürleme sonrasında gerçekleştiğinde, soğutma bölgesinden gelen hava tahliye edilir ve bir çıkış gazı arıtma sistemi ile arıtılabilir.</w:t>
            </w:r>
          </w:p>
        </w:tc>
        <w:tc>
          <w:tcPr>
            <w:tcW w:w="1092" w:type="pct"/>
            <w:vAlign w:val="center"/>
          </w:tcPr>
          <w:p w14:paraId="25B8C1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alt tabaka soğutması, kurutma/kürleme sonrasında gerçekleştiğinde uygulanabilir.</w:t>
            </w:r>
          </w:p>
        </w:tc>
      </w:tr>
      <w:tr w:rsidR="003B155E" w:rsidRPr="000A5D99" w14:paraId="610C0C99" w14:textId="77777777" w:rsidTr="000D79D6">
        <w:trPr>
          <w:trHeight w:val="141"/>
        </w:trPr>
        <w:tc>
          <w:tcPr>
            <w:tcW w:w="231" w:type="pct"/>
            <w:vAlign w:val="center"/>
          </w:tcPr>
          <w:p w14:paraId="53EB4BB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w:t>
            </w:r>
          </w:p>
        </w:tc>
        <w:tc>
          <w:tcPr>
            <w:tcW w:w="1330" w:type="pct"/>
            <w:vAlign w:val="center"/>
          </w:tcPr>
          <w:p w14:paraId="04C4EC3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Ham maddelerin, solventlerin ve solvent içeren atıkların</w:t>
            </w:r>
            <w:r w:rsidR="00BA1FD0">
              <w:rPr>
                <w:rFonts w:ascii="Times New Roman" w:eastAsia="Times New Roman" w:hAnsi="Times New Roman" w:cs="Times New Roman"/>
              </w:rPr>
              <w:t xml:space="preserve"> geçici depolama alanlarında </w:t>
            </w:r>
            <w:r w:rsidRPr="000A5D99">
              <w:rPr>
                <w:rFonts w:ascii="Times New Roman" w:eastAsia="Times New Roman" w:hAnsi="Times New Roman" w:cs="Times New Roman"/>
              </w:rPr>
              <w:t>hava tahliyesi</w:t>
            </w:r>
          </w:p>
        </w:tc>
        <w:tc>
          <w:tcPr>
            <w:tcW w:w="2347" w:type="pct"/>
            <w:vAlign w:val="center"/>
          </w:tcPr>
          <w:p w14:paraId="11A61AE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Ham madde depolarından ve/veya ham maddeler, solventler ve solvent içeren atıklar için ayrı konteynerlerden gelen hava tahliye edilir ve bir çıkış gazı arıtma sistemi ile arıtılabilir.</w:t>
            </w:r>
          </w:p>
        </w:tc>
        <w:tc>
          <w:tcPr>
            <w:tcW w:w="1092" w:type="pct"/>
            <w:vAlign w:val="center"/>
          </w:tcPr>
          <w:p w14:paraId="2C62B02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Kapalı konteynerler için veya düşük buhar basıncı ve düşük toksisite ile ham madde, solvent ve solvent içeren atıkların depolanması için uygulanamayabilir.</w:t>
            </w:r>
          </w:p>
        </w:tc>
      </w:tr>
      <w:tr w:rsidR="003B155E" w:rsidRPr="000A5D99" w14:paraId="2FDE456A" w14:textId="77777777" w:rsidTr="000D79D6">
        <w:trPr>
          <w:trHeight w:val="1379"/>
        </w:trPr>
        <w:tc>
          <w:tcPr>
            <w:tcW w:w="231" w:type="pct"/>
            <w:vAlign w:val="center"/>
          </w:tcPr>
          <w:p w14:paraId="264C3A4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w:t>
            </w:r>
          </w:p>
        </w:tc>
        <w:tc>
          <w:tcPr>
            <w:tcW w:w="1330" w:type="pct"/>
            <w:vAlign w:val="center"/>
          </w:tcPr>
          <w:p w14:paraId="5564707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Temizleme alanlarından hava tahliyesi</w:t>
            </w:r>
          </w:p>
        </w:tc>
        <w:tc>
          <w:tcPr>
            <w:tcW w:w="2347" w:type="pct"/>
            <w:vAlign w:val="center"/>
          </w:tcPr>
          <w:p w14:paraId="093B415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Makine parçalarının ve ekipmanın organik solventlerle elle veya otomatik olarak temizlendiği alanlardan gelen hava tahliye edilir ve bir çıkış gazı arıtma sistemi ile arıtılabilir.</w:t>
            </w:r>
          </w:p>
        </w:tc>
        <w:tc>
          <w:tcPr>
            <w:tcW w:w="1092" w:type="pct"/>
            <w:vAlign w:val="center"/>
          </w:tcPr>
          <w:p w14:paraId="4145DA8E" w14:textId="77777777" w:rsidR="003B155E" w:rsidRPr="000A5D99" w:rsidRDefault="003B155E" w:rsidP="000D79D6">
            <w:pPr>
              <w:widowControl w:val="0"/>
              <w:tabs>
                <w:tab w:val="left" w:pos="1152"/>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makine parçalarının ve ekipmanlarının organik solventlerle temizlendiği alanlar için uygulanabilir.</w:t>
            </w:r>
          </w:p>
        </w:tc>
      </w:tr>
    </w:tbl>
    <w:p w14:paraId="7D19C673"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MET ile ilişkili emisyon seviyeleri (MET-İES’ler) Tablo 11, 15, 17, 19, 21, 24, 27, 30, 32 ve 35'de verilmiştir. </w:t>
      </w:r>
    </w:p>
    <w:p w14:paraId="60DF2CE6" w14:textId="77777777" w:rsidR="003B155E" w:rsidRPr="000A5D99" w:rsidRDefault="003B155E" w:rsidP="003B155E">
      <w:pPr>
        <w:widowControl w:val="0"/>
        <w:autoSpaceDE w:val="0"/>
        <w:autoSpaceDN w:val="0"/>
        <w:spacing w:before="11" w:after="0" w:line="240" w:lineRule="auto"/>
        <w:rPr>
          <w:rFonts w:ascii="Cambria" w:eastAsia="Times New Roman" w:hAnsi="Cambria" w:cs="Times New Roman"/>
          <w:b/>
          <w:sz w:val="9"/>
        </w:rPr>
      </w:pPr>
    </w:p>
    <w:p w14:paraId="6CCA6EF6" w14:textId="77777777" w:rsidR="003B155E" w:rsidRPr="000A5D99" w:rsidRDefault="003B155E" w:rsidP="003B155E">
      <w:pPr>
        <w:spacing w:before="90" w:after="0" w:line="360" w:lineRule="auto"/>
        <w:jc w:val="both"/>
        <w:rPr>
          <w:rFonts w:ascii="Times New Roman" w:eastAsia="Calibri" w:hAnsi="Times New Roman" w:cs="Times New Roman"/>
          <w:b/>
          <w:sz w:val="24"/>
        </w:rPr>
      </w:pPr>
      <w:r w:rsidRPr="000A5D99">
        <w:rPr>
          <w:rFonts w:ascii="Times New Roman" w:eastAsia="Calibri" w:hAnsi="Times New Roman" w:cs="Times New Roman"/>
          <w:b/>
          <w:sz w:val="24"/>
        </w:rPr>
        <w:t xml:space="preserve">MET 15: </w:t>
      </w:r>
      <w:r w:rsidRPr="000A5D99">
        <w:rPr>
          <w:rFonts w:ascii="Times New Roman" w:eastAsia="Calibri" w:hAnsi="Times New Roman" w:cs="Times New Roman"/>
          <w:bCs/>
          <w:sz w:val="24"/>
        </w:rPr>
        <w:t>Atık gazlardaki UOB emisyonlarını azaltmak ve kaynak verimliliğini artırmak için, aşağıda verilen tekniklerden biri veya birkaçı kullanılır.</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809"/>
        <w:gridCol w:w="4430"/>
        <w:gridCol w:w="2406"/>
      </w:tblGrid>
      <w:tr w:rsidR="003B155E" w:rsidRPr="000A5D99" w14:paraId="23C6DA40" w14:textId="77777777" w:rsidTr="000D79D6">
        <w:trPr>
          <w:trHeight w:val="230"/>
        </w:trPr>
        <w:tc>
          <w:tcPr>
            <w:tcW w:w="2236" w:type="dxa"/>
            <w:gridSpan w:val="2"/>
          </w:tcPr>
          <w:p w14:paraId="2D0FB36D" w14:textId="77777777" w:rsidR="003B155E" w:rsidRPr="000A5D99" w:rsidRDefault="003B155E" w:rsidP="000D79D6">
            <w:pPr>
              <w:widowControl w:val="0"/>
              <w:autoSpaceDE w:val="0"/>
              <w:autoSpaceDN w:val="0"/>
              <w:spacing w:before="100" w:beforeAutospacing="1" w:after="100" w:afterAutospacing="1" w:line="240" w:lineRule="auto"/>
              <w:ind w:left="667"/>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4430" w:type="dxa"/>
          </w:tcPr>
          <w:p w14:paraId="4E633157" w14:textId="77777777" w:rsidR="003B155E" w:rsidRPr="000A5D99" w:rsidRDefault="003B155E" w:rsidP="000D79D6">
            <w:pPr>
              <w:widowControl w:val="0"/>
              <w:autoSpaceDE w:val="0"/>
              <w:autoSpaceDN w:val="0"/>
              <w:spacing w:before="100" w:beforeAutospacing="1" w:after="100" w:afterAutospacing="1" w:line="240" w:lineRule="auto"/>
              <w:ind w:left="1699" w:right="1691"/>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2406" w:type="dxa"/>
          </w:tcPr>
          <w:p w14:paraId="4E68C127" w14:textId="77777777" w:rsidR="003B155E" w:rsidRPr="000A5D99" w:rsidRDefault="003B155E" w:rsidP="000D79D6">
            <w:pPr>
              <w:widowControl w:val="0"/>
              <w:autoSpaceDE w:val="0"/>
              <w:autoSpaceDN w:val="0"/>
              <w:spacing w:before="100" w:beforeAutospacing="1" w:after="100" w:afterAutospacing="1" w:line="240" w:lineRule="auto"/>
              <w:ind w:left="363"/>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4D819B0B" w14:textId="77777777" w:rsidTr="000D79D6">
        <w:trPr>
          <w:trHeight w:val="230"/>
        </w:trPr>
        <w:tc>
          <w:tcPr>
            <w:tcW w:w="9072" w:type="dxa"/>
            <w:gridSpan w:val="4"/>
          </w:tcPr>
          <w:p w14:paraId="1EAF7E00" w14:textId="77777777" w:rsidR="003B155E" w:rsidRPr="000A5D99" w:rsidRDefault="003B155E" w:rsidP="000D79D6">
            <w:pPr>
              <w:widowControl w:val="0"/>
              <w:autoSpaceDE w:val="0"/>
              <w:autoSpaceDN w:val="0"/>
              <w:spacing w:before="100" w:beforeAutospacing="1" w:after="100" w:afterAutospacing="1" w:line="240" w:lineRule="auto"/>
              <w:ind w:left="107"/>
              <w:rPr>
                <w:rFonts w:ascii="Times New Roman" w:eastAsia="Times New Roman" w:hAnsi="Times New Roman" w:cs="Times New Roman"/>
                <w:b/>
                <w:iCs/>
              </w:rPr>
            </w:pPr>
            <w:r w:rsidRPr="000A5D99">
              <w:rPr>
                <w:rFonts w:ascii="Times New Roman" w:eastAsia="Times New Roman" w:hAnsi="Times New Roman" w:cs="Times New Roman"/>
                <w:b/>
                <w:iCs/>
              </w:rPr>
              <w:t>I. Çıkış gazlarındaki solventlerin toplanması ve geri kazanılması</w:t>
            </w:r>
          </w:p>
        </w:tc>
      </w:tr>
      <w:tr w:rsidR="003B155E" w:rsidRPr="000A5D99" w14:paraId="73780034" w14:textId="77777777" w:rsidTr="000D79D6">
        <w:trPr>
          <w:trHeight w:val="1935"/>
        </w:trPr>
        <w:tc>
          <w:tcPr>
            <w:tcW w:w="427" w:type="dxa"/>
            <w:vAlign w:val="center"/>
          </w:tcPr>
          <w:p w14:paraId="0025D50F" w14:textId="77777777" w:rsidR="003B155E" w:rsidRPr="000A5D99" w:rsidRDefault="003B155E" w:rsidP="000D79D6">
            <w:pPr>
              <w:widowControl w:val="0"/>
              <w:autoSpaceDE w:val="0"/>
              <w:autoSpaceDN w:val="0"/>
              <w:spacing w:before="100" w:beforeAutospacing="1" w:after="100" w:afterAutospacing="1" w:line="240" w:lineRule="auto"/>
              <w:jc w:val="center"/>
              <w:rPr>
                <w:rFonts w:ascii="Times New Roman" w:eastAsia="Times New Roman" w:hAnsi="Times New Roman" w:cs="Times New Roman"/>
              </w:rPr>
            </w:pPr>
            <w:r w:rsidRPr="000A5D99">
              <w:rPr>
                <w:rFonts w:ascii="Times New Roman" w:eastAsia="Times New Roman" w:hAnsi="Times New Roman" w:cs="Times New Roman"/>
              </w:rPr>
              <w:lastRenderedPageBreak/>
              <w:t>a.</w:t>
            </w:r>
          </w:p>
        </w:tc>
        <w:tc>
          <w:tcPr>
            <w:tcW w:w="1809" w:type="dxa"/>
            <w:vAlign w:val="center"/>
          </w:tcPr>
          <w:p w14:paraId="466B4EAE" w14:textId="77777777" w:rsidR="003B155E" w:rsidRPr="000A5D99" w:rsidRDefault="003B155E" w:rsidP="000D79D6">
            <w:pPr>
              <w:widowControl w:val="0"/>
              <w:autoSpaceDE w:val="0"/>
              <w:autoSpaceDN w:val="0"/>
              <w:spacing w:before="100" w:beforeAutospacing="1" w:after="100" w:afterAutospacing="1" w:line="240" w:lineRule="auto"/>
              <w:jc w:val="center"/>
              <w:rPr>
                <w:rFonts w:ascii="Times New Roman" w:eastAsia="Times New Roman" w:hAnsi="Times New Roman" w:cs="Times New Roman"/>
              </w:rPr>
            </w:pPr>
            <w:r w:rsidRPr="000A5D99">
              <w:rPr>
                <w:rFonts w:ascii="Times New Roman" w:eastAsia="Times New Roman" w:hAnsi="Times New Roman" w:cs="Times New Roman"/>
              </w:rPr>
              <w:t>Yoğuşturma</w:t>
            </w:r>
          </w:p>
        </w:tc>
        <w:tc>
          <w:tcPr>
            <w:tcW w:w="4430" w:type="dxa"/>
          </w:tcPr>
          <w:p w14:paraId="1DB645D4" w14:textId="77777777" w:rsidR="003B155E" w:rsidRPr="000A5D99" w:rsidRDefault="003B155E" w:rsidP="000D79D6">
            <w:pPr>
              <w:widowControl w:val="0"/>
              <w:autoSpaceDE w:val="0"/>
              <w:autoSpaceDN w:val="0"/>
              <w:spacing w:before="100" w:beforeAutospacing="1" w:after="100" w:afterAutospacing="1" w:line="240" w:lineRule="auto"/>
              <w:ind w:left="107" w:right="96"/>
              <w:jc w:val="both"/>
              <w:rPr>
                <w:rFonts w:ascii="Times New Roman" w:eastAsia="Times New Roman" w:hAnsi="Times New Roman" w:cs="Times New Roman"/>
              </w:rPr>
            </w:pPr>
            <w:r w:rsidRPr="000A5D99">
              <w:rPr>
                <w:rFonts w:ascii="Times New Roman" w:eastAsia="Times New Roman" w:hAnsi="Times New Roman" w:cs="Times New Roman"/>
              </w:rPr>
              <w:t>Buharların sıvılaşması için sıcaklığı çiğ noktalarının altına düşürerek organik bileşikleri uzaklaştırmak için kullanılan tekniktir. Gerekli çalışma sıcaklığı aralığına bağlı olarak, örneğin, soğutma suyu, soğutulmuş su (sıcaklık genellikle 5 °C civarındadır), amonyak veya propan gibi farklı soğutucu akışkanlar kullanılır.</w:t>
            </w:r>
          </w:p>
        </w:tc>
        <w:tc>
          <w:tcPr>
            <w:tcW w:w="2406" w:type="dxa"/>
          </w:tcPr>
          <w:p w14:paraId="74A184FE" w14:textId="77777777" w:rsidR="003B155E" w:rsidRPr="000A5D99" w:rsidRDefault="003B155E" w:rsidP="000D79D6">
            <w:pPr>
              <w:widowControl w:val="0"/>
              <w:autoSpaceDE w:val="0"/>
              <w:autoSpaceDN w:val="0"/>
              <w:spacing w:before="100" w:beforeAutospacing="1" w:after="100" w:afterAutospacing="1" w:line="240" w:lineRule="auto"/>
              <w:ind w:right="98"/>
              <w:jc w:val="both"/>
              <w:rPr>
                <w:rFonts w:ascii="Times New Roman" w:eastAsia="Times New Roman" w:hAnsi="Times New Roman" w:cs="Times New Roman"/>
              </w:rPr>
            </w:pPr>
            <w:r w:rsidRPr="000A5D99">
              <w:rPr>
                <w:rFonts w:ascii="Times New Roman" w:eastAsia="Times New Roman" w:hAnsi="Times New Roman" w:cs="Times New Roman"/>
              </w:rPr>
              <w:t>Düşük UOB içeriği nedeniyle geri kazanım için enerji talebinin çok yüksek olduğu durumlarda uygulanabilirlik kısıtlanabilir.</w:t>
            </w:r>
          </w:p>
        </w:tc>
      </w:tr>
      <w:tr w:rsidR="003B155E" w:rsidRPr="000A5D99" w14:paraId="315F2C8A" w14:textId="77777777" w:rsidTr="000D79D6">
        <w:trPr>
          <w:trHeight w:val="2271"/>
        </w:trPr>
        <w:tc>
          <w:tcPr>
            <w:tcW w:w="427" w:type="dxa"/>
            <w:vAlign w:val="center"/>
          </w:tcPr>
          <w:p w14:paraId="5DACB583"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rPr>
            </w:pPr>
            <w:r w:rsidRPr="000A5D99">
              <w:rPr>
                <w:rFonts w:ascii="Times New Roman" w:eastAsia="Times New Roman" w:hAnsi="Times New Roman" w:cs="Times New Roman"/>
              </w:rPr>
              <w:t>b.</w:t>
            </w:r>
          </w:p>
        </w:tc>
        <w:tc>
          <w:tcPr>
            <w:tcW w:w="1809" w:type="dxa"/>
            <w:vAlign w:val="center"/>
          </w:tcPr>
          <w:p w14:paraId="45BC4EB6" w14:textId="77777777" w:rsidR="003B155E" w:rsidRPr="000A5D99" w:rsidRDefault="003B155E" w:rsidP="000D79D6">
            <w:pPr>
              <w:widowControl w:val="0"/>
              <w:autoSpaceDE w:val="0"/>
              <w:autoSpaceDN w:val="0"/>
              <w:spacing w:before="100" w:beforeAutospacing="1" w:after="100" w:afterAutospacing="1" w:line="240" w:lineRule="auto"/>
              <w:ind w:right="138"/>
              <w:rPr>
                <w:rFonts w:ascii="Times New Roman" w:eastAsia="Times New Roman" w:hAnsi="Times New Roman" w:cs="Times New Roman"/>
              </w:rPr>
            </w:pPr>
            <w:r w:rsidRPr="000A5D99">
              <w:rPr>
                <w:rFonts w:ascii="Times New Roman" w:eastAsia="Times New Roman" w:hAnsi="Times New Roman" w:cs="Times New Roman"/>
              </w:rPr>
              <w:t>Aktif karbon veya zeolitler kullanılarak adsorpsiyon</w:t>
            </w:r>
          </w:p>
        </w:tc>
        <w:tc>
          <w:tcPr>
            <w:tcW w:w="4430" w:type="dxa"/>
          </w:tcPr>
          <w:p w14:paraId="64247A13" w14:textId="77777777" w:rsidR="003B155E" w:rsidRPr="000A5D99" w:rsidRDefault="003B155E" w:rsidP="000D79D6">
            <w:pPr>
              <w:widowControl w:val="0"/>
              <w:autoSpaceDE w:val="0"/>
              <w:autoSpaceDN w:val="0"/>
              <w:spacing w:before="100" w:beforeAutospacing="1" w:after="100" w:afterAutospacing="1" w:line="240" w:lineRule="auto"/>
              <w:ind w:left="107" w:right="96"/>
              <w:jc w:val="both"/>
              <w:rPr>
                <w:rFonts w:ascii="Times New Roman" w:eastAsia="Times New Roman" w:hAnsi="Times New Roman" w:cs="Times New Roman"/>
              </w:rPr>
            </w:pPr>
            <w:r w:rsidRPr="000A5D99">
              <w:rPr>
                <w:rFonts w:ascii="Times New Roman" w:eastAsia="Times New Roman" w:hAnsi="Times New Roman" w:cs="Times New Roman"/>
              </w:rPr>
              <w:t>UOB'ler, aktif karbon, zeolitler veya karbon fiber kağıdın yüzeyinde adsorbe edilir. Adsorbat daha sonra yeniden kullanım veya bertaraf için örneğin buharla (genellikle tesiste) desorbe edilir ve adsorban yeniden kullanılır. Sürekli çalışma için, genellikle, biri desorpsiyon modunda olmak üzere ikiden fazla adsorber paralel olarak çalıştırılır. Adsorpsiyon ayrıca, sonraki oksidasyon verimliliğini arttırmak için bir konsantrasyon adımı olarak da yaygın olarak uygulanır.</w:t>
            </w:r>
          </w:p>
        </w:tc>
        <w:tc>
          <w:tcPr>
            <w:tcW w:w="2406" w:type="dxa"/>
          </w:tcPr>
          <w:p w14:paraId="666C2290"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p>
          <w:p w14:paraId="5D76CB39" w14:textId="77777777" w:rsidR="003B155E" w:rsidRPr="000A5D99" w:rsidRDefault="003B155E" w:rsidP="000D79D6">
            <w:pPr>
              <w:widowControl w:val="0"/>
              <w:autoSpaceDE w:val="0"/>
              <w:autoSpaceDN w:val="0"/>
              <w:spacing w:before="100" w:beforeAutospacing="1" w:after="100" w:afterAutospacing="1" w:line="240" w:lineRule="auto"/>
              <w:ind w:left="106" w:right="98"/>
              <w:jc w:val="both"/>
              <w:rPr>
                <w:rFonts w:ascii="Times New Roman" w:eastAsia="Times New Roman" w:hAnsi="Times New Roman" w:cs="Times New Roman"/>
              </w:rPr>
            </w:pPr>
            <w:r w:rsidRPr="000A5D99">
              <w:rPr>
                <w:rFonts w:ascii="Times New Roman" w:eastAsia="Times New Roman" w:hAnsi="Times New Roman" w:cs="Times New Roman"/>
              </w:rPr>
              <w:t>Düşük UOB içeriği nedeniyle geri kazanım için enerji talebinin çok yüksek olduğu durumlarda uygulanabilirlik kısıtlanabilir.</w:t>
            </w:r>
          </w:p>
        </w:tc>
      </w:tr>
      <w:tr w:rsidR="003B155E" w:rsidRPr="000A5D99" w14:paraId="04755375" w14:textId="77777777" w:rsidTr="000D79D6">
        <w:trPr>
          <w:trHeight w:val="1683"/>
        </w:trPr>
        <w:tc>
          <w:tcPr>
            <w:tcW w:w="427" w:type="dxa"/>
            <w:vAlign w:val="center"/>
          </w:tcPr>
          <w:p w14:paraId="2B3C7404"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rPr>
            </w:pPr>
            <w:r w:rsidRPr="000A5D99">
              <w:rPr>
                <w:rFonts w:ascii="Times New Roman" w:eastAsia="Times New Roman" w:hAnsi="Times New Roman" w:cs="Times New Roman"/>
              </w:rPr>
              <w:t>c.</w:t>
            </w:r>
          </w:p>
        </w:tc>
        <w:tc>
          <w:tcPr>
            <w:tcW w:w="1809" w:type="dxa"/>
            <w:vAlign w:val="center"/>
          </w:tcPr>
          <w:p w14:paraId="493B74AD" w14:textId="77777777" w:rsidR="003B155E" w:rsidRPr="000A5D99" w:rsidRDefault="003B155E" w:rsidP="000D79D6">
            <w:pPr>
              <w:widowControl w:val="0"/>
              <w:autoSpaceDE w:val="0"/>
              <w:autoSpaceDN w:val="0"/>
              <w:spacing w:before="100" w:beforeAutospacing="1" w:after="100" w:afterAutospacing="1" w:line="240" w:lineRule="auto"/>
              <w:ind w:right="148"/>
              <w:rPr>
                <w:rFonts w:ascii="Times New Roman" w:eastAsia="Times New Roman" w:hAnsi="Times New Roman" w:cs="Times New Roman"/>
              </w:rPr>
            </w:pPr>
            <w:r w:rsidRPr="000A5D99">
              <w:rPr>
                <w:rFonts w:ascii="Times New Roman" w:eastAsia="Times New Roman" w:hAnsi="Times New Roman" w:cs="Times New Roman"/>
              </w:rPr>
              <w:t>Uygun bir sıvı kullanarak absorpsiyon</w:t>
            </w:r>
          </w:p>
        </w:tc>
        <w:tc>
          <w:tcPr>
            <w:tcW w:w="4430" w:type="dxa"/>
          </w:tcPr>
          <w:p w14:paraId="08F7E5AC" w14:textId="77777777" w:rsidR="003B155E" w:rsidRPr="000A5D99" w:rsidRDefault="003B155E" w:rsidP="000D79D6">
            <w:pPr>
              <w:widowControl w:val="0"/>
              <w:autoSpaceDE w:val="0"/>
              <w:autoSpaceDN w:val="0"/>
              <w:spacing w:before="100" w:beforeAutospacing="1" w:after="100" w:afterAutospacing="1" w:line="240" w:lineRule="auto"/>
              <w:ind w:left="107" w:right="95"/>
              <w:jc w:val="both"/>
              <w:rPr>
                <w:rFonts w:ascii="Times New Roman" w:eastAsia="Times New Roman" w:hAnsi="Times New Roman" w:cs="Times New Roman"/>
              </w:rPr>
            </w:pPr>
            <w:r w:rsidRPr="000A5D99">
              <w:rPr>
                <w:rFonts w:ascii="Times New Roman" w:eastAsia="Times New Roman" w:hAnsi="Times New Roman" w:cs="Times New Roman"/>
              </w:rPr>
              <w:t>Çıkış gazındaki kirleticileri, özellikle çözünür bileşikleri ve katıları (toz) absorpsiyon yoluyla uzaklaştırmak için uygun bir sıvı kullanılır. Solvent geri kazanımı, örneğin damıtma veya termal desorpsiyon kullanılarak mümkündür.</w:t>
            </w:r>
          </w:p>
          <w:p w14:paraId="29329C47" w14:textId="77777777" w:rsidR="003B155E" w:rsidRPr="000A5D99" w:rsidRDefault="003B155E" w:rsidP="000D79D6">
            <w:pPr>
              <w:widowControl w:val="0"/>
              <w:autoSpaceDE w:val="0"/>
              <w:autoSpaceDN w:val="0"/>
              <w:spacing w:before="100" w:beforeAutospacing="1" w:after="100" w:afterAutospacing="1" w:line="240" w:lineRule="auto"/>
              <w:ind w:left="107" w:right="95"/>
              <w:jc w:val="both"/>
              <w:rPr>
                <w:rFonts w:ascii="Times New Roman" w:eastAsia="Times New Roman" w:hAnsi="Times New Roman" w:cs="Times New Roman"/>
              </w:rPr>
            </w:pPr>
            <w:r w:rsidRPr="000A5D99">
              <w:rPr>
                <w:rFonts w:ascii="Times New Roman" w:eastAsia="Times New Roman" w:hAnsi="Times New Roman" w:cs="Times New Roman"/>
              </w:rPr>
              <w:t xml:space="preserve">(Toz giderme için </w:t>
            </w:r>
            <w:r w:rsidRPr="000A5D99">
              <w:rPr>
                <w:rFonts w:ascii="Times New Roman" w:eastAsia="Times New Roman" w:hAnsi="Times New Roman" w:cs="Times New Roman"/>
                <w:b/>
                <w:bCs/>
              </w:rPr>
              <w:t>MET 18</w:t>
            </w:r>
            <w:r w:rsidRPr="000A5D99">
              <w:rPr>
                <w:rFonts w:ascii="Times New Roman" w:eastAsia="Times New Roman" w:hAnsi="Times New Roman" w:cs="Times New Roman"/>
              </w:rPr>
              <w:t>’e bakınız.)</w:t>
            </w:r>
          </w:p>
        </w:tc>
        <w:tc>
          <w:tcPr>
            <w:tcW w:w="2406" w:type="dxa"/>
          </w:tcPr>
          <w:p w14:paraId="15A20A64" w14:textId="77777777" w:rsidR="003B155E" w:rsidRPr="000A5D99" w:rsidRDefault="003B155E" w:rsidP="000D79D6">
            <w:pPr>
              <w:widowControl w:val="0"/>
              <w:autoSpaceDE w:val="0"/>
              <w:autoSpaceDN w:val="0"/>
              <w:spacing w:before="100" w:beforeAutospacing="1" w:after="100" w:afterAutospacing="1" w:line="240" w:lineRule="auto"/>
              <w:ind w:left="106"/>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7C15F735" w14:textId="77777777" w:rsidTr="000D79D6">
        <w:trPr>
          <w:trHeight w:val="230"/>
        </w:trPr>
        <w:tc>
          <w:tcPr>
            <w:tcW w:w="9072" w:type="dxa"/>
            <w:gridSpan w:val="4"/>
            <w:vAlign w:val="center"/>
          </w:tcPr>
          <w:p w14:paraId="240F5AAA" w14:textId="77777777" w:rsidR="003B155E" w:rsidRPr="000A5D99" w:rsidRDefault="003B155E" w:rsidP="000D79D6">
            <w:pPr>
              <w:widowControl w:val="0"/>
              <w:autoSpaceDE w:val="0"/>
              <w:autoSpaceDN w:val="0"/>
              <w:spacing w:before="100" w:beforeAutospacing="1" w:after="100" w:afterAutospacing="1" w:line="240" w:lineRule="auto"/>
              <w:ind w:left="107"/>
              <w:rPr>
                <w:rFonts w:ascii="Times New Roman" w:eastAsia="Times New Roman" w:hAnsi="Times New Roman" w:cs="Times New Roman"/>
                <w:b/>
                <w:iCs/>
              </w:rPr>
            </w:pPr>
            <w:r w:rsidRPr="000A5D99">
              <w:rPr>
                <w:rFonts w:ascii="Times New Roman" w:eastAsia="Times New Roman" w:hAnsi="Times New Roman" w:cs="Times New Roman"/>
                <w:b/>
                <w:iCs/>
              </w:rPr>
              <w:t>II. Çıkış gazlarındaki solventlerin enerji geri kazanımı ile ısıl işlemi</w:t>
            </w:r>
          </w:p>
        </w:tc>
      </w:tr>
      <w:tr w:rsidR="003B155E" w:rsidRPr="000A5D99" w14:paraId="39093BC8" w14:textId="77777777" w:rsidTr="000D79D6">
        <w:trPr>
          <w:trHeight w:val="1839"/>
        </w:trPr>
        <w:tc>
          <w:tcPr>
            <w:tcW w:w="427" w:type="dxa"/>
            <w:vAlign w:val="center"/>
          </w:tcPr>
          <w:p w14:paraId="71B9A915"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rPr>
            </w:pPr>
            <w:r w:rsidRPr="000A5D99">
              <w:rPr>
                <w:rFonts w:ascii="Times New Roman" w:eastAsia="Times New Roman" w:hAnsi="Times New Roman" w:cs="Times New Roman"/>
              </w:rPr>
              <w:t>d.</w:t>
            </w:r>
          </w:p>
        </w:tc>
        <w:tc>
          <w:tcPr>
            <w:tcW w:w="1809" w:type="dxa"/>
            <w:vAlign w:val="center"/>
          </w:tcPr>
          <w:p w14:paraId="7A987C24" w14:textId="77777777" w:rsidR="003B155E" w:rsidRPr="000A5D99" w:rsidRDefault="003B155E" w:rsidP="000D79D6">
            <w:pPr>
              <w:widowControl w:val="0"/>
              <w:autoSpaceDE w:val="0"/>
              <w:autoSpaceDN w:val="0"/>
              <w:spacing w:before="100" w:beforeAutospacing="1" w:after="100" w:afterAutospacing="1" w:line="240" w:lineRule="auto"/>
              <w:ind w:right="232"/>
              <w:rPr>
                <w:rFonts w:ascii="Times New Roman" w:eastAsia="Times New Roman" w:hAnsi="Times New Roman" w:cs="Times New Roman"/>
              </w:rPr>
            </w:pPr>
            <w:r w:rsidRPr="000A5D99">
              <w:rPr>
                <w:rFonts w:ascii="Times New Roman" w:eastAsia="Times New Roman" w:hAnsi="Times New Roman" w:cs="Times New Roman"/>
              </w:rPr>
              <w:t>Çıkış gazlarının yakma tesisine gönderilmesi</w:t>
            </w:r>
          </w:p>
        </w:tc>
        <w:tc>
          <w:tcPr>
            <w:tcW w:w="4430" w:type="dxa"/>
            <w:vAlign w:val="center"/>
          </w:tcPr>
          <w:p w14:paraId="46DF7879" w14:textId="77777777" w:rsidR="003B155E" w:rsidRPr="000A5D99" w:rsidRDefault="003B155E" w:rsidP="000D79D6">
            <w:pPr>
              <w:widowControl w:val="0"/>
              <w:autoSpaceDE w:val="0"/>
              <w:autoSpaceDN w:val="0"/>
              <w:spacing w:before="100" w:beforeAutospacing="1" w:after="100" w:afterAutospacing="1" w:line="240" w:lineRule="auto"/>
              <w:ind w:right="96"/>
              <w:rPr>
                <w:rFonts w:ascii="Times New Roman" w:eastAsia="Times New Roman" w:hAnsi="Times New Roman" w:cs="Times New Roman"/>
              </w:rPr>
            </w:pPr>
            <w:r w:rsidRPr="000A5D99">
              <w:rPr>
                <w:rFonts w:ascii="Times New Roman" w:eastAsia="Times New Roman" w:hAnsi="Times New Roman" w:cs="Times New Roman"/>
              </w:rPr>
              <w:t>Çıkış gazlarının bir kısmı veya tamamı, buhar ve/veya elektrik üretimi için kullanılan bir yakma tesisine [CHP (birleşik ısı ve güç) tesisleri dahil] yanma havası ve ek yakıt olarak gönderilir.</w:t>
            </w:r>
          </w:p>
        </w:tc>
        <w:tc>
          <w:tcPr>
            <w:tcW w:w="2406" w:type="dxa"/>
            <w:vAlign w:val="center"/>
          </w:tcPr>
          <w:p w14:paraId="061D9C7E" w14:textId="77777777" w:rsidR="003B155E" w:rsidRPr="000A5D99" w:rsidRDefault="003B155E" w:rsidP="000D79D6">
            <w:pPr>
              <w:widowControl w:val="0"/>
              <w:autoSpaceDE w:val="0"/>
              <w:autoSpaceDN w:val="0"/>
              <w:spacing w:before="100" w:beforeAutospacing="1" w:after="100" w:afterAutospacing="1" w:line="240" w:lineRule="auto"/>
              <w:ind w:left="106" w:right="98"/>
              <w:rPr>
                <w:rFonts w:ascii="Times New Roman" w:eastAsia="Times New Roman" w:hAnsi="Times New Roman" w:cs="Times New Roman"/>
              </w:rPr>
            </w:pPr>
            <w:r w:rsidRPr="000A5D99">
              <w:rPr>
                <w:rFonts w:ascii="Times New Roman" w:eastAsia="Times New Roman" w:hAnsi="Times New Roman" w:cs="Times New Roman"/>
              </w:rPr>
              <w:t>Uygulanabilirlik, güvenlik hususları nedeniyle kısıtlanabilir.</w:t>
            </w:r>
          </w:p>
        </w:tc>
      </w:tr>
      <w:tr w:rsidR="003B155E" w:rsidRPr="000A5D99" w14:paraId="6B3228F4" w14:textId="77777777" w:rsidTr="000D79D6">
        <w:trPr>
          <w:trHeight w:val="831"/>
        </w:trPr>
        <w:tc>
          <w:tcPr>
            <w:tcW w:w="427" w:type="dxa"/>
            <w:vAlign w:val="center"/>
          </w:tcPr>
          <w:p w14:paraId="32472F5D" w14:textId="77777777" w:rsidR="003B155E" w:rsidRPr="000A5D99" w:rsidRDefault="003B155E" w:rsidP="000D79D6">
            <w:pPr>
              <w:widowControl w:val="0"/>
              <w:autoSpaceDE w:val="0"/>
              <w:autoSpaceDN w:val="0"/>
              <w:spacing w:before="100" w:beforeAutospacing="1" w:after="100" w:afterAutospacing="1" w:line="240" w:lineRule="auto"/>
              <w:ind w:left="107"/>
              <w:rPr>
                <w:rFonts w:ascii="Times New Roman" w:eastAsia="Times New Roman" w:hAnsi="Times New Roman" w:cs="Times New Roman"/>
              </w:rPr>
            </w:pPr>
            <w:r w:rsidRPr="000A5D99">
              <w:rPr>
                <w:rFonts w:ascii="Times New Roman" w:eastAsia="Times New Roman" w:hAnsi="Times New Roman" w:cs="Times New Roman"/>
              </w:rPr>
              <w:t>e.</w:t>
            </w:r>
          </w:p>
        </w:tc>
        <w:tc>
          <w:tcPr>
            <w:tcW w:w="1809" w:type="dxa"/>
            <w:vAlign w:val="center"/>
          </w:tcPr>
          <w:p w14:paraId="6FF0D61A" w14:textId="77777777" w:rsidR="003B155E" w:rsidRPr="000A5D99" w:rsidRDefault="003B155E" w:rsidP="000D79D6">
            <w:pPr>
              <w:widowControl w:val="0"/>
              <w:autoSpaceDE w:val="0"/>
              <w:autoSpaceDN w:val="0"/>
              <w:spacing w:before="100" w:beforeAutospacing="1" w:after="100" w:afterAutospacing="1" w:line="240" w:lineRule="auto"/>
              <w:ind w:left="108" w:right="254"/>
              <w:rPr>
                <w:rFonts w:ascii="Times New Roman" w:eastAsia="Times New Roman" w:hAnsi="Times New Roman" w:cs="Times New Roman"/>
              </w:rPr>
            </w:pPr>
            <w:r w:rsidRPr="000A5D99">
              <w:rPr>
                <w:rFonts w:ascii="Times New Roman" w:eastAsia="Times New Roman" w:hAnsi="Times New Roman" w:cs="Times New Roman"/>
              </w:rPr>
              <w:t>Reküperatif termal oksidasyon</w:t>
            </w:r>
          </w:p>
        </w:tc>
        <w:tc>
          <w:tcPr>
            <w:tcW w:w="4430" w:type="dxa"/>
          </w:tcPr>
          <w:p w14:paraId="0552A30D" w14:textId="77777777" w:rsidR="003B155E" w:rsidRPr="000A5D99" w:rsidRDefault="003B155E" w:rsidP="000D79D6">
            <w:pPr>
              <w:widowControl w:val="0"/>
              <w:autoSpaceDE w:val="0"/>
              <w:autoSpaceDN w:val="0"/>
              <w:spacing w:before="100" w:beforeAutospacing="1" w:after="100" w:afterAutospacing="1" w:line="240" w:lineRule="auto"/>
              <w:ind w:left="107"/>
              <w:rPr>
                <w:rFonts w:ascii="Times New Roman" w:eastAsia="Times New Roman" w:hAnsi="Times New Roman" w:cs="Times New Roman"/>
              </w:rPr>
            </w:pPr>
            <w:r w:rsidRPr="000A5D99">
              <w:rPr>
                <w:rFonts w:ascii="Times New Roman" w:eastAsia="Times New Roman" w:hAnsi="Times New Roman" w:cs="Times New Roman"/>
              </w:rPr>
              <w:t>Atık gazların ısısını kullanarak termal oksidasyon; örneğin, çıkış gazlarını önceden ısıtılması için.</w:t>
            </w:r>
          </w:p>
        </w:tc>
        <w:tc>
          <w:tcPr>
            <w:tcW w:w="2406" w:type="dxa"/>
          </w:tcPr>
          <w:p w14:paraId="4E45EA16" w14:textId="77777777" w:rsidR="003B155E" w:rsidRPr="000A5D99" w:rsidRDefault="003B155E" w:rsidP="000D79D6">
            <w:pPr>
              <w:widowControl w:val="0"/>
              <w:autoSpaceDE w:val="0"/>
              <w:autoSpaceDN w:val="0"/>
              <w:spacing w:before="100" w:beforeAutospacing="1" w:after="100" w:afterAutospacing="1" w:line="240" w:lineRule="auto"/>
              <w:ind w:left="148" w:right="457" w:firstLine="40"/>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4761E6E3" w14:textId="77777777" w:rsidTr="000D79D6">
        <w:trPr>
          <w:trHeight w:val="2087"/>
        </w:trPr>
        <w:tc>
          <w:tcPr>
            <w:tcW w:w="427" w:type="dxa"/>
            <w:vAlign w:val="center"/>
          </w:tcPr>
          <w:p w14:paraId="7E5A061B" w14:textId="77777777" w:rsidR="003B155E" w:rsidRPr="000A5D99" w:rsidRDefault="003B155E" w:rsidP="000D79D6">
            <w:pPr>
              <w:widowControl w:val="0"/>
              <w:autoSpaceDE w:val="0"/>
              <w:autoSpaceDN w:val="0"/>
              <w:spacing w:before="100" w:beforeAutospacing="1" w:after="100" w:afterAutospacing="1" w:line="240" w:lineRule="auto"/>
              <w:ind w:left="107"/>
              <w:rPr>
                <w:rFonts w:ascii="Times New Roman" w:eastAsia="Times New Roman" w:hAnsi="Times New Roman" w:cs="Times New Roman"/>
              </w:rPr>
            </w:pPr>
            <w:r w:rsidRPr="000A5D99">
              <w:rPr>
                <w:rFonts w:ascii="Times New Roman" w:eastAsia="Times New Roman" w:hAnsi="Times New Roman" w:cs="Times New Roman"/>
              </w:rPr>
              <w:t>f.</w:t>
            </w:r>
          </w:p>
        </w:tc>
        <w:tc>
          <w:tcPr>
            <w:tcW w:w="1809" w:type="dxa"/>
            <w:vAlign w:val="center"/>
          </w:tcPr>
          <w:p w14:paraId="5EA9488C" w14:textId="77777777" w:rsidR="003B155E" w:rsidRPr="000A5D99" w:rsidRDefault="003B155E" w:rsidP="000D79D6">
            <w:pPr>
              <w:widowControl w:val="0"/>
              <w:autoSpaceDE w:val="0"/>
              <w:autoSpaceDN w:val="0"/>
              <w:spacing w:before="100" w:beforeAutospacing="1" w:after="100" w:afterAutospacing="1" w:line="240" w:lineRule="auto"/>
              <w:ind w:left="108" w:right="176"/>
              <w:rPr>
                <w:rFonts w:ascii="Times New Roman" w:eastAsia="Times New Roman" w:hAnsi="Times New Roman" w:cs="Times New Roman"/>
              </w:rPr>
            </w:pPr>
            <w:r w:rsidRPr="000A5D99">
              <w:rPr>
                <w:rFonts w:ascii="Times New Roman" w:eastAsia="Times New Roman" w:hAnsi="Times New Roman" w:cs="Times New Roman"/>
              </w:rPr>
              <w:t>Çoklu yataklı veya valfsiz döner hava dağıtıcılı rejeneratif termal oksidasyon</w:t>
            </w:r>
          </w:p>
        </w:tc>
        <w:tc>
          <w:tcPr>
            <w:tcW w:w="4430" w:type="dxa"/>
            <w:vAlign w:val="center"/>
          </w:tcPr>
          <w:p w14:paraId="1F50FDC0" w14:textId="77777777" w:rsidR="003B155E" w:rsidRPr="000A5D99" w:rsidRDefault="003B155E" w:rsidP="000D79D6">
            <w:pPr>
              <w:widowControl w:val="0"/>
              <w:autoSpaceDE w:val="0"/>
              <w:autoSpaceDN w:val="0"/>
              <w:spacing w:before="100" w:beforeAutospacing="1" w:after="100" w:afterAutospacing="1" w:line="240" w:lineRule="auto"/>
              <w:ind w:left="107" w:right="97"/>
              <w:rPr>
                <w:rFonts w:ascii="Times New Roman" w:eastAsia="Times New Roman" w:hAnsi="Times New Roman" w:cs="Times New Roman"/>
              </w:rPr>
            </w:pPr>
            <w:r w:rsidRPr="000A5D99">
              <w:rPr>
                <w:rFonts w:ascii="Times New Roman" w:eastAsia="Times New Roman" w:hAnsi="Times New Roman" w:cs="Times New Roman"/>
              </w:rPr>
              <w:t>Seramik salmastra ile doldurulmuş çoklu yataklı (üç veya beş) oksitleyicidir. Yataklar, dönüşümlü olarak oksidasyondan kaynaklanan çıkış gazları ile ısıtılan ısı eşanjörleridir, ardından akış tersine çevrilerek oksitleyiciye giren hava ısıtılır. Akış düzenli olarak tersine çevrilir. Valfsiz döner hava dağıtıcısında, seramik ortam, çoklu kamalara bölünmüş tek bir döner kapta tutulur.</w:t>
            </w:r>
          </w:p>
        </w:tc>
        <w:tc>
          <w:tcPr>
            <w:tcW w:w="2406" w:type="dxa"/>
            <w:vAlign w:val="center"/>
          </w:tcPr>
          <w:p w14:paraId="01236EE5" w14:textId="77777777" w:rsidR="003B155E" w:rsidRPr="000A5D99" w:rsidRDefault="003B155E" w:rsidP="000D79D6">
            <w:pPr>
              <w:widowControl w:val="0"/>
              <w:autoSpaceDE w:val="0"/>
              <w:autoSpaceDN w:val="0"/>
              <w:spacing w:before="100" w:beforeAutospacing="1" w:after="100" w:afterAutospacing="1" w:line="240" w:lineRule="auto"/>
              <w:ind w:left="483" w:right="457" w:firstLine="40"/>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0187890B" w14:textId="77777777" w:rsidTr="000D79D6">
        <w:trPr>
          <w:trHeight w:val="1977"/>
        </w:trPr>
        <w:tc>
          <w:tcPr>
            <w:tcW w:w="427" w:type="dxa"/>
            <w:vAlign w:val="center"/>
          </w:tcPr>
          <w:p w14:paraId="11E365F0" w14:textId="77777777" w:rsidR="003B155E" w:rsidRPr="000A5D99" w:rsidRDefault="003B155E" w:rsidP="000D79D6">
            <w:pPr>
              <w:widowControl w:val="0"/>
              <w:autoSpaceDE w:val="0"/>
              <w:autoSpaceDN w:val="0"/>
              <w:spacing w:before="100" w:beforeAutospacing="1" w:after="100" w:afterAutospacing="1" w:line="240" w:lineRule="auto"/>
              <w:ind w:left="107"/>
              <w:rPr>
                <w:rFonts w:ascii="Times New Roman" w:eastAsia="Times New Roman" w:hAnsi="Times New Roman" w:cs="Times New Roman"/>
              </w:rPr>
            </w:pPr>
            <w:r w:rsidRPr="000A5D99">
              <w:rPr>
                <w:rFonts w:ascii="Times New Roman" w:eastAsia="Times New Roman" w:hAnsi="Times New Roman" w:cs="Times New Roman"/>
              </w:rPr>
              <w:t>g.</w:t>
            </w:r>
          </w:p>
        </w:tc>
        <w:tc>
          <w:tcPr>
            <w:tcW w:w="1809" w:type="dxa"/>
            <w:vAlign w:val="center"/>
          </w:tcPr>
          <w:p w14:paraId="5BCA7477"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rPr>
            </w:pPr>
            <w:r w:rsidRPr="000A5D99">
              <w:rPr>
                <w:rFonts w:ascii="Times New Roman" w:eastAsia="Times New Roman" w:hAnsi="Times New Roman" w:cs="Times New Roman"/>
              </w:rPr>
              <w:t>Katalitik oksidasyon</w:t>
            </w:r>
          </w:p>
        </w:tc>
        <w:tc>
          <w:tcPr>
            <w:tcW w:w="4430" w:type="dxa"/>
            <w:vAlign w:val="center"/>
          </w:tcPr>
          <w:p w14:paraId="00E2CFA1" w14:textId="77777777" w:rsidR="003B155E" w:rsidRPr="000A5D99" w:rsidRDefault="003B155E" w:rsidP="000D79D6">
            <w:pPr>
              <w:widowControl w:val="0"/>
              <w:autoSpaceDE w:val="0"/>
              <w:autoSpaceDN w:val="0"/>
              <w:spacing w:after="0" w:line="240" w:lineRule="auto"/>
              <w:ind w:left="107" w:right="97"/>
              <w:rPr>
                <w:rFonts w:ascii="Times New Roman" w:eastAsia="Times New Roman" w:hAnsi="Times New Roman" w:cs="Times New Roman"/>
              </w:rPr>
            </w:pPr>
            <w:r w:rsidRPr="000A5D99">
              <w:rPr>
                <w:rFonts w:ascii="Times New Roman" w:eastAsia="Times New Roman" w:hAnsi="Times New Roman" w:cs="Times New Roman"/>
              </w:rPr>
              <w:t>UOB'lerin oksidasyonu, oksidasyon sıcaklığını düşürmek ve yakıt tüketimini azaltmak için bir katalizör tarafından desteklenir. Çıkış ısısı, reküperatif veya rejeneratif tipte ısı eşanjörleri ile geri kazanılabilir. Sargı teli üretiminden çıkan gazın arıtılması için daha yüksek oksidasyon sıcaklıkları (500 - 750 °C) kullanılır.</w:t>
            </w:r>
          </w:p>
        </w:tc>
        <w:tc>
          <w:tcPr>
            <w:tcW w:w="2406" w:type="dxa"/>
            <w:vAlign w:val="center"/>
          </w:tcPr>
          <w:p w14:paraId="1843F12A" w14:textId="77777777" w:rsidR="003B155E" w:rsidRPr="000A5D99" w:rsidRDefault="003B155E" w:rsidP="000D79D6">
            <w:pPr>
              <w:widowControl w:val="0"/>
              <w:autoSpaceDE w:val="0"/>
              <w:autoSpaceDN w:val="0"/>
              <w:spacing w:before="100" w:beforeAutospacing="1" w:after="100" w:afterAutospacing="1" w:line="240" w:lineRule="auto"/>
              <w:ind w:left="106" w:right="99"/>
              <w:rPr>
                <w:rFonts w:ascii="Times New Roman" w:eastAsia="Times New Roman" w:hAnsi="Times New Roman" w:cs="Times New Roman"/>
              </w:rPr>
            </w:pPr>
            <w:r w:rsidRPr="000A5D99">
              <w:rPr>
                <w:rFonts w:ascii="Times New Roman" w:eastAsia="Times New Roman" w:hAnsi="Times New Roman" w:cs="Times New Roman"/>
              </w:rPr>
              <w:t>Uygulanabilirlik, katalizör zehirlerinin mevcudiyeti ile sınırlanabilir.</w:t>
            </w:r>
          </w:p>
        </w:tc>
      </w:tr>
      <w:tr w:rsidR="003B155E" w:rsidRPr="000A5D99" w14:paraId="08816793" w14:textId="77777777" w:rsidTr="000D79D6">
        <w:trPr>
          <w:trHeight w:val="277"/>
        </w:trPr>
        <w:tc>
          <w:tcPr>
            <w:tcW w:w="9072" w:type="dxa"/>
            <w:gridSpan w:val="4"/>
            <w:vAlign w:val="center"/>
          </w:tcPr>
          <w:p w14:paraId="47A10D20"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iCs/>
              </w:rPr>
            </w:pPr>
            <w:r w:rsidRPr="000A5D99">
              <w:rPr>
                <w:rFonts w:ascii="Times New Roman" w:eastAsia="Times New Roman" w:hAnsi="Times New Roman" w:cs="Times New Roman"/>
                <w:b/>
                <w:iCs/>
              </w:rPr>
              <w:lastRenderedPageBreak/>
              <w:t>III. Solvent veya enerji geri kazanımı olmadan çıkış gazlarındaki solventlerin arıtılması</w:t>
            </w:r>
          </w:p>
        </w:tc>
      </w:tr>
      <w:tr w:rsidR="003B155E" w:rsidRPr="000A5D99" w14:paraId="005BB173" w14:textId="77777777" w:rsidTr="000D79D6">
        <w:trPr>
          <w:trHeight w:val="1977"/>
        </w:trPr>
        <w:tc>
          <w:tcPr>
            <w:tcW w:w="427" w:type="dxa"/>
            <w:vAlign w:val="center"/>
          </w:tcPr>
          <w:p w14:paraId="676F18B0"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r w:rsidRPr="000A5D99">
              <w:rPr>
                <w:rFonts w:ascii="Times New Roman" w:eastAsia="Times New Roman" w:hAnsi="Times New Roman" w:cs="Times New Roman"/>
              </w:rPr>
              <w:t>h.</w:t>
            </w:r>
          </w:p>
        </w:tc>
        <w:tc>
          <w:tcPr>
            <w:tcW w:w="1809" w:type="dxa"/>
            <w:vAlign w:val="center"/>
          </w:tcPr>
          <w:p w14:paraId="2C13112C"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r w:rsidRPr="000A5D99">
              <w:rPr>
                <w:rFonts w:ascii="Times New Roman" w:eastAsia="Times New Roman" w:hAnsi="Times New Roman" w:cs="Times New Roman"/>
              </w:rPr>
              <w:t>Biyolojik çıkış gazı arıtımı</w:t>
            </w:r>
          </w:p>
        </w:tc>
        <w:tc>
          <w:tcPr>
            <w:tcW w:w="4430" w:type="dxa"/>
            <w:vAlign w:val="center"/>
          </w:tcPr>
          <w:p w14:paraId="72869AC6" w14:textId="77777777" w:rsidR="003B155E" w:rsidRPr="000A5D99" w:rsidRDefault="003B155E" w:rsidP="000D79D6">
            <w:pPr>
              <w:widowControl w:val="0"/>
              <w:autoSpaceDE w:val="0"/>
              <w:autoSpaceDN w:val="0"/>
              <w:spacing w:before="100" w:beforeAutospacing="1" w:after="100" w:afterAutospacing="1" w:line="240" w:lineRule="auto"/>
              <w:ind w:left="108" w:right="94"/>
              <w:rPr>
                <w:rFonts w:ascii="Times New Roman" w:eastAsia="Times New Roman" w:hAnsi="Times New Roman" w:cs="Times New Roman"/>
              </w:rPr>
            </w:pPr>
            <w:r w:rsidRPr="000A5D99">
              <w:rPr>
                <w:rFonts w:ascii="Times New Roman" w:eastAsia="Times New Roman" w:hAnsi="Times New Roman" w:cs="Times New Roman"/>
              </w:rPr>
              <w:t>Çıkış gazı tozdan arındırılır ve biyofiltre alt tabakası olan bir reaktöre gönderilir. Biyofiltre, bir organik malzeme yatağından (turba, funda, kompost, kök, ağaç kabuğu, yumuşak ağaç ve farklı kombinasyonlar gibi) veya bazı inert malzemelerden (kil, aktif karbon ve poliüretan gibi) oluşur, burada çıkış gazı akışı, doğal olarak oluşan mikroorganizmalar tarafından biyolojik olarak oksitlenerek karbondioksit, su, inorganik tuzlar ve biyokütleye dönüştürülür. Biyofiltre toza, yüksek sıcaklıklara veya giriş sıcaklığı veya UOB konsantrasyonu gibi çıkış gazındaki büyük değişikliklere karşı hassastır. Ek besin takviyesi gerekebilir.</w:t>
            </w:r>
          </w:p>
        </w:tc>
        <w:tc>
          <w:tcPr>
            <w:tcW w:w="2406" w:type="dxa"/>
            <w:vAlign w:val="center"/>
          </w:tcPr>
          <w:p w14:paraId="30EC9D4F"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r w:rsidRPr="000A5D99">
              <w:rPr>
                <w:rFonts w:ascii="Times New Roman" w:eastAsia="Times New Roman" w:hAnsi="Times New Roman" w:cs="Times New Roman"/>
              </w:rPr>
              <w:t>Yalnızca biyolojik olarak parçalanabilen solventlerin işlenmesi için uygulanabilir.</w:t>
            </w:r>
          </w:p>
        </w:tc>
      </w:tr>
      <w:tr w:rsidR="003B155E" w:rsidRPr="000A5D99" w14:paraId="5DFF42E0" w14:textId="77777777" w:rsidTr="000D79D6">
        <w:trPr>
          <w:trHeight w:val="1977"/>
        </w:trPr>
        <w:tc>
          <w:tcPr>
            <w:tcW w:w="427" w:type="dxa"/>
            <w:vAlign w:val="center"/>
          </w:tcPr>
          <w:p w14:paraId="58B342C5"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r w:rsidRPr="000A5D99">
              <w:rPr>
                <w:rFonts w:ascii="Times New Roman" w:eastAsia="Times New Roman" w:hAnsi="Times New Roman" w:cs="Times New Roman"/>
              </w:rPr>
              <w:t>i.</w:t>
            </w:r>
          </w:p>
        </w:tc>
        <w:tc>
          <w:tcPr>
            <w:tcW w:w="1809" w:type="dxa"/>
            <w:vAlign w:val="center"/>
          </w:tcPr>
          <w:p w14:paraId="70157008"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r w:rsidRPr="000A5D99">
              <w:rPr>
                <w:rFonts w:ascii="Times New Roman" w:eastAsia="Times New Roman" w:hAnsi="Times New Roman" w:cs="Times New Roman"/>
              </w:rPr>
              <w:t>Termal oksidasyon</w:t>
            </w:r>
          </w:p>
        </w:tc>
        <w:tc>
          <w:tcPr>
            <w:tcW w:w="4430" w:type="dxa"/>
            <w:vAlign w:val="center"/>
          </w:tcPr>
          <w:p w14:paraId="0177E3C9" w14:textId="77777777" w:rsidR="003B155E" w:rsidRPr="000A5D99" w:rsidRDefault="003B155E" w:rsidP="000D79D6">
            <w:pPr>
              <w:widowControl w:val="0"/>
              <w:autoSpaceDE w:val="0"/>
              <w:autoSpaceDN w:val="0"/>
              <w:spacing w:before="100" w:beforeAutospacing="1" w:after="100" w:afterAutospacing="1" w:line="240" w:lineRule="auto"/>
              <w:ind w:left="107" w:right="97"/>
              <w:rPr>
                <w:rFonts w:ascii="Times New Roman" w:eastAsia="Times New Roman" w:hAnsi="Times New Roman" w:cs="Times New Roman"/>
              </w:rPr>
            </w:pPr>
            <w:r w:rsidRPr="000A5D99">
              <w:rPr>
                <w:rFonts w:ascii="Times New Roman" w:eastAsia="Times New Roman" w:hAnsi="Times New Roman" w:cs="Times New Roman"/>
              </w:rPr>
              <w:t>Çıkış gazları hava veya oksijen ile bir yanma odasında kendi kendine tutuşma noktalarının üzerine kadar ısıtılarak ve UOB'lerin karbon dioksit ve suya yanmasını tamamlamaya yetecek kadar yüksek sıcaklık korunarak UOB’lerin oksidasyonudur.</w:t>
            </w:r>
          </w:p>
        </w:tc>
        <w:tc>
          <w:tcPr>
            <w:tcW w:w="2406" w:type="dxa"/>
            <w:vAlign w:val="center"/>
          </w:tcPr>
          <w:p w14:paraId="6F6A59AD" w14:textId="77777777" w:rsidR="003B155E" w:rsidRPr="000A5D99" w:rsidRDefault="003B155E" w:rsidP="000D79D6">
            <w:pPr>
              <w:widowControl w:val="0"/>
              <w:autoSpaceDE w:val="0"/>
              <w:autoSpaceDN w:val="0"/>
              <w:spacing w:before="100" w:beforeAutospacing="1" w:after="100" w:afterAutospacing="1" w:line="240" w:lineRule="auto"/>
              <w:rPr>
                <w:rFonts w:ascii="Times New Roman" w:eastAsia="Times New Roman" w:hAnsi="Times New Roman" w:cs="Times New Roman"/>
                <w:b/>
              </w:rPr>
            </w:pPr>
            <w:r w:rsidRPr="000A5D99">
              <w:rPr>
                <w:rFonts w:ascii="Times New Roman" w:eastAsia="Times New Roman" w:hAnsi="Times New Roman" w:cs="Times New Roman"/>
              </w:rPr>
              <w:t>Genel olarak uygulanabilir.</w:t>
            </w:r>
          </w:p>
        </w:tc>
      </w:tr>
    </w:tbl>
    <w:p w14:paraId="24B56883" w14:textId="77777777" w:rsidR="003B155E" w:rsidRPr="00064D05" w:rsidRDefault="003B155E" w:rsidP="003B155E">
      <w:pPr>
        <w:spacing w:before="240" w:after="0" w:line="360" w:lineRule="auto"/>
        <w:jc w:val="both"/>
        <w:rPr>
          <w:rFonts w:ascii="Times New Roman" w:eastAsia="Calibri" w:hAnsi="Times New Roman" w:cs="Calibri"/>
          <w:b/>
          <w:bCs/>
          <w:sz w:val="24"/>
        </w:rPr>
      </w:pPr>
      <w:r w:rsidRPr="00064D05">
        <w:rPr>
          <w:rFonts w:ascii="Times New Roman" w:eastAsia="Calibri" w:hAnsi="Times New Roman" w:cs="Calibri"/>
          <w:b/>
          <w:bCs/>
          <w:sz w:val="24"/>
        </w:rPr>
        <w:t xml:space="preserve">MET 16: </w:t>
      </w:r>
      <w:r w:rsidRPr="00064D05">
        <w:rPr>
          <w:rFonts w:ascii="Times New Roman" w:eastAsia="Calibri" w:hAnsi="Times New Roman" w:cs="Calibri"/>
          <w:sz w:val="24"/>
        </w:rPr>
        <w:t>UOB azaltma sisteminin enerji tüketimini azaltmak için, aşağıda verilen tekniklerden biri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8"/>
        <w:gridCol w:w="2213"/>
        <w:gridCol w:w="4448"/>
        <w:gridCol w:w="2063"/>
      </w:tblGrid>
      <w:tr w:rsidR="003B155E" w:rsidRPr="000A5D99" w14:paraId="43948CCE" w14:textId="77777777" w:rsidTr="000D79D6">
        <w:trPr>
          <w:trHeight w:val="230"/>
          <w:tblHeader/>
        </w:trPr>
        <w:tc>
          <w:tcPr>
            <w:tcW w:w="186" w:type="pct"/>
            <w:tcBorders>
              <w:top w:val="single" w:sz="4" w:space="0" w:color="auto"/>
              <w:right w:val="single" w:sz="4" w:space="0" w:color="auto"/>
            </w:tcBorders>
            <w:vAlign w:val="center"/>
          </w:tcPr>
          <w:p w14:paraId="5E773AF6"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221" w:type="pct"/>
            <w:tcBorders>
              <w:top w:val="single" w:sz="4" w:space="0" w:color="auto"/>
              <w:left w:val="single" w:sz="4" w:space="0" w:color="auto"/>
            </w:tcBorders>
            <w:vAlign w:val="center"/>
          </w:tcPr>
          <w:p w14:paraId="1F1DD34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454" w:type="pct"/>
            <w:vAlign w:val="center"/>
          </w:tcPr>
          <w:p w14:paraId="563DF69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138" w:type="pct"/>
            <w:vAlign w:val="center"/>
          </w:tcPr>
          <w:p w14:paraId="222A15D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40984FAA" w14:textId="77777777" w:rsidTr="000D79D6">
        <w:trPr>
          <w:trHeight w:val="1840"/>
        </w:trPr>
        <w:tc>
          <w:tcPr>
            <w:tcW w:w="186" w:type="pct"/>
            <w:tcBorders>
              <w:right w:val="single" w:sz="4" w:space="0" w:color="auto"/>
            </w:tcBorders>
            <w:vAlign w:val="center"/>
          </w:tcPr>
          <w:p w14:paraId="34EAA16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21" w:type="pct"/>
            <w:tcBorders>
              <w:left w:val="single" w:sz="4" w:space="0" w:color="auto"/>
            </w:tcBorders>
            <w:vAlign w:val="center"/>
          </w:tcPr>
          <w:p w14:paraId="283F2C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Değişken frekanslı tahrik fanları kullanarak çıkış gazı arıtma sistemine gönderilen UOB konsantrasyonunun korunması</w:t>
            </w:r>
          </w:p>
        </w:tc>
        <w:tc>
          <w:tcPr>
            <w:tcW w:w="2454" w:type="pct"/>
            <w:vAlign w:val="center"/>
          </w:tcPr>
          <w:p w14:paraId="1A9C531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Hava akışını, çalışır durumda olabilecek ekipmandan çıkan gazla eşleştirmek amacıyla modüle etmek için merkezileştirilmiş gaz arıtma sistemlerinde değişken frekanslı bir tahrik fanının kullanılmasıdır.</w:t>
            </w:r>
          </w:p>
        </w:tc>
        <w:tc>
          <w:tcPr>
            <w:tcW w:w="1138" w:type="pct"/>
            <w:vAlign w:val="center"/>
          </w:tcPr>
          <w:p w14:paraId="7A2D8D7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baskı gibi toplu işlemlerde merkezi termal gaz arıtma sistemleri için geçerlidir.</w:t>
            </w:r>
          </w:p>
        </w:tc>
      </w:tr>
      <w:tr w:rsidR="003B155E" w:rsidRPr="000A5D99" w14:paraId="0DB54557" w14:textId="77777777" w:rsidTr="000D79D6">
        <w:trPr>
          <w:trHeight w:val="1839"/>
        </w:trPr>
        <w:tc>
          <w:tcPr>
            <w:tcW w:w="186" w:type="pct"/>
            <w:vAlign w:val="center"/>
          </w:tcPr>
          <w:p w14:paraId="2E35135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221" w:type="pct"/>
            <w:vAlign w:val="center"/>
          </w:tcPr>
          <w:p w14:paraId="4533974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gazlarındaki solventlerin dahili olarak yoğunlaştırılması</w:t>
            </w:r>
          </w:p>
        </w:tc>
        <w:tc>
          <w:tcPr>
            <w:tcW w:w="2454" w:type="pct"/>
            <w:vAlign w:val="center"/>
          </w:tcPr>
          <w:p w14:paraId="673F016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gazları işlem içinde (dahili olarak) kürleme fırınlarında/kurutucularda ve/veya püskürtme kabinlerinde devirdaim edilir, bu nedenle çıkış gazlarındaki UOB konsantrasyonu artar ve çıkış gazı arıtma sisteminin azaltım verimliliği artar.</w:t>
            </w:r>
          </w:p>
        </w:tc>
        <w:tc>
          <w:tcPr>
            <w:tcW w:w="1138" w:type="pct"/>
            <w:vAlign w:val="center"/>
          </w:tcPr>
          <w:p w14:paraId="7726270E" w14:textId="77777777" w:rsidR="003B155E" w:rsidRPr="000A5D99" w:rsidRDefault="003B155E" w:rsidP="000D79D6">
            <w:pPr>
              <w:widowControl w:val="0"/>
              <w:tabs>
                <w:tab w:val="left" w:pos="562"/>
                <w:tab w:val="left" w:pos="1392"/>
                <w:tab w:val="left" w:pos="1427"/>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LEL ve ürün kalite gereklilikleri veya şartnameleri gibi sağlık ve güvenlik faktörleriyle sınırlanabilir.</w:t>
            </w:r>
          </w:p>
        </w:tc>
      </w:tr>
      <w:tr w:rsidR="003B155E" w:rsidRPr="000A5D99" w14:paraId="2F3CB16A" w14:textId="77777777" w:rsidTr="000D79D6">
        <w:trPr>
          <w:trHeight w:val="694"/>
        </w:trPr>
        <w:tc>
          <w:tcPr>
            <w:tcW w:w="186" w:type="pct"/>
            <w:vAlign w:val="center"/>
          </w:tcPr>
          <w:p w14:paraId="7E31DAD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221" w:type="pct"/>
            <w:vAlign w:val="center"/>
          </w:tcPr>
          <w:p w14:paraId="59A4775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Adsorpsiyon yoluyla çıkış gazlarındaki solventlerin harici olarak yoğunlaştırılması</w:t>
            </w:r>
          </w:p>
        </w:tc>
        <w:tc>
          <w:tcPr>
            <w:tcW w:w="2454" w:type="pct"/>
            <w:vAlign w:val="center"/>
          </w:tcPr>
          <w:p w14:paraId="15822DC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gazındaki solvent konsantrasyonu, kürleme fırını/kurutucu çıkış gazlarının muhtemel kullanımı ile birlikte, adsorpsiyon ekipmanı yoluyla, püskürtme kabini proses havasının sürekli dairesel akışıyla artırılır. Bu ekipman şunları içerebilir:</w:t>
            </w:r>
          </w:p>
          <w:p w14:paraId="3E22EC7B" w14:textId="77777777" w:rsidR="003B155E" w:rsidRPr="000A5D99" w:rsidRDefault="003B155E" w:rsidP="003B155E">
            <w:pPr>
              <w:widowControl w:val="0"/>
              <w:numPr>
                <w:ilvl w:val="0"/>
                <w:numId w:val="133"/>
              </w:numPr>
              <w:tabs>
                <w:tab w:val="left" w:pos="226"/>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aktif karbon veya zeolit içeren sabit yataklı adsorber;</w:t>
            </w:r>
          </w:p>
          <w:p w14:paraId="5CD70592" w14:textId="77777777" w:rsidR="003B155E" w:rsidRPr="000A5D99" w:rsidRDefault="003B155E" w:rsidP="003B155E">
            <w:pPr>
              <w:widowControl w:val="0"/>
              <w:numPr>
                <w:ilvl w:val="0"/>
                <w:numId w:val="133"/>
              </w:numPr>
              <w:tabs>
                <w:tab w:val="left" w:pos="226"/>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aktif karbonlu akışkan yataklı adsorber;</w:t>
            </w:r>
          </w:p>
          <w:p w14:paraId="3FFD988B" w14:textId="77777777" w:rsidR="003B155E" w:rsidRPr="000A5D99" w:rsidRDefault="003B155E" w:rsidP="003B155E">
            <w:pPr>
              <w:widowControl w:val="0"/>
              <w:numPr>
                <w:ilvl w:val="0"/>
                <w:numId w:val="133"/>
              </w:numPr>
              <w:tabs>
                <w:tab w:val="left" w:pos="226"/>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aktif karbon veya zeolit ile rotorlu adsorber;</w:t>
            </w:r>
          </w:p>
          <w:p w14:paraId="7ED1D28D" w14:textId="77777777" w:rsidR="003B155E" w:rsidRPr="000A5D99" w:rsidRDefault="003B155E" w:rsidP="003B155E">
            <w:pPr>
              <w:widowControl w:val="0"/>
              <w:numPr>
                <w:ilvl w:val="0"/>
                <w:numId w:val="133"/>
              </w:numPr>
              <w:tabs>
                <w:tab w:val="left" w:pos="226"/>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moleküler elek.</w:t>
            </w:r>
          </w:p>
        </w:tc>
        <w:tc>
          <w:tcPr>
            <w:tcW w:w="1138" w:type="pct"/>
            <w:vAlign w:val="center"/>
          </w:tcPr>
          <w:p w14:paraId="5287650E" w14:textId="77777777" w:rsidR="003B155E" w:rsidRPr="000A5D99" w:rsidRDefault="003B155E" w:rsidP="000D79D6">
            <w:pPr>
              <w:widowControl w:val="0"/>
              <w:tabs>
                <w:tab w:val="left" w:pos="849"/>
                <w:tab w:val="left" w:pos="1460"/>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UOB içeriği nedeniyle enerji talebinin çok yüksek olduğu durumlarda uygulanabilirlik sınırlanabilir.</w:t>
            </w:r>
          </w:p>
        </w:tc>
      </w:tr>
      <w:tr w:rsidR="003B155E" w:rsidRPr="000A5D99" w14:paraId="20DECE94" w14:textId="77777777" w:rsidTr="000D79D6">
        <w:trPr>
          <w:trHeight w:val="567"/>
        </w:trPr>
        <w:tc>
          <w:tcPr>
            <w:tcW w:w="186" w:type="pct"/>
            <w:vAlign w:val="center"/>
          </w:tcPr>
          <w:p w14:paraId="466EF57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lastRenderedPageBreak/>
              <w:t>d</w:t>
            </w:r>
          </w:p>
        </w:tc>
        <w:tc>
          <w:tcPr>
            <w:tcW w:w="1221" w:type="pct"/>
            <w:vAlign w:val="center"/>
          </w:tcPr>
          <w:p w14:paraId="29CCAF4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Atık gaz hacmini azaltmak için Plenum tekniği</w:t>
            </w:r>
          </w:p>
        </w:tc>
        <w:tc>
          <w:tcPr>
            <w:tcW w:w="2454" w:type="pct"/>
            <w:vAlign w:val="center"/>
          </w:tcPr>
          <w:p w14:paraId="2C6CFBB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Kürleme fırınlarından/kurutucularından çıkan gazlar büyük bir odaya (plenum) gönderilir ve kürleme fırınlarında/kurutucularında giriş havası olarak kısmen devirdaim edilir. Plenumdan gelen fazla hava, çıkış gazı arıtma sistemine gönderilir. Bu döngü, kürleme fırınlarının/kurutucuların havasındaki UOB içeriğini artırır ve atık gaz hacmini azaltır.</w:t>
            </w:r>
          </w:p>
        </w:tc>
        <w:tc>
          <w:tcPr>
            <w:tcW w:w="1138" w:type="pct"/>
            <w:vAlign w:val="center"/>
          </w:tcPr>
          <w:p w14:paraId="6C01EC9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Genel olarak uygulanabilir.</w:t>
            </w:r>
          </w:p>
        </w:tc>
      </w:tr>
    </w:tbl>
    <w:p w14:paraId="1EA7B658" w14:textId="77777777" w:rsidR="003B155E" w:rsidRPr="000A5D99"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sz w:val="24"/>
          <w:szCs w:val="24"/>
          <w:lang w:val="en-US"/>
        </w:rPr>
      </w:pPr>
      <w:r w:rsidRPr="000A5D99">
        <w:rPr>
          <w:rFonts w:ascii="Times New Roman" w:eastAsia="DengXian Light" w:hAnsi="Times New Roman" w:cs="Microsoft Uighur"/>
          <w:b/>
          <w:sz w:val="24"/>
          <w:szCs w:val="24"/>
          <w:lang w:val="en-US"/>
        </w:rPr>
        <w:t>NO</w:t>
      </w:r>
      <w:r w:rsidRPr="000A5D99">
        <w:rPr>
          <w:rFonts w:ascii="Times New Roman" w:eastAsia="DengXian Light" w:hAnsi="Times New Roman" w:cs="Microsoft Uighur"/>
          <w:b/>
          <w:sz w:val="24"/>
          <w:szCs w:val="24"/>
          <w:vertAlign w:val="subscript"/>
          <w:lang w:val="en-US"/>
        </w:rPr>
        <w:t>x</w:t>
      </w:r>
      <w:r w:rsidRPr="000A5D99">
        <w:rPr>
          <w:rFonts w:ascii="Times New Roman" w:eastAsia="DengXian Light" w:hAnsi="Times New Roman" w:cs="Microsoft Uighur"/>
          <w:b/>
          <w:sz w:val="24"/>
          <w:szCs w:val="24"/>
          <w:lang w:val="en-US"/>
        </w:rPr>
        <w:t xml:space="preserve"> ve CO emisyonları</w:t>
      </w:r>
    </w:p>
    <w:p w14:paraId="230B18C0"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17: </w:t>
      </w:r>
      <w:r w:rsidRPr="000A5D99">
        <w:rPr>
          <w:rFonts w:ascii="Times New Roman" w:eastAsia="Calibri" w:hAnsi="Times New Roman" w:cs="Calibri"/>
          <w:sz w:val="24"/>
          <w:lang w:val="en-US"/>
        </w:rPr>
        <w:t>Atık gazlardaki solventlerin ısıl işleminden kaynaklanan CO emisyonlarını sınırlarken, atık gazlardaki NO</w:t>
      </w:r>
      <w:r w:rsidRPr="000A5D99">
        <w:rPr>
          <w:rFonts w:ascii="Times New Roman" w:eastAsia="Calibri" w:hAnsi="Times New Roman" w:cs="Calibri"/>
          <w:sz w:val="24"/>
          <w:vertAlign w:val="subscript"/>
          <w:lang w:val="en-US"/>
        </w:rPr>
        <w:t>x</w:t>
      </w:r>
      <w:r w:rsidRPr="000A5D99">
        <w:rPr>
          <w:rFonts w:ascii="Times New Roman" w:eastAsia="Calibri" w:hAnsi="Times New Roman" w:cs="Calibri"/>
          <w:sz w:val="24"/>
          <w:lang w:val="en-US"/>
        </w:rPr>
        <w:t xml:space="preserve"> emisyonlarını azaltmak için, (a) tekniği veya aşağıda verilen tekniklerin her ikisi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7"/>
        <w:gridCol w:w="1965"/>
        <w:gridCol w:w="4681"/>
        <w:gridCol w:w="2139"/>
      </w:tblGrid>
      <w:tr w:rsidR="003B155E" w:rsidRPr="000A5D99" w14:paraId="45534B72" w14:textId="77777777" w:rsidTr="000D79D6">
        <w:trPr>
          <w:trHeight w:val="230"/>
          <w:tblHeader/>
        </w:trPr>
        <w:tc>
          <w:tcPr>
            <w:tcW w:w="153" w:type="pct"/>
            <w:tcBorders>
              <w:right w:val="single" w:sz="4" w:space="0" w:color="auto"/>
            </w:tcBorders>
          </w:tcPr>
          <w:p w14:paraId="7BC13BDD"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sz w:val="20"/>
                <w:szCs w:val="20"/>
              </w:rPr>
            </w:pPr>
          </w:p>
        </w:tc>
        <w:tc>
          <w:tcPr>
            <w:tcW w:w="1084" w:type="pct"/>
            <w:tcBorders>
              <w:left w:val="single" w:sz="4" w:space="0" w:color="auto"/>
            </w:tcBorders>
            <w:vAlign w:val="center"/>
          </w:tcPr>
          <w:p w14:paraId="3F227D61"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Teknik</w:t>
            </w:r>
          </w:p>
        </w:tc>
        <w:tc>
          <w:tcPr>
            <w:tcW w:w="2583" w:type="pct"/>
            <w:vAlign w:val="center"/>
          </w:tcPr>
          <w:p w14:paraId="2930C1E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Açıklama</w:t>
            </w:r>
          </w:p>
        </w:tc>
        <w:tc>
          <w:tcPr>
            <w:tcW w:w="1180" w:type="pct"/>
            <w:vAlign w:val="center"/>
          </w:tcPr>
          <w:p w14:paraId="4E8AFE8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Uygulanabilirlik</w:t>
            </w:r>
          </w:p>
        </w:tc>
      </w:tr>
      <w:tr w:rsidR="003B155E" w:rsidRPr="000A5D99" w14:paraId="27973982" w14:textId="77777777" w:rsidTr="000D79D6">
        <w:trPr>
          <w:trHeight w:val="141"/>
        </w:trPr>
        <w:tc>
          <w:tcPr>
            <w:tcW w:w="153" w:type="pct"/>
            <w:vAlign w:val="center"/>
          </w:tcPr>
          <w:p w14:paraId="27823C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a</w:t>
            </w:r>
          </w:p>
        </w:tc>
        <w:tc>
          <w:tcPr>
            <w:tcW w:w="1084" w:type="pct"/>
            <w:vAlign w:val="center"/>
          </w:tcPr>
          <w:p w14:paraId="4A548CD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Isıl işlem koşullarının optimizasyonu (tasarım ve işletme)</w:t>
            </w:r>
          </w:p>
        </w:tc>
        <w:tc>
          <w:tcPr>
            <w:tcW w:w="2583" w:type="pct"/>
            <w:vAlign w:val="center"/>
          </w:tcPr>
          <w:p w14:paraId="28AC083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Yanma odalarının, brülörlerin ve ilgili ekipman/cihazların iyi tasarımı, yanma koşullarının otomatik sistemler kullanılarak veya kullanılmadan optimizasyonu (örneğin, sıcaklık ve kalma süresi gibi yanma parametrelerini kontrol ederek) ve tedarikçilerin tavsiyelerine göre yanma sisteminin düzenli ve planlı bakımı birleştirilir.</w:t>
            </w:r>
          </w:p>
        </w:tc>
        <w:tc>
          <w:tcPr>
            <w:tcW w:w="1180" w:type="pct"/>
            <w:vAlign w:val="center"/>
          </w:tcPr>
          <w:p w14:paraId="6AC5213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Tasarımın uygulanabilirliği mevcut tesisler için kısıtlanabilir.</w:t>
            </w:r>
          </w:p>
        </w:tc>
      </w:tr>
      <w:tr w:rsidR="003B155E" w:rsidRPr="000A5D99" w14:paraId="40862BEB" w14:textId="77777777" w:rsidTr="000D79D6">
        <w:trPr>
          <w:trHeight w:val="1379"/>
        </w:trPr>
        <w:tc>
          <w:tcPr>
            <w:tcW w:w="153" w:type="pct"/>
            <w:vAlign w:val="center"/>
          </w:tcPr>
          <w:p w14:paraId="6F85E87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b</w:t>
            </w:r>
          </w:p>
        </w:tc>
        <w:tc>
          <w:tcPr>
            <w:tcW w:w="1084" w:type="pct"/>
            <w:vAlign w:val="center"/>
          </w:tcPr>
          <w:p w14:paraId="7F3539C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Düşük NO</w:t>
            </w:r>
            <w:r w:rsidRPr="000A5D99">
              <w:rPr>
                <w:rFonts w:ascii="Times New Roman" w:eastAsia="Times New Roman" w:hAnsi="Times New Roman" w:cs="Times New Roman"/>
                <w:sz w:val="20"/>
                <w:szCs w:val="20"/>
                <w:vertAlign w:val="subscript"/>
              </w:rPr>
              <w:t>x</w:t>
            </w:r>
            <w:r w:rsidRPr="000A5D99">
              <w:rPr>
                <w:rFonts w:ascii="Times New Roman" w:eastAsia="Times New Roman" w:hAnsi="Times New Roman" w:cs="Times New Roman"/>
                <w:sz w:val="20"/>
                <w:szCs w:val="20"/>
              </w:rPr>
              <w:t xml:space="preserve"> brülörlerinin kullanımı</w:t>
            </w:r>
          </w:p>
        </w:tc>
        <w:tc>
          <w:tcPr>
            <w:tcW w:w="2583" w:type="pct"/>
            <w:vAlign w:val="center"/>
          </w:tcPr>
          <w:p w14:paraId="37F6B25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 xml:space="preserve">Yanma odasındaki en yüksek alev sıcaklığı düşürülür, bu da yanmayı geciktirir ancak yanma tamamlanır ve ısı transferi artar (alevin artan yayma kuvveti ile). İstenen UOB imhasını elde etmek için kalma süresi artırılır. </w:t>
            </w:r>
          </w:p>
        </w:tc>
        <w:tc>
          <w:tcPr>
            <w:tcW w:w="1180" w:type="pct"/>
            <w:vAlign w:val="center"/>
          </w:tcPr>
          <w:p w14:paraId="0E251AE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Uygulanabilirlik, tasarım ve/veya işletme kısıtlamaları nedeniyle mevcut tesislerde kısıtlanabilir.</w:t>
            </w:r>
          </w:p>
        </w:tc>
      </w:tr>
    </w:tbl>
    <w:p w14:paraId="764FB6F3"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rPr>
      </w:pPr>
    </w:p>
    <w:p w14:paraId="6B2A8DA6"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rPr>
      </w:pPr>
      <w:r w:rsidRPr="000A5D99">
        <w:rPr>
          <w:rFonts w:ascii="Times New Roman" w:eastAsia="Calibri" w:hAnsi="Times New Roman" w:cs="Calibri"/>
          <w:bCs/>
          <w:i/>
          <w:color w:val="000000"/>
          <w:sz w:val="24"/>
          <w:szCs w:val="24"/>
        </w:rPr>
        <w:t>Tablo 1</w:t>
      </w:r>
    </w:p>
    <w:p w14:paraId="5A88FF6E"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rPr>
      </w:pPr>
      <w:r w:rsidRPr="000A5D99">
        <w:rPr>
          <w:rFonts w:ascii="Times New Roman" w:eastAsia="Calibri" w:hAnsi="Times New Roman" w:cs="Calibri"/>
          <w:b/>
          <w:iCs/>
          <w:color w:val="000000"/>
          <w:sz w:val="24"/>
          <w:szCs w:val="24"/>
        </w:rPr>
        <w:t>Atık gazlardaki NO</w:t>
      </w:r>
      <w:r w:rsidRPr="000A5D99">
        <w:rPr>
          <w:rFonts w:ascii="Times New Roman" w:eastAsia="Calibri" w:hAnsi="Times New Roman" w:cs="Calibri"/>
          <w:b/>
          <w:iCs/>
          <w:color w:val="000000"/>
          <w:sz w:val="24"/>
          <w:szCs w:val="24"/>
          <w:vertAlign w:val="subscript"/>
        </w:rPr>
        <w:t>x</w:t>
      </w:r>
      <w:r w:rsidRPr="000A5D99">
        <w:rPr>
          <w:rFonts w:ascii="Times New Roman" w:eastAsia="Calibri" w:hAnsi="Times New Roman" w:cs="Calibri"/>
          <w:b/>
          <w:iCs/>
          <w:color w:val="000000"/>
          <w:sz w:val="24"/>
          <w:szCs w:val="24"/>
        </w:rPr>
        <w:t xml:space="preserve"> emisyonları için MET ile ilişkili emisyon seviyesi (MET-İES) ve atık gazların ısıl işleminden kaynaklanan atık gazlardaki CO emisyonları için gösterge emisyon seviyesi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99"/>
        <w:gridCol w:w="1341"/>
        <w:gridCol w:w="2983"/>
        <w:gridCol w:w="3039"/>
      </w:tblGrid>
      <w:tr w:rsidR="003B155E" w:rsidRPr="000A5D99" w14:paraId="54C2CA76" w14:textId="77777777" w:rsidTr="000D79D6">
        <w:trPr>
          <w:trHeight w:val="690"/>
        </w:trPr>
        <w:tc>
          <w:tcPr>
            <w:tcW w:w="937" w:type="pct"/>
          </w:tcPr>
          <w:p w14:paraId="54BC0EF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p w14:paraId="4D977BD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740" w:type="pct"/>
          </w:tcPr>
          <w:p w14:paraId="4777AE7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p w14:paraId="556CFB9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46" w:type="pct"/>
          </w:tcPr>
          <w:p w14:paraId="50FDEE4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p>
          <w:p w14:paraId="38AB3319" w14:textId="77777777" w:rsidR="003B155E" w:rsidRPr="000A5D99" w:rsidRDefault="003B155E" w:rsidP="000D79D6">
            <w:pPr>
              <w:widowControl w:val="0"/>
              <w:autoSpaceDE w:val="0"/>
              <w:autoSpaceDN w:val="0"/>
              <w:spacing w:after="0" w:line="240" w:lineRule="auto"/>
              <w:ind w:left="74" w:right="74" w:hanging="2"/>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c>
          <w:tcPr>
            <w:tcW w:w="1677" w:type="pct"/>
          </w:tcPr>
          <w:p w14:paraId="1AD411F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Gösterge emisyon seviyesi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 (Günlük ortalama veya numune alma dönemi boyunca ortalama)</w:t>
            </w:r>
          </w:p>
        </w:tc>
      </w:tr>
      <w:tr w:rsidR="003B155E" w:rsidRPr="000A5D99" w14:paraId="5D024990" w14:textId="77777777" w:rsidTr="000D79D6">
        <w:trPr>
          <w:trHeight w:val="376"/>
        </w:trPr>
        <w:tc>
          <w:tcPr>
            <w:tcW w:w="937" w:type="pct"/>
            <w:vAlign w:val="center"/>
          </w:tcPr>
          <w:p w14:paraId="4FDDE982"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NO</w:t>
            </w:r>
            <w:r w:rsidRPr="000A5D99">
              <w:rPr>
                <w:rFonts w:ascii="Times New Roman" w:eastAsia="Times New Roman" w:hAnsi="Times New Roman" w:cs="Times New Roman"/>
                <w:vertAlign w:val="subscript"/>
              </w:rPr>
              <w:t>x</w:t>
            </w:r>
          </w:p>
        </w:tc>
        <w:tc>
          <w:tcPr>
            <w:tcW w:w="740" w:type="pct"/>
            <w:vMerge w:val="restart"/>
            <w:vAlign w:val="center"/>
          </w:tcPr>
          <w:p w14:paraId="0F53F58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mg/Nm</w:t>
            </w:r>
            <w:r w:rsidRPr="000A5D99">
              <w:rPr>
                <w:rFonts w:ascii="Times New Roman" w:eastAsia="Times New Roman" w:hAnsi="Times New Roman" w:cs="Times New Roman"/>
                <w:vertAlign w:val="superscript"/>
              </w:rPr>
              <w:t>3</w:t>
            </w:r>
          </w:p>
        </w:tc>
        <w:tc>
          <w:tcPr>
            <w:tcW w:w="1646" w:type="pct"/>
            <w:vAlign w:val="center"/>
          </w:tcPr>
          <w:p w14:paraId="22FDD7B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20–130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c>
          <w:tcPr>
            <w:tcW w:w="1677" w:type="pct"/>
            <w:vAlign w:val="center"/>
          </w:tcPr>
          <w:p w14:paraId="7F4A35E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Gösterge seviyesi yok</w:t>
            </w:r>
          </w:p>
        </w:tc>
      </w:tr>
      <w:tr w:rsidR="003B155E" w:rsidRPr="000A5D99" w14:paraId="244076D2" w14:textId="77777777" w:rsidTr="000D79D6">
        <w:trPr>
          <w:trHeight w:val="377"/>
        </w:trPr>
        <w:tc>
          <w:tcPr>
            <w:tcW w:w="937" w:type="pct"/>
            <w:vAlign w:val="center"/>
          </w:tcPr>
          <w:p w14:paraId="3BCCFC25"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CO</w:t>
            </w:r>
          </w:p>
        </w:tc>
        <w:tc>
          <w:tcPr>
            <w:tcW w:w="740" w:type="pct"/>
            <w:vMerge/>
            <w:tcBorders>
              <w:top w:val="nil"/>
            </w:tcBorders>
            <w:vAlign w:val="center"/>
          </w:tcPr>
          <w:p w14:paraId="41F1E152"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646" w:type="pct"/>
            <w:vAlign w:val="center"/>
          </w:tcPr>
          <w:p w14:paraId="775DE45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MET-İES yok</w:t>
            </w:r>
          </w:p>
        </w:tc>
        <w:tc>
          <w:tcPr>
            <w:tcW w:w="1677" w:type="pct"/>
            <w:vAlign w:val="center"/>
          </w:tcPr>
          <w:p w14:paraId="680F0BB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20–150</w:t>
            </w:r>
          </w:p>
        </w:tc>
      </w:tr>
      <w:tr w:rsidR="003B155E" w:rsidRPr="000A5D99" w14:paraId="02A23762" w14:textId="77777777" w:rsidTr="000D79D6">
        <w:trPr>
          <w:trHeight w:val="283"/>
        </w:trPr>
        <w:tc>
          <w:tcPr>
            <w:tcW w:w="5000" w:type="pct"/>
            <w:gridSpan w:val="4"/>
          </w:tcPr>
          <w:p w14:paraId="581B10E2" w14:textId="77777777" w:rsidR="003B155E" w:rsidRPr="0082590D" w:rsidRDefault="003B155E" w:rsidP="003B155E">
            <w:pPr>
              <w:widowControl w:val="0"/>
              <w:numPr>
                <w:ilvl w:val="0"/>
                <w:numId w:val="134"/>
              </w:numPr>
              <w:tabs>
                <w:tab w:val="left" w:pos="334"/>
              </w:tabs>
              <w:autoSpaceDE w:val="0"/>
              <w:autoSpaceDN w:val="0"/>
              <w:spacing w:after="0" w:line="240" w:lineRule="auto"/>
              <w:ind w:left="301" w:right="74" w:hanging="227"/>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ve gösterge seviyesi, atık gazların bir yakma tesisine gönderildiği durumlarda geçerli değildir.</w:t>
            </w:r>
          </w:p>
          <w:p w14:paraId="21638997" w14:textId="77777777" w:rsidR="003B155E" w:rsidRPr="000A5D99" w:rsidRDefault="003B155E" w:rsidP="003B155E">
            <w:pPr>
              <w:widowControl w:val="0"/>
              <w:numPr>
                <w:ilvl w:val="0"/>
                <w:numId w:val="134"/>
              </w:numPr>
              <w:tabs>
                <w:tab w:val="left" w:pos="337"/>
              </w:tabs>
              <w:autoSpaceDE w:val="0"/>
              <w:autoSpaceDN w:val="0"/>
              <w:spacing w:after="0" w:line="240" w:lineRule="auto"/>
              <w:ind w:left="320" w:right="74" w:hanging="246"/>
              <w:jc w:val="both"/>
              <w:rPr>
                <w:rFonts w:ascii="Times New Roman" w:eastAsia="Times New Roman" w:hAnsi="Times New Roman" w:cs="Times New Roman"/>
              </w:rPr>
            </w:pPr>
            <w:r w:rsidRPr="0082590D">
              <w:rPr>
                <w:rFonts w:ascii="Times New Roman" w:eastAsia="Times New Roman" w:hAnsi="Times New Roman" w:cs="Times New Roman"/>
                <w:sz w:val="20"/>
                <w:szCs w:val="20"/>
              </w:rPr>
              <w:t>Çıkış gazında azot içeren bileşikler (ör. DMF veya NMP (N-metilpirolidon)) varsa MET-İES geçerli olmayabilir.</w:t>
            </w:r>
          </w:p>
        </w:tc>
      </w:tr>
    </w:tbl>
    <w:p w14:paraId="24334FB1"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96283A">
        <w:rPr>
          <w:rFonts w:ascii="Times New Roman" w:eastAsia="Calibri" w:hAnsi="Times New Roman" w:cs="Calibri"/>
          <w:sz w:val="24"/>
          <w:lang w:val="es-ES"/>
        </w:rPr>
        <w:t>MET 11'de</w:t>
      </w:r>
      <w:r w:rsidRPr="000A5D99">
        <w:rPr>
          <w:rFonts w:ascii="Times New Roman" w:eastAsia="Calibri" w:hAnsi="Times New Roman" w:cs="Calibri"/>
          <w:sz w:val="24"/>
          <w:lang w:val="es-ES"/>
        </w:rPr>
        <w:t xml:space="preserve"> verilmiştir.</w:t>
      </w:r>
    </w:p>
    <w:p w14:paraId="5F850FC5" w14:textId="77777777" w:rsidR="003B155E" w:rsidRPr="000A5D99" w:rsidRDefault="003B155E" w:rsidP="003B155E">
      <w:pPr>
        <w:keepNext/>
        <w:keepLines/>
        <w:numPr>
          <w:ilvl w:val="2"/>
          <w:numId w:val="0"/>
        </w:numPr>
        <w:spacing w:before="240" w:after="120" w:line="360" w:lineRule="auto"/>
        <w:ind w:left="720" w:hanging="720"/>
        <w:jc w:val="both"/>
        <w:outlineLvl w:val="2"/>
        <w:rPr>
          <w:rFonts w:ascii="Times New Roman" w:eastAsia="DengXian Light" w:hAnsi="Times New Roman" w:cs="Microsoft Uighur"/>
          <w:b/>
          <w:sz w:val="24"/>
          <w:szCs w:val="24"/>
          <w:lang w:val="es-ES"/>
        </w:rPr>
      </w:pPr>
      <w:r w:rsidRPr="000A5D99">
        <w:rPr>
          <w:rFonts w:ascii="Times New Roman" w:eastAsia="DengXian Light" w:hAnsi="Times New Roman" w:cs="Microsoft Uighur"/>
          <w:b/>
          <w:sz w:val="24"/>
          <w:szCs w:val="24"/>
          <w:lang w:val="es-ES"/>
        </w:rPr>
        <w:lastRenderedPageBreak/>
        <w:t>Toz Emisyonları</w:t>
      </w:r>
    </w:p>
    <w:p w14:paraId="0EBADA93"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18: </w:t>
      </w:r>
      <w:r w:rsidRPr="000A5D99">
        <w:rPr>
          <w:rFonts w:ascii="Times New Roman" w:eastAsia="Calibri" w:hAnsi="Times New Roman" w:cs="Calibri"/>
          <w:sz w:val="24"/>
          <w:lang w:val="es-ES"/>
        </w:rPr>
        <w:t>Tablo 2'de listelenen sektörler ve işlemler için alt tabaka yüzey hazırlama, kesme, kaplama uygulaması ve bitirme işlemlerinden kaynaklanan atık gazlardaki toz emisyonlarını azaltmak için, aşağıda verilen tekniklerden biri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2744"/>
        <w:gridCol w:w="6039"/>
      </w:tblGrid>
      <w:tr w:rsidR="003B155E" w:rsidRPr="000A5D99" w14:paraId="64FDA0D3" w14:textId="77777777" w:rsidTr="000D79D6">
        <w:trPr>
          <w:trHeight w:val="230"/>
          <w:tblHeader/>
        </w:trPr>
        <w:tc>
          <w:tcPr>
            <w:tcW w:w="154" w:type="pct"/>
            <w:tcBorders>
              <w:top w:val="single" w:sz="4" w:space="0" w:color="auto"/>
              <w:right w:val="single" w:sz="4" w:space="0" w:color="auto"/>
            </w:tcBorders>
          </w:tcPr>
          <w:p w14:paraId="3160035C"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514" w:type="pct"/>
            <w:tcBorders>
              <w:top w:val="single" w:sz="4" w:space="0" w:color="auto"/>
              <w:left w:val="single" w:sz="4" w:space="0" w:color="auto"/>
            </w:tcBorders>
          </w:tcPr>
          <w:p w14:paraId="4B6D9E9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332" w:type="pct"/>
          </w:tcPr>
          <w:p w14:paraId="476ABDB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r>
      <w:tr w:rsidR="003B155E" w:rsidRPr="000A5D99" w14:paraId="70CC6F9C" w14:textId="77777777" w:rsidTr="000D79D6">
        <w:trPr>
          <w:trHeight w:val="689"/>
        </w:trPr>
        <w:tc>
          <w:tcPr>
            <w:tcW w:w="154" w:type="pct"/>
            <w:vAlign w:val="center"/>
          </w:tcPr>
          <w:p w14:paraId="710F9C1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514" w:type="pct"/>
            <w:vAlign w:val="center"/>
          </w:tcPr>
          <w:p w14:paraId="7EE3E53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Islak ayırmalı püskürtme kabini (yıkanmış darbe paneli)</w:t>
            </w:r>
          </w:p>
        </w:tc>
        <w:tc>
          <w:tcPr>
            <w:tcW w:w="3332" w:type="pct"/>
            <w:vAlign w:val="center"/>
          </w:tcPr>
          <w:p w14:paraId="07DE28B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 kabini arka panelinden dikey olarak aşağıya doğru basamaklanan bir su perdesi, fazla püskürtülmüş boya parçacıklarını yakalar. Su-boya karışımı bir rezervuarda tutulur ve su yeniden sirküle edilir.</w:t>
            </w:r>
          </w:p>
        </w:tc>
      </w:tr>
      <w:tr w:rsidR="003B155E" w:rsidRPr="000A5D99" w14:paraId="3C2BDF79" w14:textId="77777777" w:rsidTr="000D79D6">
        <w:trPr>
          <w:trHeight w:val="283"/>
        </w:trPr>
        <w:tc>
          <w:tcPr>
            <w:tcW w:w="154" w:type="pct"/>
            <w:vAlign w:val="center"/>
          </w:tcPr>
          <w:p w14:paraId="6DE294E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514" w:type="pct"/>
            <w:vAlign w:val="center"/>
          </w:tcPr>
          <w:p w14:paraId="28783F9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Islak yıkama</w:t>
            </w:r>
          </w:p>
        </w:tc>
        <w:tc>
          <w:tcPr>
            <w:tcW w:w="3332" w:type="pct"/>
            <w:vAlign w:val="center"/>
          </w:tcPr>
          <w:p w14:paraId="282D12B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gazındaki boya partikülleri ve diğer tozlar, çıkış gazının suyla yoğun şekilde karıştırılmasıyla yıkama sistemlerinde ayrıştırılır.</w:t>
            </w:r>
          </w:p>
          <w:p w14:paraId="64340EE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(UOB'nin uzaklaştırılması için bkz. </w:t>
            </w:r>
            <w:r w:rsidRPr="000A5D99">
              <w:rPr>
                <w:rFonts w:ascii="Times New Roman" w:eastAsia="Times New Roman" w:hAnsi="Times New Roman" w:cs="Times New Roman"/>
                <w:b/>
                <w:bCs/>
              </w:rPr>
              <w:t>MET 15(c)</w:t>
            </w:r>
            <w:r w:rsidRPr="000A5D99">
              <w:rPr>
                <w:rFonts w:ascii="Times New Roman" w:eastAsia="Times New Roman" w:hAnsi="Times New Roman" w:cs="Times New Roman"/>
              </w:rPr>
              <w:t>.)</w:t>
            </w:r>
          </w:p>
        </w:tc>
      </w:tr>
      <w:tr w:rsidR="003B155E" w:rsidRPr="000A5D99" w14:paraId="3D9B23AB" w14:textId="77777777" w:rsidTr="000D79D6">
        <w:trPr>
          <w:trHeight w:val="689"/>
        </w:trPr>
        <w:tc>
          <w:tcPr>
            <w:tcW w:w="154" w:type="pct"/>
            <w:vAlign w:val="center"/>
          </w:tcPr>
          <w:p w14:paraId="7A2909F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514" w:type="pct"/>
            <w:vAlign w:val="center"/>
          </w:tcPr>
          <w:p w14:paraId="136FF68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Önceden kaplanmış malzeme ile kuru aşırı püskürtümlü ayırma</w:t>
            </w:r>
          </w:p>
        </w:tc>
        <w:tc>
          <w:tcPr>
            <w:tcW w:w="3332" w:type="pct"/>
            <w:vAlign w:val="center"/>
          </w:tcPr>
          <w:p w14:paraId="4950D8D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Membranların kirlenmesini önlemek için ön kaplama malzemesi olarak kireçtaşı ile birleştirilmiş membran filtrelerin kullanıldığı kuru boya aşırı püskürtümlü ayırma işlemidir.</w:t>
            </w:r>
          </w:p>
        </w:tc>
      </w:tr>
      <w:tr w:rsidR="003B155E" w:rsidRPr="000A5D99" w14:paraId="1073F098" w14:textId="77777777" w:rsidTr="000D79D6">
        <w:trPr>
          <w:trHeight w:val="459"/>
        </w:trPr>
        <w:tc>
          <w:tcPr>
            <w:tcW w:w="154" w:type="pct"/>
            <w:vAlign w:val="center"/>
          </w:tcPr>
          <w:p w14:paraId="03B42B1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514" w:type="pct"/>
            <w:vAlign w:val="center"/>
          </w:tcPr>
          <w:p w14:paraId="31E6E92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Filtre kullanarak kuru aşırı püskürtümlü ayırma</w:t>
            </w:r>
          </w:p>
        </w:tc>
        <w:tc>
          <w:tcPr>
            <w:tcW w:w="3332" w:type="pct"/>
            <w:vAlign w:val="center"/>
          </w:tcPr>
          <w:p w14:paraId="028A588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Mekanik ayırma sistemidir, örneğin karton, kumaş veya sinter kullanılması ile.</w:t>
            </w:r>
          </w:p>
        </w:tc>
      </w:tr>
      <w:tr w:rsidR="003B155E" w:rsidRPr="000A5D99" w14:paraId="037E6805" w14:textId="77777777" w:rsidTr="000D79D6">
        <w:trPr>
          <w:trHeight w:val="1380"/>
        </w:trPr>
        <w:tc>
          <w:tcPr>
            <w:tcW w:w="154" w:type="pct"/>
            <w:vAlign w:val="center"/>
          </w:tcPr>
          <w:p w14:paraId="4AE1A2C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514" w:type="pct"/>
            <w:vAlign w:val="center"/>
          </w:tcPr>
          <w:p w14:paraId="4D2DA50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Elektrostatik filtre</w:t>
            </w:r>
          </w:p>
        </w:tc>
        <w:tc>
          <w:tcPr>
            <w:tcW w:w="3332" w:type="pct"/>
            <w:vAlign w:val="center"/>
          </w:tcPr>
          <w:p w14:paraId="6B219C8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Elektrostatik filtrelerde, parçacıklar bir elektrik alanının etkisi altında yüklenir ve ayrılır. Bir kuru elektrostatik filtrede (ESP), toplanan malzeme mekanik olarak uzaklaştırılır (ör. sallama, titreşim, basınçlı hava). Islak bir ESP'de, genellikle su bazlı bir ayırma maddesi olan uygun bir sıvı ile yıkanır.</w:t>
            </w:r>
          </w:p>
        </w:tc>
      </w:tr>
    </w:tbl>
    <w:p w14:paraId="2369493B"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rPr>
      </w:pPr>
      <w:r w:rsidRPr="000A5D99">
        <w:rPr>
          <w:rFonts w:ascii="Times New Roman" w:eastAsia="Calibri" w:hAnsi="Times New Roman" w:cs="Calibri"/>
          <w:bCs/>
          <w:i/>
          <w:color w:val="000000"/>
          <w:sz w:val="24"/>
          <w:szCs w:val="24"/>
        </w:rPr>
        <w:t>Tablo 2</w:t>
      </w:r>
    </w:p>
    <w:p w14:paraId="192B25DE" w14:textId="77777777" w:rsidR="003B155E" w:rsidRPr="000A5D99" w:rsidRDefault="003B155E" w:rsidP="003B155E">
      <w:pPr>
        <w:spacing w:after="120" w:line="360" w:lineRule="auto"/>
        <w:jc w:val="center"/>
        <w:rPr>
          <w:rFonts w:ascii="Times New Roman" w:eastAsia="Calibri" w:hAnsi="Times New Roman" w:cs="Calibri"/>
          <w:b/>
          <w:iCs/>
          <w:color w:val="000000"/>
        </w:rPr>
      </w:pPr>
      <w:r w:rsidRPr="000A5D99">
        <w:rPr>
          <w:rFonts w:ascii="Times New Roman" w:eastAsia="Calibri" w:hAnsi="Times New Roman" w:cs="Calibri"/>
          <w:b/>
          <w:iCs/>
          <w:color w:val="000000"/>
        </w:rPr>
        <w:t>Atık gazlardaki toz emisyonları için MET ile ilişkili emisyon seviyeleri (MET-İES’ler)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52"/>
        <w:gridCol w:w="2253"/>
        <w:gridCol w:w="2552"/>
        <w:gridCol w:w="1048"/>
        <w:gridCol w:w="1957"/>
      </w:tblGrid>
      <w:tr w:rsidR="003B155E" w:rsidRPr="000A5D99" w14:paraId="62D24CFD" w14:textId="77777777" w:rsidTr="000D79D6">
        <w:trPr>
          <w:trHeight w:val="920"/>
        </w:trPr>
        <w:tc>
          <w:tcPr>
            <w:tcW w:w="690" w:type="pct"/>
            <w:vAlign w:val="center"/>
          </w:tcPr>
          <w:p w14:paraId="2758696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243" w:type="pct"/>
            <w:vAlign w:val="center"/>
          </w:tcPr>
          <w:p w14:paraId="05D141C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w:t>
            </w:r>
          </w:p>
        </w:tc>
        <w:tc>
          <w:tcPr>
            <w:tcW w:w="1408" w:type="pct"/>
            <w:vAlign w:val="center"/>
          </w:tcPr>
          <w:p w14:paraId="47D55E9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İşlem</w:t>
            </w:r>
          </w:p>
        </w:tc>
        <w:tc>
          <w:tcPr>
            <w:tcW w:w="578" w:type="pct"/>
            <w:vAlign w:val="center"/>
          </w:tcPr>
          <w:p w14:paraId="5F998A0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080" w:type="pct"/>
            <w:vAlign w:val="center"/>
          </w:tcPr>
          <w:p w14:paraId="20515F4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6CC1D341" w14:textId="77777777" w:rsidR="003B155E" w:rsidRPr="000A5D99" w:rsidRDefault="003B155E" w:rsidP="000D79D6">
            <w:pPr>
              <w:widowControl w:val="0"/>
              <w:autoSpaceDE w:val="0"/>
              <w:autoSpaceDN w:val="0"/>
              <w:spacing w:after="0" w:line="240" w:lineRule="auto"/>
              <w:ind w:left="74" w:right="74" w:hanging="14"/>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157D4273" w14:textId="77777777" w:rsidTr="000D79D6">
        <w:trPr>
          <w:trHeight w:val="374"/>
        </w:trPr>
        <w:tc>
          <w:tcPr>
            <w:tcW w:w="690" w:type="pct"/>
            <w:vMerge w:val="restart"/>
            <w:vAlign w:val="center"/>
          </w:tcPr>
          <w:p w14:paraId="38E060C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Toz</w:t>
            </w:r>
          </w:p>
        </w:tc>
        <w:tc>
          <w:tcPr>
            <w:tcW w:w="1243" w:type="pct"/>
            <w:vAlign w:val="center"/>
          </w:tcPr>
          <w:p w14:paraId="12EE589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408" w:type="pct"/>
            <w:vAlign w:val="center"/>
          </w:tcPr>
          <w:p w14:paraId="5CCA451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Püskürtlemli kaplama</w:t>
            </w:r>
          </w:p>
        </w:tc>
        <w:tc>
          <w:tcPr>
            <w:tcW w:w="578" w:type="pct"/>
            <w:vMerge w:val="restart"/>
            <w:vAlign w:val="center"/>
          </w:tcPr>
          <w:p w14:paraId="56C97D3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mg/Nm</w:t>
            </w:r>
            <w:r w:rsidRPr="000A5D99">
              <w:rPr>
                <w:rFonts w:ascii="Times New Roman" w:eastAsia="Times New Roman" w:hAnsi="Times New Roman" w:cs="Times New Roman"/>
                <w:vertAlign w:val="superscript"/>
              </w:rPr>
              <w:t>3</w:t>
            </w:r>
          </w:p>
        </w:tc>
        <w:tc>
          <w:tcPr>
            <w:tcW w:w="1080" w:type="pct"/>
            <w:vMerge w:val="restart"/>
            <w:vAlign w:val="center"/>
          </w:tcPr>
          <w:p w14:paraId="0AD4819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1–3</w:t>
            </w:r>
          </w:p>
        </w:tc>
      </w:tr>
      <w:tr w:rsidR="003B155E" w:rsidRPr="000A5D99" w14:paraId="4547F998" w14:textId="77777777" w:rsidTr="000D79D6">
        <w:trPr>
          <w:trHeight w:val="460"/>
        </w:trPr>
        <w:tc>
          <w:tcPr>
            <w:tcW w:w="690" w:type="pct"/>
            <w:vMerge/>
            <w:tcBorders>
              <w:top w:val="nil"/>
            </w:tcBorders>
            <w:vAlign w:val="center"/>
          </w:tcPr>
          <w:p w14:paraId="016AE429"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243" w:type="pct"/>
            <w:vAlign w:val="center"/>
          </w:tcPr>
          <w:p w14:paraId="7CBFBD1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Diğer metal ve plastik yüzeylerin kaplanması</w:t>
            </w:r>
          </w:p>
        </w:tc>
        <w:tc>
          <w:tcPr>
            <w:tcW w:w="1408" w:type="pct"/>
            <w:vAlign w:val="center"/>
          </w:tcPr>
          <w:p w14:paraId="62C58D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Püskürtlemli kaplama</w:t>
            </w:r>
          </w:p>
        </w:tc>
        <w:tc>
          <w:tcPr>
            <w:tcW w:w="578" w:type="pct"/>
            <w:vMerge/>
            <w:tcBorders>
              <w:top w:val="nil"/>
            </w:tcBorders>
          </w:tcPr>
          <w:p w14:paraId="4FCC4FB2"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080" w:type="pct"/>
            <w:vMerge/>
            <w:tcBorders>
              <w:top w:val="nil"/>
            </w:tcBorders>
          </w:tcPr>
          <w:p w14:paraId="6C1A3AA0"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67A718BD" w14:textId="77777777" w:rsidTr="000D79D6">
        <w:trPr>
          <w:trHeight w:val="459"/>
        </w:trPr>
        <w:tc>
          <w:tcPr>
            <w:tcW w:w="690" w:type="pct"/>
            <w:vMerge/>
            <w:tcBorders>
              <w:top w:val="nil"/>
            </w:tcBorders>
            <w:vAlign w:val="center"/>
          </w:tcPr>
          <w:p w14:paraId="753F2497"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243" w:type="pct"/>
            <w:vAlign w:val="center"/>
          </w:tcPr>
          <w:p w14:paraId="126BB60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Uçakların kaplanması</w:t>
            </w:r>
          </w:p>
        </w:tc>
        <w:tc>
          <w:tcPr>
            <w:tcW w:w="1408" w:type="pct"/>
            <w:vAlign w:val="center"/>
          </w:tcPr>
          <w:p w14:paraId="493330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Hazırlık (ör. zımparalama, püskürtme), kaplama</w:t>
            </w:r>
          </w:p>
        </w:tc>
        <w:tc>
          <w:tcPr>
            <w:tcW w:w="578" w:type="pct"/>
            <w:vMerge/>
            <w:tcBorders>
              <w:top w:val="nil"/>
            </w:tcBorders>
          </w:tcPr>
          <w:p w14:paraId="4BD6293B" w14:textId="77777777" w:rsidR="003B155E" w:rsidRPr="000A5D99" w:rsidRDefault="003B155E" w:rsidP="000D79D6">
            <w:pPr>
              <w:spacing w:after="0" w:line="240" w:lineRule="auto"/>
              <w:ind w:left="74" w:right="74"/>
              <w:jc w:val="both"/>
              <w:rPr>
                <w:rFonts w:ascii="Times New Roman" w:eastAsia="Calibri" w:hAnsi="Times New Roman" w:cs="Times New Roman"/>
              </w:rPr>
            </w:pPr>
          </w:p>
        </w:tc>
        <w:tc>
          <w:tcPr>
            <w:tcW w:w="1080" w:type="pct"/>
            <w:vMerge/>
            <w:tcBorders>
              <w:top w:val="nil"/>
            </w:tcBorders>
          </w:tcPr>
          <w:p w14:paraId="71F88F87" w14:textId="77777777" w:rsidR="003B155E" w:rsidRPr="000A5D99" w:rsidRDefault="003B155E" w:rsidP="000D79D6">
            <w:pPr>
              <w:spacing w:after="0" w:line="240" w:lineRule="auto"/>
              <w:ind w:left="74" w:right="74"/>
              <w:jc w:val="both"/>
              <w:rPr>
                <w:rFonts w:ascii="Times New Roman" w:eastAsia="Calibri" w:hAnsi="Times New Roman" w:cs="Times New Roman"/>
              </w:rPr>
            </w:pPr>
          </w:p>
        </w:tc>
      </w:tr>
      <w:tr w:rsidR="003B155E" w:rsidRPr="000A5D99" w14:paraId="5F315011" w14:textId="77777777" w:rsidTr="000D79D6">
        <w:trPr>
          <w:trHeight w:val="459"/>
        </w:trPr>
        <w:tc>
          <w:tcPr>
            <w:tcW w:w="690" w:type="pct"/>
            <w:vMerge/>
            <w:tcBorders>
              <w:top w:val="nil"/>
            </w:tcBorders>
            <w:vAlign w:val="center"/>
          </w:tcPr>
          <w:p w14:paraId="106CFDAE" w14:textId="77777777" w:rsidR="003B155E" w:rsidRPr="000A5D99" w:rsidRDefault="003B155E" w:rsidP="000D79D6">
            <w:pPr>
              <w:spacing w:after="0" w:line="240" w:lineRule="auto"/>
              <w:ind w:left="74" w:right="74"/>
              <w:rPr>
                <w:rFonts w:ascii="Times New Roman" w:eastAsia="Calibri" w:hAnsi="Times New Roman" w:cs="Times New Roman"/>
              </w:rPr>
            </w:pPr>
          </w:p>
        </w:tc>
        <w:tc>
          <w:tcPr>
            <w:tcW w:w="1243" w:type="pct"/>
            <w:vAlign w:val="center"/>
          </w:tcPr>
          <w:p w14:paraId="404CA8B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w:t>
            </w:r>
          </w:p>
        </w:tc>
        <w:tc>
          <w:tcPr>
            <w:tcW w:w="1408" w:type="pct"/>
            <w:vAlign w:val="center"/>
          </w:tcPr>
          <w:p w14:paraId="57F170A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 uygulaması</w:t>
            </w:r>
          </w:p>
        </w:tc>
        <w:tc>
          <w:tcPr>
            <w:tcW w:w="578" w:type="pct"/>
            <w:vMerge/>
            <w:tcBorders>
              <w:top w:val="nil"/>
            </w:tcBorders>
          </w:tcPr>
          <w:p w14:paraId="647AF63A"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080" w:type="pct"/>
            <w:vMerge/>
            <w:tcBorders>
              <w:top w:val="nil"/>
            </w:tcBorders>
          </w:tcPr>
          <w:p w14:paraId="5C45072E"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282510E3" w14:textId="77777777" w:rsidTr="000D79D6">
        <w:trPr>
          <w:trHeight w:val="460"/>
        </w:trPr>
        <w:tc>
          <w:tcPr>
            <w:tcW w:w="690" w:type="pct"/>
            <w:vMerge/>
            <w:tcBorders>
              <w:top w:val="nil"/>
            </w:tcBorders>
            <w:vAlign w:val="center"/>
          </w:tcPr>
          <w:p w14:paraId="01D98CA6"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243" w:type="pct"/>
            <w:vAlign w:val="center"/>
          </w:tcPr>
          <w:p w14:paraId="11F5621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Ahşap yüzeylerin kaplanması</w:t>
            </w:r>
          </w:p>
        </w:tc>
        <w:tc>
          <w:tcPr>
            <w:tcW w:w="1408" w:type="pct"/>
            <w:vAlign w:val="center"/>
          </w:tcPr>
          <w:p w14:paraId="0DC0150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Hazırlık, kaplama</w:t>
            </w:r>
          </w:p>
        </w:tc>
        <w:tc>
          <w:tcPr>
            <w:tcW w:w="578" w:type="pct"/>
            <w:vMerge/>
            <w:tcBorders>
              <w:top w:val="nil"/>
            </w:tcBorders>
          </w:tcPr>
          <w:p w14:paraId="1CF25DEB"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080" w:type="pct"/>
            <w:vMerge/>
            <w:tcBorders>
              <w:top w:val="nil"/>
            </w:tcBorders>
          </w:tcPr>
          <w:p w14:paraId="1909CDB3"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bl>
    <w:p w14:paraId="3105AB88"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96283A">
        <w:rPr>
          <w:rFonts w:ascii="Times New Roman" w:eastAsia="Calibri" w:hAnsi="Times New Roman" w:cs="Calibri"/>
          <w:sz w:val="24"/>
          <w:lang w:val="es-ES"/>
        </w:rPr>
        <w:t>MET 11'de</w:t>
      </w:r>
      <w:r w:rsidRPr="000A5D99">
        <w:rPr>
          <w:rFonts w:ascii="Times New Roman" w:eastAsia="Calibri" w:hAnsi="Times New Roman" w:cs="Calibri"/>
          <w:sz w:val="24"/>
          <w:lang w:val="es-ES"/>
        </w:rPr>
        <w:t xml:space="preserve"> verilmiştir.</w:t>
      </w:r>
    </w:p>
    <w:p w14:paraId="41925CCB" w14:textId="77777777" w:rsidR="003B155E" w:rsidRPr="000A5D9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sz w:val="24"/>
          <w:szCs w:val="26"/>
          <w:lang w:val="es-ES"/>
        </w:rPr>
      </w:pPr>
      <w:bookmarkStart w:id="82" w:name="_Toc137210486"/>
      <w:r w:rsidRPr="000A5D99">
        <w:rPr>
          <w:rFonts w:ascii="Times New Roman" w:eastAsia="DengXian Light" w:hAnsi="Times New Roman" w:cs="Microsoft Uighur"/>
          <w:b/>
          <w:sz w:val="24"/>
          <w:szCs w:val="26"/>
          <w:lang w:val="es-ES"/>
        </w:rPr>
        <w:lastRenderedPageBreak/>
        <w:t xml:space="preserve"> Enerji Verimliliği</w:t>
      </w:r>
      <w:bookmarkEnd w:id="82"/>
    </w:p>
    <w:p w14:paraId="26FEB02A"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b/>
          <w:bCs/>
          <w:sz w:val="24"/>
          <w:lang w:val="es-ES"/>
        </w:rPr>
        <w:t xml:space="preserve">MET 19: </w:t>
      </w:r>
      <w:r w:rsidRPr="000A5D99">
        <w:rPr>
          <w:rFonts w:ascii="Times New Roman" w:eastAsia="Calibri" w:hAnsi="Times New Roman" w:cs="Calibri"/>
          <w:sz w:val="24"/>
          <w:lang w:val="es-ES"/>
        </w:rPr>
        <w:t>Enerjiyi verimli kullanmak için, (a) ve (b) teknikleri ile birlkte ve aşağıda (c) ila (h) maddeleri arasında verilen tekniklerinin uygun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
        <w:gridCol w:w="9"/>
        <w:gridCol w:w="2119"/>
        <w:gridCol w:w="11"/>
        <w:gridCol w:w="4098"/>
        <w:gridCol w:w="2405"/>
      </w:tblGrid>
      <w:tr w:rsidR="003B155E" w:rsidRPr="000A5D99" w14:paraId="7F86A825" w14:textId="77777777" w:rsidTr="000D79D6">
        <w:trPr>
          <w:trHeight w:val="230"/>
          <w:tblHeader/>
        </w:trPr>
        <w:tc>
          <w:tcPr>
            <w:tcW w:w="1412" w:type="pct"/>
            <w:gridSpan w:val="4"/>
            <w:vAlign w:val="center"/>
          </w:tcPr>
          <w:p w14:paraId="13B8FBA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261" w:type="pct"/>
            <w:vAlign w:val="center"/>
          </w:tcPr>
          <w:p w14:paraId="3A99DDB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327" w:type="pct"/>
            <w:vAlign w:val="center"/>
          </w:tcPr>
          <w:p w14:paraId="3BDBEFA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135FFD0A" w14:textId="77777777" w:rsidTr="000D79D6">
        <w:trPr>
          <w:trHeight w:val="230"/>
        </w:trPr>
        <w:tc>
          <w:tcPr>
            <w:tcW w:w="5000" w:type="pct"/>
            <w:gridSpan w:val="6"/>
            <w:vAlign w:val="center"/>
          </w:tcPr>
          <w:p w14:paraId="6BED8DA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Yönetim teknikleri</w:t>
            </w:r>
          </w:p>
        </w:tc>
      </w:tr>
      <w:tr w:rsidR="003B155E" w:rsidRPr="000A5D99" w14:paraId="47409147" w14:textId="77777777" w:rsidTr="000D79D6">
        <w:trPr>
          <w:trHeight w:val="2070"/>
        </w:trPr>
        <w:tc>
          <w:tcPr>
            <w:tcW w:w="232" w:type="pct"/>
            <w:vAlign w:val="center"/>
          </w:tcPr>
          <w:p w14:paraId="647B131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180" w:type="pct"/>
            <w:gridSpan w:val="3"/>
            <w:vAlign w:val="center"/>
          </w:tcPr>
          <w:p w14:paraId="60993F5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Enerji verimliliği planı</w:t>
            </w:r>
          </w:p>
        </w:tc>
        <w:tc>
          <w:tcPr>
            <w:tcW w:w="2261" w:type="pct"/>
            <w:vAlign w:val="center"/>
          </w:tcPr>
          <w:p w14:paraId="7220A7F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Enerji verimliliği planı, ÇYS'nin bir parçasıdır (bkz. </w:t>
            </w:r>
            <w:r w:rsidRPr="000A5D99">
              <w:rPr>
                <w:rFonts w:ascii="Times New Roman" w:eastAsia="Times New Roman" w:hAnsi="Times New Roman" w:cs="Times New Roman"/>
                <w:b/>
                <w:bCs/>
              </w:rPr>
              <w:t>MET 1</w:t>
            </w:r>
            <w:r w:rsidRPr="000A5D99">
              <w:rPr>
                <w:rFonts w:ascii="Times New Roman" w:eastAsia="Times New Roman" w:hAnsi="Times New Roman" w:cs="Times New Roman"/>
              </w:rPr>
              <w:t>) ve faaliyetin spesifik enerji tüketiminin tanımlanmasını ve hesaplanmasını, temel performans göstergelerinin (örneğin, MWh/ton ürün) yıllık bazda belirlenmesini ve periyodik iyileştirme hedefleri ile ilgili eylemlerin planlanmasını içerir. Plan, yürütülen süreç(ler), malzemeler, ürünler vb. açısından tesisin özelliklerine uyarlanır.</w:t>
            </w:r>
          </w:p>
        </w:tc>
        <w:tc>
          <w:tcPr>
            <w:tcW w:w="1327" w:type="pct"/>
            <w:vMerge w:val="restart"/>
            <w:vAlign w:val="center"/>
          </w:tcPr>
          <w:p w14:paraId="69D90FD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Enerji verimliliği planının ve enerji dengesi kaydının ayrıntı düzeyi ve yapısı genellikle tesisin yapısı, ölçeği ve karmaşıklığı ve kullanılan enerji kaynaklarının türleri ile ilgili olacaktır. Organik solvent kullanarak yüzey işleme (STS) faaliyetinin daha büyük bir tesiste yürütülmesi durumunda, daha büyük tesisin enerji verimliliği planı ve enerji dengesi kaydının STS faaliyetini yeterince kapsaması şartıyla uygulanamayabilir.</w:t>
            </w:r>
          </w:p>
        </w:tc>
      </w:tr>
      <w:tr w:rsidR="003B155E" w:rsidRPr="000A5D99" w14:paraId="05842308" w14:textId="77777777" w:rsidTr="000D79D6">
        <w:trPr>
          <w:trHeight w:val="70"/>
        </w:trPr>
        <w:tc>
          <w:tcPr>
            <w:tcW w:w="232" w:type="pct"/>
            <w:vAlign w:val="center"/>
          </w:tcPr>
          <w:p w14:paraId="13122E2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180" w:type="pct"/>
            <w:gridSpan w:val="3"/>
            <w:vAlign w:val="center"/>
          </w:tcPr>
          <w:p w14:paraId="3B81747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Enerji dengesi kaydı</w:t>
            </w:r>
          </w:p>
        </w:tc>
        <w:tc>
          <w:tcPr>
            <w:tcW w:w="2261" w:type="pct"/>
            <w:vAlign w:val="center"/>
          </w:tcPr>
          <w:p w14:paraId="705D10E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Kaynak türüne göre enerji tüketimi ve üretiminin (enerji ihracatı dahil) dökümünü sağlayan bir enerji dengesi kaydının yılda bir kez düzenlenmesidir (örneğin; elektrik, fosil yakıtlar, yenilenebilir enerji, ithal edilen ısı ve/veya soğutma). Bu aşağıdakileri içerir:</w:t>
            </w:r>
          </w:p>
          <w:p w14:paraId="3D5F5A4B" w14:textId="77777777" w:rsidR="003B155E" w:rsidRPr="000A5D99" w:rsidRDefault="003B155E" w:rsidP="003B155E">
            <w:pPr>
              <w:widowControl w:val="0"/>
              <w:numPr>
                <w:ilvl w:val="0"/>
                <w:numId w:val="133"/>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 xml:space="preserve"> STS aktivitesinin enerji sınırının tanımlanması;</w:t>
            </w:r>
          </w:p>
          <w:p w14:paraId="0E17D560" w14:textId="77777777" w:rsidR="003B155E" w:rsidRPr="000A5D99" w:rsidRDefault="003B155E" w:rsidP="003B155E">
            <w:pPr>
              <w:widowControl w:val="0"/>
              <w:numPr>
                <w:ilvl w:val="0"/>
                <w:numId w:val="133"/>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Teslim edilen enerji açısından enerji tüketimi hakkında bilgiler;</w:t>
            </w:r>
          </w:p>
          <w:p w14:paraId="43618D74" w14:textId="77777777" w:rsidR="003B155E" w:rsidRPr="000A5D99" w:rsidRDefault="003B155E" w:rsidP="003B155E">
            <w:pPr>
              <w:widowControl w:val="0"/>
              <w:numPr>
                <w:ilvl w:val="0"/>
                <w:numId w:val="133"/>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Tesisten ihraç edilen enerji hakkında bilgi;</w:t>
            </w:r>
          </w:p>
          <w:p w14:paraId="107C8338" w14:textId="77777777" w:rsidR="003B155E" w:rsidRPr="000A5D99" w:rsidRDefault="003B155E" w:rsidP="003B155E">
            <w:pPr>
              <w:widowControl w:val="0"/>
              <w:numPr>
                <w:ilvl w:val="0"/>
                <w:numId w:val="133"/>
              </w:numPr>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Enerjinin süreç boyunca nasıl kullanıldığını gösteren enerji akışı bilgileri (ör. Sankey şemaları veya enerji dengeleri).</w:t>
            </w:r>
          </w:p>
          <w:p w14:paraId="13C2BA4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Enerji dengesi kaydı, yürütülen süreç(ler), malzemeler vb. açısından tesisin özelliklerine göre uyarlanır.</w:t>
            </w:r>
          </w:p>
        </w:tc>
        <w:tc>
          <w:tcPr>
            <w:tcW w:w="1327" w:type="pct"/>
            <w:vMerge/>
            <w:tcBorders>
              <w:top w:val="nil"/>
            </w:tcBorders>
            <w:vAlign w:val="center"/>
          </w:tcPr>
          <w:p w14:paraId="30714C2D"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7FFC3D99" w14:textId="77777777" w:rsidTr="000D79D6">
        <w:trPr>
          <w:trHeight w:val="230"/>
        </w:trPr>
        <w:tc>
          <w:tcPr>
            <w:tcW w:w="5000" w:type="pct"/>
            <w:gridSpan w:val="6"/>
            <w:vAlign w:val="center"/>
          </w:tcPr>
          <w:p w14:paraId="3940A4B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İşlemle ilgili teknikler</w:t>
            </w:r>
          </w:p>
        </w:tc>
      </w:tr>
      <w:tr w:rsidR="003B155E" w:rsidRPr="000A5D99" w14:paraId="48909285" w14:textId="77777777" w:rsidTr="000D79D6">
        <w:trPr>
          <w:trHeight w:val="1422"/>
        </w:trPr>
        <w:tc>
          <w:tcPr>
            <w:tcW w:w="232" w:type="pct"/>
            <w:vAlign w:val="center"/>
          </w:tcPr>
          <w:p w14:paraId="0AD4021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180" w:type="pct"/>
            <w:gridSpan w:val="3"/>
            <w:vAlign w:val="center"/>
          </w:tcPr>
          <w:p w14:paraId="0261927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Soğutulmuş veya ısıtılmış sıvılar içeren tankların ve fıçıların ve yanma ve buhar sistemlerinin ısı yalıtımı</w:t>
            </w:r>
          </w:p>
        </w:tc>
        <w:tc>
          <w:tcPr>
            <w:tcW w:w="2261" w:type="pct"/>
            <w:vAlign w:val="center"/>
          </w:tcPr>
          <w:p w14:paraId="743C8BB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 örneğin şu şekilde gerçekleştirilebilir:</w:t>
            </w:r>
          </w:p>
          <w:p w14:paraId="51C9A774" w14:textId="77777777" w:rsidR="003B155E" w:rsidRPr="000A5D99" w:rsidRDefault="003B155E" w:rsidP="003B155E">
            <w:pPr>
              <w:widowControl w:val="0"/>
              <w:numPr>
                <w:ilvl w:val="0"/>
                <w:numId w:val="133"/>
              </w:numPr>
              <w:tabs>
                <w:tab w:val="left" w:pos="424"/>
                <w:tab w:val="left" w:pos="425"/>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çift cidarlı tankların kullanılması;</w:t>
            </w:r>
          </w:p>
          <w:p w14:paraId="4029FD29" w14:textId="77777777" w:rsidR="003B155E" w:rsidRPr="000A5D99" w:rsidRDefault="003B155E" w:rsidP="003B155E">
            <w:pPr>
              <w:widowControl w:val="0"/>
              <w:numPr>
                <w:ilvl w:val="0"/>
                <w:numId w:val="133"/>
              </w:numPr>
              <w:tabs>
                <w:tab w:val="left" w:pos="425"/>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ön yalıtımlı tankların kullanılması;</w:t>
            </w:r>
          </w:p>
          <w:p w14:paraId="25E1D694" w14:textId="77777777" w:rsidR="003B155E" w:rsidRPr="000A5D99" w:rsidRDefault="003B155E" w:rsidP="003B155E">
            <w:pPr>
              <w:widowControl w:val="0"/>
              <w:numPr>
                <w:ilvl w:val="0"/>
                <w:numId w:val="133"/>
              </w:numPr>
              <w:tabs>
                <w:tab w:val="left" w:pos="425"/>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yanma ekipmanına, buhar borularına ve soğutulmuş veya ısıtılmış sıvılar içeren borulara yalıtım uygulanması.</w:t>
            </w:r>
          </w:p>
        </w:tc>
        <w:tc>
          <w:tcPr>
            <w:tcW w:w="1327" w:type="pct"/>
            <w:vAlign w:val="center"/>
          </w:tcPr>
          <w:p w14:paraId="63F1A695" w14:textId="77777777" w:rsidR="003B155E" w:rsidRPr="000A5D99" w:rsidRDefault="003B155E" w:rsidP="000D79D6">
            <w:pPr>
              <w:widowControl w:val="0"/>
              <w:autoSpaceDE w:val="0"/>
              <w:autoSpaceDN w:val="0"/>
              <w:spacing w:after="0" w:line="240" w:lineRule="auto"/>
              <w:ind w:right="74"/>
              <w:rPr>
                <w:rFonts w:ascii="Times New Roman" w:eastAsia="Times New Roman" w:hAnsi="Times New Roman" w:cs="Times New Roman"/>
              </w:rPr>
            </w:pPr>
            <w:r w:rsidRPr="000A5D99">
              <w:rPr>
                <w:rFonts w:ascii="Times New Roman" w:eastAsia="Times New Roman" w:hAnsi="Times New Roman" w:cs="Times New Roman"/>
              </w:rPr>
              <w:t xml:space="preserve"> Genel olarak uygulanabilir.</w:t>
            </w:r>
          </w:p>
        </w:tc>
      </w:tr>
      <w:tr w:rsidR="003B155E" w:rsidRPr="000A5D99" w14:paraId="5D853816" w14:textId="77777777" w:rsidTr="000D79D6">
        <w:trPr>
          <w:trHeight w:val="1379"/>
        </w:trPr>
        <w:tc>
          <w:tcPr>
            <w:tcW w:w="232" w:type="pct"/>
            <w:vAlign w:val="center"/>
          </w:tcPr>
          <w:p w14:paraId="6D51E3D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180" w:type="pct"/>
            <w:gridSpan w:val="3"/>
            <w:vAlign w:val="center"/>
          </w:tcPr>
          <w:p w14:paraId="799E7BA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Kojenerasyon ile ısı geri kazanımı – CHP (birleşik ısı ve güç) veya CCHP (birleşik soğutma, ısı ve güç)</w:t>
            </w:r>
          </w:p>
        </w:tc>
        <w:tc>
          <w:tcPr>
            <w:tcW w:w="2261" w:type="pct"/>
            <w:vAlign w:val="center"/>
          </w:tcPr>
          <w:p w14:paraId="4FFBB4A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Buhar sistemlerinden geri kazanılan ısı, endüstriyel işlemlerde kullanılmak üzere sıcak su/buhar üretiminde değerlendirilir. CCHP (trijenerasyon olarak da adlandırılır), soğutulmuş su üretmek için düşük dereceli ısı kullanan bir absorpsiyonlu soğutma grubuna sahip bir kojenerasyon sistemidir.</w:t>
            </w:r>
          </w:p>
        </w:tc>
        <w:tc>
          <w:tcPr>
            <w:tcW w:w="1327" w:type="pct"/>
            <w:vMerge w:val="restart"/>
            <w:vAlign w:val="center"/>
          </w:tcPr>
          <w:p w14:paraId="064D46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tesis yerleşimi, sıcak gaz akışlarının özellikleri (örneğin; akış hızı, sıcaklık) veya uygun bir ısı talebinin olmaması nedeniyle kısıtlanabilir.</w:t>
            </w:r>
          </w:p>
        </w:tc>
      </w:tr>
      <w:tr w:rsidR="003B155E" w:rsidRPr="000A5D99" w14:paraId="51664C67" w14:textId="77777777" w:rsidTr="000D79D6">
        <w:trPr>
          <w:trHeight w:val="920"/>
        </w:trPr>
        <w:tc>
          <w:tcPr>
            <w:tcW w:w="232" w:type="pct"/>
            <w:vAlign w:val="center"/>
          </w:tcPr>
          <w:p w14:paraId="5AC59C4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180" w:type="pct"/>
            <w:gridSpan w:val="3"/>
            <w:vAlign w:val="center"/>
          </w:tcPr>
          <w:p w14:paraId="6A08318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Sıcak gaz akışlarından ısı geri kazanımı</w:t>
            </w:r>
          </w:p>
        </w:tc>
        <w:tc>
          <w:tcPr>
            <w:tcW w:w="2261" w:type="pct"/>
            <w:vAlign w:val="center"/>
          </w:tcPr>
          <w:p w14:paraId="576189B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Sıcak gaz akımlarından (ör. kurutuculardan veya soğutma bölgelerinden) enerji geri kazanımı, örneğin işlem havası olarak devirdaim yoluyla, ısı eşanjörleri kullanılarak, işlemlerde veya harici olarak.</w:t>
            </w:r>
          </w:p>
        </w:tc>
        <w:tc>
          <w:tcPr>
            <w:tcW w:w="1327" w:type="pct"/>
            <w:vMerge/>
            <w:tcBorders>
              <w:top w:val="nil"/>
            </w:tcBorders>
            <w:vAlign w:val="center"/>
          </w:tcPr>
          <w:p w14:paraId="53ED4B15"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56C086B2" w14:textId="77777777" w:rsidTr="000D79D6">
        <w:trPr>
          <w:trHeight w:val="1076"/>
        </w:trPr>
        <w:tc>
          <w:tcPr>
            <w:tcW w:w="232" w:type="pct"/>
            <w:vAlign w:val="center"/>
          </w:tcPr>
          <w:p w14:paraId="5C8DFB3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f</w:t>
            </w:r>
          </w:p>
        </w:tc>
        <w:tc>
          <w:tcPr>
            <w:tcW w:w="1180" w:type="pct"/>
            <w:gridSpan w:val="3"/>
            <w:vAlign w:val="center"/>
          </w:tcPr>
          <w:p w14:paraId="4DEB20C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Proses havası ve çıkış gazlarının debi ayarı</w:t>
            </w:r>
          </w:p>
        </w:tc>
        <w:tc>
          <w:tcPr>
            <w:tcW w:w="2261" w:type="pct"/>
            <w:vAlign w:val="center"/>
          </w:tcPr>
          <w:p w14:paraId="505479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İhtiyaca göre proses havası ve çıkış gazlarının debisi ayarlanır. Bu, boşta çalışma veya bakım sırasında havalandırmanın azaltılmasını içerir.</w:t>
            </w:r>
          </w:p>
        </w:tc>
        <w:tc>
          <w:tcPr>
            <w:tcW w:w="1327" w:type="pct"/>
            <w:vAlign w:val="center"/>
          </w:tcPr>
          <w:p w14:paraId="53CC114D" w14:textId="77777777" w:rsidR="003B155E" w:rsidRPr="000A5D99" w:rsidRDefault="003B155E" w:rsidP="000D79D6">
            <w:pPr>
              <w:widowControl w:val="0"/>
              <w:autoSpaceDE w:val="0"/>
              <w:autoSpaceDN w:val="0"/>
              <w:spacing w:after="0" w:line="240" w:lineRule="auto"/>
              <w:ind w:right="74"/>
              <w:rPr>
                <w:rFonts w:ascii="Times New Roman" w:eastAsia="Times New Roman" w:hAnsi="Times New Roman" w:cs="Times New Roman"/>
              </w:rPr>
            </w:pPr>
            <w:r w:rsidRPr="000A5D99">
              <w:rPr>
                <w:rFonts w:ascii="Times New Roman" w:eastAsia="Times New Roman" w:hAnsi="Times New Roman" w:cs="Times New Roman"/>
              </w:rPr>
              <w:t xml:space="preserve"> Genel olarak uygulanabilir.</w:t>
            </w:r>
          </w:p>
        </w:tc>
      </w:tr>
      <w:tr w:rsidR="003B155E" w:rsidRPr="000A5D99" w14:paraId="276D7D33" w14:textId="77777777" w:rsidTr="000D79D6">
        <w:trPr>
          <w:trHeight w:val="920"/>
        </w:trPr>
        <w:tc>
          <w:tcPr>
            <w:tcW w:w="232" w:type="pct"/>
            <w:vAlign w:val="center"/>
          </w:tcPr>
          <w:p w14:paraId="32FC3EB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w:t>
            </w:r>
          </w:p>
        </w:tc>
        <w:tc>
          <w:tcPr>
            <w:tcW w:w="1180" w:type="pct"/>
            <w:gridSpan w:val="3"/>
            <w:vAlign w:val="center"/>
          </w:tcPr>
          <w:p w14:paraId="11FDF8F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Püskürtme kabini çıkış gazı devirdaimi</w:t>
            </w:r>
          </w:p>
        </w:tc>
        <w:tc>
          <w:tcPr>
            <w:tcW w:w="2261" w:type="pct"/>
            <w:vAlign w:val="center"/>
          </w:tcPr>
          <w:p w14:paraId="5744444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Etkili boya fazla püskürtmeli ayırma ile birlikte püskürtme kabininden çıkan gazın toplanması ve devirdaimidir. Enerji tüketimi, temiz hava kullanımına göre daha azdır.</w:t>
            </w:r>
          </w:p>
        </w:tc>
        <w:tc>
          <w:tcPr>
            <w:tcW w:w="1327" w:type="pct"/>
            <w:vAlign w:val="center"/>
          </w:tcPr>
          <w:p w14:paraId="70FCA5B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sağlık ve güvenlik hususları nedeniyle kısıtlanabilir.</w:t>
            </w:r>
          </w:p>
        </w:tc>
      </w:tr>
      <w:tr w:rsidR="003B155E" w:rsidRPr="000A5D99" w14:paraId="412107B0" w14:textId="77777777" w:rsidTr="000D79D6">
        <w:trPr>
          <w:trHeight w:val="920"/>
        </w:trPr>
        <w:tc>
          <w:tcPr>
            <w:tcW w:w="237" w:type="pct"/>
            <w:gridSpan w:val="2"/>
            <w:vAlign w:val="center"/>
          </w:tcPr>
          <w:p w14:paraId="2E68D7C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w:t>
            </w:r>
          </w:p>
        </w:tc>
        <w:tc>
          <w:tcPr>
            <w:tcW w:w="1169" w:type="pct"/>
            <w:vAlign w:val="center"/>
          </w:tcPr>
          <w:p w14:paraId="072AEDB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Bir hava türbülatörü kullanarak büyük hacimli bir kürleme kabininde sıcak havanın optimize edilmiş sirkülasyonu</w:t>
            </w:r>
          </w:p>
        </w:tc>
        <w:tc>
          <w:tcPr>
            <w:tcW w:w="2267" w:type="pct"/>
            <w:gridSpan w:val="2"/>
            <w:vAlign w:val="center"/>
          </w:tcPr>
          <w:p w14:paraId="14EE926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Hava, kürleme kabininin tek bir bölümüne üflenir ve laminer hava akışını istenen türbülanslı akışa dönüştüren bir hava türbülatörü kullanılarak dağıtılır.</w:t>
            </w:r>
          </w:p>
        </w:tc>
        <w:tc>
          <w:tcPr>
            <w:tcW w:w="1327" w:type="pct"/>
            <w:vAlign w:val="center"/>
          </w:tcPr>
          <w:p w14:paraId="1F740643" w14:textId="77777777" w:rsidR="003B155E" w:rsidRPr="000A5D99" w:rsidRDefault="003B155E" w:rsidP="000D79D6">
            <w:pPr>
              <w:widowControl w:val="0"/>
              <w:tabs>
                <w:tab w:val="left" w:pos="1155"/>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Sadece püskürtmeli kaplama sektörleri için uygulanabilir.</w:t>
            </w:r>
          </w:p>
        </w:tc>
      </w:tr>
    </w:tbl>
    <w:p w14:paraId="2B30D27D" w14:textId="0F79DBD1" w:rsidR="003B155E" w:rsidRPr="000A5D99" w:rsidRDefault="003B155E" w:rsidP="003B155E">
      <w:pPr>
        <w:spacing w:before="240" w:after="0" w:line="360" w:lineRule="auto"/>
        <w:jc w:val="center"/>
        <w:rPr>
          <w:rFonts w:ascii="Times New Roman" w:eastAsia="Calibri" w:hAnsi="Times New Roman" w:cs="Calibri"/>
          <w:bCs/>
          <w:i/>
          <w:color w:val="000000"/>
          <w:sz w:val="24"/>
          <w:szCs w:val="18"/>
        </w:rPr>
      </w:pPr>
      <w:bookmarkStart w:id="83" w:name="_Ref133936518"/>
      <w:r w:rsidRPr="000A5D99">
        <w:rPr>
          <w:rFonts w:ascii="Times New Roman" w:eastAsia="Calibri" w:hAnsi="Times New Roman" w:cs="Calibri"/>
          <w:bCs/>
          <w:i/>
          <w:color w:val="000000"/>
          <w:sz w:val="24"/>
          <w:szCs w:val="18"/>
        </w:rPr>
        <w:t xml:space="preserve">Tablo </w:t>
      </w:r>
      <w:r w:rsidRPr="000A5D99">
        <w:rPr>
          <w:rFonts w:ascii="Times New Roman" w:eastAsia="Calibri" w:hAnsi="Times New Roman" w:cs="Calibri"/>
          <w:bCs/>
          <w:i/>
          <w:color w:val="000000"/>
          <w:sz w:val="24"/>
          <w:szCs w:val="18"/>
          <w:lang w:val="en-US"/>
        </w:rPr>
        <w:fldChar w:fldCharType="begin"/>
      </w:r>
      <w:r w:rsidRPr="000A5D99">
        <w:rPr>
          <w:rFonts w:ascii="Times New Roman" w:eastAsia="Calibri" w:hAnsi="Times New Roman" w:cs="Calibri"/>
          <w:bCs/>
          <w:i/>
          <w:color w:val="000000"/>
          <w:sz w:val="24"/>
          <w:szCs w:val="18"/>
        </w:rPr>
        <w:instrText xml:space="preserve"> SEQ Tablo \* ARABIC </w:instrText>
      </w:r>
      <w:r w:rsidRPr="000A5D99">
        <w:rPr>
          <w:rFonts w:ascii="Times New Roman" w:eastAsia="Calibri" w:hAnsi="Times New Roman" w:cs="Calibri"/>
          <w:bCs/>
          <w:i/>
          <w:color w:val="000000"/>
          <w:sz w:val="24"/>
          <w:szCs w:val="18"/>
          <w:lang w:val="en-US"/>
        </w:rPr>
        <w:fldChar w:fldCharType="separate"/>
      </w:r>
      <w:r w:rsidR="00CA3CEB">
        <w:rPr>
          <w:rFonts w:ascii="Times New Roman" w:eastAsia="Calibri" w:hAnsi="Times New Roman" w:cs="Calibri"/>
          <w:bCs/>
          <w:i/>
          <w:noProof/>
          <w:color w:val="000000"/>
          <w:sz w:val="24"/>
          <w:szCs w:val="18"/>
        </w:rPr>
        <w:t>4</w:t>
      </w:r>
      <w:r w:rsidRPr="000A5D99">
        <w:rPr>
          <w:rFonts w:ascii="Times New Roman" w:eastAsia="Calibri" w:hAnsi="Times New Roman" w:cs="Calibri"/>
          <w:bCs/>
          <w:i/>
          <w:color w:val="000000"/>
          <w:sz w:val="24"/>
          <w:szCs w:val="18"/>
          <w:lang w:val="en-US"/>
        </w:rPr>
        <w:fldChar w:fldCharType="end"/>
      </w:r>
      <w:bookmarkEnd w:id="83"/>
      <w:r w:rsidRPr="000A5D99">
        <w:rPr>
          <w:rFonts w:ascii="Times New Roman" w:eastAsia="Calibri" w:hAnsi="Times New Roman" w:cs="Calibri"/>
          <w:bCs/>
          <w:i/>
          <w:color w:val="000000"/>
          <w:sz w:val="24"/>
          <w:szCs w:val="18"/>
        </w:rPr>
        <w:t>.</w:t>
      </w:r>
    </w:p>
    <w:p w14:paraId="0B07E04D"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18"/>
        </w:rPr>
      </w:pPr>
      <w:r w:rsidRPr="000A5D99">
        <w:rPr>
          <w:rFonts w:ascii="Times New Roman" w:eastAsia="Calibri" w:hAnsi="Times New Roman" w:cs="Calibri"/>
          <w:b/>
          <w:iCs/>
          <w:color w:val="000000"/>
          <w:sz w:val="24"/>
          <w:szCs w:val="18"/>
        </w:rPr>
        <w:t>Spesifik enerji tüketimi için MET ile ilişkili çevresel performans seviyeleri (MET-İÇPS’ler)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76"/>
        <w:gridCol w:w="2255"/>
        <w:gridCol w:w="2314"/>
        <w:gridCol w:w="2217"/>
      </w:tblGrid>
      <w:tr w:rsidR="003B155E" w:rsidRPr="000A5D99" w14:paraId="5C5E57A8" w14:textId="77777777" w:rsidTr="000D79D6">
        <w:trPr>
          <w:trHeight w:val="460"/>
          <w:tblHeader/>
        </w:trPr>
        <w:tc>
          <w:tcPr>
            <w:tcW w:w="1256" w:type="pct"/>
            <w:vAlign w:val="center"/>
          </w:tcPr>
          <w:p w14:paraId="4834AA1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w:t>
            </w:r>
          </w:p>
        </w:tc>
        <w:tc>
          <w:tcPr>
            <w:tcW w:w="1244" w:type="pct"/>
            <w:vAlign w:val="center"/>
          </w:tcPr>
          <w:p w14:paraId="276EE09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Ürün tipi</w:t>
            </w:r>
          </w:p>
        </w:tc>
        <w:tc>
          <w:tcPr>
            <w:tcW w:w="1277" w:type="pct"/>
            <w:vAlign w:val="center"/>
          </w:tcPr>
          <w:p w14:paraId="63AAFAB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223" w:type="pct"/>
            <w:vAlign w:val="center"/>
          </w:tcPr>
          <w:p w14:paraId="3160191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MET-İÇPS</w:t>
            </w:r>
          </w:p>
          <w:p w14:paraId="4EB04BF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7DD9CA1D" w14:textId="77777777" w:rsidTr="000D79D6">
        <w:trPr>
          <w:trHeight w:val="228"/>
        </w:trPr>
        <w:tc>
          <w:tcPr>
            <w:tcW w:w="1256" w:type="pct"/>
            <w:vMerge w:val="restart"/>
            <w:vAlign w:val="center"/>
          </w:tcPr>
          <w:p w14:paraId="2A55B295"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244" w:type="pct"/>
            <w:vAlign w:val="center"/>
          </w:tcPr>
          <w:p w14:paraId="34B0BCD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Binek araçlar</w:t>
            </w:r>
          </w:p>
        </w:tc>
        <w:tc>
          <w:tcPr>
            <w:tcW w:w="1277" w:type="pct"/>
            <w:vMerge w:val="restart"/>
            <w:vAlign w:val="center"/>
          </w:tcPr>
          <w:p w14:paraId="7B49859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Kaplanan MWh/araç</w:t>
            </w:r>
          </w:p>
        </w:tc>
        <w:tc>
          <w:tcPr>
            <w:tcW w:w="1223" w:type="pct"/>
            <w:vAlign w:val="center"/>
          </w:tcPr>
          <w:p w14:paraId="4E967A2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0,5–1,3</w:t>
            </w:r>
          </w:p>
        </w:tc>
      </w:tr>
      <w:tr w:rsidR="003B155E" w:rsidRPr="000A5D99" w14:paraId="4055C7E4" w14:textId="77777777" w:rsidTr="000D79D6">
        <w:trPr>
          <w:trHeight w:val="230"/>
        </w:trPr>
        <w:tc>
          <w:tcPr>
            <w:tcW w:w="1256" w:type="pct"/>
            <w:vMerge/>
            <w:tcBorders>
              <w:top w:val="nil"/>
            </w:tcBorders>
            <w:vAlign w:val="center"/>
          </w:tcPr>
          <w:p w14:paraId="272BBC76"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244" w:type="pct"/>
            <w:vAlign w:val="center"/>
          </w:tcPr>
          <w:p w14:paraId="53E9D38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Minibüsler</w:t>
            </w:r>
          </w:p>
        </w:tc>
        <w:tc>
          <w:tcPr>
            <w:tcW w:w="1277" w:type="pct"/>
            <w:vMerge/>
            <w:tcBorders>
              <w:top w:val="nil"/>
            </w:tcBorders>
            <w:vAlign w:val="center"/>
          </w:tcPr>
          <w:p w14:paraId="4C63F77F"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223" w:type="pct"/>
            <w:vAlign w:val="center"/>
          </w:tcPr>
          <w:p w14:paraId="321A91B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0,8–2</w:t>
            </w:r>
          </w:p>
        </w:tc>
      </w:tr>
      <w:tr w:rsidR="003B155E" w:rsidRPr="000A5D99" w14:paraId="57B0E57D" w14:textId="77777777" w:rsidTr="000D79D6">
        <w:trPr>
          <w:trHeight w:val="230"/>
        </w:trPr>
        <w:tc>
          <w:tcPr>
            <w:tcW w:w="1256" w:type="pct"/>
            <w:vMerge/>
            <w:tcBorders>
              <w:top w:val="nil"/>
            </w:tcBorders>
            <w:vAlign w:val="center"/>
          </w:tcPr>
          <w:p w14:paraId="35E25390"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244" w:type="pct"/>
            <w:vAlign w:val="center"/>
          </w:tcPr>
          <w:p w14:paraId="46AC9E1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Kamyon kabinleri</w:t>
            </w:r>
          </w:p>
        </w:tc>
        <w:tc>
          <w:tcPr>
            <w:tcW w:w="1277" w:type="pct"/>
            <w:vMerge/>
            <w:tcBorders>
              <w:top w:val="nil"/>
            </w:tcBorders>
            <w:vAlign w:val="center"/>
          </w:tcPr>
          <w:p w14:paraId="6738DB73"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223" w:type="pct"/>
            <w:vAlign w:val="center"/>
          </w:tcPr>
          <w:p w14:paraId="0B47AC7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1–2</w:t>
            </w:r>
          </w:p>
        </w:tc>
      </w:tr>
      <w:tr w:rsidR="003B155E" w:rsidRPr="000A5D99" w14:paraId="652B4BE4" w14:textId="77777777" w:rsidTr="000D79D6">
        <w:trPr>
          <w:trHeight w:val="230"/>
        </w:trPr>
        <w:tc>
          <w:tcPr>
            <w:tcW w:w="1256" w:type="pct"/>
            <w:vMerge/>
            <w:tcBorders>
              <w:top w:val="nil"/>
            </w:tcBorders>
            <w:vAlign w:val="center"/>
          </w:tcPr>
          <w:p w14:paraId="3860E173"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244" w:type="pct"/>
            <w:vAlign w:val="center"/>
          </w:tcPr>
          <w:p w14:paraId="77B5C7F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Kamyonlar</w:t>
            </w:r>
          </w:p>
        </w:tc>
        <w:tc>
          <w:tcPr>
            <w:tcW w:w="1277" w:type="pct"/>
            <w:vMerge/>
            <w:tcBorders>
              <w:top w:val="nil"/>
            </w:tcBorders>
            <w:vAlign w:val="center"/>
          </w:tcPr>
          <w:p w14:paraId="13C59B70"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223" w:type="pct"/>
            <w:vAlign w:val="center"/>
          </w:tcPr>
          <w:p w14:paraId="1EE8D47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0,3–0,5</w:t>
            </w:r>
          </w:p>
        </w:tc>
      </w:tr>
      <w:tr w:rsidR="003B155E" w:rsidRPr="000A5D99" w14:paraId="7880127F" w14:textId="77777777" w:rsidTr="000D79D6">
        <w:trPr>
          <w:trHeight w:val="460"/>
        </w:trPr>
        <w:tc>
          <w:tcPr>
            <w:tcW w:w="1256" w:type="pct"/>
            <w:vAlign w:val="center"/>
          </w:tcPr>
          <w:p w14:paraId="490B5D4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244" w:type="pct"/>
            <w:vAlign w:val="center"/>
          </w:tcPr>
          <w:p w14:paraId="5406DC90" w14:textId="77777777" w:rsidR="003B155E" w:rsidRPr="000A5D99" w:rsidRDefault="003B155E" w:rsidP="000D79D6">
            <w:pPr>
              <w:widowControl w:val="0"/>
              <w:autoSpaceDE w:val="0"/>
              <w:autoSpaceDN w:val="0"/>
              <w:spacing w:after="0" w:line="240" w:lineRule="auto"/>
              <w:ind w:left="74" w:right="74" w:firstLine="128"/>
              <w:jc w:val="center"/>
              <w:rPr>
                <w:rFonts w:ascii="Times New Roman" w:eastAsia="Times New Roman" w:hAnsi="Times New Roman" w:cs="Times New Roman"/>
              </w:rPr>
            </w:pPr>
            <w:r w:rsidRPr="000A5D99">
              <w:rPr>
                <w:rFonts w:ascii="Times New Roman" w:eastAsia="Times New Roman" w:hAnsi="Times New Roman" w:cs="Times New Roman"/>
              </w:rPr>
              <w:t>Çelik ve / veya alüminyum bobin</w:t>
            </w:r>
          </w:p>
        </w:tc>
        <w:tc>
          <w:tcPr>
            <w:tcW w:w="1277" w:type="pct"/>
            <w:vAlign w:val="center"/>
          </w:tcPr>
          <w:p w14:paraId="264863B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kWh/m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kaplanmış bobin</w:t>
            </w:r>
          </w:p>
        </w:tc>
        <w:tc>
          <w:tcPr>
            <w:tcW w:w="1223" w:type="pct"/>
            <w:vAlign w:val="center"/>
          </w:tcPr>
          <w:p w14:paraId="42274B4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0,2–2,5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2C0811C4" w14:textId="77777777" w:rsidTr="000D79D6">
        <w:trPr>
          <w:trHeight w:val="920"/>
        </w:trPr>
        <w:tc>
          <w:tcPr>
            <w:tcW w:w="1256" w:type="pct"/>
            <w:vAlign w:val="center"/>
          </w:tcPr>
          <w:p w14:paraId="6452905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Tekstil, folyo ve kağıdın kaplanması</w:t>
            </w:r>
          </w:p>
        </w:tc>
        <w:tc>
          <w:tcPr>
            <w:tcW w:w="1244" w:type="pct"/>
            <w:vAlign w:val="center"/>
          </w:tcPr>
          <w:p w14:paraId="4E7748C5" w14:textId="77777777" w:rsidR="003B155E" w:rsidRPr="000A5D99" w:rsidRDefault="003B155E" w:rsidP="000D79D6">
            <w:pPr>
              <w:widowControl w:val="0"/>
              <w:autoSpaceDE w:val="0"/>
              <w:autoSpaceDN w:val="0"/>
              <w:spacing w:after="0" w:line="240" w:lineRule="auto"/>
              <w:ind w:left="74" w:right="74" w:hanging="14"/>
              <w:jc w:val="center"/>
              <w:rPr>
                <w:rFonts w:ascii="Times New Roman" w:eastAsia="Times New Roman" w:hAnsi="Times New Roman" w:cs="Times New Roman"/>
              </w:rPr>
            </w:pPr>
            <w:r w:rsidRPr="000A5D99">
              <w:rPr>
                <w:rFonts w:ascii="Times New Roman" w:eastAsia="Times New Roman" w:hAnsi="Times New Roman" w:cs="Times New Roman"/>
              </w:rPr>
              <w:t>Tekstillerin poliüretan ve/veya polivinil klorür ile kaplanması</w:t>
            </w:r>
          </w:p>
        </w:tc>
        <w:tc>
          <w:tcPr>
            <w:tcW w:w="1277" w:type="pct"/>
            <w:vAlign w:val="center"/>
          </w:tcPr>
          <w:p w14:paraId="512F832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kWh/m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kaplanmış yüzey</w:t>
            </w:r>
          </w:p>
        </w:tc>
        <w:tc>
          <w:tcPr>
            <w:tcW w:w="1223" w:type="pct"/>
            <w:vAlign w:val="center"/>
          </w:tcPr>
          <w:p w14:paraId="26C699D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1–5</w:t>
            </w:r>
          </w:p>
        </w:tc>
      </w:tr>
      <w:tr w:rsidR="003B155E" w:rsidRPr="000A5D99" w14:paraId="5324C031" w14:textId="77777777" w:rsidTr="000D79D6">
        <w:trPr>
          <w:trHeight w:val="460"/>
        </w:trPr>
        <w:tc>
          <w:tcPr>
            <w:tcW w:w="1256" w:type="pct"/>
            <w:vAlign w:val="center"/>
          </w:tcPr>
          <w:p w14:paraId="4C9E451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Sargı tellerinin imalatı</w:t>
            </w:r>
          </w:p>
        </w:tc>
        <w:tc>
          <w:tcPr>
            <w:tcW w:w="1244" w:type="pct"/>
            <w:vAlign w:val="center"/>
          </w:tcPr>
          <w:p w14:paraId="6ECCBE9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Ortalama çapı &gt; 0,1 mm olan teller</w:t>
            </w:r>
          </w:p>
        </w:tc>
        <w:tc>
          <w:tcPr>
            <w:tcW w:w="1277" w:type="pct"/>
            <w:vAlign w:val="center"/>
          </w:tcPr>
          <w:p w14:paraId="3FB7CA9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kWh/kg kaplanan tel</w:t>
            </w:r>
          </w:p>
        </w:tc>
        <w:tc>
          <w:tcPr>
            <w:tcW w:w="1223" w:type="pct"/>
            <w:vAlign w:val="center"/>
          </w:tcPr>
          <w:p w14:paraId="08E4F8A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5</w:t>
            </w:r>
          </w:p>
        </w:tc>
      </w:tr>
      <w:tr w:rsidR="003B155E" w:rsidRPr="000A5D99" w14:paraId="5B12FF05" w14:textId="77777777" w:rsidTr="000D79D6">
        <w:trPr>
          <w:trHeight w:val="459"/>
        </w:trPr>
        <w:tc>
          <w:tcPr>
            <w:tcW w:w="1256" w:type="pct"/>
            <w:vAlign w:val="center"/>
          </w:tcPr>
          <w:p w14:paraId="43EDEC3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w:t>
            </w:r>
          </w:p>
        </w:tc>
        <w:tc>
          <w:tcPr>
            <w:tcW w:w="1244" w:type="pct"/>
            <w:vAlign w:val="center"/>
          </w:tcPr>
          <w:p w14:paraId="198CFB9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Tüm ürün tipleri</w:t>
            </w:r>
          </w:p>
        </w:tc>
        <w:tc>
          <w:tcPr>
            <w:tcW w:w="1277" w:type="pct"/>
            <w:vAlign w:val="center"/>
          </w:tcPr>
          <w:p w14:paraId="509B928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kWh/m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kaplanmış yüzey</w:t>
            </w:r>
          </w:p>
        </w:tc>
        <w:tc>
          <w:tcPr>
            <w:tcW w:w="1223" w:type="pct"/>
            <w:vAlign w:val="center"/>
          </w:tcPr>
          <w:p w14:paraId="7B50853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0,3–1,5</w:t>
            </w:r>
          </w:p>
        </w:tc>
      </w:tr>
      <w:tr w:rsidR="003B155E" w:rsidRPr="000A5D99" w14:paraId="36147F31" w14:textId="77777777" w:rsidTr="000D79D6">
        <w:trPr>
          <w:trHeight w:val="459"/>
        </w:trPr>
        <w:tc>
          <w:tcPr>
            <w:tcW w:w="1256" w:type="pct"/>
            <w:vAlign w:val="center"/>
          </w:tcPr>
          <w:p w14:paraId="02CE48A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Kurutmalı web ofset baskı</w:t>
            </w:r>
          </w:p>
        </w:tc>
        <w:tc>
          <w:tcPr>
            <w:tcW w:w="1244" w:type="pct"/>
            <w:vAlign w:val="center"/>
          </w:tcPr>
          <w:p w14:paraId="3EC5B60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Tüm ürün tipleri</w:t>
            </w:r>
          </w:p>
        </w:tc>
        <w:tc>
          <w:tcPr>
            <w:tcW w:w="1277" w:type="pct"/>
            <w:vAlign w:val="center"/>
          </w:tcPr>
          <w:p w14:paraId="41E4634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Wh/m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baskılı alan</w:t>
            </w:r>
          </w:p>
        </w:tc>
        <w:tc>
          <w:tcPr>
            <w:tcW w:w="1223" w:type="pct"/>
            <w:vAlign w:val="center"/>
          </w:tcPr>
          <w:p w14:paraId="71C1E25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4–14</w:t>
            </w:r>
          </w:p>
        </w:tc>
      </w:tr>
      <w:tr w:rsidR="003B155E" w:rsidRPr="000A5D99" w14:paraId="12919CEF" w14:textId="77777777" w:rsidTr="000D79D6">
        <w:trPr>
          <w:trHeight w:val="689"/>
        </w:trPr>
        <w:tc>
          <w:tcPr>
            <w:tcW w:w="1256" w:type="pct"/>
            <w:vAlign w:val="center"/>
          </w:tcPr>
          <w:p w14:paraId="4B604A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Fleksografi ve yayın dışı rotogravür baskı</w:t>
            </w:r>
          </w:p>
        </w:tc>
        <w:tc>
          <w:tcPr>
            <w:tcW w:w="1244" w:type="pct"/>
            <w:vAlign w:val="center"/>
          </w:tcPr>
          <w:p w14:paraId="48097B5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Tüm ürün tipleri</w:t>
            </w:r>
          </w:p>
        </w:tc>
        <w:tc>
          <w:tcPr>
            <w:tcW w:w="1277" w:type="pct"/>
            <w:vAlign w:val="center"/>
          </w:tcPr>
          <w:p w14:paraId="2ECE2CF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Wh/m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baskılı alan</w:t>
            </w:r>
          </w:p>
        </w:tc>
        <w:tc>
          <w:tcPr>
            <w:tcW w:w="1223" w:type="pct"/>
            <w:vAlign w:val="center"/>
          </w:tcPr>
          <w:p w14:paraId="369F266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50–350</w:t>
            </w:r>
          </w:p>
        </w:tc>
      </w:tr>
      <w:tr w:rsidR="003B155E" w:rsidRPr="000A5D99" w14:paraId="2287A017" w14:textId="77777777" w:rsidTr="000D79D6">
        <w:trPr>
          <w:trHeight w:val="459"/>
        </w:trPr>
        <w:tc>
          <w:tcPr>
            <w:tcW w:w="1256" w:type="pct"/>
            <w:vAlign w:val="center"/>
          </w:tcPr>
          <w:p w14:paraId="773E29E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Yayın rotogravür baskı</w:t>
            </w:r>
          </w:p>
        </w:tc>
        <w:tc>
          <w:tcPr>
            <w:tcW w:w="1244" w:type="pct"/>
            <w:vAlign w:val="center"/>
          </w:tcPr>
          <w:p w14:paraId="26DB76A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Tüm ürün tipleri</w:t>
            </w:r>
          </w:p>
        </w:tc>
        <w:tc>
          <w:tcPr>
            <w:tcW w:w="1277" w:type="pct"/>
            <w:vAlign w:val="center"/>
          </w:tcPr>
          <w:p w14:paraId="4C6329B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Wh/m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baskılı alan</w:t>
            </w:r>
          </w:p>
        </w:tc>
        <w:tc>
          <w:tcPr>
            <w:tcW w:w="1223" w:type="pct"/>
            <w:vAlign w:val="center"/>
          </w:tcPr>
          <w:p w14:paraId="134393B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10–30</w:t>
            </w:r>
          </w:p>
        </w:tc>
      </w:tr>
      <w:tr w:rsidR="003B155E" w:rsidRPr="000A5D99" w14:paraId="74E25A01" w14:textId="77777777" w:rsidTr="000D79D6">
        <w:trPr>
          <w:trHeight w:val="459"/>
        </w:trPr>
        <w:tc>
          <w:tcPr>
            <w:tcW w:w="5000" w:type="pct"/>
            <w:gridSpan w:val="4"/>
          </w:tcPr>
          <w:p w14:paraId="48155172" w14:textId="77777777" w:rsidR="003B155E" w:rsidRPr="000A5D99" w:rsidRDefault="003B155E" w:rsidP="000D79D6">
            <w:pPr>
              <w:widowControl w:val="0"/>
              <w:autoSpaceDE w:val="0"/>
              <w:autoSpaceDN w:val="0"/>
              <w:spacing w:after="0" w:line="240" w:lineRule="auto"/>
              <w:ind w:left="314" w:right="74" w:hanging="240"/>
              <w:jc w:val="both"/>
              <w:rPr>
                <w:rFonts w:ascii="Times New Roman" w:eastAsia="Times New Roman" w:hAnsi="Times New Roman" w:cs="Times New Roman"/>
                <w:i/>
                <w:iCs/>
              </w:rPr>
            </w:pPr>
            <w:r w:rsidRPr="000A5D99">
              <w:rPr>
                <w:rFonts w:ascii="Times New Roman" w:eastAsia="Times New Roman" w:hAnsi="Times New Roman" w:cs="Times New Roman"/>
                <w:i/>
                <w:iCs/>
                <w:sz w:val="20"/>
                <w:szCs w:val="20"/>
              </w:rPr>
              <w:t>(</w:t>
            </w:r>
            <w:r w:rsidRPr="000A5D99">
              <w:rPr>
                <w:rFonts w:ascii="Times New Roman" w:eastAsia="Times New Roman" w:hAnsi="Times New Roman" w:cs="Times New Roman"/>
                <w:i/>
                <w:iCs/>
                <w:sz w:val="20"/>
                <w:szCs w:val="20"/>
                <w:vertAlign w:val="superscript"/>
              </w:rPr>
              <w:t>1</w:t>
            </w:r>
            <w:r w:rsidRPr="000A5D99">
              <w:rPr>
                <w:rFonts w:ascii="Times New Roman" w:eastAsia="Times New Roman" w:hAnsi="Times New Roman" w:cs="Times New Roman"/>
                <w:i/>
                <w:iCs/>
                <w:sz w:val="20"/>
                <w:szCs w:val="20"/>
              </w:rPr>
              <w:t>) MET-İÇPS, bobin kaplama hattının daha büyük bir üretim tesisinin (örneğin, çelik fabrikası) parçası olduğu veya kombiler için geçerli olmayabilir.</w:t>
            </w:r>
          </w:p>
        </w:tc>
      </w:tr>
    </w:tbl>
    <w:p w14:paraId="2AA3BF2B"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96283A">
        <w:rPr>
          <w:rFonts w:ascii="Times New Roman" w:eastAsia="Calibri" w:hAnsi="Times New Roman" w:cs="Calibri"/>
          <w:sz w:val="24"/>
          <w:lang w:val="es-ES"/>
        </w:rPr>
        <w:t>MET 19 (b)'de verilmektedir</w:t>
      </w:r>
      <w:r w:rsidRPr="000A5D99">
        <w:rPr>
          <w:rFonts w:ascii="Times New Roman" w:eastAsia="Calibri" w:hAnsi="Times New Roman" w:cs="Calibri"/>
          <w:sz w:val="24"/>
          <w:lang w:val="es-ES"/>
        </w:rPr>
        <w:t>.</w:t>
      </w:r>
    </w:p>
    <w:p w14:paraId="66E99030" w14:textId="77777777" w:rsidR="003B155E" w:rsidRPr="000A5D99" w:rsidRDefault="003B155E" w:rsidP="003B155E">
      <w:pPr>
        <w:keepNext/>
        <w:keepLines/>
        <w:spacing w:before="120" w:after="60" w:line="360" w:lineRule="auto"/>
        <w:ind w:left="810"/>
        <w:jc w:val="both"/>
        <w:outlineLvl w:val="1"/>
        <w:rPr>
          <w:rFonts w:ascii="Times New Roman" w:eastAsia="DengXian Light" w:hAnsi="Times New Roman" w:cs="Microsoft Uighur"/>
          <w:b/>
          <w:sz w:val="24"/>
          <w:szCs w:val="26"/>
          <w:lang w:val="es-ES"/>
        </w:rPr>
      </w:pPr>
      <w:bookmarkStart w:id="84" w:name="_Toc137210487"/>
      <w:r w:rsidRPr="000A5D99">
        <w:rPr>
          <w:rFonts w:ascii="Times New Roman" w:eastAsia="DengXian Light" w:hAnsi="Times New Roman" w:cs="Microsoft Uighur"/>
          <w:b/>
          <w:sz w:val="24"/>
          <w:szCs w:val="26"/>
          <w:lang w:val="es-ES"/>
        </w:rPr>
        <w:lastRenderedPageBreak/>
        <w:t>Su Kullanımı ve Atık Su Üretimi</w:t>
      </w:r>
      <w:bookmarkEnd w:id="84"/>
    </w:p>
    <w:p w14:paraId="294D6ACA"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20: </w:t>
      </w:r>
      <w:r w:rsidRPr="000A5D99">
        <w:rPr>
          <w:rFonts w:ascii="Times New Roman" w:eastAsia="Calibri" w:hAnsi="Times New Roman" w:cs="Calibri"/>
          <w:sz w:val="24"/>
          <w:lang w:val="es-ES"/>
        </w:rPr>
        <w:t>Su tüketimini ve sulu işlemlerden (örneğin yağ giderme, temizleme, yüzey arıtma, ıslak yıkama) kaynaklanan atık su oluşumunu azaltmak için, (a) tekniği ve aşağıda verilen diğer tekniklerin uygun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2"/>
        <w:gridCol w:w="2302"/>
        <w:gridCol w:w="3964"/>
        <w:gridCol w:w="2394"/>
      </w:tblGrid>
      <w:tr w:rsidR="003B155E" w:rsidRPr="000A5D99" w14:paraId="04F3B35F" w14:textId="77777777" w:rsidTr="000D79D6">
        <w:trPr>
          <w:trHeight w:val="230"/>
          <w:tblHeader/>
        </w:trPr>
        <w:tc>
          <w:tcPr>
            <w:tcW w:w="222" w:type="pct"/>
            <w:tcBorders>
              <w:right w:val="single" w:sz="4" w:space="0" w:color="auto"/>
            </w:tcBorders>
            <w:vAlign w:val="center"/>
          </w:tcPr>
          <w:p w14:paraId="1A0689B2"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270" w:type="pct"/>
            <w:tcBorders>
              <w:left w:val="single" w:sz="4" w:space="0" w:color="auto"/>
            </w:tcBorders>
            <w:vAlign w:val="center"/>
          </w:tcPr>
          <w:p w14:paraId="07DD41F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187" w:type="pct"/>
            <w:vAlign w:val="center"/>
          </w:tcPr>
          <w:p w14:paraId="4E3955F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321" w:type="pct"/>
            <w:vAlign w:val="center"/>
          </w:tcPr>
          <w:p w14:paraId="08A38A0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02C6516B" w14:textId="77777777" w:rsidTr="000D79D6">
        <w:trPr>
          <w:trHeight w:val="3910"/>
        </w:trPr>
        <w:tc>
          <w:tcPr>
            <w:tcW w:w="222" w:type="pct"/>
            <w:tcBorders>
              <w:right w:val="single" w:sz="4" w:space="0" w:color="auto"/>
            </w:tcBorders>
            <w:vAlign w:val="center"/>
          </w:tcPr>
          <w:p w14:paraId="1435022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70" w:type="pct"/>
            <w:tcBorders>
              <w:left w:val="single" w:sz="4" w:space="0" w:color="auto"/>
            </w:tcBorders>
            <w:vAlign w:val="center"/>
          </w:tcPr>
          <w:p w14:paraId="50A0665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yönetim planı ve su denetimleri</w:t>
            </w:r>
          </w:p>
        </w:tc>
        <w:tc>
          <w:tcPr>
            <w:tcW w:w="2187" w:type="pct"/>
            <w:vAlign w:val="center"/>
          </w:tcPr>
          <w:p w14:paraId="3481E43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Su yönetim planı ve su denetimleri, ÇYS'nin (bkz. </w:t>
            </w:r>
            <w:r w:rsidRPr="0096283A">
              <w:rPr>
                <w:rFonts w:ascii="Times New Roman" w:eastAsia="Times New Roman" w:hAnsi="Times New Roman" w:cs="Times New Roman"/>
              </w:rPr>
              <w:t>MET 1</w:t>
            </w:r>
            <w:r w:rsidRPr="000A5D99">
              <w:rPr>
                <w:rFonts w:ascii="Times New Roman" w:eastAsia="Times New Roman" w:hAnsi="Times New Roman" w:cs="Times New Roman"/>
              </w:rPr>
              <w:t>) parçasıdır ve şunları içerir:</w:t>
            </w:r>
          </w:p>
          <w:p w14:paraId="761D64C0"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tesisin akış şemaları ve su kütle dengesi;</w:t>
            </w:r>
          </w:p>
          <w:p w14:paraId="60AF183A"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su verimliliği hedeflerinin oluşturulması;</w:t>
            </w:r>
          </w:p>
          <w:p w14:paraId="38415A4A"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su optimizasyon tekniklerinin uygulanması (örneğin, su kullanımının kontrolü, su geri dönüşümü, sızıntıların tespiti ve onarımı).</w:t>
            </w:r>
          </w:p>
          <w:p w14:paraId="3E318DF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denetimleri yılda en az bir kez yapılır.</w:t>
            </w:r>
          </w:p>
        </w:tc>
        <w:tc>
          <w:tcPr>
            <w:tcW w:w="1321" w:type="pct"/>
            <w:vAlign w:val="center"/>
          </w:tcPr>
          <w:p w14:paraId="0E2028B5" w14:textId="77777777" w:rsidR="003B155E" w:rsidRPr="000A5D99" w:rsidRDefault="003B155E" w:rsidP="000D79D6">
            <w:pPr>
              <w:widowControl w:val="0"/>
              <w:tabs>
                <w:tab w:val="left" w:pos="1180"/>
                <w:tab w:val="left" w:pos="1230"/>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yönetim planının ve su denetimlerinin detay seviyesi ve doğası, genellikle tesisin doğası, ölçeği ve karmaşıklığı ile ilgili olacaktır. STS faaliyetinin daha büyük bir tesiste yürütülmesi halinde, daha büyük tesisin su yönetim planının ve su denetimlerinin STS faaliyetini yeterince kapsaması koşuluyla, geçerli olmayabilir.</w:t>
            </w:r>
          </w:p>
        </w:tc>
      </w:tr>
      <w:tr w:rsidR="003B155E" w:rsidRPr="000A5D99" w14:paraId="3B6A9D21" w14:textId="77777777" w:rsidTr="000D79D6">
        <w:trPr>
          <w:trHeight w:val="1149"/>
        </w:trPr>
        <w:tc>
          <w:tcPr>
            <w:tcW w:w="222" w:type="pct"/>
            <w:vAlign w:val="center"/>
          </w:tcPr>
          <w:p w14:paraId="0D2E290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270" w:type="pct"/>
            <w:vAlign w:val="center"/>
          </w:tcPr>
          <w:p w14:paraId="3EE98D8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Ters kademeli durulama</w:t>
            </w:r>
          </w:p>
        </w:tc>
        <w:tc>
          <w:tcPr>
            <w:tcW w:w="2187" w:type="pct"/>
            <w:vAlign w:val="center"/>
          </w:tcPr>
          <w:p w14:paraId="20E7283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Suyun iş parçalarına/alt tabakaya zıt yönde aktığı çok aşamalı durulamadır. Düşük su tüketimi ile yüksek derecede durulama sağlar.</w:t>
            </w:r>
          </w:p>
        </w:tc>
        <w:tc>
          <w:tcPr>
            <w:tcW w:w="1321" w:type="pct"/>
            <w:vAlign w:val="center"/>
          </w:tcPr>
          <w:p w14:paraId="5EFD6DD0" w14:textId="77777777" w:rsidR="003B155E" w:rsidRPr="000A5D99" w:rsidRDefault="003B155E" w:rsidP="000D79D6">
            <w:pPr>
              <w:widowControl w:val="0"/>
              <w:tabs>
                <w:tab w:val="left" w:pos="1630"/>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Durulama işlemlerinin kullanıldığı yerlerde uygulanabilir.</w:t>
            </w:r>
          </w:p>
        </w:tc>
      </w:tr>
      <w:tr w:rsidR="003B155E" w:rsidRPr="000A5D99" w14:paraId="2D9BCD1A" w14:textId="77777777" w:rsidTr="000D79D6">
        <w:trPr>
          <w:trHeight w:val="283"/>
        </w:trPr>
        <w:tc>
          <w:tcPr>
            <w:tcW w:w="222" w:type="pct"/>
            <w:vAlign w:val="center"/>
          </w:tcPr>
          <w:p w14:paraId="041AC94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270" w:type="pct"/>
            <w:vAlign w:val="center"/>
          </w:tcPr>
          <w:p w14:paraId="12A8EE9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Suyun yeniden kullanımı ve/veya geri dönüşümü</w:t>
            </w:r>
          </w:p>
        </w:tc>
        <w:tc>
          <w:tcPr>
            <w:tcW w:w="2187" w:type="pct"/>
            <w:vAlign w:val="center"/>
          </w:tcPr>
          <w:p w14:paraId="75D6782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akışları (örneğin, kullanılmış durulama suyu, ıslak yıkayıcı atıksuyu) yeniden kullanılır ve/veya gerekirse işlemeden sonra iyon değişimi veya filtrasyon gibi teknikler kullanılarak geri dönüştürülür (</w:t>
            </w:r>
            <w:r w:rsidRPr="000A5D99">
              <w:rPr>
                <w:rFonts w:ascii="Times New Roman" w:eastAsia="Times New Roman" w:hAnsi="Times New Roman" w:cs="Times New Roman"/>
                <w:b/>
                <w:bCs/>
              </w:rPr>
              <w:t>bkz. MET 21</w:t>
            </w:r>
            <w:r w:rsidRPr="000A5D99">
              <w:rPr>
                <w:rFonts w:ascii="Times New Roman" w:eastAsia="Times New Roman" w:hAnsi="Times New Roman" w:cs="Times New Roman"/>
              </w:rPr>
              <w:t>). Suyun yeniden kullanım ve/veya geri dönüşüm derecesi, tesisin su dengesi, kirlilik içeriği ve/veya su akışlarının özellikleri ile sınırlıdır.</w:t>
            </w:r>
          </w:p>
        </w:tc>
        <w:tc>
          <w:tcPr>
            <w:tcW w:w="1321" w:type="pct"/>
            <w:vAlign w:val="center"/>
          </w:tcPr>
          <w:p w14:paraId="3FCCC48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bl>
    <w:p w14:paraId="4D182D6B" w14:textId="332C6A03" w:rsidR="003B155E" w:rsidRPr="000A5D99" w:rsidRDefault="003B155E" w:rsidP="003B155E">
      <w:pPr>
        <w:spacing w:before="120" w:after="120" w:line="360" w:lineRule="auto"/>
        <w:jc w:val="center"/>
        <w:rPr>
          <w:rFonts w:ascii="Times New Roman" w:eastAsia="Calibri" w:hAnsi="Times New Roman" w:cs="Calibri"/>
          <w:bCs/>
          <w:i/>
          <w:color w:val="000000"/>
          <w:sz w:val="24"/>
          <w:szCs w:val="18"/>
          <w:lang w:val="en-US"/>
        </w:rPr>
      </w:pPr>
      <w:bookmarkStart w:id="85" w:name="_Ref133936701"/>
      <w:r w:rsidRPr="000A5D99">
        <w:rPr>
          <w:rFonts w:ascii="Times New Roman" w:eastAsia="Calibri" w:hAnsi="Times New Roman" w:cs="Calibri"/>
          <w:bCs/>
          <w:i/>
          <w:color w:val="000000"/>
          <w:sz w:val="24"/>
          <w:szCs w:val="18"/>
          <w:lang w:val="en-US"/>
        </w:rPr>
        <w:t xml:space="preserve">Tablo </w:t>
      </w:r>
      <w:r w:rsidRPr="000A5D99">
        <w:rPr>
          <w:rFonts w:ascii="Times New Roman" w:eastAsia="Calibri" w:hAnsi="Times New Roman" w:cs="Calibri"/>
          <w:bCs/>
          <w:i/>
          <w:color w:val="000000"/>
          <w:sz w:val="24"/>
          <w:szCs w:val="18"/>
          <w:lang w:val="en-US"/>
        </w:rPr>
        <w:fldChar w:fldCharType="begin"/>
      </w:r>
      <w:r w:rsidRPr="000A5D99">
        <w:rPr>
          <w:rFonts w:ascii="Times New Roman" w:eastAsia="Calibri" w:hAnsi="Times New Roman" w:cs="Calibri"/>
          <w:bCs/>
          <w:i/>
          <w:color w:val="000000"/>
          <w:sz w:val="24"/>
          <w:szCs w:val="18"/>
          <w:lang w:val="en-US"/>
        </w:rPr>
        <w:instrText xml:space="preserve"> SEQ Tablo \* ARABIC </w:instrText>
      </w:r>
      <w:r w:rsidRPr="000A5D99">
        <w:rPr>
          <w:rFonts w:ascii="Times New Roman" w:eastAsia="Calibri" w:hAnsi="Times New Roman" w:cs="Calibri"/>
          <w:bCs/>
          <w:i/>
          <w:color w:val="000000"/>
          <w:sz w:val="24"/>
          <w:szCs w:val="18"/>
          <w:lang w:val="en-US"/>
        </w:rPr>
        <w:fldChar w:fldCharType="separate"/>
      </w:r>
      <w:r w:rsidR="00CA3CEB">
        <w:rPr>
          <w:rFonts w:ascii="Times New Roman" w:eastAsia="Calibri" w:hAnsi="Times New Roman" w:cs="Calibri"/>
          <w:bCs/>
          <w:i/>
          <w:noProof/>
          <w:color w:val="000000"/>
          <w:sz w:val="24"/>
          <w:szCs w:val="18"/>
          <w:lang w:val="en-US"/>
        </w:rPr>
        <w:t>5</w:t>
      </w:r>
      <w:r w:rsidRPr="000A5D99">
        <w:rPr>
          <w:rFonts w:ascii="Times New Roman" w:eastAsia="Calibri" w:hAnsi="Times New Roman" w:cs="Calibri"/>
          <w:bCs/>
          <w:i/>
          <w:color w:val="000000"/>
          <w:sz w:val="24"/>
          <w:szCs w:val="18"/>
          <w:lang w:val="en-US"/>
        </w:rPr>
        <w:fldChar w:fldCharType="end"/>
      </w:r>
      <w:bookmarkEnd w:id="85"/>
      <w:r w:rsidRPr="000A5D99">
        <w:rPr>
          <w:rFonts w:ascii="Times New Roman" w:eastAsia="Calibri" w:hAnsi="Times New Roman" w:cs="Calibri"/>
          <w:bCs/>
          <w:i/>
          <w:color w:val="000000"/>
          <w:sz w:val="24"/>
          <w:szCs w:val="18"/>
          <w:lang w:val="en-US"/>
        </w:rPr>
        <w:t>.</w:t>
      </w:r>
    </w:p>
    <w:p w14:paraId="5E2D1015"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7672BAD5"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1BBA4877"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04F61D9B"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0961DF4E"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1365BD87"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374AF328" w14:textId="77777777" w:rsidR="00541520" w:rsidRDefault="00541520" w:rsidP="003B155E">
      <w:pPr>
        <w:spacing w:before="120" w:after="120" w:line="360" w:lineRule="auto"/>
        <w:jc w:val="center"/>
        <w:rPr>
          <w:rFonts w:ascii="Times New Roman" w:eastAsia="Calibri" w:hAnsi="Times New Roman" w:cs="Calibri"/>
          <w:b/>
          <w:iCs/>
          <w:color w:val="000000"/>
          <w:sz w:val="24"/>
          <w:szCs w:val="18"/>
          <w:lang w:val="en-US"/>
        </w:rPr>
      </w:pPr>
    </w:p>
    <w:p w14:paraId="33934CF2" w14:textId="4124AE99" w:rsidR="003B155E" w:rsidRPr="000A5D99" w:rsidRDefault="003B155E" w:rsidP="003B155E">
      <w:pPr>
        <w:spacing w:before="120" w:after="120" w:line="360" w:lineRule="auto"/>
        <w:jc w:val="center"/>
        <w:rPr>
          <w:rFonts w:ascii="Times New Roman" w:eastAsia="Calibri" w:hAnsi="Times New Roman" w:cs="Calibri"/>
          <w:b/>
          <w:iCs/>
          <w:color w:val="000000"/>
          <w:sz w:val="24"/>
          <w:szCs w:val="18"/>
          <w:lang w:val="en-US"/>
        </w:rPr>
      </w:pPr>
      <w:r w:rsidRPr="000A5D99">
        <w:rPr>
          <w:rFonts w:ascii="Times New Roman" w:eastAsia="Calibri" w:hAnsi="Times New Roman" w:cs="Calibri"/>
          <w:b/>
          <w:iCs/>
          <w:color w:val="000000"/>
          <w:sz w:val="24"/>
          <w:szCs w:val="18"/>
          <w:lang w:val="en-US"/>
        </w:rPr>
        <w:lastRenderedPageBreak/>
        <w:t>Spesifik su tüketimi için MET ile ilişkili çevresel performans seviyeleri (MET-İÇPS’ler)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99"/>
        <w:gridCol w:w="2541"/>
        <w:gridCol w:w="2108"/>
        <w:gridCol w:w="2314"/>
      </w:tblGrid>
      <w:tr w:rsidR="003B155E" w:rsidRPr="000A5D99" w14:paraId="77EA608B" w14:textId="77777777" w:rsidTr="000D79D6">
        <w:trPr>
          <w:trHeight w:val="460"/>
          <w:tblHeader/>
        </w:trPr>
        <w:tc>
          <w:tcPr>
            <w:tcW w:w="1158" w:type="pct"/>
            <w:vAlign w:val="center"/>
          </w:tcPr>
          <w:p w14:paraId="34FBA90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w:t>
            </w:r>
          </w:p>
        </w:tc>
        <w:tc>
          <w:tcPr>
            <w:tcW w:w="1402" w:type="pct"/>
            <w:vAlign w:val="center"/>
          </w:tcPr>
          <w:p w14:paraId="3590EFA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Ürün tipi</w:t>
            </w:r>
          </w:p>
        </w:tc>
        <w:tc>
          <w:tcPr>
            <w:tcW w:w="1163" w:type="pct"/>
            <w:vAlign w:val="center"/>
          </w:tcPr>
          <w:p w14:paraId="1445A4C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277" w:type="pct"/>
            <w:vAlign w:val="center"/>
          </w:tcPr>
          <w:p w14:paraId="4ECFC72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MET-İÇPS</w:t>
            </w:r>
          </w:p>
          <w:p w14:paraId="141800F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19F12FED" w14:textId="77777777" w:rsidTr="000D79D6">
        <w:trPr>
          <w:trHeight w:val="230"/>
        </w:trPr>
        <w:tc>
          <w:tcPr>
            <w:tcW w:w="1158" w:type="pct"/>
            <w:vMerge w:val="restart"/>
            <w:vAlign w:val="center"/>
          </w:tcPr>
          <w:p w14:paraId="758699A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Araçların kaplanması</w:t>
            </w:r>
          </w:p>
        </w:tc>
        <w:tc>
          <w:tcPr>
            <w:tcW w:w="1402" w:type="pct"/>
            <w:vAlign w:val="center"/>
          </w:tcPr>
          <w:p w14:paraId="47C1578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Binek araçlar</w:t>
            </w:r>
          </w:p>
        </w:tc>
        <w:tc>
          <w:tcPr>
            <w:tcW w:w="1163" w:type="pct"/>
            <w:vMerge w:val="restart"/>
            <w:vAlign w:val="center"/>
          </w:tcPr>
          <w:p w14:paraId="5F4801B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/kaplanan araç</w:t>
            </w:r>
          </w:p>
        </w:tc>
        <w:tc>
          <w:tcPr>
            <w:tcW w:w="1277" w:type="pct"/>
            <w:vAlign w:val="center"/>
          </w:tcPr>
          <w:p w14:paraId="6876358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0,5–1,3</w:t>
            </w:r>
          </w:p>
        </w:tc>
      </w:tr>
      <w:tr w:rsidR="003B155E" w:rsidRPr="000A5D99" w14:paraId="1BF5F90D" w14:textId="77777777" w:rsidTr="000D79D6">
        <w:trPr>
          <w:trHeight w:val="230"/>
        </w:trPr>
        <w:tc>
          <w:tcPr>
            <w:tcW w:w="1158" w:type="pct"/>
            <w:vMerge/>
            <w:tcBorders>
              <w:top w:val="nil"/>
            </w:tcBorders>
            <w:vAlign w:val="center"/>
          </w:tcPr>
          <w:p w14:paraId="54C8586F"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402" w:type="pct"/>
            <w:vAlign w:val="center"/>
          </w:tcPr>
          <w:p w14:paraId="24F5832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Minibüsler</w:t>
            </w:r>
          </w:p>
        </w:tc>
        <w:tc>
          <w:tcPr>
            <w:tcW w:w="1163" w:type="pct"/>
            <w:vMerge/>
            <w:tcBorders>
              <w:top w:val="nil"/>
            </w:tcBorders>
            <w:vAlign w:val="center"/>
          </w:tcPr>
          <w:p w14:paraId="79B52710"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277" w:type="pct"/>
            <w:vAlign w:val="center"/>
          </w:tcPr>
          <w:p w14:paraId="35A87DF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1–2,5</w:t>
            </w:r>
          </w:p>
        </w:tc>
      </w:tr>
      <w:tr w:rsidR="003B155E" w:rsidRPr="000A5D99" w14:paraId="1005CD0E" w14:textId="77777777" w:rsidTr="000D79D6">
        <w:trPr>
          <w:trHeight w:val="230"/>
        </w:trPr>
        <w:tc>
          <w:tcPr>
            <w:tcW w:w="1158" w:type="pct"/>
            <w:vMerge/>
            <w:tcBorders>
              <w:top w:val="nil"/>
            </w:tcBorders>
            <w:vAlign w:val="center"/>
          </w:tcPr>
          <w:p w14:paraId="46602CA8"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402" w:type="pct"/>
            <w:vAlign w:val="center"/>
          </w:tcPr>
          <w:p w14:paraId="729E071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Kamyon kabinleri</w:t>
            </w:r>
          </w:p>
        </w:tc>
        <w:tc>
          <w:tcPr>
            <w:tcW w:w="1163" w:type="pct"/>
            <w:vMerge/>
            <w:tcBorders>
              <w:top w:val="nil"/>
            </w:tcBorders>
            <w:vAlign w:val="center"/>
          </w:tcPr>
          <w:p w14:paraId="3381EF71"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277" w:type="pct"/>
            <w:vAlign w:val="center"/>
          </w:tcPr>
          <w:p w14:paraId="1ACB9AF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0,7–3</w:t>
            </w:r>
          </w:p>
        </w:tc>
      </w:tr>
      <w:tr w:rsidR="003B155E" w:rsidRPr="000A5D99" w14:paraId="20DC5F9B" w14:textId="77777777" w:rsidTr="000D79D6">
        <w:trPr>
          <w:trHeight w:val="238"/>
        </w:trPr>
        <w:tc>
          <w:tcPr>
            <w:tcW w:w="1158" w:type="pct"/>
            <w:vMerge/>
            <w:tcBorders>
              <w:top w:val="nil"/>
            </w:tcBorders>
            <w:vAlign w:val="center"/>
          </w:tcPr>
          <w:p w14:paraId="49985034"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402" w:type="pct"/>
            <w:vAlign w:val="center"/>
          </w:tcPr>
          <w:p w14:paraId="7349A49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Kamyonlar</w:t>
            </w:r>
          </w:p>
        </w:tc>
        <w:tc>
          <w:tcPr>
            <w:tcW w:w="1163" w:type="pct"/>
            <w:vMerge/>
            <w:tcBorders>
              <w:top w:val="nil"/>
            </w:tcBorders>
            <w:vAlign w:val="center"/>
          </w:tcPr>
          <w:p w14:paraId="6B3D3768"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277" w:type="pct"/>
            <w:vAlign w:val="center"/>
          </w:tcPr>
          <w:p w14:paraId="2683944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1–5</w:t>
            </w:r>
          </w:p>
        </w:tc>
      </w:tr>
      <w:tr w:rsidR="003B155E" w:rsidRPr="000A5D99" w14:paraId="675C3A8E" w14:textId="77777777" w:rsidTr="000D79D6">
        <w:trPr>
          <w:trHeight w:val="470"/>
        </w:trPr>
        <w:tc>
          <w:tcPr>
            <w:tcW w:w="1158" w:type="pct"/>
            <w:vAlign w:val="center"/>
          </w:tcPr>
          <w:p w14:paraId="414C81C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402" w:type="pct"/>
            <w:vAlign w:val="center"/>
          </w:tcPr>
          <w:p w14:paraId="2F1C2356" w14:textId="77777777" w:rsidR="003B155E" w:rsidRPr="000A5D99" w:rsidRDefault="003B155E" w:rsidP="000D79D6">
            <w:pPr>
              <w:widowControl w:val="0"/>
              <w:tabs>
                <w:tab w:val="left" w:pos="716"/>
                <w:tab w:val="left" w:pos="1436"/>
              </w:tabs>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Çelik ve/veya alüminyum bobinler</w:t>
            </w:r>
          </w:p>
        </w:tc>
        <w:tc>
          <w:tcPr>
            <w:tcW w:w="1163" w:type="pct"/>
            <w:vAlign w:val="center"/>
          </w:tcPr>
          <w:p w14:paraId="658464D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kaplanmış bobin</w:t>
            </w:r>
          </w:p>
        </w:tc>
        <w:tc>
          <w:tcPr>
            <w:tcW w:w="1277" w:type="pct"/>
            <w:vAlign w:val="center"/>
          </w:tcPr>
          <w:p w14:paraId="231E958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0,2–1,3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6FB20EE3" w14:textId="77777777" w:rsidTr="000D79D6">
        <w:trPr>
          <w:trHeight w:val="460"/>
        </w:trPr>
        <w:tc>
          <w:tcPr>
            <w:tcW w:w="1158" w:type="pct"/>
            <w:vAlign w:val="center"/>
          </w:tcPr>
          <w:p w14:paraId="583F4ED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w:t>
            </w:r>
          </w:p>
        </w:tc>
        <w:tc>
          <w:tcPr>
            <w:tcW w:w="1402" w:type="pct"/>
            <w:vAlign w:val="center"/>
          </w:tcPr>
          <w:p w14:paraId="0FC0BEF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İki parçalı DWI içecek kutuları</w:t>
            </w:r>
          </w:p>
        </w:tc>
        <w:tc>
          <w:tcPr>
            <w:tcW w:w="1163" w:type="pct"/>
            <w:vAlign w:val="center"/>
          </w:tcPr>
          <w:p w14:paraId="7069CA7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l/1000 kutu</w:t>
            </w:r>
          </w:p>
        </w:tc>
        <w:tc>
          <w:tcPr>
            <w:tcW w:w="1277" w:type="pct"/>
            <w:vAlign w:val="center"/>
          </w:tcPr>
          <w:p w14:paraId="25880EF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90–110</w:t>
            </w:r>
          </w:p>
        </w:tc>
      </w:tr>
      <w:tr w:rsidR="003B155E" w:rsidRPr="000A5D99" w14:paraId="0BA02A5B" w14:textId="77777777" w:rsidTr="000D79D6">
        <w:trPr>
          <w:trHeight w:val="415"/>
        </w:trPr>
        <w:tc>
          <w:tcPr>
            <w:tcW w:w="5000" w:type="pct"/>
            <w:gridSpan w:val="4"/>
            <w:vAlign w:val="center"/>
          </w:tcPr>
          <w:p w14:paraId="1CF2046A"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i/>
                <w:iCs/>
                <w:sz w:val="20"/>
                <w:szCs w:val="20"/>
              </w:rPr>
            </w:pPr>
            <w:r w:rsidRPr="000A5D99">
              <w:rPr>
                <w:rFonts w:ascii="Times New Roman" w:eastAsia="Times New Roman" w:hAnsi="Times New Roman" w:cs="Times New Roman"/>
                <w:i/>
                <w:iCs/>
                <w:sz w:val="20"/>
                <w:szCs w:val="20"/>
              </w:rPr>
              <w:t>(</w:t>
            </w:r>
            <w:r w:rsidRPr="000A5D99">
              <w:rPr>
                <w:rFonts w:ascii="Times New Roman" w:eastAsia="Times New Roman" w:hAnsi="Times New Roman" w:cs="Times New Roman"/>
                <w:i/>
                <w:iCs/>
                <w:sz w:val="20"/>
                <w:szCs w:val="20"/>
                <w:vertAlign w:val="superscript"/>
              </w:rPr>
              <w:t>1</w:t>
            </w:r>
            <w:r w:rsidRPr="000A5D99">
              <w:rPr>
                <w:rFonts w:ascii="Times New Roman" w:eastAsia="Times New Roman" w:hAnsi="Times New Roman" w:cs="Times New Roman"/>
                <w:i/>
                <w:iCs/>
                <w:sz w:val="20"/>
                <w:szCs w:val="20"/>
              </w:rPr>
              <w:t>) MET-İÇPS, bobin kaplama hattının daha büyük bir üretim tesisinin (örneğin, çelik fabrikası) parçası olduğu veya kombiler için geçerli olmayabilir.</w:t>
            </w:r>
          </w:p>
        </w:tc>
      </w:tr>
    </w:tbl>
    <w:p w14:paraId="1A85A25A"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96283A">
        <w:rPr>
          <w:rFonts w:ascii="Times New Roman" w:eastAsia="Calibri" w:hAnsi="Times New Roman" w:cs="Calibri"/>
          <w:sz w:val="24"/>
          <w:lang w:val="es-ES"/>
        </w:rPr>
        <w:t>MET 20 (a)'da</w:t>
      </w:r>
      <w:r w:rsidRPr="000A5D99">
        <w:rPr>
          <w:rFonts w:ascii="Times New Roman" w:eastAsia="Calibri" w:hAnsi="Times New Roman" w:cs="Calibri"/>
          <w:sz w:val="24"/>
          <w:lang w:val="es-ES"/>
        </w:rPr>
        <w:t xml:space="preserve"> verilmektedir.</w:t>
      </w:r>
    </w:p>
    <w:p w14:paraId="13B22081" w14:textId="77777777" w:rsidR="003B155E" w:rsidRPr="000A5D99" w:rsidRDefault="003B155E" w:rsidP="003B155E">
      <w:pPr>
        <w:keepNext/>
        <w:keepLines/>
        <w:spacing w:before="120" w:after="60" w:line="360" w:lineRule="auto"/>
        <w:ind w:left="810"/>
        <w:jc w:val="both"/>
        <w:outlineLvl w:val="1"/>
        <w:rPr>
          <w:rFonts w:ascii="Times New Roman" w:eastAsia="DengXian Light" w:hAnsi="Times New Roman" w:cs="Microsoft Uighur"/>
          <w:b/>
          <w:sz w:val="24"/>
          <w:szCs w:val="26"/>
          <w:lang w:val="en-US"/>
        </w:rPr>
      </w:pPr>
      <w:bookmarkStart w:id="86" w:name="_Toc137210488"/>
      <w:r w:rsidRPr="000A5D99">
        <w:rPr>
          <w:rFonts w:ascii="Times New Roman" w:eastAsia="DengXian Light" w:hAnsi="Times New Roman" w:cs="Microsoft Uighur"/>
          <w:b/>
          <w:sz w:val="24"/>
          <w:szCs w:val="26"/>
          <w:lang w:val="en-US"/>
        </w:rPr>
        <w:t>Suya emisyonlar</w:t>
      </w:r>
      <w:bookmarkEnd w:id="86"/>
    </w:p>
    <w:p w14:paraId="3395A51E"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21: </w:t>
      </w:r>
      <w:r w:rsidRPr="000A5D99">
        <w:rPr>
          <w:rFonts w:ascii="Times New Roman" w:eastAsia="Calibri" w:hAnsi="Times New Roman" w:cs="Calibri"/>
          <w:sz w:val="24"/>
          <w:lang w:val="en-US"/>
        </w:rPr>
        <w:t>Suya salınan emisyonları azaltmak ve/veya suyun yeniden kullanımını ve sulu işlemlerden (örneğin, yağ giderme, temizleme, yüzey arıtma, ıslak yıkama) geri dönüşümünü kolaylaştırmak için, aşağıda verilen tekniklerin bir kombinasyonu kullanılır.</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2409"/>
        <w:gridCol w:w="4111"/>
        <w:gridCol w:w="2268"/>
      </w:tblGrid>
      <w:tr w:rsidR="003B155E" w:rsidRPr="000A5D99" w14:paraId="359991DC" w14:textId="77777777" w:rsidTr="000D79D6">
        <w:trPr>
          <w:trHeight w:val="460"/>
          <w:tblHeader/>
        </w:trPr>
        <w:tc>
          <w:tcPr>
            <w:tcW w:w="2835" w:type="dxa"/>
            <w:gridSpan w:val="2"/>
            <w:vAlign w:val="center"/>
          </w:tcPr>
          <w:p w14:paraId="0EEC48D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Teknikler</w:t>
            </w:r>
          </w:p>
        </w:tc>
        <w:tc>
          <w:tcPr>
            <w:tcW w:w="4111" w:type="dxa"/>
            <w:vAlign w:val="center"/>
          </w:tcPr>
          <w:p w14:paraId="19B32AE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2268" w:type="dxa"/>
            <w:vAlign w:val="center"/>
          </w:tcPr>
          <w:p w14:paraId="0981049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Hedeflenen tipik kirleticiler</w:t>
            </w:r>
          </w:p>
        </w:tc>
      </w:tr>
      <w:tr w:rsidR="003B155E" w:rsidRPr="000A5D99" w14:paraId="6AEDE219" w14:textId="77777777" w:rsidTr="000D79D6">
        <w:trPr>
          <w:trHeight w:val="230"/>
        </w:trPr>
        <w:tc>
          <w:tcPr>
            <w:tcW w:w="9214" w:type="dxa"/>
            <w:gridSpan w:val="4"/>
            <w:vAlign w:val="center"/>
          </w:tcPr>
          <w:p w14:paraId="5F7D749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Ön, birincil ve genel işleme</w:t>
            </w:r>
          </w:p>
        </w:tc>
      </w:tr>
      <w:tr w:rsidR="003B155E" w:rsidRPr="000A5D99" w14:paraId="55A8147C" w14:textId="77777777" w:rsidTr="000D79D6">
        <w:trPr>
          <w:trHeight w:val="459"/>
        </w:trPr>
        <w:tc>
          <w:tcPr>
            <w:tcW w:w="426" w:type="dxa"/>
            <w:vAlign w:val="center"/>
          </w:tcPr>
          <w:p w14:paraId="4307C9D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2409" w:type="dxa"/>
            <w:vAlign w:val="center"/>
          </w:tcPr>
          <w:p w14:paraId="1CD771E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Dengeleme</w:t>
            </w:r>
          </w:p>
        </w:tc>
        <w:tc>
          <w:tcPr>
            <w:tcW w:w="4111" w:type="dxa"/>
            <w:vAlign w:val="center"/>
          </w:tcPr>
          <w:p w14:paraId="1039B69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Tanklar veya diğer yönetim teknikleri kullanılarak akışların ve kirletici yüklerin dengelenmesidir.</w:t>
            </w:r>
          </w:p>
        </w:tc>
        <w:tc>
          <w:tcPr>
            <w:tcW w:w="2268" w:type="dxa"/>
            <w:vAlign w:val="center"/>
          </w:tcPr>
          <w:p w14:paraId="111E62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Tüm kirleticiler.</w:t>
            </w:r>
          </w:p>
        </w:tc>
      </w:tr>
      <w:tr w:rsidR="003B155E" w:rsidRPr="000A5D99" w14:paraId="5D58212F" w14:textId="77777777" w:rsidTr="000D79D6">
        <w:trPr>
          <w:trHeight w:val="460"/>
        </w:trPr>
        <w:tc>
          <w:tcPr>
            <w:tcW w:w="426" w:type="dxa"/>
            <w:vAlign w:val="center"/>
          </w:tcPr>
          <w:p w14:paraId="2C26BA3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2409" w:type="dxa"/>
            <w:vAlign w:val="center"/>
          </w:tcPr>
          <w:p w14:paraId="64C3337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Nötrleştirme</w:t>
            </w:r>
          </w:p>
        </w:tc>
        <w:tc>
          <w:tcPr>
            <w:tcW w:w="4111" w:type="dxa"/>
            <w:vAlign w:val="center"/>
          </w:tcPr>
          <w:p w14:paraId="2F9A216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Atık suyun pH'ının nötr bir değere ayarlanmasıdır (yaklaşık 7).</w:t>
            </w:r>
          </w:p>
        </w:tc>
        <w:tc>
          <w:tcPr>
            <w:tcW w:w="2268" w:type="dxa"/>
            <w:vAlign w:val="center"/>
          </w:tcPr>
          <w:p w14:paraId="46FFC5E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Asitler, alkaliler.</w:t>
            </w:r>
          </w:p>
        </w:tc>
      </w:tr>
      <w:tr w:rsidR="003B155E" w:rsidRPr="000A5D99" w14:paraId="5ACBC55F" w14:textId="77777777" w:rsidTr="000D79D6">
        <w:trPr>
          <w:trHeight w:val="459"/>
        </w:trPr>
        <w:tc>
          <w:tcPr>
            <w:tcW w:w="426" w:type="dxa"/>
            <w:vAlign w:val="center"/>
          </w:tcPr>
          <w:p w14:paraId="18FDE1F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6520" w:type="dxa"/>
            <w:gridSpan w:val="2"/>
            <w:vAlign w:val="center"/>
          </w:tcPr>
          <w:p w14:paraId="5ED37F8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Örneğin filtreler, elekler, kum ayırıcılar, birincil çökeltme tankları ve manyetik ayırma kullanarak fiziksel ayırma</w:t>
            </w:r>
          </w:p>
        </w:tc>
        <w:tc>
          <w:tcPr>
            <w:tcW w:w="2268" w:type="dxa"/>
            <w:vAlign w:val="center"/>
          </w:tcPr>
          <w:p w14:paraId="72D1197D" w14:textId="77777777" w:rsidR="003B155E" w:rsidRPr="000A5D99" w:rsidRDefault="003B155E" w:rsidP="000D79D6">
            <w:pPr>
              <w:widowControl w:val="0"/>
              <w:tabs>
                <w:tab w:val="left" w:pos="812"/>
                <w:tab w:val="left" w:pos="1568"/>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Büyük katılar, askıda katılar, metal parçacıklar.</w:t>
            </w:r>
          </w:p>
        </w:tc>
      </w:tr>
      <w:tr w:rsidR="003B155E" w:rsidRPr="000A5D99" w14:paraId="31C3156A" w14:textId="77777777" w:rsidTr="000D79D6">
        <w:trPr>
          <w:trHeight w:val="229"/>
        </w:trPr>
        <w:tc>
          <w:tcPr>
            <w:tcW w:w="9214" w:type="dxa"/>
            <w:gridSpan w:val="4"/>
            <w:vAlign w:val="center"/>
          </w:tcPr>
          <w:p w14:paraId="565FBC2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Fiziko-kimyasal işleme</w:t>
            </w:r>
          </w:p>
        </w:tc>
      </w:tr>
      <w:tr w:rsidR="003B155E" w:rsidRPr="000A5D99" w14:paraId="25710AD9" w14:textId="77777777" w:rsidTr="000D79D6">
        <w:trPr>
          <w:trHeight w:val="920"/>
        </w:trPr>
        <w:tc>
          <w:tcPr>
            <w:tcW w:w="426" w:type="dxa"/>
            <w:vAlign w:val="center"/>
          </w:tcPr>
          <w:p w14:paraId="2419622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2409" w:type="dxa"/>
            <w:vAlign w:val="center"/>
          </w:tcPr>
          <w:p w14:paraId="7CD6E8B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Adsorpsiyon</w:t>
            </w:r>
          </w:p>
        </w:tc>
        <w:tc>
          <w:tcPr>
            <w:tcW w:w="4111" w:type="dxa"/>
            <w:vAlign w:val="center"/>
          </w:tcPr>
          <w:p w14:paraId="5BAB05C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Çözünür maddelerin (solventlerin) katı, yüksek oranda gözenekli parçacıkların (genellikle aktif karbon) yüzeyine aktarılarak atık sudan uzaklaştırılmasıdır.</w:t>
            </w:r>
          </w:p>
        </w:tc>
        <w:tc>
          <w:tcPr>
            <w:tcW w:w="2268" w:type="dxa"/>
            <w:vAlign w:val="center"/>
          </w:tcPr>
          <w:p w14:paraId="4B08A364" w14:textId="77777777" w:rsidR="003B155E" w:rsidRPr="000A5D99" w:rsidRDefault="003B155E" w:rsidP="000D79D6">
            <w:pPr>
              <w:widowControl w:val="0"/>
              <w:tabs>
                <w:tab w:val="left" w:pos="2243"/>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Emilebilir çözünmüş biyolojik olarak parçalanamayan veya engelleyici kirleticiler, örneğin, AOX.</w:t>
            </w:r>
          </w:p>
        </w:tc>
      </w:tr>
      <w:tr w:rsidR="003B155E" w:rsidRPr="000A5D99" w14:paraId="03158A80" w14:textId="77777777" w:rsidTr="000D79D6">
        <w:trPr>
          <w:trHeight w:val="918"/>
        </w:trPr>
        <w:tc>
          <w:tcPr>
            <w:tcW w:w="426" w:type="dxa"/>
            <w:vAlign w:val="center"/>
          </w:tcPr>
          <w:p w14:paraId="7CB9E04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2409" w:type="dxa"/>
            <w:vAlign w:val="center"/>
          </w:tcPr>
          <w:p w14:paraId="01DED00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Vakumlu damıtma</w:t>
            </w:r>
          </w:p>
        </w:tc>
        <w:tc>
          <w:tcPr>
            <w:tcW w:w="4111" w:type="dxa"/>
            <w:vAlign w:val="center"/>
          </w:tcPr>
          <w:p w14:paraId="5BDF5F4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basınç altında termal atık su arıtma ile kirleticilerin uzaklaştırılmasıdır.</w:t>
            </w:r>
          </w:p>
        </w:tc>
        <w:tc>
          <w:tcPr>
            <w:tcW w:w="2268" w:type="dxa"/>
            <w:vAlign w:val="center"/>
          </w:tcPr>
          <w:p w14:paraId="2358071C" w14:textId="77777777" w:rsidR="003B155E" w:rsidRPr="000A5D99" w:rsidRDefault="003B155E" w:rsidP="000D79D6">
            <w:pPr>
              <w:widowControl w:val="0"/>
              <w:tabs>
                <w:tab w:val="left" w:pos="2033"/>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Çözünmüş biyolojik olarak parçalanamayan veya damıtılabilen engelleyici kirleticiler, örneğin, bazı solventler.</w:t>
            </w:r>
          </w:p>
        </w:tc>
      </w:tr>
      <w:tr w:rsidR="003B155E" w:rsidRPr="000A5D99" w14:paraId="6C4D9799" w14:textId="77777777" w:rsidTr="000D79D6">
        <w:trPr>
          <w:trHeight w:val="1149"/>
        </w:trPr>
        <w:tc>
          <w:tcPr>
            <w:tcW w:w="426" w:type="dxa"/>
            <w:vAlign w:val="center"/>
          </w:tcPr>
          <w:p w14:paraId="6C6F155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2409" w:type="dxa"/>
            <w:vAlign w:val="center"/>
          </w:tcPr>
          <w:p w14:paraId="7C93417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Çöktürme</w:t>
            </w:r>
          </w:p>
        </w:tc>
        <w:tc>
          <w:tcPr>
            <w:tcW w:w="4111" w:type="dxa"/>
            <w:vAlign w:val="center"/>
          </w:tcPr>
          <w:p w14:paraId="38444BE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Çözünmüş kirleticilerin çökeltici ilave edilerek suda çözünmeyen bileşiklere dönüştürülmesidir. Oluşan katı çökeltiler daha sonra sedimentasyon, yüzdürme veya filtreleme yoluyla ayrılır.</w:t>
            </w:r>
          </w:p>
        </w:tc>
        <w:tc>
          <w:tcPr>
            <w:tcW w:w="2268" w:type="dxa"/>
            <w:vAlign w:val="center"/>
          </w:tcPr>
          <w:p w14:paraId="2F1FA6C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Çökebilir çözünmüş biyolojik olarak parçalanamayan veya engelleyici kirleticiler, örneğin, metaller.</w:t>
            </w:r>
          </w:p>
        </w:tc>
      </w:tr>
      <w:tr w:rsidR="003B155E" w:rsidRPr="000A5D99" w14:paraId="16A28A9C" w14:textId="77777777" w:rsidTr="000D79D6">
        <w:trPr>
          <w:trHeight w:val="992"/>
        </w:trPr>
        <w:tc>
          <w:tcPr>
            <w:tcW w:w="426" w:type="dxa"/>
            <w:vAlign w:val="center"/>
          </w:tcPr>
          <w:p w14:paraId="77BDC61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g</w:t>
            </w:r>
          </w:p>
        </w:tc>
        <w:tc>
          <w:tcPr>
            <w:tcW w:w="2409" w:type="dxa"/>
            <w:vAlign w:val="center"/>
          </w:tcPr>
          <w:p w14:paraId="46651D6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Kimyasal indirgeme</w:t>
            </w:r>
          </w:p>
        </w:tc>
        <w:tc>
          <w:tcPr>
            <w:tcW w:w="4111" w:type="dxa"/>
            <w:vAlign w:val="center"/>
          </w:tcPr>
          <w:p w14:paraId="3026939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Kimyasal indirgeme, kirleticilerin kimyasal indirgeyici maddeler tarafından benzer ancak daha az zararlı veya daha az tehlikeli bileşiklere dönüştürülmesidir.</w:t>
            </w:r>
          </w:p>
        </w:tc>
        <w:tc>
          <w:tcPr>
            <w:tcW w:w="2268" w:type="dxa"/>
            <w:vAlign w:val="center"/>
          </w:tcPr>
          <w:p w14:paraId="52F831F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İndirgenebilir çözünmüş biyolojik olarak parçalanamayan veya engelleyici kirleticiler, örneğin, altı değerlikli krom (Cr(VI)).</w:t>
            </w:r>
          </w:p>
        </w:tc>
      </w:tr>
      <w:tr w:rsidR="003B155E" w:rsidRPr="000A5D99" w14:paraId="142DF252" w14:textId="77777777" w:rsidTr="000D79D6">
        <w:trPr>
          <w:trHeight w:val="1685"/>
        </w:trPr>
        <w:tc>
          <w:tcPr>
            <w:tcW w:w="426" w:type="dxa"/>
            <w:vAlign w:val="center"/>
          </w:tcPr>
          <w:p w14:paraId="74AC320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w:t>
            </w:r>
          </w:p>
        </w:tc>
        <w:tc>
          <w:tcPr>
            <w:tcW w:w="2409" w:type="dxa"/>
            <w:vAlign w:val="center"/>
          </w:tcPr>
          <w:p w14:paraId="0D08089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İyon değişimi</w:t>
            </w:r>
          </w:p>
        </w:tc>
        <w:tc>
          <w:tcPr>
            <w:tcW w:w="4111" w:type="dxa"/>
            <w:vAlign w:val="center"/>
          </w:tcPr>
          <w:p w14:paraId="083E5EC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İyonik kirleticilerin atık sudan tutulması ve bunların bir iyon değişim reçinesi kullanılarak daha kabul edilebilir iyonlarla değiştirilmesidir. Kirleticiler geçici olarak tutulur ve daha sonra bir rejenerasyon veya geri yıkama sıvısına bırakılır.</w:t>
            </w:r>
          </w:p>
        </w:tc>
        <w:tc>
          <w:tcPr>
            <w:tcW w:w="2268" w:type="dxa"/>
            <w:vAlign w:val="center"/>
          </w:tcPr>
          <w:p w14:paraId="5BC79F0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İyonik çözünmüş biyolojik olarak parçalanamayan veya engelleyici kirleticiler, örneğin, metaller.</w:t>
            </w:r>
          </w:p>
        </w:tc>
      </w:tr>
      <w:tr w:rsidR="003B155E" w:rsidRPr="000A5D99" w14:paraId="6359D3BF" w14:textId="77777777" w:rsidTr="000D79D6">
        <w:trPr>
          <w:trHeight w:val="1615"/>
        </w:trPr>
        <w:tc>
          <w:tcPr>
            <w:tcW w:w="426" w:type="dxa"/>
            <w:vAlign w:val="center"/>
          </w:tcPr>
          <w:p w14:paraId="41B5EE8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w:t>
            </w:r>
          </w:p>
        </w:tc>
        <w:tc>
          <w:tcPr>
            <w:tcW w:w="2409" w:type="dxa"/>
            <w:vAlign w:val="center"/>
          </w:tcPr>
          <w:p w14:paraId="7B8CC0D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Sıyırma</w:t>
            </w:r>
          </w:p>
        </w:tc>
        <w:tc>
          <w:tcPr>
            <w:tcW w:w="4111" w:type="dxa"/>
            <w:vAlign w:val="center"/>
          </w:tcPr>
          <w:p w14:paraId="61CE74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Sıvı içinden geçirilen bir gaz fazı (örneğin buhar, azot veya hava) ile sulu fazdan arındırılabilir kirleticilerin uzaklaştırılmasıdır. Uzaklaştırma verimliliği, sıcaklığın artırılması veya basıncın düşürülmesiyle artırılabilir.</w:t>
            </w:r>
          </w:p>
        </w:tc>
        <w:tc>
          <w:tcPr>
            <w:tcW w:w="2268" w:type="dxa"/>
            <w:vAlign w:val="center"/>
          </w:tcPr>
          <w:p w14:paraId="485E43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Temizlenebilir kirleticiler, örneğin, bazı AOX.</w:t>
            </w:r>
          </w:p>
        </w:tc>
      </w:tr>
      <w:tr w:rsidR="003B155E" w:rsidRPr="000A5D99" w14:paraId="62474D46" w14:textId="77777777" w:rsidTr="000D79D6">
        <w:trPr>
          <w:trHeight w:val="230"/>
        </w:trPr>
        <w:tc>
          <w:tcPr>
            <w:tcW w:w="9214" w:type="dxa"/>
            <w:gridSpan w:val="4"/>
            <w:vAlign w:val="center"/>
          </w:tcPr>
          <w:p w14:paraId="081D2CA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Biyolojik işleme</w:t>
            </w:r>
          </w:p>
        </w:tc>
      </w:tr>
      <w:tr w:rsidR="003B155E" w:rsidRPr="000A5D99" w14:paraId="6670E78C" w14:textId="77777777" w:rsidTr="000D79D6">
        <w:trPr>
          <w:trHeight w:val="903"/>
        </w:trPr>
        <w:tc>
          <w:tcPr>
            <w:tcW w:w="426" w:type="dxa"/>
            <w:vAlign w:val="center"/>
          </w:tcPr>
          <w:p w14:paraId="646C564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j</w:t>
            </w:r>
          </w:p>
        </w:tc>
        <w:tc>
          <w:tcPr>
            <w:tcW w:w="2409" w:type="dxa"/>
            <w:vAlign w:val="center"/>
          </w:tcPr>
          <w:p w14:paraId="2B362E6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Biyolojik arıtma</w:t>
            </w:r>
          </w:p>
        </w:tc>
        <w:tc>
          <w:tcPr>
            <w:tcW w:w="4111" w:type="dxa"/>
            <w:vAlign w:val="center"/>
          </w:tcPr>
          <w:p w14:paraId="589E9B4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Atık su arıtımı için mikroorganizmaların kullanımıdır (örneğin anaerobik işleme, aerobik işleme).</w:t>
            </w:r>
          </w:p>
        </w:tc>
        <w:tc>
          <w:tcPr>
            <w:tcW w:w="2268" w:type="dxa"/>
            <w:vAlign w:val="center"/>
          </w:tcPr>
          <w:p w14:paraId="57B8C52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Biyolojik olarak parçalanabilen organik bileşikler.</w:t>
            </w:r>
          </w:p>
        </w:tc>
      </w:tr>
      <w:tr w:rsidR="003B155E" w:rsidRPr="000A5D99" w14:paraId="21F3FB58" w14:textId="77777777" w:rsidTr="000D79D6">
        <w:trPr>
          <w:trHeight w:val="324"/>
        </w:trPr>
        <w:tc>
          <w:tcPr>
            <w:tcW w:w="9214" w:type="dxa"/>
            <w:gridSpan w:val="4"/>
            <w:vAlign w:val="center"/>
          </w:tcPr>
          <w:p w14:paraId="146FD9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Nihai katıların uzaklaştırılması</w:t>
            </w:r>
          </w:p>
        </w:tc>
      </w:tr>
      <w:tr w:rsidR="003B155E" w:rsidRPr="000A5D99" w14:paraId="1B4AA5B5" w14:textId="77777777" w:rsidTr="000D79D6">
        <w:trPr>
          <w:trHeight w:val="283"/>
        </w:trPr>
        <w:tc>
          <w:tcPr>
            <w:tcW w:w="426" w:type="dxa"/>
            <w:vAlign w:val="center"/>
          </w:tcPr>
          <w:p w14:paraId="27FE17E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w:t>
            </w:r>
          </w:p>
        </w:tc>
        <w:tc>
          <w:tcPr>
            <w:tcW w:w="2409" w:type="dxa"/>
            <w:vAlign w:val="center"/>
          </w:tcPr>
          <w:p w14:paraId="59E847A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Koagülasyon ve flokülasyon</w:t>
            </w:r>
          </w:p>
        </w:tc>
        <w:tc>
          <w:tcPr>
            <w:tcW w:w="4111" w:type="dxa"/>
            <w:vAlign w:val="center"/>
          </w:tcPr>
          <w:p w14:paraId="3F1164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Koagülasyon ve flokülasyon, askıda katı maddeleri atık sudan ayırmak için kullanılır ve genellikle ardışık adımlarla gerçekleştirilir. Koagülasyon, askıda katı maddelere zıt yüklere sahip koagülan eklenerek gerçekleştirilir. Flokülasyon, mikroflok partiküllerinin çarpışmalarının daha büyük topaklar üretmek üzere bağlanmalarına neden olacak şekilde yumuşak bir karıştırma aşamasıdır. Polimerler eklenerek desteklenebilir.</w:t>
            </w:r>
          </w:p>
        </w:tc>
        <w:tc>
          <w:tcPr>
            <w:tcW w:w="2268" w:type="dxa"/>
            <w:vMerge w:val="restart"/>
            <w:vAlign w:val="center"/>
          </w:tcPr>
          <w:p w14:paraId="194586A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Askıda katılar ve partiküllere bağlı metaller.</w:t>
            </w:r>
          </w:p>
        </w:tc>
      </w:tr>
      <w:tr w:rsidR="003B155E" w:rsidRPr="000A5D99" w14:paraId="4C34550B" w14:textId="77777777" w:rsidTr="000D79D6">
        <w:trPr>
          <w:trHeight w:val="394"/>
        </w:trPr>
        <w:tc>
          <w:tcPr>
            <w:tcW w:w="426" w:type="dxa"/>
            <w:vAlign w:val="center"/>
          </w:tcPr>
          <w:p w14:paraId="19C3D4B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l</w:t>
            </w:r>
          </w:p>
        </w:tc>
        <w:tc>
          <w:tcPr>
            <w:tcW w:w="2409" w:type="dxa"/>
            <w:vAlign w:val="center"/>
          </w:tcPr>
          <w:p w14:paraId="08C440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Sedimantasyon</w:t>
            </w:r>
          </w:p>
        </w:tc>
        <w:tc>
          <w:tcPr>
            <w:tcW w:w="4111" w:type="dxa"/>
            <w:vAlign w:val="center"/>
          </w:tcPr>
          <w:p w14:paraId="6BF12E2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Askıda parçacıkların yerçekimli çöktürme ile ayrılmasıdır.</w:t>
            </w:r>
          </w:p>
        </w:tc>
        <w:tc>
          <w:tcPr>
            <w:tcW w:w="2268" w:type="dxa"/>
            <w:vMerge/>
            <w:vAlign w:val="center"/>
          </w:tcPr>
          <w:p w14:paraId="1E84155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p>
        </w:tc>
      </w:tr>
      <w:tr w:rsidR="003B155E" w:rsidRPr="000A5D99" w14:paraId="0DE4E627" w14:textId="77777777" w:rsidTr="000D79D6">
        <w:trPr>
          <w:trHeight w:val="1039"/>
        </w:trPr>
        <w:tc>
          <w:tcPr>
            <w:tcW w:w="426" w:type="dxa"/>
            <w:vAlign w:val="center"/>
          </w:tcPr>
          <w:p w14:paraId="0EAF730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m</w:t>
            </w:r>
          </w:p>
        </w:tc>
        <w:tc>
          <w:tcPr>
            <w:tcW w:w="2409" w:type="dxa"/>
            <w:vAlign w:val="center"/>
          </w:tcPr>
          <w:p w14:paraId="7BDD43F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Filtrasyon</w:t>
            </w:r>
          </w:p>
        </w:tc>
        <w:tc>
          <w:tcPr>
            <w:tcW w:w="4111" w:type="dxa"/>
            <w:vAlign w:val="center"/>
          </w:tcPr>
          <w:p w14:paraId="7286165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Katıların gözenekli bir ortamdan, örneğin kum filtrasyonu, nano, mikro ve ultrafiltrasyondan geçirilerek atık sudan ayrılmasıdır.</w:t>
            </w:r>
          </w:p>
        </w:tc>
        <w:tc>
          <w:tcPr>
            <w:tcW w:w="2268" w:type="dxa"/>
            <w:vMerge/>
            <w:vAlign w:val="center"/>
          </w:tcPr>
          <w:p w14:paraId="1D13710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p>
        </w:tc>
      </w:tr>
      <w:tr w:rsidR="003B155E" w:rsidRPr="000A5D99" w14:paraId="3CFB079A" w14:textId="77777777" w:rsidTr="000D79D6">
        <w:trPr>
          <w:trHeight w:val="1266"/>
        </w:trPr>
        <w:tc>
          <w:tcPr>
            <w:tcW w:w="426" w:type="dxa"/>
            <w:vAlign w:val="center"/>
          </w:tcPr>
          <w:p w14:paraId="215E254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n</w:t>
            </w:r>
          </w:p>
        </w:tc>
        <w:tc>
          <w:tcPr>
            <w:tcW w:w="2409" w:type="dxa"/>
            <w:vAlign w:val="center"/>
          </w:tcPr>
          <w:p w14:paraId="33C82C9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Yüzdürme</w:t>
            </w:r>
          </w:p>
        </w:tc>
        <w:tc>
          <w:tcPr>
            <w:tcW w:w="4111" w:type="dxa"/>
            <w:vAlign w:val="center"/>
          </w:tcPr>
          <w:p w14:paraId="21629D7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Katı veya sıvı parçacıkların, genellikle hava olmak üzere ince gaz kabarcıklarına bağlanarak atık sudan ayrılmasıdır. Yüzer parçacıklar su yüzeyinde birikir ve sıyırıcılar ile toplanır.</w:t>
            </w:r>
          </w:p>
        </w:tc>
        <w:tc>
          <w:tcPr>
            <w:tcW w:w="2268" w:type="dxa"/>
            <w:vMerge/>
            <w:vAlign w:val="center"/>
          </w:tcPr>
          <w:p w14:paraId="5F40334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p>
        </w:tc>
      </w:tr>
    </w:tbl>
    <w:p w14:paraId="055F6143"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n-US"/>
        </w:rPr>
      </w:pPr>
      <w:r w:rsidRPr="000A5D99">
        <w:rPr>
          <w:rFonts w:ascii="Times New Roman" w:eastAsia="Calibri" w:hAnsi="Times New Roman" w:cs="Calibri"/>
          <w:bCs/>
          <w:i/>
          <w:color w:val="000000"/>
          <w:sz w:val="24"/>
          <w:szCs w:val="24"/>
          <w:lang w:val="en-US"/>
        </w:rPr>
        <w:t>Tablo 5</w:t>
      </w:r>
    </w:p>
    <w:p w14:paraId="48B397A6" w14:textId="77777777" w:rsidR="00541520" w:rsidRDefault="00541520" w:rsidP="003B155E">
      <w:pPr>
        <w:spacing w:before="240" w:after="0" w:line="360" w:lineRule="auto"/>
        <w:jc w:val="center"/>
        <w:rPr>
          <w:rFonts w:ascii="Times New Roman" w:eastAsia="Calibri" w:hAnsi="Times New Roman" w:cs="Calibri"/>
          <w:b/>
          <w:iCs/>
          <w:color w:val="000000"/>
          <w:sz w:val="24"/>
          <w:szCs w:val="24"/>
          <w:lang w:val="en-US"/>
        </w:rPr>
      </w:pPr>
    </w:p>
    <w:p w14:paraId="3722F14D" w14:textId="515F1BA0"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n-US"/>
        </w:rPr>
      </w:pPr>
      <w:r w:rsidRPr="000A5D99">
        <w:rPr>
          <w:rFonts w:ascii="Times New Roman" w:eastAsia="Calibri" w:hAnsi="Times New Roman" w:cs="Calibri"/>
          <w:b/>
          <w:iCs/>
          <w:color w:val="000000"/>
          <w:sz w:val="24"/>
          <w:szCs w:val="24"/>
          <w:lang w:val="en-US"/>
        </w:rPr>
        <w:lastRenderedPageBreak/>
        <w:t>Alıcı su ortamına doğrudan deşarj için MET ile ilişkili emisyon seviyeleri (MET-İES’ler)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42"/>
        <w:gridCol w:w="3123"/>
        <w:gridCol w:w="2597"/>
      </w:tblGrid>
      <w:tr w:rsidR="003B155E" w:rsidRPr="000A5D99" w14:paraId="47A2528A" w14:textId="77777777" w:rsidTr="000D79D6">
        <w:trPr>
          <w:trHeight w:val="230"/>
          <w:tblHeader/>
        </w:trPr>
        <w:tc>
          <w:tcPr>
            <w:tcW w:w="1844" w:type="pct"/>
            <w:vAlign w:val="center"/>
          </w:tcPr>
          <w:p w14:paraId="528FE60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Madde/Parametre</w:t>
            </w:r>
          </w:p>
        </w:tc>
        <w:tc>
          <w:tcPr>
            <w:tcW w:w="1723" w:type="pct"/>
            <w:vAlign w:val="center"/>
          </w:tcPr>
          <w:p w14:paraId="75783FD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w:t>
            </w:r>
          </w:p>
        </w:tc>
        <w:tc>
          <w:tcPr>
            <w:tcW w:w="1433" w:type="pct"/>
            <w:vAlign w:val="center"/>
          </w:tcPr>
          <w:p w14:paraId="21369FE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p>
        </w:tc>
      </w:tr>
      <w:tr w:rsidR="003B155E" w:rsidRPr="000A5D99" w14:paraId="09C425F0" w14:textId="77777777" w:rsidTr="000D79D6">
        <w:trPr>
          <w:trHeight w:val="230"/>
        </w:trPr>
        <w:tc>
          <w:tcPr>
            <w:tcW w:w="1844" w:type="pct"/>
            <w:vAlign w:val="center"/>
          </w:tcPr>
          <w:p w14:paraId="3945533F" w14:textId="77777777" w:rsidR="003B155E" w:rsidRPr="000A5D99" w:rsidRDefault="003B155E" w:rsidP="000D79D6">
            <w:pPr>
              <w:widowControl w:val="0"/>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 xml:space="preserve"> AKM</w:t>
            </w:r>
          </w:p>
        </w:tc>
        <w:tc>
          <w:tcPr>
            <w:tcW w:w="1723" w:type="pct"/>
            <w:vMerge w:val="restart"/>
            <w:vAlign w:val="center"/>
          </w:tcPr>
          <w:p w14:paraId="33976CE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 xml:space="preserve">Araç kaplama </w:t>
            </w:r>
          </w:p>
          <w:p w14:paraId="533AC685"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Bobin kaplama</w:t>
            </w:r>
          </w:p>
          <w:p w14:paraId="10DEB0EA" w14:textId="77777777" w:rsidR="003B155E" w:rsidRPr="000A5D99" w:rsidRDefault="003B155E" w:rsidP="000D79D6">
            <w:pPr>
              <w:widowControl w:val="0"/>
              <w:autoSpaceDE w:val="0"/>
              <w:autoSpaceDN w:val="0"/>
              <w:spacing w:after="0" w:line="240" w:lineRule="auto"/>
              <w:ind w:left="74" w:right="74" w:firstLine="1"/>
              <w:jc w:val="both"/>
              <w:rPr>
                <w:rFonts w:ascii="Times New Roman" w:eastAsia="Times New Roman" w:hAnsi="Times New Roman" w:cs="Times New Roman"/>
              </w:rPr>
            </w:pPr>
            <w:r w:rsidRPr="000A5D99">
              <w:rPr>
                <w:rFonts w:ascii="Times New Roman" w:eastAsia="Times New Roman" w:hAnsi="Times New Roman" w:cs="Times New Roman"/>
              </w:rPr>
              <w:t>Metal ambalajların kaplanması ve basılması (yalnızca DWI kutular için)</w:t>
            </w:r>
          </w:p>
        </w:tc>
        <w:tc>
          <w:tcPr>
            <w:tcW w:w="1433" w:type="pct"/>
            <w:vAlign w:val="center"/>
          </w:tcPr>
          <w:p w14:paraId="4A35B74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5–30 mg/l</w:t>
            </w:r>
          </w:p>
        </w:tc>
      </w:tr>
      <w:tr w:rsidR="003B155E" w:rsidRPr="000A5D99" w14:paraId="20AEC758" w14:textId="77777777" w:rsidTr="000D79D6">
        <w:trPr>
          <w:trHeight w:val="230"/>
        </w:trPr>
        <w:tc>
          <w:tcPr>
            <w:tcW w:w="1844" w:type="pct"/>
            <w:vAlign w:val="center"/>
          </w:tcPr>
          <w:p w14:paraId="44F01C30" w14:textId="77777777" w:rsidR="003B155E" w:rsidRPr="000A5D99" w:rsidRDefault="003B155E" w:rsidP="000D79D6">
            <w:pPr>
              <w:widowControl w:val="0"/>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 xml:space="preserve"> KOİ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c>
          <w:tcPr>
            <w:tcW w:w="1723" w:type="pct"/>
            <w:vMerge/>
            <w:tcBorders>
              <w:top w:val="nil"/>
            </w:tcBorders>
            <w:vAlign w:val="center"/>
          </w:tcPr>
          <w:p w14:paraId="4A763986"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433" w:type="pct"/>
            <w:vAlign w:val="center"/>
          </w:tcPr>
          <w:p w14:paraId="3489AC9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30–150 mg/l</w:t>
            </w:r>
          </w:p>
        </w:tc>
      </w:tr>
      <w:tr w:rsidR="003B155E" w:rsidRPr="000A5D99" w14:paraId="369C82C2" w14:textId="77777777" w:rsidTr="000D79D6">
        <w:trPr>
          <w:trHeight w:val="460"/>
        </w:trPr>
        <w:tc>
          <w:tcPr>
            <w:tcW w:w="1844" w:type="pct"/>
            <w:vAlign w:val="center"/>
          </w:tcPr>
          <w:p w14:paraId="6C222E11" w14:textId="77777777" w:rsidR="003B155E" w:rsidRPr="000A5D99" w:rsidRDefault="003B155E" w:rsidP="000D79D6">
            <w:pPr>
              <w:widowControl w:val="0"/>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 xml:space="preserve"> AOX</w:t>
            </w:r>
          </w:p>
        </w:tc>
        <w:tc>
          <w:tcPr>
            <w:tcW w:w="1723" w:type="pct"/>
            <w:vMerge/>
            <w:tcBorders>
              <w:top w:val="nil"/>
            </w:tcBorders>
            <w:vAlign w:val="center"/>
          </w:tcPr>
          <w:p w14:paraId="764E3DBB"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433" w:type="pct"/>
            <w:vAlign w:val="center"/>
          </w:tcPr>
          <w:p w14:paraId="32A31D0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0,1–0,4 mg/l</w:t>
            </w:r>
          </w:p>
        </w:tc>
      </w:tr>
      <w:tr w:rsidR="003B155E" w:rsidRPr="000A5D99" w14:paraId="17CBE46C" w14:textId="77777777" w:rsidTr="000D79D6">
        <w:trPr>
          <w:trHeight w:val="230"/>
        </w:trPr>
        <w:tc>
          <w:tcPr>
            <w:tcW w:w="1844" w:type="pct"/>
            <w:vAlign w:val="center"/>
          </w:tcPr>
          <w:p w14:paraId="2D512CB0"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Florür (F</w:t>
            </w:r>
            <w:r w:rsidRPr="000A5D99">
              <w:rPr>
                <w:rFonts w:ascii="Times New Roman" w:eastAsia="Times New Roman" w:hAnsi="Times New Roman" w:cs="Times New Roman"/>
                <w:vertAlign w:val="superscript"/>
              </w:rPr>
              <w:t>-</w:t>
            </w:r>
            <w:r w:rsidRPr="000A5D99">
              <w:rPr>
                <w:rFonts w:ascii="Times New Roman" w:eastAsia="Times New Roman" w:hAnsi="Times New Roman" w:cs="Times New Roman"/>
              </w:rPr>
              <w:t>)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1723" w:type="pct"/>
            <w:vMerge/>
            <w:tcBorders>
              <w:top w:val="nil"/>
            </w:tcBorders>
            <w:vAlign w:val="center"/>
          </w:tcPr>
          <w:p w14:paraId="1E2C181B"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433" w:type="pct"/>
            <w:vAlign w:val="center"/>
          </w:tcPr>
          <w:p w14:paraId="1CA5982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2–25 mg/l</w:t>
            </w:r>
          </w:p>
        </w:tc>
      </w:tr>
      <w:tr w:rsidR="003B155E" w:rsidRPr="000A5D99" w14:paraId="2A1FBB84" w14:textId="77777777" w:rsidTr="000D79D6">
        <w:trPr>
          <w:trHeight w:val="230"/>
        </w:trPr>
        <w:tc>
          <w:tcPr>
            <w:tcW w:w="1844" w:type="pct"/>
            <w:vAlign w:val="center"/>
          </w:tcPr>
          <w:p w14:paraId="0406B032"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Nikel (Ni olarak ifade edilir)</w:t>
            </w:r>
          </w:p>
        </w:tc>
        <w:tc>
          <w:tcPr>
            <w:tcW w:w="1723" w:type="pct"/>
            <w:vMerge w:val="restart"/>
            <w:vAlign w:val="center"/>
          </w:tcPr>
          <w:p w14:paraId="0FA2210B" w14:textId="77777777" w:rsidR="003B155E" w:rsidRPr="000A5D99" w:rsidRDefault="003B155E" w:rsidP="000D79D6">
            <w:pPr>
              <w:widowControl w:val="0"/>
              <w:autoSpaceDE w:val="0"/>
              <w:autoSpaceDN w:val="0"/>
              <w:spacing w:after="0" w:line="240" w:lineRule="auto"/>
              <w:ind w:left="361" w:right="74" w:hanging="287"/>
              <w:jc w:val="both"/>
              <w:rPr>
                <w:rFonts w:ascii="Times New Roman" w:eastAsia="Times New Roman" w:hAnsi="Times New Roman" w:cs="Times New Roman"/>
              </w:rPr>
            </w:pPr>
            <w:r w:rsidRPr="000A5D99">
              <w:rPr>
                <w:rFonts w:ascii="Times New Roman" w:eastAsia="Times New Roman" w:hAnsi="Times New Roman" w:cs="Times New Roman"/>
              </w:rPr>
              <w:t>Araç kaplama Bobin kaplama</w:t>
            </w:r>
          </w:p>
        </w:tc>
        <w:tc>
          <w:tcPr>
            <w:tcW w:w="1433" w:type="pct"/>
            <w:vAlign w:val="center"/>
          </w:tcPr>
          <w:p w14:paraId="59DA634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0,05–0,4 mg/l</w:t>
            </w:r>
          </w:p>
        </w:tc>
      </w:tr>
      <w:tr w:rsidR="003B155E" w:rsidRPr="000A5D99" w14:paraId="3F8B9007" w14:textId="77777777" w:rsidTr="000D79D6">
        <w:trPr>
          <w:trHeight w:val="230"/>
        </w:trPr>
        <w:tc>
          <w:tcPr>
            <w:tcW w:w="1844" w:type="pct"/>
            <w:vAlign w:val="center"/>
          </w:tcPr>
          <w:p w14:paraId="1E69822F"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Çinko (Zn olarak ifade edilir)</w:t>
            </w:r>
          </w:p>
        </w:tc>
        <w:tc>
          <w:tcPr>
            <w:tcW w:w="1723" w:type="pct"/>
            <w:vMerge/>
            <w:tcBorders>
              <w:top w:val="nil"/>
            </w:tcBorders>
            <w:vAlign w:val="center"/>
          </w:tcPr>
          <w:p w14:paraId="50B406A3" w14:textId="77777777" w:rsidR="003B155E" w:rsidRPr="000A5D99" w:rsidRDefault="003B155E" w:rsidP="000D79D6">
            <w:pPr>
              <w:spacing w:after="0" w:line="240" w:lineRule="auto"/>
              <w:ind w:left="74" w:right="74"/>
              <w:jc w:val="both"/>
              <w:rPr>
                <w:rFonts w:ascii="Times New Roman" w:eastAsia="Calibri" w:hAnsi="Times New Roman" w:cs="Times New Roman"/>
                <w:lang w:val="es-ES"/>
              </w:rPr>
            </w:pPr>
          </w:p>
        </w:tc>
        <w:tc>
          <w:tcPr>
            <w:tcW w:w="1433" w:type="pct"/>
            <w:vAlign w:val="center"/>
          </w:tcPr>
          <w:p w14:paraId="256F729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0,05-0,6 mg/l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p>
        </w:tc>
      </w:tr>
      <w:tr w:rsidR="003B155E" w:rsidRPr="000A5D99" w14:paraId="7D6A1183" w14:textId="77777777" w:rsidTr="000D79D6">
        <w:trPr>
          <w:trHeight w:val="459"/>
        </w:trPr>
        <w:tc>
          <w:tcPr>
            <w:tcW w:w="1844" w:type="pct"/>
            <w:vAlign w:val="center"/>
          </w:tcPr>
          <w:p w14:paraId="68212479"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Toplam krom (Cr olarak ifade edilir) (</w:t>
            </w:r>
            <w:r w:rsidRPr="000A5D99">
              <w:rPr>
                <w:rFonts w:ascii="Times New Roman" w:eastAsia="Times New Roman" w:hAnsi="Times New Roman" w:cs="Times New Roman"/>
                <w:vertAlign w:val="superscript"/>
              </w:rPr>
              <w:t>5</w:t>
            </w:r>
            <w:r w:rsidRPr="000A5D99">
              <w:rPr>
                <w:rFonts w:ascii="Times New Roman" w:eastAsia="Times New Roman" w:hAnsi="Times New Roman" w:cs="Times New Roman"/>
              </w:rPr>
              <w:t>)</w:t>
            </w:r>
          </w:p>
        </w:tc>
        <w:tc>
          <w:tcPr>
            <w:tcW w:w="1723" w:type="pct"/>
            <w:vMerge w:val="restart"/>
            <w:vAlign w:val="center"/>
          </w:tcPr>
          <w:p w14:paraId="5A811E2E" w14:textId="77777777" w:rsidR="003B155E" w:rsidRPr="000A5D99" w:rsidRDefault="003B155E" w:rsidP="000D79D6">
            <w:pPr>
              <w:widowControl w:val="0"/>
              <w:autoSpaceDE w:val="0"/>
              <w:autoSpaceDN w:val="0"/>
              <w:spacing w:after="0" w:line="240" w:lineRule="auto"/>
              <w:ind w:left="322" w:right="74" w:hanging="248"/>
              <w:jc w:val="both"/>
              <w:rPr>
                <w:rFonts w:ascii="Times New Roman" w:eastAsia="Times New Roman" w:hAnsi="Times New Roman" w:cs="Times New Roman"/>
              </w:rPr>
            </w:pPr>
            <w:r w:rsidRPr="000A5D99">
              <w:rPr>
                <w:rFonts w:ascii="Times New Roman" w:eastAsia="Times New Roman" w:hAnsi="Times New Roman" w:cs="Times New Roman"/>
              </w:rPr>
              <w:t xml:space="preserve">Uçak kaplama </w:t>
            </w:r>
          </w:p>
          <w:p w14:paraId="266FBDF4" w14:textId="77777777" w:rsidR="003B155E" w:rsidRPr="000A5D99" w:rsidRDefault="003B155E" w:rsidP="000D79D6">
            <w:pPr>
              <w:widowControl w:val="0"/>
              <w:autoSpaceDE w:val="0"/>
              <w:autoSpaceDN w:val="0"/>
              <w:spacing w:after="0" w:line="240" w:lineRule="auto"/>
              <w:ind w:left="322" w:right="74" w:hanging="248"/>
              <w:jc w:val="both"/>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433" w:type="pct"/>
            <w:vAlign w:val="center"/>
          </w:tcPr>
          <w:p w14:paraId="27D6FB0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0,01–0,15 mg/l</w:t>
            </w:r>
          </w:p>
        </w:tc>
      </w:tr>
      <w:tr w:rsidR="003B155E" w:rsidRPr="000A5D99" w14:paraId="666E8844" w14:textId="77777777" w:rsidTr="000D79D6">
        <w:trPr>
          <w:trHeight w:val="459"/>
        </w:trPr>
        <w:tc>
          <w:tcPr>
            <w:tcW w:w="1844" w:type="pct"/>
            <w:vAlign w:val="center"/>
          </w:tcPr>
          <w:p w14:paraId="692ECF17"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Altı değerlikli krom (Cr (VI) olarak ifade edilir) (</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723" w:type="pct"/>
            <w:vMerge/>
            <w:tcBorders>
              <w:top w:val="nil"/>
            </w:tcBorders>
            <w:vAlign w:val="center"/>
          </w:tcPr>
          <w:p w14:paraId="43CB92FA" w14:textId="77777777" w:rsidR="003B155E" w:rsidRPr="00EE5089" w:rsidRDefault="003B155E" w:rsidP="000D79D6">
            <w:pPr>
              <w:spacing w:after="0" w:line="240" w:lineRule="auto"/>
              <w:ind w:left="74" w:right="74"/>
              <w:jc w:val="center"/>
              <w:rPr>
                <w:rFonts w:ascii="Times New Roman" w:eastAsia="Calibri" w:hAnsi="Times New Roman" w:cs="Times New Roman"/>
              </w:rPr>
            </w:pPr>
          </w:p>
        </w:tc>
        <w:tc>
          <w:tcPr>
            <w:tcW w:w="1433" w:type="pct"/>
            <w:vAlign w:val="center"/>
          </w:tcPr>
          <w:p w14:paraId="73D250B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0,01–0,05 mg/l</w:t>
            </w:r>
          </w:p>
        </w:tc>
      </w:tr>
      <w:tr w:rsidR="003B155E" w:rsidRPr="000A5D99" w14:paraId="10699DA0" w14:textId="77777777" w:rsidTr="000D79D6">
        <w:trPr>
          <w:trHeight w:val="2528"/>
        </w:trPr>
        <w:tc>
          <w:tcPr>
            <w:tcW w:w="5000" w:type="pct"/>
            <w:gridSpan w:val="3"/>
            <w:vAlign w:val="center"/>
          </w:tcPr>
          <w:p w14:paraId="396E7D2F" w14:textId="77777777" w:rsidR="003B155E" w:rsidRPr="00A83441" w:rsidRDefault="003B155E" w:rsidP="003B155E">
            <w:pPr>
              <w:widowControl w:val="0"/>
              <w:numPr>
                <w:ilvl w:val="0"/>
                <w:numId w:val="135"/>
              </w:numPr>
              <w:tabs>
                <w:tab w:val="left" w:pos="342"/>
              </w:tabs>
              <w:autoSpaceDE w:val="0"/>
              <w:autoSpaceDN w:val="0"/>
              <w:spacing w:after="0" w:line="240" w:lineRule="auto"/>
              <w:ind w:left="300" w:right="74"/>
              <w:jc w:val="both"/>
              <w:rPr>
                <w:rFonts w:ascii="Times New Roman" w:eastAsia="Times New Roman" w:hAnsi="Times New Roman" w:cs="Times New Roman"/>
                <w:i/>
                <w:iCs/>
                <w:sz w:val="20"/>
                <w:szCs w:val="20"/>
              </w:rPr>
            </w:pPr>
            <w:r w:rsidRPr="00A83441">
              <w:rPr>
                <w:rFonts w:ascii="Times New Roman" w:eastAsia="Times New Roman" w:hAnsi="Times New Roman" w:cs="Times New Roman"/>
                <w:i/>
                <w:iCs/>
                <w:sz w:val="20"/>
                <w:szCs w:val="20"/>
              </w:rPr>
              <w:t>Ortalama süre genel hususlarda verilmiştir.</w:t>
            </w:r>
          </w:p>
          <w:p w14:paraId="5EC53DCD" w14:textId="77777777" w:rsidR="003B155E" w:rsidRPr="00A83441" w:rsidRDefault="003B155E" w:rsidP="003B155E">
            <w:pPr>
              <w:widowControl w:val="0"/>
              <w:numPr>
                <w:ilvl w:val="0"/>
                <w:numId w:val="135"/>
              </w:numPr>
              <w:tabs>
                <w:tab w:val="left" w:pos="354"/>
              </w:tabs>
              <w:autoSpaceDE w:val="0"/>
              <w:autoSpaceDN w:val="0"/>
              <w:spacing w:after="0" w:line="240" w:lineRule="auto"/>
              <w:ind w:left="302" w:right="74" w:hanging="228"/>
              <w:jc w:val="both"/>
              <w:rPr>
                <w:rFonts w:ascii="Times New Roman" w:eastAsia="Times New Roman" w:hAnsi="Times New Roman" w:cs="Times New Roman"/>
                <w:i/>
                <w:iCs/>
                <w:sz w:val="20"/>
                <w:szCs w:val="20"/>
              </w:rPr>
            </w:pPr>
            <w:r w:rsidRPr="00A83441">
              <w:rPr>
                <w:rFonts w:ascii="Times New Roman" w:eastAsia="Times New Roman" w:hAnsi="Times New Roman" w:cs="Times New Roman"/>
                <w:i/>
                <w:iCs/>
                <w:sz w:val="20"/>
                <w:szCs w:val="20"/>
              </w:rPr>
              <w:t>KOİ için MET-İES, TOK için bir MET-İES ile değiştirilebilir. KOİ ve TOK arasındaki korelasyon duruma göre belirlenir. TOK izleme çok toksik bileşiklerin kullanımına dayanmadığından TOK için MET-İES tercih edilen seçenektir.</w:t>
            </w:r>
          </w:p>
          <w:p w14:paraId="4FE0D77C" w14:textId="77777777" w:rsidR="003B155E" w:rsidRPr="00A83441" w:rsidRDefault="003B155E" w:rsidP="003B155E">
            <w:pPr>
              <w:widowControl w:val="0"/>
              <w:numPr>
                <w:ilvl w:val="0"/>
                <w:numId w:val="135"/>
              </w:numPr>
              <w:tabs>
                <w:tab w:val="left" w:pos="342"/>
              </w:tabs>
              <w:autoSpaceDE w:val="0"/>
              <w:autoSpaceDN w:val="0"/>
              <w:spacing w:after="0" w:line="240" w:lineRule="auto"/>
              <w:ind w:left="300" w:right="74"/>
              <w:jc w:val="both"/>
              <w:rPr>
                <w:rFonts w:ascii="Times New Roman" w:eastAsia="Times New Roman" w:hAnsi="Times New Roman" w:cs="Times New Roman"/>
                <w:i/>
                <w:iCs/>
                <w:sz w:val="20"/>
                <w:szCs w:val="20"/>
              </w:rPr>
            </w:pPr>
            <w:r w:rsidRPr="00A83441">
              <w:rPr>
                <w:rFonts w:ascii="Times New Roman" w:eastAsia="Times New Roman" w:hAnsi="Times New Roman" w:cs="Times New Roman"/>
                <w:i/>
                <w:iCs/>
                <w:sz w:val="20"/>
                <w:szCs w:val="20"/>
              </w:rPr>
              <w:t>MET-İES, yalnızca işlemlerde flor bileşikleri kullanılıyorsa geçerlidir.</w:t>
            </w:r>
          </w:p>
          <w:p w14:paraId="7FB78D1B" w14:textId="77777777" w:rsidR="003B155E" w:rsidRPr="00A83441" w:rsidRDefault="003B155E" w:rsidP="003B155E">
            <w:pPr>
              <w:widowControl w:val="0"/>
              <w:numPr>
                <w:ilvl w:val="0"/>
                <w:numId w:val="135"/>
              </w:numPr>
              <w:tabs>
                <w:tab w:val="left" w:pos="358"/>
              </w:tabs>
              <w:autoSpaceDE w:val="0"/>
              <w:autoSpaceDN w:val="0"/>
              <w:spacing w:after="0" w:line="240" w:lineRule="auto"/>
              <w:ind w:left="302" w:right="74" w:hanging="228"/>
              <w:jc w:val="both"/>
              <w:rPr>
                <w:rFonts w:ascii="Times New Roman" w:eastAsia="Times New Roman" w:hAnsi="Times New Roman" w:cs="Times New Roman"/>
                <w:i/>
                <w:iCs/>
                <w:sz w:val="20"/>
                <w:szCs w:val="20"/>
              </w:rPr>
            </w:pPr>
            <w:r w:rsidRPr="00A83441">
              <w:rPr>
                <w:rFonts w:ascii="Times New Roman" w:eastAsia="Times New Roman" w:hAnsi="Times New Roman" w:cs="Times New Roman"/>
                <w:i/>
                <w:iCs/>
                <w:sz w:val="20"/>
                <w:szCs w:val="20"/>
              </w:rPr>
              <w:t>MET-İES aralığının üst sınırı, çinko içeren alt tabakalar veya çinko kullanılarak ön işleme tabi tutulmuş alt tabakalar durumunda 1 mg/l olabilir.</w:t>
            </w:r>
          </w:p>
          <w:p w14:paraId="3FAD3593" w14:textId="77777777" w:rsidR="003B155E" w:rsidRPr="00A83441" w:rsidRDefault="003B155E" w:rsidP="003B155E">
            <w:pPr>
              <w:widowControl w:val="0"/>
              <w:numPr>
                <w:ilvl w:val="0"/>
                <w:numId w:val="135"/>
              </w:numPr>
              <w:tabs>
                <w:tab w:val="left" w:pos="342"/>
              </w:tabs>
              <w:autoSpaceDE w:val="0"/>
              <w:autoSpaceDN w:val="0"/>
              <w:spacing w:after="0" w:line="240" w:lineRule="auto"/>
              <w:ind w:left="300" w:right="74"/>
              <w:jc w:val="both"/>
              <w:rPr>
                <w:rFonts w:ascii="Times New Roman" w:eastAsia="Times New Roman" w:hAnsi="Times New Roman" w:cs="Times New Roman"/>
                <w:i/>
                <w:iCs/>
                <w:sz w:val="20"/>
                <w:szCs w:val="20"/>
              </w:rPr>
            </w:pPr>
            <w:r w:rsidRPr="00A83441">
              <w:rPr>
                <w:rFonts w:ascii="Times New Roman" w:eastAsia="Times New Roman" w:hAnsi="Times New Roman" w:cs="Times New Roman"/>
                <w:i/>
                <w:iCs/>
                <w:sz w:val="20"/>
                <w:szCs w:val="20"/>
              </w:rPr>
              <w:t>MET-İES sadece işlemlerde krom bileşikleri kullanılıyorsa geçerlidir.</w:t>
            </w:r>
          </w:p>
          <w:p w14:paraId="72ED307A" w14:textId="77777777" w:rsidR="003B155E" w:rsidRPr="000A5D99" w:rsidRDefault="003B155E" w:rsidP="003B155E">
            <w:pPr>
              <w:widowControl w:val="0"/>
              <w:numPr>
                <w:ilvl w:val="0"/>
                <w:numId w:val="135"/>
              </w:numPr>
              <w:tabs>
                <w:tab w:val="left" w:pos="342"/>
              </w:tabs>
              <w:autoSpaceDE w:val="0"/>
              <w:autoSpaceDN w:val="0"/>
              <w:spacing w:after="0" w:line="240" w:lineRule="auto"/>
              <w:ind w:left="300" w:right="74"/>
              <w:jc w:val="both"/>
              <w:rPr>
                <w:rFonts w:ascii="Times New Roman" w:eastAsia="Times New Roman" w:hAnsi="Times New Roman" w:cs="Times New Roman"/>
                <w:sz w:val="20"/>
                <w:szCs w:val="20"/>
              </w:rPr>
            </w:pPr>
            <w:r w:rsidRPr="00A83441">
              <w:rPr>
                <w:rFonts w:ascii="Times New Roman" w:eastAsia="Times New Roman" w:hAnsi="Times New Roman" w:cs="Times New Roman"/>
                <w:i/>
                <w:iCs/>
                <w:sz w:val="20"/>
                <w:szCs w:val="20"/>
              </w:rPr>
              <w:t>MET-İES sadece işlemlerde krom(VI) bileşikleri kullanılıyorsa geçerlidir.</w:t>
            </w:r>
          </w:p>
        </w:tc>
      </w:tr>
    </w:tbl>
    <w:p w14:paraId="3ED0CCC8"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96283A">
        <w:rPr>
          <w:rFonts w:ascii="Times New Roman" w:eastAsia="Calibri" w:hAnsi="Times New Roman" w:cs="Calibri"/>
          <w:sz w:val="24"/>
          <w:lang w:val="es-ES"/>
        </w:rPr>
        <w:t>MET 12'de</w:t>
      </w:r>
      <w:r w:rsidRPr="000A5D99">
        <w:rPr>
          <w:rFonts w:ascii="Times New Roman" w:eastAsia="Calibri" w:hAnsi="Times New Roman" w:cs="Calibri"/>
          <w:sz w:val="24"/>
          <w:lang w:val="es-ES"/>
        </w:rPr>
        <w:t xml:space="preserve"> verilmiştir.</w:t>
      </w:r>
    </w:p>
    <w:p w14:paraId="6B4CDD56" w14:textId="77777777" w:rsidR="003B155E" w:rsidRPr="000A5D99" w:rsidRDefault="003B155E" w:rsidP="003B155E">
      <w:pPr>
        <w:spacing w:before="240" w:after="0" w:line="360" w:lineRule="auto"/>
        <w:jc w:val="center"/>
        <w:rPr>
          <w:rFonts w:ascii="Times New Roman" w:eastAsia="Calibri" w:hAnsi="Times New Roman" w:cs="Calibri"/>
          <w:i/>
          <w:iCs/>
          <w:sz w:val="24"/>
          <w:szCs w:val="24"/>
          <w:lang w:val="es-ES"/>
        </w:rPr>
      </w:pPr>
      <w:r w:rsidRPr="000A5D99">
        <w:rPr>
          <w:rFonts w:ascii="Times New Roman" w:eastAsia="Calibri" w:hAnsi="Times New Roman" w:cs="Calibri"/>
          <w:i/>
          <w:iCs/>
          <w:sz w:val="24"/>
          <w:szCs w:val="24"/>
          <w:lang w:val="es-ES"/>
        </w:rPr>
        <w:t>Tablo 6</w:t>
      </w:r>
    </w:p>
    <w:p w14:paraId="7ED40D6C" w14:textId="77777777" w:rsidR="003B155E" w:rsidRPr="000A5D99" w:rsidRDefault="003B155E" w:rsidP="003B155E">
      <w:pPr>
        <w:spacing w:before="240" w:after="0" w:line="360" w:lineRule="auto"/>
        <w:jc w:val="center"/>
        <w:rPr>
          <w:rFonts w:ascii="Times New Roman" w:eastAsia="Calibri" w:hAnsi="Times New Roman" w:cs="Calibri"/>
          <w:b/>
          <w:iCs/>
          <w:color w:val="000000"/>
          <w:sz w:val="20"/>
          <w:szCs w:val="20"/>
          <w:lang w:val="es-ES"/>
        </w:rPr>
      </w:pPr>
      <w:r w:rsidRPr="000A5D99">
        <w:rPr>
          <w:rFonts w:ascii="Times New Roman" w:eastAsia="Calibri" w:hAnsi="Times New Roman" w:cs="Calibri"/>
          <w:b/>
          <w:iCs/>
          <w:color w:val="000000"/>
          <w:sz w:val="24"/>
          <w:szCs w:val="24"/>
          <w:lang w:val="es-ES"/>
        </w:rPr>
        <w:t>Alıcı su kütlesine dolaylı boşaltım için MET ile ilişkili emisyon seviyeleri (MET-İES’ler)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42"/>
        <w:gridCol w:w="3123"/>
        <w:gridCol w:w="2597"/>
      </w:tblGrid>
      <w:tr w:rsidR="003B155E" w:rsidRPr="000A5D99" w14:paraId="3A24E519" w14:textId="77777777" w:rsidTr="000D79D6">
        <w:trPr>
          <w:trHeight w:val="230"/>
          <w:tblHeader/>
        </w:trPr>
        <w:tc>
          <w:tcPr>
            <w:tcW w:w="1844" w:type="pct"/>
            <w:vAlign w:val="center"/>
          </w:tcPr>
          <w:p w14:paraId="2813D8B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Madde/Parametre</w:t>
            </w:r>
          </w:p>
        </w:tc>
        <w:tc>
          <w:tcPr>
            <w:tcW w:w="1723" w:type="pct"/>
            <w:vAlign w:val="center"/>
          </w:tcPr>
          <w:p w14:paraId="1C6D3D9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Sektör</w:t>
            </w:r>
          </w:p>
        </w:tc>
        <w:tc>
          <w:tcPr>
            <w:tcW w:w="1433" w:type="pct"/>
            <w:vAlign w:val="center"/>
          </w:tcPr>
          <w:p w14:paraId="25E0BFA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r w:rsidRPr="000A5D99">
              <w:rPr>
                <w:rFonts w:ascii="Times New Roman" w:eastAsia="Times New Roman" w:hAnsi="Times New Roman" w:cs="Times New Roman"/>
                <w:b/>
                <w:vertAlign w:val="superscript"/>
              </w:rPr>
              <w:t>2</w:t>
            </w:r>
            <w:r w:rsidRPr="000A5D99">
              <w:rPr>
                <w:rFonts w:ascii="Times New Roman" w:eastAsia="Times New Roman" w:hAnsi="Times New Roman" w:cs="Times New Roman"/>
                <w:b/>
              </w:rPr>
              <w:t>)</w:t>
            </w:r>
          </w:p>
        </w:tc>
      </w:tr>
      <w:tr w:rsidR="003B155E" w:rsidRPr="000A5D99" w14:paraId="00B87D54" w14:textId="77777777" w:rsidTr="000D79D6">
        <w:trPr>
          <w:trHeight w:val="721"/>
        </w:trPr>
        <w:tc>
          <w:tcPr>
            <w:tcW w:w="1844" w:type="pct"/>
            <w:tcBorders>
              <w:bottom w:val="nil"/>
            </w:tcBorders>
            <w:vAlign w:val="center"/>
          </w:tcPr>
          <w:p w14:paraId="3475C6D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AOX</w:t>
            </w:r>
          </w:p>
        </w:tc>
        <w:tc>
          <w:tcPr>
            <w:tcW w:w="1723" w:type="pct"/>
            <w:vMerge w:val="restart"/>
            <w:vAlign w:val="center"/>
          </w:tcPr>
          <w:p w14:paraId="255A59B6"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 xml:space="preserve">Araç kaplama </w:t>
            </w:r>
          </w:p>
          <w:p w14:paraId="16305DA8"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Bobin kaplama</w:t>
            </w:r>
          </w:p>
          <w:p w14:paraId="5885B4E5"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Metal ambalajları kaplama ve baskılama (yalnızca DWI kutular için)</w:t>
            </w:r>
          </w:p>
        </w:tc>
        <w:tc>
          <w:tcPr>
            <w:tcW w:w="1433" w:type="pct"/>
            <w:tcBorders>
              <w:bottom w:val="nil"/>
            </w:tcBorders>
            <w:vAlign w:val="center"/>
          </w:tcPr>
          <w:p w14:paraId="1C799E3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0,1–0,4 mg/l</w:t>
            </w:r>
          </w:p>
        </w:tc>
      </w:tr>
      <w:tr w:rsidR="003B155E" w:rsidRPr="000A5D99" w14:paraId="292E19A2" w14:textId="77777777" w:rsidTr="000D79D6">
        <w:trPr>
          <w:trHeight w:val="87"/>
        </w:trPr>
        <w:tc>
          <w:tcPr>
            <w:tcW w:w="1844" w:type="pct"/>
            <w:tcBorders>
              <w:top w:val="nil"/>
            </w:tcBorders>
            <w:vAlign w:val="center"/>
          </w:tcPr>
          <w:p w14:paraId="40ACB9F6" w14:textId="77777777" w:rsidR="003B155E" w:rsidRPr="000A5D99" w:rsidRDefault="003B155E" w:rsidP="000D79D6">
            <w:pPr>
              <w:widowControl w:val="0"/>
              <w:autoSpaceDE w:val="0"/>
              <w:autoSpaceDN w:val="0"/>
              <w:spacing w:after="0" w:line="240" w:lineRule="auto"/>
              <w:ind w:right="74"/>
              <w:rPr>
                <w:rFonts w:ascii="Times New Roman" w:eastAsia="Times New Roman" w:hAnsi="Times New Roman" w:cs="Times New Roman"/>
              </w:rPr>
            </w:pPr>
          </w:p>
        </w:tc>
        <w:tc>
          <w:tcPr>
            <w:tcW w:w="1723" w:type="pct"/>
            <w:vMerge/>
            <w:vAlign w:val="center"/>
          </w:tcPr>
          <w:p w14:paraId="3D66DFEB"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p>
        </w:tc>
        <w:tc>
          <w:tcPr>
            <w:tcW w:w="1433" w:type="pct"/>
            <w:tcBorders>
              <w:top w:val="nil"/>
            </w:tcBorders>
            <w:vAlign w:val="center"/>
          </w:tcPr>
          <w:p w14:paraId="2EA91F9A" w14:textId="77777777" w:rsidR="003B155E" w:rsidRPr="000A5D99" w:rsidRDefault="003B155E" w:rsidP="000D79D6">
            <w:pPr>
              <w:widowControl w:val="0"/>
              <w:autoSpaceDE w:val="0"/>
              <w:autoSpaceDN w:val="0"/>
              <w:spacing w:after="0" w:line="240" w:lineRule="auto"/>
              <w:ind w:right="74"/>
              <w:rPr>
                <w:rFonts w:ascii="Times New Roman" w:eastAsia="Times New Roman" w:hAnsi="Times New Roman" w:cs="Times New Roman"/>
              </w:rPr>
            </w:pPr>
          </w:p>
        </w:tc>
      </w:tr>
      <w:tr w:rsidR="003B155E" w:rsidRPr="000A5D99" w14:paraId="2A270CDA" w14:textId="77777777" w:rsidTr="000D79D6">
        <w:trPr>
          <w:trHeight w:val="768"/>
        </w:trPr>
        <w:tc>
          <w:tcPr>
            <w:tcW w:w="1844" w:type="pct"/>
            <w:tcBorders>
              <w:bottom w:val="single" w:sz="4" w:space="0" w:color="000000"/>
            </w:tcBorders>
            <w:vAlign w:val="center"/>
          </w:tcPr>
          <w:p w14:paraId="689A28A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Florür (F</w:t>
            </w:r>
            <w:r w:rsidRPr="000A5D99">
              <w:rPr>
                <w:rFonts w:ascii="Times New Roman" w:eastAsia="Times New Roman" w:hAnsi="Times New Roman" w:cs="Times New Roman"/>
                <w:vertAlign w:val="superscript"/>
              </w:rPr>
              <w:t>-</w:t>
            </w:r>
            <w:r w:rsidRPr="000A5D99">
              <w:rPr>
                <w:rFonts w:ascii="Times New Roman" w:eastAsia="Times New Roman" w:hAnsi="Times New Roman" w:cs="Times New Roman"/>
              </w:rPr>
              <w:t>)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1723" w:type="pct"/>
            <w:vMerge/>
            <w:tcBorders>
              <w:bottom w:val="single" w:sz="4" w:space="0" w:color="000000"/>
            </w:tcBorders>
            <w:vAlign w:val="center"/>
          </w:tcPr>
          <w:p w14:paraId="7D166F79"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p>
        </w:tc>
        <w:tc>
          <w:tcPr>
            <w:tcW w:w="1433" w:type="pct"/>
            <w:tcBorders>
              <w:bottom w:val="single" w:sz="4" w:space="0" w:color="000000"/>
            </w:tcBorders>
            <w:vAlign w:val="center"/>
          </w:tcPr>
          <w:p w14:paraId="60BF68D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2–25 mg/l</w:t>
            </w:r>
          </w:p>
        </w:tc>
      </w:tr>
      <w:tr w:rsidR="003B155E" w:rsidRPr="000A5D99" w14:paraId="271EF2E7" w14:textId="77777777" w:rsidTr="000D79D6">
        <w:trPr>
          <w:trHeight w:val="470"/>
        </w:trPr>
        <w:tc>
          <w:tcPr>
            <w:tcW w:w="1844" w:type="pct"/>
            <w:vAlign w:val="center"/>
          </w:tcPr>
          <w:p w14:paraId="3724D8D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Nikel (Ni olarak ifade edilir)</w:t>
            </w:r>
          </w:p>
        </w:tc>
        <w:tc>
          <w:tcPr>
            <w:tcW w:w="1723" w:type="pct"/>
            <w:vMerge w:val="restart"/>
            <w:vAlign w:val="center"/>
          </w:tcPr>
          <w:p w14:paraId="1BA0960A" w14:textId="77777777" w:rsidR="003B155E" w:rsidRPr="000A5D99" w:rsidRDefault="003B155E" w:rsidP="000D79D6">
            <w:pPr>
              <w:widowControl w:val="0"/>
              <w:autoSpaceDE w:val="0"/>
              <w:autoSpaceDN w:val="0"/>
              <w:spacing w:after="0" w:line="240" w:lineRule="auto"/>
              <w:ind w:left="361" w:right="74" w:hanging="287"/>
              <w:jc w:val="both"/>
              <w:rPr>
                <w:rFonts w:ascii="Times New Roman" w:eastAsia="Times New Roman" w:hAnsi="Times New Roman" w:cs="Times New Roman"/>
              </w:rPr>
            </w:pPr>
            <w:r w:rsidRPr="000A5D99">
              <w:rPr>
                <w:rFonts w:ascii="Times New Roman" w:eastAsia="Times New Roman" w:hAnsi="Times New Roman" w:cs="Times New Roman"/>
              </w:rPr>
              <w:t xml:space="preserve">Araç kaplama </w:t>
            </w:r>
          </w:p>
          <w:p w14:paraId="7AA8CBDB" w14:textId="77777777" w:rsidR="003B155E" w:rsidRPr="000A5D99" w:rsidRDefault="003B155E" w:rsidP="000D79D6">
            <w:pPr>
              <w:widowControl w:val="0"/>
              <w:autoSpaceDE w:val="0"/>
              <w:autoSpaceDN w:val="0"/>
              <w:spacing w:after="0" w:line="240" w:lineRule="auto"/>
              <w:ind w:left="361" w:right="74" w:hanging="287"/>
              <w:jc w:val="both"/>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433" w:type="pct"/>
            <w:vAlign w:val="center"/>
          </w:tcPr>
          <w:p w14:paraId="38A182A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0,05–0,4 mg/l</w:t>
            </w:r>
          </w:p>
        </w:tc>
      </w:tr>
      <w:tr w:rsidR="003B155E" w:rsidRPr="000A5D99" w14:paraId="344FE27E" w14:textId="77777777" w:rsidTr="000D79D6">
        <w:trPr>
          <w:trHeight w:val="470"/>
        </w:trPr>
        <w:tc>
          <w:tcPr>
            <w:tcW w:w="1844" w:type="pct"/>
            <w:vAlign w:val="center"/>
          </w:tcPr>
          <w:p w14:paraId="695949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Çinko (Zn olarak ifade edilir)</w:t>
            </w:r>
          </w:p>
        </w:tc>
        <w:tc>
          <w:tcPr>
            <w:tcW w:w="1723" w:type="pct"/>
            <w:vMerge/>
            <w:tcBorders>
              <w:top w:val="nil"/>
            </w:tcBorders>
            <w:vAlign w:val="center"/>
          </w:tcPr>
          <w:p w14:paraId="2161EB2E" w14:textId="77777777" w:rsidR="003B155E" w:rsidRPr="000A5D99" w:rsidRDefault="003B155E" w:rsidP="000D79D6">
            <w:pPr>
              <w:spacing w:after="0" w:line="240" w:lineRule="auto"/>
              <w:ind w:left="74" w:right="74"/>
              <w:jc w:val="both"/>
              <w:rPr>
                <w:rFonts w:ascii="Times New Roman" w:eastAsia="Calibri" w:hAnsi="Times New Roman" w:cs="Times New Roman"/>
                <w:lang w:val="es-ES"/>
              </w:rPr>
            </w:pPr>
          </w:p>
        </w:tc>
        <w:tc>
          <w:tcPr>
            <w:tcW w:w="1433" w:type="pct"/>
            <w:vAlign w:val="center"/>
          </w:tcPr>
          <w:p w14:paraId="448819B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0,05-0,6 mg/l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p>
        </w:tc>
      </w:tr>
      <w:tr w:rsidR="003B155E" w:rsidRPr="000A5D99" w14:paraId="14859D08" w14:textId="77777777" w:rsidTr="000D79D6">
        <w:trPr>
          <w:trHeight w:val="700"/>
        </w:trPr>
        <w:tc>
          <w:tcPr>
            <w:tcW w:w="1844" w:type="pct"/>
            <w:vAlign w:val="center"/>
          </w:tcPr>
          <w:p w14:paraId="77B0C12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Toplam krom (Cr olarak ifade edilir) (</w:t>
            </w:r>
            <w:r w:rsidRPr="000A5D99">
              <w:rPr>
                <w:rFonts w:ascii="Times New Roman" w:eastAsia="Times New Roman" w:hAnsi="Times New Roman" w:cs="Times New Roman"/>
                <w:vertAlign w:val="superscript"/>
              </w:rPr>
              <w:t>5</w:t>
            </w:r>
            <w:r w:rsidRPr="000A5D99">
              <w:rPr>
                <w:rFonts w:ascii="Times New Roman" w:eastAsia="Times New Roman" w:hAnsi="Times New Roman" w:cs="Times New Roman"/>
              </w:rPr>
              <w:t>)</w:t>
            </w:r>
          </w:p>
        </w:tc>
        <w:tc>
          <w:tcPr>
            <w:tcW w:w="1723" w:type="pct"/>
            <w:vMerge w:val="restart"/>
            <w:vAlign w:val="center"/>
          </w:tcPr>
          <w:p w14:paraId="52EEFD03" w14:textId="77777777" w:rsidR="003B155E" w:rsidRPr="000A5D99" w:rsidRDefault="003B155E" w:rsidP="000D79D6">
            <w:pPr>
              <w:widowControl w:val="0"/>
              <w:autoSpaceDE w:val="0"/>
              <w:autoSpaceDN w:val="0"/>
              <w:spacing w:after="0" w:line="240" w:lineRule="auto"/>
              <w:ind w:left="322" w:right="74" w:hanging="248"/>
              <w:jc w:val="both"/>
              <w:rPr>
                <w:rFonts w:ascii="Times New Roman" w:eastAsia="Times New Roman" w:hAnsi="Times New Roman" w:cs="Times New Roman"/>
              </w:rPr>
            </w:pPr>
            <w:r w:rsidRPr="000A5D99">
              <w:rPr>
                <w:rFonts w:ascii="Times New Roman" w:eastAsia="Times New Roman" w:hAnsi="Times New Roman" w:cs="Times New Roman"/>
              </w:rPr>
              <w:t xml:space="preserve">Uçak kaplama </w:t>
            </w:r>
          </w:p>
          <w:p w14:paraId="356D4211" w14:textId="77777777" w:rsidR="003B155E" w:rsidRPr="000A5D99" w:rsidRDefault="003B155E" w:rsidP="000D79D6">
            <w:pPr>
              <w:widowControl w:val="0"/>
              <w:autoSpaceDE w:val="0"/>
              <w:autoSpaceDN w:val="0"/>
              <w:spacing w:after="0" w:line="240" w:lineRule="auto"/>
              <w:ind w:left="322" w:right="74" w:hanging="248"/>
              <w:jc w:val="both"/>
              <w:rPr>
                <w:rFonts w:ascii="Times New Roman" w:eastAsia="Times New Roman" w:hAnsi="Times New Roman" w:cs="Times New Roman"/>
              </w:rPr>
            </w:pPr>
            <w:r w:rsidRPr="000A5D99">
              <w:rPr>
                <w:rFonts w:ascii="Times New Roman" w:eastAsia="Times New Roman" w:hAnsi="Times New Roman" w:cs="Times New Roman"/>
              </w:rPr>
              <w:t>Bobin kaplama</w:t>
            </w:r>
          </w:p>
        </w:tc>
        <w:tc>
          <w:tcPr>
            <w:tcW w:w="1433" w:type="pct"/>
            <w:vAlign w:val="center"/>
          </w:tcPr>
          <w:p w14:paraId="3B8C682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0,01–0,15 mg/l</w:t>
            </w:r>
          </w:p>
        </w:tc>
      </w:tr>
      <w:tr w:rsidR="003B155E" w:rsidRPr="000A5D99" w14:paraId="2F164583" w14:textId="77777777" w:rsidTr="000D79D6">
        <w:trPr>
          <w:trHeight w:val="700"/>
        </w:trPr>
        <w:tc>
          <w:tcPr>
            <w:tcW w:w="1844" w:type="pct"/>
            <w:vAlign w:val="center"/>
          </w:tcPr>
          <w:p w14:paraId="64E5FA1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Altı değerlikli krom (Cr (VI) olarak ifade edilir) (</w:t>
            </w:r>
            <w:r w:rsidRPr="000A5D99">
              <w:rPr>
                <w:rFonts w:ascii="Times New Roman" w:eastAsia="Times New Roman" w:hAnsi="Times New Roman" w:cs="Times New Roman"/>
                <w:vertAlign w:val="superscript"/>
              </w:rPr>
              <w:t>6</w:t>
            </w:r>
            <w:r w:rsidRPr="000A5D99">
              <w:rPr>
                <w:rFonts w:ascii="Times New Roman" w:eastAsia="Times New Roman" w:hAnsi="Times New Roman" w:cs="Times New Roman"/>
              </w:rPr>
              <w:t>)</w:t>
            </w:r>
          </w:p>
        </w:tc>
        <w:tc>
          <w:tcPr>
            <w:tcW w:w="1723" w:type="pct"/>
            <w:vMerge/>
            <w:tcBorders>
              <w:top w:val="nil"/>
            </w:tcBorders>
            <w:vAlign w:val="center"/>
          </w:tcPr>
          <w:p w14:paraId="65B861C7" w14:textId="77777777" w:rsidR="003B155E" w:rsidRPr="00EE5089" w:rsidRDefault="003B155E" w:rsidP="000D79D6">
            <w:pPr>
              <w:spacing w:after="0" w:line="240" w:lineRule="auto"/>
              <w:ind w:left="74" w:right="74"/>
              <w:jc w:val="center"/>
              <w:rPr>
                <w:rFonts w:ascii="Times New Roman" w:eastAsia="Calibri" w:hAnsi="Times New Roman" w:cs="Times New Roman"/>
              </w:rPr>
            </w:pPr>
          </w:p>
        </w:tc>
        <w:tc>
          <w:tcPr>
            <w:tcW w:w="1433" w:type="pct"/>
            <w:vAlign w:val="center"/>
          </w:tcPr>
          <w:p w14:paraId="6D8C012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0,01–0,05 mg/l</w:t>
            </w:r>
          </w:p>
        </w:tc>
      </w:tr>
      <w:tr w:rsidR="003B155E" w:rsidRPr="000A5D99" w14:paraId="121FF811" w14:textId="77777777" w:rsidTr="000D79D6">
        <w:trPr>
          <w:trHeight w:val="1863"/>
        </w:trPr>
        <w:tc>
          <w:tcPr>
            <w:tcW w:w="5000" w:type="pct"/>
            <w:gridSpan w:val="3"/>
            <w:vAlign w:val="center"/>
          </w:tcPr>
          <w:p w14:paraId="0475798D" w14:textId="77777777" w:rsidR="003B155E" w:rsidRPr="0082590D" w:rsidRDefault="003B155E" w:rsidP="003B155E">
            <w:pPr>
              <w:widowControl w:val="0"/>
              <w:numPr>
                <w:ilvl w:val="0"/>
                <w:numId w:val="136"/>
              </w:numPr>
              <w:tabs>
                <w:tab w:val="left" w:pos="387"/>
              </w:tabs>
              <w:autoSpaceDE w:val="0"/>
              <w:autoSpaceDN w:val="0"/>
              <w:spacing w:after="0" w:line="240" w:lineRule="auto"/>
              <w:ind w:left="302" w:right="74" w:hanging="228"/>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lastRenderedPageBreak/>
              <w:t>Mansap atık su arıtma tesisi, çevrede daha yüksek düzeyde kirliliğe yol açmaması koşuluyla, ilgili kirleticileri azaltmak için uygun şekilde tasarlanmış ve donatılmışsa MET-İES’ler geçerli olmayabilir.</w:t>
            </w:r>
          </w:p>
          <w:p w14:paraId="29C4CA39" w14:textId="77777777" w:rsidR="003B155E" w:rsidRPr="0082590D" w:rsidRDefault="003B155E" w:rsidP="003B155E">
            <w:pPr>
              <w:widowControl w:val="0"/>
              <w:numPr>
                <w:ilvl w:val="0"/>
                <w:numId w:val="136"/>
              </w:numPr>
              <w:tabs>
                <w:tab w:val="left" w:pos="342"/>
              </w:tabs>
              <w:autoSpaceDE w:val="0"/>
              <w:autoSpaceDN w:val="0"/>
              <w:spacing w:after="0" w:line="240" w:lineRule="auto"/>
              <w:ind w:left="300" w:right="74" w:hanging="22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Ortalama süre genel hususlarda verilmiştir.</w:t>
            </w:r>
          </w:p>
          <w:p w14:paraId="7D8EC8CA" w14:textId="77777777" w:rsidR="003B155E" w:rsidRPr="0082590D" w:rsidRDefault="003B155E" w:rsidP="003B155E">
            <w:pPr>
              <w:widowControl w:val="0"/>
              <w:numPr>
                <w:ilvl w:val="0"/>
                <w:numId w:val="136"/>
              </w:numPr>
              <w:tabs>
                <w:tab w:val="left" w:pos="342"/>
              </w:tabs>
              <w:autoSpaceDE w:val="0"/>
              <w:autoSpaceDN w:val="0"/>
              <w:spacing w:after="0" w:line="240" w:lineRule="auto"/>
              <w:ind w:left="300" w:right="74" w:hanging="22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yalnızca işlemlerde flor bileşikleri kullanılıyorsa geçerlidir.</w:t>
            </w:r>
          </w:p>
          <w:p w14:paraId="69B9F6A6" w14:textId="77777777" w:rsidR="003B155E" w:rsidRPr="0082590D" w:rsidRDefault="003B155E" w:rsidP="003B155E">
            <w:pPr>
              <w:widowControl w:val="0"/>
              <w:numPr>
                <w:ilvl w:val="0"/>
                <w:numId w:val="136"/>
              </w:numPr>
              <w:tabs>
                <w:tab w:val="left" w:pos="358"/>
              </w:tabs>
              <w:autoSpaceDE w:val="0"/>
              <w:autoSpaceDN w:val="0"/>
              <w:spacing w:after="0" w:line="240" w:lineRule="auto"/>
              <w:ind w:left="302" w:right="74" w:hanging="228"/>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aralığının üst sınırı, çinko içeren alt tabakalar veya çinko kullanılarak ön işleme tabi tutulmuş alt tabakalar durumunda 1 mg/l olabilir.</w:t>
            </w:r>
          </w:p>
          <w:p w14:paraId="1E383585" w14:textId="77777777" w:rsidR="003B155E" w:rsidRPr="0082590D" w:rsidRDefault="003B155E" w:rsidP="003B155E">
            <w:pPr>
              <w:widowControl w:val="0"/>
              <w:numPr>
                <w:ilvl w:val="0"/>
                <w:numId w:val="136"/>
              </w:numPr>
              <w:tabs>
                <w:tab w:val="left" w:pos="342"/>
              </w:tabs>
              <w:autoSpaceDE w:val="0"/>
              <w:autoSpaceDN w:val="0"/>
              <w:spacing w:after="0" w:line="240" w:lineRule="auto"/>
              <w:ind w:left="300" w:right="74" w:hanging="22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sadece işlemlerde krom bileşikleri kullanılıyorsa geçerlidir.</w:t>
            </w:r>
          </w:p>
          <w:p w14:paraId="6D69E26A" w14:textId="77777777" w:rsidR="003B155E" w:rsidRPr="000A5D99" w:rsidRDefault="003B155E" w:rsidP="003B155E">
            <w:pPr>
              <w:widowControl w:val="0"/>
              <w:numPr>
                <w:ilvl w:val="0"/>
                <w:numId w:val="136"/>
              </w:numPr>
              <w:tabs>
                <w:tab w:val="left" w:pos="342"/>
              </w:tabs>
              <w:autoSpaceDE w:val="0"/>
              <w:autoSpaceDN w:val="0"/>
              <w:spacing w:after="0" w:line="240" w:lineRule="auto"/>
              <w:ind w:left="300" w:right="74" w:hanging="226"/>
              <w:jc w:val="both"/>
              <w:rPr>
                <w:rFonts w:ascii="Times New Roman" w:eastAsia="Times New Roman" w:hAnsi="Times New Roman" w:cs="Times New Roman"/>
                <w:i/>
                <w:iCs/>
                <w:sz w:val="20"/>
                <w:szCs w:val="20"/>
              </w:rPr>
            </w:pPr>
            <w:r w:rsidRPr="0082590D">
              <w:rPr>
                <w:rFonts w:ascii="Times New Roman" w:eastAsia="Times New Roman" w:hAnsi="Times New Roman" w:cs="Times New Roman"/>
                <w:sz w:val="20"/>
                <w:szCs w:val="20"/>
              </w:rPr>
              <w:t>MET-İES sadece işlemlerde krom(VI) bileşikleri kullanılıyorsa geçerlidir.</w:t>
            </w:r>
          </w:p>
        </w:tc>
      </w:tr>
    </w:tbl>
    <w:p w14:paraId="6F7C6BE1"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w:t>
      </w:r>
      <w:r w:rsidRPr="0096283A">
        <w:rPr>
          <w:rFonts w:ascii="Times New Roman" w:eastAsia="Calibri" w:hAnsi="Times New Roman" w:cs="Calibri"/>
          <w:sz w:val="24"/>
          <w:lang w:val="es-ES"/>
        </w:rPr>
        <w:t>izleme MET 12'de verilmiştir</w:t>
      </w:r>
      <w:r w:rsidRPr="000A5D99">
        <w:rPr>
          <w:rFonts w:ascii="Times New Roman" w:eastAsia="Calibri" w:hAnsi="Times New Roman" w:cs="Calibri"/>
          <w:sz w:val="24"/>
          <w:lang w:val="es-ES"/>
        </w:rPr>
        <w:t>.</w:t>
      </w:r>
    </w:p>
    <w:p w14:paraId="1343906D" w14:textId="77777777" w:rsidR="003B155E" w:rsidRPr="000A5D99" w:rsidRDefault="003B155E" w:rsidP="003B155E">
      <w:pPr>
        <w:keepNext/>
        <w:keepLines/>
        <w:spacing w:before="120" w:after="60" w:line="360" w:lineRule="auto"/>
        <w:ind w:left="810"/>
        <w:jc w:val="both"/>
        <w:outlineLvl w:val="1"/>
        <w:rPr>
          <w:rFonts w:ascii="Times New Roman" w:eastAsia="DengXian Light" w:hAnsi="Times New Roman" w:cs="Microsoft Uighur"/>
          <w:b/>
          <w:sz w:val="24"/>
          <w:szCs w:val="26"/>
          <w:lang w:val="en-US"/>
        </w:rPr>
      </w:pPr>
      <w:bookmarkStart w:id="87" w:name="_Toc137210489"/>
      <w:r w:rsidRPr="000A5D99">
        <w:rPr>
          <w:rFonts w:ascii="Times New Roman" w:eastAsia="DengXian Light" w:hAnsi="Times New Roman" w:cs="Microsoft Uighur"/>
          <w:b/>
          <w:sz w:val="24"/>
          <w:szCs w:val="26"/>
          <w:lang w:val="en-US"/>
        </w:rPr>
        <w:t>Atık Yönetimi</w:t>
      </w:r>
      <w:bookmarkEnd w:id="87"/>
    </w:p>
    <w:p w14:paraId="2208587A"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b/>
          <w:bCs/>
          <w:sz w:val="24"/>
          <w:lang w:val="en-US"/>
        </w:rPr>
        <w:t xml:space="preserve">MET 22: </w:t>
      </w:r>
      <w:r w:rsidRPr="000A5D99">
        <w:rPr>
          <w:rFonts w:ascii="Times New Roman" w:eastAsia="Calibri" w:hAnsi="Times New Roman" w:cs="Calibri"/>
          <w:sz w:val="24"/>
          <w:lang w:val="en-US"/>
        </w:rPr>
        <w:t>Bertaraf için gönderilen atık miktarını azaltmak amacıyla (a) ve (b) tekniklerinin yanı sıra aşağıda verilen (c) ve (d) tekniklerinden biri veya her ikisi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
        <w:gridCol w:w="2429"/>
        <w:gridCol w:w="6213"/>
      </w:tblGrid>
      <w:tr w:rsidR="003B155E" w:rsidRPr="000A5D99" w14:paraId="03D4F143" w14:textId="77777777" w:rsidTr="000D79D6">
        <w:trPr>
          <w:trHeight w:val="230"/>
        </w:trPr>
        <w:tc>
          <w:tcPr>
            <w:tcW w:w="232" w:type="pct"/>
            <w:tcBorders>
              <w:top w:val="single" w:sz="4" w:space="0" w:color="auto"/>
            </w:tcBorders>
          </w:tcPr>
          <w:p w14:paraId="3537009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tc>
        <w:tc>
          <w:tcPr>
            <w:tcW w:w="1340" w:type="pct"/>
            <w:tcBorders>
              <w:top w:val="single" w:sz="4" w:space="0" w:color="auto"/>
            </w:tcBorders>
          </w:tcPr>
          <w:p w14:paraId="1A1F34A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428" w:type="pct"/>
          </w:tcPr>
          <w:p w14:paraId="3A344F5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r>
      <w:tr w:rsidR="003B155E" w:rsidRPr="000A5D99" w14:paraId="0C4ACB9A" w14:textId="77777777" w:rsidTr="000D79D6">
        <w:trPr>
          <w:trHeight w:val="283"/>
        </w:trPr>
        <w:tc>
          <w:tcPr>
            <w:tcW w:w="232" w:type="pct"/>
            <w:vAlign w:val="center"/>
          </w:tcPr>
          <w:p w14:paraId="1B3848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340" w:type="pct"/>
            <w:vAlign w:val="center"/>
          </w:tcPr>
          <w:p w14:paraId="593C29D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Atık yönetim planı</w:t>
            </w:r>
          </w:p>
        </w:tc>
        <w:tc>
          <w:tcPr>
            <w:tcW w:w="3428" w:type="pct"/>
            <w:vAlign w:val="center"/>
          </w:tcPr>
          <w:p w14:paraId="741EF19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Atık yönetim planı, ÇYS'nin bir parçasıdır (bkz. </w:t>
            </w:r>
            <w:r w:rsidRPr="000A5D99">
              <w:rPr>
                <w:rFonts w:ascii="Times New Roman" w:eastAsia="Times New Roman" w:hAnsi="Times New Roman" w:cs="Times New Roman"/>
                <w:b/>
                <w:bCs/>
              </w:rPr>
              <w:t>MET 1</w:t>
            </w:r>
            <w:r w:rsidRPr="000A5D99">
              <w:rPr>
                <w:rFonts w:ascii="Times New Roman" w:eastAsia="Times New Roman" w:hAnsi="Times New Roman" w:cs="Times New Roman"/>
              </w:rPr>
              <w:t xml:space="preserve">) ve şunları amaçlayan bir dizi önlemdir: </w:t>
            </w:r>
          </w:p>
          <w:p w14:paraId="6226A2F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1) atık oluşumunu en aza indirmeyi, </w:t>
            </w:r>
          </w:p>
          <w:p w14:paraId="7F47B73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2) atığın yeniden kullanımını, yenilenmesini ve/veya geri dönüşümünü ve/veya enerjinin geri kazanımını optimize etmeyi ve </w:t>
            </w:r>
          </w:p>
          <w:p w14:paraId="7D4CF47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3) atığın uygun şekilde bertaraf edilmesini sağlamayı.</w:t>
            </w:r>
          </w:p>
        </w:tc>
      </w:tr>
      <w:tr w:rsidR="003B155E" w:rsidRPr="000A5D99" w14:paraId="46DAA374" w14:textId="77777777" w:rsidTr="000D79D6">
        <w:trPr>
          <w:trHeight w:val="779"/>
        </w:trPr>
        <w:tc>
          <w:tcPr>
            <w:tcW w:w="232" w:type="pct"/>
            <w:vAlign w:val="center"/>
          </w:tcPr>
          <w:p w14:paraId="2C71951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340" w:type="pct"/>
            <w:vAlign w:val="center"/>
          </w:tcPr>
          <w:p w14:paraId="1C72159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Atık miktarlarının izlenmesi</w:t>
            </w:r>
          </w:p>
        </w:tc>
        <w:tc>
          <w:tcPr>
            <w:tcW w:w="3428" w:type="pct"/>
            <w:vAlign w:val="center"/>
          </w:tcPr>
          <w:p w14:paraId="5FB1E63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Her atık türü için üretilen atık miktarlarının yıllık kaydedilmesidirwet s. Atıktaki solvent içeriği, analiz veya hesaplama ile periyodik olarak (en az yılda bir kez) belirlenir.</w:t>
            </w:r>
          </w:p>
        </w:tc>
      </w:tr>
      <w:tr w:rsidR="003B155E" w:rsidRPr="000A5D99" w14:paraId="6149A497" w14:textId="77777777" w:rsidTr="000D79D6">
        <w:trPr>
          <w:trHeight w:val="1177"/>
        </w:trPr>
        <w:tc>
          <w:tcPr>
            <w:tcW w:w="232" w:type="pct"/>
            <w:vAlign w:val="center"/>
          </w:tcPr>
          <w:p w14:paraId="4CBD653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340" w:type="pct"/>
            <w:vAlign w:val="center"/>
          </w:tcPr>
          <w:p w14:paraId="18DFF0A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Solventlerin geri kazanılması/geri dönüştürülmesi</w:t>
            </w:r>
          </w:p>
        </w:tc>
        <w:tc>
          <w:tcPr>
            <w:tcW w:w="3428" w:type="pct"/>
            <w:vAlign w:val="center"/>
          </w:tcPr>
          <w:p w14:paraId="6220071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Teknikler şunları içerebilir:</w:t>
            </w:r>
          </w:p>
          <w:p w14:paraId="01BBED33" w14:textId="77777777" w:rsidR="003B155E" w:rsidRPr="000A5D99" w:rsidRDefault="003B155E" w:rsidP="003B155E">
            <w:pPr>
              <w:widowControl w:val="0"/>
              <w:numPr>
                <w:ilvl w:val="0"/>
                <w:numId w:val="133"/>
              </w:numPr>
              <w:tabs>
                <w:tab w:val="left" w:pos="466"/>
                <w:tab w:val="left" w:pos="467"/>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tesis içinde veya dışında filtrasyon veya damıtma yoluyla sıvı atıklardan solventlerin geri kazanılması/geri dönüştürülmesi;</w:t>
            </w:r>
          </w:p>
          <w:p w14:paraId="21875EB9" w14:textId="77777777" w:rsidR="003B155E" w:rsidRPr="000A5D99" w:rsidRDefault="003B155E" w:rsidP="003B155E">
            <w:pPr>
              <w:widowControl w:val="0"/>
              <w:numPr>
                <w:ilvl w:val="0"/>
                <w:numId w:val="133"/>
              </w:numPr>
              <w:tabs>
                <w:tab w:val="left" w:pos="466"/>
                <w:tab w:val="left" w:pos="467"/>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yerçekimi ile boşaltma, sıkma veya santrifüjleme yoluyla bezlerin solvent içeriğinin geri kazanılması/geri dönüştürülmesi.</w:t>
            </w:r>
          </w:p>
        </w:tc>
      </w:tr>
      <w:tr w:rsidR="003B155E" w:rsidRPr="000A5D99" w14:paraId="2371958F" w14:textId="77777777" w:rsidTr="000D79D6">
        <w:trPr>
          <w:trHeight w:val="2127"/>
        </w:trPr>
        <w:tc>
          <w:tcPr>
            <w:tcW w:w="232" w:type="pct"/>
            <w:vAlign w:val="center"/>
          </w:tcPr>
          <w:p w14:paraId="613C2D5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340" w:type="pct"/>
            <w:vAlign w:val="center"/>
          </w:tcPr>
          <w:p w14:paraId="5CA43F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Atık akışına özgü teknikler</w:t>
            </w:r>
          </w:p>
        </w:tc>
        <w:tc>
          <w:tcPr>
            <w:tcW w:w="3428" w:type="pct"/>
            <w:vAlign w:val="center"/>
          </w:tcPr>
          <w:p w14:paraId="2422ADE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Teknikler şunları içerebilir:</w:t>
            </w:r>
          </w:p>
          <w:p w14:paraId="6176B802" w14:textId="77777777" w:rsidR="003B155E" w:rsidRPr="000A5D99" w:rsidRDefault="003B155E" w:rsidP="003B155E">
            <w:pPr>
              <w:widowControl w:val="0"/>
              <w:numPr>
                <w:ilvl w:val="0"/>
                <w:numId w:val="133"/>
              </w:numPr>
              <w:tabs>
                <w:tab w:val="left" w:pos="466"/>
                <w:tab w:val="left" w:pos="467"/>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 xml:space="preserve">atığın su içeriğinin azaltılması, örneğin çamur </w:t>
            </w:r>
            <w:r w:rsidR="00BA1FD0">
              <w:rPr>
                <w:rFonts w:ascii="Times New Roman" w:eastAsia="Times New Roman" w:hAnsi="Times New Roman" w:cs="Times New Roman"/>
              </w:rPr>
              <w:t>susuzlaştırma</w:t>
            </w:r>
            <w:r w:rsidRPr="000A5D99">
              <w:rPr>
                <w:rFonts w:ascii="Times New Roman" w:eastAsia="Times New Roman" w:hAnsi="Times New Roman" w:cs="Times New Roman"/>
              </w:rPr>
              <w:t xml:space="preserve"> için bir filtre presinin kullanılması;</w:t>
            </w:r>
          </w:p>
          <w:p w14:paraId="227E01F1" w14:textId="77777777" w:rsidR="003B155E" w:rsidRPr="000A5D99" w:rsidRDefault="003B155E" w:rsidP="003B155E">
            <w:pPr>
              <w:widowControl w:val="0"/>
              <w:numPr>
                <w:ilvl w:val="0"/>
                <w:numId w:val="133"/>
              </w:numPr>
              <w:tabs>
                <w:tab w:val="left" w:pos="466"/>
                <w:tab w:val="left" w:pos="467"/>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 xml:space="preserve">örneğin temizleme döngülerinin sayısını azaltarak oluşan çamur ve atık solventlerin azaltılması (bkz. </w:t>
            </w:r>
            <w:r w:rsidRPr="000A5D99">
              <w:rPr>
                <w:rFonts w:ascii="Times New Roman" w:eastAsia="Times New Roman" w:hAnsi="Times New Roman" w:cs="Times New Roman"/>
                <w:b/>
                <w:bCs/>
              </w:rPr>
              <w:t>MET 9</w:t>
            </w:r>
            <w:r w:rsidRPr="000A5D99">
              <w:rPr>
                <w:rFonts w:ascii="Times New Roman" w:eastAsia="Times New Roman" w:hAnsi="Times New Roman" w:cs="Times New Roman"/>
              </w:rPr>
              <w:t>);</w:t>
            </w:r>
          </w:p>
          <w:p w14:paraId="571D2C87" w14:textId="77777777" w:rsidR="003B155E" w:rsidRPr="000A5D99" w:rsidRDefault="003B155E" w:rsidP="003B155E">
            <w:pPr>
              <w:widowControl w:val="0"/>
              <w:numPr>
                <w:ilvl w:val="0"/>
                <w:numId w:val="133"/>
              </w:numPr>
              <w:tabs>
                <w:tab w:val="left" w:pos="466"/>
                <w:tab w:val="left" w:pos="467"/>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 xml:space="preserve">yeniden kullanılabilir konteynerlerin kullanılması, konteynerlerin başka amaçlarla yeniden kullanılması veya konteyner malzemesinin geri </w:t>
            </w:r>
            <w:r w:rsidR="00BA1FD0">
              <w:rPr>
                <w:rFonts w:ascii="Times New Roman" w:eastAsia="Times New Roman" w:hAnsi="Times New Roman" w:cs="Times New Roman"/>
              </w:rPr>
              <w:t>kazanımı</w:t>
            </w:r>
            <w:r w:rsidRPr="000A5D99">
              <w:rPr>
                <w:rFonts w:ascii="Times New Roman" w:eastAsia="Times New Roman" w:hAnsi="Times New Roman" w:cs="Times New Roman"/>
              </w:rPr>
              <w:t>;</w:t>
            </w:r>
          </w:p>
          <w:p w14:paraId="154216CE" w14:textId="77777777" w:rsidR="003B155E" w:rsidRPr="000A5D99" w:rsidRDefault="003B155E" w:rsidP="003B155E">
            <w:pPr>
              <w:widowControl w:val="0"/>
              <w:numPr>
                <w:ilvl w:val="0"/>
                <w:numId w:val="133"/>
              </w:numPr>
              <w:tabs>
                <w:tab w:val="left" w:pos="466"/>
                <w:tab w:val="left" w:pos="467"/>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kuru yıkamada üretilen kullanılmış kireç taşının bir kireç veya çimento fırınına gönderilmesi.</w:t>
            </w:r>
          </w:p>
        </w:tc>
      </w:tr>
    </w:tbl>
    <w:p w14:paraId="578355AE" w14:textId="77777777" w:rsidR="003B155E" w:rsidRPr="000A5D99" w:rsidRDefault="003B155E" w:rsidP="003B155E">
      <w:pPr>
        <w:keepNext/>
        <w:keepLines/>
        <w:spacing w:before="120" w:after="60" w:line="360" w:lineRule="auto"/>
        <w:ind w:left="810"/>
        <w:jc w:val="both"/>
        <w:outlineLvl w:val="1"/>
        <w:rPr>
          <w:rFonts w:ascii="Times New Roman" w:eastAsia="DengXian Light" w:hAnsi="Times New Roman" w:cs="Microsoft Uighur"/>
          <w:b/>
          <w:sz w:val="24"/>
          <w:szCs w:val="26"/>
          <w:lang w:val="en-US"/>
        </w:rPr>
      </w:pPr>
      <w:bookmarkStart w:id="88" w:name="_Toc137210490"/>
      <w:r w:rsidRPr="000A5D99">
        <w:rPr>
          <w:rFonts w:ascii="Times New Roman" w:eastAsia="DengXian Light" w:hAnsi="Times New Roman" w:cs="Microsoft Uighur"/>
          <w:b/>
          <w:sz w:val="24"/>
          <w:szCs w:val="26"/>
          <w:lang w:val="en-US"/>
        </w:rPr>
        <w:t>Koku Emisyonları</w:t>
      </w:r>
      <w:bookmarkEnd w:id="88"/>
    </w:p>
    <w:p w14:paraId="647AE008"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b/>
          <w:bCs/>
          <w:sz w:val="24"/>
          <w:lang w:val="en-US"/>
        </w:rPr>
        <w:t xml:space="preserve">MET 23: </w:t>
      </w:r>
      <w:r w:rsidRPr="000A5D99">
        <w:rPr>
          <w:rFonts w:ascii="Times New Roman" w:eastAsia="Calibri" w:hAnsi="Times New Roman" w:cs="Calibri"/>
          <w:sz w:val="24"/>
          <w:lang w:val="en-US"/>
        </w:rPr>
        <w:t xml:space="preserve">Koku emisyonlarını önlemek veya bunun mümkün olmadığı durumlarda azaltmak için, ÇYS’nin (bkz. </w:t>
      </w:r>
      <w:r w:rsidRPr="0096283A">
        <w:rPr>
          <w:rFonts w:ascii="Times New Roman" w:eastAsia="Calibri" w:hAnsi="Times New Roman" w:cs="Calibri"/>
          <w:sz w:val="24"/>
          <w:lang w:val="en-US"/>
        </w:rPr>
        <w:t>MET 1</w:t>
      </w:r>
      <w:r w:rsidRPr="000A5D99">
        <w:rPr>
          <w:rFonts w:ascii="Times New Roman" w:eastAsia="Calibri" w:hAnsi="Times New Roman" w:cs="Calibri"/>
          <w:sz w:val="24"/>
          <w:lang w:val="en-US"/>
        </w:rPr>
        <w:t>) bir parçası olarak aşağıdaki unsurların tümünü içeren bir koku yönetim planı oluşturulur, uygulanır ve düzenli olarak gözden geçirilir:</w:t>
      </w:r>
    </w:p>
    <w:p w14:paraId="58F17B5B" w14:textId="77777777" w:rsidR="003B155E" w:rsidRPr="000A5D99" w:rsidRDefault="003B155E" w:rsidP="003B155E">
      <w:pPr>
        <w:numPr>
          <w:ilvl w:val="0"/>
          <w:numId w:val="133"/>
        </w:numPr>
        <w:spacing w:before="240" w:after="0" w:line="360" w:lineRule="auto"/>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 Eylemleri ve zaman çizelgelerini içeren bir protokol;</w:t>
      </w:r>
    </w:p>
    <w:p w14:paraId="431633D7" w14:textId="77777777" w:rsidR="003B155E" w:rsidRPr="000A5D99" w:rsidRDefault="003B155E" w:rsidP="003B155E">
      <w:pPr>
        <w:numPr>
          <w:ilvl w:val="0"/>
          <w:numId w:val="133"/>
        </w:numPr>
        <w:spacing w:after="0" w:line="360" w:lineRule="auto"/>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 Tespit edilen koku olaylarına yanıt için bir protokol, örneğin, şikayetler;</w:t>
      </w:r>
    </w:p>
    <w:p w14:paraId="45CF9A85" w14:textId="77777777" w:rsidR="003B155E" w:rsidRPr="000A5D99" w:rsidRDefault="003B155E" w:rsidP="003B155E">
      <w:pPr>
        <w:numPr>
          <w:ilvl w:val="0"/>
          <w:numId w:val="133"/>
        </w:numPr>
        <w:spacing w:after="0" w:line="360" w:lineRule="auto"/>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lastRenderedPageBreak/>
        <w:t xml:space="preserve"> Kaynak(lar)ı belirlemek, kaynak(lar)ın katkılarını karakterize etmek ve önleme ve/veya azaltma tedbirlerini uygulamak için tasarlanmış bir koku önleme ve azaltma programı.</w:t>
      </w:r>
    </w:p>
    <w:p w14:paraId="4867AADF" w14:textId="77777777" w:rsidR="003B155E" w:rsidRPr="000A5D99" w:rsidRDefault="003B155E" w:rsidP="003B155E">
      <w:pPr>
        <w:spacing w:after="0" w:line="360" w:lineRule="auto"/>
        <w:ind w:left="107"/>
        <w:jc w:val="both"/>
        <w:rPr>
          <w:rFonts w:ascii="Times New Roman" w:eastAsia="Calibri" w:hAnsi="Times New Roman" w:cs="Calibri"/>
          <w:sz w:val="24"/>
          <w:lang w:val="en-US"/>
        </w:rPr>
      </w:pPr>
    </w:p>
    <w:p w14:paraId="67F06651" w14:textId="77777777" w:rsidR="00541520" w:rsidRDefault="00541520">
      <w:pPr>
        <w:rPr>
          <w:rFonts w:ascii="Times New Roman" w:eastAsia="DengXian Light" w:hAnsi="Times New Roman" w:cs="Microsoft Uighur"/>
          <w:b/>
          <w:sz w:val="24"/>
          <w:szCs w:val="24"/>
          <w:lang w:val="en-US"/>
        </w:rPr>
      </w:pPr>
      <w:bookmarkStart w:id="89" w:name="_Toc137210491"/>
      <w:r>
        <w:rPr>
          <w:rFonts w:ascii="Times New Roman" w:eastAsia="DengXian Light" w:hAnsi="Times New Roman" w:cs="Microsoft Uighur"/>
          <w:b/>
          <w:sz w:val="24"/>
          <w:szCs w:val="24"/>
          <w:lang w:val="en-US"/>
        </w:rPr>
        <w:br w:type="page"/>
      </w:r>
    </w:p>
    <w:p w14:paraId="4C12FC96" w14:textId="2CCDA2EF" w:rsidR="003B155E" w:rsidRPr="000A5D99" w:rsidRDefault="003B155E" w:rsidP="0096283A">
      <w:pPr>
        <w:keepNext/>
        <w:keepLines/>
        <w:spacing w:after="0" w:line="360" w:lineRule="auto"/>
        <w:jc w:val="center"/>
        <w:outlineLvl w:val="0"/>
        <w:rPr>
          <w:rFonts w:ascii="Times New Roman" w:eastAsia="DengXian Light" w:hAnsi="Times New Roman" w:cs="Microsoft Uighur"/>
          <w:b/>
          <w:sz w:val="24"/>
          <w:szCs w:val="32"/>
          <w:lang w:val="en-US"/>
        </w:rPr>
      </w:pPr>
      <w:r w:rsidRPr="000A5D99">
        <w:rPr>
          <w:rFonts w:ascii="Times New Roman" w:eastAsia="DengXian Light" w:hAnsi="Times New Roman" w:cs="Microsoft Uighur"/>
          <w:b/>
          <w:sz w:val="24"/>
          <w:szCs w:val="24"/>
          <w:lang w:val="en-US"/>
        </w:rPr>
        <w:lastRenderedPageBreak/>
        <w:t>AHŞAP VE AHŞAP ÜRÜNLERİNİN KİMYASALLARLA KORUNMASI DAHİL ORGANİK SOLVENTLER KULLANILARAK YÜZEY İŞLEME SEKTÖRÜ İÇİN MET</w:t>
      </w:r>
    </w:p>
    <w:p w14:paraId="0F70DC97"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n-US"/>
        </w:rPr>
      </w:pPr>
      <w:r w:rsidRPr="000A5D99">
        <w:rPr>
          <w:rFonts w:ascii="Times New Roman" w:eastAsia="DengXian Light" w:hAnsi="Times New Roman" w:cs="Microsoft Uighur"/>
          <w:b/>
          <w:sz w:val="24"/>
          <w:szCs w:val="32"/>
          <w:lang w:val="en-US"/>
        </w:rPr>
        <w:t>Araçların Kaplanmasına İlişkin M</w:t>
      </w:r>
      <w:bookmarkEnd w:id="89"/>
      <w:r w:rsidRPr="000A5D99">
        <w:rPr>
          <w:rFonts w:ascii="Times New Roman" w:eastAsia="DengXian Light" w:hAnsi="Times New Roman" w:cs="Microsoft Uighur"/>
          <w:b/>
          <w:sz w:val="24"/>
          <w:szCs w:val="32"/>
          <w:lang w:val="en-US"/>
        </w:rPr>
        <w:t>ET Sonuçları</w:t>
      </w:r>
    </w:p>
    <w:p w14:paraId="77CB3504"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sz w:val="24"/>
          <w:lang w:val="en-US"/>
        </w:rPr>
        <w:t>Bu bölümdeki MET, araçların (binek araçlar, kamyonetler, kamyon kabinleri, kamyonlar ve otobüsler) kaplaması için geçerlidir ve genel MET’e ek olarak uygulanmaktadır.</w:t>
      </w:r>
    </w:p>
    <w:p w14:paraId="49BDC214" w14:textId="77777777" w:rsidR="003B155E" w:rsidRPr="000A5D9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sz w:val="24"/>
          <w:szCs w:val="26"/>
          <w:lang w:val="en-US"/>
        </w:rPr>
      </w:pPr>
      <w:bookmarkStart w:id="90" w:name="_Toc137210492"/>
      <w:r w:rsidRPr="000A5D99">
        <w:rPr>
          <w:rFonts w:ascii="Times New Roman" w:eastAsia="DengXian Light" w:hAnsi="Times New Roman" w:cs="Microsoft Uighur"/>
          <w:b/>
          <w:sz w:val="24"/>
          <w:szCs w:val="26"/>
          <w:lang w:val="en-US"/>
        </w:rPr>
        <w:t>UOB emisyonları ve enerji ve ham madde tüketimi</w:t>
      </w:r>
      <w:bookmarkEnd w:id="90"/>
    </w:p>
    <w:p w14:paraId="0FCB5B33"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b/>
          <w:bCs/>
          <w:sz w:val="24"/>
          <w:lang w:val="en-US"/>
        </w:rPr>
        <w:t xml:space="preserve">MET 24: </w:t>
      </w:r>
      <w:r w:rsidRPr="000A5D99">
        <w:rPr>
          <w:rFonts w:ascii="Times New Roman" w:eastAsia="Calibri" w:hAnsi="Times New Roman" w:cs="Calibri"/>
          <w:sz w:val="24"/>
          <w:lang w:val="en-US"/>
        </w:rPr>
        <w:t>Solvent, diğer ham madde ve enerji tüketimini azaltmak ve ayrıca UOB emisyonlarını azaltmak için, aşağıda verilen kaplama sistemlerinden bir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7"/>
        <w:gridCol w:w="1892"/>
        <w:gridCol w:w="4879"/>
        <w:gridCol w:w="1954"/>
      </w:tblGrid>
      <w:tr w:rsidR="003B155E" w:rsidRPr="000A5D99" w14:paraId="187DE098" w14:textId="77777777" w:rsidTr="000D79D6">
        <w:trPr>
          <w:trHeight w:val="264"/>
          <w:tblHeader/>
        </w:trPr>
        <w:tc>
          <w:tcPr>
            <w:tcW w:w="1230" w:type="pct"/>
            <w:gridSpan w:val="2"/>
            <w:vAlign w:val="center"/>
          </w:tcPr>
          <w:p w14:paraId="0776768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Kaplama sistemi</w:t>
            </w:r>
          </w:p>
        </w:tc>
        <w:tc>
          <w:tcPr>
            <w:tcW w:w="2692" w:type="pct"/>
            <w:vAlign w:val="center"/>
          </w:tcPr>
          <w:p w14:paraId="66AD684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078" w:type="pct"/>
            <w:vAlign w:val="center"/>
          </w:tcPr>
          <w:p w14:paraId="2585C90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27E13448" w14:textId="77777777" w:rsidTr="000D79D6">
        <w:trPr>
          <w:trHeight w:val="283"/>
        </w:trPr>
        <w:tc>
          <w:tcPr>
            <w:tcW w:w="186" w:type="pct"/>
            <w:vAlign w:val="center"/>
          </w:tcPr>
          <w:p w14:paraId="301DF2E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044" w:type="pct"/>
            <w:vAlign w:val="center"/>
          </w:tcPr>
          <w:p w14:paraId="07FC269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Karışık (SB-mix) kaplama</w:t>
            </w:r>
          </w:p>
        </w:tc>
        <w:tc>
          <w:tcPr>
            <w:tcW w:w="2692" w:type="pct"/>
            <w:vAlign w:val="center"/>
          </w:tcPr>
          <w:p w14:paraId="6F60475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Kaplama tabakasının (astar veya baz kat) su bazlı olduğu bir kaplama sistemidir.</w:t>
            </w:r>
          </w:p>
        </w:tc>
        <w:tc>
          <w:tcPr>
            <w:tcW w:w="1078" w:type="pct"/>
            <w:vMerge w:val="restart"/>
            <w:vAlign w:val="center"/>
          </w:tcPr>
          <w:p w14:paraId="5B9CC29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yeni tesisler veya büyük tesis iyileştirmeleri için uygulanabilir.</w:t>
            </w:r>
          </w:p>
        </w:tc>
      </w:tr>
      <w:tr w:rsidR="003B155E" w:rsidRPr="000A5D99" w14:paraId="7A6B0E0D" w14:textId="77777777" w:rsidTr="000D79D6">
        <w:trPr>
          <w:trHeight w:val="459"/>
        </w:trPr>
        <w:tc>
          <w:tcPr>
            <w:tcW w:w="186" w:type="pct"/>
            <w:vAlign w:val="center"/>
          </w:tcPr>
          <w:p w14:paraId="059F6E7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044" w:type="pct"/>
            <w:vAlign w:val="center"/>
          </w:tcPr>
          <w:p w14:paraId="505CDF6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bazlı (WB) kaplama</w:t>
            </w:r>
          </w:p>
        </w:tc>
        <w:tc>
          <w:tcPr>
            <w:tcW w:w="2692" w:type="pct"/>
            <w:vAlign w:val="center"/>
          </w:tcPr>
          <w:p w14:paraId="15F38A6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Astar ve baz kat katmanlarının su bazlı olduğu kaplama sistemidir.</w:t>
            </w:r>
          </w:p>
        </w:tc>
        <w:tc>
          <w:tcPr>
            <w:tcW w:w="1078" w:type="pct"/>
            <w:vMerge/>
            <w:tcBorders>
              <w:top w:val="nil"/>
            </w:tcBorders>
            <w:vAlign w:val="center"/>
          </w:tcPr>
          <w:p w14:paraId="3B104670" w14:textId="77777777" w:rsidR="003B155E" w:rsidRPr="000A5D99" w:rsidRDefault="003B155E" w:rsidP="000D79D6">
            <w:pPr>
              <w:spacing w:after="0" w:line="240" w:lineRule="auto"/>
              <w:ind w:left="74" w:right="74"/>
              <w:rPr>
                <w:rFonts w:ascii="Times New Roman" w:eastAsia="Calibri" w:hAnsi="Times New Roman" w:cs="Times New Roman"/>
                <w:lang w:val="es-ES"/>
              </w:rPr>
            </w:pPr>
          </w:p>
        </w:tc>
      </w:tr>
      <w:tr w:rsidR="003B155E" w:rsidRPr="000A5D99" w14:paraId="71C3802A" w14:textId="77777777" w:rsidTr="000D79D6">
        <w:trPr>
          <w:trHeight w:val="459"/>
        </w:trPr>
        <w:tc>
          <w:tcPr>
            <w:tcW w:w="186" w:type="pct"/>
            <w:vAlign w:val="center"/>
          </w:tcPr>
          <w:p w14:paraId="780700F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044" w:type="pct"/>
            <w:vAlign w:val="center"/>
          </w:tcPr>
          <w:p w14:paraId="3FBD8B8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Entegre kaplama işlemi</w:t>
            </w:r>
          </w:p>
        </w:tc>
        <w:tc>
          <w:tcPr>
            <w:tcW w:w="2692" w:type="pct"/>
            <w:vAlign w:val="center"/>
          </w:tcPr>
          <w:p w14:paraId="659F8F7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Astar ve baz kat fonksiyonlarını birleştiren ve püskürtmeli kaplama ile iki aşamada uygulanan bir kaplama sistemidir.</w:t>
            </w:r>
          </w:p>
        </w:tc>
        <w:tc>
          <w:tcPr>
            <w:tcW w:w="1078" w:type="pct"/>
            <w:vMerge/>
            <w:tcBorders>
              <w:top w:val="nil"/>
            </w:tcBorders>
            <w:vAlign w:val="center"/>
          </w:tcPr>
          <w:p w14:paraId="3550A480" w14:textId="77777777" w:rsidR="003B155E" w:rsidRPr="000A5D99" w:rsidRDefault="003B155E" w:rsidP="000D79D6">
            <w:pPr>
              <w:spacing w:after="0" w:line="240" w:lineRule="auto"/>
              <w:ind w:left="74" w:right="74"/>
              <w:rPr>
                <w:rFonts w:ascii="Times New Roman" w:eastAsia="Calibri" w:hAnsi="Times New Roman" w:cs="Times New Roman"/>
              </w:rPr>
            </w:pPr>
          </w:p>
        </w:tc>
      </w:tr>
      <w:tr w:rsidR="003B155E" w:rsidRPr="000A5D99" w14:paraId="4F153AF8" w14:textId="77777777" w:rsidTr="000D79D6">
        <w:trPr>
          <w:trHeight w:val="717"/>
        </w:trPr>
        <w:tc>
          <w:tcPr>
            <w:tcW w:w="186" w:type="pct"/>
            <w:vAlign w:val="center"/>
          </w:tcPr>
          <w:p w14:paraId="7418B7E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044" w:type="pct"/>
            <w:vAlign w:val="center"/>
          </w:tcPr>
          <w:p w14:paraId="735401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Üç ıslak işlem</w:t>
            </w:r>
          </w:p>
        </w:tc>
        <w:tc>
          <w:tcPr>
            <w:tcW w:w="2692" w:type="pct"/>
            <w:vAlign w:val="center"/>
          </w:tcPr>
          <w:p w14:paraId="78C834D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Astar, baz kat ve vernik katlarının ara kurutma olmadan uygulandığı kaplama sistemidir. Astar ve baz kat solvent bazlı veya su bazlı olabilir.</w:t>
            </w:r>
          </w:p>
        </w:tc>
        <w:tc>
          <w:tcPr>
            <w:tcW w:w="1078" w:type="pct"/>
            <w:vMerge/>
            <w:tcBorders>
              <w:top w:val="nil"/>
            </w:tcBorders>
            <w:vAlign w:val="center"/>
          </w:tcPr>
          <w:p w14:paraId="33A153B6" w14:textId="77777777" w:rsidR="003B155E" w:rsidRPr="000A5D99" w:rsidRDefault="003B155E" w:rsidP="000D79D6">
            <w:pPr>
              <w:spacing w:after="0" w:line="240" w:lineRule="auto"/>
              <w:ind w:left="74" w:right="74"/>
              <w:rPr>
                <w:rFonts w:ascii="Times New Roman" w:eastAsia="Calibri" w:hAnsi="Times New Roman" w:cs="Times New Roman"/>
                <w:lang w:val="es-ES"/>
              </w:rPr>
            </w:pPr>
          </w:p>
        </w:tc>
      </w:tr>
    </w:tbl>
    <w:p w14:paraId="7C840B5D" w14:textId="77777777" w:rsidR="003B155E" w:rsidRPr="00EE5089" w:rsidRDefault="003B155E" w:rsidP="003B155E">
      <w:pPr>
        <w:spacing w:before="240" w:after="0" w:line="360" w:lineRule="auto"/>
        <w:jc w:val="center"/>
        <w:rPr>
          <w:rFonts w:ascii="Times New Roman" w:eastAsia="Calibri" w:hAnsi="Times New Roman" w:cs="Calibri"/>
          <w:bCs/>
          <w:i/>
          <w:color w:val="000000"/>
          <w:sz w:val="24"/>
          <w:szCs w:val="24"/>
        </w:rPr>
      </w:pPr>
      <w:r w:rsidRPr="00EE5089">
        <w:rPr>
          <w:rFonts w:ascii="Times New Roman" w:eastAsia="Calibri" w:hAnsi="Times New Roman" w:cs="Calibri"/>
          <w:bCs/>
          <w:i/>
          <w:color w:val="000000"/>
          <w:sz w:val="24"/>
          <w:szCs w:val="24"/>
        </w:rPr>
        <w:t>Tablo 7.</w:t>
      </w:r>
    </w:p>
    <w:p w14:paraId="70B4F5BA" w14:textId="77777777" w:rsidR="003B155E" w:rsidRPr="00EE5089" w:rsidRDefault="003B155E" w:rsidP="003B155E">
      <w:pPr>
        <w:spacing w:before="240" w:after="0" w:line="360" w:lineRule="auto"/>
        <w:jc w:val="center"/>
        <w:rPr>
          <w:rFonts w:ascii="Times New Roman" w:eastAsia="Calibri" w:hAnsi="Times New Roman" w:cs="Calibri"/>
          <w:b/>
          <w:iCs/>
          <w:color w:val="000000"/>
          <w:sz w:val="24"/>
          <w:szCs w:val="24"/>
        </w:rPr>
      </w:pPr>
      <w:r w:rsidRPr="00EE5089">
        <w:rPr>
          <w:rFonts w:ascii="Times New Roman" w:eastAsia="Calibri" w:hAnsi="Times New Roman" w:cs="Calibri"/>
          <w:b/>
          <w:iCs/>
          <w:color w:val="000000"/>
          <w:sz w:val="24"/>
          <w:szCs w:val="24"/>
        </w:rPr>
        <w:t xml:space="preserve">Araçların kaplamasından kaynaklanan toplam UOB emisyonları için MET ile ilişkili emisyon seviyeleri </w:t>
      </w:r>
      <w:bookmarkStart w:id="91" w:name="_Hlk152857585"/>
      <w:r w:rsidRPr="00EE5089">
        <w:rPr>
          <w:rFonts w:ascii="Times New Roman" w:eastAsia="Calibri" w:hAnsi="Times New Roman" w:cs="Calibri"/>
          <w:b/>
          <w:iCs/>
          <w:color w:val="000000"/>
          <w:sz w:val="24"/>
          <w:szCs w:val="24"/>
        </w:rPr>
        <w:t>(MET-İES’ler)</w:t>
      </w:r>
      <w:bookmarkEnd w:id="9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59"/>
        <w:gridCol w:w="1774"/>
        <w:gridCol w:w="1972"/>
        <w:gridCol w:w="1473"/>
        <w:gridCol w:w="1584"/>
      </w:tblGrid>
      <w:tr w:rsidR="003B155E" w:rsidRPr="000A5D99" w14:paraId="7AAEB3B7" w14:textId="77777777" w:rsidTr="000D79D6">
        <w:trPr>
          <w:trHeight w:val="460"/>
          <w:tblHeader/>
        </w:trPr>
        <w:tc>
          <w:tcPr>
            <w:tcW w:w="1246" w:type="pct"/>
            <w:vMerge w:val="restart"/>
          </w:tcPr>
          <w:p w14:paraId="6943E60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p w14:paraId="6CDC149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979" w:type="pct"/>
            <w:vMerge w:val="restart"/>
          </w:tcPr>
          <w:p w14:paraId="52100A8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p w14:paraId="4C71A78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Araç tipi</w:t>
            </w:r>
          </w:p>
        </w:tc>
        <w:tc>
          <w:tcPr>
            <w:tcW w:w="1088" w:type="pct"/>
            <w:vMerge w:val="restart"/>
          </w:tcPr>
          <w:p w14:paraId="3F35AE6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p>
          <w:p w14:paraId="096F972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87" w:type="pct"/>
            <w:gridSpan w:val="2"/>
          </w:tcPr>
          <w:p w14:paraId="1905A94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p>
          <w:p w14:paraId="093CC06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45AA0673" w14:textId="77777777" w:rsidTr="000D79D6">
        <w:trPr>
          <w:trHeight w:val="280"/>
          <w:tblHeader/>
        </w:trPr>
        <w:tc>
          <w:tcPr>
            <w:tcW w:w="1246" w:type="pct"/>
            <w:vMerge/>
            <w:tcBorders>
              <w:top w:val="nil"/>
            </w:tcBorders>
          </w:tcPr>
          <w:p w14:paraId="1B31746F"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979" w:type="pct"/>
            <w:vMerge/>
            <w:tcBorders>
              <w:top w:val="nil"/>
            </w:tcBorders>
          </w:tcPr>
          <w:p w14:paraId="534C9107"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088" w:type="pct"/>
            <w:vMerge/>
            <w:tcBorders>
              <w:top w:val="nil"/>
            </w:tcBorders>
          </w:tcPr>
          <w:p w14:paraId="3B64970E"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13" w:type="pct"/>
          </w:tcPr>
          <w:p w14:paraId="1D03C1F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Yeni tesis</w:t>
            </w:r>
          </w:p>
        </w:tc>
        <w:tc>
          <w:tcPr>
            <w:tcW w:w="874" w:type="pct"/>
          </w:tcPr>
          <w:p w14:paraId="3433E37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Mevcut tesis</w:t>
            </w:r>
          </w:p>
        </w:tc>
      </w:tr>
      <w:tr w:rsidR="003B155E" w:rsidRPr="000A5D99" w14:paraId="73849ED2" w14:textId="77777777" w:rsidTr="000D79D6">
        <w:trPr>
          <w:trHeight w:val="311"/>
        </w:trPr>
        <w:tc>
          <w:tcPr>
            <w:tcW w:w="1246" w:type="pct"/>
            <w:vMerge w:val="restart"/>
            <w:vAlign w:val="center"/>
          </w:tcPr>
          <w:p w14:paraId="26C648CA"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979" w:type="pct"/>
            <w:vAlign w:val="center"/>
          </w:tcPr>
          <w:p w14:paraId="1FE32D2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Binek araçlar</w:t>
            </w:r>
          </w:p>
        </w:tc>
        <w:tc>
          <w:tcPr>
            <w:tcW w:w="1088" w:type="pct"/>
            <w:vMerge w:val="restart"/>
            <w:vAlign w:val="center"/>
          </w:tcPr>
          <w:p w14:paraId="6947D46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 xml:space="preserve"> yüzey alanı başına g UOB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c>
          <w:tcPr>
            <w:tcW w:w="813" w:type="pct"/>
            <w:vAlign w:val="center"/>
          </w:tcPr>
          <w:p w14:paraId="03AB9BA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8–15</w:t>
            </w:r>
          </w:p>
        </w:tc>
        <w:tc>
          <w:tcPr>
            <w:tcW w:w="874" w:type="pct"/>
            <w:vAlign w:val="center"/>
          </w:tcPr>
          <w:p w14:paraId="6980212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8–30</w:t>
            </w:r>
          </w:p>
        </w:tc>
      </w:tr>
      <w:tr w:rsidR="003B155E" w:rsidRPr="000A5D99" w14:paraId="79C34CD0" w14:textId="77777777" w:rsidTr="000D79D6">
        <w:trPr>
          <w:trHeight w:val="263"/>
        </w:trPr>
        <w:tc>
          <w:tcPr>
            <w:tcW w:w="1246" w:type="pct"/>
            <w:vMerge/>
            <w:tcBorders>
              <w:top w:val="nil"/>
            </w:tcBorders>
            <w:vAlign w:val="center"/>
          </w:tcPr>
          <w:p w14:paraId="41CDCD55"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79" w:type="pct"/>
            <w:vAlign w:val="center"/>
          </w:tcPr>
          <w:p w14:paraId="0F4B173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Minibüsler</w:t>
            </w:r>
          </w:p>
        </w:tc>
        <w:tc>
          <w:tcPr>
            <w:tcW w:w="1088" w:type="pct"/>
            <w:vMerge/>
            <w:tcBorders>
              <w:top w:val="nil"/>
            </w:tcBorders>
            <w:vAlign w:val="center"/>
          </w:tcPr>
          <w:p w14:paraId="4EC64A95"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13" w:type="pct"/>
            <w:vAlign w:val="center"/>
          </w:tcPr>
          <w:p w14:paraId="2828196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10–20</w:t>
            </w:r>
          </w:p>
        </w:tc>
        <w:tc>
          <w:tcPr>
            <w:tcW w:w="874" w:type="pct"/>
            <w:vAlign w:val="center"/>
          </w:tcPr>
          <w:p w14:paraId="25639E7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10–40</w:t>
            </w:r>
          </w:p>
        </w:tc>
      </w:tr>
      <w:tr w:rsidR="003B155E" w:rsidRPr="000A5D99" w14:paraId="1CEBB888" w14:textId="77777777" w:rsidTr="000D79D6">
        <w:trPr>
          <w:trHeight w:val="343"/>
        </w:trPr>
        <w:tc>
          <w:tcPr>
            <w:tcW w:w="1246" w:type="pct"/>
            <w:vMerge/>
            <w:tcBorders>
              <w:top w:val="nil"/>
            </w:tcBorders>
            <w:vAlign w:val="center"/>
          </w:tcPr>
          <w:p w14:paraId="5466C4FE"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79" w:type="pct"/>
            <w:vAlign w:val="center"/>
          </w:tcPr>
          <w:p w14:paraId="05A020D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Kamyon kabinleri</w:t>
            </w:r>
          </w:p>
        </w:tc>
        <w:tc>
          <w:tcPr>
            <w:tcW w:w="1088" w:type="pct"/>
            <w:vMerge/>
            <w:tcBorders>
              <w:top w:val="nil"/>
            </w:tcBorders>
            <w:vAlign w:val="center"/>
          </w:tcPr>
          <w:p w14:paraId="6B178B8D"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13" w:type="pct"/>
            <w:vAlign w:val="center"/>
          </w:tcPr>
          <w:p w14:paraId="01517EB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8–20</w:t>
            </w:r>
          </w:p>
        </w:tc>
        <w:tc>
          <w:tcPr>
            <w:tcW w:w="874" w:type="pct"/>
            <w:vAlign w:val="center"/>
          </w:tcPr>
          <w:p w14:paraId="2E76C18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8–40</w:t>
            </w:r>
          </w:p>
        </w:tc>
      </w:tr>
      <w:tr w:rsidR="003B155E" w:rsidRPr="000A5D99" w14:paraId="32D9B009" w14:textId="77777777" w:rsidTr="000D79D6">
        <w:trPr>
          <w:trHeight w:val="262"/>
        </w:trPr>
        <w:tc>
          <w:tcPr>
            <w:tcW w:w="1246" w:type="pct"/>
            <w:vMerge/>
            <w:tcBorders>
              <w:top w:val="nil"/>
            </w:tcBorders>
            <w:vAlign w:val="center"/>
          </w:tcPr>
          <w:p w14:paraId="1A12FFE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79" w:type="pct"/>
            <w:vAlign w:val="center"/>
          </w:tcPr>
          <w:p w14:paraId="65EF1AF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Kamyonlar</w:t>
            </w:r>
          </w:p>
        </w:tc>
        <w:tc>
          <w:tcPr>
            <w:tcW w:w="1088" w:type="pct"/>
            <w:vMerge/>
            <w:tcBorders>
              <w:top w:val="nil"/>
            </w:tcBorders>
            <w:vAlign w:val="center"/>
          </w:tcPr>
          <w:p w14:paraId="20EB3F9B"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13" w:type="pct"/>
            <w:vAlign w:val="center"/>
          </w:tcPr>
          <w:p w14:paraId="7BF3D77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10–40</w:t>
            </w:r>
          </w:p>
        </w:tc>
        <w:tc>
          <w:tcPr>
            <w:tcW w:w="874" w:type="pct"/>
            <w:vAlign w:val="center"/>
          </w:tcPr>
          <w:p w14:paraId="549D552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10–50</w:t>
            </w:r>
          </w:p>
        </w:tc>
      </w:tr>
      <w:tr w:rsidR="003B155E" w:rsidRPr="000A5D99" w14:paraId="7ACC4EFE" w14:textId="77777777" w:rsidTr="000D79D6">
        <w:trPr>
          <w:trHeight w:val="230"/>
        </w:trPr>
        <w:tc>
          <w:tcPr>
            <w:tcW w:w="1246" w:type="pct"/>
            <w:vMerge/>
            <w:tcBorders>
              <w:top w:val="nil"/>
            </w:tcBorders>
            <w:vAlign w:val="center"/>
          </w:tcPr>
          <w:p w14:paraId="64431971"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979" w:type="pct"/>
            <w:vAlign w:val="center"/>
          </w:tcPr>
          <w:p w14:paraId="7D33EB8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Otobüsler</w:t>
            </w:r>
          </w:p>
        </w:tc>
        <w:tc>
          <w:tcPr>
            <w:tcW w:w="1088" w:type="pct"/>
            <w:vMerge/>
            <w:tcBorders>
              <w:top w:val="nil"/>
            </w:tcBorders>
            <w:vAlign w:val="center"/>
          </w:tcPr>
          <w:p w14:paraId="4BDF6DF6"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813" w:type="pct"/>
            <w:vAlign w:val="center"/>
          </w:tcPr>
          <w:p w14:paraId="558A60F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100</w:t>
            </w:r>
          </w:p>
        </w:tc>
        <w:tc>
          <w:tcPr>
            <w:tcW w:w="874" w:type="pct"/>
            <w:vAlign w:val="center"/>
          </w:tcPr>
          <w:p w14:paraId="38B7B5F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90–150</w:t>
            </w:r>
          </w:p>
        </w:tc>
      </w:tr>
      <w:tr w:rsidR="003B155E" w:rsidRPr="00A83441" w14:paraId="73CFAD1C" w14:textId="77777777" w:rsidTr="000D79D6">
        <w:trPr>
          <w:trHeight w:val="1035"/>
        </w:trPr>
        <w:tc>
          <w:tcPr>
            <w:tcW w:w="5000" w:type="pct"/>
            <w:gridSpan w:val="5"/>
            <w:vAlign w:val="center"/>
          </w:tcPr>
          <w:p w14:paraId="0AFF620F" w14:textId="77777777" w:rsidR="003B155E" w:rsidRPr="0082590D" w:rsidRDefault="003B155E" w:rsidP="003B155E">
            <w:pPr>
              <w:widowControl w:val="0"/>
              <w:numPr>
                <w:ilvl w:val="0"/>
                <w:numId w:val="137"/>
              </w:numPr>
              <w:tabs>
                <w:tab w:val="left" w:pos="385"/>
              </w:tabs>
              <w:autoSpaceDE w:val="0"/>
              <w:autoSpaceDN w:val="0"/>
              <w:spacing w:after="0" w:line="240" w:lineRule="auto"/>
              <w:ind w:left="326" w:right="74" w:hanging="252"/>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MET-İES'ler; üretim ekipmanlarının hem üretim süresi boyunca hem de üretim dönemi dışında temizlenmesinde kullanılan solventlerin yanı sıra, elektroforetik kaplamadan veya diğer herhangi bir kaplama işleminden son katın son mum ve cilasına kadar (dahil) aynı kurulumda gerçekleştirilen tüm süreç aşamalarından kaynaklanan emisyonları ifade eder.</w:t>
            </w:r>
          </w:p>
          <w:p w14:paraId="02618FA0" w14:textId="77777777" w:rsidR="003B155E" w:rsidRPr="00A83441" w:rsidRDefault="003B155E" w:rsidP="003B155E">
            <w:pPr>
              <w:widowControl w:val="0"/>
              <w:numPr>
                <w:ilvl w:val="0"/>
                <w:numId w:val="137"/>
              </w:numPr>
              <w:tabs>
                <w:tab w:val="left" w:pos="334"/>
              </w:tabs>
              <w:autoSpaceDE w:val="0"/>
              <w:autoSpaceDN w:val="0"/>
              <w:spacing w:after="0" w:line="240" w:lineRule="auto"/>
              <w:ind w:left="301" w:right="74" w:hanging="227"/>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Yüzey alanı Endüstriyel Emisyonların Yönetimi Yönetmeliği Ek-2, Bölüm 3'te belirtilen şekilde tanımlanmıştır.</w:t>
            </w:r>
          </w:p>
        </w:tc>
      </w:tr>
    </w:tbl>
    <w:p w14:paraId="01311007"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52408288" w14:textId="77777777" w:rsidR="003B155E" w:rsidRPr="000A5D99" w:rsidRDefault="003B155E" w:rsidP="003B155E">
      <w:pPr>
        <w:keepNext/>
        <w:keepLines/>
        <w:numPr>
          <w:ilvl w:val="1"/>
          <w:numId w:val="0"/>
        </w:numPr>
        <w:spacing w:before="120" w:after="60" w:line="360" w:lineRule="auto"/>
        <w:ind w:left="666" w:hanging="576"/>
        <w:jc w:val="both"/>
        <w:outlineLvl w:val="1"/>
        <w:rPr>
          <w:rFonts w:ascii="Times New Roman" w:eastAsia="DengXian Light" w:hAnsi="Times New Roman" w:cs="Microsoft Uighur"/>
          <w:b/>
          <w:sz w:val="24"/>
          <w:szCs w:val="26"/>
          <w:lang w:val="es-ES"/>
        </w:rPr>
      </w:pPr>
      <w:bookmarkStart w:id="92" w:name="_Toc137210493"/>
      <w:r w:rsidRPr="000A5D99">
        <w:rPr>
          <w:rFonts w:ascii="Times New Roman" w:eastAsia="DengXian Light" w:hAnsi="Times New Roman" w:cs="Microsoft Uighur"/>
          <w:b/>
          <w:sz w:val="24"/>
          <w:szCs w:val="26"/>
          <w:lang w:val="es-ES"/>
        </w:rPr>
        <w:lastRenderedPageBreak/>
        <w:t>Saha dışına gönderilen atık miktarı</w:t>
      </w:r>
      <w:bookmarkEnd w:id="92"/>
    </w:p>
    <w:p w14:paraId="0FDC78C5" w14:textId="098CA782" w:rsidR="003B155E" w:rsidRPr="000A5D99" w:rsidRDefault="003B155E" w:rsidP="003B155E">
      <w:pPr>
        <w:spacing w:before="240" w:after="0" w:line="360" w:lineRule="auto"/>
        <w:jc w:val="center"/>
        <w:rPr>
          <w:rFonts w:ascii="Times New Roman" w:eastAsia="Calibri" w:hAnsi="Times New Roman" w:cs="Calibri"/>
          <w:bCs/>
          <w:i/>
          <w:color w:val="000000"/>
          <w:sz w:val="24"/>
          <w:szCs w:val="18"/>
          <w:lang w:val="es-ES"/>
        </w:rPr>
      </w:pPr>
      <w:bookmarkStart w:id="93" w:name="_Ref133940357"/>
      <w:r w:rsidRPr="000A5D99">
        <w:rPr>
          <w:rFonts w:ascii="Times New Roman" w:eastAsia="Calibri" w:hAnsi="Times New Roman" w:cs="Calibri"/>
          <w:bCs/>
          <w:i/>
          <w:color w:val="000000"/>
          <w:sz w:val="24"/>
          <w:szCs w:val="18"/>
          <w:lang w:val="es-ES"/>
        </w:rPr>
        <w:t xml:space="preserve">Tablo </w:t>
      </w:r>
      <w:r w:rsidRPr="000A5D99">
        <w:rPr>
          <w:rFonts w:ascii="Times New Roman" w:eastAsia="Calibri" w:hAnsi="Times New Roman" w:cs="Calibri"/>
          <w:bCs/>
          <w:i/>
          <w:color w:val="000000"/>
          <w:sz w:val="24"/>
          <w:szCs w:val="18"/>
          <w:lang w:val="en-US"/>
        </w:rPr>
        <w:fldChar w:fldCharType="begin"/>
      </w:r>
      <w:r w:rsidRPr="000A5D99">
        <w:rPr>
          <w:rFonts w:ascii="Times New Roman" w:eastAsia="Calibri" w:hAnsi="Times New Roman" w:cs="Calibri"/>
          <w:bCs/>
          <w:i/>
          <w:color w:val="000000"/>
          <w:sz w:val="24"/>
          <w:szCs w:val="18"/>
          <w:lang w:val="es-ES"/>
        </w:rPr>
        <w:instrText xml:space="preserve"> SEQ Tablo \* ARABIC </w:instrText>
      </w:r>
      <w:r w:rsidRPr="000A5D99">
        <w:rPr>
          <w:rFonts w:ascii="Times New Roman" w:eastAsia="Calibri" w:hAnsi="Times New Roman" w:cs="Calibri"/>
          <w:bCs/>
          <w:i/>
          <w:color w:val="000000"/>
          <w:sz w:val="24"/>
          <w:szCs w:val="18"/>
          <w:lang w:val="en-US"/>
        </w:rPr>
        <w:fldChar w:fldCharType="separate"/>
      </w:r>
      <w:r w:rsidR="00CA3CEB">
        <w:rPr>
          <w:rFonts w:ascii="Times New Roman" w:eastAsia="Calibri" w:hAnsi="Times New Roman" w:cs="Calibri"/>
          <w:bCs/>
          <w:i/>
          <w:noProof/>
          <w:color w:val="000000"/>
          <w:sz w:val="24"/>
          <w:szCs w:val="18"/>
          <w:lang w:val="es-ES"/>
        </w:rPr>
        <w:t>6</w:t>
      </w:r>
      <w:r w:rsidRPr="000A5D99">
        <w:rPr>
          <w:rFonts w:ascii="Times New Roman" w:eastAsia="Calibri" w:hAnsi="Times New Roman" w:cs="Calibri"/>
          <w:bCs/>
          <w:i/>
          <w:color w:val="000000"/>
          <w:sz w:val="24"/>
          <w:szCs w:val="18"/>
          <w:lang w:val="en-US"/>
        </w:rPr>
        <w:fldChar w:fldCharType="end"/>
      </w:r>
      <w:bookmarkEnd w:id="93"/>
      <w:r w:rsidRPr="000A5D99">
        <w:rPr>
          <w:rFonts w:ascii="Times New Roman" w:eastAsia="Calibri" w:hAnsi="Times New Roman" w:cs="Calibri"/>
          <w:bCs/>
          <w:i/>
          <w:color w:val="000000"/>
          <w:sz w:val="24"/>
          <w:szCs w:val="18"/>
          <w:lang w:val="es-ES"/>
        </w:rPr>
        <w:t>.</w:t>
      </w:r>
    </w:p>
    <w:p w14:paraId="1811E8F2"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18"/>
          <w:lang w:val="es-ES"/>
        </w:rPr>
      </w:pPr>
      <w:r w:rsidRPr="000A5D99">
        <w:rPr>
          <w:rFonts w:ascii="Times New Roman" w:eastAsia="Calibri" w:hAnsi="Times New Roman" w:cs="Calibri"/>
          <w:b/>
          <w:iCs/>
          <w:color w:val="000000"/>
          <w:sz w:val="24"/>
          <w:szCs w:val="18"/>
          <w:lang w:val="es-ES"/>
        </w:rPr>
        <w:t>Araç kaplamasından saha dışına gönderilen belirli atık miktarı için gösterge seviyeleri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39"/>
        <w:gridCol w:w="1510"/>
        <w:gridCol w:w="3579"/>
        <w:gridCol w:w="1106"/>
        <w:gridCol w:w="1428"/>
      </w:tblGrid>
      <w:tr w:rsidR="003B155E" w:rsidRPr="000A5D99" w14:paraId="7B6CD006" w14:textId="77777777" w:rsidTr="000D79D6">
        <w:trPr>
          <w:trHeight w:val="920"/>
          <w:tblHeader/>
        </w:trPr>
        <w:tc>
          <w:tcPr>
            <w:tcW w:w="794" w:type="pct"/>
            <w:vAlign w:val="center"/>
          </w:tcPr>
          <w:p w14:paraId="02225B6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833" w:type="pct"/>
            <w:vAlign w:val="center"/>
          </w:tcPr>
          <w:p w14:paraId="7B19C0A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Araç tipi</w:t>
            </w:r>
          </w:p>
        </w:tc>
        <w:tc>
          <w:tcPr>
            <w:tcW w:w="1975" w:type="pct"/>
            <w:vAlign w:val="center"/>
          </w:tcPr>
          <w:p w14:paraId="25FFD98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İlgili atık akışları</w:t>
            </w:r>
          </w:p>
        </w:tc>
        <w:tc>
          <w:tcPr>
            <w:tcW w:w="610" w:type="pct"/>
            <w:vAlign w:val="center"/>
          </w:tcPr>
          <w:p w14:paraId="6347DB6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788" w:type="pct"/>
            <w:vAlign w:val="center"/>
          </w:tcPr>
          <w:p w14:paraId="56B867A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Gösterge seviyesi (Yıllık ortalama)</w:t>
            </w:r>
          </w:p>
        </w:tc>
      </w:tr>
      <w:tr w:rsidR="003B155E" w:rsidRPr="000A5D99" w14:paraId="5FED613B" w14:textId="77777777" w:rsidTr="000D79D6">
        <w:trPr>
          <w:trHeight w:val="897"/>
        </w:trPr>
        <w:tc>
          <w:tcPr>
            <w:tcW w:w="794" w:type="pct"/>
            <w:vMerge w:val="restart"/>
            <w:vAlign w:val="center"/>
          </w:tcPr>
          <w:p w14:paraId="1875610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Saha dışına gönderilen atık miktarı</w:t>
            </w:r>
          </w:p>
        </w:tc>
        <w:tc>
          <w:tcPr>
            <w:tcW w:w="833" w:type="pct"/>
            <w:vAlign w:val="center"/>
          </w:tcPr>
          <w:p w14:paraId="6A18244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Binek araçlar</w:t>
            </w:r>
          </w:p>
        </w:tc>
        <w:tc>
          <w:tcPr>
            <w:tcW w:w="1975" w:type="pct"/>
            <w:vMerge w:val="restart"/>
            <w:vAlign w:val="center"/>
          </w:tcPr>
          <w:p w14:paraId="3B34B6B9" w14:textId="77777777" w:rsidR="003B155E" w:rsidRPr="000A5D99" w:rsidRDefault="003B155E" w:rsidP="003B155E">
            <w:pPr>
              <w:widowControl w:val="0"/>
              <w:numPr>
                <w:ilvl w:val="0"/>
                <w:numId w:val="133"/>
              </w:numPr>
              <w:tabs>
                <w:tab w:val="left" w:pos="296"/>
              </w:tabs>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Atık boya</w:t>
            </w:r>
          </w:p>
          <w:p w14:paraId="7052A581" w14:textId="77777777" w:rsidR="003B155E" w:rsidRPr="000A5D99" w:rsidRDefault="003B155E" w:rsidP="003B155E">
            <w:pPr>
              <w:widowControl w:val="0"/>
              <w:numPr>
                <w:ilvl w:val="0"/>
                <w:numId w:val="133"/>
              </w:numPr>
              <w:tabs>
                <w:tab w:val="left" w:pos="296"/>
              </w:tabs>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Atık plastisoller, kapatıcılar ve yapıştırıcılar</w:t>
            </w:r>
          </w:p>
          <w:p w14:paraId="2DA43EF3" w14:textId="77777777" w:rsidR="003B155E" w:rsidRPr="000A5D99" w:rsidRDefault="003B155E" w:rsidP="003B155E">
            <w:pPr>
              <w:widowControl w:val="0"/>
              <w:numPr>
                <w:ilvl w:val="0"/>
                <w:numId w:val="133"/>
              </w:numPr>
              <w:tabs>
                <w:tab w:val="left" w:pos="296"/>
              </w:tabs>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Kullanılmış solventler</w:t>
            </w:r>
          </w:p>
          <w:p w14:paraId="110FB823" w14:textId="77777777" w:rsidR="003B155E" w:rsidRPr="000A5D99" w:rsidRDefault="003B155E" w:rsidP="003B155E">
            <w:pPr>
              <w:widowControl w:val="0"/>
              <w:numPr>
                <w:ilvl w:val="0"/>
                <w:numId w:val="133"/>
              </w:numPr>
              <w:tabs>
                <w:tab w:val="left" w:pos="296"/>
              </w:tabs>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Boya çamuru</w:t>
            </w:r>
          </w:p>
          <w:p w14:paraId="2317D19C" w14:textId="77777777" w:rsidR="003B155E" w:rsidRPr="000A5D99" w:rsidRDefault="003B155E" w:rsidP="003B155E">
            <w:pPr>
              <w:widowControl w:val="0"/>
              <w:numPr>
                <w:ilvl w:val="0"/>
                <w:numId w:val="133"/>
              </w:numPr>
              <w:tabs>
                <w:tab w:val="left" w:pos="296"/>
              </w:tabs>
              <w:autoSpaceDE w:val="0"/>
              <w:autoSpaceDN w:val="0"/>
              <w:spacing w:after="0" w:line="240" w:lineRule="auto"/>
              <w:ind w:right="74"/>
              <w:jc w:val="both"/>
              <w:rPr>
                <w:rFonts w:ascii="Times New Roman" w:eastAsia="Times New Roman" w:hAnsi="Times New Roman" w:cs="Times New Roman"/>
              </w:rPr>
            </w:pPr>
            <w:r w:rsidRPr="000A5D99">
              <w:rPr>
                <w:rFonts w:ascii="Times New Roman" w:eastAsia="Times New Roman" w:hAnsi="Times New Roman" w:cs="Times New Roman"/>
              </w:rPr>
              <w:t>Boyahane ile ilgili diğer atıklar (örneğin, absorban ve temizlik malzemeleri, filtreler, ambalaj malzemeleri, kullanılmış aktif karbon)</w:t>
            </w:r>
          </w:p>
        </w:tc>
        <w:tc>
          <w:tcPr>
            <w:tcW w:w="610" w:type="pct"/>
            <w:vMerge w:val="restart"/>
            <w:vAlign w:val="center"/>
          </w:tcPr>
          <w:p w14:paraId="63D11EA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kg/</w:t>
            </w:r>
          </w:p>
          <w:p w14:paraId="68926D8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kaplanan araç</w:t>
            </w:r>
          </w:p>
        </w:tc>
        <w:tc>
          <w:tcPr>
            <w:tcW w:w="788" w:type="pct"/>
            <w:vAlign w:val="center"/>
          </w:tcPr>
          <w:p w14:paraId="54807AA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3–9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1345278C" w14:textId="77777777" w:rsidTr="000D79D6">
        <w:trPr>
          <w:trHeight w:val="823"/>
        </w:trPr>
        <w:tc>
          <w:tcPr>
            <w:tcW w:w="794" w:type="pct"/>
            <w:vMerge/>
            <w:tcBorders>
              <w:top w:val="nil"/>
            </w:tcBorders>
            <w:vAlign w:val="center"/>
          </w:tcPr>
          <w:p w14:paraId="30B8001B"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33" w:type="pct"/>
            <w:vAlign w:val="center"/>
          </w:tcPr>
          <w:p w14:paraId="1DE8E65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Minibüsler</w:t>
            </w:r>
          </w:p>
        </w:tc>
        <w:tc>
          <w:tcPr>
            <w:tcW w:w="1975" w:type="pct"/>
            <w:vMerge/>
            <w:tcBorders>
              <w:top w:val="nil"/>
            </w:tcBorders>
            <w:vAlign w:val="center"/>
          </w:tcPr>
          <w:p w14:paraId="0AD8C1D1"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610" w:type="pct"/>
            <w:vMerge/>
            <w:tcBorders>
              <w:top w:val="nil"/>
            </w:tcBorders>
            <w:vAlign w:val="center"/>
          </w:tcPr>
          <w:p w14:paraId="3890233A"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788" w:type="pct"/>
            <w:vAlign w:val="center"/>
          </w:tcPr>
          <w:p w14:paraId="0CA439A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4–17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18842EFB" w14:textId="77777777" w:rsidTr="000D79D6">
        <w:trPr>
          <w:trHeight w:val="400"/>
        </w:trPr>
        <w:tc>
          <w:tcPr>
            <w:tcW w:w="794" w:type="pct"/>
            <w:vMerge/>
            <w:tcBorders>
              <w:top w:val="nil"/>
            </w:tcBorders>
            <w:vAlign w:val="center"/>
          </w:tcPr>
          <w:p w14:paraId="5F0AD1D7"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833" w:type="pct"/>
            <w:vAlign w:val="center"/>
          </w:tcPr>
          <w:p w14:paraId="3D2116D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Kamyon kabinleri</w:t>
            </w:r>
          </w:p>
        </w:tc>
        <w:tc>
          <w:tcPr>
            <w:tcW w:w="1975" w:type="pct"/>
            <w:vMerge/>
            <w:tcBorders>
              <w:top w:val="nil"/>
            </w:tcBorders>
            <w:vAlign w:val="center"/>
          </w:tcPr>
          <w:p w14:paraId="39765255"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610" w:type="pct"/>
            <w:vMerge/>
            <w:tcBorders>
              <w:top w:val="nil"/>
            </w:tcBorders>
            <w:vAlign w:val="center"/>
          </w:tcPr>
          <w:p w14:paraId="0B415602"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788" w:type="pct"/>
            <w:vAlign w:val="center"/>
          </w:tcPr>
          <w:p w14:paraId="648D370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2–11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1DC5FF27" w14:textId="77777777" w:rsidTr="000D79D6">
        <w:trPr>
          <w:trHeight w:val="238"/>
        </w:trPr>
        <w:tc>
          <w:tcPr>
            <w:tcW w:w="5000" w:type="pct"/>
            <w:gridSpan w:val="5"/>
            <w:vAlign w:val="center"/>
          </w:tcPr>
          <w:p w14:paraId="220B1233" w14:textId="77777777" w:rsidR="003B155E" w:rsidRPr="0082590D"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w:t>
            </w:r>
            <w:r w:rsidRPr="0082590D">
              <w:rPr>
                <w:rFonts w:ascii="Times New Roman" w:eastAsia="Times New Roman" w:hAnsi="Times New Roman" w:cs="Times New Roman"/>
                <w:sz w:val="20"/>
                <w:szCs w:val="20"/>
                <w:vertAlign w:val="superscript"/>
              </w:rPr>
              <w:t>1</w:t>
            </w:r>
            <w:r w:rsidRPr="0082590D">
              <w:rPr>
                <w:rFonts w:ascii="Times New Roman" w:eastAsia="Times New Roman" w:hAnsi="Times New Roman" w:cs="Times New Roman"/>
                <w:sz w:val="20"/>
                <w:szCs w:val="20"/>
              </w:rPr>
              <w:t>) Kireçtaşı ile kuru ovalama kullanılıyorsa aralığın üst sınırı daha yüksektir.</w:t>
            </w:r>
          </w:p>
        </w:tc>
      </w:tr>
    </w:tbl>
    <w:p w14:paraId="4FDA3FBA"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22 (b)</w:t>
      </w:r>
      <w:r w:rsidRPr="000A5D99">
        <w:rPr>
          <w:rFonts w:ascii="Times New Roman" w:eastAsia="Calibri" w:hAnsi="Times New Roman" w:cs="Calibri"/>
          <w:sz w:val="24"/>
          <w:lang w:val="es-ES"/>
        </w:rPr>
        <w:t>'de verilmektedir.</w:t>
      </w:r>
    </w:p>
    <w:p w14:paraId="02CBA422" w14:textId="77777777" w:rsidR="003B155E" w:rsidRPr="000A5D99" w:rsidRDefault="003B155E" w:rsidP="003B155E">
      <w:pPr>
        <w:keepNext/>
        <w:keepLines/>
        <w:spacing w:after="120" w:line="360" w:lineRule="auto"/>
        <w:ind w:left="432" w:hanging="432"/>
        <w:jc w:val="both"/>
        <w:outlineLvl w:val="0"/>
        <w:rPr>
          <w:rFonts w:ascii="Times New Roman" w:eastAsia="DengXian Light" w:hAnsi="Times New Roman" w:cs="Microsoft Uighur"/>
          <w:b/>
          <w:sz w:val="24"/>
          <w:szCs w:val="32"/>
          <w:lang w:val="es-ES"/>
        </w:rPr>
      </w:pPr>
      <w:bookmarkStart w:id="94" w:name="_Toc137210494"/>
      <w:r w:rsidRPr="000A5D99">
        <w:rPr>
          <w:rFonts w:ascii="Times New Roman" w:eastAsia="DengXian Light" w:hAnsi="Times New Roman" w:cs="Microsoft Uighur"/>
          <w:b/>
          <w:sz w:val="24"/>
          <w:szCs w:val="32"/>
          <w:lang w:val="es-ES"/>
        </w:rPr>
        <w:t xml:space="preserve">Diğer Metal ve Plastik Yüzeylerin Kaplanmasına İlişkin </w:t>
      </w:r>
      <w:bookmarkEnd w:id="94"/>
      <w:r w:rsidRPr="000A5D99">
        <w:rPr>
          <w:rFonts w:ascii="Times New Roman" w:eastAsia="DengXian Light" w:hAnsi="Times New Roman" w:cs="Microsoft Uighur"/>
          <w:b/>
          <w:sz w:val="24"/>
          <w:szCs w:val="32"/>
          <w:lang w:val="es-ES"/>
        </w:rPr>
        <w:t>MET Sonuçları</w:t>
      </w:r>
    </w:p>
    <w:p w14:paraId="59644C7F"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Aşağıda diğer metal ve plastik yüzeylerin kaplanması için verilen emisyon seviyeleri, açıklanan genel MET’le ilişkilidir. Aşağıda verilen emisyon seviyeleri, araç kaplama tesisinde metal ve/veya plastik otomotiv bileşenlerinin kaplanması durumunda geçerli olmayabilir ve bu emisyonlar, araçların kaplanması için toplam UOB emisyonlarının hesaplanmasına dahil edilir.</w:t>
      </w:r>
    </w:p>
    <w:p w14:paraId="77D77B0E"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9</w:t>
      </w:r>
    </w:p>
    <w:p w14:paraId="2098AD8B"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Diğer metal ve plastik yüzeylerin kaplanmasından kaynaklanan toplam UOB emisyonları için MET ile ilişkili emisyon seviyeleri (MET-İES’ler)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1"/>
        <w:gridCol w:w="2302"/>
        <w:gridCol w:w="2302"/>
        <w:gridCol w:w="1847"/>
      </w:tblGrid>
      <w:tr w:rsidR="003B155E" w:rsidRPr="000A5D99" w14:paraId="70C94624" w14:textId="77777777" w:rsidTr="000D79D6">
        <w:trPr>
          <w:trHeight w:val="460"/>
        </w:trPr>
        <w:tc>
          <w:tcPr>
            <w:tcW w:w="1441" w:type="pct"/>
            <w:vAlign w:val="center"/>
          </w:tcPr>
          <w:p w14:paraId="1C465EE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270" w:type="pct"/>
            <w:vAlign w:val="center"/>
          </w:tcPr>
          <w:p w14:paraId="52B285C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İşlem</w:t>
            </w:r>
          </w:p>
        </w:tc>
        <w:tc>
          <w:tcPr>
            <w:tcW w:w="1270" w:type="pct"/>
            <w:vAlign w:val="center"/>
          </w:tcPr>
          <w:p w14:paraId="25C1F07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019" w:type="pct"/>
            <w:vAlign w:val="center"/>
          </w:tcPr>
          <w:p w14:paraId="1C31E2C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40D61AA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7E5A69E2" w14:textId="77777777" w:rsidTr="000D79D6">
        <w:trPr>
          <w:trHeight w:val="460"/>
        </w:trPr>
        <w:tc>
          <w:tcPr>
            <w:tcW w:w="1441" w:type="pct"/>
            <w:vMerge w:val="restart"/>
            <w:vAlign w:val="center"/>
          </w:tcPr>
          <w:p w14:paraId="7494CC3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270" w:type="pct"/>
            <w:vAlign w:val="center"/>
          </w:tcPr>
          <w:p w14:paraId="0B6C0F1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Metal yüzeylerin kaplanması</w:t>
            </w:r>
          </w:p>
        </w:tc>
        <w:tc>
          <w:tcPr>
            <w:tcW w:w="1270" w:type="pct"/>
            <w:vMerge w:val="restart"/>
            <w:vAlign w:val="center"/>
          </w:tcPr>
          <w:p w14:paraId="4B8A96A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kg katı kütle girdisi başına kg UOB</w:t>
            </w:r>
          </w:p>
        </w:tc>
        <w:tc>
          <w:tcPr>
            <w:tcW w:w="1019" w:type="pct"/>
            <w:vAlign w:val="center"/>
          </w:tcPr>
          <w:p w14:paraId="1EC172B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0,05–0,2</w:t>
            </w:r>
          </w:p>
        </w:tc>
      </w:tr>
      <w:tr w:rsidR="003B155E" w:rsidRPr="000A5D99" w14:paraId="37EAC729" w14:textId="77777777" w:rsidTr="000D79D6">
        <w:trPr>
          <w:trHeight w:val="460"/>
        </w:trPr>
        <w:tc>
          <w:tcPr>
            <w:tcW w:w="1441" w:type="pct"/>
            <w:vMerge/>
            <w:tcBorders>
              <w:top w:val="nil"/>
            </w:tcBorders>
            <w:vAlign w:val="center"/>
          </w:tcPr>
          <w:p w14:paraId="6D9D0506" w14:textId="77777777" w:rsidR="003B155E" w:rsidRPr="000A5D99" w:rsidRDefault="003B155E" w:rsidP="000D79D6">
            <w:pPr>
              <w:spacing w:after="0" w:line="240" w:lineRule="auto"/>
              <w:ind w:left="74" w:right="74"/>
              <w:rPr>
                <w:rFonts w:ascii="Times New Roman" w:eastAsia="Calibri" w:hAnsi="Times New Roman" w:cs="Times New Roman"/>
                <w:lang w:val="en-US"/>
              </w:rPr>
            </w:pPr>
          </w:p>
        </w:tc>
        <w:tc>
          <w:tcPr>
            <w:tcW w:w="1270" w:type="pct"/>
            <w:vAlign w:val="center"/>
          </w:tcPr>
          <w:p w14:paraId="3BD6B62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Plastik yüzeylerin kaplanması</w:t>
            </w:r>
          </w:p>
        </w:tc>
        <w:tc>
          <w:tcPr>
            <w:tcW w:w="1270" w:type="pct"/>
            <w:vMerge/>
            <w:tcBorders>
              <w:top w:val="nil"/>
            </w:tcBorders>
            <w:vAlign w:val="center"/>
          </w:tcPr>
          <w:p w14:paraId="3717FE6B"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019" w:type="pct"/>
            <w:vAlign w:val="center"/>
          </w:tcPr>
          <w:p w14:paraId="2E88247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0,05–0,3</w:t>
            </w:r>
          </w:p>
        </w:tc>
      </w:tr>
    </w:tbl>
    <w:p w14:paraId="44E74E01"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78A85B98"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Tablo 9'daki MET-İES’lere alternatif olarak hem Tablo 10'daki hem de Tablo 11'deki MET-İES’ler kullanılabilir.</w:t>
      </w:r>
    </w:p>
    <w:p w14:paraId="6DCED140"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10</w:t>
      </w:r>
    </w:p>
    <w:p w14:paraId="323E67FB"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lastRenderedPageBreak/>
        <w:t>Diğer metal ve plastik yüzeylerin kaplanmasından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9"/>
        <w:gridCol w:w="2615"/>
        <w:gridCol w:w="2068"/>
      </w:tblGrid>
      <w:tr w:rsidR="003B155E" w:rsidRPr="000A5D99" w14:paraId="542F4B51" w14:textId="77777777" w:rsidTr="000D79D6">
        <w:trPr>
          <w:trHeight w:val="460"/>
          <w:tblHeader/>
        </w:trPr>
        <w:tc>
          <w:tcPr>
            <w:tcW w:w="2416" w:type="pct"/>
            <w:vAlign w:val="center"/>
          </w:tcPr>
          <w:p w14:paraId="1F27D90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443" w:type="pct"/>
            <w:vAlign w:val="center"/>
          </w:tcPr>
          <w:p w14:paraId="56BDE15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141" w:type="pct"/>
            <w:vAlign w:val="center"/>
          </w:tcPr>
          <w:p w14:paraId="4D7BCEB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21B5BD6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0F5F4276" w14:textId="77777777" w:rsidTr="000D79D6">
        <w:trPr>
          <w:trHeight w:val="586"/>
        </w:trPr>
        <w:tc>
          <w:tcPr>
            <w:tcW w:w="2416" w:type="pct"/>
            <w:vAlign w:val="center"/>
          </w:tcPr>
          <w:p w14:paraId="35693FC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443" w:type="pct"/>
            <w:vAlign w:val="center"/>
          </w:tcPr>
          <w:p w14:paraId="21C0E84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141" w:type="pct"/>
            <w:vAlign w:val="center"/>
          </w:tcPr>
          <w:p w14:paraId="009C832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1–10</w:t>
            </w:r>
          </w:p>
        </w:tc>
      </w:tr>
    </w:tbl>
    <w:p w14:paraId="5485688E"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1D090410"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11</w:t>
      </w:r>
    </w:p>
    <w:p w14:paraId="7DEDAE54"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Diğer metal ve plastik yüzeylerin kaplanmasından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76"/>
        <w:gridCol w:w="2323"/>
        <w:gridCol w:w="3563"/>
      </w:tblGrid>
      <w:tr w:rsidR="003B155E" w:rsidRPr="000A5D99" w14:paraId="73CBAC87" w14:textId="77777777" w:rsidTr="000D79D6">
        <w:trPr>
          <w:trHeight w:val="689"/>
        </w:trPr>
        <w:tc>
          <w:tcPr>
            <w:tcW w:w="1752" w:type="pct"/>
            <w:vAlign w:val="center"/>
          </w:tcPr>
          <w:p w14:paraId="2245C88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282" w:type="pct"/>
            <w:vAlign w:val="center"/>
          </w:tcPr>
          <w:p w14:paraId="6A2A87D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966" w:type="pct"/>
            <w:vAlign w:val="center"/>
          </w:tcPr>
          <w:p w14:paraId="7CA9D75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1AB6D9B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520203C2" w14:textId="77777777" w:rsidTr="000D79D6">
        <w:trPr>
          <w:trHeight w:val="508"/>
        </w:trPr>
        <w:tc>
          <w:tcPr>
            <w:tcW w:w="1752" w:type="pct"/>
            <w:vAlign w:val="center"/>
          </w:tcPr>
          <w:p w14:paraId="67A6AFD3"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282" w:type="pct"/>
            <w:vAlign w:val="center"/>
          </w:tcPr>
          <w:p w14:paraId="00B42A5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966" w:type="pct"/>
            <w:vAlign w:val="center"/>
          </w:tcPr>
          <w:p w14:paraId="1AC9FD2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1–20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r>
      <w:tr w:rsidR="003B155E" w:rsidRPr="000A5D99" w14:paraId="2DE9DC64" w14:textId="77777777" w:rsidTr="000D79D6">
        <w:trPr>
          <w:trHeight w:val="1124"/>
        </w:trPr>
        <w:tc>
          <w:tcPr>
            <w:tcW w:w="5000" w:type="pct"/>
            <w:gridSpan w:val="3"/>
            <w:vAlign w:val="center"/>
          </w:tcPr>
          <w:p w14:paraId="3257041A" w14:textId="77777777" w:rsidR="003B155E" w:rsidRPr="0082590D" w:rsidRDefault="003B155E" w:rsidP="003B155E">
            <w:pPr>
              <w:widowControl w:val="0"/>
              <w:numPr>
                <w:ilvl w:val="0"/>
                <w:numId w:val="138"/>
              </w:numPr>
              <w:tabs>
                <w:tab w:val="left" w:pos="338"/>
              </w:tabs>
              <w:autoSpaceDE w:val="0"/>
              <w:autoSpaceDN w:val="0"/>
              <w:spacing w:after="0" w:line="240" w:lineRule="auto"/>
              <w:ind w:left="301" w:right="74" w:hanging="227"/>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aralığının üst sınırı, geri kazanılan solventin yeniden kullanılmasına/geri dönüştürülmesine izin veren teknikler kullanılıyorsa 35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tür.</w:t>
            </w:r>
          </w:p>
          <w:p w14:paraId="4F453AB4" w14:textId="77777777" w:rsidR="003B155E" w:rsidRPr="000A5D99" w:rsidRDefault="003B155E" w:rsidP="003B155E">
            <w:pPr>
              <w:widowControl w:val="0"/>
              <w:numPr>
                <w:ilvl w:val="0"/>
                <w:numId w:val="138"/>
              </w:numPr>
              <w:tabs>
                <w:tab w:val="left" w:pos="346"/>
              </w:tabs>
              <w:autoSpaceDE w:val="0"/>
              <w:autoSpaceDN w:val="0"/>
              <w:spacing w:after="0" w:line="240" w:lineRule="auto"/>
              <w:ind w:left="301" w:right="74" w:hanging="227"/>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Bir çıkış gazı işleme tekniği ile birlikte MET 16 (c) kullanan tesisler için, yoğunlaştırıcının atık gazına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ten daha düşük bir ek MET-İES uygulanır.</w:t>
            </w:r>
          </w:p>
        </w:tc>
      </w:tr>
    </w:tbl>
    <w:p w14:paraId="7FB8A95D"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6A464819"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95" w:name="_Toc137210495"/>
      <w:r w:rsidRPr="000A5D99">
        <w:rPr>
          <w:rFonts w:ascii="Times New Roman" w:eastAsia="DengXian Light" w:hAnsi="Times New Roman" w:cs="Microsoft Uighur"/>
          <w:b/>
          <w:sz w:val="24"/>
          <w:szCs w:val="32"/>
          <w:lang w:val="es-ES"/>
        </w:rPr>
        <w:t>Gemilerin ve Yatların Kaplanmasına İlişkin M</w:t>
      </w:r>
      <w:bookmarkEnd w:id="95"/>
      <w:r w:rsidRPr="000A5D99">
        <w:rPr>
          <w:rFonts w:ascii="Times New Roman" w:eastAsia="DengXian Light" w:hAnsi="Times New Roman" w:cs="Microsoft Uighur"/>
          <w:b/>
          <w:sz w:val="24"/>
          <w:szCs w:val="32"/>
          <w:lang w:val="es-ES"/>
        </w:rPr>
        <w:t>ET Sonuçları</w:t>
      </w:r>
    </w:p>
    <w:p w14:paraId="2548D5E7"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Bu bölümdeki MET, gemilerin ve yatların kaplanması için geçerlidir ve genel MET’e ek olarak uygulanmaktadır.</w:t>
      </w:r>
    </w:p>
    <w:p w14:paraId="7642CB31"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25: </w:t>
      </w:r>
      <w:r w:rsidRPr="000A5D99">
        <w:rPr>
          <w:rFonts w:ascii="Times New Roman" w:eastAsia="Calibri" w:hAnsi="Times New Roman" w:cs="Calibri"/>
          <w:sz w:val="24"/>
          <w:lang w:val="es-ES"/>
        </w:rPr>
        <w:t>Toplam UOB emisyonlarını ve havaya salınan toz emisyonlarını azaltmak, suya emisyonları azaltmak ve genel çevresel performansı iyileştirmek amacıyla aşağıda verilen (a) ve (b) teknikleri ile birlikte (c) ile (i) maddeleri arasında verilen tekniklerin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2148"/>
        <w:gridCol w:w="3761"/>
        <w:gridCol w:w="2874"/>
      </w:tblGrid>
      <w:tr w:rsidR="003B155E" w:rsidRPr="000A5D99" w14:paraId="79EE570D" w14:textId="77777777" w:rsidTr="000D79D6">
        <w:trPr>
          <w:trHeight w:val="282"/>
          <w:tblHeader/>
        </w:trPr>
        <w:tc>
          <w:tcPr>
            <w:tcW w:w="1339" w:type="pct"/>
            <w:gridSpan w:val="2"/>
            <w:vAlign w:val="center"/>
          </w:tcPr>
          <w:p w14:paraId="7B7A138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075" w:type="pct"/>
            <w:vAlign w:val="center"/>
          </w:tcPr>
          <w:p w14:paraId="154D191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586" w:type="pct"/>
            <w:vAlign w:val="center"/>
          </w:tcPr>
          <w:p w14:paraId="49C732A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41831EE2" w14:textId="77777777" w:rsidTr="000D79D6">
        <w:trPr>
          <w:trHeight w:val="230"/>
        </w:trPr>
        <w:tc>
          <w:tcPr>
            <w:tcW w:w="5000" w:type="pct"/>
            <w:gridSpan w:val="4"/>
            <w:vAlign w:val="center"/>
          </w:tcPr>
          <w:p w14:paraId="478E84A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Atık ve atık su yönetimi</w:t>
            </w:r>
          </w:p>
        </w:tc>
      </w:tr>
      <w:tr w:rsidR="003B155E" w:rsidRPr="000A5D99" w14:paraId="3EE75C78" w14:textId="77777777" w:rsidTr="000D79D6">
        <w:trPr>
          <w:trHeight w:val="1639"/>
        </w:trPr>
        <w:tc>
          <w:tcPr>
            <w:tcW w:w="154" w:type="pct"/>
            <w:vAlign w:val="center"/>
          </w:tcPr>
          <w:p w14:paraId="5E448A6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185" w:type="pct"/>
            <w:vAlign w:val="center"/>
          </w:tcPr>
          <w:p w14:paraId="067DB9F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Atık ve atık su </w:t>
            </w:r>
            <w:r w:rsidR="00BA1FD0">
              <w:rPr>
                <w:rFonts w:ascii="Times New Roman" w:eastAsia="Times New Roman" w:hAnsi="Times New Roman" w:cs="Times New Roman"/>
              </w:rPr>
              <w:t>yönetiminin</w:t>
            </w:r>
            <w:r w:rsidRPr="000A5D99">
              <w:rPr>
                <w:rFonts w:ascii="Times New Roman" w:eastAsia="Times New Roman" w:hAnsi="Times New Roman" w:cs="Times New Roman"/>
              </w:rPr>
              <w:t xml:space="preserve"> ayrılması</w:t>
            </w:r>
          </w:p>
        </w:tc>
        <w:tc>
          <w:tcPr>
            <w:tcW w:w="2075" w:type="pct"/>
            <w:vAlign w:val="center"/>
          </w:tcPr>
          <w:p w14:paraId="205486A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Limanlar ve kızaklar aşağıdakilerle inşa edilir:</w:t>
            </w:r>
          </w:p>
          <w:p w14:paraId="65BDD462" w14:textId="77777777" w:rsidR="003B155E" w:rsidRPr="000A5D99" w:rsidRDefault="003B155E" w:rsidP="003B155E">
            <w:pPr>
              <w:widowControl w:val="0"/>
              <w:numPr>
                <w:ilvl w:val="0"/>
                <w:numId w:val="139"/>
              </w:numPr>
              <w:tabs>
                <w:tab w:val="left" w:pos="425"/>
              </w:tabs>
              <w:autoSpaceDE w:val="0"/>
              <w:autoSpaceDN w:val="0"/>
              <w:spacing w:after="0" w:line="240" w:lineRule="auto"/>
              <w:ind w:left="217" w:right="74" w:hanging="143"/>
              <w:jc w:val="both"/>
              <w:rPr>
                <w:rFonts w:ascii="Times New Roman" w:eastAsia="Times New Roman" w:hAnsi="Times New Roman" w:cs="Times New Roman"/>
              </w:rPr>
            </w:pPr>
            <w:r w:rsidRPr="000A5D99">
              <w:rPr>
                <w:rFonts w:ascii="Times New Roman" w:eastAsia="Times New Roman" w:hAnsi="Times New Roman" w:cs="Times New Roman"/>
              </w:rPr>
              <w:t>kuru atıkları etkili bir şekilde toplamak ve işlemek ve ıslak atıklardan ayrı tutmak için bir sistem;</w:t>
            </w:r>
          </w:p>
          <w:p w14:paraId="3E89A425" w14:textId="77777777" w:rsidR="003B155E" w:rsidRPr="000A5D99" w:rsidRDefault="003B155E" w:rsidP="003B155E">
            <w:pPr>
              <w:widowControl w:val="0"/>
              <w:numPr>
                <w:ilvl w:val="0"/>
                <w:numId w:val="139"/>
              </w:numPr>
              <w:tabs>
                <w:tab w:val="left" w:pos="425"/>
              </w:tabs>
              <w:autoSpaceDE w:val="0"/>
              <w:autoSpaceDN w:val="0"/>
              <w:spacing w:after="0" w:line="240" w:lineRule="auto"/>
              <w:ind w:left="217" w:right="74" w:hanging="143"/>
              <w:jc w:val="both"/>
              <w:rPr>
                <w:rFonts w:ascii="Times New Roman" w:eastAsia="Times New Roman" w:hAnsi="Times New Roman" w:cs="Times New Roman"/>
              </w:rPr>
            </w:pPr>
            <w:r w:rsidRPr="000A5D99">
              <w:rPr>
                <w:rFonts w:ascii="Times New Roman" w:eastAsia="Times New Roman" w:hAnsi="Times New Roman" w:cs="Times New Roman"/>
              </w:rPr>
              <w:t>atık suyu yağmur suyundan ve yüzeyde akan sudan ayıran bir sistem.</w:t>
            </w:r>
          </w:p>
        </w:tc>
        <w:tc>
          <w:tcPr>
            <w:tcW w:w="1586" w:type="pct"/>
            <w:vAlign w:val="center"/>
          </w:tcPr>
          <w:p w14:paraId="416AF28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yeni tesisler veya büyük tesis iyileştirmeleri için geçerlidir.</w:t>
            </w:r>
          </w:p>
        </w:tc>
      </w:tr>
      <w:tr w:rsidR="003B155E" w:rsidRPr="000A5D99" w14:paraId="5D8827C2" w14:textId="77777777" w:rsidTr="000D79D6">
        <w:trPr>
          <w:trHeight w:val="230"/>
        </w:trPr>
        <w:tc>
          <w:tcPr>
            <w:tcW w:w="5000" w:type="pct"/>
            <w:gridSpan w:val="4"/>
            <w:vAlign w:val="center"/>
          </w:tcPr>
          <w:p w14:paraId="4CD3343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Hazırlama ve kaplama işlemleri ile ilgili teknikler</w:t>
            </w:r>
          </w:p>
        </w:tc>
      </w:tr>
      <w:tr w:rsidR="003B155E" w:rsidRPr="000A5D99" w14:paraId="260580E7" w14:textId="77777777" w:rsidTr="000D79D6">
        <w:trPr>
          <w:trHeight w:val="1150"/>
        </w:trPr>
        <w:tc>
          <w:tcPr>
            <w:tcW w:w="154" w:type="pct"/>
            <w:vAlign w:val="center"/>
          </w:tcPr>
          <w:p w14:paraId="4B6A134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b</w:t>
            </w:r>
          </w:p>
        </w:tc>
        <w:tc>
          <w:tcPr>
            <w:tcW w:w="1185" w:type="pct"/>
            <w:vAlign w:val="center"/>
          </w:tcPr>
          <w:p w14:paraId="3F72171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Olumsuz hava koşullarına ilişkin kısıtlamalar</w:t>
            </w:r>
          </w:p>
        </w:tc>
        <w:tc>
          <w:tcPr>
            <w:tcW w:w="2075" w:type="pct"/>
            <w:vAlign w:val="center"/>
          </w:tcPr>
          <w:p w14:paraId="16EC526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alanlarının tamamen kapatılmadığı durumlarda, olumsuz hava koşulları gözlemlenir veya tahmin edilirse, püskürtme ve/veya havasız püskürtmeli kaplama yapılmaz.</w:t>
            </w:r>
          </w:p>
        </w:tc>
        <w:tc>
          <w:tcPr>
            <w:tcW w:w="1586" w:type="pct"/>
            <w:vAlign w:val="center"/>
          </w:tcPr>
          <w:p w14:paraId="03210D3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6928BBAC" w14:textId="77777777" w:rsidTr="000D79D6">
        <w:trPr>
          <w:trHeight w:val="1379"/>
        </w:trPr>
        <w:tc>
          <w:tcPr>
            <w:tcW w:w="154" w:type="pct"/>
            <w:vAlign w:val="center"/>
          </w:tcPr>
          <w:p w14:paraId="3C2EEA0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185" w:type="pct"/>
            <w:vAlign w:val="center"/>
          </w:tcPr>
          <w:p w14:paraId="6ED5ADD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alanlarının kısmen kapatılması</w:t>
            </w:r>
          </w:p>
        </w:tc>
        <w:tc>
          <w:tcPr>
            <w:tcW w:w="2075" w:type="pct"/>
            <w:vAlign w:val="center"/>
          </w:tcPr>
          <w:p w14:paraId="167A148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Kumlama ve/veya havasız püskürtmeli kaplama yapılan alanların çevresinde toz emisyonunu önlemek için ince ağlar ve/veya su püskürtme perdeleri kullanılmaktadır. Bunlar kalıcı veya geçici olabilir.</w:t>
            </w:r>
          </w:p>
        </w:tc>
        <w:tc>
          <w:tcPr>
            <w:tcW w:w="1586" w:type="pct"/>
            <w:vAlign w:val="center"/>
          </w:tcPr>
          <w:p w14:paraId="647149C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kapatılacak alanın şekli ve boyutu ile sınırlandırılabilir. Soğuk iklim koşullarında su püskürtme perdeleri uygulanamayabilir.</w:t>
            </w:r>
          </w:p>
        </w:tc>
      </w:tr>
      <w:tr w:rsidR="003B155E" w:rsidRPr="000A5D99" w14:paraId="2D5BA77E" w14:textId="77777777" w:rsidTr="000D79D6">
        <w:trPr>
          <w:trHeight w:val="1610"/>
        </w:trPr>
        <w:tc>
          <w:tcPr>
            <w:tcW w:w="154" w:type="pct"/>
            <w:vAlign w:val="center"/>
          </w:tcPr>
          <w:p w14:paraId="5AB4A7E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185" w:type="pct"/>
            <w:vAlign w:val="center"/>
          </w:tcPr>
          <w:p w14:paraId="5F9A0A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alanlarının tam muhafazası</w:t>
            </w:r>
          </w:p>
        </w:tc>
        <w:tc>
          <w:tcPr>
            <w:tcW w:w="2075" w:type="pct"/>
            <w:vAlign w:val="center"/>
          </w:tcPr>
          <w:p w14:paraId="338E082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Salonlarda, kapalı atölyelerde, tekstil çadırlı alanlarda veya tamamen ağlarla çevrili alanlarda toz emisyonunu önlemek için kumlama ve/veya havasız püskürtmeli kaplama yapılır. İşleme alanlarından hava alınır ve gaz dışı işlemeye gönderilebilir; ayrıca bkz. </w:t>
            </w:r>
            <w:r w:rsidRPr="000A5D99">
              <w:rPr>
                <w:rFonts w:ascii="Times New Roman" w:eastAsia="Times New Roman" w:hAnsi="Times New Roman" w:cs="Times New Roman"/>
                <w:b/>
                <w:bCs/>
              </w:rPr>
              <w:t>MET 14 (b).</w:t>
            </w:r>
          </w:p>
        </w:tc>
        <w:tc>
          <w:tcPr>
            <w:tcW w:w="1586" w:type="pct"/>
            <w:vAlign w:val="center"/>
          </w:tcPr>
          <w:p w14:paraId="6ADCA2B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kapatılacak alanın şekli ve boyutu ile sınırlandırılabilir.</w:t>
            </w:r>
          </w:p>
        </w:tc>
      </w:tr>
      <w:tr w:rsidR="003B155E" w:rsidRPr="000A5D99" w14:paraId="47716B82" w14:textId="77777777" w:rsidTr="000D79D6">
        <w:trPr>
          <w:trHeight w:val="920"/>
        </w:trPr>
        <w:tc>
          <w:tcPr>
            <w:tcW w:w="154" w:type="pct"/>
            <w:vAlign w:val="center"/>
          </w:tcPr>
          <w:p w14:paraId="3035523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185" w:type="pct"/>
            <w:vAlign w:val="center"/>
          </w:tcPr>
          <w:p w14:paraId="08A089E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Kapalı bir sistemde kuru kumlama</w:t>
            </w:r>
          </w:p>
        </w:tc>
        <w:tc>
          <w:tcPr>
            <w:tcW w:w="2075" w:type="pct"/>
            <w:vAlign w:val="center"/>
          </w:tcPr>
          <w:p w14:paraId="11D684E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Çelik kum veya bilye kullanarak kuru kumlama, bir emiş başlığı ve santrifüj kumlama çarkları ile donatılmış kapalı kumlama sistemlerinde gerçekleştirilir.</w:t>
            </w:r>
          </w:p>
        </w:tc>
        <w:tc>
          <w:tcPr>
            <w:tcW w:w="1586" w:type="pct"/>
            <w:vAlign w:val="center"/>
          </w:tcPr>
          <w:p w14:paraId="6DB4AD8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2DB53D65" w14:textId="77777777" w:rsidTr="000D79D6">
        <w:trPr>
          <w:trHeight w:val="920"/>
        </w:trPr>
        <w:tc>
          <w:tcPr>
            <w:tcW w:w="154" w:type="pct"/>
            <w:vAlign w:val="center"/>
          </w:tcPr>
          <w:p w14:paraId="653629E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f</w:t>
            </w:r>
          </w:p>
        </w:tc>
        <w:tc>
          <w:tcPr>
            <w:tcW w:w="1185" w:type="pct"/>
            <w:vAlign w:val="center"/>
          </w:tcPr>
          <w:p w14:paraId="69F1536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Islak kumlama</w:t>
            </w:r>
          </w:p>
        </w:tc>
        <w:tc>
          <w:tcPr>
            <w:tcW w:w="2075" w:type="pct"/>
            <w:vAlign w:val="center"/>
          </w:tcPr>
          <w:p w14:paraId="6A1ABA1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Kumlama, ince cüruf (örneğin, bakır cüruf) veya silika gibi ince aşındırıcı malzeme içeren su ile gerçekleştirilir.</w:t>
            </w:r>
          </w:p>
        </w:tc>
        <w:tc>
          <w:tcPr>
            <w:tcW w:w="1586" w:type="pct"/>
            <w:vAlign w:val="center"/>
          </w:tcPr>
          <w:p w14:paraId="1E61EC5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Yoğun sis oluşumundan dolayı soğuk iklim koşullarında ve/veya kapalı alanlarda (kargo tankları, çift dipli tanklar) uygulanmayabilir.</w:t>
            </w:r>
          </w:p>
        </w:tc>
      </w:tr>
      <w:tr w:rsidR="003B155E" w:rsidRPr="000A5D99" w14:paraId="4E363852" w14:textId="77777777" w:rsidTr="000D79D6">
        <w:trPr>
          <w:trHeight w:val="283"/>
        </w:trPr>
        <w:tc>
          <w:tcPr>
            <w:tcW w:w="154" w:type="pct"/>
            <w:vAlign w:val="center"/>
          </w:tcPr>
          <w:p w14:paraId="1D0119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g</w:t>
            </w:r>
          </w:p>
        </w:tc>
        <w:tc>
          <w:tcPr>
            <w:tcW w:w="1185" w:type="pct"/>
            <w:vAlign w:val="center"/>
          </w:tcPr>
          <w:p w14:paraId="4E3AD8E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(Ultra-)Yüksek Basınçlı ((U)HP) su jeti veya kumlama</w:t>
            </w:r>
          </w:p>
        </w:tc>
        <w:tc>
          <w:tcPr>
            <w:tcW w:w="2075" w:type="pct"/>
            <w:vAlign w:val="center"/>
          </w:tcPr>
          <w:p w14:paraId="429FD44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(U)HP püskürtme, çok yüksek basınçlı su kullanan tozsuz bir yüzey işleme yöntemidir. Aşındırıcılı ve aşındırıcısız seçenekleri mevcuttur.</w:t>
            </w:r>
          </w:p>
        </w:tc>
        <w:tc>
          <w:tcPr>
            <w:tcW w:w="1586" w:type="pct"/>
            <w:vAlign w:val="center"/>
          </w:tcPr>
          <w:p w14:paraId="089EC69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Soğuk iklim koşullarında veya yüzey özellikleri nedeniyle (örneğin; yeni yüzeyler, nokta püskürtme) uygulanamayabilir.</w:t>
            </w:r>
          </w:p>
        </w:tc>
      </w:tr>
      <w:tr w:rsidR="003B155E" w:rsidRPr="000A5D99" w14:paraId="0392CFB2" w14:textId="77777777" w:rsidTr="000D79D6">
        <w:trPr>
          <w:trHeight w:val="920"/>
        </w:trPr>
        <w:tc>
          <w:tcPr>
            <w:tcW w:w="154" w:type="pct"/>
            <w:vAlign w:val="center"/>
          </w:tcPr>
          <w:p w14:paraId="111B7FF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h</w:t>
            </w:r>
          </w:p>
        </w:tc>
        <w:tc>
          <w:tcPr>
            <w:tcW w:w="1185" w:type="pct"/>
            <w:vAlign w:val="center"/>
          </w:tcPr>
          <w:p w14:paraId="670959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Kaplamaların indüksiyonla ısıtılarak soyulması</w:t>
            </w:r>
          </w:p>
        </w:tc>
        <w:tc>
          <w:tcPr>
            <w:tcW w:w="2075" w:type="pct"/>
            <w:vAlign w:val="center"/>
          </w:tcPr>
          <w:p w14:paraId="6CC178F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Bir indüksiyon başlığı yüzey üzerinde hareket ettirilerek çeliğin bölgesel olarak hızlı ısınmasına neden olur ve eski kaplamaların kaldırılması sağlanır.</w:t>
            </w:r>
          </w:p>
        </w:tc>
        <w:tc>
          <w:tcPr>
            <w:tcW w:w="1586" w:type="pct"/>
            <w:vAlign w:val="center"/>
          </w:tcPr>
          <w:p w14:paraId="5549998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Kalınlığı 5 mm'den az olan yüzeylerde ve/veya indüksiyonla ısıtmaya duyarlı bileşenleri olan yüzeylerde (örneğin; yalıtım, yanıcı malzemeler) uygulanmayabilir.</w:t>
            </w:r>
          </w:p>
        </w:tc>
      </w:tr>
      <w:tr w:rsidR="003B155E" w:rsidRPr="000A5D99" w14:paraId="6C3523AC" w14:textId="77777777" w:rsidTr="000D79D6">
        <w:trPr>
          <w:trHeight w:val="920"/>
        </w:trPr>
        <w:tc>
          <w:tcPr>
            <w:tcW w:w="154" w:type="pct"/>
            <w:vAlign w:val="center"/>
          </w:tcPr>
          <w:p w14:paraId="32368D5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i</w:t>
            </w:r>
          </w:p>
        </w:tc>
        <w:tc>
          <w:tcPr>
            <w:tcW w:w="1185" w:type="pct"/>
            <w:vAlign w:val="center"/>
          </w:tcPr>
          <w:p w14:paraId="71DA47B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Sualtı gövde ve pervane temizleme sistemi</w:t>
            </w:r>
          </w:p>
        </w:tc>
        <w:tc>
          <w:tcPr>
            <w:tcW w:w="2075" w:type="pct"/>
            <w:vAlign w:val="center"/>
          </w:tcPr>
          <w:p w14:paraId="5DFDCE8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 basıncı ve döner polipropilen fırçalar kullanılan su altı temizleme sistemidir.</w:t>
            </w:r>
          </w:p>
        </w:tc>
        <w:tc>
          <w:tcPr>
            <w:tcW w:w="1586" w:type="pct"/>
            <w:vAlign w:val="center"/>
          </w:tcPr>
          <w:p w14:paraId="6CEA1BB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rPr>
            </w:pPr>
            <w:r w:rsidRPr="000A5D99">
              <w:rPr>
                <w:rFonts w:ascii="Times New Roman" w:eastAsia="Times New Roman" w:hAnsi="Times New Roman" w:cs="Times New Roman"/>
              </w:rPr>
              <w:t>Tam kuru havuzdaki gemiler için geçerli değildir.</w:t>
            </w:r>
          </w:p>
        </w:tc>
      </w:tr>
    </w:tbl>
    <w:p w14:paraId="4DA67DB0"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rPr>
      </w:pPr>
      <w:r w:rsidRPr="000A5D99">
        <w:rPr>
          <w:rFonts w:ascii="Times New Roman" w:eastAsia="Calibri" w:hAnsi="Times New Roman" w:cs="Calibri"/>
          <w:bCs/>
          <w:i/>
          <w:color w:val="000000"/>
          <w:sz w:val="24"/>
          <w:szCs w:val="24"/>
        </w:rPr>
        <w:t>Tablo 12</w:t>
      </w:r>
    </w:p>
    <w:p w14:paraId="07309AB0"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rPr>
      </w:pPr>
      <w:r w:rsidRPr="000A5D99">
        <w:rPr>
          <w:rFonts w:ascii="Times New Roman" w:eastAsia="Calibri" w:hAnsi="Times New Roman" w:cs="Calibri"/>
          <w:b/>
          <w:iCs/>
          <w:color w:val="000000"/>
          <w:sz w:val="24"/>
          <w:szCs w:val="24"/>
        </w:rPr>
        <w:t>Gemilerin ve yatların kaplamasından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20"/>
        <w:gridCol w:w="2294"/>
        <w:gridCol w:w="2148"/>
      </w:tblGrid>
      <w:tr w:rsidR="003B155E" w:rsidRPr="000A5D99" w14:paraId="4A50FB3B" w14:textId="77777777" w:rsidTr="000D79D6">
        <w:trPr>
          <w:trHeight w:val="460"/>
          <w:tblHeader/>
        </w:trPr>
        <w:tc>
          <w:tcPr>
            <w:tcW w:w="2549" w:type="pct"/>
            <w:vAlign w:val="center"/>
          </w:tcPr>
          <w:p w14:paraId="6EAB0BE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lastRenderedPageBreak/>
              <w:t>Parametre</w:t>
            </w:r>
          </w:p>
        </w:tc>
        <w:tc>
          <w:tcPr>
            <w:tcW w:w="1266" w:type="pct"/>
            <w:vAlign w:val="center"/>
          </w:tcPr>
          <w:p w14:paraId="32F599E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185" w:type="pct"/>
            <w:vAlign w:val="center"/>
          </w:tcPr>
          <w:p w14:paraId="131F0BA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290F482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4EAB74A7" w14:textId="77777777" w:rsidTr="000D79D6">
        <w:trPr>
          <w:trHeight w:val="586"/>
        </w:trPr>
        <w:tc>
          <w:tcPr>
            <w:tcW w:w="2549" w:type="pct"/>
            <w:vAlign w:val="center"/>
          </w:tcPr>
          <w:p w14:paraId="1FC2DD3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266" w:type="pct"/>
            <w:vAlign w:val="center"/>
          </w:tcPr>
          <w:p w14:paraId="11ACD46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kg katı kütle girdisi başına kg UOB</w:t>
            </w:r>
          </w:p>
        </w:tc>
        <w:tc>
          <w:tcPr>
            <w:tcW w:w="1185" w:type="pct"/>
            <w:vAlign w:val="center"/>
          </w:tcPr>
          <w:p w14:paraId="2E5D5C5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0,375</w:t>
            </w:r>
          </w:p>
        </w:tc>
      </w:tr>
    </w:tbl>
    <w:p w14:paraId="22A713B8"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w:t>
      </w:r>
      <w:r w:rsidRPr="0096283A">
        <w:rPr>
          <w:rFonts w:ascii="Times New Roman" w:eastAsia="Calibri" w:hAnsi="Times New Roman" w:cs="Calibri"/>
          <w:sz w:val="24"/>
          <w:lang w:val="es-ES"/>
        </w:rPr>
        <w:t>izleme MET 10'da verilmişt</w:t>
      </w:r>
      <w:r w:rsidRPr="000A5D99">
        <w:rPr>
          <w:rFonts w:ascii="Times New Roman" w:eastAsia="Calibri" w:hAnsi="Times New Roman" w:cs="Calibri"/>
          <w:sz w:val="24"/>
          <w:lang w:val="es-ES"/>
        </w:rPr>
        <w:t>ir.</w:t>
      </w:r>
    </w:p>
    <w:p w14:paraId="7EAC46A4"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96" w:name="_Toc137210496"/>
      <w:r w:rsidRPr="000A5D99">
        <w:rPr>
          <w:rFonts w:ascii="Times New Roman" w:eastAsia="DengXian Light" w:hAnsi="Times New Roman" w:cs="Microsoft Uighur"/>
          <w:b/>
          <w:sz w:val="24"/>
          <w:szCs w:val="32"/>
          <w:lang w:val="es-ES"/>
        </w:rPr>
        <w:t>Uçakların Kaplanmasına İlişkin M</w:t>
      </w:r>
      <w:bookmarkEnd w:id="96"/>
      <w:r w:rsidRPr="000A5D99">
        <w:rPr>
          <w:rFonts w:ascii="Times New Roman" w:eastAsia="DengXian Light" w:hAnsi="Times New Roman" w:cs="Microsoft Uighur"/>
          <w:b/>
          <w:sz w:val="24"/>
          <w:szCs w:val="32"/>
          <w:lang w:val="es-ES"/>
        </w:rPr>
        <w:t>ET Sonuçları</w:t>
      </w:r>
    </w:p>
    <w:p w14:paraId="321F08C0"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Bu bölümdeki MET, hava taşıtının kaplaması için geçerlidir genel MET’e ek olarak uygulanmaktadır.</w:t>
      </w:r>
    </w:p>
    <w:p w14:paraId="6B9F7B4C"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26: </w:t>
      </w:r>
      <w:r w:rsidRPr="000A5D99">
        <w:rPr>
          <w:rFonts w:ascii="Times New Roman" w:eastAsia="Calibri" w:hAnsi="Times New Roman" w:cs="Calibri"/>
          <w:sz w:val="24"/>
          <w:lang w:val="es-ES"/>
        </w:rPr>
        <w:t>UOB'lerin toplam emisyonlarını azaltmak ve uçak kaplamasının genel çevresel performansını iyileştirmek için, (a) tekniği veya aşağıda verilen tekniklerin her ikisi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1696"/>
        <w:gridCol w:w="3705"/>
        <w:gridCol w:w="3382"/>
      </w:tblGrid>
      <w:tr w:rsidR="003B155E" w:rsidRPr="000A5D99" w14:paraId="4C57238C" w14:textId="77777777" w:rsidTr="000D79D6">
        <w:trPr>
          <w:trHeight w:val="282"/>
          <w:tblHeader/>
        </w:trPr>
        <w:tc>
          <w:tcPr>
            <w:tcW w:w="154" w:type="pct"/>
            <w:tcBorders>
              <w:top w:val="single" w:sz="4" w:space="0" w:color="auto"/>
              <w:right w:val="single" w:sz="4" w:space="0" w:color="auto"/>
            </w:tcBorders>
          </w:tcPr>
          <w:p w14:paraId="604A12BC"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936" w:type="pct"/>
            <w:tcBorders>
              <w:top w:val="single" w:sz="4" w:space="0" w:color="auto"/>
              <w:left w:val="single" w:sz="4" w:space="0" w:color="auto"/>
            </w:tcBorders>
            <w:vAlign w:val="center"/>
          </w:tcPr>
          <w:p w14:paraId="14BDA78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044" w:type="pct"/>
            <w:vAlign w:val="center"/>
          </w:tcPr>
          <w:p w14:paraId="4AD0380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866" w:type="pct"/>
            <w:vAlign w:val="center"/>
          </w:tcPr>
          <w:p w14:paraId="31029D3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7543035B" w14:textId="77777777" w:rsidTr="000D79D6">
        <w:trPr>
          <w:trHeight w:val="460"/>
        </w:trPr>
        <w:tc>
          <w:tcPr>
            <w:tcW w:w="154" w:type="pct"/>
            <w:vAlign w:val="center"/>
          </w:tcPr>
          <w:p w14:paraId="45FB8B6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936" w:type="pct"/>
            <w:vAlign w:val="center"/>
          </w:tcPr>
          <w:p w14:paraId="5E1FA43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Muhafaza</w:t>
            </w:r>
          </w:p>
        </w:tc>
        <w:tc>
          <w:tcPr>
            <w:tcW w:w="2044" w:type="pct"/>
            <w:vAlign w:val="center"/>
          </w:tcPr>
          <w:p w14:paraId="7EEBBBD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Bileşen parçaları, kapalı püskürtme kabinlerinde kaplanır (bkz. </w:t>
            </w:r>
            <w:r w:rsidRPr="000A5D99">
              <w:rPr>
                <w:rFonts w:ascii="Times New Roman" w:eastAsia="Times New Roman" w:hAnsi="Times New Roman" w:cs="Times New Roman"/>
                <w:b/>
                <w:bCs/>
              </w:rPr>
              <w:t>MET 14 (b)</w:t>
            </w:r>
            <w:r w:rsidRPr="000A5D99">
              <w:rPr>
                <w:rFonts w:ascii="Times New Roman" w:eastAsia="Times New Roman" w:hAnsi="Times New Roman" w:cs="Times New Roman"/>
              </w:rPr>
              <w:t>).</w:t>
            </w:r>
          </w:p>
        </w:tc>
        <w:tc>
          <w:tcPr>
            <w:tcW w:w="1866" w:type="pct"/>
            <w:vAlign w:val="center"/>
          </w:tcPr>
          <w:p w14:paraId="34928D4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4DFE4195" w14:textId="77777777" w:rsidTr="000D79D6">
        <w:trPr>
          <w:trHeight w:val="920"/>
        </w:trPr>
        <w:tc>
          <w:tcPr>
            <w:tcW w:w="154" w:type="pct"/>
            <w:vAlign w:val="center"/>
          </w:tcPr>
          <w:p w14:paraId="26E4B21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936" w:type="pct"/>
            <w:vAlign w:val="center"/>
          </w:tcPr>
          <w:p w14:paraId="2E911C4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Doğrudan baskı</w:t>
            </w:r>
          </w:p>
        </w:tc>
        <w:tc>
          <w:tcPr>
            <w:tcW w:w="2044" w:type="pct"/>
            <w:vAlign w:val="center"/>
          </w:tcPr>
          <w:p w14:paraId="0FF5EC2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Karmaşık desenleri doğrudan uçak parçalarına basmak için baskı cihazı kullanılır.</w:t>
            </w:r>
          </w:p>
        </w:tc>
        <w:tc>
          <w:tcPr>
            <w:tcW w:w="1866" w:type="pct"/>
            <w:vAlign w:val="center"/>
          </w:tcPr>
          <w:p w14:paraId="6870E49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teknik hususlarla kısıtlanabilir (örneğin, aplikatör kızağının erişilebilirliği, özelleştirilmiş renkler).</w:t>
            </w:r>
          </w:p>
        </w:tc>
      </w:tr>
    </w:tbl>
    <w:p w14:paraId="2E26CAF8"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rPr>
      </w:pPr>
      <w:r w:rsidRPr="000A5D99">
        <w:rPr>
          <w:rFonts w:ascii="Times New Roman" w:eastAsia="Calibri" w:hAnsi="Times New Roman" w:cs="Calibri"/>
          <w:bCs/>
          <w:i/>
          <w:color w:val="000000"/>
          <w:sz w:val="24"/>
          <w:szCs w:val="24"/>
        </w:rPr>
        <w:t>Tablo 13</w:t>
      </w:r>
    </w:p>
    <w:p w14:paraId="21455DC5"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rPr>
      </w:pPr>
      <w:r w:rsidRPr="000A5D99">
        <w:rPr>
          <w:rFonts w:ascii="Times New Roman" w:eastAsia="Calibri" w:hAnsi="Times New Roman" w:cs="Calibri"/>
          <w:b/>
          <w:iCs/>
          <w:color w:val="000000"/>
          <w:sz w:val="24"/>
          <w:szCs w:val="24"/>
        </w:rPr>
        <w:t>Uçağın kaplamasından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5"/>
        <w:gridCol w:w="2485"/>
        <w:gridCol w:w="2322"/>
      </w:tblGrid>
      <w:tr w:rsidR="003B155E" w:rsidRPr="000A5D99" w14:paraId="45613A56" w14:textId="77777777" w:rsidTr="000D79D6">
        <w:trPr>
          <w:trHeight w:val="460"/>
          <w:tblHeader/>
        </w:trPr>
        <w:tc>
          <w:tcPr>
            <w:tcW w:w="2348" w:type="pct"/>
            <w:vAlign w:val="center"/>
          </w:tcPr>
          <w:p w14:paraId="7D2B019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371" w:type="pct"/>
            <w:vAlign w:val="center"/>
          </w:tcPr>
          <w:p w14:paraId="75E8F27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281" w:type="pct"/>
            <w:vAlign w:val="center"/>
          </w:tcPr>
          <w:p w14:paraId="04A9CB2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00E3FCA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18F17EBC" w14:textId="77777777" w:rsidTr="000D79D6">
        <w:trPr>
          <w:trHeight w:val="707"/>
        </w:trPr>
        <w:tc>
          <w:tcPr>
            <w:tcW w:w="2348" w:type="pct"/>
            <w:vAlign w:val="center"/>
          </w:tcPr>
          <w:p w14:paraId="3E07C5A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371" w:type="pct"/>
            <w:vAlign w:val="center"/>
          </w:tcPr>
          <w:p w14:paraId="4B36060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kg katı kütle girdisi başına kg UOB</w:t>
            </w:r>
          </w:p>
        </w:tc>
        <w:tc>
          <w:tcPr>
            <w:tcW w:w="1281" w:type="pct"/>
            <w:vAlign w:val="center"/>
          </w:tcPr>
          <w:p w14:paraId="7293535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0,2–0,58</w:t>
            </w:r>
          </w:p>
        </w:tc>
      </w:tr>
    </w:tbl>
    <w:p w14:paraId="0397C073"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6FBEC08F"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97" w:name="_Toc137210497"/>
      <w:r w:rsidRPr="000A5D99">
        <w:rPr>
          <w:rFonts w:ascii="Times New Roman" w:eastAsia="DengXian Light" w:hAnsi="Times New Roman" w:cs="Microsoft Uighur"/>
          <w:b/>
          <w:sz w:val="24"/>
          <w:szCs w:val="32"/>
          <w:lang w:val="es-ES"/>
        </w:rPr>
        <w:t>Bobin Kaplamaya İlişkin M</w:t>
      </w:r>
      <w:bookmarkEnd w:id="97"/>
      <w:r w:rsidRPr="000A5D99">
        <w:rPr>
          <w:rFonts w:ascii="Times New Roman" w:eastAsia="DengXian Light" w:hAnsi="Times New Roman" w:cs="Microsoft Uighur"/>
          <w:b/>
          <w:sz w:val="24"/>
          <w:szCs w:val="32"/>
          <w:lang w:val="es-ES"/>
        </w:rPr>
        <w:t>ET Sonuçları</w:t>
      </w:r>
    </w:p>
    <w:p w14:paraId="03EE246A" w14:textId="52E39388" w:rsidR="003B155E"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Aşağıda verilen bobin kaplama emisyon seviyeleri, genel MET’le ilişkili emisyon seviyelerini göstermektedir.</w:t>
      </w:r>
    </w:p>
    <w:p w14:paraId="7F9FA41D" w14:textId="2A67F954" w:rsidR="004B4E52" w:rsidRDefault="004B4E52" w:rsidP="003B155E">
      <w:pPr>
        <w:spacing w:before="240" w:after="0" w:line="360" w:lineRule="auto"/>
        <w:jc w:val="both"/>
        <w:rPr>
          <w:rFonts w:ascii="Times New Roman" w:eastAsia="Calibri" w:hAnsi="Times New Roman" w:cs="Calibri"/>
          <w:sz w:val="24"/>
          <w:lang w:val="es-ES"/>
        </w:rPr>
      </w:pPr>
    </w:p>
    <w:p w14:paraId="71D4CAAD" w14:textId="77777777" w:rsidR="004B4E52" w:rsidRPr="000A5D99" w:rsidRDefault="004B4E52" w:rsidP="003B155E">
      <w:pPr>
        <w:spacing w:before="240" w:after="0" w:line="360" w:lineRule="auto"/>
        <w:jc w:val="both"/>
        <w:rPr>
          <w:rFonts w:ascii="Times New Roman" w:eastAsia="Calibri" w:hAnsi="Times New Roman" w:cs="Calibri"/>
          <w:sz w:val="24"/>
          <w:lang w:val="es-ES"/>
        </w:rPr>
      </w:pPr>
    </w:p>
    <w:p w14:paraId="61F7B0BA"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14</w:t>
      </w:r>
    </w:p>
    <w:p w14:paraId="7643AE94" w14:textId="77777777" w:rsidR="003B155E"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lastRenderedPageBreak/>
        <w:t>Bobin kaplamadan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84"/>
        <w:gridCol w:w="2675"/>
        <w:gridCol w:w="2903"/>
      </w:tblGrid>
      <w:tr w:rsidR="003B155E" w:rsidRPr="000A5D99" w14:paraId="14DC6566" w14:textId="77777777" w:rsidTr="000D79D6">
        <w:trPr>
          <w:trHeight w:val="460"/>
        </w:trPr>
        <w:tc>
          <w:tcPr>
            <w:tcW w:w="1922" w:type="pct"/>
            <w:vAlign w:val="center"/>
          </w:tcPr>
          <w:p w14:paraId="50589FD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476" w:type="pct"/>
            <w:vAlign w:val="center"/>
          </w:tcPr>
          <w:p w14:paraId="72F9108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02" w:type="pct"/>
            <w:vAlign w:val="center"/>
          </w:tcPr>
          <w:p w14:paraId="57FB52C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5FA3400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2F249808" w14:textId="77777777" w:rsidTr="000D79D6">
        <w:trPr>
          <w:trHeight w:val="492"/>
        </w:trPr>
        <w:tc>
          <w:tcPr>
            <w:tcW w:w="1922" w:type="pct"/>
            <w:vAlign w:val="center"/>
          </w:tcPr>
          <w:p w14:paraId="662AC28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476" w:type="pct"/>
            <w:vAlign w:val="center"/>
          </w:tcPr>
          <w:p w14:paraId="1174E7DF" w14:textId="77777777" w:rsidR="003B155E" w:rsidRPr="000A5D99" w:rsidRDefault="003B155E" w:rsidP="000D79D6">
            <w:pPr>
              <w:widowControl w:val="0"/>
              <w:autoSpaceDE w:val="0"/>
              <w:autoSpaceDN w:val="0"/>
              <w:spacing w:after="0" w:line="240" w:lineRule="auto"/>
              <w:ind w:left="424" w:right="74" w:hanging="350"/>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602" w:type="pct"/>
            <w:vAlign w:val="center"/>
          </w:tcPr>
          <w:p w14:paraId="4CF0060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1–3</w:t>
            </w:r>
          </w:p>
        </w:tc>
      </w:tr>
    </w:tbl>
    <w:p w14:paraId="29E9420D"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4B4E52">
        <w:rPr>
          <w:rFonts w:ascii="Times New Roman" w:eastAsia="Calibri" w:hAnsi="Times New Roman" w:cs="Calibri"/>
          <w:sz w:val="24"/>
          <w:lang w:val="es-ES"/>
        </w:rPr>
        <w:t>MET 10'da</w:t>
      </w:r>
      <w:r w:rsidRPr="000A5D99">
        <w:rPr>
          <w:rFonts w:ascii="Times New Roman" w:eastAsia="Calibri" w:hAnsi="Times New Roman" w:cs="Calibri"/>
          <w:sz w:val="24"/>
          <w:lang w:val="es-ES"/>
        </w:rPr>
        <w:t xml:space="preserve"> verilmiştir.</w:t>
      </w:r>
    </w:p>
    <w:p w14:paraId="7497A9B6"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15</w:t>
      </w:r>
    </w:p>
    <w:p w14:paraId="7956A5C6"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Bobin kaplamadan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24"/>
        <w:gridCol w:w="3360"/>
        <w:gridCol w:w="2978"/>
      </w:tblGrid>
      <w:tr w:rsidR="003B155E" w:rsidRPr="000A5D99" w14:paraId="3882987D" w14:textId="77777777" w:rsidTr="000D79D6">
        <w:trPr>
          <w:trHeight w:val="689"/>
          <w:tblHeader/>
        </w:trPr>
        <w:tc>
          <w:tcPr>
            <w:tcW w:w="1503" w:type="pct"/>
            <w:vAlign w:val="center"/>
          </w:tcPr>
          <w:p w14:paraId="0C22841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854" w:type="pct"/>
            <w:vAlign w:val="center"/>
          </w:tcPr>
          <w:p w14:paraId="2332DE4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43" w:type="pct"/>
            <w:vAlign w:val="center"/>
          </w:tcPr>
          <w:p w14:paraId="7186BEF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5958A36E" w14:textId="77777777" w:rsidR="003B155E" w:rsidRPr="000A5D99" w:rsidRDefault="003B155E" w:rsidP="000D79D6">
            <w:pPr>
              <w:widowControl w:val="0"/>
              <w:autoSpaceDE w:val="0"/>
              <w:autoSpaceDN w:val="0"/>
              <w:spacing w:after="0" w:line="240" w:lineRule="auto"/>
              <w:ind w:left="74" w:right="74" w:hanging="2"/>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0BB2FAA1" w14:textId="77777777" w:rsidTr="000D79D6">
        <w:trPr>
          <w:trHeight w:val="452"/>
        </w:trPr>
        <w:tc>
          <w:tcPr>
            <w:tcW w:w="1503" w:type="pct"/>
            <w:vAlign w:val="center"/>
          </w:tcPr>
          <w:p w14:paraId="0520D1F9"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854" w:type="pct"/>
            <w:vAlign w:val="center"/>
          </w:tcPr>
          <w:p w14:paraId="5723F9C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643" w:type="pct"/>
            <w:vAlign w:val="center"/>
          </w:tcPr>
          <w:p w14:paraId="1A32033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1–20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r>
      <w:tr w:rsidR="003B155E" w:rsidRPr="000A5D99" w14:paraId="3F265D4D" w14:textId="77777777" w:rsidTr="000D79D6">
        <w:trPr>
          <w:trHeight w:val="827"/>
        </w:trPr>
        <w:tc>
          <w:tcPr>
            <w:tcW w:w="5000" w:type="pct"/>
            <w:gridSpan w:val="3"/>
            <w:vAlign w:val="center"/>
          </w:tcPr>
          <w:p w14:paraId="6C45A031" w14:textId="77777777" w:rsidR="003B155E" w:rsidRPr="0082590D" w:rsidRDefault="003B155E" w:rsidP="003B155E">
            <w:pPr>
              <w:widowControl w:val="0"/>
              <w:numPr>
                <w:ilvl w:val="0"/>
                <w:numId w:val="140"/>
              </w:numPr>
              <w:tabs>
                <w:tab w:val="left" w:pos="343"/>
              </w:tabs>
              <w:autoSpaceDE w:val="0"/>
              <w:autoSpaceDN w:val="0"/>
              <w:spacing w:after="0" w:line="240" w:lineRule="auto"/>
              <w:ind w:left="74" w:right="74" w:firstLine="0"/>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aralığının üst sınırı, geri kazanılan solventin yeniden kullanılmasına/geri dönüştürülmesine izin veren teknikler kullanılıyorsa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tür.</w:t>
            </w:r>
          </w:p>
          <w:p w14:paraId="461F705C" w14:textId="77777777" w:rsidR="003B155E" w:rsidRPr="000A5D99" w:rsidRDefault="003B155E" w:rsidP="003B155E">
            <w:pPr>
              <w:widowControl w:val="0"/>
              <w:numPr>
                <w:ilvl w:val="0"/>
                <w:numId w:val="140"/>
              </w:numPr>
              <w:tabs>
                <w:tab w:val="left" w:pos="351"/>
              </w:tabs>
              <w:autoSpaceDE w:val="0"/>
              <w:autoSpaceDN w:val="0"/>
              <w:spacing w:after="0" w:line="240" w:lineRule="auto"/>
              <w:ind w:left="74" w:right="74" w:firstLine="0"/>
              <w:jc w:val="both"/>
              <w:rPr>
                <w:rFonts w:ascii="Times New Roman" w:eastAsia="Times New Roman" w:hAnsi="Times New Roman" w:cs="Times New Roman"/>
              </w:rPr>
            </w:pPr>
            <w:r w:rsidRPr="0082590D">
              <w:rPr>
                <w:rFonts w:ascii="Times New Roman" w:eastAsia="Times New Roman" w:hAnsi="Times New Roman" w:cs="Times New Roman"/>
                <w:sz w:val="20"/>
                <w:szCs w:val="20"/>
              </w:rPr>
              <w:t xml:space="preserve">Bir çıkış gazı işleme tekniği ile </w:t>
            </w:r>
            <w:r w:rsidRPr="004B4E52">
              <w:rPr>
                <w:rFonts w:ascii="Times New Roman" w:eastAsia="Times New Roman" w:hAnsi="Times New Roman" w:cs="Times New Roman"/>
                <w:sz w:val="20"/>
                <w:szCs w:val="20"/>
              </w:rPr>
              <w:t>birlikte MET 16 (c)</w:t>
            </w:r>
            <w:r w:rsidRPr="0082590D">
              <w:rPr>
                <w:rFonts w:ascii="Times New Roman" w:eastAsia="Times New Roman" w:hAnsi="Times New Roman" w:cs="Times New Roman"/>
                <w:sz w:val="20"/>
                <w:szCs w:val="20"/>
              </w:rPr>
              <w:t xml:space="preserve"> kullanan tesisler için, yoğunlaştırıcının atık gazına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ten daha düşük bir ek MET-İES uygulanır.</w:t>
            </w:r>
          </w:p>
        </w:tc>
      </w:tr>
    </w:tbl>
    <w:p w14:paraId="3DD631AF"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w:t>
      </w:r>
      <w:r w:rsidRPr="004B4E52">
        <w:rPr>
          <w:rFonts w:ascii="Times New Roman" w:eastAsia="Calibri" w:hAnsi="Times New Roman" w:cs="Calibri"/>
          <w:sz w:val="24"/>
          <w:lang w:val="es-ES"/>
        </w:rPr>
        <w:t>izleme MET 11'de</w:t>
      </w:r>
      <w:r w:rsidRPr="000A5D99">
        <w:rPr>
          <w:rFonts w:ascii="Times New Roman" w:eastAsia="Calibri" w:hAnsi="Times New Roman" w:cs="Calibri"/>
          <w:sz w:val="24"/>
          <w:lang w:val="es-ES"/>
        </w:rPr>
        <w:t xml:space="preserve"> verilmiştir.</w:t>
      </w:r>
    </w:p>
    <w:p w14:paraId="5D3CD0D4"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98" w:name="_Toc137210498"/>
      <w:r w:rsidRPr="000A5D99">
        <w:rPr>
          <w:rFonts w:ascii="Times New Roman" w:eastAsia="DengXian Light" w:hAnsi="Times New Roman" w:cs="Microsoft Uighur"/>
          <w:b/>
          <w:sz w:val="24"/>
          <w:szCs w:val="32"/>
          <w:lang w:val="es-ES"/>
        </w:rPr>
        <w:t>Yapışkan Bantların Üretimine İlişkin M</w:t>
      </w:r>
      <w:bookmarkEnd w:id="98"/>
      <w:r w:rsidRPr="000A5D99">
        <w:rPr>
          <w:rFonts w:ascii="Times New Roman" w:eastAsia="DengXian Light" w:hAnsi="Times New Roman" w:cs="Microsoft Uighur"/>
          <w:b/>
          <w:sz w:val="24"/>
          <w:szCs w:val="32"/>
          <w:lang w:val="es-ES"/>
        </w:rPr>
        <w:t>ET Sonuçları</w:t>
      </w:r>
    </w:p>
    <w:p w14:paraId="01242F15"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Aşağıda verilen yapışkan bantların üretimi için emisyon seviyeleri, genel MET’le ilişkili emisyon seviyelerini göstermektedir.</w:t>
      </w:r>
    </w:p>
    <w:p w14:paraId="642EF8D7"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16</w:t>
      </w:r>
    </w:p>
    <w:p w14:paraId="790D437E"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Yapışkan bantların üretiminden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17"/>
        <w:gridCol w:w="3342"/>
        <w:gridCol w:w="2403"/>
      </w:tblGrid>
      <w:tr w:rsidR="003B155E" w:rsidRPr="000A5D99" w14:paraId="742D5898" w14:textId="77777777" w:rsidTr="000D79D6">
        <w:trPr>
          <w:trHeight w:val="459"/>
        </w:trPr>
        <w:tc>
          <w:tcPr>
            <w:tcW w:w="1830" w:type="pct"/>
            <w:vAlign w:val="center"/>
          </w:tcPr>
          <w:p w14:paraId="0CE339F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844" w:type="pct"/>
            <w:vAlign w:val="center"/>
          </w:tcPr>
          <w:p w14:paraId="0432FED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326" w:type="pct"/>
            <w:vAlign w:val="center"/>
          </w:tcPr>
          <w:p w14:paraId="33663BB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740EBB1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00EC9EEB" w14:textId="77777777" w:rsidTr="000D79D6">
        <w:trPr>
          <w:trHeight w:val="690"/>
        </w:trPr>
        <w:tc>
          <w:tcPr>
            <w:tcW w:w="1830" w:type="pct"/>
            <w:vAlign w:val="center"/>
          </w:tcPr>
          <w:p w14:paraId="0AACB23D"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844" w:type="pct"/>
            <w:vAlign w:val="center"/>
          </w:tcPr>
          <w:p w14:paraId="1E3E7AB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326" w:type="pct"/>
            <w:vAlign w:val="center"/>
          </w:tcPr>
          <w:p w14:paraId="5DF7A7C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1–3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639753D3" w14:textId="77777777" w:rsidTr="000D79D6">
        <w:trPr>
          <w:trHeight w:val="223"/>
        </w:trPr>
        <w:tc>
          <w:tcPr>
            <w:tcW w:w="5000" w:type="pct"/>
            <w:gridSpan w:val="3"/>
          </w:tcPr>
          <w:p w14:paraId="10994922"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i/>
                <w:iCs/>
                <w:sz w:val="20"/>
                <w:szCs w:val="20"/>
              </w:rPr>
            </w:pPr>
            <w:r w:rsidRPr="000A5D99">
              <w:rPr>
                <w:rFonts w:ascii="Times New Roman" w:eastAsia="Times New Roman" w:hAnsi="Times New Roman" w:cs="Times New Roman"/>
                <w:i/>
                <w:iCs/>
                <w:sz w:val="20"/>
                <w:szCs w:val="20"/>
              </w:rPr>
              <w:t>(</w:t>
            </w:r>
            <w:r w:rsidRPr="000A5D99">
              <w:rPr>
                <w:rFonts w:ascii="Times New Roman" w:eastAsia="Times New Roman" w:hAnsi="Times New Roman" w:cs="Times New Roman"/>
                <w:i/>
                <w:iCs/>
                <w:sz w:val="20"/>
                <w:szCs w:val="20"/>
                <w:vertAlign w:val="superscript"/>
              </w:rPr>
              <w:t>1</w:t>
            </w:r>
            <w:r w:rsidRPr="000A5D99">
              <w:rPr>
                <w:rFonts w:ascii="Times New Roman" w:eastAsia="Times New Roman" w:hAnsi="Times New Roman" w:cs="Times New Roman"/>
                <w:i/>
                <w:iCs/>
                <w:sz w:val="20"/>
                <w:szCs w:val="20"/>
              </w:rPr>
              <w:t>) Bu MET-İES, geçici yüzey korumasında kullanılan plastik filmlerin imalatı için geçerli olmayabilir.</w:t>
            </w:r>
          </w:p>
        </w:tc>
      </w:tr>
    </w:tbl>
    <w:p w14:paraId="3F77AD04"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4B4E52">
        <w:rPr>
          <w:rFonts w:ascii="Times New Roman" w:eastAsia="Calibri" w:hAnsi="Times New Roman" w:cs="Calibri"/>
          <w:sz w:val="24"/>
          <w:lang w:val="es-ES"/>
        </w:rPr>
        <w:t>MET 10'da</w:t>
      </w:r>
      <w:r w:rsidRPr="000A5D99">
        <w:rPr>
          <w:rFonts w:ascii="Times New Roman" w:eastAsia="Calibri" w:hAnsi="Times New Roman" w:cs="Calibri"/>
          <w:sz w:val="24"/>
          <w:lang w:val="es-ES"/>
        </w:rPr>
        <w:t xml:space="preserve"> verilmiştir.</w:t>
      </w:r>
    </w:p>
    <w:p w14:paraId="6F4A8F65" w14:textId="77777777" w:rsidR="004B4E52" w:rsidRDefault="004B4E52" w:rsidP="003B155E">
      <w:pPr>
        <w:spacing w:before="240" w:after="0" w:line="360" w:lineRule="auto"/>
        <w:jc w:val="center"/>
        <w:rPr>
          <w:rFonts w:ascii="Times New Roman" w:eastAsia="Calibri" w:hAnsi="Times New Roman" w:cs="Calibri"/>
          <w:bCs/>
          <w:i/>
          <w:color w:val="000000"/>
          <w:sz w:val="24"/>
          <w:szCs w:val="24"/>
          <w:lang w:val="es-ES"/>
        </w:rPr>
      </w:pPr>
    </w:p>
    <w:p w14:paraId="3D2C7F8F" w14:textId="77777777" w:rsidR="004B4E52" w:rsidRDefault="004B4E52" w:rsidP="003B155E">
      <w:pPr>
        <w:spacing w:before="240" w:after="0" w:line="360" w:lineRule="auto"/>
        <w:jc w:val="center"/>
        <w:rPr>
          <w:rFonts w:ascii="Times New Roman" w:eastAsia="Calibri" w:hAnsi="Times New Roman" w:cs="Calibri"/>
          <w:bCs/>
          <w:i/>
          <w:color w:val="000000"/>
          <w:sz w:val="24"/>
          <w:szCs w:val="24"/>
          <w:lang w:val="es-ES"/>
        </w:rPr>
      </w:pPr>
    </w:p>
    <w:p w14:paraId="6D354F10" w14:textId="6F2673B4"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lastRenderedPageBreak/>
        <w:t>Tablo 17</w:t>
      </w:r>
    </w:p>
    <w:p w14:paraId="31270622"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Yapışkan bantların üretiminden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26"/>
        <w:gridCol w:w="3016"/>
        <w:gridCol w:w="2720"/>
      </w:tblGrid>
      <w:tr w:rsidR="003B155E" w:rsidRPr="000A5D99" w14:paraId="5B9EE886" w14:textId="77777777" w:rsidTr="000D79D6">
        <w:trPr>
          <w:trHeight w:val="689"/>
          <w:tblHeader/>
        </w:trPr>
        <w:tc>
          <w:tcPr>
            <w:tcW w:w="1835" w:type="pct"/>
            <w:vAlign w:val="center"/>
          </w:tcPr>
          <w:p w14:paraId="412320C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664" w:type="pct"/>
            <w:vAlign w:val="center"/>
          </w:tcPr>
          <w:p w14:paraId="7BADC86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501" w:type="pct"/>
            <w:vAlign w:val="center"/>
          </w:tcPr>
          <w:p w14:paraId="54EF4F7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7BC8A640" w14:textId="77777777" w:rsidR="003B155E" w:rsidRPr="000A5D99" w:rsidRDefault="003B155E" w:rsidP="000D79D6">
            <w:pPr>
              <w:widowControl w:val="0"/>
              <w:autoSpaceDE w:val="0"/>
              <w:autoSpaceDN w:val="0"/>
              <w:spacing w:after="0" w:line="240" w:lineRule="auto"/>
              <w:ind w:left="74" w:right="74" w:hanging="2"/>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33A78C46" w14:textId="77777777" w:rsidTr="000D79D6">
        <w:trPr>
          <w:trHeight w:val="490"/>
          <w:tblHeader/>
        </w:trPr>
        <w:tc>
          <w:tcPr>
            <w:tcW w:w="1835" w:type="pct"/>
            <w:vAlign w:val="center"/>
          </w:tcPr>
          <w:p w14:paraId="7A4B3F8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TUOB</w:t>
            </w:r>
          </w:p>
        </w:tc>
        <w:tc>
          <w:tcPr>
            <w:tcW w:w="1664" w:type="pct"/>
            <w:vAlign w:val="center"/>
          </w:tcPr>
          <w:p w14:paraId="33D04E7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501" w:type="pct"/>
            <w:vAlign w:val="center"/>
          </w:tcPr>
          <w:p w14:paraId="595F2F5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2–20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r>
      <w:tr w:rsidR="003B155E" w:rsidRPr="000A5D99" w14:paraId="478C2C82" w14:textId="77777777" w:rsidTr="000D79D6">
        <w:trPr>
          <w:trHeight w:val="828"/>
        </w:trPr>
        <w:tc>
          <w:tcPr>
            <w:tcW w:w="5000" w:type="pct"/>
            <w:gridSpan w:val="3"/>
          </w:tcPr>
          <w:p w14:paraId="3DBD1C57" w14:textId="77777777" w:rsidR="003B155E" w:rsidRPr="0082590D" w:rsidRDefault="003B155E" w:rsidP="003B155E">
            <w:pPr>
              <w:widowControl w:val="0"/>
              <w:numPr>
                <w:ilvl w:val="0"/>
                <w:numId w:val="141"/>
              </w:numPr>
              <w:tabs>
                <w:tab w:val="left" w:pos="343"/>
              </w:tabs>
              <w:autoSpaceDE w:val="0"/>
              <w:autoSpaceDN w:val="0"/>
              <w:spacing w:after="0" w:line="240" w:lineRule="auto"/>
              <w:ind w:left="336" w:right="74" w:hanging="262"/>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aralığının üst sınırı, geri kazanılan solventin yeniden kullanılmasına/geri dönüştürülmesine izin veren teknikler kullanılıyorsa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tür.</w:t>
            </w:r>
          </w:p>
          <w:p w14:paraId="1AF51751" w14:textId="77777777" w:rsidR="003B155E" w:rsidRPr="000A5D99" w:rsidRDefault="003B155E" w:rsidP="003B155E">
            <w:pPr>
              <w:widowControl w:val="0"/>
              <w:numPr>
                <w:ilvl w:val="0"/>
                <w:numId w:val="141"/>
              </w:numPr>
              <w:tabs>
                <w:tab w:val="left" w:pos="351"/>
              </w:tabs>
              <w:autoSpaceDE w:val="0"/>
              <w:autoSpaceDN w:val="0"/>
              <w:spacing w:after="0" w:line="240" w:lineRule="auto"/>
              <w:ind w:left="336" w:right="74" w:hanging="262"/>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 xml:space="preserve">Bir çıkış gazı işleme tekniği ile birlikte </w:t>
            </w:r>
            <w:r w:rsidRPr="0082590D">
              <w:rPr>
                <w:rFonts w:ascii="Times New Roman" w:eastAsia="Times New Roman" w:hAnsi="Times New Roman" w:cs="Times New Roman"/>
                <w:b/>
                <w:bCs/>
                <w:sz w:val="20"/>
                <w:szCs w:val="20"/>
              </w:rPr>
              <w:t>MET 16 (c)</w:t>
            </w:r>
            <w:r w:rsidRPr="0082590D">
              <w:rPr>
                <w:rFonts w:ascii="Times New Roman" w:eastAsia="Times New Roman" w:hAnsi="Times New Roman" w:cs="Times New Roman"/>
                <w:sz w:val="20"/>
                <w:szCs w:val="20"/>
              </w:rPr>
              <w:t xml:space="preserve"> kullanan tesisler için, yoğunlaştırıcının atık gazına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ten daha düşük bir ek MET-İES uygulanır.</w:t>
            </w:r>
          </w:p>
        </w:tc>
      </w:tr>
    </w:tbl>
    <w:p w14:paraId="679445E6"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4B4E52">
        <w:rPr>
          <w:rFonts w:ascii="Times New Roman" w:eastAsia="Calibri" w:hAnsi="Times New Roman" w:cs="Calibri"/>
          <w:sz w:val="24"/>
          <w:lang w:val="es-ES"/>
        </w:rPr>
        <w:t>MET 11'de</w:t>
      </w:r>
      <w:r w:rsidRPr="000A5D99">
        <w:rPr>
          <w:rFonts w:ascii="Times New Roman" w:eastAsia="Calibri" w:hAnsi="Times New Roman" w:cs="Calibri"/>
          <w:sz w:val="24"/>
          <w:lang w:val="es-ES"/>
        </w:rPr>
        <w:t xml:space="preserve"> verilmiştir.</w:t>
      </w:r>
    </w:p>
    <w:p w14:paraId="3E4A7E1E"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99" w:name="_Toc137210499"/>
      <w:r w:rsidRPr="000A5D99">
        <w:rPr>
          <w:rFonts w:ascii="Times New Roman" w:eastAsia="DengXian Light" w:hAnsi="Times New Roman" w:cs="Microsoft Uighur"/>
          <w:b/>
          <w:sz w:val="24"/>
          <w:szCs w:val="32"/>
          <w:lang w:val="es-ES"/>
        </w:rPr>
        <w:t>Tekstil, Folyo ve Kağıdın Kaplanmasına İlişkin M</w:t>
      </w:r>
      <w:bookmarkEnd w:id="99"/>
      <w:r w:rsidRPr="000A5D99">
        <w:rPr>
          <w:rFonts w:ascii="Times New Roman" w:eastAsia="DengXian Light" w:hAnsi="Times New Roman" w:cs="Microsoft Uighur"/>
          <w:b/>
          <w:sz w:val="24"/>
          <w:szCs w:val="32"/>
          <w:lang w:val="es-ES"/>
        </w:rPr>
        <w:t>ET Sonuçları</w:t>
      </w:r>
    </w:p>
    <w:p w14:paraId="4AD51E83"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Aşağıda verilen tekstil, folyo ve kağıdın kaplanması için emisyon seviyeleri, genel MET’le ilişkili emisyon seviyelerini göstermektedir.</w:t>
      </w:r>
    </w:p>
    <w:p w14:paraId="6D006AB8"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18</w:t>
      </w:r>
    </w:p>
    <w:p w14:paraId="440AFA99"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Tekstil, folyo ve kağıdın kaplanmasından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74"/>
        <w:gridCol w:w="2715"/>
        <w:gridCol w:w="2673"/>
      </w:tblGrid>
      <w:tr w:rsidR="003B155E" w:rsidRPr="000A5D99" w14:paraId="6E0781A8" w14:textId="77777777" w:rsidTr="000D79D6">
        <w:trPr>
          <w:trHeight w:val="460"/>
          <w:tblHeader/>
        </w:trPr>
        <w:tc>
          <w:tcPr>
            <w:tcW w:w="2027" w:type="pct"/>
            <w:vAlign w:val="center"/>
          </w:tcPr>
          <w:p w14:paraId="743C8CD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498" w:type="pct"/>
            <w:vAlign w:val="center"/>
          </w:tcPr>
          <w:p w14:paraId="51F3ABA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476" w:type="pct"/>
            <w:vAlign w:val="center"/>
          </w:tcPr>
          <w:p w14:paraId="0C0C413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4D2DB86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0D5913A0" w14:textId="77777777" w:rsidTr="000D79D6">
        <w:trPr>
          <w:trHeight w:val="590"/>
        </w:trPr>
        <w:tc>
          <w:tcPr>
            <w:tcW w:w="2027" w:type="pct"/>
            <w:vAlign w:val="center"/>
          </w:tcPr>
          <w:p w14:paraId="3106061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498" w:type="pct"/>
            <w:vAlign w:val="center"/>
          </w:tcPr>
          <w:p w14:paraId="4F255895" w14:textId="77777777" w:rsidR="003B155E" w:rsidRPr="000A5D99" w:rsidRDefault="003B155E" w:rsidP="000D79D6">
            <w:pPr>
              <w:widowControl w:val="0"/>
              <w:autoSpaceDE w:val="0"/>
              <w:autoSpaceDN w:val="0"/>
              <w:spacing w:after="0" w:line="240" w:lineRule="auto"/>
              <w:ind w:left="424" w:right="74" w:hanging="350"/>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476" w:type="pct"/>
            <w:vAlign w:val="center"/>
          </w:tcPr>
          <w:p w14:paraId="66C421F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1–5</w:t>
            </w:r>
          </w:p>
        </w:tc>
      </w:tr>
    </w:tbl>
    <w:p w14:paraId="04F34A6B" w14:textId="77777777" w:rsidR="004B4E52" w:rsidRDefault="003B155E" w:rsidP="004B4E52">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52471EB2" w14:textId="0A55498D" w:rsidR="003B155E" w:rsidRPr="000A5D99" w:rsidRDefault="003B155E" w:rsidP="004B4E52">
      <w:pPr>
        <w:spacing w:before="240" w:after="0" w:line="24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19</w:t>
      </w:r>
    </w:p>
    <w:p w14:paraId="0D717F9D" w14:textId="77777777" w:rsidR="003B155E" w:rsidRPr="000A5D99" w:rsidRDefault="003B155E" w:rsidP="004B4E52">
      <w:pPr>
        <w:spacing w:before="240" w:after="0" w:line="24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Tekstil, folyo ve kağıdın kaplanmasından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20"/>
        <w:gridCol w:w="3021"/>
        <w:gridCol w:w="3021"/>
      </w:tblGrid>
      <w:tr w:rsidR="003B155E" w:rsidRPr="000A5D99" w14:paraId="3999A985" w14:textId="77777777" w:rsidTr="000D79D6">
        <w:trPr>
          <w:trHeight w:val="689"/>
        </w:trPr>
        <w:tc>
          <w:tcPr>
            <w:tcW w:w="1666" w:type="pct"/>
            <w:vAlign w:val="center"/>
          </w:tcPr>
          <w:p w14:paraId="5639618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667" w:type="pct"/>
            <w:vAlign w:val="center"/>
          </w:tcPr>
          <w:p w14:paraId="7260754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67" w:type="pct"/>
            <w:vAlign w:val="center"/>
          </w:tcPr>
          <w:p w14:paraId="798005D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3F6C522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612FAF2B" w14:textId="77777777" w:rsidTr="000D79D6">
        <w:trPr>
          <w:trHeight w:val="490"/>
        </w:trPr>
        <w:tc>
          <w:tcPr>
            <w:tcW w:w="1666" w:type="pct"/>
            <w:vAlign w:val="center"/>
          </w:tcPr>
          <w:p w14:paraId="570921FD"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667" w:type="pct"/>
            <w:vAlign w:val="center"/>
          </w:tcPr>
          <w:p w14:paraId="1469DC7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667" w:type="pct"/>
            <w:vAlign w:val="center"/>
          </w:tcPr>
          <w:p w14:paraId="3C3BE79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5–20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r>
      <w:tr w:rsidR="003B155E" w:rsidRPr="000A5D99" w14:paraId="531D1A36" w14:textId="77777777" w:rsidTr="000D79D6">
        <w:trPr>
          <w:trHeight w:val="1148"/>
        </w:trPr>
        <w:tc>
          <w:tcPr>
            <w:tcW w:w="5000" w:type="pct"/>
            <w:gridSpan w:val="3"/>
            <w:vAlign w:val="center"/>
          </w:tcPr>
          <w:p w14:paraId="7D5FEA5F" w14:textId="77777777" w:rsidR="003B155E" w:rsidRPr="0082590D" w:rsidRDefault="003B155E" w:rsidP="003B155E">
            <w:pPr>
              <w:widowControl w:val="0"/>
              <w:numPr>
                <w:ilvl w:val="0"/>
                <w:numId w:val="142"/>
              </w:numPr>
              <w:tabs>
                <w:tab w:val="left" w:pos="343"/>
              </w:tabs>
              <w:autoSpaceDE w:val="0"/>
              <w:autoSpaceDN w:val="0"/>
              <w:spacing w:after="0" w:line="240" w:lineRule="auto"/>
              <w:ind w:left="74" w:right="74" w:firstLine="0"/>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MET-İES aralığının üst sınırı, geri kazanılan solventin yeniden kullanılmasına/geri dönüştürülmesine izin veren teknikler kullanılıyorsa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tür.</w:t>
            </w:r>
          </w:p>
          <w:p w14:paraId="63AF31F9" w14:textId="77777777" w:rsidR="003B155E" w:rsidRPr="000A5D99" w:rsidRDefault="003B155E" w:rsidP="003B155E">
            <w:pPr>
              <w:widowControl w:val="0"/>
              <w:numPr>
                <w:ilvl w:val="0"/>
                <w:numId w:val="142"/>
              </w:numPr>
              <w:tabs>
                <w:tab w:val="left" w:pos="351"/>
              </w:tabs>
              <w:autoSpaceDE w:val="0"/>
              <w:autoSpaceDN w:val="0"/>
              <w:spacing w:after="0" w:line="240" w:lineRule="auto"/>
              <w:ind w:left="74" w:right="74" w:firstLine="0"/>
              <w:jc w:val="both"/>
              <w:rPr>
                <w:rFonts w:ascii="Times New Roman" w:eastAsia="Times New Roman" w:hAnsi="Times New Roman" w:cs="Times New Roman"/>
                <w:i/>
                <w:iCs/>
                <w:sz w:val="20"/>
                <w:szCs w:val="20"/>
              </w:rPr>
            </w:pPr>
            <w:r w:rsidRPr="0082590D">
              <w:rPr>
                <w:rFonts w:ascii="Times New Roman" w:eastAsia="Times New Roman" w:hAnsi="Times New Roman" w:cs="Times New Roman"/>
                <w:sz w:val="20"/>
                <w:szCs w:val="20"/>
              </w:rPr>
              <w:t xml:space="preserve">Bir çıkış gazı işleme tekniği ile birlikte </w:t>
            </w:r>
            <w:r w:rsidRPr="004B4E52">
              <w:rPr>
                <w:rFonts w:ascii="Times New Roman" w:eastAsia="Times New Roman" w:hAnsi="Times New Roman" w:cs="Times New Roman"/>
                <w:sz w:val="20"/>
                <w:szCs w:val="20"/>
              </w:rPr>
              <w:t>MET 16 (c)</w:t>
            </w:r>
            <w:r w:rsidRPr="0082590D">
              <w:rPr>
                <w:rFonts w:ascii="Times New Roman" w:eastAsia="Times New Roman" w:hAnsi="Times New Roman" w:cs="Times New Roman"/>
                <w:sz w:val="20"/>
                <w:szCs w:val="20"/>
              </w:rPr>
              <w:t xml:space="preserve"> kullanan tesisler için, yoğunlaştırıcının atık gazına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ten daha düşük bir ek MET-İES uygulanır.</w:t>
            </w:r>
          </w:p>
        </w:tc>
      </w:tr>
    </w:tbl>
    <w:p w14:paraId="1E837405"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lastRenderedPageBreak/>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34069499"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fi-FI"/>
        </w:rPr>
      </w:pPr>
      <w:bookmarkStart w:id="100" w:name="_Toc137210500"/>
      <w:r w:rsidRPr="000A5D99">
        <w:rPr>
          <w:rFonts w:ascii="Times New Roman" w:eastAsia="DengXian Light" w:hAnsi="Times New Roman" w:cs="Microsoft Uighur"/>
          <w:b/>
          <w:sz w:val="24"/>
          <w:szCs w:val="32"/>
          <w:lang w:val="fi-FI"/>
        </w:rPr>
        <w:t>Sargı Teli Üretimine İlişkin M</w:t>
      </w:r>
      <w:bookmarkEnd w:id="100"/>
      <w:r w:rsidRPr="000A5D99">
        <w:rPr>
          <w:rFonts w:ascii="Times New Roman" w:eastAsia="DengXian Light" w:hAnsi="Times New Roman" w:cs="Microsoft Uighur"/>
          <w:b/>
          <w:sz w:val="24"/>
          <w:szCs w:val="32"/>
          <w:lang w:val="fi-FI"/>
        </w:rPr>
        <w:t>ET Sonuçları</w:t>
      </w:r>
    </w:p>
    <w:p w14:paraId="7B7F6E92" w14:textId="77777777" w:rsidR="003B155E" w:rsidRPr="000A5D99" w:rsidRDefault="003B155E" w:rsidP="003B155E">
      <w:pPr>
        <w:spacing w:before="240" w:after="0" w:line="360" w:lineRule="auto"/>
        <w:jc w:val="both"/>
        <w:rPr>
          <w:rFonts w:ascii="Times New Roman" w:eastAsia="Calibri" w:hAnsi="Times New Roman" w:cs="Calibri"/>
          <w:sz w:val="24"/>
          <w:lang w:val="fi-FI"/>
        </w:rPr>
      </w:pPr>
      <w:r w:rsidRPr="000A5D99">
        <w:rPr>
          <w:rFonts w:ascii="Times New Roman" w:eastAsia="Calibri" w:hAnsi="Times New Roman" w:cs="Calibri"/>
          <w:sz w:val="24"/>
          <w:lang w:val="fi-FI"/>
        </w:rPr>
        <w:t>Bu bölümdeki MET, sargı teli üretimi için geçerlidir ve genel MET’e ek olarak uygulanmaktadır.</w:t>
      </w:r>
    </w:p>
    <w:p w14:paraId="62C1D1B2" w14:textId="77777777" w:rsidR="003B155E" w:rsidRPr="000A5D99" w:rsidRDefault="003B155E" w:rsidP="003B155E">
      <w:pPr>
        <w:spacing w:before="240" w:after="0" w:line="360" w:lineRule="auto"/>
        <w:jc w:val="both"/>
        <w:rPr>
          <w:rFonts w:ascii="Times New Roman" w:eastAsia="Calibri" w:hAnsi="Times New Roman" w:cs="Times New Roman"/>
          <w:b/>
          <w:bCs/>
          <w:sz w:val="24"/>
          <w:szCs w:val="24"/>
          <w:lang w:val="fi-FI"/>
        </w:rPr>
      </w:pPr>
      <w:r w:rsidRPr="000A5D99">
        <w:rPr>
          <w:rFonts w:ascii="Times New Roman" w:eastAsia="Calibri" w:hAnsi="Times New Roman" w:cs="Times New Roman"/>
          <w:b/>
          <w:bCs/>
          <w:sz w:val="24"/>
          <w:szCs w:val="24"/>
          <w:lang w:val="fi-FI"/>
        </w:rPr>
        <w:t xml:space="preserve">MET 27: </w:t>
      </w:r>
      <w:r w:rsidRPr="000A5D99">
        <w:rPr>
          <w:rFonts w:ascii="Times New Roman" w:eastAsia="Calibri" w:hAnsi="Times New Roman" w:cs="Times New Roman"/>
          <w:sz w:val="24"/>
          <w:szCs w:val="24"/>
          <w:lang w:val="fi-FI"/>
        </w:rPr>
        <w:t>Toplam UOB emisyonlarını ve enerji tüketimini azaltmak için, (a) tekniği ile birlikte aşağıda verilen (b), (c), (d) tekniklerinden biri veya bu tekniklerin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4"/>
        <w:gridCol w:w="1635"/>
        <w:gridCol w:w="4846"/>
        <w:gridCol w:w="2117"/>
      </w:tblGrid>
      <w:tr w:rsidR="003B155E" w:rsidRPr="000A5D99" w14:paraId="481741D8" w14:textId="77777777" w:rsidTr="000D79D6">
        <w:trPr>
          <w:trHeight w:val="230"/>
          <w:tblHeader/>
        </w:trPr>
        <w:tc>
          <w:tcPr>
            <w:tcW w:w="256" w:type="pct"/>
            <w:tcBorders>
              <w:top w:val="single" w:sz="4" w:space="0" w:color="auto"/>
              <w:right w:val="single" w:sz="4" w:space="0" w:color="auto"/>
            </w:tcBorders>
            <w:vAlign w:val="center"/>
          </w:tcPr>
          <w:p w14:paraId="409680D7"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902" w:type="pct"/>
            <w:tcBorders>
              <w:top w:val="single" w:sz="4" w:space="0" w:color="auto"/>
              <w:left w:val="single" w:sz="4" w:space="0" w:color="auto"/>
            </w:tcBorders>
            <w:vAlign w:val="center"/>
          </w:tcPr>
          <w:p w14:paraId="68D99683"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674" w:type="pct"/>
            <w:vAlign w:val="center"/>
          </w:tcPr>
          <w:p w14:paraId="7E701AB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168" w:type="pct"/>
            <w:vAlign w:val="center"/>
          </w:tcPr>
          <w:p w14:paraId="2DBD093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5C150519" w14:textId="77777777" w:rsidTr="000D79D6">
        <w:trPr>
          <w:trHeight w:val="558"/>
        </w:trPr>
        <w:tc>
          <w:tcPr>
            <w:tcW w:w="256" w:type="pct"/>
            <w:tcBorders>
              <w:right w:val="single" w:sz="4" w:space="0" w:color="auto"/>
            </w:tcBorders>
            <w:vAlign w:val="center"/>
          </w:tcPr>
          <w:p w14:paraId="3F45E48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902" w:type="pct"/>
            <w:tcBorders>
              <w:left w:val="single" w:sz="4" w:space="0" w:color="auto"/>
            </w:tcBorders>
            <w:vAlign w:val="center"/>
          </w:tcPr>
          <w:p w14:paraId="775C8F1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Sürece entegre UOB oksidasyonu</w:t>
            </w:r>
          </w:p>
        </w:tc>
        <w:tc>
          <w:tcPr>
            <w:tcW w:w="2674" w:type="pct"/>
            <w:vAlign w:val="center"/>
          </w:tcPr>
          <w:p w14:paraId="34EB52B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Tekrarlanan emaye kürleme işlemi sırasında solventin buharlaşmasından kaynaklanan hava/solvent karışımı, kürleme fırını/kurutucuya entegre edilmiş bir katalitik oksitleyicide (bkz. </w:t>
            </w:r>
            <w:r w:rsidRPr="000A5D99">
              <w:rPr>
                <w:rFonts w:ascii="Times New Roman" w:eastAsia="Times New Roman" w:hAnsi="Times New Roman" w:cs="Times New Roman"/>
                <w:b/>
                <w:bCs/>
              </w:rPr>
              <w:t>MET 15 (g)</w:t>
            </w:r>
            <w:r w:rsidRPr="000A5D99">
              <w:rPr>
                <w:rFonts w:ascii="Times New Roman" w:eastAsia="Times New Roman" w:hAnsi="Times New Roman" w:cs="Times New Roman"/>
              </w:rPr>
              <w:t>) işlenir. Katalitik oksitleyiciden gelen atık ısı, kurutma işleminde dolaşımdaki hava akışını ısıtmak için ve/veya tesis içindeki diğer amaçlar için işlem ısısı olarak kullanılır.</w:t>
            </w:r>
          </w:p>
        </w:tc>
        <w:tc>
          <w:tcPr>
            <w:tcW w:w="1168" w:type="pct"/>
            <w:vAlign w:val="center"/>
          </w:tcPr>
          <w:p w14:paraId="42D0B74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56458A44" w14:textId="77777777" w:rsidTr="000D79D6">
        <w:trPr>
          <w:trHeight w:val="1177"/>
        </w:trPr>
        <w:tc>
          <w:tcPr>
            <w:tcW w:w="256" w:type="pct"/>
            <w:vAlign w:val="center"/>
          </w:tcPr>
          <w:p w14:paraId="2D71812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902" w:type="pct"/>
            <w:vAlign w:val="center"/>
          </w:tcPr>
          <w:p w14:paraId="76746C5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içermeyen yağlayıcılar</w:t>
            </w:r>
          </w:p>
        </w:tc>
        <w:tc>
          <w:tcPr>
            <w:tcW w:w="2674" w:type="pct"/>
            <w:vAlign w:val="center"/>
          </w:tcPr>
          <w:p w14:paraId="6B6C2D4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içermeyen yağlayıcılar aşağıdaki gibi uygulanır:</w:t>
            </w:r>
          </w:p>
          <w:p w14:paraId="3011CC25"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tel, yağlayıcı ile ıslatılmış bir keçeden çekilir veya</w:t>
            </w:r>
          </w:p>
          <w:p w14:paraId="35D168B4" w14:textId="77777777" w:rsidR="003B155E" w:rsidRPr="000A5D99" w:rsidRDefault="003B155E" w:rsidP="003B155E">
            <w:pPr>
              <w:widowControl w:val="0"/>
              <w:numPr>
                <w:ilvl w:val="0"/>
                <w:numId w:val="133"/>
              </w:numPr>
              <w:tabs>
                <w:tab w:val="left" w:pos="986"/>
              </w:tabs>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tel ile yağlayıcı ile emprenye edilmiş bir filament uygulanır ve parafin mumu telin kalan ısısı ve sürtünme ısısı nedeniyle erir.</w:t>
            </w:r>
          </w:p>
        </w:tc>
        <w:tc>
          <w:tcPr>
            <w:tcW w:w="1168" w:type="pct"/>
            <w:vAlign w:val="center"/>
          </w:tcPr>
          <w:p w14:paraId="3DAAA33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ürün kalite gereklilikleri veya özellikleri, ör. çap nedeniyle sınırlı olabilir.</w:t>
            </w:r>
          </w:p>
        </w:tc>
      </w:tr>
      <w:tr w:rsidR="003B155E" w:rsidRPr="000A5D99" w14:paraId="6AEF719B" w14:textId="77777777" w:rsidTr="000D79D6">
        <w:trPr>
          <w:trHeight w:val="829"/>
        </w:trPr>
        <w:tc>
          <w:tcPr>
            <w:tcW w:w="256" w:type="pct"/>
            <w:vAlign w:val="center"/>
          </w:tcPr>
          <w:p w14:paraId="44D63F8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902" w:type="pct"/>
            <w:vAlign w:val="center"/>
          </w:tcPr>
          <w:p w14:paraId="6A4EE17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Kendinden yağlamalı kaplamalar</w:t>
            </w:r>
          </w:p>
        </w:tc>
        <w:tc>
          <w:tcPr>
            <w:tcW w:w="2674" w:type="pct"/>
            <w:vAlign w:val="center"/>
          </w:tcPr>
          <w:p w14:paraId="6F2BCB5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Ayrıca yağlayıcı (özel bir mum) içeren bir kaplama sistemi kullanılarak solvent içeren bir yağlama adımı önlenir.</w:t>
            </w:r>
          </w:p>
        </w:tc>
        <w:tc>
          <w:tcPr>
            <w:tcW w:w="1168" w:type="pct"/>
            <w:vMerge w:val="restart"/>
            <w:vAlign w:val="center"/>
          </w:tcPr>
          <w:p w14:paraId="7E24F59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ürün kalite gereklilikleri veya özellikleri nedeniyle sınırlı olabilir.</w:t>
            </w:r>
          </w:p>
        </w:tc>
      </w:tr>
      <w:tr w:rsidR="003B155E" w:rsidRPr="000A5D99" w14:paraId="6B308531" w14:textId="77777777" w:rsidTr="000D79D6">
        <w:trPr>
          <w:trHeight w:val="690"/>
        </w:trPr>
        <w:tc>
          <w:tcPr>
            <w:tcW w:w="256" w:type="pct"/>
            <w:vAlign w:val="center"/>
          </w:tcPr>
          <w:p w14:paraId="7EE644F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902" w:type="pct"/>
            <w:vAlign w:val="center"/>
          </w:tcPr>
          <w:p w14:paraId="62F082B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Yüksek katı maddeli emaye kaplama</w:t>
            </w:r>
          </w:p>
        </w:tc>
        <w:tc>
          <w:tcPr>
            <w:tcW w:w="2674" w:type="pct"/>
            <w:vAlign w:val="center"/>
          </w:tcPr>
          <w:p w14:paraId="3FD4396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45'e kadar katı içerikli emaye kaplama kullanımı. İnce tellerde (0,1 mm'ye eşit veya daha küçük çaplı), katı madde içeriği %30'a kadardır.</w:t>
            </w:r>
          </w:p>
        </w:tc>
        <w:tc>
          <w:tcPr>
            <w:tcW w:w="1168" w:type="pct"/>
            <w:vMerge/>
            <w:tcBorders>
              <w:top w:val="nil"/>
            </w:tcBorders>
            <w:vAlign w:val="center"/>
          </w:tcPr>
          <w:p w14:paraId="4BAA9C07" w14:textId="77777777" w:rsidR="003B155E" w:rsidRPr="000A5D99" w:rsidRDefault="003B155E" w:rsidP="000D79D6">
            <w:pPr>
              <w:spacing w:after="0" w:line="240" w:lineRule="auto"/>
              <w:ind w:left="74" w:right="74"/>
              <w:rPr>
                <w:rFonts w:ascii="Times New Roman" w:eastAsia="Calibri" w:hAnsi="Times New Roman" w:cs="Times New Roman"/>
              </w:rPr>
            </w:pPr>
          </w:p>
        </w:tc>
      </w:tr>
    </w:tbl>
    <w:p w14:paraId="3F72A209"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rPr>
      </w:pPr>
      <w:r w:rsidRPr="000A5D99">
        <w:rPr>
          <w:rFonts w:ascii="Times New Roman" w:eastAsia="Calibri" w:hAnsi="Times New Roman" w:cs="Calibri"/>
          <w:bCs/>
          <w:i/>
          <w:color w:val="000000"/>
          <w:sz w:val="24"/>
          <w:szCs w:val="24"/>
        </w:rPr>
        <w:t>Tablo 20</w:t>
      </w:r>
    </w:p>
    <w:p w14:paraId="2BBF0937"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rPr>
      </w:pPr>
      <w:r w:rsidRPr="000A5D99">
        <w:rPr>
          <w:rFonts w:ascii="Times New Roman" w:eastAsia="Calibri" w:hAnsi="Times New Roman" w:cs="Calibri"/>
          <w:b/>
          <w:iCs/>
          <w:color w:val="000000"/>
          <w:sz w:val="24"/>
          <w:szCs w:val="24"/>
        </w:rPr>
        <w:t>Sargı teli üretiminden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24"/>
        <w:gridCol w:w="2713"/>
        <w:gridCol w:w="1658"/>
        <w:gridCol w:w="1367"/>
      </w:tblGrid>
      <w:tr w:rsidR="003B155E" w:rsidRPr="000A5D99" w14:paraId="4B7707F3" w14:textId="77777777" w:rsidTr="000D79D6">
        <w:trPr>
          <w:trHeight w:val="689"/>
          <w:tblHeader/>
        </w:trPr>
        <w:tc>
          <w:tcPr>
            <w:tcW w:w="1834" w:type="pct"/>
            <w:vAlign w:val="center"/>
          </w:tcPr>
          <w:p w14:paraId="5AD1439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Parametre</w:t>
            </w:r>
          </w:p>
        </w:tc>
        <w:tc>
          <w:tcPr>
            <w:tcW w:w="1497" w:type="pct"/>
            <w:vAlign w:val="center"/>
          </w:tcPr>
          <w:p w14:paraId="291A018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Ürün tipi</w:t>
            </w:r>
          </w:p>
        </w:tc>
        <w:tc>
          <w:tcPr>
            <w:tcW w:w="915" w:type="pct"/>
            <w:vAlign w:val="center"/>
          </w:tcPr>
          <w:p w14:paraId="65BA129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Birim</w:t>
            </w:r>
          </w:p>
        </w:tc>
        <w:tc>
          <w:tcPr>
            <w:tcW w:w="754" w:type="pct"/>
            <w:vAlign w:val="center"/>
          </w:tcPr>
          <w:p w14:paraId="2E68875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MET-İES</w:t>
            </w:r>
          </w:p>
          <w:p w14:paraId="7B1E10C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(Yıllık ortalama)</w:t>
            </w:r>
          </w:p>
        </w:tc>
      </w:tr>
      <w:tr w:rsidR="003B155E" w:rsidRPr="000A5D99" w14:paraId="7E565F44" w14:textId="77777777" w:rsidTr="000D79D6">
        <w:trPr>
          <w:trHeight w:val="688"/>
        </w:trPr>
        <w:tc>
          <w:tcPr>
            <w:tcW w:w="1834" w:type="pct"/>
            <w:vAlign w:val="center"/>
          </w:tcPr>
          <w:p w14:paraId="3078C4C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Solvent kütle dengesi ile hesaplanan toplam UOB emisyonları</w:t>
            </w:r>
          </w:p>
        </w:tc>
        <w:tc>
          <w:tcPr>
            <w:tcW w:w="1497" w:type="pct"/>
            <w:vAlign w:val="center"/>
          </w:tcPr>
          <w:p w14:paraId="2421D56B" w14:textId="77777777" w:rsidR="003B155E" w:rsidRPr="000A5D99" w:rsidRDefault="003B155E" w:rsidP="000D79D6">
            <w:pPr>
              <w:widowControl w:val="0"/>
              <w:autoSpaceDE w:val="0"/>
              <w:autoSpaceDN w:val="0"/>
              <w:spacing w:after="0" w:line="240" w:lineRule="auto"/>
              <w:ind w:left="74" w:right="74" w:firstLine="26"/>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Ortalama çapı 0,1 mm'den büyük olan sargı telinin kaplanması</w:t>
            </w:r>
          </w:p>
        </w:tc>
        <w:tc>
          <w:tcPr>
            <w:tcW w:w="915" w:type="pct"/>
            <w:vAlign w:val="center"/>
          </w:tcPr>
          <w:p w14:paraId="41053C8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kg kaplanmış tel başına g UOB</w:t>
            </w:r>
          </w:p>
        </w:tc>
        <w:tc>
          <w:tcPr>
            <w:tcW w:w="754" w:type="pct"/>
            <w:vAlign w:val="center"/>
          </w:tcPr>
          <w:p w14:paraId="00EF7B3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1–3,3</w:t>
            </w:r>
          </w:p>
        </w:tc>
      </w:tr>
    </w:tbl>
    <w:p w14:paraId="5291AAB1"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50F9173E" w14:textId="77777777" w:rsidR="004B4E52" w:rsidRDefault="004B4E52" w:rsidP="003B155E">
      <w:pPr>
        <w:spacing w:before="240" w:after="0" w:line="360" w:lineRule="auto"/>
        <w:jc w:val="center"/>
        <w:rPr>
          <w:rFonts w:ascii="Times New Roman" w:eastAsia="Calibri" w:hAnsi="Times New Roman" w:cs="Calibri"/>
          <w:bCs/>
          <w:i/>
          <w:color w:val="000000"/>
          <w:sz w:val="24"/>
          <w:szCs w:val="24"/>
          <w:lang w:val="es-ES"/>
        </w:rPr>
      </w:pPr>
    </w:p>
    <w:p w14:paraId="5CF51100" w14:textId="77777777" w:rsidR="004B4E52" w:rsidRDefault="004B4E52" w:rsidP="003B155E">
      <w:pPr>
        <w:spacing w:before="240" w:after="0" w:line="360" w:lineRule="auto"/>
        <w:jc w:val="center"/>
        <w:rPr>
          <w:rFonts w:ascii="Times New Roman" w:eastAsia="Calibri" w:hAnsi="Times New Roman" w:cs="Calibri"/>
          <w:bCs/>
          <w:i/>
          <w:color w:val="000000"/>
          <w:sz w:val="24"/>
          <w:szCs w:val="24"/>
          <w:lang w:val="es-ES"/>
        </w:rPr>
      </w:pPr>
    </w:p>
    <w:p w14:paraId="394E1866" w14:textId="7EFD781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lastRenderedPageBreak/>
        <w:t>Tablo 21</w:t>
      </w:r>
    </w:p>
    <w:p w14:paraId="040AE191"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Sargı teli üretiminden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20"/>
        <w:gridCol w:w="3022"/>
        <w:gridCol w:w="3020"/>
      </w:tblGrid>
      <w:tr w:rsidR="003B155E" w:rsidRPr="000A5D99" w14:paraId="2C5C09AF" w14:textId="77777777" w:rsidTr="000D79D6">
        <w:trPr>
          <w:trHeight w:val="689"/>
          <w:tblHeader/>
        </w:trPr>
        <w:tc>
          <w:tcPr>
            <w:tcW w:w="1666" w:type="pct"/>
            <w:vAlign w:val="center"/>
          </w:tcPr>
          <w:p w14:paraId="307C295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667" w:type="pct"/>
            <w:vAlign w:val="center"/>
          </w:tcPr>
          <w:p w14:paraId="264B4BF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66" w:type="pct"/>
            <w:vAlign w:val="center"/>
          </w:tcPr>
          <w:p w14:paraId="31AD4C1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604E067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216444CE" w14:textId="77777777" w:rsidTr="000D79D6">
        <w:trPr>
          <w:trHeight w:val="299"/>
        </w:trPr>
        <w:tc>
          <w:tcPr>
            <w:tcW w:w="1666" w:type="pct"/>
          </w:tcPr>
          <w:p w14:paraId="61EC465B"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667" w:type="pct"/>
          </w:tcPr>
          <w:p w14:paraId="4053EB5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666" w:type="pct"/>
          </w:tcPr>
          <w:p w14:paraId="6E788A7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5–40</w:t>
            </w:r>
          </w:p>
        </w:tc>
      </w:tr>
    </w:tbl>
    <w:p w14:paraId="1EB06363"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6FE18A8E"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101" w:name="_Toc137210501"/>
      <w:r w:rsidRPr="000A5D99">
        <w:rPr>
          <w:rFonts w:ascii="Times New Roman" w:eastAsia="DengXian Light" w:hAnsi="Times New Roman" w:cs="Microsoft Uighur"/>
          <w:b/>
          <w:sz w:val="24"/>
          <w:szCs w:val="32"/>
          <w:lang w:val="es-ES"/>
        </w:rPr>
        <w:t xml:space="preserve"> Metal Ambalajların Kaplanması ve Baskısına İlişkin </w:t>
      </w:r>
      <w:bookmarkEnd w:id="101"/>
      <w:r w:rsidRPr="000A5D99">
        <w:rPr>
          <w:rFonts w:ascii="Times New Roman" w:eastAsia="DengXian Light" w:hAnsi="Times New Roman" w:cs="Microsoft Uighur"/>
          <w:b/>
          <w:sz w:val="24"/>
          <w:szCs w:val="32"/>
          <w:lang w:val="es-ES"/>
        </w:rPr>
        <w:t>MET Sonuçları</w:t>
      </w:r>
    </w:p>
    <w:p w14:paraId="3A8D4F44"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Aşağıda verilen metal ambalajların kaplanması ve baskısına ilişkin emisyon seviyeleri, genel MET’le ilişkili emisyon seviyelerini göstermektedir.</w:t>
      </w:r>
    </w:p>
    <w:p w14:paraId="5A26A9E9"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22</w:t>
      </w:r>
    </w:p>
    <w:p w14:paraId="1851310E"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Metal ambalajların kaplanması ve baskısından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55"/>
        <w:gridCol w:w="2539"/>
        <w:gridCol w:w="2168"/>
      </w:tblGrid>
      <w:tr w:rsidR="003B155E" w:rsidRPr="000A5D99" w14:paraId="1623A623" w14:textId="77777777" w:rsidTr="000D79D6">
        <w:trPr>
          <w:trHeight w:val="460"/>
        </w:trPr>
        <w:tc>
          <w:tcPr>
            <w:tcW w:w="2403" w:type="pct"/>
            <w:vAlign w:val="center"/>
          </w:tcPr>
          <w:p w14:paraId="7DD39EA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401" w:type="pct"/>
            <w:vAlign w:val="center"/>
          </w:tcPr>
          <w:p w14:paraId="3A7A723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196" w:type="pct"/>
            <w:vAlign w:val="center"/>
          </w:tcPr>
          <w:p w14:paraId="067B8FA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4D42C8F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5B99426B" w14:textId="77777777" w:rsidTr="000D79D6">
        <w:trPr>
          <w:trHeight w:val="950"/>
        </w:trPr>
        <w:tc>
          <w:tcPr>
            <w:tcW w:w="2403" w:type="pct"/>
            <w:vAlign w:val="center"/>
          </w:tcPr>
          <w:p w14:paraId="70A9455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401" w:type="pct"/>
            <w:vAlign w:val="center"/>
          </w:tcPr>
          <w:p w14:paraId="28D6C08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Kaplanan/baskı yapılan yüzeyin m</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’si başına g UOB</w:t>
            </w:r>
          </w:p>
        </w:tc>
        <w:tc>
          <w:tcPr>
            <w:tcW w:w="1196" w:type="pct"/>
            <w:vAlign w:val="center"/>
          </w:tcPr>
          <w:p w14:paraId="51A5AAE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1–3.5</w:t>
            </w:r>
          </w:p>
        </w:tc>
      </w:tr>
    </w:tbl>
    <w:p w14:paraId="2195E40E"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0E5AB71E"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Tablo 22'deki MET-İES'e alternatif olarak hem Tablo 23'teki hem de Tablo 24'teki MET-İES’ler kullanılabilir.</w:t>
      </w:r>
    </w:p>
    <w:p w14:paraId="492FBF0F"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23</w:t>
      </w:r>
    </w:p>
    <w:p w14:paraId="47C16F07"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Metal ambalajların kaplanması ve baskısından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19"/>
        <w:gridCol w:w="2650"/>
        <w:gridCol w:w="2093"/>
      </w:tblGrid>
      <w:tr w:rsidR="003B155E" w:rsidRPr="000A5D99" w14:paraId="185CFAF2" w14:textId="77777777" w:rsidTr="000D79D6">
        <w:trPr>
          <w:trHeight w:val="459"/>
        </w:trPr>
        <w:tc>
          <w:tcPr>
            <w:tcW w:w="2383" w:type="pct"/>
            <w:vAlign w:val="center"/>
          </w:tcPr>
          <w:p w14:paraId="62CD2B7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462" w:type="pct"/>
            <w:vAlign w:val="center"/>
          </w:tcPr>
          <w:p w14:paraId="74088E5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155" w:type="pct"/>
            <w:vAlign w:val="center"/>
          </w:tcPr>
          <w:p w14:paraId="0749052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1757A4E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1F7FD792" w14:textId="77777777" w:rsidTr="000D79D6">
        <w:trPr>
          <w:trHeight w:val="637"/>
        </w:trPr>
        <w:tc>
          <w:tcPr>
            <w:tcW w:w="2383" w:type="pct"/>
            <w:vAlign w:val="center"/>
          </w:tcPr>
          <w:p w14:paraId="4213DA0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462" w:type="pct"/>
            <w:vAlign w:val="center"/>
          </w:tcPr>
          <w:p w14:paraId="0E9FF64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155" w:type="pct"/>
            <w:vAlign w:val="center"/>
          </w:tcPr>
          <w:p w14:paraId="29B8541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1–12</w:t>
            </w:r>
          </w:p>
        </w:tc>
      </w:tr>
    </w:tbl>
    <w:p w14:paraId="067DB942"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2038DBD1"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24</w:t>
      </w:r>
    </w:p>
    <w:p w14:paraId="4055954D"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lastRenderedPageBreak/>
        <w:t>Metal ambalajların kaplanması ve baskısından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22"/>
        <w:gridCol w:w="2671"/>
        <w:gridCol w:w="3369"/>
      </w:tblGrid>
      <w:tr w:rsidR="003B155E" w:rsidRPr="000A5D99" w14:paraId="2F5F1F3D" w14:textId="77777777" w:rsidTr="000D79D6">
        <w:trPr>
          <w:trHeight w:val="689"/>
          <w:tblHeader/>
        </w:trPr>
        <w:tc>
          <w:tcPr>
            <w:tcW w:w="1667" w:type="pct"/>
            <w:vAlign w:val="center"/>
          </w:tcPr>
          <w:p w14:paraId="2E4D838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Parametre</w:t>
            </w:r>
          </w:p>
        </w:tc>
        <w:tc>
          <w:tcPr>
            <w:tcW w:w="1474" w:type="pct"/>
            <w:vAlign w:val="center"/>
          </w:tcPr>
          <w:p w14:paraId="6EBC136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Birim</w:t>
            </w:r>
          </w:p>
        </w:tc>
        <w:tc>
          <w:tcPr>
            <w:tcW w:w="1859" w:type="pct"/>
            <w:vAlign w:val="center"/>
          </w:tcPr>
          <w:p w14:paraId="40425C0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MET-İES</w:t>
            </w:r>
          </w:p>
          <w:p w14:paraId="4CD2003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(Günlük ortalama veya numune alma dönemi boyunca ortalama)</w:t>
            </w:r>
          </w:p>
        </w:tc>
      </w:tr>
      <w:tr w:rsidR="003B155E" w:rsidRPr="000A5D99" w14:paraId="32FF88AD" w14:textId="77777777" w:rsidTr="000D79D6">
        <w:trPr>
          <w:trHeight w:val="362"/>
        </w:trPr>
        <w:tc>
          <w:tcPr>
            <w:tcW w:w="1667" w:type="pct"/>
            <w:vAlign w:val="center"/>
          </w:tcPr>
          <w:p w14:paraId="6F3E3828"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TUOB</w:t>
            </w:r>
          </w:p>
        </w:tc>
        <w:tc>
          <w:tcPr>
            <w:tcW w:w="1474" w:type="pct"/>
            <w:vAlign w:val="center"/>
          </w:tcPr>
          <w:p w14:paraId="40FD3DE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mg C/Nm</w:t>
            </w:r>
            <w:r w:rsidRPr="000A5D99">
              <w:rPr>
                <w:rFonts w:ascii="Times New Roman" w:eastAsia="Times New Roman" w:hAnsi="Times New Roman" w:cs="Times New Roman"/>
                <w:sz w:val="20"/>
                <w:szCs w:val="20"/>
                <w:vertAlign w:val="superscript"/>
              </w:rPr>
              <w:t>3</w:t>
            </w:r>
          </w:p>
        </w:tc>
        <w:tc>
          <w:tcPr>
            <w:tcW w:w="1859" w:type="pct"/>
            <w:vAlign w:val="center"/>
          </w:tcPr>
          <w:p w14:paraId="4E3DC6C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1–20 (</w:t>
            </w:r>
            <w:r w:rsidRPr="000A5D99">
              <w:rPr>
                <w:rFonts w:ascii="Times New Roman" w:eastAsia="Times New Roman" w:hAnsi="Times New Roman" w:cs="Times New Roman"/>
                <w:sz w:val="20"/>
                <w:szCs w:val="20"/>
                <w:vertAlign w:val="superscript"/>
              </w:rPr>
              <w:t>1</w:t>
            </w:r>
            <w:r w:rsidRPr="000A5D99">
              <w:rPr>
                <w:rFonts w:ascii="Times New Roman" w:eastAsia="Times New Roman" w:hAnsi="Times New Roman" w:cs="Times New Roman"/>
                <w:sz w:val="20"/>
                <w:szCs w:val="20"/>
              </w:rPr>
              <w:t>)</w:t>
            </w:r>
          </w:p>
        </w:tc>
      </w:tr>
      <w:tr w:rsidR="003B155E" w:rsidRPr="000A5D99" w14:paraId="60974B0B" w14:textId="77777777" w:rsidTr="000D79D6">
        <w:trPr>
          <w:trHeight w:val="413"/>
        </w:trPr>
        <w:tc>
          <w:tcPr>
            <w:tcW w:w="5000" w:type="pct"/>
            <w:gridSpan w:val="3"/>
          </w:tcPr>
          <w:p w14:paraId="102B1A29" w14:textId="77777777" w:rsidR="003B155E" w:rsidRPr="0082590D" w:rsidRDefault="003B155E" w:rsidP="000D79D6">
            <w:pPr>
              <w:widowControl w:val="0"/>
              <w:autoSpaceDE w:val="0"/>
              <w:autoSpaceDN w:val="0"/>
              <w:spacing w:after="0" w:line="240" w:lineRule="auto"/>
              <w:ind w:left="74" w:right="74"/>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w:t>
            </w:r>
            <w:r w:rsidRPr="0082590D">
              <w:rPr>
                <w:rFonts w:ascii="Times New Roman" w:eastAsia="Times New Roman" w:hAnsi="Times New Roman" w:cs="Times New Roman"/>
                <w:sz w:val="20"/>
                <w:szCs w:val="20"/>
                <w:vertAlign w:val="superscript"/>
              </w:rPr>
              <w:t>1</w:t>
            </w:r>
            <w:r w:rsidRPr="0082590D">
              <w:rPr>
                <w:rFonts w:ascii="Times New Roman" w:eastAsia="Times New Roman" w:hAnsi="Times New Roman" w:cs="Times New Roman"/>
                <w:sz w:val="20"/>
                <w:szCs w:val="20"/>
              </w:rPr>
              <w:t xml:space="preserve">) Bir çıkış gazı işleme tekniği ile birlikte </w:t>
            </w:r>
            <w:r w:rsidRPr="0082590D">
              <w:rPr>
                <w:rFonts w:ascii="Times New Roman" w:eastAsia="Times New Roman" w:hAnsi="Times New Roman" w:cs="Times New Roman"/>
                <w:b/>
                <w:bCs/>
                <w:sz w:val="20"/>
                <w:szCs w:val="20"/>
              </w:rPr>
              <w:t>MET 16 (c)</w:t>
            </w:r>
            <w:r w:rsidRPr="0082590D">
              <w:rPr>
                <w:rFonts w:ascii="Times New Roman" w:eastAsia="Times New Roman" w:hAnsi="Times New Roman" w:cs="Times New Roman"/>
                <w:sz w:val="20"/>
                <w:szCs w:val="20"/>
              </w:rPr>
              <w:t xml:space="preserve"> kullanan tesisler için, yoğunlaştırıcının atık gazına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ten daha düşük bir ek MET-İES uygulanır.</w:t>
            </w:r>
          </w:p>
        </w:tc>
      </w:tr>
    </w:tbl>
    <w:p w14:paraId="2726CF05"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İlgili izleme MET 11'da verilmiştir.</w:t>
      </w:r>
    </w:p>
    <w:p w14:paraId="16E0CD7C"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102" w:name="_Toc137210502"/>
      <w:r w:rsidRPr="000A5D99">
        <w:rPr>
          <w:rFonts w:ascii="Times New Roman" w:eastAsia="DengXian Light" w:hAnsi="Times New Roman" w:cs="Microsoft Uighur"/>
          <w:b/>
          <w:sz w:val="24"/>
          <w:szCs w:val="32"/>
          <w:lang w:val="es-ES"/>
        </w:rPr>
        <w:t xml:space="preserve"> </w:t>
      </w:r>
      <w:r w:rsidRPr="002C4E63">
        <w:rPr>
          <w:rFonts w:ascii="Times New Roman" w:eastAsia="DengXian Light" w:hAnsi="Times New Roman" w:cs="Microsoft Uighur"/>
          <w:b/>
          <w:sz w:val="24"/>
          <w:szCs w:val="32"/>
          <w:lang w:val="es-ES"/>
        </w:rPr>
        <w:t>Kurutmalı (Heatset) Web</w:t>
      </w:r>
      <w:r w:rsidRPr="000A5D99">
        <w:rPr>
          <w:rFonts w:ascii="Times New Roman" w:eastAsia="DengXian Light" w:hAnsi="Times New Roman" w:cs="Microsoft Uighur"/>
          <w:b/>
          <w:sz w:val="24"/>
          <w:szCs w:val="32"/>
          <w:lang w:val="es-ES"/>
        </w:rPr>
        <w:t xml:space="preserve"> Ofset Baskıya İlişkin M</w:t>
      </w:r>
      <w:bookmarkEnd w:id="102"/>
      <w:r w:rsidRPr="000A5D99">
        <w:rPr>
          <w:rFonts w:ascii="Times New Roman" w:eastAsia="DengXian Light" w:hAnsi="Times New Roman" w:cs="Microsoft Uighur"/>
          <w:b/>
          <w:sz w:val="24"/>
          <w:szCs w:val="32"/>
          <w:lang w:val="es-ES"/>
        </w:rPr>
        <w:t>ET Sonuçları</w:t>
      </w:r>
    </w:p>
    <w:p w14:paraId="4937B948"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Bu bölümdeki MET, kurutmalı web ofset baskı için geçerlidir ve genel MET’e ek olarak uygulanmaktadır.</w:t>
      </w:r>
    </w:p>
    <w:p w14:paraId="79CBD193"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28: </w:t>
      </w:r>
      <w:r w:rsidRPr="000A5D99">
        <w:rPr>
          <w:rFonts w:ascii="Times New Roman" w:eastAsia="Calibri" w:hAnsi="Times New Roman" w:cs="Calibri"/>
          <w:sz w:val="24"/>
          <w:lang w:val="es-ES"/>
        </w:rPr>
        <w:t>Toplam UOB emisyonlarını azaltmak için, aşağıda verilen tekniklerin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8"/>
        <w:gridCol w:w="1785"/>
        <w:gridCol w:w="4442"/>
        <w:gridCol w:w="2387"/>
      </w:tblGrid>
      <w:tr w:rsidR="003B155E" w:rsidRPr="000A5D99" w14:paraId="7982303D" w14:textId="77777777" w:rsidTr="000D79D6">
        <w:trPr>
          <w:trHeight w:val="230"/>
          <w:tblHeader/>
        </w:trPr>
        <w:tc>
          <w:tcPr>
            <w:tcW w:w="1232" w:type="pct"/>
            <w:gridSpan w:val="2"/>
            <w:vAlign w:val="center"/>
          </w:tcPr>
          <w:p w14:paraId="1B33ED1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451" w:type="pct"/>
            <w:vAlign w:val="center"/>
          </w:tcPr>
          <w:p w14:paraId="321C3CF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c>
          <w:tcPr>
            <w:tcW w:w="1317" w:type="pct"/>
            <w:vAlign w:val="center"/>
          </w:tcPr>
          <w:p w14:paraId="005C8C6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0F1FFF9D" w14:textId="77777777" w:rsidTr="000D79D6">
        <w:trPr>
          <w:trHeight w:val="230"/>
        </w:trPr>
        <w:tc>
          <w:tcPr>
            <w:tcW w:w="5000" w:type="pct"/>
            <w:gridSpan w:val="4"/>
          </w:tcPr>
          <w:p w14:paraId="12818D8C"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iCs/>
              </w:rPr>
            </w:pPr>
            <w:r w:rsidRPr="000A5D99">
              <w:rPr>
                <w:rFonts w:ascii="Times New Roman" w:eastAsia="Times New Roman" w:hAnsi="Times New Roman" w:cs="Times New Roman"/>
                <w:b/>
                <w:iCs/>
              </w:rPr>
              <w:t>Malzeme bazlı ve baskı teknikleri</w:t>
            </w:r>
          </w:p>
        </w:tc>
      </w:tr>
      <w:tr w:rsidR="003B155E" w:rsidRPr="000A5D99" w14:paraId="7FA8F561" w14:textId="77777777" w:rsidTr="000D79D6">
        <w:trPr>
          <w:trHeight w:val="1149"/>
        </w:trPr>
        <w:tc>
          <w:tcPr>
            <w:tcW w:w="247" w:type="pct"/>
            <w:vAlign w:val="center"/>
          </w:tcPr>
          <w:p w14:paraId="599DF60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985" w:type="pct"/>
            <w:vAlign w:val="center"/>
          </w:tcPr>
          <w:p w14:paraId="1BF3B1F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Nemlendirme çözümlerinde düşük izopropanolün (IPA) veya IPA içermeyen katkı maddelerinin kullanılması</w:t>
            </w:r>
          </w:p>
        </w:tc>
        <w:tc>
          <w:tcPr>
            <w:tcW w:w="2451" w:type="pct"/>
            <w:vAlign w:val="center"/>
          </w:tcPr>
          <w:p w14:paraId="6EFF71F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Uçucu olmayan veya düşük uçuculuğa sahip diğer organik bileşiklerin karışımları ile ikame yoluyla nemlendirme çözeltilerinde ıslatıcı madde olarak IPA azaltılması veya önlenmesi.</w:t>
            </w:r>
          </w:p>
        </w:tc>
        <w:tc>
          <w:tcPr>
            <w:tcW w:w="1317" w:type="pct"/>
            <w:vAlign w:val="center"/>
          </w:tcPr>
          <w:p w14:paraId="58C45976" w14:textId="77777777" w:rsidR="003B155E" w:rsidRPr="000A5D99" w:rsidRDefault="003B155E" w:rsidP="000D79D6">
            <w:pPr>
              <w:widowControl w:val="0"/>
              <w:tabs>
                <w:tab w:val="left" w:pos="1610"/>
                <w:tab w:val="left" w:pos="1999"/>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teknik ve ürün kalite gereklilikleri veya özellikleri ile sınırlı olabilir.</w:t>
            </w:r>
          </w:p>
        </w:tc>
      </w:tr>
      <w:tr w:rsidR="003B155E" w:rsidRPr="000A5D99" w14:paraId="1A5B586A" w14:textId="77777777" w:rsidTr="000D79D6">
        <w:trPr>
          <w:trHeight w:val="1150"/>
        </w:trPr>
        <w:tc>
          <w:tcPr>
            <w:tcW w:w="247" w:type="pct"/>
            <w:vAlign w:val="center"/>
          </w:tcPr>
          <w:p w14:paraId="0FDA919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985" w:type="pct"/>
            <w:vAlign w:val="center"/>
          </w:tcPr>
          <w:p w14:paraId="4F0EF69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Susuz ofset</w:t>
            </w:r>
          </w:p>
        </w:tc>
        <w:tc>
          <w:tcPr>
            <w:tcW w:w="2451" w:type="pct"/>
            <w:vAlign w:val="center"/>
          </w:tcPr>
          <w:p w14:paraId="0C16B7F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Özel kaplamalı ofset plakaların kullanımını sağlamak için pres ve baskı öncesi işlemlerin modifikasyonu, nemlendirme ihtiyacını ortadan kaldırır.</w:t>
            </w:r>
          </w:p>
        </w:tc>
        <w:tc>
          <w:tcPr>
            <w:tcW w:w="1317" w:type="pct"/>
            <w:vAlign w:val="center"/>
          </w:tcPr>
          <w:p w14:paraId="5E9BCED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Kalıpların daha sık değiştirilmesi gerektiğinden uzun baskı adetleri için geçerli olmayabilir.</w:t>
            </w:r>
          </w:p>
        </w:tc>
      </w:tr>
      <w:tr w:rsidR="003B155E" w:rsidRPr="000A5D99" w14:paraId="7EDB31C3" w14:textId="77777777" w:rsidTr="000D79D6">
        <w:trPr>
          <w:trHeight w:val="230"/>
        </w:trPr>
        <w:tc>
          <w:tcPr>
            <w:tcW w:w="5000" w:type="pct"/>
            <w:gridSpan w:val="4"/>
            <w:vAlign w:val="center"/>
          </w:tcPr>
          <w:p w14:paraId="3D5B9E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
              </w:rPr>
            </w:pPr>
            <w:r w:rsidRPr="000A5D99">
              <w:rPr>
                <w:rFonts w:ascii="Times New Roman" w:eastAsia="Times New Roman" w:hAnsi="Times New Roman" w:cs="Times New Roman"/>
                <w:b/>
                <w:i/>
              </w:rPr>
              <w:t>Temizleme teknikleri</w:t>
            </w:r>
          </w:p>
        </w:tc>
      </w:tr>
      <w:tr w:rsidR="003B155E" w:rsidRPr="000A5D99" w14:paraId="6A2E1809" w14:textId="77777777" w:rsidTr="000D79D6">
        <w:trPr>
          <w:trHeight w:val="566"/>
        </w:trPr>
        <w:tc>
          <w:tcPr>
            <w:tcW w:w="247" w:type="pct"/>
            <w:vAlign w:val="center"/>
          </w:tcPr>
          <w:p w14:paraId="3A1113A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985" w:type="pct"/>
            <w:vAlign w:val="center"/>
          </w:tcPr>
          <w:p w14:paraId="3C2CCE3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Otomatik plastik levha (blanket) temizlik için UOB içermeyen solventlerin veya düşük uçuculuğa sahip solventlerin kullanılması</w:t>
            </w:r>
          </w:p>
        </w:tc>
        <w:tc>
          <w:tcPr>
            <w:tcW w:w="2451" w:type="pct"/>
            <w:vAlign w:val="center"/>
          </w:tcPr>
          <w:p w14:paraId="1DEF927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Otomatik plastik levha (blanket) temizlik için temizlik maddesi olarak uçucu olmayan veya düşük uçuculuğa sahip organik bileşiklerin kullanılması.</w:t>
            </w:r>
          </w:p>
        </w:tc>
        <w:tc>
          <w:tcPr>
            <w:tcW w:w="1317" w:type="pct"/>
            <w:vAlign w:val="center"/>
          </w:tcPr>
          <w:p w14:paraId="0AD3609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5D436E56" w14:textId="77777777" w:rsidTr="000D79D6">
        <w:trPr>
          <w:trHeight w:val="229"/>
        </w:trPr>
        <w:tc>
          <w:tcPr>
            <w:tcW w:w="5000" w:type="pct"/>
            <w:gridSpan w:val="4"/>
            <w:vAlign w:val="center"/>
          </w:tcPr>
          <w:p w14:paraId="055D09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
              </w:rPr>
            </w:pPr>
            <w:r w:rsidRPr="000A5D99">
              <w:rPr>
                <w:rFonts w:ascii="Times New Roman" w:eastAsia="Times New Roman" w:hAnsi="Times New Roman" w:cs="Times New Roman"/>
                <w:b/>
                <w:i/>
              </w:rPr>
              <w:t>Çıkış gazı işleme teknikleri</w:t>
            </w:r>
          </w:p>
        </w:tc>
      </w:tr>
      <w:tr w:rsidR="003B155E" w:rsidRPr="000A5D99" w14:paraId="35EE509F" w14:textId="77777777" w:rsidTr="000D79D6">
        <w:trPr>
          <w:trHeight w:val="283"/>
        </w:trPr>
        <w:tc>
          <w:tcPr>
            <w:tcW w:w="247" w:type="pct"/>
            <w:vAlign w:val="center"/>
          </w:tcPr>
          <w:p w14:paraId="7EECC17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985" w:type="pct"/>
            <w:vAlign w:val="center"/>
          </w:tcPr>
          <w:p w14:paraId="5BC6E5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gazı işleme ile entegre web ofset kurutucu</w:t>
            </w:r>
          </w:p>
        </w:tc>
        <w:tc>
          <w:tcPr>
            <w:tcW w:w="2451" w:type="pct"/>
            <w:vAlign w:val="center"/>
          </w:tcPr>
          <w:p w14:paraId="785E148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Gelen kurutucu havanın çıkış gazı ısıl işlem sisteminden geri dönen atık gazların bir kısmı ile karıştırılmasını sağlayan entegre bir çıkış gazı işleme ünitesine sahip bir web ofset kurutucu.</w:t>
            </w:r>
          </w:p>
        </w:tc>
        <w:tc>
          <w:tcPr>
            <w:tcW w:w="1317" w:type="pct"/>
            <w:vAlign w:val="center"/>
          </w:tcPr>
          <w:p w14:paraId="4C4609A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Yeni tesisler veya büyük tesis iyileştirmeleri için geçerlidir.</w:t>
            </w:r>
          </w:p>
        </w:tc>
      </w:tr>
      <w:tr w:rsidR="003B155E" w:rsidRPr="000A5D99" w14:paraId="6C7278DD" w14:textId="77777777" w:rsidTr="000D79D6">
        <w:trPr>
          <w:trHeight w:val="1150"/>
        </w:trPr>
        <w:tc>
          <w:tcPr>
            <w:tcW w:w="247" w:type="pct"/>
            <w:vAlign w:val="center"/>
          </w:tcPr>
          <w:p w14:paraId="1297B9A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e</w:t>
            </w:r>
          </w:p>
        </w:tc>
        <w:tc>
          <w:tcPr>
            <w:tcW w:w="985" w:type="pct"/>
            <w:vAlign w:val="center"/>
          </w:tcPr>
          <w:p w14:paraId="61B935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Pres odasından veya pres kapsüllemeden havanın çıkarılması ve işlenmesi</w:t>
            </w:r>
          </w:p>
        </w:tc>
        <w:tc>
          <w:tcPr>
            <w:tcW w:w="2451" w:type="pct"/>
            <w:vAlign w:val="center"/>
          </w:tcPr>
          <w:p w14:paraId="1945309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Pres odasından veya pres kapsülünden çekilen havanın kurutucuya yönlendirilmesi. Sonuç olarak, pres odasında veya pres kapsüllemede buharlaşan solventlerin bir kısmı, kurutucunun akış aşağısında ısıl işlemle (bkz. </w:t>
            </w:r>
            <w:r w:rsidRPr="000A5D99">
              <w:rPr>
                <w:rFonts w:ascii="Times New Roman" w:eastAsia="Times New Roman" w:hAnsi="Times New Roman" w:cs="Times New Roman"/>
                <w:b/>
                <w:bCs/>
              </w:rPr>
              <w:t>MET 15</w:t>
            </w:r>
            <w:r w:rsidRPr="000A5D99">
              <w:rPr>
                <w:rFonts w:ascii="Times New Roman" w:eastAsia="Times New Roman" w:hAnsi="Times New Roman" w:cs="Times New Roman"/>
              </w:rPr>
              <w:t>) azaltılır.</w:t>
            </w:r>
          </w:p>
        </w:tc>
        <w:tc>
          <w:tcPr>
            <w:tcW w:w="1317" w:type="pct"/>
            <w:vAlign w:val="center"/>
          </w:tcPr>
          <w:p w14:paraId="0E65A4D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bl>
    <w:p w14:paraId="7E93BA88"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n-US"/>
        </w:rPr>
      </w:pPr>
      <w:r w:rsidRPr="000A5D99">
        <w:rPr>
          <w:rFonts w:ascii="Times New Roman" w:eastAsia="Calibri" w:hAnsi="Times New Roman" w:cs="Calibri"/>
          <w:bCs/>
          <w:i/>
          <w:color w:val="000000"/>
          <w:sz w:val="24"/>
          <w:szCs w:val="24"/>
          <w:lang w:val="en-US"/>
        </w:rPr>
        <w:t>Tablo 25</w:t>
      </w:r>
    </w:p>
    <w:p w14:paraId="0467E42D"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n-US"/>
        </w:rPr>
      </w:pPr>
      <w:r w:rsidRPr="000A5D99">
        <w:rPr>
          <w:rFonts w:ascii="Times New Roman" w:eastAsia="Calibri" w:hAnsi="Times New Roman" w:cs="Calibri"/>
          <w:b/>
          <w:iCs/>
          <w:color w:val="000000"/>
          <w:sz w:val="24"/>
          <w:szCs w:val="24"/>
          <w:lang w:val="en-US"/>
        </w:rPr>
        <w:t>Kurutmalı web ofset baskıdan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90"/>
        <w:gridCol w:w="2093"/>
        <w:gridCol w:w="2579"/>
      </w:tblGrid>
      <w:tr w:rsidR="003B155E" w:rsidRPr="000A5D99" w14:paraId="3CDE0D12" w14:textId="77777777" w:rsidTr="000D79D6">
        <w:trPr>
          <w:trHeight w:val="459"/>
          <w:tblHeader/>
        </w:trPr>
        <w:tc>
          <w:tcPr>
            <w:tcW w:w="2422" w:type="pct"/>
            <w:vAlign w:val="center"/>
          </w:tcPr>
          <w:p w14:paraId="20A9541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155" w:type="pct"/>
            <w:vAlign w:val="center"/>
          </w:tcPr>
          <w:p w14:paraId="1B0AA8C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423" w:type="pct"/>
            <w:vAlign w:val="center"/>
          </w:tcPr>
          <w:p w14:paraId="02F8BDC6" w14:textId="77777777" w:rsidR="003B155E" w:rsidRPr="000A5D99" w:rsidRDefault="003B155E" w:rsidP="000D79D6">
            <w:pPr>
              <w:widowControl w:val="0"/>
              <w:autoSpaceDE w:val="0"/>
              <w:autoSpaceDN w:val="0"/>
              <w:spacing w:after="0" w:line="230" w:lineRule="exact"/>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1B94F740" w14:textId="77777777" w:rsidR="003B155E" w:rsidRPr="000A5D99" w:rsidRDefault="003B155E" w:rsidP="000D79D6">
            <w:pPr>
              <w:widowControl w:val="0"/>
              <w:autoSpaceDE w:val="0"/>
              <w:autoSpaceDN w:val="0"/>
              <w:spacing w:after="0" w:line="209" w:lineRule="exact"/>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283B71F6" w14:textId="77777777" w:rsidTr="000D79D6">
        <w:trPr>
          <w:trHeight w:val="480"/>
        </w:trPr>
        <w:tc>
          <w:tcPr>
            <w:tcW w:w="2422" w:type="pct"/>
            <w:vAlign w:val="center"/>
          </w:tcPr>
          <w:p w14:paraId="2DA84C93" w14:textId="77777777" w:rsidR="003B155E" w:rsidRPr="000A5D99" w:rsidRDefault="003B155E" w:rsidP="000D79D6">
            <w:pPr>
              <w:widowControl w:val="0"/>
              <w:autoSpaceDE w:val="0"/>
              <w:autoSpaceDN w:val="0"/>
              <w:spacing w:after="0" w:line="230" w:lineRule="atLeast"/>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155" w:type="pct"/>
            <w:vAlign w:val="center"/>
          </w:tcPr>
          <w:p w14:paraId="2C8E5F7F" w14:textId="77777777" w:rsidR="003B155E" w:rsidRPr="000A5D99" w:rsidRDefault="003B155E" w:rsidP="000D79D6">
            <w:pPr>
              <w:widowControl w:val="0"/>
              <w:autoSpaceDE w:val="0"/>
              <w:autoSpaceDN w:val="0"/>
              <w:spacing w:after="0" w:line="230" w:lineRule="atLeast"/>
              <w:ind w:left="74" w:right="74"/>
              <w:jc w:val="center"/>
              <w:rPr>
                <w:rFonts w:ascii="Times New Roman" w:eastAsia="Times New Roman" w:hAnsi="Times New Roman" w:cs="Times New Roman"/>
              </w:rPr>
            </w:pPr>
            <w:r w:rsidRPr="000A5D99">
              <w:rPr>
                <w:rFonts w:ascii="Times New Roman" w:eastAsia="Times New Roman" w:hAnsi="Times New Roman" w:cs="Times New Roman"/>
              </w:rPr>
              <w:t>mürekkep girdisi başına kg UOB</w:t>
            </w:r>
          </w:p>
        </w:tc>
        <w:tc>
          <w:tcPr>
            <w:tcW w:w="1423" w:type="pct"/>
            <w:vAlign w:val="center"/>
          </w:tcPr>
          <w:p w14:paraId="6CF2588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0,01–0,04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245E82D3" w14:textId="77777777" w:rsidTr="000D79D6">
        <w:trPr>
          <w:trHeight w:val="317"/>
        </w:trPr>
        <w:tc>
          <w:tcPr>
            <w:tcW w:w="5000" w:type="pct"/>
            <w:gridSpan w:val="3"/>
          </w:tcPr>
          <w:p w14:paraId="0B8FBD51" w14:textId="77777777" w:rsidR="003B155E" w:rsidRPr="0082590D" w:rsidRDefault="003B155E" w:rsidP="000D79D6">
            <w:pPr>
              <w:widowControl w:val="0"/>
              <w:autoSpaceDE w:val="0"/>
              <w:autoSpaceDN w:val="0"/>
              <w:spacing w:after="0" w:line="240" w:lineRule="auto"/>
              <w:ind w:left="74" w:right="74"/>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w:t>
            </w:r>
            <w:r w:rsidRPr="0082590D">
              <w:rPr>
                <w:rFonts w:ascii="Times New Roman" w:eastAsia="Times New Roman" w:hAnsi="Times New Roman" w:cs="Times New Roman"/>
                <w:sz w:val="20"/>
                <w:szCs w:val="20"/>
                <w:vertAlign w:val="superscript"/>
              </w:rPr>
              <w:t>1</w:t>
            </w:r>
            <w:r w:rsidRPr="0082590D">
              <w:rPr>
                <w:rFonts w:ascii="Times New Roman" w:eastAsia="Times New Roman" w:hAnsi="Times New Roman" w:cs="Times New Roman"/>
                <w:sz w:val="20"/>
                <w:szCs w:val="20"/>
              </w:rPr>
              <w:t>) MET-İES aralığında üst sınır değeri, yüksek kaliteli ürünlerin üretimi ile ilgilidir.</w:t>
            </w:r>
          </w:p>
        </w:tc>
      </w:tr>
    </w:tbl>
    <w:p w14:paraId="58CDAD8B"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6587A5FB"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Tablo 25'teki MET-İES’lere alternatif olarak hem Tablo 26'daki hem de Tablo 27'deki MET-İES’ler kullanılabilir.</w:t>
      </w:r>
    </w:p>
    <w:p w14:paraId="1FF76B06"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26</w:t>
      </w:r>
    </w:p>
    <w:p w14:paraId="71D17AAD"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Kurutmalı web ofset baskıdan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47"/>
        <w:gridCol w:w="2082"/>
        <w:gridCol w:w="2633"/>
      </w:tblGrid>
      <w:tr w:rsidR="003B155E" w:rsidRPr="000A5D99" w14:paraId="61296736" w14:textId="77777777" w:rsidTr="000D79D6">
        <w:trPr>
          <w:trHeight w:val="460"/>
        </w:trPr>
        <w:tc>
          <w:tcPr>
            <w:tcW w:w="2398" w:type="pct"/>
            <w:vAlign w:val="center"/>
          </w:tcPr>
          <w:p w14:paraId="0C5C333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149" w:type="pct"/>
            <w:vAlign w:val="center"/>
          </w:tcPr>
          <w:p w14:paraId="48257BE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453" w:type="pct"/>
            <w:vAlign w:val="center"/>
          </w:tcPr>
          <w:p w14:paraId="610F2C3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1E2088B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49803C77" w14:textId="77777777" w:rsidTr="000D79D6">
        <w:trPr>
          <w:trHeight w:val="620"/>
        </w:trPr>
        <w:tc>
          <w:tcPr>
            <w:tcW w:w="2398" w:type="pct"/>
            <w:vAlign w:val="center"/>
          </w:tcPr>
          <w:p w14:paraId="0C696C3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149" w:type="pct"/>
            <w:vAlign w:val="center"/>
          </w:tcPr>
          <w:p w14:paraId="43686B0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453" w:type="pct"/>
            <w:vAlign w:val="center"/>
          </w:tcPr>
          <w:p w14:paraId="17DE62C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1–10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2B355BAD" w14:textId="77777777" w:rsidTr="000D79D6">
        <w:trPr>
          <w:trHeight w:val="296"/>
        </w:trPr>
        <w:tc>
          <w:tcPr>
            <w:tcW w:w="5000" w:type="pct"/>
            <w:gridSpan w:val="3"/>
          </w:tcPr>
          <w:p w14:paraId="579C88B5" w14:textId="77777777" w:rsidR="003B155E" w:rsidRPr="00A83441"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82590D">
              <w:rPr>
                <w:rFonts w:ascii="Times New Roman" w:eastAsia="Times New Roman" w:hAnsi="Times New Roman" w:cs="Times New Roman"/>
                <w:sz w:val="20"/>
                <w:szCs w:val="20"/>
              </w:rPr>
              <w:t>(</w:t>
            </w:r>
            <w:r w:rsidRPr="0082590D">
              <w:rPr>
                <w:rFonts w:ascii="Times New Roman" w:eastAsia="Times New Roman" w:hAnsi="Times New Roman" w:cs="Times New Roman"/>
                <w:sz w:val="20"/>
                <w:szCs w:val="20"/>
                <w:vertAlign w:val="superscript"/>
              </w:rPr>
              <w:t>1</w:t>
            </w:r>
            <w:r w:rsidRPr="0082590D">
              <w:rPr>
                <w:rFonts w:ascii="Times New Roman" w:eastAsia="Times New Roman" w:hAnsi="Times New Roman" w:cs="Times New Roman"/>
                <w:sz w:val="20"/>
                <w:szCs w:val="20"/>
              </w:rPr>
              <w:t>) MET-İES aralığında üst sınır değeri, yüksek kaliteli ürünlerin üretimi ile ilgilidir.</w:t>
            </w:r>
          </w:p>
        </w:tc>
      </w:tr>
    </w:tbl>
    <w:p w14:paraId="390AC01C"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6C78B7DA"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27</w:t>
      </w:r>
    </w:p>
    <w:p w14:paraId="6E32238C"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Kurutmalı web ofset baskıdan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21"/>
        <w:gridCol w:w="2822"/>
        <w:gridCol w:w="3619"/>
      </w:tblGrid>
      <w:tr w:rsidR="003B155E" w:rsidRPr="000A5D99" w14:paraId="000FA291" w14:textId="77777777" w:rsidTr="000D79D6">
        <w:trPr>
          <w:trHeight w:val="690"/>
          <w:tblHeader/>
        </w:trPr>
        <w:tc>
          <w:tcPr>
            <w:tcW w:w="1446" w:type="pct"/>
            <w:vAlign w:val="center"/>
          </w:tcPr>
          <w:p w14:paraId="148AADB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557" w:type="pct"/>
            <w:vAlign w:val="center"/>
          </w:tcPr>
          <w:p w14:paraId="2737291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997" w:type="pct"/>
            <w:vAlign w:val="center"/>
          </w:tcPr>
          <w:p w14:paraId="0A2F0DA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4A2B740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7F26C556" w14:textId="77777777" w:rsidTr="000D79D6">
        <w:trPr>
          <w:trHeight w:val="389"/>
        </w:trPr>
        <w:tc>
          <w:tcPr>
            <w:tcW w:w="1446" w:type="pct"/>
            <w:vAlign w:val="center"/>
          </w:tcPr>
          <w:p w14:paraId="72DC3C9C"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557" w:type="pct"/>
            <w:vAlign w:val="center"/>
          </w:tcPr>
          <w:p w14:paraId="060E25C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997" w:type="pct"/>
            <w:vAlign w:val="center"/>
          </w:tcPr>
          <w:p w14:paraId="67CB591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1–15</w:t>
            </w:r>
          </w:p>
        </w:tc>
      </w:tr>
    </w:tbl>
    <w:p w14:paraId="0D6D7499"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3B1ECAE7"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103" w:name="_Toc137210503"/>
      <w:r w:rsidRPr="000A5D99">
        <w:rPr>
          <w:rFonts w:ascii="Times New Roman" w:eastAsia="DengXian Light" w:hAnsi="Times New Roman" w:cs="Microsoft Uighur"/>
          <w:b/>
          <w:sz w:val="24"/>
          <w:szCs w:val="32"/>
          <w:lang w:val="es-ES"/>
        </w:rPr>
        <w:lastRenderedPageBreak/>
        <w:t xml:space="preserve"> Fleksografi ve Yayın Dışı Rotogravür Baskıya İlişkin </w:t>
      </w:r>
      <w:bookmarkEnd w:id="103"/>
      <w:r w:rsidRPr="000A5D99">
        <w:rPr>
          <w:rFonts w:ascii="Times New Roman" w:eastAsia="DengXian Light" w:hAnsi="Times New Roman" w:cs="Microsoft Uighur"/>
          <w:b/>
          <w:sz w:val="24"/>
          <w:szCs w:val="32"/>
          <w:lang w:val="es-ES"/>
        </w:rPr>
        <w:t>MET Sonuçları</w:t>
      </w:r>
    </w:p>
    <w:p w14:paraId="275AD809"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Aşağıda verilen fleksografi ve yayın dışı rotogravür baskı emisyon seviyeleri, genel MET’le ilişkili emisyon seviyelerini göstermektedir.</w:t>
      </w:r>
    </w:p>
    <w:p w14:paraId="631E9C1F"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28</w:t>
      </w:r>
    </w:p>
    <w:p w14:paraId="28583CB6"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Fleksografi ve yayın dışı rotogravür baskıdan kaynaklanan toplam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36"/>
        <w:gridCol w:w="4207"/>
        <w:gridCol w:w="1919"/>
      </w:tblGrid>
      <w:tr w:rsidR="003B155E" w:rsidRPr="000A5D99" w14:paraId="52313EF5" w14:textId="77777777" w:rsidTr="000D79D6">
        <w:trPr>
          <w:trHeight w:val="460"/>
          <w:tblHeader/>
        </w:trPr>
        <w:tc>
          <w:tcPr>
            <w:tcW w:w="1620" w:type="pct"/>
            <w:vAlign w:val="center"/>
          </w:tcPr>
          <w:p w14:paraId="5C1DD7B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2321" w:type="pct"/>
            <w:vAlign w:val="center"/>
          </w:tcPr>
          <w:p w14:paraId="7FE9CA9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059" w:type="pct"/>
            <w:vAlign w:val="center"/>
          </w:tcPr>
          <w:p w14:paraId="470E02C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7F8CA8B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6C246767" w14:textId="77777777" w:rsidTr="000D79D6">
        <w:trPr>
          <w:trHeight w:val="690"/>
        </w:trPr>
        <w:tc>
          <w:tcPr>
            <w:tcW w:w="1620" w:type="pct"/>
            <w:vAlign w:val="center"/>
          </w:tcPr>
          <w:p w14:paraId="46492C1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2321" w:type="pct"/>
            <w:vAlign w:val="center"/>
          </w:tcPr>
          <w:p w14:paraId="002E896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kg katı kütle girdisi başına kg UOB</w:t>
            </w:r>
          </w:p>
        </w:tc>
        <w:tc>
          <w:tcPr>
            <w:tcW w:w="1059" w:type="pct"/>
            <w:vAlign w:val="center"/>
          </w:tcPr>
          <w:p w14:paraId="145A6D6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0,1–0,3</w:t>
            </w:r>
          </w:p>
        </w:tc>
      </w:tr>
    </w:tbl>
    <w:p w14:paraId="4B9FD834"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4E36239F"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Tablo 28'deki MET-İES'e alternatif olarak hem Tablo 29'daki hem de Tablo 30'daki MET-İES’ler kullanılabilir.</w:t>
      </w:r>
    </w:p>
    <w:p w14:paraId="0E0177B6"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29</w:t>
      </w:r>
    </w:p>
    <w:p w14:paraId="695A38A3"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Fleksografi ve yayın dışı rotogravür baskıdan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70"/>
        <w:gridCol w:w="3196"/>
        <w:gridCol w:w="2496"/>
      </w:tblGrid>
      <w:tr w:rsidR="003B155E" w:rsidRPr="000A5D99" w14:paraId="416062AC" w14:textId="77777777" w:rsidTr="000D79D6">
        <w:trPr>
          <w:trHeight w:val="460"/>
          <w:tblHeader/>
        </w:trPr>
        <w:tc>
          <w:tcPr>
            <w:tcW w:w="1859" w:type="pct"/>
            <w:vAlign w:val="center"/>
          </w:tcPr>
          <w:p w14:paraId="453BB5E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763" w:type="pct"/>
            <w:vAlign w:val="center"/>
          </w:tcPr>
          <w:p w14:paraId="1EBE665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377" w:type="pct"/>
            <w:vAlign w:val="center"/>
          </w:tcPr>
          <w:p w14:paraId="0967ED8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730FD4B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4B496491" w14:textId="77777777" w:rsidTr="000D79D6">
        <w:trPr>
          <w:trHeight w:val="238"/>
        </w:trPr>
        <w:tc>
          <w:tcPr>
            <w:tcW w:w="1859" w:type="pct"/>
            <w:vAlign w:val="center"/>
          </w:tcPr>
          <w:p w14:paraId="29B6336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763" w:type="pct"/>
            <w:vAlign w:val="center"/>
          </w:tcPr>
          <w:p w14:paraId="4DDFDFB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377" w:type="pct"/>
            <w:vAlign w:val="center"/>
          </w:tcPr>
          <w:p w14:paraId="2096911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1–12</w:t>
            </w:r>
          </w:p>
        </w:tc>
      </w:tr>
    </w:tbl>
    <w:p w14:paraId="59A3EB83"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008EDC75"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30</w:t>
      </w:r>
    </w:p>
    <w:p w14:paraId="03AC1C25"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Fleksografi ve yayın dışı rotogravür baskıdan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7"/>
        <w:gridCol w:w="2943"/>
        <w:gridCol w:w="3502"/>
      </w:tblGrid>
      <w:tr w:rsidR="003B155E" w:rsidRPr="000A5D99" w14:paraId="4C629E1F" w14:textId="77777777" w:rsidTr="000D79D6">
        <w:trPr>
          <w:trHeight w:val="689"/>
          <w:tblHeader/>
        </w:trPr>
        <w:tc>
          <w:tcPr>
            <w:tcW w:w="1444" w:type="pct"/>
            <w:vAlign w:val="center"/>
          </w:tcPr>
          <w:p w14:paraId="7CC06E4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624" w:type="pct"/>
            <w:vAlign w:val="center"/>
          </w:tcPr>
          <w:p w14:paraId="7D53F0B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932" w:type="pct"/>
            <w:vAlign w:val="center"/>
          </w:tcPr>
          <w:p w14:paraId="1846A9B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69E9E0D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(Günlük ortalama veya numune alma dönemi boyunca ortalama)</w:t>
            </w:r>
          </w:p>
        </w:tc>
      </w:tr>
      <w:tr w:rsidR="003B155E" w:rsidRPr="000A5D99" w14:paraId="357822DC" w14:textId="77777777" w:rsidTr="000D79D6">
        <w:trPr>
          <w:trHeight w:val="153"/>
        </w:trPr>
        <w:tc>
          <w:tcPr>
            <w:tcW w:w="1444" w:type="pct"/>
          </w:tcPr>
          <w:p w14:paraId="7E58F030"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624" w:type="pct"/>
          </w:tcPr>
          <w:p w14:paraId="350354F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932" w:type="pct"/>
          </w:tcPr>
          <w:p w14:paraId="5BDFD84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1–20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r>
      <w:tr w:rsidR="003B155E" w:rsidRPr="000A5D99" w14:paraId="30694D62" w14:textId="77777777" w:rsidTr="000D79D6">
        <w:trPr>
          <w:trHeight w:val="977"/>
        </w:trPr>
        <w:tc>
          <w:tcPr>
            <w:tcW w:w="5000" w:type="pct"/>
            <w:gridSpan w:val="3"/>
          </w:tcPr>
          <w:p w14:paraId="5CDE2551" w14:textId="77777777" w:rsidR="003B155E" w:rsidRPr="000A5D99" w:rsidRDefault="003B155E" w:rsidP="003B155E">
            <w:pPr>
              <w:widowControl w:val="0"/>
              <w:numPr>
                <w:ilvl w:val="0"/>
                <w:numId w:val="143"/>
              </w:numPr>
              <w:tabs>
                <w:tab w:val="left" w:pos="348"/>
              </w:tabs>
              <w:autoSpaceDE w:val="0"/>
              <w:autoSpaceDN w:val="0"/>
              <w:spacing w:after="0" w:line="240" w:lineRule="auto"/>
              <w:ind w:left="359" w:right="74" w:hanging="285"/>
              <w:jc w:val="both"/>
              <w:rPr>
                <w:rFonts w:ascii="Times New Roman" w:eastAsia="Times New Roman" w:hAnsi="Times New Roman" w:cs="Times New Roman"/>
                <w:i/>
                <w:iCs/>
                <w:sz w:val="20"/>
                <w:szCs w:val="20"/>
              </w:rPr>
            </w:pPr>
            <w:r w:rsidRPr="000A5D99">
              <w:rPr>
                <w:rFonts w:ascii="Times New Roman" w:eastAsia="Times New Roman" w:hAnsi="Times New Roman" w:cs="Times New Roman"/>
                <w:i/>
                <w:iCs/>
                <w:sz w:val="20"/>
                <w:szCs w:val="20"/>
              </w:rPr>
              <w:t>MET-İES aralığının üst sınırı, geri kazanılan solventin yeniden kullanılmasına/geri dönüştürülmesine izin veren teknikler kullanılıyorsa 50 mg C/Nm</w:t>
            </w:r>
            <w:r w:rsidRPr="000A5D99">
              <w:rPr>
                <w:rFonts w:ascii="Times New Roman" w:eastAsia="Times New Roman" w:hAnsi="Times New Roman" w:cs="Times New Roman"/>
                <w:i/>
                <w:iCs/>
                <w:sz w:val="20"/>
                <w:szCs w:val="20"/>
                <w:vertAlign w:val="superscript"/>
              </w:rPr>
              <w:t>3</w:t>
            </w:r>
            <w:r w:rsidRPr="000A5D99">
              <w:rPr>
                <w:rFonts w:ascii="Times New Roman" w:eastAsia="Times New Roman" w:hAnsi="Times New Roman" w:cs="Times New Roman"/>
                <w:i/>
                <w:iCs/>
                <w:sz w:val="20"/>
                <w:szCs w:val="20"/>
              </w:rPr>
              <w:t>tür.</w:t>
            </w:r>
          </w:p>
          <w:p w14:paraId="514A74A2" w14:textId="77777777" w:rsidR="003B155E" w:rsidRPr="000A5D99" w:rsidRDefault="003B155E" w:rsidP="003B155E">
            <w:pPr>
              <w:widowControl w:val="0"/>
              <w:numPr>
                <w:ilvl w:val="0"/>
                <w:numId w:val="143"/>
              </w:numPr>
              <w:tabs>
                <w:tab w:val="left" w:pos="348"/>
              </w:tabs>
              <w:autoSpaceDE w:val="0"/>
              <w:autoSpaceDN w:val="0"/>
              <w:spacing w:after="0" w:line="240" w:lineRule="auto"/>
              <w:ind w:left="359" w:right="74" w:hanging="285"/>
              <w:jc w:val="both"/>
              <w:rPr>
                <w:rFonts w:ascii="Times New Roman" w:eastAsia="Times New Roman" w:hAnsi="Times New Roman" w:cs="Times New Roman"/>
                <w:i/>
                <w:iCs/>
                <w:sz w:val="20"/>
                <w:szCs w:val="20"/>
              </w:rPr>
            </w:pPr>
            <w:r w:rsidRPr="000A5D99">
              <w:rPr>
                <w:rFonts w:ascii="Times New Roman" w:eastAsia="Times New Roman" w:hAnsi="Times New Roman" w:cs="Times New Roman"/>
                <w:i/>
                <w:iCs/>
                <w:sz w:val="20"/>
                <w:szCs w:val="20"/>
              </w:rPr>
              <w:t xml:space="preserve">Bir çıkış gazı işleme tekniği ile birlikte </w:t>
            </w:r>
            <w:r w:rsidRPr="000A5D99">
              <w:rPr>
                <w:rFonts w:ascii="Times New Roman" w:eastAsia="Times New Roman" w:hAnsi="Times New Roman" w:cs="Times New Roman"/>
                <w:b/>
                <w:bCs/>
                <w:i/>
                <w:iCs/>
                <w:sz w:val="20"/>
                <w:szCs w:val="20"/>
              </w:rPr>
              <w:t>MET 16 (c)</w:t>
            </w:r>
            <w:r w:rsidRPr="000A5D99">
              <w:rPr>
                <w:rFonts w:ascii="Times New Roman" w:eastAsia="Times New Roman" w:hAnsi="Times New Roman" w:cs="Times New Roman"/>
                <w:i/>
                <w:iCs/>
                <w:sz w:val="20"/>
                <w:szCs w:val="20"/>
              </w:rPr>
              <w:t xml:space="preserve"> kullanan tesisler için, yoğunlaştırıcının atık gazına 50 mg C/Nm</w:t>
            </w:r>
            <w:r w:rsidRPr="000A5D99">
              <w:rPr>
                <w:rFonts w:ascii="Times New Roman" w:eastAsia="Times New Roman" w:hAnsi="Times New Roman" w:cs="Times New Roman"/>
                <w:i/>
                <w:iCs/>
                <w:sz w:val="20"/>
                <w:szCs w:val="20"/>
                <w:vertAlign w:val="superscript"/>
              </w:rPr>
              <w:t>3</w:t>
            </w:r>
            <w:r w:rsidRPr="000A5D99">
              <w:rPr>
                <w:rFonts w:ascii="Times New Roman" w:eastAsia="Times New Roman" w:hAnsi="Times New Roman" w:cs="Times New Roman"/>
                <w:i/>
                <w:iCs/>
                <w:sz w:val="20"/>
                <w:szCs w:val="20"/>
              </w:rPr>
              <w:t>ten daha düşük bir ek MET-İES uygulanır.</w:t>
            </w:r>
          </w:p>
        </w:tc>
      </w:tr>
    </w:tbl>
    <w:p w14:paraId="52CA7CF8"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3D29242A" w14:textId="77777777" w:rsidR="003B155E" w:rsidRPr="000A5D99" w:rsidRDefault="003B155E" w:rsidP="003B155E">
      <w:pPr>
        <w:keepNext/>
        <w:keepLines/>
        <w:spacing w:after="0" w:line="360" w:lineRule="auto"/>
        <w:ind w:left="432" w:hanging="432"/>
        <w:jc w:val="both"/>
        <w:outlineLvl w:val="0"/>
        <w:rPr>
          <w:rFonts w:ascii="Times New Roman" w:eastAsia="DengXian Light" w:hAnsi="Times New Roman" w:cs="Microsoft Uighur"/>
          <w:b/>
          <w:sz w:val="24"/>
          <w:szCs w:val="32"/>
          <w:lang w:val="es-ES"/>
        </w:rPr>
      </w:pPr>
      <w:bookmarkStart w:id="104" w:name="_Toc137210504"/>
      <w:r w:rsidRPr="000A5D99">
        <w:rPr>
          <w:rFonts w:ascii="Times New Roman" w:eastAsia="DengXian Light" w:hAnsi="Times New Roman" w:cs="Microsoft Uighur"/>
          <w:b/>
          <w:sz w:val="24"/>
          <w:szCs w:val="32"/>
          <w:lang w:val="es-ES"/>
        </w:rPr>
        <w:lastRenderedPageBreak/>
        <w:t xml:space="preserve"> Yayın Rotogravür Baskıya İlişkin </w:t>
      </w:r>
      <w:bookmarkEnd w:id="104"/>
      <w:r w:rsidRPr="000A5D99">
        <w:rPr>
          <w:rFonts w:ascii="Times New Roman" w:eastAsia="DengXian Light" w:hAnsi="Times New Roman" w:cs="Microsoft Uighur"/>
          <w:b/>
          <w:sz w:val="24"/>
          <w:szCs w:val="32"/>
          <w:lang w:val="es-ES"/>
        </w:rPr>
        <w:t>MET Sonuçları</w:t>
      </w:r>
    </w:p>
    <w:p w14:paraId="6E5D3293"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Bu bölümdeki MET, yayın rotogravür baskısı için geçerlidir ve genel MET’e ek olarak uygulanmaktadır.</w:t>
      </w:r>
    </w:p>
    <w:p w14:paraId="086A3102" w14:textId="77777777" w:rsidR="003B155E" w:rsidRPr="000A5D99" w:rsidRDefault="003B155E" w:rsidP="003B155E">
      <w:pPr>
        <w:spacing w:before="240" w:after="0" w:line="360" w:lineRule="auto"/>
        <w:jc w:val="both"/>
        <w:rPr>
          <w:rFonts w:ascii="Times New Roman" w:eastAsia="Calibri" w:hAnsi="Times New Roman" w:cs="Calibri"/>
          <w:sz w:val="24"/>
          <w:lang w:val="es-ES"/>
        </w:rPr>
      </w:pPr>
      <w:r w:rsidRPr="000A5D99">
        <w:rPr>
          <w:rFonts w:ascii="Times New Roman" w:eastAsia="Calibri" w:hAnsi="Times New Roman" w:cs="Calibri"/>
          <w:b/>
          <w:bCs/>
          <w:sz w:val="24"/>
          <w:lang w:val="es-ES"/>
        </w:rPr>
        <w:t xml:space="preserve">MET 29: </w:t>
      </w:r>
      <w:r w:rsidRPr="000A5D99">
        <w:rPr>
          <w:rFonts w:ascii="Times New Roman" w:eastAsia="Calibri" w:hAnsi="Times New Roman" w:cs="Calibri"/>
          <w:sz w:val="24"/>
          <w:lang w:val="es-ES"/>
        </w:rPr>
        <w:t>Yayın rotogravür baskısından kaynaklanan UOB emisyonlarını azaltmak için, adsorpsiyona dayalı toluen geri kazanım sistemi ve aşağıda verilen tekniklerden biri veya her ikisi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2226"/>
        <w:gridCol w:w="6557"/>
      </w:tblGrid>
      <w:tr w:rsidR="003B155E" w:rsidRPr="000A5D99" w14:paraId="10278050" w14:textId="77777777" w:rsidTr="000D79D6">
        <w:trPr>
          <w:trHeight w:val="230"/>
          <w:tblHeader/>
        </w:trPr>
        <w:tc>
          <w:tcPr>
            <w:tcW w:w="154" w:type="pct"/>
            <w:tcBorders>
              <w:top w:val="single" w:sz="4" w:space="0" w:color="auto"/>
              <w:right w:val="single" w:sz="4" w:space="0" w:color="auto"/>
            </w:tcBorders>
            <w:vAlign w:val="center"/>
          </w:tcPr>
          <w:p w14:paraId="6CE6DA16"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228" w:type="pct"/>
            <w:tcBorders>
              <w:top w:val="single" w:sz="4" w:space="0" w:color="auto"/>
              <w:left w:val="single" w:sz="4" w:space="0" w:color="auto"/>
            </w:tcBorders>
            <w:vAlign w:val="center"/>
          </w:tcPr>
          <w:p w14:paraId="6F497F5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618" w:type="pct"/>
            <w:vAlign w:val="center"/>
          </w:tcPr>
          <w:p w14:paraId="71A6340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Açıklama</w:t>
            </w:r>
          </w:p>
        </w:tc>
      </w:tr>
      <w:tr w:rsidR="003B155E" w:rsidRPr="000A5D99" w14:paraId="7973EAE7" w14:textId="77777777" w:rsidTr="000D79D6">
        <w:trPr>
          <w:trHeight w:val="1222"/>
        </w:trPr>
        <w:tc>
          <w:tcPr>
            <w:tcW w:w="154" w:type="pct"/>
            <w:tcBorders>
              <w:right w:val="single" w:sz="4" w:space="0" w:color="auto"/>
            </w:tcBorders>
            <w:vAlign w:val="center"/>
          </w:tcPr>
          <w:p w14:paraId="567229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28" w:type="pct"/>
            <w:tcBorders>
              <w:left w:val="single" w:sz="4" w:space="0" w:color="auto"/>
            </w:tcBorders>
            <w:vAlign w:val="center"/>
          </w:tcPr>
          <w:p w14:paraId="74A8FC3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Tutma mürekkeplerinin kullanımı</w:t>
            </w:r>
          </w:p>
        </w:tc>
        <w:tc>
          <w:tcPr>
            <w:tcW w:w="3618" w:type="pct"/>
            <w:vAlign w:val="center"/>
          </w:tcPr>
          <w:p w14:paraId="11E0D5B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Tutma mürekkepleri, kuru film yüzeyinin oluşumunu yavaşlatır, bu da toluenin daha uzun süre buharlaşmasına ve dolayısıyla daha fazla toluenin kurutucuda salınmasına ve toluen geri kazanım sistemi tarafından geri kazanılmasına olanak tanır.</w:t>
            </w:r>
          </w:p>
        </w:tc>
      </w:tr>
      <w:tr w:rsidR="003B155E" w:rsidRPr="000A5D99" w14:paraId="6E0B9D58" w14:textId="77777777" w:rsidTr="000D79D6">
        <w:trPr>
          <w:trHeight w:val="1150"/>
        </w:trPr>
        <w:tc>
          <w:tcPr>
            <w:tcW w:w="154" w:type="pct"/>
            <w:vAlign w:val="center"/>
          </w:tcPr>
          <w:p w14:paraId="6F0791C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228" w:type="pct"/>
            <w:vAlign w:val="center"/>
          </w:tcPr>
          <w:p w14:paraId="10718FA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Toluen geri kazanım sistemine bağlı otomatik temizleme sistemleri</w:t>
            </w:r>
          </w:p>
        </w:tc>
        <w:tc>
          <w:tcPr>
            <w:tcW w:w="3618" w:type="pct"/>
            <w:vAlign w:val="center"/>
          </w:tcPr>
          <w:p w14:paraId="6FA0272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Toluen geri kazanım sistemine hava tahliyesi ile otomatik silindirli temizlemedir.</w:t>
            </w:r>
          </w:p>
        </w:tc>
      </w:tr>
    </w:tbl>
    <w:p w14:paraId="4EA03B91" w14:textId="77777777" w:rsidR="003B155E" w:rsidRPr="00EE5089" w:rsidRDefault="003B155E" w:rsidP="003B155E">
      <w:pPr>
        <w:spacing w:before="240" w:after="0" w:line="360" w:lineRule="auto"/>
        <w:jc w:val="center"/>
        <w:rPr>
          <w:rFonts w:ascii="Times New Roman" w:eastAsia="Calibri" w:hAnsi="Times New Roman" w:cs="Calibri"/>
          <w:bCs/>
          <w:i/>
          <w:color w:val="000000"/>
          <w:sz w:val="24"/>
          <w:szCs w:val="24"/>
        </w:rPr>
      </w:pPr>
      <w:r w:rsidRPr="00EE5089">
        <w:rPr>
          <w:rFonts w:ascii="Times New Roman" w:eastAsia="Calibri" w:hAnsi="Times New Roman" w:cs="Calibri"/>
          <w:bCs/>
          <w:i/>
          <w:color w:val="000000"/>
          <w:sz w:val="24"/>
          <w:szCs w:val="24"/>
        </w:rPr>
        <w:t>Tablo 31</w:t>
      </w:r>
    </w:p>
    <w:p w14:paraId="741A1A97" w14:textId="77777777" w:rsidR="003B155E" w:rsidRPr="00EE5089" w:rsidRDefault="003B155E" w:rsidP="003B155E">
      <w:pPr>
        <w:spacing w:before="240" w:after="0" w:line="360" w:lineRule="auto"/>
        <w:jc w:val="center"/>
        <w:rPr>
          <w:rFonts w:ascii="Times New Roman" w:eastAsia="Calibri" w:hAnsi="Times New Roman" w:cs="Calibri"/>
          <w:b/>
          <w:iCs/>
          <w:color w:val="000000"/>
          <w:sz w:val="24"/>
          <w:szCs w:val="24"/>
        </w:rPr>
      </w:pPr>
      <w:r w:rsidRPr="00EE5089">
        <w:rPr>
          <w:rFonts w:ascii="Times New Roman" w:eastAsia="Calibri" w:hAnsi="Times New Roman" w:cs="Calibri"/>
          <w:b/>
          <w:iCs/>
          <w:color w:val="000000"/>
          <w:sz w:val="24"/>
          <w:szCs w:val="24"/>
        </w:rPr>
        <w:t>Yayın rotogravür baskısından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67"/>
        <w:gridCol w:w="2497"/>
        <w:gridCol w:w="2798"/>
      </w:tblGrid>
      <w:tr w:rsidR="003B155E" w:rsidRPr="000A5D99" w14:paraId="7D5F45DE" w14:textId="77777777" w:rsidTr="000D79D6">
        <w:trPr>
          <w:trHeight w:val="459"/>
          <w:tblHeader/>
        </w:trPr>
        <w:tc>
          <w:tcPr>
            <w:tcW w:w="2078" w:type="pct"/>
            <w:vAlign w:val="center"/>
          </w:tcPr>
          <w:p w14:paraId="287B08C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Parametre</w:t>
            </w:r>
          </w:p>
        </w:tc>
        <w:tc>
          <w:tcPr>
            <w:tcW w:w="1378" w:type="pct"/>
            <w:vAlign w:val="center"/>
          </w:tcPr>
          <w:p w14:paraId="130D29F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Birim</w:t>
            </w:r>
          </w:p>
        </w:tc>
        <w:tc>
          <w:tcPr>
            <w:tcW w:w="1544" w:type="pct"/>
            <w:vAlign w:val="center"/>
          </w:tcPr>
          <w:p w14:paraId="7B10AB5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MET-İES</w:t>
            </w:r>
          </w:p>
          <w:p w14:paraId="498B3AE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(Yıllık ortalama)</w:t>
            </w:r>
          </w:p>
        </w:tc>
      </w:tr>
      <w:tr w:rsidR="003B155E" w:rsidRPr="000A5D99" w14:paraId="3FC69FC5" w14:textId="77777777" w:rsidTr="000D79D6">
        <w:trPr>
          <w:trHeight w:val="653"/>
        </w:trPr>
        <w:tc>
          <w:tcPr>
            <w:tcW w:w="2078" w:type="pct"/>
            <w:vAlign w:val="center"/>
          </w:tcPr>
          <w:p w14:paraId="4B085E5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Solvent kütle dengesi ile hesaplanan kaçak UOB emisyonları</w:t>
            </w:r>
          </w:p>
        </w:tc>
        <w:tc>
          <w:tcPr>
            <w:tcW w:w="1378" w:type="pct"/>
            <w:vAlign w:val="center"/>
          </w:tcPr>
          <w:p w14:paraId="1B172F4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Solvent girdi yüzdesi (%)</w:t>
            </w:r>
          </w:p>
        </w:tc>
        <w:tc>
          <w:tcPr>
            <w:tcW w:w="1544" w:type="pct"/>
            <w:vAlign w:val="center"/>
          </w:tcPr>
          <w:p w14:paraId="637CA4A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&lt; 2,5</w:t>
            </w:r>
          </w:p>
        </w:tc>
      </w:tr>
    </w:tbl>
    <w:p w14:paraId="41EC2C5F"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1C6F1041"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32</w:t>
      </w:r>
    </w:p>
    <w:p w14:paraId="6BCF5BFC"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Yayın rotogravür baskısından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20"/>
        <w:gridCol w:w="2508"/>
        <w:gridCol w:w="3634"/>
      </w:tblGrid>
      <w:tr w:rsidR="003B155E" w:rsidRPr="000A5D99" w14:paraId="7F5E3EE9" w14:textId="77777777" w:rsidTr="000D79D6">
        <w:trPr>
          <w:trHeight w:val="691"/>
          <w:tblHeader/>
        </w:trPr>
        <w:tc>
          <w:tcPr>
            <w:tcW w:w="1611" w:type="pct"/>
            <w:vAlign w:val="center"/>
          </w:tcPr>
          <w:p w14:paraId="0D08D29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384" w:type="pct"/>
            <w:vAlign w:val="center"/>
          </w:tcPr>
          <w:p w14:paraId="268421C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2005" w:type="pct"/>
            <w:vAlign w:val="center"/>
          </w:tcPr>
          <w:p w14:paraId="360FD1B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17ED22D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rPr>
              <w:t>(</w:t>
            </w:r>
            <w:r w:rsidRPr="000A5D99">
              <w:rPr>
                <w:rFonts w:ascii="Times New Roman" w:eastAsia="Times New Roman" w:hAnsi="Times New Roman" w:cs="Times New Roman"/>
                <w:b/>
              </w:rPr>
              <w:t>Günlük ortalama veya numune alma dönemi boyunca ortalama)</w:t>
            </w:r>
          </w:p>
        </w:tc>
      </w:tr>
      <w:tr w:rsidR="003B155E" w:rsidRPr="000A5D99" w14:paraId="1FC59A65" w14:textId="77777777" w:rsidTr="000D79D6">
        <w:trPr>
          <w:trHeight w:val="306"/>
        </w:trPr>
        <w:tc>
          <w:tcPr>
            <w:tcW w:w="1611" w:type="pct"/>
            <w:vAlign w:val="center"/>
          </w:tcPr>
          <w:p w14:paraId="5DA0624F"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384" w:type="pct"/>
            <w:vAlign w:val="center"/>
          </w:tcPr>
          <w:p w14:paraId="6CE85FA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2005" w:type="pct"/>
            <w:vAlign w:val="center"/>
          </w:tcPr>
          <w:p w14:paraId="29AAFD5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10–20</w:t>
            </w:r>
          </w:p>
        </w:tc>
      </w:tr>
    </w:tbl>
    <w:p w14:paraId="7AC0D979"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5363ED6B" w14:textId="77777777" w:rsidR="003B155E" w:rsidRPr="000A5D99" w:rsidRDefault="003B155E" w:rsidP="003B155E">
      <w:pPr>
        <w:keepNext/>
        <w:keepLines/>
        <w:spacing w:after="120" w:line="360" w:lineRule="auto"/>
        <w:ind w:left="432" w:hanging="432"/>
        <w:jc w:val="both"/>
        <w:outlineLvl w:val="0"/>
        <w:rPr>
          <w:rFonts w:ascii="Times New Roman" w:eastAsia="DengXian Light" w:hAnsi="Times New Roman" w:cs="Microsoft Uighur"/>
          <w:b/>
          <w:sz w:val="24"/>
          <w:szCs w:val="32"/>
          <w:lang w:val="es-ES"/>
        </w:rPr>
      </w:pPr>
      <w:bookmarkStart w:id="105" w:name="_Toc137210505"/>
      <w:r w:rsidRPr="000A5D99">
        <w:rPr>
          <w:rFonts w:ascii="Times New Roman" w:eastAsia="DengXian Light" w:hAnsi="Times New Roman" w:cs="Microsoft Uighur"/>
          <w:b/>
          <w:sz w:val="24"/>
          <w:szCs w:val="32"/>
          <w:lang w:val="es-ES"/>
        </w:rPr>
        <w:t xml:space="preserve"> Ahşap Yüzeylerin Kaplanmasına İlişkin </w:t>
      </w:r>
      <w:bookmarkEnd w:id="105"/>
      <w:r w:rsidRPr="000A5D99">
        <w:rPr>
          <w:rFonts w:ascii="Times New Roman" w:eastAsia="DengXian Light" w:hAnsi="Times New Roman" w:cs="Microsoft Uighur"/>
          <w:b/>
          <w:sz w:val="24"/>
          <w:szCs w:val="32"/>
          <w:lang w:val="es-ES"/>
        </w:rPr>
        <w:t>MET Sonuçları</w:t>
      </w:r>
    </w:p>
    <w:p w14:paraId="3B980274"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Ahşap yüzeylerin kaplanması için aşağıda verilen emisyon seviyeleri, genel MET’le ilişkili emisyon seviyelerini göstermektedir.</w:t>
      </w:r>
    </w:p>
    <w:p w14:paraId="51A2FB26"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33</w:t>
      </w:r>
    </w:p>
    <w:p w14:paraId="7489C6EE" w14:textId="77777777" w:rsidR="003B155E" w:rsidRDefault="003B155E" w:rsidP="003B155E">
      <w:pPr>
        <w:spacing w:after="12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lastRenderedPageBreak/>
        <w:t>Ahşap yüzeylerin kaplanmasından kaynaklanan toplam UOB emisyonları için MET ile ilişkili emisyon seviyesi (MET-İES)</w:t>
      </w:r>
    </w:p>
    <w:p w14:paraId="64A18867"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lang w:val="es-E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0"/>
        <w:gridCol w:w="2421"/>
        <w:gridCol w:w="2090"/>
        <w:gridCol w:w="1941"/>
      </w:tblGrid>
      <w:tr w:rsidR="003B155E" w:rsidRPr="000A5D99" w14:paraId="502CB524" w14:textId="77777777" w:rsidTr="000D79D6">
        <w:trPr>
          <w:trHeight w:val="460"/>
        </w:trPr>
        <w:tc>
          <w:tcPr>
            <w:tcW w:w="1440" w:type="pct"/>
            <w:vAlign w:val="center"/>
          </w:tcPr>
          <w:p w14:paraId="23FABFA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336" w:type="pct"/>
            <w:vAlign w:val="center"/>
          </w:tcPr>
          <w:p w14:paraId="6596E9D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Kaplanan alt tabakalar</w:t>
            </w:r>
          </w:p>
        </w:tc>
        <w:tc>
          <w:tcPr>
            <w:tcW w:w="1153" w:type="pct"/>
            <w:vAlign w:val="center"/>
          </w:tcPr>
          <w:p w14:paraId="6994DEB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071" w:type="pct"/>
            <w:vAlign w:val="center"/>
          </w:tcPr>
          <w:p w14:paraId="0F3068D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4F321A6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686A663C" w14:textId="77777777" w:rsidTr="000D79D6">
        <w:trPr>
          <w:trHeight w:val="380"/>
        </w:trPr>
        <w:tc>
          <w:tcPr>
            <w:tcW w:w="1440" w:type="pct"/>
            <w:vMerge w:val="restart"/>
            <w:vAlign w:val="center"/>
          </w:tcPr>
          <w:p w14:paraId="5E2E15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toplam UOB emisyonları</w:t>
            </w:r>
          </w:p>
        </w:tc>
        <w:tc>
          <w:tcPr>
            <w:tcW w:w="1336" w:type="pct"/>
            <w:vAlign w:val="center"/>
          </w:tcPr>
          <w:p w14:paraId="28F5C70F"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Düz alt tabakalar</w:t>
            </w:r>
          </w:p>
        </w:tc>
        <w:tc>
          <w:tcPr>
            <w:tcW w:w="1153" w:type="pct"/>
            <w:vMerge w:val="restart"/>
            <w:vAlign w:val="center"/>
          </w:tcPr>
          <w:p w14:paraId="77E2481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kg katı kütle girdisi başına kg UOB</w:t>
            </w:r>
          </w:p>
        </w:tc>
        <w:tc>
          <w:tcPr>
            <w:tcW w:w="1071" w:type="pct"/>
            <w:vAlign w:val="center"/>
          </w:tcPr>
          <w:p w14:paraId="3EF56D2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0,1</w:t>
            </w:r>
          </w:p>
        </w:tc>
      </w:tr>
      <w:tr w:rsidR="003B155E" w:rsidRPr="000A5D99" w14:paraId="5D3BC833" w14:textId="77777777" w:rsidTr="000D79D6">
        <w:trPr>
          <w:trHeight w:val="460"/>
        </w:trPr>
        <w:tc>
          <w:tcPr>
            <w:tcW w:w="1440" w:type="pct"/>
            <w:vMerge/>
            <w:tcBorders>
              <w:top w:val="nil"/>
            </w:tcBorders>
            <w:vAlign w:val="center"/>
          </w:tcPr>
          <w:p w14:paraId="54E0F48C"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336" w:type="pct"/>
            <w:vAlign w:val="center"/>
          </w:tcPr>
          <w:p w14:paraId="55127626"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Düz alt tabakalar dışında</w:t>
            </w:r>
          </w:p>
        </w:tc>
        <w:tc>
          <w:tcPr>
            <w:tcW w:w="1153" w:type="pct"/>
            <w:vMerge/>
            <w:tcBorders>
              <w:top w:val="nil"/>
            </w:tcBorders>
            <w:vAlign w:val="center"/>
          </w:tcPr>
          <w:p w14:paraId="404B8119"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071" w:type="pct"/>
            <w:vAlign w:val="center"/>
          </w:tcPr>
          <w:p w14:paraId="2BA46823"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0,25</w:t>
            </w:r>
          </w:p>
        </w:tc>
      </w:tr>
    </w:tbl>
    <w:p w14:paraId="597C434A"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0F2E43E7" w14:textId="77777777" w:rsidR="003B155E" w:rsidRPr="000A5D99" w:rsidRDefault="003B155E" w:rsidP="003B155E">
      <w:pPr>
        <w:spacing w:after="120" w:line="360" w:lineRule="auto"/>
        <w:jc w:val="both"/>
        <w:rPr>
          <w:rFonts w:ascii="Times New Roman" w:eastAsia="Calibri" w:hAnsi="Times New Roman" w:cs="Calibri"/>
          <w:sz w:val="24"/>
          <w:szCs w:val="24"/>
          <w:lang w:val="es-ES"/>
        </w:rPr>
      </w:pPr>
      <w:r w:rsidRPr="000A5D99">
        <w:rPr>
          <w:rFonts w:ascii="Times New Roman" w:eastAsia="Calibri" w:hAnsi="Times New Roman" w:cs="Calibri"/>
          <w:sz w:val="24"/>
          <w:szCs w:val="24"/>
          <w:lang w:val="es-ES"/>
        </w:rPr>
        <w:t>Tablo 33'teki MET-İES’lere alternatif olarak hem Tablo 34 hem de Tablo 35'teki MET-İES’ler kullanılabilir.</w:t>
      </w:r>
    </w:p>
    <w:p w14:paraId="7CEFBC79"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34</w:t>
      </w:r>
    </w:p>
    <w:p w14:paraId="141E59B5"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Ahşap yüzeylerin kaplanmasından kaynaklanan kaçak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66"/>
        <w:gridCol w:w="2496"/>
        <w:gridCol w:w="2800"/>
      </w:tblGrid>
      <w:tr w:rsidR="003B155E" w:rsidRPr="000A5D99" w14:paraId="541015E4" w14:textId="77777777" w:rsidTr="000D79D6">
        <w:trPr>
          <w:trHeight w:val="459"/>
          <w:tblHeader/>
        </w:trPr>
        <w:tc>
          <w:tcPr>
            <w:tcW w:w="2078" w:type="pct"/>
            <w:vAlign w:val="center"/>
          </w:tcPr>
          <w:p w14:paraId="6B64300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377" w:type="pct"/>
            <w:vAlign w:val="center"/>
          </w:tcPr>
          <w:p w14:paraId="7D9323A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545" w:type="pct"/>
            <w:vAlign w:val="center"/>
          </w:tcPr>
          <w:p w14:paraId="10CBB6F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723771A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(Yıllık ortalama)</w:t>
            </w:r>
          </w:p>
        </w:tc>
      </w:tr>
      <w:tr w:rsidR="003B155E" w:rsidRPr="000A5D99" w14:paraId="46629820" w14:textId="77777777" w:rsidTr="000D79D6">
        <w:trPr>
          <w:trHeight w:val="653"/>
        </w:trPr>
        <w:tc>
          <w:tcPr>
            <w:tcW w:w="2078" w:type="pct"/>
            <w:vAlign w:val="center"/>
          </w:tcPr>
          <w:p w14:paraId="0824C0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 ile hesaplanan kaçak UOB emisyonları</w:t>
            </w:r>
          </w:p>
        </w:tc>
        <w:tc>
          <w:tcPr>
            <w:tcW w:w="1377" w:type="pct"/>
            <w:vAlign w:val="center"/>
          </w:tcPr>
          <w:p w14:paraId="04F3B4C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Solvent girdi yüzdesi (%)</w:t>
            </w:r>
          </w:p>
        </w:tc>
        <w:tc>
          <w:tcPr>
            <w:tcW w:w="1545" w:type="pct"/>
            <w:vAlign w:val="center"/>
          </w:tcPr>
          <w:p w14:paraId="146A203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&lt; 10</w:t>
            </w:r>
          </w:p>
        </w:tc>
      </w:tr>
    </w:tbl>
    <w:p w14:paraId="4F72DBAA"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10</w:t>
      </w:r>
      <w:r w:rsidRPr="000A5D99">
        <w:rPr>
          <w:rFonts w:ascii="Times New Roman" w:eastAsia="Calibri" w:hAnsi="Times New Roman" w:cs="Calibri"/>
          <w:sz w:val="24"/>
          <w:lang w:val="es-ES"/>
        </w:rPr>
        <w:t>'da verilmiştir.</w:t>
      </w:r>
    </w:p>
    <w:p w14:paraId="0461F303" w14:textId="77777777" w:rsidR="003B155E" w:rsidRPr="000A5D99" w:rsidRDefault="003B155E" w:rsidP="003B155E">
      <w:pPr>
        <w:spacing w:after="120" w:line="360" w:lineRule="auto"/>
        <w:jc w:val="center"/>
        <w:rPr>
          <w:rFonts w:ascii="Times New Roman" w:eastAsia="Calibri" w:hAnsi="Times New Roman" w:cs="Calibri"/>
          <w:bCs/>
          <w:i/>
          <w:color w:val="000000"/>
          <w:sz w:val="24"/>
          <w:szCs w:val="24"/>
          <w:lang w:val="es-ES"/>
        </w:rPr>
      </w:pPr>
      <w:r w:rsidRPr="000A5D99">
        <w:rPr>
          <w:rFonts w:ascii="Times New Roman" w:eastAsia="Calibri" w:hAnsi="Times New Roman" w:cs="Calibri"/>
          <w:bCs/>
          <w:i/>
          <w:color w:val="000000"/>
          <w:sz w:val="24"/>
          <w:szCs w:val="24"/>
          <w:lang w:val="es-ES"/>
        </w:rPr>
        <w:t>Tablo 35</w:t>
      </w:r>
    </w:p>
    <w:p w14:paraId="3CB45CEF" w14:textId="77777777" w:rsidR="003B155E" w:rsidRPr="000A5D99" w:rsidRDefault="003B155E" w:rsidP="003B155E">
      <w:pPr>
        <w:spacing w:after="120" w:line="360" w:lineRule="auto"/>
        <w:jc w:val="center"/>
        <w:rPr>
          <w:rFonts w:ascii="Times New Roman" w:eastAsia="Calibri" w:hAnsi="Times New Roman" w:cs="Calibri"/>
          <w:b/>
          <w:iCs/>
          <w:color w:val="000000"/>
          <w:sz w:val="24"/>
          <w:szCs w:val="24"/>
          <w:lang w:val="es-ES"/>
        </w:rPr>
      </w:pPr>
      <w:r w:rsidRPr="000A5D99">
        <w:rPr>
          <w:rFonts w:ascii="Times New Roman" w:eastAsia="Calibri" w:hAnsi="Times New Roman" w:cs="Calibri"/>
          <w:b/>
          <w:iCs/>
          <w:color w:val="000000"/>
          <w:sz w:val="24"/>
          <w:szCs w:val="24"/>
          <w:lang w:val="es-ES"/>
        </w:rPr>
        <w:t>Ahşap yüzeylerin kaplanmasından kaynaklanan atık gazlardaki UOB emisyonları için MET ile ilişkili emisyon seviyesi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04"/>
        <w:gridCol w:w="2764"/>
        <w:gridCol w:w="2994"/>
      </w:tblGrid>
      <w:tr w:rsidR="003B155E" w:rsidRPr="000A5D99" w14:paraId="000244E8" w14:textId="77777777" w:rsidTr="000D79D6">
        <w:trPr>
          <w:trHeight w:val="690"/>
          <w:tblHeader/>
        </w:trPr>
        <w:tc>
          <w:tcPr>
            <w:tcW w:w="1823" w:type="pct"/>
            <w:vAlign w:val="center"/>
          </w:tcPr>
          <w:p w14:paraId="6E5E020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525" w:type="pct"/>
            <w:vAlign w:val="center"/>
          </w:tcPr>
          <w:p w14:paraId="2781CCF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652" w:type="pct"/>
            <w:vAlign w:val="center"/>
          </w:tcPr>
          <w:p w14:paraId="39A21A7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w:t>
            </w:r>
          </w:p>
          <w:p w14:paraId="1ADF350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rPr>
              <w:t>(</w:t>
            </w:r>
            <w:r w:rsidRPr="000A5D99">
              <w:rPr>
                <w:rFonts w:ascii="Times New Roman" w:eastAsia="Times New Roman" w:hAnsi="Times New Roman" w:cs="Times New Roman"/>
                <w:b/>
              </w:rPr>
              <w:t>Günlük ortalama veya numune alma dönemi boyunca ortalama)</w:t>
            </w:r>
          </w:p>
        </w:tc>
      </w:tr>
      <w:tr w:rsidR="003B155E" w:rsidRPr="000A5D99" w14:paraId="02CE233E" w14:textId="77777777" w:rsidTr="000D79D6">
        <w:trPr>
          <w:trHeight w:val="306"/>
        </w:trPr>
        <w:tc>
          <w:tcPr>
            <w:tcW w:w="1823" w:type="pct"/>
          </w:tcPr>
          <w:p w14:paraId="721A3951"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525" w:type="pct"/>
          </w:tcPr>
          <w:p w14:paraId="7315CBB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 C/Nm</w:t>
            </w:r>
            <w:r w:rsidRPr="000A5D99">
              <w:rPr>
                <w:rFonts w:ascii="Times New Roman" w:eastAsia="Times New Roman" w:hAnsi="Times New Roman" w:cs="Times New Roman"/>
                <w:vertAlign w:val="superscript"/>
              </w:rPr>
              <w:t>3</w:t>
            </w:r>
          </w:p>
        </w:tc>
        <w:tc>
          <w:tcPr>
            <w:tcW w:w="1652" w:type="pct"/>
          </w:tcPr>
          <w:p w14:paraId="26360E4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5-20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r>
      <w:tr w:rsidR="003B155E" w:rsidRPr="000A5D99" w14:paraId="384E9D14" w14:textId="77777777" w:rsidTr="000D79D6">
        <w:trPr>
          <w:trHeight w:val="414"/>
        </w:trPr>
        <w:tc>
          <w:tcPr>
            <w:tcW w:w="5000" w:type="pct"/>
            <w:gridSpan w:val="3"/>
          </w:tcPr>
          <w:p w14:paraId="392AC183" w14:textId="77777777" w:rsidR="003B155E" w:rsidRPr="0082590D" w:rsidRDefault="003B155E" w:rsidP="000D79D6">
            <w:pPr>
              <w:widowControl w:val="0"/>
              <w:autoSpaceDE w:val="0"/>
              <w:autoSpaceDN w:val="0"/>
              <w:spacing w:after="0" w:line="240" w:lineRule="auto"/>
              <w:ind w:left="74" w:right="74"/>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w:t>
            </w:r>
            <w:r w:rsidRPr="0082590D">
              <w:rPr>
                <w:rFonts w:ascii="Times New Roman" w:eastAsia="Times New Roman" w:hAnsi="Times New Roman" w:cs="Times New Roman"/>
                <w:sz w:val="20"/>
                <w:szCs w:val="20"/>
                <w:vertAlign w:val="superscript"/>
              </w:rPr>
              <w:t>1</w:t>
            </w:r>
            <w:r w:rsidRPr="0082590D">
              <w:rPr>
                <w:rFonts w:ascii="Times New Roman" w:eastAsia="Times New Roman" w:hAnsi="Times New Roman" w:cs="Times New Roman"/>
                <w:sz w:val="20"/>
                <w:szCs w:val="20"/>
              </w:rPr>
              <w:t xml:space="preserve">) Bir çıkış gazı işleme tekniği ile birlikte </w:t>
            </w:r>
            <w:r w:rsidRPr="0082590D">
              <w:rPr>
                <w:rFonts w:ascii="Times New Roman" w:eastAsia="Times New Roman" w:hAnsi="Times New Roman" w:cs="Times New Roman"/>
                <w:b/>
                <w:bCs/>
                <w:sz w:val="20"/>
                <w:szCs w:val="20"/>
              </w:rPr>
              <w:t>MET 16 (c)</w:t>
            </w:r>
            <w:r w:rsidRPr="0082590D">
              <w:rPr>
                <w:rFonts w:ascii="Times New Roman" w:eastAsia="Times New Roman" w:hAnsi="Times New Roman" w:cs="Times New Roman"/>
                <w:sz w:val="20"/>
                <w:szCs w:val="20"/>
              </w:rPr>
              <w:t xml:space="preserve"> kullanan tesisler için, yoğunlaştırıcının atık gazına 50 mg C/Nm</w:t>
            </w:r>
            <w:r w:rsidRPr="0082590D">
              <w:rPr>
                <w:rFonts w:ascii="Times New Roman" w:eastAsia="Times New Roman" w:hAnsi="Times New Roman" w:cs="Times New Roman"/>
                <w:sz w:val="20"/>
                <w:szCs w:val="20"/>
                <w:vertAlign w:val="superscript"/>
              </w:rPr>
              <w:t>3</w:t>
            </w:r>
            <w:r w:rsidRPr="0082590D">
              <w:rPr>
                <w:rFonts w:ascii="Times New Roman" w:eastAsia="Times New Roman" w:hAnsi="Times New Roman" w:cs="Times New Roman"/>
                <w:sz w:val="20"/>
                <w:szCs w:val="20"/>
              </w:rPr>
              <w:t>ten daha düşük bir ek MET-İES uygulanır.</w:t>
            </w:r>
          </w:p>
        </w:tc>
      </w:tr>
    </w:tbl>
    <w:p w14:paraId="3AECD49E" w14:textId="77777777" w:rsidR="003B155E" w:rsidRPr="000A5D99" w:rsidRDefault="003B155E" w:rsidP="003B155E">
      <w:pPr>
        <w:spacing w:after="120" w:line="360" w:lineRule="auto"/>
        <w:jc w:val="both"/>
        <w:rPr>
          <w:rFonts w:ascii="Times New Roman" w:eastAsia="Calibri" w:hAnsi="Times New Roman" w:cs="Calibri"/>
          <w:sz w:val="24"/>
          <w:lang w:val="es-ES"/>
        </w:rPr>
      </w:pPr>
      <w:r w:rsidRPr="000A5D99">
        <w:rPr>
          <w:rFonts w:ascii="Times New Roman" w:eastAsia="Calibri" w:hAnsi="Times New Roman" w:cs="Calibri"/>
          <w:sz w:val="24"/>
          <w:lang w:val="es-ES"/>
        </w:rPr>
        <w:t xml:space="preserve">İlgili izleme </w:t>
      </w:r>
      <w:r w:rsidRPr="000A5D99">
        <w:rPr>
          <w:rFonts w:ascii="Times New Roman" w:eastAsia="Calibri" w:hAnsi="Times New Roman" w:cs="Calibri"/>
          <w:b/>
          <w:bCs/>
          <w:sz w:val="24"/>
          <w:lang w:val="es-ES"/>
        </w:rPr>
        <w:t>MET 11</w:t>
      </w:r>
      <w:r w:rsidRPr="000A5D99">
        <w:rPr>
          <w:rFonts w:ascii="Times New Roman" w:eastAsia="Calibri" w:hAnsi="Times New Roman" w:cs="Calibri"/>
          <w:sz w:val="24"/>
          <w:lang w:val="es-ES"/>
        </w:rPr>
        <w:t>'de verilmiştir.</w:t>
      </w:r>
    </w:p>
    <w:p w14:paraId="2AA58EC3" w14:textId="77777777" w:rsidR="003B155E" w:rsidRPr="000A5D99" w:rsidRDefault="003B155E" w:rsidP="003B155E">
      <w:pPr>
        <w:keepNext/>
        <w:keepLines/>
        <w:spacing w:after="120" w:line="360" w:lineRule="auto"/>
        <w:ind w:left="74"/>
        <w:jc w:val="both"/>
        <w:outlineLvl w:val="1"/>
        <w:rPr>
          <w:rFonts w:ascii="Times New Roman" w:eastAsia="DengXian Light" w:hAnsi="Times New Roman" w:cs="Microsoft Uighur"/>
          <w:b/>
          <w:sz w:val="24"/>
          <w:szCs w:val="26"/>
          <w:lang w:val="es-ES"/>
        </w:rPr>
      </w:pPr>
      <w:bookmarkStart w:id="106" w:name="_Toc137210506"/>
      <w:r w:rsidRPr="000A5D99">
        <w:rPr>
          <w:rFonts w:ascii="Times New Roman" w:eastAsia="DengXian Light" w:hAnsi="Times New Roman" w:cs="Microsoft Uighur"/>
          <w:b/>
          <w:sz w:val="24"/>
          <w:szCs w:val="26"/>
          <w:lang w:val="es-ES"/>
        </w:rPr>
        <w:t>2 Ahşap ve Ahşap Ürünlerinin Kimyasallarla Korunmasına İlişkin M</w:t>
      </w:r>
      <w:bookmarkEnd w:id="106"/>
      <w:r w:rsidRPr="000A5D99">
        <w:rPr>
          <w:rFonts w:ascii="Times New Roman" w:eastAsia="DengXian Light" w:hAnsi="Times New Roman" w:cs="Microsoft Uighur"/>
          <w:b/>
          <w:sz w:val="24"/>
          <w:szCs w:val="26"/>
          <w:lang w:val="es-ES"/>
        </w:rPr>
        <w:t>ET Sonuçları</w:t>
      </w:r>
    </w:p>
    <w:p w14:paraId="2C628EC1" w14:textId="77777777" w:rsidR="003B155E" w:rsidRPr="000A5D99" w:rsidRDefault="003B155E" w:rsidP="003B155E">
      <w:pPr>
        <w:keepNext/>
        <w:keepLines/>
        <w:numPr>
          <w:ilvl w:val="1"/>
          <w:numId w:val="192"/>
        </w:numPr>
        <w:spacing w:after="120" w:line="360" w:lineRule="auto"/>
        <w:ind w:left="434"/>
        <w:jc w:val="both"/>
        <w:outlineLvl w:val="2"/>
        <w:rPr>
          <w:rFonts w:ascii="Times New Roman" w:eastAsia="DengXian Light" w:hAnsi="Times New Roman" w:cs="Microsoft Uighur"/>
          <w:b/>
          <w:sz w:val="24"/>
          <w:szCs w:val="24"/>
          <w:lang w:val="en-US"/>
        </w:rPr>
      </w:pPr>
      <w:bookmarkStart w:id="107" w:name="_Toc137210507"/>
      <w:r w:rsidRPr="000A5D99">
        <w:rPr>
          <w:rFonts w:ascii="Times New Roman" w:eastAsia="DengXian Light" w:hAnsi="Times New Roman" w:cs="Microsoft Uighur"/>
          <w:b/>
          <w:sz w:val="24"/>
          <w:szCs w:val="24"/>
          <w:lang w:val="en-US"/>
        </w:rPr>
        <w:t>Çevre Yönetim Sistemleri</w:t>
      </w:r>
      <w:bookmarkEnd w:id="107"/>
    </w:p>
    <w:p w14:paraId="5C0B59A1" w14:textId="77777777" w:rsidR="003B155E" w:rsidRPr="000A5D99" w:rsidRDefault="003B155E" w:rsidP="003B155E">
      <w:pPr>
        <w:spacing w:after="12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30: </w:t>
      </w:r>
      <w:r w:rsidRPr="000A5D99">
        <w:rPr>
          <w:rFonts w:ascii="Times New Roman" w:eastAsia="Calibri" w:hAnsi="Times New Roman" w:cs="Calibri"/>
          <w:sz w:val="24"/>
          <w:lang w:val="en-US"/>
        </w:rPr>
        <w:t xml:space="preserve">Genel çevresel performansı iyileştirmek için </w:t>
      </w:r>
      <w:r w:rsidRPr="000A5D99">
        <w:rPr>
          <w:rFonts w:ascii="Times New Roman" w:eastAsia="Calibri" w:hAnsi="Times New Roman" w:cs="Calibri"/>
          <w:b/>
          <w:bCs/>
          <w:sz w:val="24"/>
          <w:lang w:val="en-US"/>
        </w:rPr>
        <w:t>MET 1</w:t>
      </w:r>
      <w:r w:rsidRPr="000A5D99">
        <w:rPr>
          <w:rFonts w:ascii="Times New Roman" w:eastAsia="Calibri" w:hAnsi="Times New Roman" w:cs="Calibri"/>
          <w:sz w:val="24"/>
          <w:lang w:val="en-US"/>
        </w:rPr>
        <w:t>'in (i) ila (xx) maddelerini içeren tüm özellikleri ve ayrıca aşağıdaki belirli özellikleri içeren bir Çevre Yönetim Sistemi (ÇYS) geliştirilir ve uygulanır:</w:t>
      </w:r>
    </w:p>
    <w:p w14:paraId="3A7A5552" w14:textId="77777777" w:rsidR="003B155E" w:rsidRPr="000A5D99" w:rsidRDefault="003B155E" w:rsidP="003B155E">
      <w:pPr>
        <w:numPr>
          <w:ilvl w:val="0"/>
          <w:numId w:val="144"/>
        </w:numPr>
        <w:spacing w:after="120" w:line="360" w:lineRule="auto"/>
        <w:ind w:left="990"/>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lastRenderedPageBreak/>
        <w:t>En çevre dostu süreçleri kullanmak amacıyla biyosidal ürünlerdeki ve ilgili mevzuattaki gelişmelerin takip edilmesi.</w:t>
      </w:r>
    </w:p>
    <w:p w14:paraId="022810D8" w14:textId="77777777" w:rsidR="003B155E" w:rsidRPr="000A5D99" w:rsidRDefault="003B155E" w:rsidP="003B155E">
      <w:pPr>
        <w:numPr>
          <w:ilvl w:val="0"/>
          <w:numId w:val="144"/>
        </w:numPr>
        <w:spacing w:after="120" w:line="360" w:lineRule="auto"/>
        <w:ind w:left="990"/>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Solvent bazlı işlemler ve kreozot işlemi için solvent kütle dengesinin dahil edilmesi (bkz. </w:t>
      </w:r>
      <w:r w:rsidRPr="000A5D99">
        <w:rPr>
          <w:rFonts w:ascii="Times New Roman" w:eastAsia="Calibri" w:hAnsi="Times New Roman" w:cs="Calibri"/>
          <w:b/>
          <w:bCs/>
          <w:sz w:val="24"/>
          <w:lang w:val="en-US"/>
        </w:rPr>
        <w:t>MET 33(c)</w:t>
      </w:r>
      <w:r w:rsidRPr="000A5D99">
        <w:rPr>
          <w:rFonts w:ascii="Times New Roman" w:eastAsia="Calibri" w:hAnsi="Times New Roman" w:cs="Calibri"/>
          <w:sz w:val="24"/>
          <w:lang w:val="en-US"/>
        </w:rPr>
        <w:t>).</w:t>
      </w:r>
    </w:p>
    <w:p w14:paraId="561AF114" w14:textId="77777777" w:rsidR="003B155E" w:rsidRPr="000A5D99" w:rsidRDefault="003B155E" w:rsidP="003B155E">
      <w:pPr>
        <w:numPr>
          <w:ilvl w:val="0"/>
          <w:numId w:val="144"/>
        </w:numPr>
        <w:spacing w:after="120" w:line="360" w:lineRule="auto"/>
        <w:ind w:left="990"/>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Çevre açısından kritik (arıza yapmaları durumunda çevre üzerinde etkisi olabilecek) tüm proses ve azaltma ekipmanlarının tanımlanması ve listelenmesi (bkz. </w:t>
      </w:r>
      <w:r w:rsidRPr="000A5D99">
        <w:rPr>
          <w:rFonts w:ascii="Times New Roman" w:eastAsia="Calibri" w:hAnsi="Times New Roman" w:cs="Calibri"/>
          <w:b/>
          <w:bCs/>
          <w:sz w:val="24"/>
          <w:lang w:val="en-US"/>
        </w:rPr>
        <w:t>MET 46(c)</w:t>
      </w:r>
      <w:r w:rsidRPr="000A5D99">
        <w:rPr>
          <w:rFonts w:ascii="Times New Roman" w:eastAsia="Calibri" w:hAnsi="Times New Roman" w:cs="Calibri"/>
          <w:sz w:val="24"/>
          <w:lang w:val="en-US"/>
        </w:rPr>
        <w:t>). Kritik ekipman listesinin güncel tutulması.</w:t>
      </w:r>
    </w:p>
    <w:p w14:paraId="629F7876" w14:textId="77777777" w:rsidR="003B155E" w:rsidRPr="000A5D99" w:rsidRDefault="003B155E" w:rsidP="003B155E">
      <w:pPr>
        <w:numPr>
          <w:ilvl w:val="0"/>
          <w:numId w:val="144"/>
        </w:numPr>
        <w:spacing w:after="120" w:line="360" w:lineRule="auto"/>
        <w:ind w:left="990"/>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Dökülme kontrolünden kaynaklanan atıklarla ilgili atık yönetimi yönergeleri de dahil olmak üzere, sızıntı ve dökülmelerin önlenmesi ve kontrolüne yönelik planların dahil edilmesi </w:t>
      </w:r>
      <w:r w:rsidRPr="000A5D99">
        <w:rPr>
          <w:rFonts w:ascii="Times New Roman" w:eastAsia="Calibri" w:hAnsi="Times New Roman" w:cs="Calibri"/>
          <w:b/>
          <w:bCs/>
          <w:sz w:val="24"/>
          <w:lang w:val="en-US"/>
        </w:rPr>
        <w:t>(bkz. MET 46)</w:t>
      </w:r>
      <w:r w:rsidRPr="000A5D99">
        <w:rPr>
          <w:rFonts w:ascii="Times New Roman" w:eastAsia="Calibri" w:hAnsi="Times New Roman" w:cs="Calibri"/>
          <w:sz w:val="24"/>
          <w:lang w:val="en-US"/>
        </w:rPr>
        <w:t>.</w:t>
      </w:r>
    </w:p>
    <w:p w14:paraId="1ADD42CD" w14:textId="77777777" w:rsidR="003B155E" w:rsidRPr="000A5D99" w:rsidRDefault="003B155E" w:rsidP="003B155E">
      <w:pPr>
        <w:numPr>
          <w:ilvl w:val="0"/>
          <w:numId w:val="144"/>
        </w:numPr>
        <w:spacing w:after="120" w:line="360" w:lineRule="auto"/>
        <w:contextualSpacing/>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Kazara meydana gelen sızıntı ve dökülmelerin kaydı ve iyileştirme planları (karşı önlemler). </w:t>
      </w:r>
    </w:p>
    <w:p w14:paraId="35587695" w14:textId="77777777" w:rsidR="003B155E" w:rsidRPr="000A5D99" w:rsidRDefault="003B155E" w:rsidP="003B155E">
      <w:pPr>
        <w:keepNext/>
        <w:keepLines/>
        <w:numPr>
          <w:ilvl w:val="1"/>
          <w:numId w:val="192"/>
        </w:numPr>
        <w:spacing w:before="120" w:after="60" w:line="360" w:lineRule="auto"/>
        <w:ind w:left="434"/>
        <w:jc w:val="both"/>
        <w:outlineLvl w:val="1"/>
        <w:rPr>
          <w:rFonts w:ascii="Times New Roman" w:eastAsia="DengXian Light" w:hAnsi="Times New Roman" w:cs="Microsoft Uighur"/>
          <w:b/>
          <w:sz w:val="24"/>
          <w:szCs w:val="26"/>
          <w:lang w:val="en-US"/>
        </w:rPr>
      </w:pPr>
      <w:bookmarkStart w:id="108" w:name="_Toc137210508"/>
      <w:r w:rsidRPr="000A5D99">
        <w:rPr>
          <w:rFonts w:ascii="Times New Roman" w:eastAsia="DengXian Light" w:hAnsi="Times New Roman" w:cs="Microsoft Uighur"/>
          <w:b/>
          <w:sz w:val="24"/>
          <w:szCs w:val="26"/>
          <w:lang w:val="en-US"/>
        </w:rPr>
        <w:t>Zararlı Maddelerin İkamesi</w:t>
      </w:r>
      <w:bookmarkEnd w:id="108"/>
    </w:p>
    <w:p w14:paraId="1DCA103E"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31: </w:t>
      </w:r>
      <w:r w:rsidRPr="000A5D99">
        <w:rPr>
          <w:rFonts w:ascii="Times New Roman" w:eastAsia="Calibri" w:hAnsi="Times New Roman" w:cs="Calibri"/>
          <w:sz w:val="24"/>
          <w:lang w:val="en-US"/>
        </w:rPr>
        <w:t>Polisiklik aromatik hidrokarbonlar (PAH) ve/veya solvent emisyonlarını önlemek veya azaltmak için su bazlı koruyucular kullanılır.</w:t>
      </w:r>
    </w:p>
    <w:p w14:paraId="6BDDD364"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sz w:val="24"/>
          <w:lang w:val="en-US"/>
        </w:rPr>
        <w:t>Solvent bazlı koruyucular veya kreozot, su bazlı koruyucularla değiştirilir. Su, biyositler için taşıyıcı görevi görür.</w:t>
      </w:r>
    </w:p>
    <w:p w14:paraId="38039E5C"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32: </w:t>
      </w:r>
      <w:r w:rsidRPr="000A5D99">
        <w:rPr>
          <w:rFonts w:ascii="Times New Roman" w:eastAsia="Calibri" w:hAnsi="Times New Roman" w:cs="Calibri"/>
          <w:sz w:val="24"/>
          <w:lang w:val="en-US"/>
        </w:rPr>
        <w:t>İşleme kimyasallarının kullanımının neden olduğu çevresel riskleri azaltmak için, halihazırda kullanımda olan işleme kimyasalları, potansiyel olarak yeni mevcut ve daha güvenli alternatifleri belirlemeyi amaçlayan düzenli (örneğin, yılda bir kez) kontrollere dayalı olarak daha az zararlı olanlarla değiştirilir.</w:t>
      </w:r>
    </w:p>
    <w:p w14:paraId="7DDF1326" w14:textId="77777777" w:rsidR="003B155E" w:rsidRPr="000A5D99" w:rsidRDefault="003B155E" w:rsidP="003B155E">
      <w:pPr>
        <w:keepNext/>
        <w:keepLines/>
        <w:numPr>
          <w:ilvl w:val="1"/>
          <w:numId w:val="192"/>
        </w:numPr>
        <w:spacing w:before="240" w:after="120" w:line="360" w:lineRule="auto"/>
        <w:jc w:val="both"/>
        <w:outlineLvl w:val="2"/>
        <w:rPr>
          <w:rFonts w:ascii="Times New Roman" w:eastAsia="DengXian Light" w:hAnsi="Times New Roman" w:cs="Microsoft Uighur"/>
          <w:b/>
          <w:sz w:val="24"/>
          <w:szCs w:val="24"/>
          <w:lang w:val="en-US"/>
        </w:rPr>
      </w:pPr>
      <w:bookmarkStart w:id="109" w:name="_Toc137210509"/>
      <w:r w:rsidRPr="000A5D99">
        <w:rPr>
          <w:rFonts w:ascii="Times New Roman" w:eastAsia="DengXian Light" w:hAnsi="Times New Roman" w:cs="Microsoft Uighur"/>
          <w:b/>
          <w:sz w:val="24"/>
          <w:szCs w:val="24"/>
          <w:lang w:val="en-US"/>
        </w:rPr>
        <w:t>Kaynak Verimliliği</w:t>
      </w:r>
      <w:bookmarkEnd w:id="109"/>
    </w:p>
    <w:p w14:paraId="71EE8FF0"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b/>
          <w:bCs/>
          <w:sz w:val="24"/>
          <w:lang w:val="en-US"/>
        </w:rPr>
        <w:t xml:space="preserve">MET 33: </w:t>
      </w:r>
      <w:r w:rsidRPr="000A5D99">
        <w:rPr>
          <w:rFonts w:ascii="Times New Roman" w:eastAsia="Calibri" w:hAnsi="Times New Roman" w:cs="Calibri"/>
          <w:sz w:val="24"/>
          <w:lang w:val="en-US"/>
        </w:rPr>
        <w:t>Kaynak verimliliğini artırmak ve arıtma kimyasallarının kullanımıyla ilişkili çevresel etki ve riski azaltmak için aşağıda verilen tüm teknikler kullanılarak bunların tüketimi azaltılır.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1914"/>
        <w:gridCol w:w="4475"/>
        <w:gridCol w:w="2394"/>
      </w:tblGrid>
      <w:tr w:rsidR="003B155E" w:rsidRPr="000A5D99" w14:paraId="69317331" w14:textId="77777777" w:rsidTr="000D79D6">
        <w:trPr>
          <w:trHeight w:val="230"/>
          <w:tblHeader/>
        </w:trPr>
        <w:tc>
          <w:tcPr>
            <w:tcW w:w="154" w:type="pct"/>
            <w:tcBorders>
              <w:top w:val="single" w:sz="4" w:space="0" w:color="auto"/>
              <w:right w:val="single" w:sz="4" w:space="0" w:color="auto"/>
            </w:tcBorders>
            <w:vAlign w:val="center"/>
          </w:tcPr>
          <w:p w14:paraId="6814E332"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056" w:type="pct"/>
            <w:tcBorders>
              <w:top w:val="single" w:sz="4" w:space="0" w:color="auto"/>
              <w:left w:val="single" w:sz="4" w:space="0" w:color="auto"/>
            </w:tcBorders>
            <w:vAlign w:val="center"/>
          </w:tcPr>
          <w:p w14:paraId="045CDC7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469" w:type="pct"/>
            <w:vAlign w:val="center"/>
          </w:tcPr>
          <w:p w14:paraId="798393C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c>
          <w:tcPr>
            <w:tcW w:w="1321" w:type="pct"/>
            <w:vAlign w:val="center"/>
          </w:tcPr>
          <w:p w14:paraId="47C845F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7B22A291" w14:textId="77777777" w:rsidTr="000D79D6">
        <w:trPr>
          <w:trHeight w:val="1610"/>
        </w:trPr>
        <w:tc>
          <w:tcPr>
            <w:tcW w:w="154" w:type="pct"/>
            <w:vAlign w:val="center"/>
          </w:tcPr>
          <w:p w14:paraId="291D03C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056" w:type="pct"/>
            <w:vAlign w:val="center"/>
          </w:tcPr>
          <w:p w14:paraId="5927C9F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Etkili bir koruyucu uygulama sisteminin kullanılması</w:t>
            </w:r>
          </w:p>
        </w:tc>
        <w:tc>
          <w:tcPr>
            <w:tcW w:w="2469" w:type="pct"/>
            <w:vAlign w:val="center"/>
          </w:tcPr>
          <w:p w14:paraId="667C7B5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Ahşabın koruyucu solüsyona daldırıldığı uygulama sistemleri, örneğin püskürtmeden daha verimlidir. Vakum proseslerinin (kapalı sistem) uygulama verimi %100'e yakındır. Uygulama sisteminin seçimi, kullanım sınıfını ve ihtiyaç duyulan penetrasyon seviyesini dikkate alır.</w:t>
            </w:r>
          </w:p>
        </w:tc>
        <w:tc>
          <w:tcPr>
            <w:tcW w:w="1321" w:type="pct"/>
            <w:vAlign w:val="center"/>
          </w:tcPr>
          <w:p w14:paraId="5094E50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yeni tesisler veya büyük tesis iyileştirmeleri için geçerlidir.</w:t>
            </w:r>
          </w:p>
        </w:tc>
      </w:tr>
      <w:tr w:rsidR="003B155E" w:rsidRPr="000A5D99" w14:paraId="66471D86" w14:textId="77777777" w:rsidTr="000D79D6">
        <w:trPr>
          <w:trHeight w:val="2299"/>
        </w:trPr>
        <w:tc>
          <w:tcPr>
            <w:tcW w:w="154" w:type="pct"/>
            <w:vAlign w:val="center"/>
          </w:tcPr>
          <w:p w14:paraId="7AC385E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b</w:t>
            </w:r>
          </w:p>
        </w:tc>
        <w:tc>
          <w:tcPr>
            <w:tcW w:w="1056" w:type="pct"/>
            <w:vAlign w:val="center"/>
          </w:tcPr>
          <w:p w14:paraId="39F4675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Spesifik son kullanım için işleme kimyasallarının tüketiminin kontrolü ve optimizasyonu</w:t>
            </w:r>
          </w:p>
        </w:tc>
        <w:tc>
          <w:tcPr>
            <w:tcW w:w="2469" w:type="pct"/>
            <w:vAlign w:val="center"/>
          </w:tcPr>
          <w:p w14:paraId="702DB4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kimyasallarının tüketiminin kontrolü ve optimizasyonu:</w:t>
            </w:r>
          </w:p>
          <w:p w14:paraId="246C8D34" w14:textId="77777777" w:rsidR="003B155E" w:rsidRPr="000A5D99" w:rsidRDefault="003B155E" w:rsidP="003B155E">
            <w:pPr>
              <w:widowControl w:val="0"/>
              <w:numPr>
                <w:ilvl w:val="0"/>
                <w:numId w:val="145"/>
              </w:numPr>
              <w:tabs>
                <w:tab w:val="left" w:pos="341"/>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ahşap/ahşap ürünlerin emprenye işleminden önce ve sonra tartılması veya</w:t>
            </w:r>
          </w:p>
          <w:p w14:paraId="7371D9D5" w14:textId="77777777" w:rsidR="003B155E" w:rsidRPr="000A5D99" w:rsidRDefault="003B155E" w:rsidP="003B155E">
            <w:pPr>
              <w:widowControl w:val="0"/>
              <w:numPr>
                <w:ilvl w:val="0"/>
                <w:numId w:val="145"/>
              </w:numPr>
              <w:tabs>
                <w:tab w:val="left" w:pos="459"/>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Emprenye sırasında ve sonrasında koruyucu solüsyon miktarının belirlenmesi.</w:t>
            </w:r>
          </w:p>
          <w:p w14:paraId="71BEA75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kimyasallarının tüketiminde, tedarikçilerin tavsiyelerine uyulur ve tutma gerekliliklerinin (örneğin, ürün kalite standartlarında belirlenen) aşılmasına yol açmaz.</w:t>
            </w:r>
          </w:p>
        </w:tc>
        <w:tc>
          <w:tcPr>
            <w:tcW w:w="1321" w:type="pct"/>
            <w:vAlign w:val="center"/>
          </w:tcPr>
          <w:p w14:paraId="3A2631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227114C3" w14:textId="77777777" w:rsidTr="000D79D6">
        <w:trPr>
          <w:trHeight w:val="919"/>
        </w:trPr>
        <w:tc>
          <w:tcPr>
            <w:tcW w:w="154" w:type="pct"/>
            <w:vAlign w:val="center"/>
          </w:tcPr>
          <w:p w14:paraId="514485D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056" w:type="pct"/>
            <w:vAlign w:val="center"/>
          </w:tcPr>
          <w:p w14:paraId="4CCF024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 kütle dengesi</w:t>
            </w:r>
          </w:p>
        </w:tc>
        <w:tc>
          <w:tcPr>
            <w:tcW w:w="2469" w:type="pct"/>
            <w:vAlign w:val="center"/>
          </w:tcPr>
          <w:p w14:paraId="3C9796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Pr>
                <w:rFonts w:ascii="Times New Roman" w:eastAsia="Times New Roman" w:hAnsi="Times New Roman" w:cs="Times New Roman"/>
              </w:rPr>
              <w:t>B</w:t>
            </w:r>
            <w:r w:rsidRPr="000A5D99">
              <w:rPr>
                <w:rFonts w:ascii="Times New Roman" w:eastAsia="Times New Roman" w:hAnsi="Times New Roman" w:cs="Times New Roman"/>
              </w:rPr>
              <w:t>ir tesisin organik solvent girdi ve çıktılarının yılda en az bir kez derlenmesidir.</w:t>
            </w:r>
          </w:p>
        </w:tc>
        <w:tc>
          <w:tcPr>
            <w:tcW w:w="1321" w:type="pct"/>
            <w:vAlign w:val="center"/>
          </w:tcPr>
          <w:p w14:paraId="1E724FE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solvent bazlı işleme kimyasalları veya kreozot kullanan tesisler için geçerlidir.</w:t>
            </w:r>
          </w:p>
        </w:tc>
      </w:tr>
      <w:tr w:rsidR="003B155E" w:rsidRPr="000A5D99" w14:paraId="27F8376C" w14:textId="77777777" w:rsidTr="000D79D6">
        <w:trPr>
          <w:trHeight w:val="1381"/>
        </w:trPr>
        <w:tc>
          <w:tcPr>
            <w:tcW w:w="154" w:type="pct"/>
            <w:vAlign w:val="center"/>
          </w:tcPr>
          <w:p w14:paraId="6736324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056" w:type="pct"/>
            <w:vAlign w:val="center"/>
          </w:tcPr>
          <w:p w14:paraId="253321B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İşlemden önce ahşap neminin ölçülmesi ve ayarlanması</w:t>
            </w:r>
          </w:p>
        </w:tc>
        <w:tc>
          <w:tcPr>
            <w:tcW w:w="2469" w:type="pct"/>
            <w:vAlign w:val="center"/>
          </w:tcPr>
          <w:p w14:paraId="35A20AA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Emprenye işlemini optimize etmek ve gerekli ürün kalitesini sağlamak için işlemden önce ahşabın nemi ölçülür (örneğin, elektrik direncini ölçerek veya tartarak) ve gerekirse ayarlanır (örneğin, ahşabın daha fazla kurutulmasıyla).</w:t>
            </w:r>
          </w:p>
        </w:tc>
        <w:tc>
          <w:tcPr>
            <w:tcW w:w="1321" w:type="pct"/>
            <w:vAlign w:val="center"/>
          </w:tcPr>
          <w:p w14:paraId="247E9A7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belirli bir nem içeriğine sahip ahşap gerektiğinde uygulanabilir.</w:t>
            </w:r>
          </w:p>
        </w:tc>
      </w:tr>
    </w:tbl>
    <w:p w14:paraId="7872F78F" w14:textId="77777777" w:rsidR="003B155E" w:rsidRPr="000A5D99" w:rsidRDefault="003B155E" w:rsidP="003B155E">
      <w:pPr>
        <w:keepNext/>
        <w:keepLines/>
        <w:numPr>
          <w:ilvl w:val="1"/>
          <w:numId w:val="192"/>
        </w:numPr>
        <w:spacing w:before="240" w:after="120" w:line="360" w:lineRule="auto"/>
        <w:jc w:val="both"/>
        <w:outlineLvl w:val="2"/>
        <w:rPr>
          <w:rFonts w:ascii="Times New Roman" w:eastAsia="DengXian Light" w:hAnsi="Times New Roman" w:cs="Microsoft Uighur"/>
          <w:b/>
          <w:sz w:val="24"/>
          <w:szCs w:val="24"/>
        </w:rPr>
      </w:pPr>
      <w:bookmarkStart w:id="110" w:name="_Toc137210510"/>
      <w:r w:rsidRPr="000A5D99">
        <w:rPr>
          <w:rFonts w:ascii="Times New Roman" w:eastAsia="DengXian Light" w:hAnsi="Times New Roman" w:cs="Microsoft Uighur"/>
          <w:b/>
          <w:sz w:val="24"/>
          <w:szCs w:val="24"/>
        </w:rPr>
        <w:t>İşleme Kimyasallarının Teslimi, Depolanması ve Taşınması</w:t>
      </w:r>
      <w:bookmarkEnd w:id="110"/>
    </w:p>
    <w:p w14:paraId="6D90142B" w14:textId="77777777" w:rsidR="003B155E" w:rsidRPr="000A5D99" w:rsidRDefault="003B155E" w:rsidP="003B155E">
      <w:pPr>
        <w:spacing w:before="240" w:after="0" w:line="360" w:lineRule="auto"/>
        <w:jc w:val="both"/>
        <w:rPr>
          <w:rFonts w:ascii="Times New Roman" w:eastAsia="Calibri" w:hAnsi="Times New Roman" w:cs="Calibri"/>
          <w:sz w:val="24"/>
        </w:rPr>
      </w:pPr>
      <w:r w:rsidRPr="000A5D99">
        <w:rPr>
          <w:rFonts w:ascii="Times New Roman" w:eastAsia="Calibri" w:hAnsi="Times New Roman" w:cs="Calibri"/>
          <w:b/>
          <w:bCs/>
          <w:sz w:val="24"/>
        </w:rPr>
        <w:t xml:space="preserve">MET 34: </w:t>
      </w:r>
      <w:r w:rsidRPr="000A5D99">
        <w:rPr>
          <w:rFonts w:ascii="Times New Roman" w:eastAsia="Calibri" w:hAnsi="Times New Roman" w:cs="Calibri"/>
          <w:sz w:val="24"/>
        </w:rPr>
        <w:t>İşleme kimyasallarının teslimi, depolanması ve işlenmesinden kaynaklanan emisyonları azaltmak için aşağıda verilen (a) veya (b) tekniği ve (c) ile (f) tekniklerinin tümü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3250"/>
        <w:gridCol w:w="5533"/>
      </w:tblGrid>
      <w:tr w:rsidR="003B155E" w:rsidRPr="000A5D99" w14:paraId="259BC350" w14:textId="77777777" w:rsidTr="000D79D6">
        <w:trPr>
          <w:trHeight w:val="230"/>
          <w:tblHeader/>
        </w:trPr>
        <w:tc>
          <w:tcPr>
            <w:tcW w:w="154" w:type="pct"/>
            <w:tcBorders>
              <w:top w:val="single" w:sz="4" w:space="0" w:color="auto"/>
              <w:right w:val="single" w:sz="4" w:space="0" w:color="auto"/>
            </w:tcBorders>
            <w:vAlign w:val="center"/>
          </w:tcPr>
          <w:p w14:paraId="4B62B320"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793" w:type="pct"/>
            <w:tcBorders>
              <w:top w:val="single" w:sz="4" w:space="0" w:color="auto"/>
              <w:left w:val="single" w:sz="4" w:space="0" w:color="auto"/>
            </w:tcBorders>
            <w:vAlign w:val="center"/>
          </w:tcPr>
          <w:p w14:paraId="247EB60F"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053" w:type="pct"/>
            <w:vAlign w:val="center"/>
          </w:tcPr>
          <w:p w14:paraId="2C1B125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r>
      <w:tr w:rsidR="003B155E" w:rsidRPr="000A5D99" w14:paraId="2085A3A4" w14:textId="77777777" w:rsidTr="000D79D6">
        <w:trPr>
          <w:trHeight w:val="920"/>
        </w:trPr>
        <w:tc>
          <w:tcPr>
            <w:tcW w:w="154" w:type="pct"/>
            <w:tcBorders>
              <w:right w:val="single" w:sz="4" w:space="0" w:color="auto"/>
            </w:tcBorders>
            <w:vAlign w:val="center"/>
          </w:tcPr>
          <w:p w14:paraId="63A0ABE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793" w:type="pct"/>
            <w:tcBorders>
              <w:left w:val="single" w:sz="4" w:space="0" w:color="auto"/>
            </w:tcBorders>
            <w:vAlign w:val="center"/>
          </w:tcPr>
          <w:p w14:paraId="25EEAC1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Geri havalandırma</w:t>
            </w:r>
          </w:p>
        </w:tc>
        <w:tc>
          <w:tcPr>
            <w:tcW w:w="3053" w:type="pct"/>
            <w:vAlign w:val="center"/>
          </w:tcPr>
          <w:p w14:paraId="504C773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Buhar dengeleme olarak da adlandırılır. Doldurma sırasında alıcı tanktan çıkan solvent veya kreozot buharları toplanır ve sıvının teslim edildiği tanka veya kamyona geri konulur.</w:t>
            </w:r>
          </w:p>
        </w:tc>
      </w:tr>
      <w:tr w:rsidR="003B155E" w:rsidRPr="000A5D99" w14:paraId="23A17D6F" w14:textId="77777777" w:rsidTr="000D79D6">
        <w:trPr>
          <w:trHeight w:val="919"/>
        </w:trPr>
        <w:tc>
          <w:tcPr>
            <w:tcW w:w="154" w:type="pct"/>
            <w:vAlign w:val="center"/>
          </w:tcPr>
          <w:p w14:paraId="41E3825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793" w:type="pct"/>
            <w:vAlign w:val="center"/>
          </w:tcPr>
          <w:p w14:paraId="500B896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Tahliye edilen havanın toplanması</w:t>
            </w:r>
          </w:p>
        </w:tc>
        <w:tc>
          <w:tcPr>
            <w:tcW w:w="3053" w:type="pct"/>
            <w:vAlign w:val="center"/>
          </w:tcPr>
          <w:p w14:paraId="65A26FA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Doldurma sırasında alıcı tanktan çıkan solvent veya kreozot buharları toplanır ve örneğin bir aktif karbon filtresi veya bir termal oksidasyon ünitesi gibi bir arıtma ünitesine yönlendirilir.</w:t>
            </w:r>
          </w:p>
        </w:tc>
      </w:tr>
      <w:tr w:rsidR="003B155E" w:rsidRPr="000A5D99" w14:paraId="70FD572B" w14:textId="77777777" w:rsidTr="000D79D6">
        <w:trPr>
          <w:trHeight w:val="1149"/>
        </w:trPr>
        <w:tc>
          <w:tcPr>
            <w:tcW w:w="154" w:type="pct"/>
            <w:vAlign w:val="center"/>
          </w:tcPr>
          <w:p w14:paraId="0555CE2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793" w:type="pct"/>
            <w:vAlign w:val="center"/>
          </w:tcPr>
          <w:p w14:paraId="47D2D5A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Depolanan kimyasalların ısınmasından kaynaklanan buharlaşma kayıplarını azaltma teknikleri</w:t>
            </w:r>
          </w:p>
        </w:tc>
        <w:tc>
          <w:tcPr>
            <w:tcW w:w="3053" w:type="pct"/>
            <w:vAlign w:val="center"/>
          </w:tcPr>
          <w:p w14:paraId="7E5A806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Güneş ışığına maruz kalmanın yer üstü depolama tanklarında depolanan solventlerin ve kreozotun buharlaşmasına yol açabileceği durumlarda, depolanan solventlerin ve kreozotun ısınmasını azaltmak için tanklar bir çatı ile kapatılır veya açık renkli boya ile kaplanır.</w:t>
            </w:r>
          </w:p>
        </w:tc>
      </w:tr>
      <w:tr w:rsidR="003B155E" w:rsidRPr="000A5D99" w14:paraId="087A4A8E" w14:textId="77777777" w:rsidTr="000D79D6">
        <w:trPr>
          <w:trHeight w:val="689"/>
        </w:trPr>
        <w:tc>
          <w:tcPr>
            <w:tcW w:w="154" w:type="pct"/>
            <w:vAlign w:val="center"/>
          </w:tcPr>
          <w:p w14:paraId="420605C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793" w:type="pct"/>
            <w:vAlign w:val="center"/>
          </w:tcPr>
          <w:p w14:paraId="7C18988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Teslimat bağlantılarının güvenliğini sağlama</w:t>
            </w:r>
          </w:p>
        </w:tc>
        <w:tc>
          <w:tcPr>
            <w:tcW w:w="3053" w:type="pct"/>
            <w:vAlign w:val="center"/>
          </w:tcPr>
          <w:p w14:paraId="56A163B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Etrafı çevrili/kontrol altına alınan alan içinde bulunan depolama tanklarına dağıtım bağlantıları kullanılmadığında emniyete alınır ve kapatılır.</w:t>
            </w:r>
          </w:p>
        </w:tc>
      </w:tr>
      <w:tr w:rsidR="003B155E" w:rsidRPr="000A5D99" w14:paraId="16AB90B0" w14:textId="77777777" w:rsidTr="000D79D6">
        <w:trPr>
          <w:trHeight w:val="1314"/>
        </w:trPr>
        <w:tc>
          <w:tcPr>
            <w:tcW w:w="154" w:type="pct"/>
            <w:vAlign w:val="center"/>
          </w:tcPr>
          <w:p w14:paraId="568AE77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793" w:type="pct"/>
            <w:vAlign w:val="center"/>
          </w:tcPr>
          <w:p w14:paraId="29DF0E8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Pompalama sırasında taşmaları önleme teknikleri</w:t>
            </w:r>
          </w:p>
        </w:tc>
        <w:tc>
          <w:tcPr>
            <w:tcW w:w="3053" w:type="pct"/>
            <w:vAlign w:val="center"/>
          </w:tcPr>
          <w:p w14:paraId="6D3C6D3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 aşağıdakilerin sağlanmasını içerir:</w:t>
            </w:r>
          </w:p>
          <w:p w14:paraId="42379919" w14:textId="77777777" w:rsidR="003B155E" w:rsidRPr="000A5D99" w:rsidRDefault="003B155E" w:rsidP="003B155E">
            <w:pPr>
              <w:widowControl w:val="0"/>
              <w:numPr>
                <w:ilvl w:val="0"/>
                <w:numId w:val="146"/>
              </w:numPr>
              <w:tabs>
                <w:tab w:val="left" w:pos="468"/>
              </w:tabs>
              <w:autoSpaceDE w:val="0"/>
              <w:autoSpaceDN w:val="0"/>
              <w:spacing w:after="0" w:line="240" w:lineRule="auto"/>
              <w:ind w:left="74" w:right="74" w:hanging="361"/>
              <w:jc w:val="both"/>
              <w:rPr>
                <w:rFonts w:ascii="Times New Roman" w:eastAsia="Times New Roman" w:hAnsi="Times New Roman" w:cs="Times New Roman"/>
              </w:rPr>
            </w:pPr>
            <w:r w:rsidRPr="000A5D99">
              <w:rPr>
                <w:rFonts w:ascii="Times New Roman" w:eastAsia="Times New Roman" w:hAnsi="Times New Roman" w:cs="Times New Roman"/>
              </w:rPr>
              <w:t>- pompalama işlemi denetlenir;</w:t>
            </w:r>
          </w:p>
          <w:p w14:paraId="69F92920" w14:textId="77777777" w:rsidR="003B155E" w:rsidRPr="000A5D99" w:rsidRDefault="003B155E" w:rsidP="003B155E">
            <w:pPr>
              <w:widowControl w:val="0"/>
              <w:numPr>
                <w:ilvl w:val="0"/>
                <w:numId w:val="146"/>
              </w:numPr>
              <w:tabs>
                <w:tab w:val="left" w:pos="468"/>
              </w:tabs>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 daha büyük miktarlar için, yığın depolama tanklarına akustik ve/veya optik yüksek seviye alarmları ve gerekirse kapatma sistemleri takılır.</w:t>
            </w:r>
          </w:p>
        </w:tc>
      </w:tr>
      <w:tr w:rsidR="003B155E" w:rsidRPr="000A5D99" w14:paraId="7F9C0E79" w14:textId="77777777" w:rsidTr="000D79D6">
        <w:trPr>
          <w:trHeight w:val="231"/>
        </w:trPr>
        <w:tc>
          <w:tcPr>
            <w:tcW w:w="154" w:type="pct"/>
            <w:vAlign w:val="center"/>
          </w:tcPr>
          <w:p w14:paraId="4EDA5E2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793" w:type="pct"/>
            <w:vAlign w:val="center"/>
          </w:tcPr>
          <w:p w14:paraId="2A5B743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Kapalı saklama kapları</w:t>
            </w:r>
          </w:p>
        </w:tc>
        <w:tc>
          <w:tcPr>
            <w:tcW w:w="3053" w:type="pct"/>
            <w:vAlign w:val="center"/>
          </w:tcPr>
          <w:p w14:paraId="1186E8C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 için kapalı saklama kapları kullanılır.</w:t>
            </w:r>
          </w:p>
        </w:tc>
      </w:tr>
    </w:tbl>
    <w:p w14:paraId="20E43A69" w14:textId="77777777" w:rsidR="003B155E" w:rsidRPr="000A5D99" w:rsidRDefault="003B155E" w:rsidP="003B155E">
      <w:pPr>
        <w:keepNext/>
        <w:keepLines/>
        <w:numPr>
          <w:ilvl w:val="1"/>
          <w:numId w:val="192"/>
        </w:numPr>
        <w:spacing w:before="240" w:after="120" w:line="360" w:lineRule="auto"/>
        <w:jc w:val="both"/>
        <w:outlineLvl w:val="2"/>
        <w:rPr>
          <w:rFonts w:ascii="Times New Roman" w:eastAsia="DengXian Light" w:hAnsi="Times New Roman" w:cs="Microsoft Uighur"/>
          <w:b/>
          <w:sz w:val="24"/>
          <w:szCs w:val="24"/>
          <w:lang w:val="en-US"/>
        </w:rPr>
      </w:pPr>
      <w:bookmarkStart w:id="111" w:name="_Toc137210511"/>
      <w:r w:rsidRPr="000A5D99">
        <w:rPr>
          <w:rFonts w:ascii="Times New Roman" w:eastAsia="DengXian Light" w:hAnsi="Times New Roman" w:cs="Microsoft Uighur"/>
          <w:b/>
          <w:sz w:val="24"/>
          <w:szCs w:val="24"/>
          <w:lang w:val="en-US"/>
        </w:rPr>
        <w:lastRenderedPageBreak/>
        <w:t>Ahşabın Hazırlanması/ Koşullandırılması</w:t>
      </w:r>
      <w:bookmarkEnd w:id="111"/>
    </w:p>
    <w:p w14:paraId="6EA18AC2"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b/>
          <w:bCs/>
          <w:sz w:val="24"/>
          <w:lang w:val="en-US"/>
        </w:rPr>
        <w:t xml:space="preserve">MET 35: </w:t>
      </w:r>
      <w:r w:rsidRPr="000A5D99">
        <w:rPr>
          <w:rFonts w:ascii="Times New Roman" w:eastAsia="Calibri" w:hAnsi="Times New Roman" w:cs="Calibri"/>
          <w:sz w:val="24"/>
          <w:lang w:val="en-US"/>
        </w:rPr>
        <w:t>İşleme kimyasallarının tüketimini ve enerji tüketimini ve işleme kimyasallarının emisyonlarını azaltmak için aşağıda verilen tekniklerin bir kombinasyonunu kullanarak tankın ahşap yükü optimize edilir ve işleme kimyasallarının hapsolması önlenir.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2929"/>
        <w:gridCol w:w="2749"/>
        <w:gridCol w:w="3105"/>
      </w:tblGrid>
      <w:tr w:rsidR="003B155E" w:rsidRPr="000A5D99" w14:paraId="5DDF9BCA" w14:textId="77777777" w:rsidTr="000D79D6">
        <w:trPr>
          <w:trHeight w:val="230"/>
          <w:tblHeader/>
        </w:trPr>
        <w:tc>
          <w:tcPr>
            <w:tcW w:w="154" w:type="pct"/>
            <w:tcBorders>
              <w:right w:val="single" w:sz="4" w:space="0" w:color="auto"/>
            </w:tcBorders>
            <w:vAlign w:val="center"/>
          </w:tcPr>
          <w:p w14:paraId="465532A8"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616" w:type="pct"/>
            <w:tcBorders>
              <w:left w:val="single" w:sz="4" w:space="0" w:color="auto"/>
            </w:tcBorders>
            <w:vAlign w:val="center"/>
          </w:tcPr>
          <w:p w14:paraId="4D852C60"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1517" w:type="pct"/>
            <w:vAlign w:val="center"/>
          </w:tcPr>
          <w:p w14:paraId="0904347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c>
          <w:tcPr>
            <w:tcW w:w="1713" w:type="pct"/>
            <w:vAlign w:val="center"/>
          </w:tcPr>
          <w:p w14:paraId="015CBD8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5167BBD3" w14:textId="77777777" w:rsidTr="000D79D6">
        <w:trPr>
          <w:trHeight w:val="1379"/>
        </w:trPr>
        <w:tc>
          <w:tcPr>
            <w:tcW w:w="154" w:type="pct"/>
            <w:tcBorders>
              <w:right w:val="single" w:sz="4" w:space="0" w:color="auto"/>
            </w:tcBorders>
            <w:vAlign w:val="center"/>
          </w:tcPr>
          <w:p w14:paraId="6668739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616" w:type="pct"/>
            <w:tcBorders>
              <w:left w:val="single" w:sz="4" w:space="0" w:color="auto"/>
            </w:tcBorders>
            <w:vAlign w:val="center"/>
          </w:tcPr>
          <w:p w14:paraId="5028548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Paketlerdeki ahşabın ayırıcılarla ayrılması</w:t>
            </w:r>
          </w:p>
        </w:tc>
        <w:tc>
          <w:tcPr>
            <w:tcW w:w="1517" w:type="pct"/>
            <w:vAlign w:val="center"/>
          </w:tcPr>
          <w:p w14:paraId="363FC0F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kimyasallarının paket içinden akışını ve işlemden sonra tahliyeyi kolaylaştırmak için paketlere düzenli aralıklarla ayırıcılar yerleştirilmiştir.</w:t>
            </w:r>
          </w:p>
        </w:tc>
        <w:tc>
          <w:tcPr>
            <w:tcW w:w="1713" w:type="pct"/>
            <w:vAlign w:val="center"/>
          </w:tcPr>
          <w:p w14:paraId="46DAC29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6E17D7CD" w14:textId="77777777" w:rsidTr="000D79D6">
        <w:trPr>
          <w:trHeight w:val="1149"/>
        </w:trPr>
        <w:tc>
          <w:tcPr>
            <w:tcW w:w="154" w:type="pct"/>
            <w:vAlign w:val="center"/>
          </w:tcPr>
          <w:p w14:paraId="139D647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616" w:type="pct"/>
            <w:vAlign w:val="center"/>
          </w:tcPr>
          <w:p w14:paraId="1825239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Geleneksel yatay işlem tanklarında ahşap gruplarının eğimlendirilmesi</w:t>
            </w:r>
          </w:p>
        </w:tc>
        <w:tc>
          <w:tcPr>
            <w:tcW w:w="1517" w:type="pct"/>
            <w:vAlign w:val="center"/>
          </w:tcPr>
          <w:p w14:paraId="63D4492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kimyasallarının akışını ve işlemden sonra boşaltmayı kolaylaştırmak için işlem tankında ahşap grupları eğimli konumlandırılır.</w:t>
            </w:r>
          </w:p>
        </w:tc>
        <w:tc>
          <w:tcPr>
            <w:tcW w:w="1713" w:type="pct"/>
            <w:vAlign w:val="center"/>
          </w:tcPr>
          <w:p w14:paraId="620828F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429D1A54" w14:textId="77777777" w:rsidTr="000D79D6">
        <w:trPr>
          <w:trHeight w:val="1379"/>
        </w:trPr>
        <w:tc>
          <w:tcPr>
            <w:tcW w:w="154" w:type="pct"/>
            <w:vAlign w:val="center"/>
          </w:tcPr>
          <w:p w14:paraId="23BED86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616" w:type="pct"/>
            <w:vAlign w:val="center"/>
          </w:tcPr>
          <w:p w14:paraId="6B807D8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Devirmeli basınçlı işlem tanklarının kullanımı</w:t>
            </w:r>
          </w:p>
        </w:tc>
        <w:tc>
          <w:tcPr>
            <w:tcW w:w="1517" w:type="pct"/>
            <w:vAlign w:val="center"/>
          </w:tcPr>
          <w:p w14:paraId="3B5C478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İşlemden sonra tüm işlem tankı eğimli konumlandırılır, böylece fazla işlem kimyasalları kolayca boşalır ve tankın tabanından geri kazanılabilir.</w:t>
            </w:r>
          </w:p>
        </w:tc>
        <w:tc>
          <w:tcPr>
            <w:tcW w:w="1713" w:type="pct"/>
            <w:vAlign w:val="center"/>
          </w:tcPr>
          <w:p w14:paraId="5E3216A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Yalnızca yeni tesisler veya büyük tesis iyileştirmeleri için uygulanabilir.</w:t>
            </w:r>
          </w:p>
        </w:tc>
      </w:tr>
      <w:tr w:rsidR="003B155E" w:rsidRPr="000A5D99" w14:paraId="4926E5E0" w14:textId="77777777" w:rsidTr="000D79D6">
        <w:trPr>
          <w:trHeight w:val="920"/>
        </w:trPr>
        <w:tc>
          <w:tcPr>
            <w:tcW w:w="154" w:type="pct"/>
            <w:vAlign w:val="center"/>
          </w:tcPr>
          <w:p w14:paraId="2007F1C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616" w:type="pct"/>
            <w:vAlign w:val="center"/>
          </w:tcPr>
          <w:p w14:paraId="6BD3B416" w14:textId="77777777" w:rsidR="003B155E" w:rsidRPr="000A5D99" w:rsidRDefault="003B155E" w:rsidP="000D79D6">
            <w:pPr>
              <w:widowControl w:val="0"/>
              <w:tabs>
                <w:tab w:val="left" w:pos="1167"/>
                <w:tab w:val="left" w:pos="2292"/>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Şekillendirilmiş ahşap parçaların optimize edilmiş konumlandırılması</w:t>
            </w:r>
          </w:p>
        </w:tc>
        <w:tc>
          <w:tcPr>
            <w:tcW w:w="1517" w:type="pct"/>
            <w:vAlign w:val="center"/>
          </w:tcPr>
          <w:p w14:paraId="33B0AAC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Şekillendirilmiş ahşap parçalar, işleme kimyasallarının hapsolmasını önleyecek şekilde konumlandırılır.</w:t>
            </w:r>
          </w:p>
        </w:tc>
        <w:tc>
          <w:tcPr>
            <w:tcW w:w="1713" w:type="pct"/>
            <w:vAlign w:val="center"/>
          </w:tcPr>
          <w:p w14:paraId="1B95493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177A2D34" w14:textId="77777777" w:rsidTr="000D79D6">
        <w:trPr>
          <w:trHeight w:val="1610"/>
        </w:trPr>
        <w:tc>
          <w:tcPr>
            <w:tcW w:w="154" w:type="pct"/>
            <w:vAlign w:val="center"/>
          </w:tcPr>
          <w:p w14:paraId="744D97D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616" w:type="pct"/>
            <w:vAlign w:val="center"/>
          </w:tcPr>
          <w:p w14:paraId="5FC8032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Ahşap gruplarının sabitlenmesi</w:t>
            </w:r>
          </w:p>
        </w:tc>
        <w:tc>
          <w:tcPr>
            <w:tcW w:w="1517" w:type="pct"/>
            <w:vAlign w:val="center"/>
          </w:tcPr>
          <w:p w14:paraId="172DD1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Ahşap grupları, grubun yapısını değiştirebilecek ve emprenye etkinliğini azaltabilecek ahşap parçaların hareketini sınırlamak için işlem tankının içine sabitlenir.</w:t>
            </w:r>
          </w:p>
        </w:tc>
        <w:tc>
          <w:tcPr>
            <w:tcW w:w="1713" w:type="pct"/>
            <w:vAlign w:val="center"/>
          </w:tcPr>
          <w:p w14:paraId="53C714E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0B94EFF6" w14:textId="77777777" w:rsidTr="000D79D6">
        <w:trPr>
          <w:trHeight w:val="1379"/>
        </w:trPr>
        <w:tc>
          <w:tcPr>
            <w:tcW w:w="154" w:type="pct"/>
            <w:vAlign w:val="center"/>
          </w:tcPr>
          <w:p w14:paraId="4524CF5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616" w:type="pct"/>
            <w:vAlign w:val="center"/>
          </w:tcPr>
          <w:p w14:paraId="303370A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Ahşap yükünün maksimize edilmesi</w:t>
            </w:r>
          </w:p>
        </w:tc>
        <w:tc>
          <w:tcPr>
            <w:tcW w:w="1517" w:type="pct"/>
            <w:vAlign w:val="center"/>
          </w:tcPr>
          <w:p w14:paraId="4075C96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tankının ahşap yükü, işlenecek ahşap ile işlem kimyasalları arasındaki en iyi oranı sağlamak için maksimize edilir.</w:t>
            </w:r>
          </w:p>
        </w:tc>
        <w:tc>
          <w:tcPr>
            <w:tcW w:w="1713" w:type="pct"/>
            <w:vAlign w:val="center"/>
          </w:tcPr>
          <w:p w14:paraId="01BB5A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bl>
    <w:p w14:paraId="6BC6680A" w14:textId="77777777" w:rsidR="003B155E" w:rsidRPr="000A5D99" w:rsidRDefault="003B155E" w:rsidP="003B155E">
      <w:pPr>
        <w:keepNext/>
        <w:keepLines/>
        <w:numPr>
          <w:ilvl w:val="1"/>
          <w:numId w:val="192"/>
        </w:numPr>
        <w:spacing w:before="240" w:after="120" w:line="360" w:lineRule="auto"/>
        <w:jc w:val="both"/>
        <w:outlineLvl w:val="2"/>
        <w:rPr>
          <w:rFonts w:ascii="Times New Roman" w:eastAsia="DengXian Light" w:hAnsi="Times New Roman" w:cs="Microsoft Uighur"/>
          <w:b/>
          <w:sz w:val="24"/>
          <w:szCs w:val="24"/>
          <w:lang w:val="en-US"/>
        </w:rPr>
      </w:pPr>
      <w:bookmarkStart w:id="112" w:name="_Toc137210512"/>
      <w:r w:rsidRPr="000A5D99">
        <w:rPr>
          <w:rFonts w:ascii="Times New Roman" w:eastAsia="DengXian Light" w:hAnsi="Times New Roman" w:cs="Microsoft Uighur"/>
          <w:b/>
          <w:sz w:val="24"/>
          <w:szCs w:val="24"/>
          <w:lang w:val="en-US"/>
        </w:rPr>
        <w:t>Koruyucu Uygulama Süreci</w:t>
      </w:r>
      <w:bookmarkEnd w:id="112"/>
    </w:p>
    <w:p w14:paraId="359236E5"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b/>
          <w:bCs/>
          <w:sz w:val="24"/>
          <w:lang w:val="en-US"/>
        </w:rPr>
        <w:t xml:space="preserve">MET 36: </w:t>
      </w:r>
      <w:r w:rsidRPr="000A5D99">
        <w:rPr>
          <w:rFonts w:ascii="Times New Roman" w:eastAsia="Calibri" w:hAnsi="Times New Roman" w:cs="Calibri"/>
          <w:sz w:val="24"/>
          <w:lang w:val="en-US"/>
        </w:rPr>
        <w:t>Basınçsız proseslerden işleme kimyasallarının kazara sızmasını ve emisyonlarını önlemek için aşağıda verilen tekniklerden biri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
        <w:gridCol w:w="8642"/>
      </w:tblGrid>
      <w:tr w:rsidR="003B155E" w:rsidRPr="000A5D99" w14:paraId="72AD7D1C" w14:textId="77777777" w:rsidTr="000D79D6">
        <w:trPr>
          <w:trHeight w:val="230"/>
        </w:trPr>
        <w:tc>
          <w:tcPr>
            <w:tcW w:w="232" w:type="pct"/>
            <w:tcBorders>
              <w:right w:val="single" w:sz="4" w:space="0" w:color="auto"/>
            </w:tcBorders>
            <w:vAlign w:val="center"/>
          </w:tcPr>
          <w:p w14:paraId="4550AFB4"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4768" w:type="pct"/>
            <w:tcBorders>
              <w:left w:val="single" w:sz="4" w:space="0" w:color="auto"/>
            </w:tcBorders>
          </w:tcPr>
          <w:p w14:paraId="4371754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r>
      <w:tr w:rsidR="003B155E" w:rsidRPr="000A5D99" w14:paraId="71395AC6" w14:textId="77777777" w:rsidTr="000D79D6">
        <w:trPr>
          <w:trHeight w:val="269"/>
        </w:trPr>
        <w:tc>
          <w:tcPr>
            <w:tcW w:w="232" w:type="pct"/>
            <w:tcBorders>
              <w:right w:val="single" w:sz="4" w:space="0" w:color="auto"/>
            </w:tcBorders>
            <w:vAlign w:val="center"/>
          </w:tcPr>
          <w:p w14:paraId="04A5843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4768" w:type="pct"/>
            <w:tcBorders>
              <w:left w:val="single" w:sz="4" w:space="0" w:color="auto"/>
            </w:tcBorders>
            <w:vAlign w:val="center"/>
          </w:tcPr>
          <w:p w14:paraId="5CCE4B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Otomatik kaçak tespit cihazlarına sahip çift cidarlı işlem tankları</w:t>
            </w:r>
          </w:p>
        </w:tc>
      </w:tr>
      <w:tr w:rsidR="003B155E" w:rsidRPr="000A5D99" w14:paraId="6DDD1965" w14:textId="77777777" w:rsidTr="000D79D6">
        <w:trPr>
          <w:trHeight w:val="505"/>
        </w:trPr>
        <w:tc>
          <w:tcPr>
            <w:tcW w:w="232" w:type="pct"/>
            <w:vAlign w:val="center"/>
          </w:tcPr>
          <w:p w14:paraId="405C499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4768" w:type="pct"/>
            <w:vAlign w:val="center"/>
          </w:tcPr>
          <w:p w14:paraId="2F80738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Yeterince büyük ve ahşap koruyuculu- dirençli muhafaza, çamurluk ve otomatik kaçak tespit cihazı olan tek cidarlı işlem tankları</w:t>
            </w:r>
          </w:p>
        </w:tc>
      </w:tr>
    </w:tbl>
    <w:p w14:paraId="56243499" w14:textId="77777777" w:rsidR="003B155E" w:rsidRPr="000A5D99" w:rsidRDefault="003B155E" w:rsidP="003B155E">
      <w:pPr>
        <w:spacing w:before="240" w:after="0" w:line="360" w:lineRule="auto"/>
        <w:jc w:val="both"/>
        <w:rPr>
          <w:rFonts w:ascii="Times New Roman" w:eastAsia="Calibri" w:hAnsi="Times New Roman" w:cs="Calibri"/>
          <w:b/>
          <w:bCs/>
          <w:sz w:val="24"/>
        </w:rPr>
      </w:pPr>
      <w:r w:rsidRPr="000A5D99">
        <w:rPr>
          <w:rFonts w:ascii="Times New Roman" w:eastAsia="Calibri" w:hAnsi="Times New Roman" w:cs="Calibri"/>
          <w:b/>
          <w:bCs/>
          <w:sz w:val="24"/>
        </w:rPr>
        <w:lastRenderedPageBreak/>
        <w:t xml:space="preserve">MET 37: </w:t>
      </w:r>
      <w:r w:rsidRPr="000A5D99">
        <w:rPr>
          <w:rFonts w:ascii="Times New Roman" w:eastAsia="Calibri" w:hAnsi="Times New Roman" w:cs="Calibri"/>
          <w:sz w:val="24"/>
        </w:rPr>
        <w:t>Su bazlı işleme kimyasalları kullanılarak ahşap ve ahşap ürünlerinin korunmasından kaynaklanan aerosol emisyonlarını azaltmak için püskürtme işlemleri muhafaza altına alınarak, fazla püskürtülenler toplanır ve ahşap koruma solüsyonunun hazırlanmasında yeniden kullanılır.</w:t>
      </w:r>
    </w:p>
    <w:p w14:paraId="4602A3A1" w14:textId="77777777" w:rsidR="003B155E" w:rsidRPr="000A5D99" w:rsidRDefault="003B155E" w:rsidP="003B155E">
      <w:pPr>
        <w:spacing w:before="240" w:after="0" w:line="360" w:lineRule="auto"/>
        <w:jc w:val="both"/>
        <w:rPr>
          <w:rFonts w:ascii="Times New Roman" w:eastAsia="Calibri" w:hAnsi="Times New Roman" w:cs="Calibri"/>
          <w:b/>
          <w:bCs/>
          <w:sz w:val="24"/>
        </w:rPr>
      </w:pPr>
      <w:r w:rsidRPr="000A5D99">
        <w:rPr>
          <w:rFonts w:ascii="Times New Roman" w:eastAsia="Calibri" w:hAnsi="Times New Roman" w:cs="Calibri"/>
          <w:b/>
          <w:bCs/>
          <w:sz w:val="24"/>
        </w:rPr>
        <w:t xml:space="preserve">MET 38: </w:t>
      </w:r>
      <w:r w:rsidRPr="000A5D99">
        <w:rPr>
          <w:rFonts w:ascii="Times New Roman" w:eastAsia="Calibri" w:hAnsi="Times New Roman" w:cs="Calibri"/>
          <w:sz w:val="24"/>
        </w:rPr>
        <w:t>Basınç proseslerinden (otoklavlar-basınçlı kaplar) kaynaklanan işleme kimyasallarının emisyonlarını önlemek veya azaltmak için aşağıda verilen tüm teknikler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8"/>
        <w:gridCol w:w="3425"/>
        <w:gridCol w:w="5299"/>
      </w:tblGrid>
      <w:tr w:rsidR="003B155E" w:rsidRPr="000A5D99" w14:paraId="6DA61770" w14:textId="77777777" w:rsidTr="000D79D6">
        <w:trPr>
          <w:trHeight w:val="230"/>
          <w:tblHeader/>
        </w:trPr>
        <w:tc>
          <w:tcPr>
            <w:tcW w:w="186" w:type="pct"/>
            <w:tcBorders>
              <w:right w:val="single" w:sz="4" w:space="0" w:color="auto"/>
            </w:tcBorders>
            <w:vAlign w:val="center"/>
          </w:tcPr>
          <w:p w14:paraId="6E4C2D5B"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890" w:type="pct"/>
            <w:tcBorders>
              <w:left w:val="single" w:sz="4" w:space="0" w:color="auto"/>
            </w:tcBorders>
            <w:vAlign w:val="center"/>
          </w:tcPr>
          <w:p w14:paraId="7B74DC0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924" w:type="pct"/>
            <w:vAlign w:val="center"/>
          </w:tcPr>
          <w:p w14:paraId="4D2A5FB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r>
      <w:tr w:rsidR="003B155E" w:rsidRPr="000A5D99" w14:paraId="4C3172A6" w14:textId="77777777" w:rsidTr="000D79D6">
        <w:trPr>
          <w:trHeight w:val="920"/>
        </w:trPr>
        <w:tc>
          <w:tcPr>
            <w:tcW w:w="186" w:type="pct"/>
            <w:tcBorders>
              <w:right w:val="single" w:sz="4" w:space="0" w:color="auto"/>
            </w:tcBorders>
            <w:vAlign w:val="center"/>
          </w:tcPr>
          <w:p w14:paraId="17DE137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890" w:type="pct"/>
            <w:tcBorders>
              <w:left w:val="single" w:sz="4" w:space="0" w:color="auto"/>
            </w:tcBorders>
            <w:vAlign w:val="center"/>
          </w:tcPr>
          <w:p w14:paraId="3D9E2FD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tankı kapısı kilitli ve mühürlü olmadığı sürece çalışmayı önleyen proses kontrolleri</w:t>
            </w:r>
          </w:p>
        </w:tc>
        <w:tc>
          <w:tcPr>
            <w:tcW w:w="2924" w:type="pct"/>
            <w:vAlign w:val="center"/>
          </w:tcPr>
          <w:p w14:paraId="789D78D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tankı yüklendikten sonra ve işlem gerçekleşmeden önce işlem tankı kapısı kilitlenir ve mühürlenir. Kapı kilitli ve mühürlü olmadığı sürece işlem tankının çalışmasını engelleyen proses kontrolleri mevcuttur.</w:t>
            </w:r>
          </w:p>
        </w:tc>
      </w:tr>
      <w:tr w:rsidR="003B155E" w:rsidRPr="000A5D99" w14:paraId="1F1FDD3B" w14:textId="77777777" w:rsidTr="000D79D6">
        <w:trPr>
          <w:trHeight w:val="920"/>
        </w:trPr>
        <w:tc>
          <w:tcPr>
            <w:tcW w:w="186" w:type="pct"/>
            <w:vAlign w:val="center"/>
          </w:tcPr>
          <w:p w14:paraId="20081A1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890" w:type="pct"/>
            <w:vAlign w:val="center"/>
          </w:tcPr>
          <w:p w14:paraId="71DE42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Basınçlı ve/veya koruyucu solüsyonla doluyken işlem tankının açılmasını önleyen proses kontrolleri</w:t>
            </w:r>
          </w:p>
        </w:tc>
        <w:tc>
          <w:tcPr>
            <w:tcW w:w="2924" w:type="pct"/>
            <w:vAlign w:val="center"/>
          </w:tcPr>
          <w:p w14:paraId="76A7D19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Proses kontrolleri, basıncı ve işlem tankında sıvı olup olmadığını gösterir. Proses kontrolleri işlem tankı hala basınçlı ve/veya doluyken açılmasını önler.</w:t>
            </w:r>
          </w:p>
        </w:tc>
      </w:tr>
      <w:tr w:rsidR="003B155E" w:rsidRPr="000A5D99" w14:paraId="3CFB3364" w14:textId="77777777" w:rsidTr="000D79D6">
        <w:trPr>
          <w:trHeight w:val="1379"/>
        </w:trPr>
        <w:tc>
          <w:tcPr>
            <w:tcW w:w="186" w:type="pct"/>
            <w:vAlign w:val="center"/>
          </w:tcPr>
          <w:p w14:paraId="2476D86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890" w:type="pct"/>
            <w:vAlign w:val="center"/>
          </w:tcPr>
          <w:p w14:paraId="7E58DB8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tankı kapısının emniyet kilidi ile donatılması</w:t>
            </w:r>
          </w:p>
        </w:tc>
        <w:tc>
          <w:tcPr>
            <w:tcW w:w="2924" w:type="pct"/>
            <w:vAlign w:val="center"/>
          </w:tcPr>
          <w:p w14:paraId="31EBC54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Acil bir durumda (örneğin, kapı fitilinin kırılması) işlem tankının kapısının açılması gerektiğinde, işlem tankının kapısı sıvıların dışarı çıkmasını önlemek için bir emniyet kilidi ile teçhiz edilmiştir. Emniyet kilidi, sıvıları tutarken basıncı serbest bırakmak için kapının kısmen açılmasına izin verir.</w:t>
            </w:r>
          </w:p>
        </w:tc>
      </w:tr>
      <w:tr w:rsidR="003B155E" w:rsidRPr="000A5D99" w14:paraId="33DEA5E8" w14:textId="77777777" w:rsidTr="000D79D6">
        <w:trPr>
          <w:trHeight w:val="566"/>
        </w:trPr>
        <w:tc>
          <w:tcPr>
            <w:tcW w:w="186" w:type="pct"/>
            <w:vAlign w:val="center"/>
          </w:tcPr>
          <w:p w14:paraId="0BEF68E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890" w:type="pct"/>
            <w:vAlign w:val="center"/>
          </w:tcPr>
          <w:p w14:paraId="7A9957F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Emniyet tahliye vanalarının kullanımı ve bakımı</w:t>
            </w:r>
          </w:p>
        </w:tc>
        <w:tc>
          <w:tcPr>
            <w:tcW w:w="2924" w:type="pct"/>
            <w:vAlign w:val="center"/>
          </w:tcPr>
          <w:p w14:paraId="67D1637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tankları, tankları aşırı basınçtan korumak için emniyet tahliye vanaları ile teçhiz edilmiştir.</w:t>
            </w:r>
          </w:p>
          <w:p w14:paraId="66E1D56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Valflerin tahliyesi, yeterli kapasiteye sahip bir tanka yönlendirilir.</w:t>
            </w:r>
          </w:p>
          <w:p w14:paraId="00C5807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Emniyet tahliye vanaları düzenli olarak (örneğin her 6 ayda bir) korozyon, kirlenme veya yanlış montaj belirtileri açısından incelenir ve gerektiğinde temizlenir ve/veya onarılır.</w:t>
            </w:r>
          </w:p>
        </w:tc>
      </w:tr>
      <w:tr w:rsidR="003B155E" w:rsidRPr="000A5D99" w14:paraId="289C0FA5" w14:textId="77777777" w:rsidTr="000D79D6">
        <w:trPr>
          <w:trHeight w:val="689"/>
        </w:trPr>
        <w:tc>
          <w:tcPr>
            <w:tcW w:w="186" w:type="pct"/>
            <w:vAlign w:val="center"/>
          </w:tcPr>
          <w:p w14:paraId="7F8F8A1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890" w:type="pct"/>
            <w:vAlign w:val="center"/>
          </w:tcPr>
          <w:p w14:paraId="40B1DE1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Vakum pompası çıkış gazından havaya emisyonların kontrolü</w:t>
            </w:r>
          </w:p>
        </w:tc>
        <w:tc>
          <w:tcPr>
            <w:tcW w:w="2924" w:type="pct"/>
            <w:vAlign w:val="center"/>
          </w:tcPr>
          <w:p w14:paraId="02A254C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Basınçlı işlem tanklarından (vakum pompası çıkışından) çıkan hava arıtılır (örneğin, bir buhar-sıvı ayırıcı kullanılarak).</w:t>
            </w:r>
          </w:p>
        </w:tc>
      </w:tr>
      <w:tr w:rsidR="003B155E" w:rsidRPr="000A5D99" w14:paraId="7742D29A" w14:textId="77777777" w:rsidTr="000D79D6">
        <w:trPr>
          <w:trHeight w:val="689"/>
        </w:trPr>
        <w:tc>
          <w:tcPr>
            <w:tcW w:w="186" w:type="pct"/>
            <w:vAlign w:val="center"/>
          </w:tcPr>
          <w:p w14:paraId="0610F84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890" w:type="pct"/>
            <w:vAlign w:val="center"/>
          </w:tcPr>
          <w:p w14:paraId="541068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tankının açılması sırasında hava emisyonlarının azaltılması</w:t>
            </w:r>
          </w:p>
        </w:tc>
        <w:tc>
          <w:tcPr>
            <w:tcW w:w="2924" w:type="pct"/>
            <w:vAlign w:val="center"/>
          </w:tcPr>
          <w:p w14:paraId="1482C1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Basınçsızlaştırma süresi ile işlem tankının açılması arasında damlama ve yoğuşma için yeterli zaman bırakılır.</w:t>
            </w:r>
          </w:p>
        </w:tc>
      </w:tr>
      <w:tr w:rsidR="003B155E" w:rsidRPr="000A5D99" w14:paraId="3D6CC290" w14:textId="77777777" w:rsidTr="000D79D6">
        <w:trPr>
          <w:trHeight w:val="1610"/>
        </w:trPr>
        <w:tc>
          <w:tcPr>
            <w:tcW w:w="186" w:type="pct"/>
            <w:vAlign w:val="center"/>
          </w:tcPr>
          <w:p w14:paraId="599648A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w:t>
            </w:r>
          </w:p>
        </w:tc>
        <w:tc>
          <w:tcPr>
            <w:tcW w:w="1890" w:type="pct"/>
            <w:vAlign w:val="center"/>
          </w:tcPr>
          <w:p w14:paraId="756DAE9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görmüş ahşabın yüzeyinden fazla işlem kimyasallarını uzaklaştırmak için son vakum uygulaması</w:t>
            </w:r>
          </w:p>
        </w:tc>
        <w:tc>
          <w:tcPr>
            <w:tcW w:w="2924" w:type="pct"/>
            <w:vAlign w:val="center"/>
          </w:tcPr>
          <w:p w14:paraId="0BCFD01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Damlamayı önlemek için, işlem görmüş ahşabın yüzeyinden fazla işlem kimyasallarını uzaklaştırmak için işlem tankı açılmadan önce son bir vakum uygulanır.</w:t>
            </w:r>
          </w:p>
          <w:p w14:paraId="3E6ED84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görmüş ahşabın yüzeyinden fazla işlem kimyasallarının uzaklaştırılması uygun bir başlangıç vakumu (örneğin, 50 mbar'dan daha az) uygulanarak sağlanıyorsa, son bir vakum uygulaması gerekli olmayabilir.</w:t>
            </w:r>
          </w:p>
        </w:tc>
      </w:tr>
    </w:tbl>
    <w:p w14:paraId="1070D7D2" w14:textId="77777777" w:rsidR="003B155E" w:rsidRPr="000A5D99" w:rsidRDefault="003B155E" w:rsidP="003B155E">
      <w:pPr>
        <w:spacing w:before="240" w:after="0" w:line="360" w:lineRule="auto"/>
        <w:jc w:val="both"/>
        <w:rPr>
          <w:rFonts w:ascii="Times New Roman" w:eastAsia="Calibri" w:hAnsi="Times New Roman" w:cs="Calibri"/>
          <w:sz w:val="24"/>
        </w:rPr>
      </w:pPr>
      <w:r w:rsidRPr="000A5D99">
        <w:rPr>
          <w:rFonts w:ascii="Times New Roman" w:eastAsia="Calibri" w:hAnsi="Times New Roman" w:cs="Calibri"/>
          <w:b/>
          <w:bCs/>
          <w:sz w:val="24"/>
        </w:rPr>
        <w:t xml:space="preserve">MET 39: </w:t>
      </w:r>
      <w:r w:rsidRPr="000A5D99">
        <w:rPr>
          <w:rFonts w:ascii="Times New Roman" w:eastAsia="Calibri" w:hAnsi="Times New Roman" w:cs="Calibri"/>
          <w:sz w:val="24"/>
        </w:rPr>
        <w:t>Basınç proseslerinde (otoklavlar) enerji tüketimini azaltmak için değişken pompa kontrolü kullanılır.</w:t>
      </w:r>
    </w:p>
    <w:p w14:paraId="54144E08" w14:textId="77777777" w:rsidR="003B155E" w:rsidRPr="000A5D99" w:rsidRDefault="003B155E" w:rsidP="003B155E">
      <w:pPr>
        <w:spacing w:before="240" w:after="0" w:line="360" w:lineRule="auto"/>
        <w:jc w:val="both"/>
        <w:rPr>
          <w:rFonts w:ascii="Times New Roman" w:eastAsia="Calibri" w:hAnsi="Times New Roman" w:cs="Calibri"/>
          <w:sz w:val="24"/>
        </w:rPr>
      </w:pPr>
      <w:r w:rsidRPr="000A5D99">
        <w:rPr>
          <w:rFonts w:ascii="Times New Roman" w:eastAsia="Calibri" w:hAnsi="Times New Roman" w:cs="Calibri"/>
          <w:sz w:val="24"/>
        </w:rPr>
        <w:lastRenderedPageBreak/>
        <w:t>Gerekli çalışma basıncına ulaşıldıktan sonra işleme sistemi, gücü ve enerji tüketimi azaltılmış bir pompaya geçer.</w:t>
      </w:r>
    </w:p>
    <w:p w14:paraId="2A027255" w14:textId="77777777" w:rsidR="003B155E" w:rsidRPr="000A5D99" w:rsidRDefault="003B155E" w:rsidP="003B155E">
      <w:pPr>
        <w:keepNext/>
        <w:keepLines/>
        <w:numPr>
          <w:ilvl w:val="1"/>
          <w:numId w:val="192"/>
        </w:numPr>
        <w:spacing w:before="240" w:after="120" w:line="360" w:lineRule="auto"/>
        <w:jc w:val="both"/>
        <w:outlineLvl w:val="2"/>
        <w:rPr>
          <w:rFonts w:ascii="Times New Roman" w:eastAsia="DengXian Light" w:hAnsi="Times New Roman" w:cs="Microsoft Uighur"/>
          <w:b/>
          <w:sz w:val="24"/>
          <w:szCs w:val="24"/>
          <w:lang w:val="es-ES"/>
        </w:rPr>
      </w:pPr>
      <w:bookmarkStart w:id="113" w:name="_Toc137210513"/>
      <w:r w:rsidRPr="000A5D99">
        <w:rPr>
          <w:rFonts w:ascii="Times New Roman" w:eastAsia="DengXian Light" w:hAnsi="Times New Roman" w:cs="Microsoft Uighur"/>
          <w:b/>
          <w:sz w:val="24"/>
          <w:szCs w:val="24"/>
          <w:lang w:val="es-ES"/>
        </w:rPr>
        <w:t>İşlem Sonrası Koşullandırma ve Ara Depolama</w:t>
      </w:r>
      <w:bookmarkEnd w:id="113"/>
    </w:p>
    <w:p w14:paraId="3AE8F029"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40: </w:t>
      </w:r>
      <w:r w:rsidRPr="000A5D99">
        <w:rPr>
          <w:rFonts w:ascii="Times New Roman" w:eastAsia="Calibri" w:hAnsi="Times New Roman" w:cs="Calibri"/>
          <w:sz w:val="24"/>
          <w:lang w:val="es-ES"/>
        </w:rPr>
        <w:t>Taze işlenmiş ahşabın ara depolanmasından kaynaklanan toprak veya yeraltı suyunun kirlenmesini önlemek veya azaltmak için, işlemden sonra yeterli damlama süresine izin verilir ve işlenmiş ahşap yalnızca kuru kabul edildikten sonra kapalı/setle çevrelenmiş alandan çıkarılır.</w:t>
      </w:r>
    </w:p>
    <w:p w14:paraId="15522119"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sz w:val="24"/>
          <w:lang w:val="es-ES"/>
        </w:rPr>
        <w:t xml:space="preserve">Fazla işleme kimyasallarının işlem kabına geri damlamasını sağlamak için işlenmiş ahşap/ahşap grupları, işlemden sonra ve başka bir yere transfer edilmeden önce kontrol altına alınmış/etrafı çevrili alanda (örneğin, işlem tankının üzerinde veya bir damlama pedi üzerinde) yeterli bir süre tutulur. Daha sonra, işlem sonrası kurutma alanından ayrılmadan önce, işlenmiş ahşap/ahşap grupları, örneğin mekanik araçlarla, kaldırılır ve en az 5 dakika süreyle askıya alınır. </w:t>
      </w:r>
      <w:r w:rsidRPr="000A5D99">
        <w:rPr>
          <w:rFonts w:ascii="Times New Roman" w:eastAsia="Calibri" w:hAnsi="Times New Roman" w:cs="Calibri"/>
          <w:sz w:val="24"/>
          <w:lang w:val="en-US"/>
        </w:rPr>
        <w:t>İşlem solüsyonu damlamıyorsa, ahşap kuru kabul edilir.</w:t>
      </w:r>
    </w:p>
    <w:p w14:paraId="0ACC8B82" w14:textId="77777777" w:rsidR="003B155E" w:rsidRPr="000A5D99" w:rsidRDefault="003B155E" w:rsidP="003B155E">
      <w:pPr>
        <w:keepNext/>
        <w:keepLines/>
        <w:numPr>
          <w:ilvl w:val="1"/>
          <w:numId w:val="192"/>
        </w:numPr>
        <w:spacing w:before="240" w:after="120" w:line="360" w:lineRule="auto"/>
        <w:jc w:val="both"/>
        <w:outlineLvl w:val="2"/>
        <w:rPr>
          <w:rFonts w:ascii="Times New Roman" w:eastAsia="DengXian Light" w:hAnsi="Times New Roman" w:cs="Microsoft Uighur"/>
          <w:b/>
          <w:sz w:val="24"/>
          <w:szCs w:val="24"/>
          <w:lang w:val="en-US"/>
        </w:rPr>
      </w:pPr>
      <w:bookmarkStart w:id="114" w:name="_Toc137210514"/>
      <w:r w:rsidRPr="000A5D99">
        <w:rPr>
          <w:rFonts w:ascii="Times New Roman" w:eastAsia="DengXian Light" w:hAnsi="Times New Roman" w:cs="Microsoft Uighur"/>
          <w:b/>
          <w:sz w:val="24"/>
          <w:szCs w:val="24"/>
          <w:lang w:val="en-US"/>
        </w:rPr>
        <w:t>Atık Yönetimi</w:t>
      </w:r>
      <w:bookmarkEnd w:id="114"/>
    </w:p>
    <w:p w14:paraId="6410C261"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41: </w:t>
      </w:r>
      <w:r w:rsidRPr="000A5D99">
        <w:rPr>
          <w:rFonts w:ascii="Times New Roman" w:eastAsia="Calibri" w:hAnsi="Times New Roman" w:cs="Calibri"/>
          <w:sz w:val="24"/>
          <w:lang w:val="en-US"/>
        </w:rPr>
        <w:t>Bertaraf edilmek üzere gönderilen atıkların, özellikle tehlikeli atıkların miktarını azaltmak için aşağıda verilen (a) ve (b) teknikleri ve (c) ve (d) tekniklerinden biri veya her ikisi birden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3328"/>
        <w:gridCol w:w="5455"/>
      </w:tblGrid>
      <w:tr w:rsidR="003B155E" w:rsidRPr="000A5D99" w14:paraId="1DC09C5E" w14:textId="77777777" w:rsidTr="000D79D6">
        <w:trPr>
          <w:trHeight w:val="230"/>
          <w:tblHeader/>
        </w:trPr>
        <w:tc>
          <w:tcPr>
            <w:tcW w:w="154" w:type="pct"/>
            <w:tcBorders>
              <w:right w:val="single" w:sz="4" w:space="0" w:color="auto"/>
            </w:tcBorders>
            <w:vAlign w:val="center"/>
          </w:tcPr>
          <w:p w14:paraId="71FE005E"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836" w:type="pct"/>
            <w:tcBorders>
              <w:left w:val="single" w:sz="4" w:space="0" w:color="auto"/>
            </w:tcBorders>
            <w:vAlign w:val="center"/>
          </w:tcPr>
          <w:p w14:paraId="3860FD0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010" w:type="pct"/>
            <w:vAlign w:val="center"/>
          </w:tcPr>
          <w:p w14:paraId="7BD7B82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r>
      <w:tr w:rsidR="003B155E" w:rsidRPr="000A5D99" w14:paraId="2B39F133" w14:textId="77777777" w:rsidTr="000D79D6">
        <w:trPr>
          <w:trHeight w:val="460"/>
        </w:trPr>
        <w:tc>
          <w:tcPr>
            <w:tcW w:w="154" w:type="pct"/>
            <w:tcBorders>
              <w:right w:val="single" w:sz="4" w:space="0" w:color="auto"/>
            </w:tcBorders>
            <w:vAlign w:val="center"/>
          </w:tcPr>
          <w:p w14:paraId="013B80B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836" w:type="pct"/>
            <w:tcBorders>
              <w:left w:val="single" w:sz="4" w:space="0" w:color="auto"/>
            </w:tcBorders>
            <w:vAlign w:val="center"/>
          </w:tcPr>
          <w:p w14:paraId="62C5B9A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İşlemden önce </w:t>
            </w:r>
            <w:r w:rsidR="00F36AA3">
              <w:rPr>
                <w:rFonts w:ascii="Times New Roman" w:eastAsia="Times New Roman" w:hAnsi="Times New Roman" w:cs="Times New Roman"/>
              </w:rPr>
              <w:t>atıkların uzaklaştırılması</w:t>
            </w:r>
          </w:p>
        </w:tc>
        <w:tc>
          <w:tcPr>
            <w:tcW w:w="3010" w:type="pct"/>
            <w:vAlign w:val="center"/>
          </w:tcPr>
          <w:p w14:paraId="56703F5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İşlemden önce ahşabın/ahşap ürünlerin yüzeyindeki </w:t>
            </w:r>
            <w:r w:rsidR="00F36AA3">
              <w:rPr>
                <w:rFonts w:ascii="Times New Roman" w:eastAsia="Times New Roman" w:hAnsi="Times New Roman" w:cs="Times New Roman"/>
              </w:rPr>
              <w:t>atıklar</w:t>
            </w:r>
            <w:r w:rsidRPr="000A5D99">
              <w:rPr>
                <w:rFonts w:ascii="Times New Roman" w:eastAsia="Times New Roman" w:hAnsi="Times New Roman" w:cs="Times New Roman"/>
              </w:rPr>
              <w:t xml:space="preserve"> (ör. bıçkı tozu, talaş) temizlenir.</w:t>
            </w:r>
          </w:p>
        </w:tc>
      </w:tr>
      <w:tr w:rsidR="003B155E" w:rsidRPr="000A5D99" w14:paraId="184DE39D" w14:textId="77777777" w:rsidTr="000D79D6">
        <w:trPr>
          <w:trHeight w:val="689"/>
        </w:trPr>
        <w:tc>
          <w:tcPr>
            <w:tcW w:w="154" w:type="pct"/>
            <w:vAlign w:val="center"/>
          </w:tcPr>
          <w:p w14:paraId="68E7052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836" w:type="pct"/>
            <w:vAlign w:val="center"/>
          </w:tcPr>
          <w:p w14:paraId="01BD518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Mumlar ve yağların geri kazanımı ve yeniden kullanımı</w:t>
            </w:r>
          </w:p>
        </w:tc>
        <w:tc>
          <w:tcPr>
            <w:tcW w:w="3010" w:type="pct"/>
            <w:vAlign w:val="center"/>
          </w:tcPr>
          <w:p w14:paraId="56EE8AC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Emprenye için mumlar veya yağlar kullanıldığında, emprenye işleminden elde edilen fazla mumlar veya yağlar geri kazanılır ve yeniden kullanılır.</w:t>
            </w:r>
          </w:p>
        </w:tc>
      </w:tr>
      <w:tr w:rsidR="003B155E" w:rsidRPr="000A5D99" w14:paraId="1CDAFB7E" w14:textId="77777777" w:rsidTr="000D79D6">
        <w:trPr>
          <w:trHeight w:val="459"/>
        </w:trPr>
        <w:tc>
          <w:tcPr>
            <w:tcW w:w="154" w:type="pct"/>
            <w:vAlign w:val="center"/>
          </w:tcPr>
          <w:p w14:paraId="7F21ABD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836" w:type="pct"/>
            <w:vAlign w:val="center"/>
          </w:tcPr>
          <w:p w14:paraId="49C94A1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 kimyasallarının toplu teslimatı</w:t>
            </w:r>
          </w:p>
        </w:tc>
        <w:tc>
          <w:tcPr>
            <w:tcW w:w="3010" w:type="pct"/>
            <w:vAlign w:val="center"/>
          </w:tcPr>
          <w:p w14:paraId="4A2C343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Ambalaj miktarını azaltmak için işleme kimyasalları tanklarda teslim edilir.</w:t>
            </w:r>
          </w:p>
        </w:tc>
      </w:tr>
      <w:tr w:rsidR="003B155E" w:rsidRPr="000A5D99" w14:paraId="322059CF" w14:textId="77777777" w:rsidTr="000D79D6">
        <w:trPr>
          <w:trHeight w:val="690"/>
        </w:trPr>
        <w:tc>
          <w:tcPr>
            <w:tcW w:w="154" w:type="pct"/>
            <w:vAlign w:val="center"/>
          </w:tcPr>
          <w:p w14:paraId="17EED36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836" w:type="pct"/>
            <w:vAlign w:val="center"/>
          </w:tcPr>
          <w:p w14:paraId="403042C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Yeniden kullanılabilir konteynerlerin kullanımı</w:t>
            </w:r>
          </w:p>
        </w:tc>
        <w:tc>
          <w:tcPr>
            <w:tcW w:w="3010" w:type="pct"/>
            <w:vAlign w:val="center"/>
          </w:tcPr>
          <w:p w14:paraId="167F710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 için kullanılan yeniden kullanılabilir konteynerler (örneğin, ara yığın konteynerleri), yeniden kullanım için tedarikçiye iade edilir.</w:t>
            </w:r>
          </w:p>
        </w:tc>
      </w:tr>
    </w:tbl>
    <w:p w14:paraId="1E22377D" w14:textId="77777777" w:rsidR="003B155E" w:rsidRPr="000A5D99" w:rsidRDefault="003B155E" w:rsidP="003B155E">
      <w:pPr>
        <w:spacing w:before="240" w:after="0" w:line="360" w:lineRule="auto"/>
        <w:jc w:val="both"/>
        <w:rPr>
          <w:rFonts w:ascii="Times New Roman" w:eastAsia="Calibri" w:hAnsi="Times New Roman" w:cs="Calibri"/>
          <w:sz w:val="24"/>
        </w:rPr>
      </w:pPr>
      <w:r w:rsidRPr="000A5D99">
        <w:rPr>
          <w:rFonts w:ascii="Times New Roman" w:eastAsia="Calibri" w:hAnsi="Times New Roman" w:cs="Calibri"/>
          <w:b/>
          <w:bCs/>
          <w:sz w:val="24"/>
        </w:rPr>
        <w:t xml:space="preserve">MET 42: </w:t>
      </w:r>
      <w:r w:rsidRPr="000A5D99">
        <w:rPr>
          <w:rFonts w:ascii="Times New Roman" w:eastAsia="Calibri" w:hAnsi="Times New Roman" w:cs="Calibri"/>
          <w:sz w:val="24"/>
        </w:rPr>
        <w:t>Atık yönetimiyle ilgili çevresel riski azaltmak için, atıklar uygun konteynerlerde veya sızdırmaz yüzeylerde depola</w:t>
      </w:r>
      <w:r w:rsidR="00F36AA3">
        <w:rPr>
          <w:rFonts w:ascii="Times New Roman" w:eastAsia="Calibri" w:hAnsi="Times New Roman" w:cs="Calibri"/>
          <w:sz w:val="24"/>
        </w:rPr>
        <w:t>nması</w:t>
      </w:r>
      <w:r w:rsidRPr="000A5D99">
        <w:rPr>
          <w:rFonts w:ascii="Times New Roman" w:eastAsia="Calibri" w:hAnsi="Times New Roman" w:cs="Calibri"/>
          <w:sz w:val="24"/>
        </w:rPr>
        <w:t xml:space="preserve"> ve tehlikeli atıklar belirlenmiş, hava koşullarına karşı korumalı ve çevrelenmiş bir alanda ayrı olarak tutulur.</w:t>
      </w:r>
    </w:p>
    <w:p w14:paraId="21B76F5C" w14:textId="77777777" w:rsidR="003B155E" w:rsidRPr="000A5D99" w:rsidRDefault="003B155E" w:rsidP="003B155E">
      <w:pPr>
        <w:keepNext/>
        <w:keepLines/>
        <w:spacing w:before="240" w:after="120" w:line="360" w:lineRule="auto"/>
        <w:jc w:val="both"/>
        <w:outlineLvl w:val="2"/>
        <w:rPr>
          <w:rFonts w:ascii="Times New Roman" w:eastAsia="DengXian Light" w:hAnsi="Times New Roman" w:cs="Microsoft Uighur"/>
          <w:b/>
          <w:sz w:val="24"/>
          <w:szCs w:val="24"/>
          <w:lang w:val="en-US"/>
        </w:rPr>
      </w:pPr>
      <w:bookmarkStart w:id="115" w:name="_Toc137210515"/>
      <w:r w:rsidRPr="000A5D99">
        <w:rPr>
          <w:rFonts w:ascii="Times New Roman" w:eastAsia="DengXian Light" w:hAnsi="Times New Roman" w:cs="Microsoft Uighur"/>
          <w:b/>
          <w:sz w:val="24"/>
          <w:szCs w:val="24"/>
          <w:lang w:val="en-US"/>
        </w:rPr>
        <w:lastRenderedPageBreak/>
        <w:t>İzleme</w:t>
      </w:r>
      <w:bookmarkEnd w:id="115"/>
    </w:p>
    <w:p w14:paraId="1537D1B3" w14:textId="77777777" w:rsidR="003B155E" w:rsidRPr="000A5D99" w:rsidRDefault="003B155E" w:rsidP="003B155E">
      <w:pPr>
        <w:keepNext/>
        <w:spacing w:before="240" w:after="120" w:line="360" w:lineRule="auto"/>
        <w:ind w:left="794"/>
        <w:jc w:val="both"/>
        <w:outlineLvl w:val="3"/>
        <w:rPr>
          <w:rFonts w:ascii="Times New Roman" w:eastAsia="Calibri" w:hAnsi="Times New Roman" w:cs="Calibri"/>
          <w:b/>
          <w:bCs/>
          <w:sz w:val="24"/>
          <w:szCs w:val="28"/>
          <w:lang w:val="en-US"/>
        </w:rPr>
      </w:pPr>
      <w:bookmarkStart w:id="116" w:name="_Toc137210516"/>
      <w:r w:rsidRPr="000A5D99">
        <w:rPr>
          <w:rFonts w:ascii="Times New Roman" w:eastAsia="Calibri" w:hAnsi="Times New Roman" w:cs="Calibri"/>
          <w:b/>
          <w:bCs/>
          <w:sz w:val="24"/>
          <w:szCs w:val="28"/>
          <w:lang w:val="en-US"/>
        </w:rPr>
        <w:t>Suya Emisyonlar</w:t>
      </w:r>
      <w:bookmarkEnd w:id="116"/>
    </w:p>
    <w:p w14:paraId="19747920"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43: </w:t>
      </w:r>
      <w:r w:rsidRPr="000A5D99">
        <w:rPr>
          <w:rFonts w:ascii="Times New Roman" w:eastAsia="Calibri" w:hAnsi="Times New Roman" w:cs="Calibri"/>
          <w:sz w:val="24"/>
          <w:lang w:val="en-US"/>
        </w:rPr>
        <w:t>Atık sudaki ve potansiyel olarak kontamine olmuş yüzey akış suyundaki kirleticiler, TS EN standartlarına uygun olarak her parti deşarjından önce izlenir. TS EN standartları mevcut değilse, MET kapsamında eşdeğer bilimsel kalitede verilerin sağlanmasını sağlayan ISO standartları, ulusal veya diğer uluslararası standartlar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56"/>
        <w:gridCol w:w="6706"/>
      </w:tblGrid>
      <w:tr w:rsidR="003B155E" w:rsidRPr="000A5D99" w14:paraId="065EC455" w14:textId="77777777" w:rsidTr="000D79D6">
        <w:trPr>
          <w:trHeight w:val="228"/>
          <w:tblHeader/>
        </w:trPr>
        <w:tc>
          <w:tcPr>
            <w:tcW w:w="1300" w:type="pct"/>
            <w:vAlign w:val="center"/>
          </w:tcPr>
          <w:p w14:paraId="245783D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Madde/Parametre</w:t>
            </w:r>
          </w:p>
        </w:tc>
        <w:tc>
          <w:tcPr>
            <w:tcW w:w="3700" w:type="pct"/>
            <w:vAlign w:val="center"/>
          </w:tcPr>
          <w:p w14:paraId="4C697FF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Standart(lar)</w:t>
            </w:r>
          </w:p>
        </w:tc>
      </w:tr>
      <w:tr w:rsidR="003B155E" w:rsidRPr="000A5D99" w14:paraId="23246B81" w14:textId="77777777" w:rsidTr="000D79D6">
        <w:trPr>
          <w:trHeight w:val="460"/>
        </w:trPr>
        <w:tc>
          <w:tcPr>
            <w:tcW w:w="1300" w:type="pct"/>
            <w:vAlign w:val="center"/>
          </w:tcPr>
          <w:p w14:paraId="7C9E9AA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Biyositler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p>
        </w:tc>
        <w:tc>
          <w:tcPr>
            <w:tcW w:w="3700" w:type="pct"/>
            <w:vAlign w:val="center"/>
          </w:tcPr>
          <w:p w14:paraId="6BA13969"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rPr>
            </w:pPr>
            <w:r w:rsidRPr="000A5D99">
              <w:rPr>
                <w:rFonts w:ascii="Times New Roman" w:eastAsia="Times New Roman" w:hAnsi="Times New Roman" w:cs="Times New Roman"/>
              </w:rPr>
              <w:t>TS EN 113-1</w:t>
            </w:r>
          </w:p>
        </w:tc>
      </w:tr>
      <w:tr w:rsidR="003B155E" w:rsidRPr="000A5D99" w14:paraId="289A58C8" w14:textId="77777777" w:rsidTr="000D79D6">
        <w:trPr>
          <w:trHeight w:val="460"/>
        </w:trPr>
        <w:tc>
          <w:tcPr>
            <w:tcW w:w="1300" w:type="pct"/>
            <w:vAlign w:val="center"/>
          </w:tcPr>
          <w:p w14:paraId="473CFF2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Cu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c>
          <w:tcPr>
            <w:tcW w:w="3700" w:type="pct"/>
            <w:vAlign w:val="center"/>
          </w:tcPr>
          <w:p w14:paraId="0A15DD2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Çeşitli TS EN standartları mevcuttur</w:t>
            </w:r>
          </w:p>
          <w:p w14:paraId="03D1F46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(örneğin, TS EN ISO 11885, TS EN ISO 17294-2, TS EN ISO 15586)</w:t>
            </w:r>
          </w:p>
        </w:tc>
      </w:tr>
      <w:tr w:rsidR="003B155E" w:rsidRPr="000A5D99" w14:paraId="04B600DD" w14:textId="77777777" w:rsidTr="000D79D6">
        <w:trPr>
          <w:trHeight w:val="459"/>
        </w:trPr>
        <w:tc>
          <w:tcPr>
            <w:tcW w:w="1300" w:type="pct"/>
            <w:vAlign w:val="center"/>
          </w:tcPr>
          <w:p w14:paraId="444CB51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Solventler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3700" w:type="pct"/>
            <w:vAlign w:val="center"/>
          </w:tcPr>
          <w:p w14:paraId="4DCB20CC" w14:textId="77777777" w:rsidR="003B155E" w:rsidRPr="000A5D99" w:rsidRDefault="003B155E" w:rsidP="000D79D6">
            <w:pPr>
              <w:widowControl w:val="0"/>
              <w:autoSpaceDE w:val="0"/>
              <w:autoSpaceDN w:val="0"/>
              <w:spacing w:after="0" w:line="240" w:lineRule="auto"/>
              <w:ind w:left="896" w:right="74" w:hanging="822"/>
              <w:jc w:val="center"/>
              <w:rPr>
                <w:rFonts w:ascii="Times New Roman" w:eastAsia="Times New Roman" w:hAnsi="Times New Roman" w:cs="Times New Roman"/>
              </w:rPr>
            </w:pPr>
            <w:r w:rsidRPr="000A5D99">
              <w:rPr>
                <w:rFonts w:ascii="Times New Roman" w:eastAsia="Times New Roman" w:hAnsi="Times New Roman" w:cs="Times New Roman"/>
              </w:rPr>
              <w:t>Bazı solventler için mevcut EN standartları (örneğin, TS EN ISO 15680)</w:t>
            </w:r>
          </w:p>
        </w:tc>
      </w:tr>
      <w:tr w:rsidR="003B155E" w:rsidRPr="000A5D99" w14:paraId="7C3BF155" w14:textId="77777777" w:rsidTr="000D79D6">
        <w:trPr>
          <w:trHeight w:val="229"/>
        </w:trPr>
        <w:tc>
          <w:tcPr>
            <w:tcW w:w="1300" w:type="pct"/>
            <w:vAlign w:val="center"/>
          </w:tcPr>
          <w:p w14:paraId="554BCE1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PAH'lar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p>
        </w:tc>
        <w:tc>
          <w:tcPr>
            <w:tcW w:w="3700" w:type="pct"/>
            <w:vAlign w:val="center"/>
          </w:tcPr>
          <w:p w14:paraId="582E1DD9"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17993</w:t>
            </w:r>
          </w:p>
        </w:tc>
      </w:tr>
      <w:tr w:rsidR="003B155E" w:rsidRPr="000A5D99" w14:paraId="3C926BFD" w14:textId="77777777" w:rsidTr="000D79D6">
        <w:trPr>
          <w:trHeight w:val="230"/>
        </w:trPr>
        <w:tc>
          <w:tcPr>
            <w:tcW w:w="1300" w:type="pct"/>
            <w:vAlign w:val="center"/>
          </w:tcPr>
          <w:p w14:paraId="22A6527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Benzo[</w:t>
            </w:r>
            <w:r w:rsidRPr="000A5D99">
              <w:rPr>
                <w:rFonts w:ascii="Times New Roman" w:eastAsia="Times New Roman" w:hAnsi="Times New Roman" w:cs="Times New Roman"/>
                <w:i/>
              </w:rPr>
              <w:t>a</w:t>
            </w:r>
            <w:r w:rsidRPr="000A5D99">
              <w:rPr>
                <w:rFonts w:ascii="Times New Roman" w:eastAsia="Times New Roman" w:hAnsi="Times New Roman" w:cs="Times New Roman"/>
              </w:rPr>
              <w:t>]piren (</w:t>
            </w:r>
            <w:r w:rsidRPr="000A5D99">
              <w:rPr>
                <w:rFonts w:ascii="Times New Roman" w:eastAsia="Times New Roman" w:hAnsi="Times New Roman" w:cs="Times New Roman"/>
                <w:vertAlign w:val="superscript"/>
              </w:rPr>
              <w:t>4</w:t>
            </w:r>
            <w:r w:rsidRPr="000A5D99">
              <w:rPr>
                <w:rFonts w:ascii="Times New Roman" w:eastAsia="Times New Roman" w:hAnsi="Times New Roman" w:cs="Times New Roman"/>
              </w:rPr>
              <w:t>)</w:t>
            </w:r>
          </w:p>
        </w:tc>
        <w:tc>
          <w:tcPr>
            <w:tcW w:w="3700" w:type="pct"/>
            <w:vAlign w:val="center"/>
          </w:tcPr>
          <w:p w14:paraId="61B6CAE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17993</w:t>
            </w:r>
          </w:p>
        </w:tc>
      </w:tr>
      <w:tr w:rsidR="003B155E" w:rsidRPr="000A5D99" w14:paraId="725A1355" w14:textId="77777777" w:rsidTr="000D79D6">
        <w:trPr>
          <w:trHeight w:val="230"/>
        </w:trPr>
        <w:tc>
          <w:tcPr>
            <w:tcW w:w="1300" w:type="pct"/>
            <w:vAlign w:val="center"/>
          </w:tcPr>
          <w:p w14:paraId="5845969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Hidrokarbon yağ indeksi (HOI)</w:t>
            </w:r>
          </w:p>
        </w:tc>
        <w:tc>
          <w:tcPr>
            <w:tcW w:w="3700" w:type="pct"/>
            <w:vAlign w:val="center"/>
          </w:tcPr>
          <w:p w14:paraId="00AFC66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9377-2</w:t>
            </w:r>
          </w:p>
        </w:tc>
      </w:tr>
      <w:tr w:rsidR="003B155E" w:rsidRPr="000A5D99" w14:paraId="30DC98D7" w14:textId="77777777" w:rsidTr="000D79D6">
        <w:trPr>
          <w:trHeight w:val="1242"/>
        </w:trPr>
        <w:tc>
          <w:tcPr>
            <w:tcW w:w="5000" w:type="pct"/>
            <w:gridSpan w:val="2"/>
            <w:vAlign w:val="center"/>
          </w:tcPr>
          <w:p w14:paraId="04A4A882" w14:textId="77777777" w:rsidR="003B155E" w:rsidRPr="0082590D" w:rsidRDefault="003B155E" w:rsidP="003B155E">
            <w:pPr>
              <w:widowControl w:val="0"/>
              <w:numPr>
                <w:ilvl w:val="0"/>
                <w:numId w:val="147"/>
              </w:numPr>
              <w:tabs>
                <w:tab w:val="left" w:pos="288"/>
              </w:tabs>
              <w:autoSpaceDE w:val="0"/>
              <w:autoSpaceDN w:val="0"/>
              <w:spacing w:after="0" w:line="240" w:lineRule="auto"/>
              <w:ind w:left="330" w:right="74" w:hanging="25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Proseste kullanılan biyosidal ürünlerin bileşimine bağlı olarak belirli maddeler izlenir.</w:t>
            </w:r>
          </w:p>
          <w:p w14:paraId="3BE12F36" w14:textId="77777777" w:rsidR="003B155E" w:rsidRPr="0082590D" w:rsidRDefault="003B155E" w:rsidP="003B155E">
            <w:pPr>
              <w:widowControl w:val="0"/>
              <w:numPr>
                <w:ilvl w:val="0"/>
                <w:numId w:val="147"/>
              </w:numPr>
              <w:tabs>
                <w:tab w:val="left" w:pos="253"/>
              </w:tabs>
              <w:autoSpaceDE w:val="0"/>
              <w:autoSpaceDN w:val="0"/>
              <w:spacing w:after="0" w:line="240" w:lineRule="auto"/>
              <w:ind w:left="300" w:right="74" w:hanging="22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İzleme, yalnızca işlemde bakır bileşikleri kullanılıyorsa geçerlidir.</w:t>
            </w:r>
          </w:p>
          <w:p w14:paraId="48DCF5FF" w14:textId="77777777" w:rsidR="003B155E" w:rsidRPr="0082590D" w:rsidRDefault="003B155E" w:rsidP="003B155E">
            <w:pPr>
              <w:widowControl w:val="0"/>
              <w:numPr>
                <w:ilvl w:val="0"/>
                <w:numId w:val="147"/>
              </w:numPr>
              <w:tabs>
                <w:tab w:val="left" w:pos="293"/>
              </w:tabs>
              <w:autoSpaceDE w:val="0"/>
              <w:autoSpaceDN w:val="0"/>
              <w:spacing w:after="0" w:line="240" w:lineRule="auto"/>
              <w:ind w:left="330" w:right="74" w:hanging="25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İzleme yalnızca solvent bazlı işleme kimyasalları kullanan tesisler için geçerlidir. Proseste kullanılan solventlere bağlı olarak belirli maddeler izlenir.</w:t>
            </w:r>
          </w:p>
          <w:p w14:paraId="5FD60722" w14:textId="77777777" w:rsidR="003B155E" w:rsidRPr="000A5D99" w:rsidRDefault="003B155E" w:rsidP="003B155E">
            <w:pPr>
              <w:widowControl w:val="0"/>
              <w:numPr>
                <w:ilvl w:val="0"/>
                <w:numId w:val="147"/>
              </w:numPr>
              <w:tabs>
                <w:tab w:val="left" w:pos="253"/>
              </w:tabs>
              <w:autoSpaceDE w:val="0"/>
              <w:autoSpaceDN w:val="0"/>
              <w:spacing w:after="0" w:line="240" w:lineRule="auto"/>
              <w:ind w:left="300" w:right="74" w:hanging="22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İzleme yalnızca kreozot işlemi kullanan tesisler için geçerlidir.</w:t>
            </w:r>
          </w:p>
        </w:tc>
      </w:tr>
    </w:tbl>
    <w:p w14:paraId="19E042C1" w14:textId="77777777" w:rsidR="003B155E" w:rsidRPr="000A5D99" w:rsidRDefault="003B155E" w:rsidP="003B155E">
      <w:pPr>
        <w:keepNext/>
        <w:spacing w:before="240" w:after="120" w:line="360" w:lineRule="auto"/>
        <w:ind w:left="794"/>
        <w:jc w:val="both"/>
        <w:outlineLvl w:val="3"/>
        <w:rPr>
          <w:rFonts w:ascii="Times New Roman" w:eastAsia="Calibri" w:hAnsi="Times New Roman" w:cs="Calibri"/>
          <w:b/>
          <w:bCs/>
          <w:sz w:val="24"/>
          <w:szCs w:val="28"/>
          <w:lang w:val="en-US"/>
        </w:rPr>
      </w:pPr>
      <w:bookmarkStart w:id="117" w:name="_Toc137210517"/>
      <w:r w:rsidRPr="000A5D99">
        <w:rPr>
          <w:rFonts w:ascii="Times New Roman" w:eastAsia="Calibri" w:hAnsi="Times New Roman" w:cs="Calibri"/>
          <w:b/>
          <w:bCs/>
          <w:sz w:val="24"/>
          <w:szCs w:val="28"/>
          <w:lang w:val="en-US"/>
        </w:rPr>
        <w:t>Yeraltı Suyu Kalitesi</w:t>
      </w:r>
      <w:bookmarkEnd w:id="117"/>
    </w:p>
    <w:p w14:paraId="4B6DA700"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44: </w:t>
      </w:r>
      <w:r w:rsidRPr="000A5D99">
        <w:rPr>
          <w:rFonts w:ascii="Times New Roman" w:eastAsia="Calibri" w:hAnsi="Times New Roman" w:cs="Calibri"/>
          <w:sz w:val="24"/>
          <w:lang w:val="en-US"/>
        </w:rPr>
        <w:t>Yeraltı sularındaki kirleticiler en az 6 ayda bir ve TS EN standartlarına uygun olarak izlenir. TS EN standartları mevcut değilse, MET kapsamında eşdeğer bilimsel kalitede verilerin sağlanmasını sağlayan ISO standartları, ulusal veya diğer uluslararası standartlar kullanılır.</w:t>
      </w:r>
    </w:p>
    <w:p w14:paraId="48AC9061"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sz w:val="24"/>
          <w:lang w:val="en-US"/>
        </w:rPr>
        <w:t>İzleme sıklığı, risk değerlendirmesine dayalı olarak veya kirletici seviyelerinin yeterince kararlı olduğu kanıtlanırsa (örneğin, 4 yıllık bir süreden sonra) 2 yılda bire düşürülebilir.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20"/>
        <w:gridCol w:w="6242"/>
      </w:tblGrid>
      <w:tr w:rsidR="003B155E" w:rsidRPr="000A5D99" w14:paraId="16710B07" w14:textId="77777777" w:rsidTr="000D79D6">
        <w:trPr>
          <w:trHeight w:val="230"/>
          <w:tblHeader/>
        </w:trPr>
        <w:tc>
          <w:tcPr>
            <w:tcW w:w="1556" w:type="pct"/>
            <w:vAlign w:val="center"/>
          </w:tcPr>
          <w:p w14:paraId="1F2BA9D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Madde/Parametre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p>
        </w:tc>
        <w:tc>
          <w:tcPr>
            <w:tcW w:w="3444" w:type="pct"/>
            <w:vAlign w:val="center"/>
          </w:tcPr>
          <w:p w14:paraId="692047D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Standart(lar)</w:t>
            </w:r>
          </w:p>
        </w:tc>
      </w:tr>
      <w:tr w:rsidR="003B155E" w:rsidRPr="000A5D99" w14:paraId="52C94907" w14:textId="77777777" w:rsidTr="000D79D6">
        <w:trPr>
          <w:trHeight w:val="459"/>
        </w:trPr>
        <w:tc>
          <w:tcPr>
            <w:tcW w:w="1556" w:type="pct"/>
            <w:vAlign w:val="center"/>
          </w:tcPr>
          <w:p w14:paraId="09C0D20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Biyositler (</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c>
          <w:tcPr>
            <w:tcW w:w="3444" w:type="pct"/>
            <w:vAlign w:val="center"/>
          </w:tcPr>
          <w:p w14:paraId="454713A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113-1</w:t>
            </w:r>
          </w:p>
        </w:tc>
      </w:tr>
      <w:tr w:rsidR="003B155E" w:rsidRPr="000A5D99" w14:paraId="130966F8" w14:textId="77777777" w:rsidTr="000D79D6">
        <w:trPr>
          <w:trHeight w:val="229"/>
        </w:trPr>
        <w:tc>
          <w:tcPr>
            <w:tcW w:w="1556" w:type="pct"/>
            <w:vAlign w:val="center"/>
          </w:tcPr>
          <w:p w14:paraId="0F037234"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As</w:t>
            </w:r>
          </w:p>
        </w:tc>
        <w:tc>
          <w:tcPr>
            <w:tcW w:w="3444" w:type="pct"/>
            <w:vMerge w:val="restart"/>
            <w:vAlign w:val="center"/>
          </w:tcPr>
          <w:p w14:paraId="1240F48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Çeşitli TS EN standartları mevcuttur</w:t>
            </w:r>
          </w:p>
          <w:p w14:paraId="60F0DAD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(örneğin, TS EN ISO 11885, TS EN ISO 17294-2, TS EN ISO 15586)</w:t>
            </w:r>
          </w:p>
        </w:tc>
      </w:tr>
      <w:tr w:rsidR="003B155E" w:rsidRPr="000A5D99" w14:paraId="0CB272E0" w14:textId="77777777" w:rsidTr="000D79D6">
        <w:trPr>
          <w:trHeight w:val="230"/>
        </w:trPr>
        <w:tc>
          <w:tcPr>
            <w:tcW w:w="1556" w:type="pct"/>
            <w:vAlign w:val="center"/>
          </w:tcPr>
          <w:p w14:paraId="6ABFF648"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Cu</w:t>
            </w:r>
          </w:p>
        </w:tc>
        <w:tc>
          <w:tcPr>
            <w:tcW w:w="3444" w:type="pct"/>
            <w:vMerge/>
            <w:tcBorders>
              <w:top w:val="nil"/>
            </w:tcBorders>
            <w:vAlign w:val="center"/>
          </w:tcPr>
          <w:p w14:paraId="61581F37"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4263A2CA" w14:textId="77777777" w:rsidTr="000D79D6">
        <w:trPr>
          <w:trHeight w:val="230"/>
        </w:trPr>
        <w:tc>
          <w:tcPr>
            <w:tcW w:w="1556" w:type="pct"/>
            <w:vAlign w:val="center"/>
          </w:tcPr>
          <w:p w14:paraId="34EDB273"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Cr</w:t>
            </w:r>
          </w:p>
        </w:tc>
        <w:tc>
          <w:tcPr>
            <w:tcW w:w="3444" w:type="pct"/>
            <w:vMerge/>
            <w:tcBorders>
              <w:top w:val="nil"/>
            </w:tcBorders>
            <w:vAlign w:val="center"/>
          </w:tcPr>
          <w:p w14:paraId="1DE3ACA9"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r>
      <w:tr w:rsidR="003B155E" w:rsidRPr="000A5D99" w14:paraId="2F277856" w14:textId="77777777" w:rsidTr="000D79D6">
        <w:trPr>
          <w:trHeight w:val="460"/>
        </w:trPr>
        <w:tc>
          <w:tcPr>
            <w:tcW w:w="1556" w:type="pct"/>
            <w:vAlign w:val="center"/>
          </w:tcPr>
          <w:p w14:paraId="0368FF98"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Solventler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3444" w:type="pct"/>
            <w:vAlign w:val="center"/>
          </w:tcPr>
          <w:p w14:paraId="6E222662" w14:textId="77777777" w:rsidR="003B155E" w:rsidRPr="000A5D99" w:rsidRDefault="003B155E" w:rsidP="000D79D6">
            <w:pPr>
              <w:widowControl w:val="0"/>
              <w:autoSpaceDE w:val="0"/>
              <w:autoSpaceDN w:val="0"/>
              <w:spacing w:after="0" w:line="240" w:lineRule="auto"/>
              <w:ind w:left="896" w:right="74" w:hanging="822"/>
              <w:jc w:val="center"/>
              <w:rPr>
                <w:rFonts w:ascii="Times New Roman" w:eastAsia="Times New Roman" w:hAnsi="Times New Roman" w:cs="Times New Roman"/>
              </w:rPr>
            </w:pPr>
            <w:r w:rsidRPr="000A5D99">
              <w:rPr>
                <w:rFonts w:ascii="Times New Roman" w:eastAsia="Times New Roman" w:hAnsi="Times New Roman" w:cs="Times New Roman"/>
              </w:rPr>
              <w:t>Bazı solventler için mevcut EN standartları (örneğin, TS EN ISO 15680)</w:t>
            </w:r>
          </w:p>
        </w:tc>
      </w:tr>
      <w:tr w:rsidR="003B155E" w:rsidRPr="000A5D99" w14:paraId="60CF959A" w14:textId="77777777" w:rsidTr="000D79D6">
        <w:trPr>
          <w:trHeight w:val="230"/>
        </w:trPr>
        <w:tc>
          <w:tcPr>
            <w:tcW w:w="1556" w:type="pct"/>
            <w:vAlign w:val="center"/>
          </w:tcPr>
          <w:p w14:paraId="1840431A"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PAH'lar</w:t>
            </w:r>
          </w:p>
        </w:tc>
        <w:tc>
          <w:tcPr>
            <w:tcW w:w="3444" w:type="pct"/>
            <w:vAlign w:val="center"/>
          </w:tcPr>
          <w:p w14:paraId="745AF75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17993</w:t>
            </w:r>
          </w:p>
        </w:tc>
      </w:tr>
      <w:tr w:rsidR="003B155E" w:rsidRPr="000A5D99" w14:paraId="4713D5CA" w14:textId="77777777" w:rsidTr="000D79D6">
        <w:trPr>
          <w:trHeight w:val="230"/>
        </w:trPr>
        <w:tc>
          <w:tcPr>
            <w:tcW w:w="1556" w:type="pct"/>
            <w:vAlign w:val="center"/>
          </w:tcPr>
          <w:p w14:paraId="16AB1C6D"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Benzo[</w:t>
            </w:r>
            <w:r w:rsidRPr="000A5D99">
              <w:rPr>
                <w:rFonts w:ascii="Times New Roman" w:eastAsia="Times New Roman" w:hAnsi="Times New Roman" w:cs="Times New Roman"/>
                <w:i/>
              </w:rPr>
              <w:t>a</w:t>
            </w:r>
            <w:r w:rsidRPr="000A5D99">
              <w:rPr>
                <w:rFonts w:ascii="Times New Roman" w:eastAsia="Times New Roman" w:hAnsi="Times New Roman" w:cs="Times New Roman"/>
              </w:rPr>
              <w:t>]piren</w:t>
            </w:r>
          </w:p>
        </w:tc>
        <w:tc>
          <w:tcPr>
            <w:tcW w:w="3444" w:type="pct"/>
            <w:vAlign w:val="center"/>
          </w:tcPr>
          <w:p w14:paraId="3D6E2F2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17993</w:t>
            </w:r>
          </w:p>
        </w:tc>
      </w:tr>
      <w:tr w:rsidR="003B155E" w:rsidRPr="000A5D99" w14:paraId="06E5D210" w14:textId="77777777" w:rsidTr="000D79D6">
        <w:trPr>
          <w:trHeight w:val="230"/>
        </w:trPr>
        <w:tc>
          <w:tcPr>
            <w:tcW w:w="1556" w:type="pct"/>
            <w:vAlign w:val="center"/>
          </w:tcPr>
          <w:p w14:paraId="5EFD926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HOI</w:t>
            </w:r>
          </w:p>
        </w:tc>
        <w:tc>
          <w:tcPr>
            <w:tcW w:w="3444" w:type="pct"/>
            <w:vAlign w:val="center"/>
          </w:tcPr>
          <w:p w14:paraId="40E75CF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ISO 9377-2</w:t>
            </w:r>
          </w:p>
        </w:tc>
      </w:tr>
      <w:tr w:rsidR="003B155E" w:rsidRPr="000A5D99" w14:paraId="4912436B" w14:textId="77777777" w:rsidTr="000D79D6">
        <w:trPr>
          <w:trHeight w:val="1242"/>
        </w:trPr>
        <w:tc>
          <w:tcPr>
            <w:tcW w:w="5000" w:type="pct"/>
            <w:gridSpan w:val="2"/>
            <w:vAlign w:val="center"/>
          </w:tcPr>
          <w:p w14:paraId="39B865FD" w14:textId="77777777" w:rsidR="003B155E" w:rsidRPr="0082590D" w:rsidRDefault="003B155E" w:rsidP="003B155E">
            <w:pPr>
              <w:widowControl w:val="0"/>
              <w:numPr>
                <w:ilvl w:val="0"/>
                <w:numId w:val="148"/>
              </w:numPr>
              <w:tabs>
                <w:tab w:val="left" w:pos="256"/>
              </w:tabs>
              <w:autoSpaceDE w:val="0"/>
              <w:autoSpaceDN w:val="0"/>
              <w:spacing w:after="0" w:line="240" w:lineRule="auto"/>
              <w:ind w:left="330" w:right="74" w:hanging="25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lastRenderedPageBreak/>
              <w:t>İlgili madde proseste kullanılmıyorsa ve yeraltı suyunun bu madde ile kontamine olmadığı kanıtlanırsa izleme geçerli olmayabilir.</w:t>
            </w:r>
          </w:p>
          <w:p w14:paraId="722D5AE5" w14:textId="77777777" w:rsidR="003B155E" w:rsidRPr="0082590D" w:rsidRDefault="003B155E" w:rsidP="003B155E">
            <w:pPr>
              <w:widowControl w:val="0"/>
              <w:numPr>
                <w:ilvl w:val="0"/>
                <w:numId w:val="148"/>
              </w:numPr>
              <w:tabs>
                <w:tab w:val="left" w:pos="277"/>
              </w:tabs>
              <w:autoSpaceDE w:val="0"/>
              <w:autoSpaceDN w:val="0"/>
              <w:spacing w:after="0" w:line="240" w:lineRule="auto"/>
              <w:ind w:left="330" w:right="74" w:hanging="25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Proseste kullanılan veya daha önce kullanılmış olan biyosidal ürünlerin bileşimine bağlı olarak belirli maddeler izlenir.</w:t>
            </w:r>
          </w:p>
          <w:p w14:paraId="5105080A" w14:textId="77777777" w:rsidR="003B155E" w:rsidRPr="000A5D99" w:rsidRDefault="003B155E" w:rsidP="003B155E">
            <w:pPr>
              <w:widowControl w:val="0"/>
              <w:numPr>
                <w:ilvl w:val="0"/>
                <w:numId w:val="148"/>
              </w:numPr>
              <w:tabs>
                <w:tab w:val="left" w:pos="289"/>
              </w:tabs>
              <w:autoSpaceDE w:val="0"/>
              <w:autoSpaceDN w:val="0"/>
              <w:spacing w:after="0" w:line="240" w:lineRule="auto"/>
              <w:ind w:left="330" w:right="74" w:hanging="25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İzleme yalnızca solvent bazlı işleme kimyasalları kullanan tesisler için geçerlidir. Proseste kullanılan solventlere bağlı olarak belirli maddeler izlenir.</w:t>
            </w:r>
          </w:p>
        </w:tc>
      </w:tr>
    </w:tbl>
    <w:p w14:paraId="5CB14D44" w14:textId="77777777" w:rsidR="003B155E" w:rsidRPr="000A5D99" w:rsidRDefault="003B155E" w:rsidP="003B155E">
      <w:pPr>
        <w:keepNext/>
        <w:spacing w:before="240" w:after="120" w:line="360" w:lineRule="auto"/>
        <w:ind w:left="794"/>
        <w:jc w:val="both"/>
        <w:outlineLvl w:val="3"/>
        <w:rPr>
          <w:rFonts w:ascii="Times New Roman" w:eastAsia="Calibri" w:hAnsi="Times New Roman" w:cs="Calibri"/>
          <w:b/>
          <w:bCs/>
          <w:sz w:val="24"/>
          <w:szCs w:val="28"/>
          <w:lang w:val="en-US"/>
        </w:rPr>
      </w:pPr>
      <w:bookmarkStart w:id="118" w:name="_Toc137210518"/>
      <w:r w:rsidRPr="000A5D99">
        <w:rPr>
          <w:rFonts w:ascii="Times New Roman" w:eastAsia="Calibri" w:hAnsi="Times New Roman" w:cs="Calibri"/>
          <w:b/>
          <w:bCs/>
          <w:sz w:val="24"/>
          <w:szCs w:val="28"/>
          <w:lang w:val="en-US"/>
        </w:rPr>
        <w:t>Atık Gazlardaki Emisyonlar</w:t>
      </w:r>
      <w:bookmarkEnd w:id="118"/>
    </w:p>
    <w:p w14:paraId="18EE0B0A"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45: </w:t>
      </w:r>
      <w:r w:rsidRPr="000A5D99">
        <w:rPr>
          <w:rFonts w:ascii="Times New Roman" w:eastAsia="Calibri" w:hAnsi="Times New Roman" w:cs="Calibri"/>
          <w:sz w:val="24"/>
          <w:lang w:val="en-US"/>
        </w:rPr>
        <w:t>Atık gazlardaki emisyonlar yılda en az bir kez ve TS EN standartlarına uygun olarak izlenir. TS EN standartları mevcut değilse, MET kapsamında eşdeğer bilimsel kalitede verilerin sağlanmasını sağlayan ISO standartları, ulusal veya diğer uluslararası standartlar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83"/>
        <w:gridCol w:w="3268"/>
        <w:gridCol w:w="2133"/>
        <w:gridCol w:w="2278"/>
      </w:tblGrid>
      <w:tr w:rsidR="003B155E" w:rsidRPr="000A5D99" w14:paraId="2601DD3A" w14:textId="77777777" w:rsidTr="000D79D6">
        <w:trPr>
          <w:trHeight w:val="386"/>
          <w:tblHeader/>
        </w:trPr>
        <w:tc>
          <w:tcPr>
            <w:tcW w:w="763" w:type="pct"/>
            <w:vAlign w:val="center"/>
          </w:tcPr>
          <w:p w14:paraId="7F2A303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803" w:type="pct"/>
            <w:vAlign w:val="center"/>
          </w:tcPr>
          <w:p w14:paraId="1089511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İşlem</w:t>
            </w:r>
          </w:p>
        </w:tc>
        <w:tc>
          <w:tcPr>
            <w:tcW w:w="1177" w:type="pct"/>
            <w:vAlign w:val="center"/>
          </w:tcPr>
          <w:p w14:paraId="7EF839A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Standart(lar)</w:t>
            </w:r>
          </w:p>
        </w:tc>
        <w:tc>
          <w:tcPr>
            <w:tcW w:w="1257" w:type="pct"/>
            <w:vAlign w:val="center"/>
          </w:tcPr>
          <w:p w14:paraId="13C920F4" w14:textId="77777777" w:rsidR="003B155E" w:rsidRPr="000A5D99" w:rsidRDefault="003B155E" w:rsidP="000D79D6">
            <w:pPr>
              <w:widowControl w:val="0"/>
              <w:autoSpaceDE w:val="0"/>
              <w:autoSpaceDN w:val="0"/>
              <w:spacing w:after="0" w:line="240" w:lineRule="auto"/>
              <w:ind w:left="833" w:right="74" w:hanging="759"/>
              <w:jc w:val="center"/>
              <w:rPr>
                <w:rFonts w:ascii="Times New Roman" w:eastAsia="Times New Roman" w:hAnsi="Times New Roman" w:cs="Times New Roman"/>
                <w:b/>
              </w:rPr>
            </w:pPr>
            <w:r w:rsidRPr="000A5D99">
              <w:rPr>
                <w:rFonts w:ascii="Times New Roman" w:eastAsia="Times New Roman" w:hAnsi="Times New Roman" w:cs="Times New Roman"/>
                <w:b/>
              </w:rPr>
              <w:t>TUOB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p>
        </w:tc>
      </w:tr>
      <w:tr w:rsidR="003B155E" w:rsidRPr="000A5D99" w14:paraId="16462163" w14:textId="77777777" w:rsidTr="000D79D6">
        <w:trPr>
          <w:trHeight w:val="689"/>
        </w:trPr>
        <w:tc>
          <w:tcPr>
            <w:tcW w:w="763" w:type="pct"/>
            <w:vAlign w:val="center"/>
          </w:tcPr>
          <w:p w14:paraId="3090B078"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803" w:type="pct"/>
            <w:vAlign w:val="center"/>
          </w:tcPr>
          <w:p w14:paraId="39CEC07D"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Kreozot ve solvent bazlı işlem kimyasalları kullanılarak ahşap ve ahşap ürünlerin korunması</w:t>
            </w:r>
          </w:p>
        </w:tc>
        <w:tc>
          <w:tcPr>
            <w:tcW w:w="1177" w:type="pct"/>
            <w:vAlign w:val="center"/>
          </w:tcPr>
          <w:p w14:paraId="4BBB4D8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12619</w:t>
            </w:r>
          </w:p>
        </w:tc>
        <w:tc>
          <w:tcPr>
            <w:tcW w:w="1257" w:type="pct"/>
            <w:vAlign w:val="center"/>
          </w:tcPr>
          <w:p w14:paraId="6B9A373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b/>
                <w:bCs/>
              </w:rPr>
              <w:t>MET 49</w:t>
            </w:r>
            <w:r w:rsidRPr="000A5D99">
              <w:rPr>
                <w:rFonts w:ascii="Times New Roman" w:eastAsia="Times New Roman" w:hAnsi="Times New Roman" w:cs="Times New Roman"/>
              </w:rPr>
              <w:t xml:space="preserve">, </w:t>
            </w:r>
            <w:r w:rsidRPr="000A5D99">
              <w:rPr>
                <w:rFonts w:ascii="Times New Roman" w:eastAsia="Times New Roman" w:hAnsi="Times New Roman" w:cs="Times New Roman"/>
                <w:b/>
                <w:bCs/>
              </w:rPr>
              <w:t>MET 51</w:t>
            </w:r>
          </w:p>
        </w:tc>
      </w:tr>
      <w:tr w:rsidR="003B155E" w:rsidRPr="000A5D99" w14:paraId="1992E743" w14:textId="77777777" w:rsidTr="000D79D6">
        <w:trPr>
          <w:trHeight w:val="623"/>
        </w:trPr>
        <w:tc>
          <w:tcPr>
            <w:tcW w:w="763" w:type="pct"/>
            <w:vAlign w:val="center"/>
          </w:tcPr>
          <w:p w14:paraId="1B7BA11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PAH'lar (</w:t>
            </w:r>
            <w:r w:rsidRPr="000A5D99">
              <w:rPr>
                <w:rFonts w:ascii="Times New Roman" w:eastAsia="Times New Roman" w:hAnsi="Times New Roman" w:cs="Times New Roman"/>
                <w:vertAlign w:val="superscript"/>
              </w:rPr>
              <w:t>1</w:t>
            </w:r>
            <w:r w:rsidRPr="000A5D99">
              <w:rPr>
                <w:rFonts w:ascii="Times New Roman" w:eastAsia="Times New Roman" w:hAnsi="Times New Roman" w:cs="Times New Roman"/>
              </w:rPr>
              <w:t>)(</w:t>
            </w:r>
            <w:r w:rsidRPr="000A5D99">
              <w:rPr>
                <w:rFonts w:ascii="Times New Roman" w:eastAsia="Times New Roman" w:hAnsi="Times New Roman" w:cs="Times New Roman"/>
                <w:vertAlign w:val="superscript"/>
              </w:rPr>
              <w:t>2</w:t>
            </w:r>
            <w:r w:rsidRPr="000A5D99">
              <w:rPr>
                <w:rFonts w:ascii="Times New Roman" w:eastAsia="Times New Roman" w:hAnsi="Times New Roman" w:cs="Times New Roman"/>
              </w:rPr>
              <w:t>)</w:t>
            </w:r>
          </w:p>
        </w:tc>
        <w:tc>
          <w:tcPr>
            <w:tcW w:w="1803" w:type="pct"/>
            <w:vAlign w:val="center"/>
          </w:tcPr>
          <w:p w14:paraId="70E0C0A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Kreozot kullanılarak ahşap ve ahşap ürünlerin korunması</w:t>
            </w:r>
          </w:p>
        </w:tc>
        <w:tc>
          <w:tcPr>
            <w:tcW w:w="1177" w:type="pct"/>
            <w:vAlign w:val="center"/>
          </w:tcPr>
          <w:p w14:paraId="794CC9A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standardı bulunmuyor</w:t>
            </w:r>
          </w:p>
        </w:tc>
        <w:tc>
          <w:tcPr>
            <w:tcW w:w="1257" w:type="pct"/>
            <w:vAlign w:val="center"/>
          </w:tcPr>
          <w:p w14:paraId="11E1AC1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bCs/>
              </w:rPr>
            </w:pPr>
            <w:r w:rsidRPr="000A5D99">
              <w:rPr>
                <w:rFonts w:ascii="Times New Roman" w:eastAsia="Times New Roman" w:hAnsi="Times New Roman" w:cs="Times New Roman"/>
                <w:b/>
                <w:bCs/>
              </w:rPr>
              <w:t>MET 51</w:t>
            </w:r>
          </w:p>
        </w:tc>
      </w:tr>
      <w:tr w:rsidR="003B155E" w:rsidRPr="000A5D99" w14:paraId="57006E3C" w14:textId="77777777" w:rsidTr="000D79D6">
        <w:trPr>
          <w:trHeight w:val="260"/>
        </w:trPr>
        <w:tc>
          <w:tcPr>
            <w:tcW w:w="763" w:type="pct"/>
            <w:vAlign w:val="center"/>
          </w:tcPr>
          <w:p w14:paraId="33BEBC13"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NO</w:t>
            </w:r>
            <w:r w:rsidRPr="000A5D99">
              <w:rPr>
                <w:rFonts w:ascii="Times New Roman" w:eastAsia="Times New Roman" w:hAnsi="Times New Roman" w:cs="Times New Roman"/>
                <w:vertAlign w:val="subscript"/>
              </w:rPr>
              <w:t>x</w:t>
            </w:r>
            <w:r w:rsidRPr="000A5D99">
              <w:rPr>
                <w:rFonts w:ascii="Times New Roman" w:eastAsia="Times New Roman" w:hAnsi="Times New Roman" w:cs="Times New Roman"/>
              </w:rPr>
              <w:t xml:space="preserve">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1803" w:type="pct"/>
            <w:vMerge w:val="restart"/>
            <w:vAlign w:val="center"/>
          </w:tcPr>
          <w:p w14:paraId="3741EA5D" w14:textId="77777777" w:rsidR="003B155E" w:rsidRPr="000A5D99" w:rsidRDefault="003B155E" w:rsidP="000D79D6">
            <w:pPr>
              <w:widowControl w:val="0"/>
              <w:autoSpaceDE w:val="0"/>
              <w:autoSpaceDN w:val="0"/>
              <w:spacing w:after="0" w:line="240" w:lineRule="auto"/>
              <w:ind w:left="74" w:right="74" w:hanging="2"/>
              <w:jc w:val="both"/>
              <w:rPr>
                <w:rFonts w:ascii="Times New Roman" w:eastAsia="Times New Roman" w:hAnsi="Times New Roman" w:cs="Times New Roman"/>
              </w:rPr>
            </w:pPr>
            <w:r w:rsidRPr="000A5D99">
              <w:rPr>
                <w:rFonts w:ascii="Times New Roman" w:eastAsia="Times New Roman" w:hAnsi="Times New Roman" w:cs="Times New Roman"/>
              </w:rPr>
              <w:t>Kreozot ve solvent bazlı işlem kimyasalları kullanılarak ahşap ve ahşap ürünlerin korunması</w:t>
            </w:r>
          </w:p>
        </w:tc>
        <w:tc>
          <w:tcPr>
            <w:tcW w:w="1177" w:type="pct"/>
            <w:vAlign w:val="center"/>
          </w:tcPr>
          <w:p w14:paraId="76C8B3D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TS EN 14792</w:t>
            </w:r>
          </w:p>
        </w:tc>
        <w:tc>
          <w:tcPr>
            <w:tcW w:w="1257" w:type="pct"/>
            <w:vMerge w:val="restart"/>
            <w:vAlign w:val="center"/>
          </w:tcPr>
          <w:p w14:paraId="0CA953C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bCs/>
              </w:rPr>
            </w:pPr>
            <w:r w:rsidRPr="000A5D99">
              <w:rPr>
                <w:rFonts w:ascii="Times New Roman" w:eastAsia="Times New Roman" w:hAnsi="Times New Roman" w:cs="Times New Roman"/>
                <w:b/>
                <w:bCs/>
              </w:rPr>
              <w:t>MET 52</w:t>
            </w:r>
          </w:p>
        </w:tc>
      </w:tr>
      <w:tr w:rsidR="003B155E" w:rsidRPr="000A5D99" w14:paraId="553C63D0" w14:textId="77777777" w:rsidTr="000D79D6">
        <w:trPr>
          <w:trHeight w:val="623"/>
        </w:trPr>
        <w:tc>
          <w:tcPr>
            <w:tcW w:w="763" w:type="pct"/>
          </w:tcPr>
          <w:p w14:paraId="4691C552"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CO (</w:t>
            </w:r>
            <w:r w:rsidRPr="000A5D99">
              <w:rPr>
                <w:rFonts w:ascii="Times New Roman" w:eastAsia="Times New Roman" w:hAnsi="Times New Roman" w:cs="Times New Roman"/>
                <w:vertAlign w:val="superscript"/>
              </w:rPr>
              <w:t>3</w:t>
            </w:r>
            <w:r w:rsidRPr="000A5D99">
              <w:rPr>
                <w:rFonts w:ascii="Times New Roman" w:eastAsia="Times New Roman" w:hAnsi="Times New Roman" w:cs="Times New Roman"/>
              </w:rPr>
              <w:t>)</w:t>
            </w:r>
          </w:p>
        </w:tc>
        <w:tc>
          <w:tcPr>
            <w:tcW w:w="1803" w:type="pct"/>
            <w:vMerge/>
            <w:tcBorders>
              <w:top w:val="nil"/>
            </w:tcBorders>
          </w:tcPr>
          <w:p w14:paraId="614BA63D"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c>
          <w:tcPr>
            <w:tcW w:w="1177" w:type="pct"/>
            <w:vAlign w:val="center"/>
          </w:tcPr>
          <w:p w14:paraId="2E356EF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 xml:space="preserve"> TS EN 15058</w:t>
            </w:r>
          </w:p>
        </w:tc>
        <w:tc>
          <w:tcPr>
            <w:tcW w:w="1257" w:type="pct"/>
            <w:vMerge/>
            <w:tcBorders>
              <w:top w:val="nil"/>
            </w:tcBorders>
          </w:tcPr>
          <w:p w14:paraId="52EFD147" w14:textId="77777777" w:rsidR="003B155E" w:rsidRPr="000A5D99" w:rsidRDefault="003B155E" w:rsidP="000D79D6">
            <w:pPr>
              <w:spacing w:after="0" w:line="240" w:lineRule="auto"/>
              <w:ind w:left="74" w:right="74"/>
              <w:jc w:val="both"/>
              <w:rPr>
                <w:rFonts w:ascii="Times New Roman" w:eastAsia="Calibri" w:hAnsi="Times New Roman" w:cs="Times New Roman"/>
                <w:lang w:val="en-US"/>
              </w:rPr>
            </w:pPr>
          </w:p>
        </w:tc>
      </w:tr>
      <w:tr w:rsidR="003B155E" w:rsidRPr="000A5D99" w14:paraId="7FA1FC60" w14:textId="77777777" w:rsidTr="000D79D6">
        <w:trPr>
          <w:trHeight w:val="1242"/>
        </w:trPr>
        <w:tc>
          <w:tcPr>
            <w:tcW w:w="5000" w:type="pct"/>
            <w:gridSpan w:val="4"/>
            <w:vAlign w:val="center"/>
          </w:tcPr>
          <w:p w14:paraId="08CE064C" w14:textId="77777777" w:rsidR="003B155E" w:rsidRPr="0082590D" w:rsidRDefault="003B155E" w:rsidP="003B155E">
            <w:pPr>
              <w:widowControl w:val="0"/>
              <w:numPr>
                <w:ilvl w:val="0"/>
                <w:numId w:val="149"/>
              </w:numPr>
              <w:tabs>
                <w:tab w:val="left" w:pos="334"/>
              </w:tabs>
              <w:autoSpaceDE w:val="0"/>
              <w:autoSpaceDN w:val="0"/>
              <w:spacing w:after="0" w:line="240" w:lineRule="auto"/>
              <w:ind w:left="289" w:right="74" w:hanging="215"/>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Mümkün olduğu ölçüde, ölçümler normal çalışma koşulları altında beklenen en yüksek emisyon durumunda gerçekleştirilir.</w:t>
            </w:r>
          </w:p>
          <w:p w14:paraId="62D43C04" w14:textId="77777777" w:rsidR="003B155E" w:rsidRPr="0082590D" w:rsidRDefault="003B155E" w:rsidP="003B155E">
            <w:pPr>
              <w:widowControl w:val="0"/>
              <w:numPr>
                <w:ilvl w:val="0"/>
                <w:numId w:val="149"/>
              </w:numPr>
              <w:tabs>
                <w:tab w:val="left" w:pos="334"/>
              </w:tabs>
              <w:autoSpaceDE w:val="0"/>
              <w:autoSpaceDN w:val="0"/>
              <w:spacing w:after="0" w:line="240" w:lineRule="auto"/>
              <w:ind w:left="289" w:right="74" w:hanging="215"/>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Buna şunlar dahildir: asenaften, asenaftilen, antrasen, benzo(a)antrasen, benzo(a)piren, benzo(b)floranten, benzo(g,h,i)perilen, benzo(k)floranten, krisen, dibenzo(a,h) ) antrasen, floranten, floren, indeno(1,2,3-cd)piren, naftalin, fenantren ve piren.</w:t>
            </w:r>
          </w:p>
          <w:p w14:paraId="030F5E51" w14:textId="77777777" w:rsidR="003B155E" w:rsidRPr="000A5D99" w:rsidRDefault="003B155E" w:rsidP="003B155E">
            <w:pPr>
              <w:widowControl w:val="0"/>
              <w:numPr>
                <w:ilvl w:val="0"/>
                <w:numId w:val="149"/>
              </w:numPr>
              <w:tabs>
                <w:tab w:val="left" w:pos="334"/>
              </w:tabs>
              <w:autoSpaceDE w:val="0"/>
              <w:autoSpaceDN w:val="0"/>
              <w:spacing w:after="0" w:line="240" w:lineRule="auto"/>
              <w:ind w:left="301" w:right="74" w:hanging="227"/>
              <w:jc w:val="both"/>
              <w:rPr>
                <w:rFonts w:ascii="Times New Roman" w:eastAsia="Times New Roman" w:hAnsi="Times New Roman" w:cs="Times New Roman"/>
              </w:rPr>
            </w:pPr>
            <w:r w:rsidRPr="0082590D">
              <w:rPr>
                <w:rFonts w:ascii="Times New Roman" w:eastAsia="Times New Roman" w:hAnsi="Times New Roman" w:cs="Times New Roman"/>
                <w:sz w:val="20"/>
                <w:szCs w:val="20"/>
              </w:rPr>
              <w:t>İzleme, yalnızca çıkış gazlarının ısıl işleminden kaynaklanan emisyonlar için geçerlidir.</w:t>
            </w:r>
          </w:p>
        </w:tc>
      </w:tr>
    </w:tbl>
    <w:p w14:paraId="045BDC80" w14:textId="77777777" w:rsidR="003B155E" w:rsidRPr="000A5D99" w:rsidRDefault="003B155E" w:rsidP="003B155E">
      <w:pPr>
        <w:keepNext/>
        <w:keepLines/>
        <w:spacing w:before="240" w:after="120" w:line="360" w:lineRule="auto"/>
        <w:ind w:left="1154"/>
        <w:jc w:val="both"/>
        <w:outlineLvl w:val="2"/>
        <w:rPr>
          <w:rFonts w:ascii="Times New Roman" w:eastAsia="DengXian Light" w:hAnsi="Times New Roman" w:cs="Microsoft Uighur"/>
          <w:b/>
          <w:sz w:val="24"/>
          <w:szCs w:val="24"/>
          <w:lang w:val="en-US"/>
        </w:rPr>
      </w:pPr>
      <w:bookmarkStart w:id="119" w:name="_Toc137210519"/>
      <w:r w:rsidRPr="000A5D99">
        <w:rPr>
          <w:rFonts w:ascii="Times New Roman" w:eastAsia="DengXian Light" w:hAnsi="Times New Roman" w:cs="Microsoft Uighur"/>
          <w:b/>
          <w:sz w:val="24"/>
          <w:szCs w:val="24"/>
          <w:lang w:val="en-US"/>
        </w:rPr>
        <w:t>Toprak ve Yeraltı Sularına Emisyonlar</w:t>
      </w:r>
      <w:bookmarkEnd w:id="119"/>
    </w:p>
    <w:p w14:paraId="5326DB03"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46: </w:t>
      </w:r>
      <w:r w:rsidRPr="000A5D99">
        <w:rPr>
          <w:rFonts w:ascii="Times New Roman" w:eastAsia="Calibri" w:hAnsi="Times New Roman" w:cs="Calibri"/>
          <w:sz w:val="24"/>
          <w:lang w:val="en-US"/>
        </w:rPr>
        <w:t>Toprak ve yeraltı sularına emisyonları önlemek veya azaltmak için aşağıda verilen tüm teknikler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9"/>
        <w:gridCol w:w="2231"/>
        <w:gridCol w:w="6412"/>
      </w:tblGrid>
      <w:tr w:rsidR="003B155E" w:rsidRPr="000A5D99" w14:paraId="4D747001" w14:textId="77777777" w:rsidTr="000D79D6">
        <w:trPr>
          <w:trHeight w:val="230"/>
          <w:tblHeader/>
        </w:trPr>
        <w:tc>
          <w:tcPr>
            <w:tcW w:w="231" w:type="pct"/>
            <w:tcBorders>
              <w:top w:val="single" w:sz="4" w:space="0" w:color="auto"/>
              <w:right w:val="single" w:sz="4" w:space="0" w:color="auto"/>
            </w:tcBorders>
            <w:vAlign w:val="center"/>
          </w:tcPr>
          <w:p w14:paraId="14ACEAFE" w14:textId="77777777" w:rsidR="003B155E" w:rsidRPr="000A5D99" w:rsidRDefault="003B155E" w:rsidP="000D79D6">
            <w:pPr>
              <w:widowControl w:val="0"/>
              <w:autoSpaceDE w:val="0"/>
              <w:autoSpaceDN w:val="0"/>
              <w:spacing w:after="0" w:line="210" w:lineRule="exact"/>
              <w:ind w:left="74" w:right="74"/>
              <w:jc w:val="center"/>
              <w:rPr>
                <w:rFonts w:ascii="Times New Roman" w:eastAsia="Times New Roman" w:hAnsi="Times New Roman" w:cs="Times New Roman"/>
                <w:b/>
              </w:rPr>
            </w:pPr>
          </w:p>
        </w:tc>
        <w:tc>
          <w:tcPr>
            <w:tcW w:w="1231" w:type="pct"/>
            <w:tcBorders>
              <w:top w:val="single" w:sz="4" w:space="0" w:color="auto"/>
              <w:left w:val="single" w:sz="4" w:space="0" w:color="auto"/>
            </w:tcBorders>
            <w:vAlign w:val="center"/>
          </w:tcPr>
          <w:p w14:paraId="48BFD123" w14:textId="77777777" w:rsidR="003B155E" w:rsidRPr="000A5D99" w:rsidRDefault="003B155E" w:rsidP="000D79D6">
            <w:pPr>
              <w:widowControl w:val="0"/>
              <w:autoSpaceDE w:val="0"/>
              <w:autoSpaceDN w:val="0"/>
              <w:spacing w:after="0" w:line="210" w:lineRule="exact"/>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3538" w:type="pct"/>
            <w:vAlign w:val="center"/>
          </w:tcPr>
          <w:p w14:paraId="01C714C5" w14:textId="77777777" w:rsidR="003B155E" w:rsidRPr="000A5D99" w:rsidRDefault="003B155E" w:rsidP="000D79D6">
            <w:pPr>
              <w:widowControl w:val="0"/>
              <w:autoSpaceDE w:val="0"/>
              <w:autoSpaceDN w:val="0"/>
              <w:spacing w:after="0" w:line="210" w:lineRule="exact"/>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r>
      <w:tr w:rsidR="003B155E" w:rsidRPr="000A5D99" w14:paraId="674AD9B9" w14:textId="77777777" w:rsidTr="000D79D6">
        <w:trPr>
          <w:trHeight w:val="70"/>
        </w:trPr>
        <w:tc>
          <w:tcPr>
            <w:tcW w:w="231" w:type="pct"/>
            <w:tcBorders>
              <w:right w:val="single" w:sz="4" w:space="0" w:color="auto"/>
            </w:tcBorders>
            <w:vAlign w:val="center"/>
          </w:tcPr>
          <w:p w14:paraId="06F9B72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31" w:type="pct"/>
            <w:tcBorders>
              <w:left w:val="single" w:sz="4" w:space="0" w:color="auto"/>
            </w:tcBorders>
            <w:vAlign w:val="center"/>
          </w:tcPr>
          <w:p w14:paraId="34F4F78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Tesis ve ekipmanların muhafazası veya setle çevrilmesi</w:t>
            </w:r>
          </w:p>
        </w:tc>
        <w:tc>
          <w:tcPr>
            <w:tcW w:w="3538" w:type="pct"/>
            <w:vAlign w:val="center"/>
          </w:tcPr>
          <w:p w14:paraId="34C939D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Tesisin işleme kimyasallarının depolandığı veya işlendiği bölümleri, yani işleme kimyasalları depolama alanı, işleme, işleme sonrası koşullandırma ve ara depolama alanları (işlem tankı, çalışma tankı, boşaltma/çıkarma tesisleri, damlama/kurutma alanı, soğutma bölgesi), işleme kimyasalları için borular ve kanallar ve kreozot (yeniden) koşullandırma tesisleri çevrelenir veya setle çevrilir. Muhafazalar ve setler geçirimsiz yüzeylere sahiptir, işleme kimyasallarına dirençlidir ve tesiste/ekipmanda işlenen veya depolanan hacimleri yakalamak ve tutmak için yeterli kapasiteye sahiptir.</w:t>
            </w:r>
          </w:p>
          <w:p w14:paraId="26BC6BE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Damlama tepsileri (işlem kimyasallarına dayanıklı malzemeden yapılmış), kritik ekipman veya işlemlerden (örneğin, valfler, depolama tanklarının giriş/çıkışları, işleme tankları, çalışma tankları, boşaltma/çıkarma bölgeleri, yeni işlenmiş ahşabın taşınması, soğutma/kurutma bölgesi) işleme kimyasallarının damlamalarının ve dökülmelerinin toplanması ve geri kazanılmasına yönelik lokal muhafazalar olarak kullanılabilir.</w:t>
            </w:r>
          </w:p>
          <w:p w14:paraId="258480B8" w14:textId="77777777" w:rsidR="003B155E" w:rsidRPr="000A5D99" w:rsidRDefault="003B155E" w:rsidP="000D79D6">
            <w:pPr>
              <w:widowControl w:val="0"/>
              <w:autoSpaceDE w:val="0"/>
              <w:autoSpaceDN w:val="0"/>
              <w:spacing w:after="0" w:line="230" w:lineRule="exact"/>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Muhafazalar/setler ve damlama tepsilerindeki sıvılar, işleme kimyasallarının işleme kimyasalları sisteminde yeniden kullanımları için geri kazanılması için toplanır. Toplama sisteminde oluşan çamur tehlikeli atık olarak bertaraf edilmektedir.</w:t>
            </w:r>
          </w:p>
        </w:tc>
      </w:tr>
      <w:tr w:rsidR="003B155E" w:rsidRPr="000A5D99" w14:paraId="62251A36" w14:textId="77777777" w:rsidTr="000D79D6">
        <w:trPr>
          <w:trHeight w:val="70"/>
        </w:trPr>
        <w:tc>
          <w:tcPr>
            <w:tcW w:w="231" w:type="pct"/>
            <w:vAlign w:val="center"/>
          </w:tcPr>
          <w:p w14:paraId="3D8F87F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b</w:t>
            </w:r>
          </w:p>
        </w:tc>
        <w:tc>
          <w:tcPr>
            <w:tcW w:w="1231" w:type="pct"/>
            <w:vAlign w:val="center"/>
          </w:tcPr>
          <w:p w14:paraId="465FEEF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Geçirimsiz zeminler</w:t>
            </w:r>
          </w:p>
        </w:tc>
        <w:tc>
          <w:tcPr>
            <w:tcW w:w="3538" w:type="pct"/>
            <w:vAlign w:val="center"/>
          </w:tcPr>
          <w:p w14:paraId="695E4FB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Kapalı veya setli olmayan ve işleme kimyasallarının damlamalarının, dökülmelerinin, kazara salınmalarının veya sızıntılarının meydana gelebileceği alanların zeminleri, ilgili maddeler için geçirimsizdir (örneğin, işleme için kullanılan ahşap koruyucuya yönelik BRP yetkilendirmesinde gerekli olması durumunda, işlenmiş ahşabın geçirimsiz zeminlerde depolanması gibi). Zeminlerdeki sıvılar, işleme kimyasallarının işleme kimyasalları sisteminde yeniden kullanımları için geri kazanılması için toplanır. Toplama sisteminde oluşan çamur tehlikeli atık olarak bertaraf edilmektedir.</w:t>
            </w:r>
          </w:p>
        </w:tc>
      </w:tr>
      <w:tr w:rsidR="003B155E" w:rsidRPr="000A5D99" w14:paraId="01E52BA3" w14:textId="77777777" w:rsidTr="000D79D6">
        <w:trPr>
          <w:trHeight w:val="920"/>
        </w:trPr>
        <w:tc>
          <w:tcPr>
            <w:tcW w:w="231" w:type="pct"/>
            <w:vAlign w:val="center"/>
          </w:tcPr>
          <w:p w14:paraId="446B77B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231" w:type="pct"/>
            <w:vAlign w:val="center"/>
          </w:tcPr>
          <w:p w14:paraId="69DB6E4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'Kritik' olarak tanımlanan ekipman için uyarı sistemleri</w:t>
            </w:r>
          </w:p>
        </w:tc>
        <w:tc>
          <w:tcPr>
            <w:tcW w:w="3538" w:type="pct"/>
            <w:vAlign w:val="center"/>
          </w:tcPr>
          <w:p w14:paraId="2221B33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'Kritik' ekipman (bkz</w:t>
            </w:r>
            <w:r w:rsidRPr="004B4E52">
              <w:rPr>
                <w:rFonts w:ascii="Times New Roman" w:eastAsia="Times New Roman" w:hAnsi="Times New Roman" w:cs="Times New Roman"/>
              </w:rPr>
              <w:t>. MET 30</w:t>
            </w:r>
            <w:r w:rsidRPr="000A5D99">
              <w:rPr>
                <w:rFonts w:ascii="Times New Roman" w:eastAsia="Times New Roman" w:hAnsi="Times New Roman" w:cs="Times New Roman"/>
              </w:rPr>
              <w:t>), arızaları göstermek için uyarı sistemleri ile donatılmıştır.</w:t>
            </w:r>
          </w:p>
        </w:tc>
      </w:tr>
      <w:tr w:rsidR="003B155E" w:rsidRPr="000A5D99" w14:paraId="409762DB" w14:textId="77777777" w:rsidTr="000D79D6">
        <w:trPr>
          <w:trHeight w:val="1839"/>
        </w:trPr>
        <w:tc>
          <w:tcPr>
            <w:tcW w:w="231" w:type="pct"/>
            <w:vAlign w:val="center"/>
          </w:tcPr>
          <w:p w14:paraId="4FC7B9D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231" w:type="pct"/>
            <w:vAlign w:val="center"/>
          </w:tcPr>
          <w:p w14:paraId="3C318510" w14:textId="77777777" w:rsidR="003B155E" w:rsidRPr="000A5D99" w:rsidRDefault="0071338C" w:rsidP="0071338C">
            <w:pPr>
              <w:widowControl w:val="0"/>
              <w:autoSpaceDE w:val="0"/>
              <w:autoSpaceDN w:val="0"/>
              <w:spacing w:after="0" w:line="240" w:lineRule="auto"/>
              <w:ind w:left="74" w:right="74"/>
              <w:rPr>
                <w:rFonts w:ascii="Times New Roman" w:eastAsia="Times New Roman" w:hAnsi="Times New Roman" w:cs="Times New Roman"/>
              </w:rPr>
            </w:pPr>
            <w:r>
              <w:rPr>
                <w:rFonts w:ascii="Times New Roman" w:eastAsia="Times New Roman" w:hAnsi="Times New Roman" w:cs="Times New Roman"/>
              </w:rPr>
              <w:t xml:space="preserve">Zararlı </w:t>
            </w:r>
            <w:r w:rsidR="003B155E" w:rsidRPr="000A5D99">
              <w:rPr>
                <w:rFonts w:ascii="Times New Roman" w:eastAsia="Times New Roman" w:hAnsi="Times New Roman" w:cs="Times New Roman"/>
              </w:rPr>
              <w:t xml:space="preserve"> maddeler ve kayıt tutma için yer altı depolama ve kanal sistemindeki sızıntıların önlenmesi ve tespiti</w:t>
            </w:r>
          </w:p>
        </w:tc>
        <w:tc>
          <w:tcPr>
            <w:tcW w:w="3538" w:type="pct"/>
            <w:vAlign w:val="center"/>
          </w:tcPr>
          <w:p w14:paraId="52CA8F6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Yeraltı bileşenlerinin kullanım</w:t>
            </w:r>
            <w:r w:rsidR="0071338C">
              <w:rPr>
                <w:rFonts w:ascii="Times New Roman" w:eastAsia="Times New Roman" w:hAnsi="Times New Roman" w:cs="Times New Roman"/>
              </w:rPr>
              <w:t>ı en aza indirilmiştir. Zararlı</w:t>
            </w:r>
            <w:r w:rsidRPr="000A5D99">
              <w:rPr>
                <w:rFonts w:ascii="Times New Roman" w:eastAsia="Times New Roman" w:hAnsi="Times New Roman" w:cs="Times New Roman"/>
              </w:rPr>
              <w:t xml:space="preserve"> maddelerin depolanması için yer altı bileşenleri kullanıldığında, ikincil muhafaza (ör. çift cidarlı muhafaza) kullanılır. Yeraltı bileşenleri kaçak tespit cihazları ile donatılmıştır.</w:t>
            </w:r>
          </w:p>
          <w:p w14:paraId="3FEB4A8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Potansiyel sızıntıları tespit etmek için yeraltı depolama ve kanal sistemi risk bazlı ve düzenli olarak izlenir ve gerektiğinde sızıntı yapan ekipmanlar tamir edilir. Toprak ve/veya yeraltı suyu kirliliğine neden olabilecek olayların kaydı tutulur.</w:t>
            </w:r>
          </w:p>
        </w:tc>
      </w:tr>
      <w:tr w:rsidR="003B155E" w:rsidRPr="000A5D99" w14:paraId="658515ED" w14:textId="77777777" w:rsidTr="000D79D6">
        <w:trPr>
          <w:trHeight w:val="919"/>
        </w:trPr>
        <w:tc>
          <w:tcPr>
            <w:tcW w:w="231" w:type="pct"/>
            <w:vAlign w:val="center"/>
          </w:tcPr>
          <w:p w14:paraId="0AB8336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231" w:type="pct"/>
            <w:vAlign w:val="center"/>
          </w:tcPr>
          <w:p w14:paraId="57994AC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Tesis ve ekipmanın düzenli olarak denetlenmesi ve bakımı</w:t>
            </w:r>
          </w:p>
        </w:tc>
        <w:tc>
          <w:tcPr>
            <w:tcW w:w="3538" w:type="pct"/>
            <w:vAlign w:val="center"/>
          </w:tcPr>
          <w:p w14:paraId="2ED6123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Tesis ve ekipman, düzgün çalışmalarını sağlamak için düzenli olarak denetlenir ve bakımı yapılır. Buna özellikle valflerin, pompaların, boruların, tankların, basınçlı tankların, damlama tepsilerinin ve muhafazaların/setlerin bütünlüğünün ve/veya sızdırmazlık durumunun ve uyarı sistemlerinin düzgün çalışıp çalışmadığının kontrolü dahildir.</w:t>
            </w:r>
          </w:p>
        </w:tc>
      </w:tr>
      <w:tr w:rsidR="003B155E" w:rsidRPr="000A5D99" w14:paraId="16894B65" w14:textId="77777777" w:rsidTr="000D79D6">
        <w:trPr>
          <w:trHeight w:val="141"/>
        </w:trPr>
        <w:tc>
          <w:tcPr>
            <w:tcW w:w="231" w:type="pct"/>
            <w:vAlign w:val="center"/>
          </w:tcPr>
          <w:p w14:paraId="3DA7186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231" w:type="pct"/>
            <w:vAlign w:val="center"/>
          </w:tcPr>
          <w:p w14:paraId="4E6062E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Çapraz kontaminasyonu önleme teknikleri</w:t>
            </w:r>
          </w:p>
        </w:tc>
        <w:tc>
          <w:tcPr>
            <w:tcW w:w="3538" w:type="pct"/>
            <w:vAlign w:val="center"/>
          </w:tcPr>
          <w:p w14:paraId="62BE8A2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Çapraz kontaminasyon (yani genellikle işlem kimyasallarıyla temas etmeyen tesis alanlarının kontaminasyonu) aşağıdakiler gibi uygun teknikler kullanılarak önlenir:</w:t>
            </w:r>
          </w:p>
          <w:p w14:paraId="42C63B3A"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damlama tepsilerinin, forkliftlerin damlama tepsilerinin potansiyel olarak kontamine olmuş yüzeyleriyle temas etmeyecek şekilde tasarlanması</w:t>
            </w:r>
          </w:p>
          <w:p w14:paraId="49DB0A18"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yükleme ekipmanının (işlem görmüş ahşabı işlem tankından çıkarmak için kullanılan) işlem kimyasallarının yayılmasını önleyecek şekilde tasarlanması</w:t>
            </w:r>
          </w:p>
          <w:p w14:paraId="731F1561"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işlenmiş ahşabı taşımak için bir vinç sisteminin kullanılması</w:t>
            </w:r>
          </w:p>
          <w:p w14:paraId="0A842234" w14:textId="77777777" w:rsidR="003B155E" w:rsidRPr="000A5D99" w:rsidRDefault="003B155E" w:rsidP="003B155E">
            <w:pPr>
              <w:widowControl w:val="0"/>
              <w:numPr>
                <w:ilvl w:val="0"/>
                <w:numId w:val="133"/>
              </w:numPr>
              <w:autoSpaceDE w:val="0"/>
              <w:autoSpaceDN w:val="0"/>
              <w:spacing w:after="0" w:line="240" w:lineRule="auto"/>
              <w:ind w:left="192" w:right="74"/>
              <w:jc w:val="both"/>
              <w:rPr>
                <w:rFonts w:ascii="Times New Roman" w:eastAsia="Times New Roman" w:hAnsi="Times New Roman" w:cs="Times New Roman"/>
              </w:rPr>
            </w:pPr>
            <w:r w:rsidRPr="000A5D99">
              <w:rPr>
                <w:rFonts w:ascii="Times New Roman" w:eastAsia="Times New Roman" w:hAnsi="Times New Roman" w:cs="Times New Roman"/>
              </w:rPr>
              <w:t>potansiyel olarak kontamine alanlar için özel taşıma araçlarının kullanılması</w:t>
            </w:r>
          </w:p>
          <w:p w14:paraId="0A20D107" w14:textId="77777777" w:rsidR="003B155E" w:rsidRPr="000A5D99" w:rsidRDefault="003B155E" w:rsidP="000D79D6">
            <w:pPr>
              <w:widowControl w:val="0"/>
              <w:tabs>
                <w:tab w:val="left" w:pos="418"/>
                <w:tab w:val="left" w:pos="419"/>
              </w:tabs>
              <w:autoSpaceDE w:val="0"/>
              <w:autoSpaceDN w:val="0"/>
              <w:spacing w:after="0" w:line="244" w:lineRule="exact"/>
              <w:ind w:left="74" w:right="74"/>
              <w:rPr>
                <w:rFonts w:ascii="Times New Roman" w:eastAsia="Times New Roman" w:hAnsi="Times New Roman" w:cs="Times New Roman"/>
              </w:rPr>
            </w:pPr>
            <w:r w:rsidRPr="000A5D99">
              <w:rPr>
                <w:rFonts w:ascii="Times New Roman" w:eastAsia="Times New Roman" w:hAnsi="Times New Roman" w:cs="Times New Roman"/>
              </w:rPr>
              <w:t>- potansiyel olarak kontamine olmuş alanlara kısıtlı erişim</w:t>
            </w:r>
          </w:p>
          <w:p w14:paraId="27FFAC7F" w14:textId="77777777" w:rsidR="003B155E" w:rsidRPr="000A5D99" w:rsidRDefault="003B155E" w:rsidP="003B155E">
            <w:pPr>
              <w:widowControl w:val="0"/>
              <w:numPr>
                <w:ilvl w:val="0"/>
                <w:numId w:val="150"/>
              </w:numPr>
              <w:tabs>
                <w:tab w:val="left" w:pos="418"/>
                <w:tab w:val="left" w:pos="419"/>
              </w:tabs>
              <w:autoSpaceDE w:val="0"/>
              <w:autoSpaceDN w:val="0"/>
              <w:spacing w:after="0" w:line="244" w:lineRule="exact"/>
              <w:ind w:left="74" w:right="74" w:hanging="361"/>
              <w:jc w:val="both"/>
              <w:rPr>
                <w:rFonts w:ascii="Times New Roman" w:eastAsia="Times New Roman" w:hAnsi="Times New Roman" w:cs="Times New Roman"/>
              </w:rPr>
            </w:pPr>
            <w:r w:rsidRPr="000A5D99">
              <w:rPr>
                <w:rFonts w:ascii="Times New Roman" w:eastAsia="Times New Roman" w:hAnsi="Times New Roman" w:cs="Times New Roman"/>
              </w:rPr>
              <w:t>- kum yürüyüş yollarının kullanılması</w:t>
            </w:r>
          </w:p>
        </w:tc>
      </w:tr>
    </w:tbl>
    <w:p w14:paraId="2C1E3191" w14:textId="77777777" w:rsidR="003B155E" w:rsidRPr="000A5D99" w:rsidRDefault="003B155E" w:rsidP="003B155E">
      <w:pPr>
        <w:keepNext/>
        <w:keepLines/>
        <w:spacing w:before="240" w:after="120" w:line="360" w:lineRule="auto"/>
        <w:ind w:left="1154"/>
        <w:jc w:val="both"/>
        <w:outlineLvl w:val="2"/>
        <w:rPr>
          <w:rFonts w:ascii="Times New Roman" w:eastAsia="DengXian Light" w:hAnsi="Times New Roman" w:cs="Microsoft Uighur"/>
          <w:b/>
          <w:sz w:val="24"/>
          <w:szCs w:val="24"/>
          <w:lang w:val="es-ES"/>
        </w:rPr>
      </w:pPr>
      <w:bookmarkStart w:id="120" w:name="_Toc137210520"/>
      <w:r w:rsidRPr="000A5D99">
        <w:rPr>
          <w:rFonts w:ascii="Times New Roman" w:eastAsia="DengXian Light" w:hAnsi="Times New Roman" w:cs="Microsoft Uighur"/>
          <w:b/>
          <w:sz w:val="24"/>
          <w:szCs w:val="24"/>
          <w:lang w:val="es-ES"/>
        </w:rPr>
        <w:t>Su ve Atık Suya Emisyonların Yönetimi</w:t>
      </w:r>
      <w:bookmarkEnd w:id="120"/>
    </w:p>
    <w:p w14:paraId="1D605348" w14:textId="77777777" w:rsidR="003B155E" w:rsidRPr="000A5D99" w:rsidRDefault="003B155E" w:rsidP="003B155E">
      <w:pPr>
        <w:spacing w:before="240" w:after="0" w:line="360" w:lineRule="auto"/>
        <w:jc w:val="both"/>
        <w:rPr>
          <w:rFonts w:ascii="Times New Roman" w:eastAsia="Calibri" w:hAnsi="Times New Roman" w:cs="Calibri"/>
          <w:b/>
          <w:bCs/>
          <w:sz w:val="24"/>
          <w:lang w:val="es-ES"/>
        </w:rPr>
      </w:pPr>
      <w:r w:rsidRPr="000A5D99">
        <w:rPr>
          <w:rFonts w:ascii="Times New Roman" w:eastAsia="Calibri" w:hAnsi="Times New Roman" w:cs="Calibri"/>
          <w:b/>
          <w:bCs/>
          <w:sz w:val="24"/>
          <w:lang w:val="es-ES"/>
        </w:rPr>
        <w:t xml:space="preserve">MET 47: </w:t>
      </w:r>
      <w:r w:rsidRPr="000A5D99">
        <w:rPr>
          <w:rFonts w:ascii="Times New Roman" w:eastAsia="Calibri" w:hAnsi="Times New Roman" w:cs="Calibri"/>
          <w:sz w:val="24"/>
          <w:lang w:val="es-ES"/>
        </w:rPr>
        <w:t>Suya emisyonları önlemek veya bunun mümkün olmadığı durumlarda su tüketimini azaltmak için aşağıda verilen tüm teknikler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
        <w:gridCol w:w="1876"/>
        <w:gridCol w:w="4941"/>
        <w:gridCol w:w="1959"/>
      </w:tblGrid>
      <w:tr w:rsidR="003B155E" w:rsidRPr="000A5D99" w14:paraId="670583FB" w14:textId="77777777" w:rsidTr="000D79D6">
        <w:trPr>
          <w:trHeight w:val="230"/>
          <w:tblHeader/>
        </w:trPr>
        <w:tc>
          <w:tcPr>
            <w:tcW w:w="158" w:type="pct"/>
            <w:tcBorders>
              <w:right w:val="single" w:sz="4" w:space="0" w:color="auto"/>
            </w:tcBorders>
            <w:vAlign w:val="center"/>
          </w:tcPr>
          <w:p w14:paraId="1367AF33"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035" w:type="pct"/>
            <w:tcBorders>
              <w:left w:val="single" w:sz="4" w:space="0" w:color="auto"/>
            </w:tcBorders>
            <w:vAlign w:val="center"/>
          </w:tcPr>
          <w:p w14:paraId="0BB8FA4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726" w:type="pct"/>
            <w:vAlign w:val="center"/>
          </w:tcPr>
          <w:p w14:paraId="5266BCA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c>
          <w:tcPr>
            <w:tcW w:w="1081" w:type="pct"/>
            <w:vAlign w:val="center"/>
          </w:tcPr>
          <w:p w14:paraId="4A602F5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55242864" w14:textId="77777777" w:rsidTr="000D79D6">
        <w:trPr>
          <w:trHeight w:val="5244"/>
        </w:trPr>
        <w:tc>
          <w:tcPr>
            <w:tcW w:w="158" w:type="pct"/>
            <w:tcBorders>
              <w:right w:val="single" w:sz="4" w:space="0" w:color="auto"/>
            </w:tcBorders>
            <w:vAlign w:val="center"/>
          </w:tcPr>
          <w:p w14:paraId="59A530C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035" w:type="pct"/>
            <w:tcBorders>
              <w:left w:val="single" w:sz="4" w:space="0" w:color="auto"/>
            </w:tcBorders>
            <w:vAlign w:val="center"/>
          </w:tcPr>
          <w:p w14:paraId="314D91D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Yağmur ve yüzey akış suyunun kirlenmesini önleme teknikleri</w:t>
            </w:r>
          </w:p>
        </w:tc>
        <w:tc>
          <w:tcPr>
            <w:tcW w:w="2726" w:type="pct"/>
            <w:vAlign w:val="center"/>
          </w:tcPr>
          <w:p w14:paraId="07E0EAD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Yağmur ve yüzey akış suyu, işlem kimyasallarının depolandığı veya işlendiği alanlardan, taze işlenmiş ahşabın depolandığı alanlardan ve kirli sudan ayrı tutulur. Bu, en az aşağıdaki teknikler kullanılarak sağlanır:</w:t>
            </w:r>
          </w:p>
          <w:p w14:paraId="5A9E8FCD" w14:textId="77777777" w:rsidR="003B155E" w:rsidRPr="000A5D99" w:rsidRDefault="003B155E" w:rsidP="003B155E">
            <w:pPr>
              <w:widowControl w:val="0"/>
              <w:numPr>
                <w:ilvl w:val="0"/>
                <w:numId w:val="151"/>
              </w:numPr>
              <w:tabs>
                <w:tab w:val="left" w:pos="259"/>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tesisin çevresinde drenaj kanalları ve/veya bir dış bordür seti</w:t>
            </w:r>
          </w:p>
          <w:p w14:paraId="0FFF86D0" w14:textId="77777777" w:rsidR="003B155E" w:rsidRPr="000A5D99" w:rsidRDefault="003B155E" w:rsidP="003B155E">
            <w:pPr>
              <w:widowControl w:val="0"/>
              <w:numPr>
                <w:ilvl w:val="0"/>
                <w:numId w:val="151"/>
              </w:numPr>
              <w:tabs>
                <w:tab w:val="left" w:pos="258"/>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işlem kimyasallarının depolandığı veya işlendiği alanların (işlem kimyasallarının depolama alanı; işlem alanı, işlem sonrası koşulllandırma ve ara depolama alanları; işlem kimyasalları için borular ve kanallar; kreozot (yeniden) koşullandırma tesisleri) çatı oluklarıyla kaplanması;</w:t>
            </w:r>
          </w:p>
          <w:p w14:paraId="58E39D26" w14:textId="77777777" w:rsidR="003B155E" w:rsidRPr="000A5D99" w:rsidRDefault="003B155E" w:rsidP="003B155E">
            <w:pPr>
              <w:widowControl w:val="0"/>
              <w:numPr>
                <w:ilvl w:val="0"/>
                <w:numId w:val="151"/>
              </w:numPr>
              <w:tabs>
                <w:tab w:val="left" w:pos="276"/>
              </w:tabs>
              <w:autoSpaceDE w:val="0"/>
              <w:autoSpaceDN w:val="0"/>
              <w:spacing w:after="0" w:line="240" w:lineRule="auto"/>
              <w:ind w:left="74" w:right="74" w:firstLine="0"/>
              <w:jc w:val="both"/>
              <w:rPr>
                <w:rFonts w:ascii="Times New Roman" w:eastAsia="Times New Roman" w:hAnsi="Times New Roman" w:cs="Times New Roman"/>
              </w:rPr>
            </w:pPr>
            <w:r w:rsidRPr="000A5D99">
              <w:rPr>
                <w:rFonts w:ascii="Times New Roman" w:eastAsia="Times New Roman" w:hAnsi="Times New Roman" w:cs="Times New Roman"/>
              </w:rPr>
              <w:t>İşlem için kullanılan ahşap koruyucu için, işlenmiş ahşabın depolanması için hava koşullarına karşı koruma (örneğin; çatı kaplama, brandalar).</w:t>
            </w:r>
          </w:p>
          <w:p w14:paraId="2F108E8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p>
        </w:tc>
        <w:tc>
          <w:tcPr>
            <w:tcW w:w="1081" w:type="pct"/>
            <w:vAlign w:val="center"/>
          </w:tcPr>
          <w:p w14:paraId="29379A3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Mevcut tesisler için, drenaj kanallarının ve bir dış bordür setinin uygulanabilirliği, tesis alanının büyüklüğü ile sınırlandırılabilir.</w:t>
            </w:r>
          </w:p>
        </w:tc>
      </w:tr>
      <w:tr w:rsidR="003B155E" w:rsidRPr="000A5D99" w14:paraId="08A5E640" w14:textId="77777777" w:rsidTr="000D79D6">
        <w:trPr>
          <w:trHeight w:val="1148"/>
        </w:trPr>
        <w:tc>
          <w:tcPr>
            <w:tcW w:w="158" w:type="pct"/>
            <w:vAlign w:val="center"/>
          </w:tcPr>
          <w:p w14:paraId="672E5A3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035" w:type="pct"/>
            <w:vAlign w:val="center"/>
          </w:tcPr>
          <w:p w14:paraId="7847102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Potansiyel olarak kontamine olmuş yüzey akış suyunun toplanması</w:t>
            </w:r>
          </w:p>
        </w:tc>
        <w:tc>
          <w:tcPr>
            <w:tcW w:w="2726" w:type="pct"/>
            <w:vAlign w:val="center"/>
          </w:tcPr>
          <w:p w14:paraId="59434F6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İşleme kimyasalları ile potansiyel olarak kontamine olmuş alanlardan yüzey akış suyu ayrı olarak toplanır. Toplanan atık su ancak uygun önlemler alındıktan sonra tahliye edilir (örneğin, izleme (</w:t>
            </w:r>
            <w:r w:rsidRPr="004B4E52">
              <w:rPr>
                <w:rFonts w:ascii="Times New Roman" w:eastAsia="Times New Roman" w:hAnsi="Times New Roman" w:cs="Times New Roman"/>
              </w:rPr>
              <w:t>bkz. MET 43), işlem (bkz. MET 47 (e)), kullanım (bkz. MET 47 (c)).</w:t>
            </w:r>
          </w:p>
        </w:tc>
        <w:tc>
          <w:tcPr>
            <w:tcW w:w="1081" w:type="pct"/>
            <w:vAlign w:val="center"/>
          </w:tcPr>
          <w:p w14:paraId="064B0FB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3AF14E26" w14:textId="77777777" w:rsidTr="000D79D6">
        <w:trPr>
          <w:trHeight w:val="2070"/>
        </w:trPr>
        <w:tc>
          <w:tcPr>
            <w:tcW w:w="158" w:type="pct"/>
            <w:vAlign w:val="center"/>
          </w:tcPr>
          <w:p w14:paraId="5F7EDCC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035" w:type="pct"/>
            <w:vAlign w:val="center"/>
          </w:tcPr>
          <w:p w14:paraId="20E8624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Potansiyel olarak kontamine olmuş yüzey akış suyunun kullanımı</w:t>
            </w:r>
          </w:p>
        </w:tc>
        <w:tc>
          <w:tcPr>
            <w:tcW w:w="2726" w:type="pct"/>
            <w:vAlign w:val="center"/>
          </w:tcPr>
          <w:p w14:paraId="0E0E5F0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Toplandıktan sonra potansiyel olarak kontamine olmuş yüzey akış suyu, su bazlı ahşap koruyucu solüsyonların hazırlanması için kullanılır.</w:t>
            </w:r>
          </w:p>
        </w:tc>
        <w:tc>
          <w:tcPr>
            <w:tcW w:w="1081" w:type="pct"/>
            <w:vAlign w:val="center"/>
          </w:tcPr>
          <w:p w14:paraId="585FB22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Sadece su bazlı işlem kimyasalları kullanan tesisler için geçerlidir.</w:t>
            </w:r>
          </w:p>
          <w:p w14:paraId="6A438279" w14:textId="77777777" w:rsidR="003B155E" w:rsidRPr="000A5D99" w:rsidRDefault="003B155E" w:rsidP="000D79D6">
            <w:pPr>
              <w:widowControl w:val="0"/>
              <w:tabs>
                <w:tab w:val="left" w:pos="1414"/>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kullanım amacına yönelik kalite gereklilikleri ile sınırlandırılabilir.</w:t>
            </w:r>
          </w:p>
        </w:tc>
      </w:tr>
      <w:tr w:rsidR="003B155E" w:rsidRPr="000A5D99" w14:paraId="58A78375" w14:textId="77777777" w:rsidTr="000D79D6">
        <w:trPr>
          <w:trHeight w:val="920"/>
        </w:trPr>
        <w:tc>
          <w:tcPr>
            <w:tcW w:w="158" w:type="pct"/>
            <w:vAlign w:val="center"/>
          </w:tcPr>
          <w:p w14:paraId="564FDAC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1035" w:type="pct"/>
            <w:vAlign w:val="center"/>
          </w:tcPr>
          <w:p w14:paraId="5087D48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Temizleme suyunun yeniden kullanımı</w:t>
            </w:r>
          </w:p>
        </w:tc>
        <w:tc>
          <w:tcPr>
            <w:tcW w:w="2726" w:type="pct"/>
            <w:vAlign w:val="center"/>
          </w:tcPr>
          <w:p w14:paraId="05F07A7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Ekipman ve konteynırları yıkamak için kullanılan su geri kazanılır ve su bazlı ahşap koruyucu solüsyonların hazırlanmasında yeniden kullanılır.</w:t>
            </w:r>
          </w:p>
        </w:tc>
        <w:tc>
          <w:tcPr>
            <w:tcW w:w="1081" w:type="pct"/>
            <w:vAlign w:val="center"/>
          </w:tcPr>
          <w:p w14:paraId="7597B92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Sadece su bazlı işlem kimyasalları kullanan tesisler için geçerlidir.</w:t>
            </w:r>
          </w:p>
        </w:tc>
      </w:tr>
      <w:tr w:rsidR="003B155E" w:rsidRPr="000A5D99" w14:paraId="0F96B5BF" w14:textId="77777777" w:rsidTr="000D79D6">
        <w:trPr>
          <w:trHeight w:val="1150"/>
        </w:trPr>
        <w:tc>
          <w:tcPr>
            <w:tcW w:w="158" w:type="pct"/>
            <w:vAlign w:val="center"/>
          </w:tcPr>
          <w:p w14:paraId="2D6AFB7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035" w:type="pct"/>
            <w:vAlign w:val="center"/>
          </w:tcPr>
          <w:p w14:paraId="7C3CF30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Atık suyun arıtılması</w:t>
            </w:r>
          </w:p>
        </w:tc>
        <w:tc>
          <w:tcPr>
            <w:tcW w:w="2726" w:type="pct"/>
            <w:vAlign w:val="center"/>
          </w:tcPr>
          <w:p w14:paraId="4943DFE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Toplanan yüzeysel akışında ve/veya temizleme suyunda kontaminasyon tespit edildiğinde veya beklendiğinde ve suyun kullanımının mümkün olmadığı durumlarda, atık su uygun bir atık su arıtma tesisinde (tesis içinde veya dışında) arıtılır.</w:t>
            </w:r>
          </w:p>
        </w:tc>
        <w:tc>
          <w:tcPr>
            <w:tcW w:w="1081" w:type="pct"/>
            <w:vAlign w:val="center"/>
          </w:tcPr>
          <w:p w14:paraId="4BF1A01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174D721D" w14:textId="77777777" w:rsidTr="000D79D6">
        <w:trPr>
          <w:trHeight w:val="425"/>
        </w:trPr>
        <w:tc>
          <w:tcPr>
            <w:tcW w:w="158" w:type="pct"/>
            <w:vAlign w:val="center"/>
          </w:tcPr>
          <w:p w14:paraId="23C726B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w:t>
            </w:r>
          </w:p>
        </w:tc>
        <w:tc>
          <w:tcPr>
            <w:tcW w:w="1035" w:type="pct"/>
            <w:vAlign w:val="center"/>
          </w:tcPr>
          <w:p w14:paraId="2A26365E"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Tehlikeli atığın bertarafı</w:t>
            </w:r>
          </w:p>
        </w:tc>
        <w:tc>
          <w:tcPr>
            <w:tcW w:w="2726" w:type="pct"/>
            <w:vAlign w:val="center"/>
          </w:tcPr>
          <w:p w14:paraId="17008AD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Toplanan yüzey akış suyunda ve/veya temizleme suyunda kontanimasyon tespit edildiğinde veya beklendiğinde ve suyun arıtılmasının veya kullanılmasının mümkün olmadığı durumlarda, toplanan yüzey akış suyu ve/veya temizleme suyu tehlikeli atık olarak bertaraf edilir.</w:t>
            </w:r>
          </w:p>
        </w:tc>
        <w:tc>
          <w:tcPr>
            <w:tcW w:w="1081" w:type="pct"/>
            <w:vAlign w:val="center"/>
          </w:tcPr>
          <w:p w14:paraId="0ADB3A0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bl>
    <w:p w14:paraId="7260DC9E" w14:textId="77777777" w:rsidR="004B4E52" w:rsidRDefault="004B4E52" w:rsidP="003B155E">
      <w:pPr>
        <w:spacing w:before="240" w:after="0" w:line="360" w:lineRule="auto"/>
        <w:jc w:val="both"/>
        <w:rPr>
          <w:rFonts w:ascii="Times New Roman" w:eastAsia="Calibri" w:hAnsi="Times New Roman" w:cs="Calibri"/>
          <w:b/>
          <w:bCs/>
          <w:sz w:val="24"/>
        </w:rPr>
      </w:pPr>
    </w:p>
    <w:p w14:paraId="111F8107" w14:textId="409A1693" w:rsidR="003B155E" w:rsidRPr="00EE5089" w:rsidRDefault="003B155E" w:rsidP="003B155E">
      <w:pPr>
        <w:spacing w:before="240" w:after="0" w:line="360" w:lineRule="auto"/>
        <w:jc w:val="both"/>
        <w:rPr>
          <w:rFonts w:ascii="Times New Roman" w:eastAsia="Calibri" w:hAnsi="Times New Roman" w:cs="Calibri"/>
          <w:b/>
          <w:bCs/>
          <w:sz w:val="24"/>
        </w:rPr>
      </w:pPr>
      <w:r w:rsidRPr="00EE5089">
        <w:rPr>
          <w:rFonts w:ascii="Times New Roman" w:eastAsia="Calibri" w:hAnsi="Times New Roman" w:cs="Calibri"/>
          <w:b/>
          <w:bCs/>
          <w:sz w:val="24"/>
        </w:rPr>
        <w:lastRenderedPageBreak/>
        <w:t xml:space="preserve">MET 48: </w:t>
      </w:r>
      <w:r w:rsidRPr="00EE5089">
        <w:rPr>
          <w:rFonts w:ascii="Times New Roman" w:eastAsia="Calibri" w:hAnsi="Times New Roman" w:cs="Calibri"/>
          <w:sz w:val="24"/>
        </w:rPr>
        <w:t>Kreozot kullanılarak ahşap ve ahşap ürünlerinin korunmasından kaynaklanan suya emisyonları azaltmak amacıyla, işlem tankının basıncı düşürülür ve vakum işlemi ile kreozot (yeniden) koşullandırmadan kaynaklanan kondensatlar toplanır; bunlar tesiste aktif karbon veya kum filtresi kullanılarak arıtılır veya tehlikeli atık olarak bertaraf edilir.</w:t>
      </w:r>
    </w:p>
    <w:p w14:paraId="00A5AFC1"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EE5089">
        <w:rPr>
          <w:rFonts w:ascii="Times New Roman" w:eastAsia="Calibri" w:hAnsi="Times New Roman" w:cs="Calibri"/>
          <w:sz w:val="24"/>
        </w:rPr>
        <w:t xml:space="preserve">Yoğuşma hacimleri toplanır, çökelmesine izin verilir ve aktif karbon veya kum filtresinde işlenir. </w:t>
      </w:r>
      <w:r w:rsidRPr="000A5D99">
        <w:rPr>
          <w:rFonts w:ascii="Times New Roman" w:eastAsia="Calibri" w:hAnsi="Times New Roman" w:cs="Calibri"/>
          <w:sz w:val="24"/>
          <w:lang w:val="es-ES"/>
        </w:rPr>
        <w:t xml:space="preserve">Arıtılan su ya yeniden kullanılır (kapalı devre) ya da genel kanalizasyon sistemine deşarj edilir. </w:t>
      </w:r>
      <w:r w:rsidRPr="000A5D99">
        <w:rPr>
          <w:rFonts w:ascii="Times New Roman" w:eastAsia="Calibri" w:hAnsi="Times New Roman" w:cs="Calibri"/>
          <w:sz w:val="24"/>
          <w:lang w:val="en-US"/>
        </w:rPr>
        <w:t>Alternatif olarak, toplanan kondensatlar tehlikeli atık olarak bertaraf edilebilir.</w:t>
      </w:r>
    </w:p>
    <w:p w14:paraId="6F543A27" w14:textId="77777777" w:rsidR="003B155E" w:rsidRPr="000A5D99" w:rsidRDefault="003B155E" w:rsidP="003B155E">
      <w:pPr>
        <w:keepNext/>
        <w:keepLines/>
        <w:numPr>
          <w:ilvl w:val="1"/>
          <w:numId w:val="192"/>
        </w:numPr>
        <w:spacing w:before="240" w:after="120" w:line="360" w:lineRule="auto"/>
        <w:ind w:left="434"/>
        <w:jc w:val="both"/>
        <w:outlineLvl w:val="2"/>
        <w:rPr>
          <w:rFonts w:ascii="Times New Roman" w:eastAsia="DengXian Light" w:hAnsi="Times New Roman" w:cs="Microsoft Uighur"/>
          <w:b/>
          <w:sz w:val="24"/>
          <w:szCs w:val="24"/>
          <w:lang w:val="en-US"/>
        </w:rPr>
      </w:pPr>
      <w:bookmarkStart w:id="121" w:name="_Toc137210521"/>
      <w:r w:rsidRPr="000A5D99">
        <w:rPr>
          <w:rFonts w:ascii="Times New Roman" w:eastAsia="DengXian Light" w:hAnsi="Times New Roman" w:cs="Microsoft Uighur"/>
          <w:b/>
          <w:sz w:val="24"/>
          <w:szCs w:val="24"/>
          <w:lang w:val="en-US"/>
        </w:rPr>
        <w:t>Havaya Emisyonlar</w:t>
      </w:r>
      <w:bookmarkEnd w:id="121"/>
    </w:p>
    <w:p w14:paraId="0D47EF78"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49: </w:t>
      </w:r>
      <w:r w:rsidRPr="000A5D99">
        <w:rPr>
          <w:rFonts w:ascii="Times New Roman" w:eastAsia="Calibri" w:hAnsi="Times New Roman" w:cs="Calibri"/>
          <w:sz w:val="24"/>
          <w:lang w:val="en-US"/>
        </w:rPr>
        <w:t xml:space="preserve">Solvent bazlı işleme kimyasalları kullanılarak ahşap ve ahşap ürünlerinin korunmasından kaynaklanan havaya UOB emisyonları azaltılır, emisyon yayan ekipman veya prosesler kapatılır, çıkış gazları tahliye edilir ve bunlar bir arıtma sistemine gönderilir (bkz. </w:t>
      </w:r>
      <w:r w:rsidRPr="000A5D99">
        <w:rPr>
          <w:rFonts w:ascii="Times New Roman" w:eastAsia="Calibri" w:hAnsi="Times New Roman" w:cs="Calibri"/>
          <w:b/>
          <w:bCs/>
          <w:sz w:val="24"/>
          <w:lang w:val="en-US"/>
        </w:rPr>
        <w:t>MET 51</w:t>
      </w:r>
      <w:r w:rsidRPr="000A5D99">
        <w:rPr>
          <w:rFonts w:ascii="Times New Roman" w:eastAsia="Calibri" w:hAnsi="Times New Roman" w:cs="Calibri"/>
          <w:sz w:val="24"/>
          <w:lang w:val="en-US"/>
        </w:rPr>
        <w:t>'deki teknikler).</w:t>
      </w:r>
    </w:p>
    <w:p w14:paraId="1BBA9301"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50: </w:t>
      </w:r>
      <w:r w:rsidRPr="000A5D99">
        <w:rPr>
          <w:rFonts w:ascii="Times New Roman" w:eastAsia="Calibri" w:hAnsi="Times New Roman" w:cs="Calibri"/>
          <w:sz w:val="24"/>
          <w:lang w:val="en-US"/>
        </w:rPr>
        <w:t>Organik bileşiklerin emisyonlarını ve kreozot kullanılarak ahşap ve ahşap ürünlerinin korunmasından kaynaklanan kokuyu azaltmak için, düşük uçuculukta emprenye yağları kullanılır (örneğin, B sınıfı yerine C sınıfı kreozot kullanımı).</w:t>
      </w:r>
    </w:p>
    <w:p w14:paraId="5FA660FB"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51: </w:t>
      </w:r>
      <w:r w:rsidRPr="000A5D99">
        <w:rPr>
          <w:rFonts w:ascii="Times New Roman" w:eastAsia="Calibri" w:hAnsi="Times New Roman" w:cs="Calibri"/>
          <w:sz w:val="24"/>
          <w:lang w:val="en-US"/>
        </w:rPr>
        <w:t>Kreozot kullanılarak ahşap ve ahşap ürünlerinin korunmasından kaynaklanan havaya organik bileşik emisyonlarını azaltmak amacıyla emisyon yayan ekipman veya prosesler muhafaza altına alınır (örneğin, depolama ve emprenye tankları, basınçsızlaştırma, kreozot yenileme), çıkış gazları tahliye edilir ve aşağıda verilen işlem tekniklerinden biri veya bu tekniklerin bir kombinasyonu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2"/>
        <w:gridCol w:w="2251"/>
        <w:gridCol w:w="4526"/>
        <w:gridCol w:w="2003"/>
      </w:tblGrid>
      <w:tr w:rsidR="003B155E" w:rsidRPr="000A5D99" w14:paraId="7E63FEE8" w14:textId="77777777" w:rsidTr="000D79D6">
        <w:trPr>
          <w:trHeight w:val="230"/>
          <w:tblHeader/>
        </w:trPr>
        <w:tc>
          <w:tcPr>
            <w:tcW w:w="156" w:type="pct"/>
            <w:tcBorders>
              <w:right w:val="single" w:sz="4" w:space="0" w:color="auto"/>
            </w:tcBorders>
            <w:vAlign w:val="center"/>
          </w:tcPr>
          <w:p w14:paraId="0CE3724D"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242" w:type="pct"/>
            <w:tcBorders>
              <w:left w:val="single" w:sz="4" w:space="0" w:color="auto"/>
            </w:tcBorders>
            <w:vAlign w:val="center"/>
          </w:tcPr>
          <w:p w14:paraId="0CA4A3C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2497" w:type="pct"/>
            <w:vAlign w:val="center"/>
          </w:tcPr>
          <w:p w14:paraId="232BDEC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c>
          <w:tcPr>
            <w:tcW w:w="1105" w:type="pct"/>
            <w:vAlign w:val="center"/>
          </w:tcPr>
          <w:p w14:paraId="650EA886"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4FACC00F" w14:textId="77777777" w:rsidTr="000D79D6">
        <w:trPr>
          <w:trHeight w:val="460"/>
        </w:trPr>
        <w:tc>
          <w:tcPr>
            <w:tcW w:w="156" w:type="pct"/>
            <w:vAlign w:val="center"/>
          </w:tcPr>
          <w:p w14:paraId="5D370F8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242" w:type="pct"/>
            <w:vAlign w:val="center"/>
          </w:tcPr>
          <w:p w14:paraId="245AA03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Termal oksidasyon</w:t>
            </w:r>
          </w:p>
        </w:tc>
        <w:tc>
          <w:tcPr>
            <w:tcW w:w="2497" w:type="pct"/>
            <w:vAlign w:val="center"/>
          </w:tcPr>
          <w:p w14:paraId="43C0CAA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Egzoz ısısı, ısı eşanjörleri vasıtasıyla geri kazanılabilir. (Bkz. MET </w:t>
            </w:r>
            <w:r w:rsidRPr="000A5D99">
              <w:rPr>
                <w:rFonts w:ascii="Times New Roman" w:eastAsia="Times New Roman" w:hAnsi="Times New Roman" w:cs="Times New Roman"/>
                <w:b/>
                <w:bCs/>
              </w:rPr>
              <w:t>15 (i).</w:t>
            </w:r>
            <w:r w:rsidRPr="000A5D99">
              <w:rPr>
                <w:rFonts w:ascii="Times New Roman" w:eastAsia="Times New Roman" w:hAnsi="Times New Roman" w:cs="Times New Roman"/>
              </w:rPr>
              <w:t>)</w:t>
            </w:r>
          </w:p>
        </w:tc>
        <w:tc>
          <w:tcPr>
            <w:tcW w:w="1105" w:type="pct"/>
            <w:vAlign w:val="center"/>
          </w:tcPr>
          <w:p w14:paraId="562B2163"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5FCC62AB" w14:textId="77777777" w:rsidTr="000D79D6">
        <w:trPr>
          <w:trHeight w:val="1839"/>
        </w:trPr>
        <w:tc>
          <w:tcPr>
            <w:tcW w:w="156" w:type="pct"/>
            <w:vAlign w:val="center"/>
          </w:tcPr>
          <w:p w14:paraId="3150EB4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242" w:type="pct"/>
            <w:vAlign w:val="center"/>
          </w:tcPr>
          <w:p w14:paraId="085E9E8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gazlarının bir yakma tesisine gönderilmesi</w:t>
            </w:r>
          </w:p>
        </w:tc>
        <w:tc>
          <w:tcPr>
            <w:tcW w:w="2497" w:type="pct"/>
            <w:vAlign w:val="center"/>
          </w:tcPr>
          <w:p w14:paraId="30F40FB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Çıkış gazlarının bir kısmı veya tamamı, buhar ve/veya elektrik üretimi için kullanılan bir yakma tesisine [CHP (birleşik ısı ve güç) tesisleri dahil] yanma havası ve ek yakıt olarak gönderilir.</w:t>
            </w:r>
          </w:p>
        </w:tc>
        <w:tc>
          <w:tcPr>
            <w:tcW w:w="1105" w:type="pct"/>
            <w:vAlign w:val="center"/>
          </w:tcPr>
          <w:p w14:paraId="1E0C7AB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EED Madde 59(5)'te atıfta bulunulan maddeleri içeren çıkış gazları için geçerli değildir. Uygulanabilirlik, güvenlik hususları nedeniyle kısıtlanabilir.</w:t>
            </w:r>
          </w:p>
        </w:tc>
      </w:tr>
      <w:tr w:rsidR="003B155E" w:rsidRPr="000A5D99" w14:paraId="295A0FE9" w14:textId="77777777" w:rsidTr="000D79D6">
        <w:trPr>
          <w:trHeight w:val="1149"/>
        </w:trPr>
        <w:tc>
          <w:tcPr>
            <w:tcW w:w="156" w:type="pct"/>
            <w:vAlign w:val="center"/>
          </w:tcPr>
          <w:p w14:paraId="3EF2300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1242" w:type="pct"/>
            <w:vAlign w:val="center"/>
          </w:tcPr>
          <w:p w14:paraId="6C2A858A"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Aktif karbon kullanarak adsorpsiyon</w:t>
            </w:r>
          </w:p>
        </w:tc>
        <w:tc>
          <w:tcPr>
            <w:tcW w:w="2497" w:type="pct"/>
            <w:vAlign w:val="center"/>
          </w:tcPr>
          <w:p w14:paraId="3651F40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Organik bileşikler aktif karbon yüzeyinde adsorbe edilir. Adsorbe edilen bileşikler daha sonra yeniden kullanım veya imha için örneğin buharla (genellikle tesiste) desorbe edilebilir ve adsorban yeniden kullanılır.</w:t>
            </w:r>
          </w:p>
        </w:tc>
        <w:tc>
          <w:tcPr>
            <w:tcW w:w="1105" w:type="pct"/>
            <w:vAlign w:val="center"/>
          </w:tcPr>
          <w:p w14:paraId="010B4B72" w14:textId="77777777" w:rsidR="003B155E" w:rsidRPr="000A5D99" w:rsidRDefault="003B155E" w:rsidP="000D79D6">
            <w:pPr>
              <w:widowControl w:val="0"/>
              <w:autoSpaceDE w:val="0"/>
              <w:autoSpaceDN w:val="0"/>
              <w:spacing w:after="0" w:line="240" w:lineRule="auto"/>
              <w:ind w:left="74" w:right="74" w:firstLine="42"/>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389BF625" w14:textId="77777777" w:rsidTr="000D79D6">
        <w:trPr>
          <w:trHeight w:val="689"/>
        </w:trPr>
        <w:tc>
          <w:tcPr>
            <w:tcW w:w="156" w:type="pct"/>
            <w:vAlign w:val="center"/>
          </w:tcPr>
          <w:p w14:paraId="7F2119A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lastRenderedPageBreak/>
              <w:t>d</w:t>
            </w:r>
          </w:p>
        </w:tc>
        <w:tc>
          <w:tcPr>
            <w:tcW w:w="1242" w:type="pct"/>
            <w:vAlign w:val="center"/>
          </w:tcPr>
          <w:p w14:paraId="33E260B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Uygun bir sıvı kullanarak absorpsiyon</w:t>
            </w:r>
          </w:p>
        </w:tc>
        <w:tc>
          <w:tcPr>
            <w:tcW w:w="2497" w:type="pct"/>
            <w:vAlign w:val="center"/>
          </w:tcPr>
          <w:p w14:paraId="0EA444F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Absorpsiyon yoluyla çıkış gazlarından kirleticileri, özellikle çözünür bileşikleri uzaklaştırmak için uygun bir sıvının kullanılmasıdır.</w:t>
            </w:r>
          </w:p>
        </w:tc>
        <w:tc>
          <w:tcPr>
            <w:tcW w:w="1105" w:type="pct"/>
            <w:vAlign w:val="center"/>
          </w:tcPr>
          <w:p w14:paraId="4EF56E79"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Genel olarak uygulanabilir.</w:t>
            </w:r>
          </w:p>
        </w:tc>
      </w:tr>
      <w:tr w:rsidR="003B155E" w:rsidRPr="000A5D99" w14:paraId="31E624AE" w14:textId="77777777" w:rsidTr="000D79D6">
        <w:trPr>
          <w:trHeight w:val="2070"/>
        </w:trPr>
        <w:tc>
          <w:tcPr>
            <w:tcW w:w="156" w:type="pct"/>
            <w:vAlign w:val="center"/>
          </w:tcPr>
          <w:p w14:paraId="523EA94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1242" w:type="pct"/>
            <w:vAlign w:val="center"/>
          </w:tcPr>
          <w:p w14:paraId="48F0FFB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Yoğuşturma</w:t>
            </w:r>
          </w:p>
          <w:p w14:paraId="608E805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p>
        </w:tc>
        <w:tc>
          <w:tcPr>
            <w:tcW w:w="2497" w:type="pct"/>
            <w:vAlign w:val="center"/>
          </w:tcPr>
          <w:p w14:paraId="55DE95A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Buharların sıvılaşması için sıcaklığı çiğ noktalarının altına düşürerek organik bileşikleri uzaklaştırmak için kullanılan tekniktir. Gerekli çalışma sıcaklığı aralığına bağlı olarak, örneğin, soğutma suyu, soğutulmuş su (sıcaklık genellikle 5 °C civarındadır), amonyak veya propan gibi farklı soğutucu akışkanlar kullanılır.</w:t>
            </w:r>
          </w:p>
          <w:p w14:paraId="571FC77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Yoğuşturma, başka bir azaltma tekniği ile birlikte kullanılır.</w:t>
            </w:r>
          </w:p>
        </w:tc>
        <w:tc>
          <w:tcPr>
            <w:tcW w:w="1105" w:type="pct"/>
            <w:vAlign w:val="center"/>
          </w:tcPr>
          <w:p w14:paraId="7932EE1F" w14:textId="77777777" w:rsidR="003B155E" w:rsidRPr="000A5D99" w:rsidRDefault="003B155E" w:rsidP="000D79D6">
            <w:pPr>
              <w:widowControl w:val="0"/>
              <w:tabs>
                <w:tab w:val="left" w:pos="1669"/>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UOB içeriği nedeniyle geri kazanım için enerji talebinin çok yüksek olduğu durumlarda uygulanabilirlik kısıtlanabilir.</w:t>
            </w:r>
          </w:p>
        </w:tc>
      </w:tr>
    </w:tbl>
    <w:p w14:paraId="651A0625" w14:textId="77777777" w:rsidR="003B155E" w:rsidRPr="000A5D99" w:rsidRDefault="003B155E" w:rsidP="003B155E">
      <w:pPr>
        <w:spacing w:before="240" w:after="0" w:line="360" w:lineRule="auto"/>
        <w:jc w:val="center"/>
        <w:rPr>
          <w:rFonts w:ascii="Times New Roman" w:eastAsia="Calibri" w:hAnsi="Times New Roman" w:cs="Calibri"/>
          <w:bCs/>
          <w:i/>
          <w:color w:val="000000"/>
          <w:sz w:val="24"/>
          <w:szCs w:val="24"/>
        </w:rPr>
      </w:pPr>
      <w:r w:rsidRPr="000A5D99">
        <w:rPr>
          <w:rFonts w:ascii="Times New Roman" w:eastAsia="Calibri" w:hAnsi="Times New Roman" w:cs="Calibri"/>
          <w:bCs/>
          <w:i/>
          <w:color w:val="000000"/>
          <w:sz w:val="24"/>
          <w:szCs w:val="24"/>
        </w:rPr>
        <w:t>Table 36</w:t>
      </w:r>
    </w:p>
    <w:p w14:paraId="326A989A" w14:textId="77777777" w:rsidR="003B155E" w:rsidRPr="000A5D99" w:rsidRDefault="003B155E" w:rsidP="003B155E">
      <w:pPr>
        <w:spacing w:before="240" w:after="0" w:line="360" w:lineRule="auto"/>
        <w:jc w:val="center"/>
        <w:rPr>
          <w:rFonts w:ascii="Times New Roman" w:eastAsia="Calibri" w:hAnsi="Times New Roman" w:cs="Calibri"/>
          <w:b/>
          <w:iCs/>
          <w:color w:val="000000"/>
          <w:sz w:val="24"/>
          <w:szCs w:val="24"/>
        </w:rPr>
      </w:pPr>
      <w:r w:rsidRPr="000A5D99">
        <w:rPr>
          <w:rFonts w:ascii="Times New Roman" w:eastAsia="Calibri" w:hAnsi="Times New Roman" w:cs="Calibri"/>
          <w:b/>
          <w:iCs/>
          <w:color w:val="000000"/>
          <w:sz w:val="24"/>
          <w:szCs w:val="24"/>
        </w:rPr>
        <w:t>Kreozot ve/veya solvent bazlı işlem kimyasalları kullanılarak ahşap ve ahşap ürünlerin korunmasından kaynaklanan atık gazlardaki TUOB ve PAH emisyonları için MET ile ilişkili emisyon seviyeleri (MET-İES’ler)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03"/>
        <w:gridCol w:w="2492"/>
        <w:gridCol w:w="2592"/>
        <w:gridCol w:w="2275"/>
      </w:tblGrid>
      <w:tr w:rsidR="003B155E" w:rsidRPr="000A5D99" w14:paraId="25559F23" w14:textId="77777777" w:rsidTr="000D79D6">
        <w:trPr>
          <w:trHeight w:val="690"/>
        </w:trPr>
        <w:tc>
          <w:tcPr>
            <w:tcW w:w="940" w:type="pct"/>
            <w:vAlign w:val="center"/>
          </w:tcPr>
          <w:p w14:paraId="3E6D19A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1375" w:type="pct"/>
            <w:vAlign w:val="center"/>
          </w:tcPr>
          <w:p w14:paraId="7A7DB6A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Birim</w:t>
            </w:r>
          </w:p>
        </w:tc>
        <w:tc>
          <w:tcPr>
            <w:tcW w:w="1430" w:type="pct"/>
            <w:vAlign w:val="center"/>
          </w:tcPr>
          <w:p w14:paraId="43D49A67"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İşlem</w:t>
            </w:r>
          </w:p>
        </w:tc>
        <w:tc>
          <w:tcPr>
            <w:tcW w:w="1255" w:type="pct"/>
            <w:vAlign w:val="center"/>
          </w:tcPr>
          <w:p w14:paraId="4E343FC1"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MET-İES</w:t>
            </w:r>
          </w:p>
          <w:p w14:paraId="457E9CE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sz w:val="20"/>
                <w:szCs w:val="20"/>
              </w:rPr>
            </w:pPr>
            <w:r w:rsidRPr="000A5D99">
              <w:rPr>
                <w:rFonts w:ascii="Times New Roman" w:eastAsia="Times New Roman" w:hAnsi="Times New Roman" w:cs="Times New Roman"/>
                <w:b/>
                <w:sz w:val="20"/>
                <w:szCs w:val="20"/>
              </w:rPr>
              <w:t>(Örnekleme dönemi boyunca ortalama)</w:t>
            </w:r>
          </w:p>
        </w:tc>
      </w:tr>
      <w:tr w:rsidR="003B155E" w:rsidRPr="000A5D99" w14:paraId="2D2EEF35" w14:textId="77777777" w:rsidTr="000D79D6">
        <w:trPr>
          <w:trHeight w:val="459"/>
        </w:trPr>
        <w:tc>
          <w:tcPr>
            <w:tcW w:w="940" w:type="pct"/>
            <w:vAlign w:val="center"/>
          </w:tcPr>
          <w:p w14:paraId="60C6C00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TUOB</w:t>
            </w:r>
          </w:p>
        </w:tc>
        <w:tc>
          <w:tcPr>
            <w:tcW w:w="1375" w:type="pct"/>
            <w:vAlign w:val="center"/>
          </w:tcPr>
          <w:p w14:paraId="43C2B7B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mg C/Nm</w:t>
            </w:r>
            <w:r w:rsidRPr="000A5D99">
              <w:rPr>
                <w:rFonts w:ascii="Times New Roman" w:eastAsia="Times New Roman" w:hAnsi="Times New Roman" w:cs="Times New Roman"/>
                <w:sz w:val="20"/>
                <w:szCs w:val="20"/>
                <w:vertAlign w:val="superscript"/>
              </w:rPr>
              <w:t>3</w:t>
            </w:r>
          </w:p>
        </w:tc>
        <w:tc>
          <w:tcPr>
            <w:tcW w:w="1430" w:type="pct"/>
            <w:vAlign w:val="center"/>
          </w:tcPr>
          <w:p w14:paraId="200EF77F"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Kreozot ve solvent bazlı işlem</w:t>
            </w:r>
          </w:p>
        </w:tc>
        <w:tc>
          <w:tcPr>
            <w:tcW w:w="1255" w:type="pct"/>
            <w:vAlign w:val="center"/>
          </w:tcPr>
          <w:p w14:paraId="79397AF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&lt; 4–20</w:t>
            </w:r>
          </w:p>
        </w:tc>
      </w:tr>
      <w:tr w:rsidR="003B155E" w:rsidRPr="000A5D99" w14:paraId="2DA36A31" w14:textId="77777777" w:rsidTr="000D79D6">
        <w:trPr>
          <w:trHeight w:val="415"/>
        </w:trPr>
        <w:tc>
          <w:tcPr>
            <w:tcW w:w="940" w:type="pct"/>
            <w:vAlign w:val="center"/>
          </w:tcPr>
          <w:p w14:paraId="7C9B94CC"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PAH'lar</w:t>
            </w:r>
          </w:p>
        </w:tc>
        <w:tc>
          <w:tcPr>
            <w:tcW w:w="1375" w:type="pct"/>
            <w:vAlign w:val="center"/>
          </w:tcPr>
          <w:p w14:paraId="77A8606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mg/Nm</w:t>
            </w:r>
            <w:r w:rsidRPr="000A5D99">
              <w:rPr>
                <w:rFonts w:ascii="Times New Roman" w:eastAsia="Times New Roman" w:hAnsi="Times New Roman" w:cs="Times New Roman"/>
                <w:sz w:val="20"/>
                <w:szCs w:val="20"/>
                <w:vertAlign w:val="superscript"/>
              </w:rPr>
              <w:t>3</w:t>
            </w:r>
          </w:p>
        </w:tc>
        <w:tc>
          <w:tcPr>
            <w:tcW w:w="1430" w:type="pct"/>
            <w:vAlign w:val="center"/>
          </w:tcPr>
          <w:p w14:paraId="11881B6E"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Kreozot işlemi</w:t>
            </w:r>
          </w:p>
        </w:tc>
        <w:tc>
          <w:tcPr>
            <w:tcW w:w="1255" w:type="pct"/>
            <w:vAlign w:val="center"/>
          </w:tcPr>
          <w:p w14:paraId="2D90F8B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sz w:val="20"/>
                <w:szCs w:val="20"/>
              </w:rPr>
            </w:pPr>
            <w:r w:rsidRPr="000A5D99">
              <w:rPr>
                <w:rFonts w:ascii="Times New Roman" w:eastAsia="Times New Roman" w:hAnsi="Times New Roman" w:cs="Times New Roman"/>
                <w:sz w:val="20"/>
                <w:szCs w:val="20"/>
              </w:rPr>
              <w:t>&lt; 1 (</w:t>
            </w:r>
            <w:r w:rsidRPr="000A5D99">
              <w:rPr>
                <w:rFonts w:ascii="Times New Roman" w:eastAsia="Times New Roman" w:hAnsi="Times New Roman" w:cs="Times New Roman"/>
                <w:sz w:val="20"/>
                <w:szCs w:val="20"/>
                <w:vertAlign w:val="superscript"/>
              </w:rPr>
              <w:t>1</w:t>
            </w:r>
            <w:r w:rsidRPr="000A5D99">
              <w:rPr>
                <w:rFonts w:ascii="Times New Roman" w:eastAsia="Times New Roman" w:hAnsi="Times New Roman" w:cs="Times New Roman"/>
                <w:sz w:val="20"/>
                <w:szCs w:val="20"/>
              </w:rPr>
              <w:t>)</w:t>
            </w:r>
          </w:p>
        </w:tc>
      </w:tr>
      <w:tr w:rsidR="003B155E" w:rsidRPr="000A5D99" w14:paraId="7C71E460" w14:textId="77777777" w:rsidTr="000D79D6">
        <w:trPr>
          <w:trHeight w:val="425"/>
        </w:trPr>
        <w:tc>
          <w:tcPr>
            <w:tcW w:w="5000" w:type="pct"/>
            <w:gridSpan w:val="4"/>
            <w:vAlign w:val="center"/>
          </w:tcPr>
          <w:p w14:paraId="712D931E" w14:textId="77777777" w:rsidR="003B155E" w:rsidRPr="0082590D" w:rsidRDefault="003B155E" w:rsidP="0082590D">
            <w:pPr>
              <w:widowControl w:val="0"/>
              <w:autoSpaceDE w:val="0"/>
              <w:autoSpaceDN w:val="0"/>
              <w:spacing w:after="0" w:line="240" w:lineRule="auto"/>
              <w:ind w:left="290" w:right="74" w:hanging="216"/>
              <w:jc w:val="both"/>
              <w:rPr>
                <w:rFonts w:ascii="Times New Roman" w:eastAsia="Times New Roman" w:hAnsi="Times New Roman" w:cs="Times New Roman"/>
                <w:sz w:val="20"/>
                <w:szCs w:val="20"/>
              </w:rPr>
            </w:pPr>
            <w:r w:rsidRPr="0082590D">
              <w:rPr>
                <w:rFonts w:ascii="Times New Roman" w:eastAsia="Times New Roman" w:hAnsi="Times New Roman" w:cs="Times New Roman"/>
                <w:sz w:val="20"/>
                <w:szCs w:val="20"/>
              </w:rPr>
              <w:t>(</w:t>
            </w:r>
            <w:r w:rsidRPr="0082590D">
              <w:rPr>
                <w:rFonts w:ascii="Times New Roman" w:eastAsia="Times New Roman" w:hAnsi="Times New Roman" w:cs="Times New Roman"/>
                <w:sz w:val="20"/>
                <w:szCs w:val="20"/>
                <w:vertAlign w:val="superscript"/>
              </w:rPr>
              <w:t>1</w:t>
            </w:r>
            <w:r w:rsidRPr="0082590D">
              <w:rPr>
                <w:rFonts w:ascii="Times New Roman" w:eastAsia="Times New Roman" w:hAnsi="Times New Roman" w:cs="Times New Roman"/>
                <w:sz w:val="20"/>
                <w:szCs w:val="20"/>
              </w:rPr>
              <w:t>) MET-İES, aşağıdaki PAH bileşiklerinin toplamını ifade eder: asenaften, asenaftilen, antrasen, benzo(a)antrasen, benzo(a)piren, benzo(b)floranten, benzo(g,h,i)perilen , benzo(k)floranten, krisen, dibenzo(a,h)antrasen, floranten, floren, indeno(1,2,3-cd)piren, naftalin, fenantren ve piren.</w:t>
            </w:r>
          </w:p>
        </w:tc>
      </w:tr>
    </w:tbl>
    <w:p w14:paraId="38532818" w14:textId="77777777" w:rsidR="003B155E" w:rsidRPr="00EE5089" w:rsidRDefault="003B155E" w:rsidP="003B155E">
      <w:pPr>
        <w:spacing w:before="240" w:after="0" w:line="360" w:lineRule="auto"/>
        <w:jc w:val="both"/>
        <w:rPr>
          <w:rFonts w:ascii="Times New Roman" w:eastAsia="Calibri" w:hAnsi="Times New Roman" w:cs="Calibri"/>
          <w:sz w:val="24"/>
        </w:rPr>
      </w:pPr>
      <w:r w:rsidRPr="00EE5089">
        <w:rPr>
          <w:rFonts w:ascii="Times New Roman" w:eastAsia="Calibri" w:hAnsi="Times New Roman" w:cs="Calibri"/>
          <w:sz w:val="24"/>
        </w:rPr>
        <w:t xml:space="preserve">İlgili izleme </w:t>
      </w:r>
      <w:r w:rsidRPr="004B4E52">
        <w:rPr>
          <w:rFonts w:ascii="Times New Roman" w:eastAsia="Calibri" w:hAnsi="Times New Roman" w:cs="Calibri"/>
          <w:sz w:val="24"/>
        </w:rPr>
        <w:t>MET 45'te</w:t>
      </w:r>
      <w:r w:rsidRPr="00EE5089">
        <w:rPr>
          <w:rFonts w:ascii="Times New Roman" w:eastAsia="Calibri" w:hAnsi="Times New Roman" w:cs="Calibri"/>
          <w:sz w:val="24"/>
        </w:rPr>
        <w:t xml:space="preserve"> verilmektedir.</w:t>
      </w:r>
    </w:p>
    <w:p w14:paraId="6935E5E0" w14:textId="77777777" w:rsidR="003B155E" w:rsidRPr="00EE5089" w:rsidRDefault="003B155E" w:rsidP="003B155E">
      <w:pPr>
        <w:spacing w:before="240" w:after="0" w:line="360" w:lineRule="auto"/>
        <w:jc w:val="both"/>
        <w:rPr>
          <w:rFonts w:ascii="Times New Roman" w:eastAsia="Calibri" w:hAnsi="Times New Roman" w:cs="Calibri"/>
          <w:b/>
          <w:bCs/>
          <w:sz w:val="24"/>
        </w:rPr>
      </w:pPr>
      <w:r w:rsidRPr="00EE5089">
        <w:rPr>
          <w:rFonts w:ascii="Times New Roman" w:eastAsia="Calibri" w:hAnsi="Times New Roman" w:cs="Calibri"/>
          <w:b/>
          <w:bCs/>
          <w:sz w:val="24"/>
        </w:rPr>
        <w:t xml:space="preserve">MET 52: </w:t>
      </w:r>
      <w:r w:rsidRPr="00EE5089">
        <w:rPr>
          <w:rFonts w:ascii="Times New Roman" w:eastAsia="Calibri" w:hAnsi="Times New Roman" w:cs="Calibri"/>
          <w:sz w:val="24"/>
        </w:rPr>
        <w:t>Kreozot ve/veya solvent bazlı kimyasallar kullanılan ahşap ve ahşap ürünlerin muhafazasında çıkış gazlarının ısıl işleminden kaynaklanan CO emisyonlarını sınırlamak ve çıkış gazlarındaki NO</w:t>
      </w:r>
      <w:r w:rsidRPr="00EE5089">
        <w:rPr>
          <w:rFonts w:ascii="Times New Roman" w:eastAsia="Calibri" w:hAnsi="Times New Roman" w:cs="Calibri"/>
          <w:sz w:val="24"/>
          <w:vertAlign w:val="subscript"/>
        </w:rPr>
        <w:t>x</w:t>
      </w:r>
      <w:r w:rsidRPr="00EE5089">
        <w:rPr>
          <w:rFonts w:ascii="Times New Roman" w:eastAsia="Calibri" w:hAnsi="Times New Roman" w:cs="Calibri"/>
          <w:sz w:val="24"/>
        </w:rPr>
        <w:t xml:space="preserve"> emisyonlarını azaltmak için için (a) tekniği veya aşağıda verilen her iki teknik birden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
        <w:gridCol w:w="2565"/>
        <w:gridCol w:w="3427"/>
        <w:gridCol w:w="2791"/>
      </w:tblGrid>
      <w:tr w:rsidR="003B155E" w:rsidRPr="000A5D99" w14:paraId="7647CD36" w14:textId="77777777" w:rsidTr="000D79D6">
        <w:trPr>
          <w:trHeight w:val="230"/>
        </w:trPr>
        <w:tc>
          <w:tcPr>
            <w:tcW w:w="154" w:type="pct"/>
            <w:tcBorders>
              <w:right w:val="single" w:sz="4" w:space="0" w:color="auto"/>
            </w:tcBorders>
            <w:vAlign w:val="center"/>
          </w:tcPr>
          <w:p w14:paraId="53C0B550" w14:textId="77777777" w:rsidR="003B155E" w:rsidRPr="000A5D99" w:rsidRDefault="003B155E" w:rsidP="000D79D6">
            <w:pPr>
              <w:widowControl w:val="0"/>
              <w:autoSpaceDE w:val="0"/>
              <w:autoSpaceDN w:val="0"/>
              <w:spacing w:after="0" w:line="240" w:lineRule="auto"/>
              <w:ind w:right="74"/>
              <w:jc w:val="center"/>
              <w:rPr>
                <w:rFonts w:ascii="Times New Roman" w:eastAsia="Times New Roman" w:hAnsi="Times New Roman" w:cs="Times New Roman"/>
                <w:b/>
              </w:rPr>
            </w:pPr>
          </w:p>
        </w:tc>
        <w:tc>
          <w:tcPr>
            <w:tcW w:w="1415" w:type="pct"/>
            <w:tcBorders>
              <w:left w:val="single" w:sz="4" w:space="0" w:color="auto"/>
            </w:tcBorders>
            <w:vAlign w:val="center"/>
          </w:tcPr>
          <w:p w14:paraId="22F8B055"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c>
          <w:tcPr>
            <w:tcW w:w="1891" w:type="pct"/>
            <w:vAlign w:val="center"/>
          </w:tcPr>
          <w:p w14:paraId="3991606E"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Tanım</w:t>
            </w:r>
          </w:p>
        </w:tc>
        <w:tc>
          <w:tcPr>
            <w:tcW w:w="1540" w:type="pct"/>
            <w:vAlign w:val="center"/>
          </w:tcPr>
          <w:p w14:paraId="192D349B"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Uygulanabilirlik</w:t>
            </w:r>
          </w:p>
        </w:tc>
      </w:tr>
      <w:tr w:rsidR="003B155E" w:rsidRPr="000A5D99" w14:paraId="7E7526FE" w14:textId="77777777" w:rsidTr="000D79D6">
        <w:trPr>
          <w:trHeight w:val="691"/>
        </w:trPr>
        <w:tc>
          <w:tcPr>
            <w:tcW w:w="154" w:type="pct"/>
            <w:tcBorders>
              <w:right w:val="single" w:sz="4" w:space="0" w:color="auto"/>
            </w:tcBorders>
            <w:vAlign w:val="center"/>
          </w:tcPr>
          <w:p w14:paraId="3B988595"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1415" w:type="pct"/>
            <w:tcBorders>
              <w:left w:val="single" w:sz="4" w:space="0" w:color="auto"/>
            </w:tcBorders>
            <w:vAlign w:val="center"/>
          </w:tcPr>
          <w:p w14:paraId="65496D6F"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Isıl işlem koşullarının optimizasyonu (tasarım ve işletme)</w:t>
            </w:r>
          </w:p>
        </w:tc>
        <w:tc>
          <w:tcPr>
            <w:tcW w:w="1891" w:type="pct"/>
            <w:vAlign w:val="center"/>
          </w:tcPr>
          <w:p w14:paraId="4CF8200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Bkz. </w:t>
            </w:r>
            <w:r w:rsidRPr="000A5D99">
              <w:rPr>
                <w:rFonts w:ascii="Times New Roman" w:eastAsia="Times New Roman" w:hAnsi="Times New Roman" w:cs="Times New Roman"/>
                <w:b/>
                <w:bCs/>
              </w:rPr>
              <w:t>MET 17(a)</w:t>
            </w:r>
          </w:p>
        </w:tc>
        <w:tc>
          <w:tcPr>
            <w:tcW w:w="1540" w:type="pct"/>
            <w:vAlign w:val="center"/>
          </w:tcPr>
          <w:p w14:paraId="65F18B2D"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Mevcut tesisler için tasarım uygulanabilirliği kısıtlanabilir.</w:t>
            </w:r>
          </w:p>
        </w:tc>
      </w:tr>
      <w:tr w:rsidR="003B155E" w:rsidRPr="000A5D99" w14:paraId="7D458BCB" w14:textId="77777777" w:rsidTr="000D79D6">
        <w:trPr>
          <w:trHeight w:val="104"/>
        </w:trPr>
        <w:tc>
          <w:tcPr>
            <w:tcW w:w="154" w:type="pct"/>
            <w:vAlign w:val="center"/>
          </w:tcPr>
          <w:p w14:paraId="6F65E2D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1415" w:type="pct"/>
            <w:vAlign w:val="center"/>
          </w:tcPr>
          <w:p w14:paraId="32BB7891"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NO</w:t>
            </w:r>
            <w:r w:rsidRPr="000A5D99">
              <w:rPr>
                <w:rFonts w:ascii="Times New Roman" w:eastAsia="Times New Roman" w:hAnsi="Times New Roman" w:cs="Times New Roman"/>
                <w:vertAlign w:val="subscript"/>
              </w:rPr>
              <w:t>x</w:t>
            </w:r>
            <w:r w:rsidRPr="000A5D99">
              <w:rPr>
                <w:rFonts w:ascii="Times New Roman" w:eastAsia="Times New Roman" w:hAnsi="Times New Roman" w:cs="Times New Roman"/>
              </w:rPr>
              <w:t xml:space="preserve"> brülörlerinin kullanımı</w:t>
            </w:r>
          </w:p>
        </w:tc>
        <w:tc>
          <w:tcPr>
            <w:tcW w:w="1891" w:type="pct"/>
            <w:vAlign w:val="center"/>
          </w:tcPr>
          <w:p w14:paraId="5D0D2A4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 xml:space="preserve">Bkz. </w:t>
            </w:r>
            <w:r w:rsidRPr="000A5D99">
              <w:rPr>
                <w:rFonts w:ascii="Times New Roman" w:eastAsia="Times New Roman" w:hAnsi="Times New Roman" w:cs="Times New Roman"/>
                <w:b/>
                <w:bCs/>
              </w:rPr>
              <w:t>MET 17(b)</w:t>
            </w:r>
          </w:p>
        </w:tc>
        <w:tc>
          <w:tcPr>
            <w:tcW w:w="1540" w:type="pct"/>
            <w:vAlign w:val="center"/>
          </w:tcPr>
          <w:p w14:paraId="5D1B5981" w14:textId="77777777" w:rsidR="003B155E" w:rsidRPr="000A5D99" w:rsidRDefault="003B155E" w:rsidP="000D79D6">
            <w:pPr>
              <w:widowControl w:val="0"/>
              <w:tabs>
                <w:tab w:val="left" w:pos="1588"/>
                <w:tab w:val="left" w:pos="2358"/>
              </w:tabs>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Uygulanabilirlik, tasarım ve/veya işletme kısıtlamaları nedeniyle mevcut tesislerle kısıtlanabilir.</w:t>
            </w:r>
          </w:p>
        </w:tc>
      </w:tr>
    </w:tbl>
    <w:p w14:paraId="5A562074" w14:textId="77777777" w:rsidR="004B4E52" w:rsidRDefault="004B4E52" w:rsidP="003B155E">
      <w:pPr>
        <w:spacing w:before="240" w:after="0" w:line="360" w:lineRule="auto"/>
        <w:jc w:val="center"/>
        <w:rPr>
          <w:rFonts w:ascii="Times New Roman" w:eastAsia="Calibri" w:hAnsi="Times New Roman" w:cs="Calibri"/>
          <w:bCs/>
          <w:i/>
          <w:color w:val="000000"/>
          <w:sz w:val="24"/>
          <w:szCs w:val="24"/>
        </w:rPr>
      </w:pPr>
    </w:p>
    <w:p w14:paraId="58457A4A" w14:textId="77777777" w:rsidR="004B4E52" w:rsidRDefault="004B4E52" w:rsidP="003B155E">
      <w:pPr>
        <w:spacing w:before="240" w:after="0" w:line="360" w:lineRule="auto"/>
        <w:jc w:val="center"/>
        <w:rPr>
          <w:rFonts w:ascii="Times New Roman" w:eastAsia="Calibri" w:hAnsi="Times New Roman" w:cs="Calibri"/>
          <w:bCs/>
          <w:i/>
          <w:color w:val="000000"/>
          <w:sz w:val="24"/>
          <w:szCs w:val="24"/>
        </w:rPr>
      </w:pPr>
    </w:p>
    <w:p w14:paraId="7010D418" w14:textId="58BAC00D" w:rsidR="003B155E" w:rsidRPr="00EE5089" w:rsidRDefault="003B155E" w:rsidP="003B155E">
      <w:pPr>
        <w:spacing w:before="240" w:after="0" w:line="360" w:lineRule="auto"/>
        <w:jc w:val="center"/>
        <w:rPr>
          <w:rFonts w:ascii="Times New Roman" w:eastAsia="Calibri" w:hAnsi="Times New Roman" w:cs="Calibri"/>
          <w:bCs/>
          <w:i/>
          <w:color w:val="000000"/>
          <w:sz w:val="24"/>
          <w:szCs w:val="24"/>
        </w:rPr>
      </w:pPr>
      <w:r w:rsidRPr="00EE5089">
        <w:rPr>
          <w:rFonts w:ascii="Times New Roman" w:eastAsia="Calibri" w:hAnsi="Times New Roman" w:cs="Calibri"/>
          <w:bCs/>
          <w:i/>
          <w:color w:val="000000"/>
          <w:sz w:val="24"/>
          <w:szCs w:val="24"/>
        </w:rPr>
        <w:lastRenderedPageBreak/>
        <w:t>Ta</w:t>
      </w:r>
      <w:r w:rsidR="004B4E52">
        <w:rPr>
          <w:rFonts w:ascii="Times New Roman" w:eastAsia="Calibri" w:hAnsi="Times New Roman" w:cs="Calibri"/>
          <w:bCs/>
          <w:i/>
          <w:color w:val="000000"/>
          <w:sz w:val="24"/>
          <w:szCs w:val="24"/>
        </w:rPr>
        <w:t>blo</w:t>
      </w:r>
      <w:r w:rsidRPr="00EE5089">
        <w:rPr>
          <w:rFonts w:ascii="Times New Roman" w:eastAsia="Calibri" w:hAnsi="Times New Roman" w:cs="Calibri"/>
          <w:bCs/>
          <w:i/>
          <w:color w:val="000000"/>
          <w:sz w:val="24"/>
          <w:szCs w:val="24"/>
        </w:rPr>
        <w:t xml:space="preserve"> 37</w:t>
      </w:r>
    </w:p>
    <w:p w14:paraId="50A5858B" w14:textId="77777777" w:rsidR="003B155E" w:rsidRPr="00EE5089" w:rsidRDefault="003B155E" w:rsidP="003B155E">
      <w:pPr>
        <w:spacing w:before="240" w:after="0" w:line="360" w:lineRule="auto"/>
        <w:jc w:val="center"/>
        <w:rPr>
          <w:rFonts w:ascii="Times New Roman" w:eastAsia="Calibri" w:hAnsi="Times New Roman" w:cs="Calibri"/>
          <w:b/>
          <w:iCs/>
          <w:color w:val="000000"/>
          <w:sz w:val="24"/>
          <w:szCs w:val="24"/>
        </w:rPr>
      </w:pPr>
      <w:r w:rsidRPr="00EE5089">
        <w:rPr>
          <w:rFonts w:ascii="Times New Roman" w:eastAsia="Calibri" w:hAnsi="Times New Roman" w:cs="Calibri"/>
          <w:b/>
          <w:iCs/>
          <w:color w:val="000000"/>
          <w:sz w:val="24"/>
          <w:szCs w:val="24"/>
        </w:rPr>
        <w:t>Çıkış gazlarındaki NO</w:t>
      </w:r>
      <w:r w:rsidRPr="00EE5089">
        <w:rPr>
          <w:rFonts w:ascii="Times New Roman" w:eastAsia="Calibri" w:hAnsi="Times New Roman" w:cs="Calibri"/>
          <w:b/>
          <w:iCs/>
          <w:color w:val="000000"/>
          <w:sz w:val="24"/>
          <w:szCs w:val="24"/>
          <w:vertAlign w:val="subscript"/>
        </w:rPr>
        <w:t>x</w:t>
      </w:r>
      <w:r w:rsidRPr="00EE5089">
        <w:rPr>
          <w:rFonts w:ascii="Times New Roman" w:eastAsia="Calibri" w:hAnsi="Times New Roman" w:cs="Calibri"/>
          <w:b/>
          <w:iCs/>
          <w:color w:val="000000"/>
          <w:sz w:val="24"/>
          <w:szCs w:val="24"/>
        </w:rPr>
        <w:t xml:space="preserve"> emisyonları için MET ile ilişkili emisyon seviyeleri (MET-İES) ve kreozot ve/veya solvent kullanarak ahşap ve ahşap ürünlerin muhafazasında çıkış gazların ısıl işleminden havaya çıkan çıkış gazlarındaki CO emisyonları için gösterge emisyon seviyeleri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36"/>
        <w:gridCol w:w="1374"/>
        <w:gridCol w:w="2443"/>
        <w:gridCol w:w="3309"/>
      </w:tblGrid>
      <w:tr w:rsidR="003B155E" w:rsidRPr="000A5D99" w14:paraId="7FCFCE69" w14:textId="77777777" w:rsidTr="000D79D6">
        <w:trPr>
          <w:trHeight w:val="690"/>
          <w:tblHeader/>
        </w:trPr>
        <w:tc>
          <w:tcPr>
            <w:tcW w:w="1068" w:type="pct"/>
            <w:vAlign w:val="center"/>
          </w:tcPr>
          <w:p w14:paraId="790103D4"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Parametre</w:t>
            </w:r>
          </w:p>
        </w:tc>
        <w:tc>
          <w:tcPr>
            <w:tcW w:w="758" w:type="pct"/>
            <w:vAlign w:val="center"/>
          </w:tcPr>
          <w:p w14:paraId="36FCD02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Birim</w:t>
            </w:r>
          </w:p>
        </w:tc>
        <w:tc>
          <w:tcPr>
            <w:tcW w:w="1348" w:type="pct"/>
            <w:vAlign w:val="center"/>
          </w:tcPr>
          <w:p w14:paraId="1BCA56F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MET-İES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w:t>
            </w:r>
          </w:p>
          <w:p w14:paraId="3C77F430"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(Örnekleme dönemi boyunca ortalama)</w:t>
            </w:r>
          </w:p>
        </w:tc>
        <w:tc>
          <w:tcPr>
            <w:tcW w:w="1826" w:type="pct"/>
            <w:vAlign w:val="center"/>
          </w:tcPr>
          <w:p w14:paraId="60DFABD4" w14:textId="77777777" w:rsidR="003B155E" w:rsidRPr="000A5D99" w:rsidRDefault="003B155E" w:rsidP="000D79D6">
            <w:pPr>
              <w:widowControl w:val="0"/>
              <w:autoSpaceDE w:val="0"/>
              <w:autoSpaceDN w:val="0"/>
              <w:spacing w:after="0" w:line="240" w:lineRule="auto"/>
              <w:ind w:left="74" w:right="74" w:firstLine="1"/>
              <w:jc w:val="center"/>
              <w:rPr>
                <w:rFonts w:ascii="Times New Roman" w:eastAsia="Times New Roman" w:hAnsi="Times New Roman" w:cs="Times New Roman"/>
                <w:b/>
              </w:rPr>
            </w:pPr>
            <w:r w:rsidRPr="000A5D99">
              <w:rPr>
                <w:rFonts w:ascii="Times New Roman" w:eastAsia="Times New Roman" w:hAnsi="Times New Roman" w:cs="Times New Roman"/>
                <w:b/>
              </w:rPr>
              <w:t>Gösterge emisyon seviyesi (</w:t>
            </w:r>
            <w:r w:rsidRPr="000A5D99">
              <w:rPr>
                <w:rFonts w:ascii="Times New Roman" w:eastAsia="Times New Roman" w:hAnsi="Times New Roman" w:cs="Times New Roman"/>
                <w:b/>
                <w:vertAlign w:val="superscript"/>
              </w:rPr>
              <w:t>1</w:t>
            </w:r>
            <w:r w:rsidRPr="000A5D99">
              <w:rPr>
                <w:rFonts w:ascii="Times New Roman" w:eastAsia="Times New Roman" w:hAnsi="Times New Roman" w:cs="Times New Roman"/>
                <w:b/>
              </w:rPr>
              <w:t>) (Numune alma periyodu boyunca ortalama)</w:t>
            </w:r>
          </w:p>
        </w:tc>
      </w:tr>
      <w:tr w:rsidR="003B155E" w:rsidRPr="000A5D99" w14:paraId="69899F46" w14:textId="77777777" w:rsidTr="000D79D6">
        <w:trPr>
          <w:trHeight w:val="376"/>
        </w:trPr>
        <w:tc>
          <w:tcPr>
            <w:tcW w:w="1068" w:type="pct"/>
            <w:vAlign w:val="center"/>
          </w:tcPr>
          <w:p w14:paraId="622E8FA6"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NO</w:t>
            </w:r>
            <w:r w:rsidRPr="000A5D99">
              <w:rPr>
                <w:rFonts w:ascii="Times New Roman" w:eastAsia="Times New Roman" w:hAnsi="Times New Roman" w:cs="Times New Roman"/>
                <w:vertAlign w:val="subscript"/>
              </w:rPr>
              <w:t>x</w:t>
            </w:r>
          </w:p>
        </w:tc>
        <w:tc>
          <w:tcPr>
            <w:tcW w:w="758" w:type="pct"/>
            <w:vMerge w:val="restart"/>
            <w:vAlign w:val="center"/>
          </w:tcPr>
          <w:p w14:paraId="2F49B6BC"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mg/Nm</w:t>
            </w:r>
            <w:r w:rsidRPr="000A5D99">
              <w:rPr>
                <w:rFonts w:ascii="Times New Roman" w:eastAsia="Times New Roman" w:hAnsi="Times New Roman" w:cs="Times New Roman"/>
                <w:vertAlign w:val="superscript"/>
              </w:rPr>
              <w:t>3</w:t>
            </w:r>
          </w:p>
        </w:tc>
        <w:tc>
          <w:tcPr>
            <w:tcW w:w="1348" w:type="pct"/>
            <w:vAlign w:val="center"/>
          </w:tcPr>
          <w:p w14:paraId="39F4258F"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20–130</w:t>
            </w:r>
          </w:p>
        </w:tc>
        <w:tc>
          <w:tcPr>
            <w:tcW w:w="1826" w:type="pct"/>
            <w:vAlign w:val="center"/>
          </w:tcPr>
          <w:p w14:paraId="6651C1ED"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Gösterge seviyesi yok</w:t>
            </w:r>
          </w:p>
        </w:tc>
      </w:tr>
      <w:tr w:rsidR="003B155E" w:rsidRPr="000A5D99" w14:paraId="30C7C6D1" w14:textId="77777777" w:rsidTr="000D79D6">
        <w:trPr>
          <w:trHeight w:val="377"/>
        </w:trPr>
        <w:tc>
          <w:tcPr>
            <w:tcW w:w="1068" w:type="pct"/>
            <w:vAlign w:val="center"/>
          </w:tcPr>
          <w:p w14:paraId="5FB03C22"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rPr>
            </w:pPr>
            <w:r w:rsidRPr="000A5D99">
              <w:rPr>
                <w:rFonts w:ascii="Times New Roman" w:eastAsia="Times New Roman" w:hAnsi="Times New Roman" w:cs="Times New Roman"/>
              </w:rPr>
              <w:t>CO</w:t>
            </w:r>
          </w:p>
        </w:tc>
        <w:tc>
          <w:tcPr>
            <w:tcW w:w="758" w:type="pct"/>
            <w:vMerge/>
            <w:tcBorders>
              <w:top w:val="nil"/>
            </w:tcBorders>
            <w:vAlign w:val="center"/>
          </w:tcPr>
          <w:p w14:paraId="06FFE049" w14:textId="77777777" w:rsidR="003B155E" w:rsidRPr="000A5D99" w:rsidRDefault="003B155E" w:rsidP="000D79D6">
            <w:pPr>
              <w:spacing w:after="0" w:line="240" w:lineRule="auto"/>
              <w:ind w:left="74" w:right="74"/>
              <w:jc w:val="center"/>
              <w:rPr>
                <w:rFonts w:ascii="Times New Roman" w:eastAsia="Calibri" w:hAnsi="Times New Roman" w:cs="Times New Roman"/>
                <w:lang w:val="en-US"/>
              </w:rPr>
            </w:pPr>
          </w:p>
        </w:tc>
        <w:tc>
          <w:tcPr>
            <w:tcW w:w="1348" w:type="pct"/>
            <w:vAlign w:val="center"/>
          </w:tcPr>
          <w:p w14:paraId="214C14A2"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MET-İES yok</w:t>
            </w:r>
          </w:p>
        </w:tc>
        <w:tc>
          <w:tcPr>
            <w:tcW w:w="1826" w:type="pct"/>
            <w:vAlign w:val="center"/>
          </w:tcPr>
          <w:p w14:paraId="7EC04298"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rPr>
            </w:pPr>
            <w:r w:rsidRPr="000A5D99">
              <w:rPr>
                <w:rFonts w:ascii="Times New Roman" w:eastAsia="Times New Roman" w:hAnsi="Times New Roman" w:cs="Times New Roman"/>
              </w:rPr>
              <w:t>20–150</w:t>
            </w:r>
          </w:p>
        </w:tc>
      </w:tr>
      <w:tr w:rsidR="003B155E" w:rsidRPr="000A5D99" w14:paraId="0BDCCEAC" w14:textId="77777777" w:rsidTr="000D79D6">
        <w:trPr>
          <w:trHeight w:val="207"/>
        </w:trPr>
        <w:tc>
          <w:tcPr>
            <w:tcW w:w="5000" w:type="pct"/>
            <w:gridSpan w:val="4"/>
            <w:vAlign w:val="center"/>
          </w:tcPr>
          <w:p w14:paraId="7B2314AB"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i/>
                <w:iCs/>
              </w:rPr>
            </w:pPr>
            <w:r w:rsidRPr="000A5D99">
              <w:rPr>
                <w:rFonts w:ascii="Times New Roman" w:eastAsia="Times New Roman" w:hAnsi="Times New Roman" w:cs="Times New Roman"/>
                <w:i/>
                <w:iCs/>
                <w:sz w:val="20"/>
                <w:szCs w:val="20"/>
              </w:rPr>
              <w:t>(</w:t>
            </w:r>
            <w:r w:rsidRPr="000A5D99">
              <w:rPr>
                <w:rFonts w:ascii="Times New Roman" w:eastAsia="Times New Roman" w:hAnsi="Times New Roman" w:cs="Times New Roman"/>
                <w:i/>
                <w:iCs/>
                <w:sz w:val="20"/>
                <w:szCs w:val="20"/>
                <w:vertAlign w:val="superscript"/>
              </w:rPr>
              <w:t>1</w:t>
            </w:r>
            <w:r w:rsidRPr="000A5D99">
              <w:rPr>
                <w:rFonts w:ascii="Times New Roman" w:eastAsia="Times New Roman" w:hAnsi="Times New Roman" w:cs="Times New Roman"/>
                <w:i/>
                <w:iCs/>
                <w:sz w:val="20"/>
                <w:szCs w:val="20"/>
              </w:rPr>
              <w:t>) Çıkış gazlarının bir yakma tesisine gönderildiği durumlarda MET-İES ve gösterge düzeyi geçerli değildir.</w:t>
            </w:r>
          </w:p>
        </w:tc>
      </w:tr>
    </w:tbl>
    <w:p w14:paraId="30F15B5A" w14:textId="77777777" w:rsidR="003B155E" w:rsidRPr="000A5D99" w:rsidRDefault="003B155E" w:rsidP="003B155E">
      <w:pPr>
        <w:spacing w:before="240" w:after="0" w:line="360" w:lineRule="auto"/>
        <w:jc w:val="both"/>
        <w:rPr>
          <w:rFonts w:ascii="Times New Roman" w:eastAsia="Calibri" w:hAnsi="Times New Roman" w:cs="Calibri"/>
          <w:sz w:val="24"/>
          <w:lang w:val="en-US"/>
        </w:rPr>
      </w:pPr>
      <w:r w:rsidRPr="000A5D99">
        <w:rPr>
          <w:rFonts w:ascii="Times New Roman" w:eastAsia="Calibri" w:hAnsi="Times New Roman" w:cs="Calibri"/>
          <w:sz w:val="24"/>
          <w:lang w:val="en-US"/>
        </w:rPr>
        <w:t xml:space="preserve">İlgili izleme </w:t>
      </w:r>
      <w:r w:rsidRPr="004B4E52">
        <w:rPr>
          <w:rFonts w:ascii="Times New Roman" w:eastAsia="Calibri" w:hAnsi="Times New Roman" w:cs="Calibri"/>
          <w:sz w:val="24"/>
          <w:lang w:val="en-US"/>
        </w:rPr>
        <w:t>MET 45'te</w:t>
      </w:r>
      <w:r w:rsidRPr="000A5D99">
        <w:rPr>
          <w:rFonts w:ascii="Times New Roman" w:eastAsia="Calibri" w:hAnsi="Times New Roman" w:cs="Calibri"/>
          <w:sz w:val="24"/>
          <w:lang w:val="en-US"/>
        </w:rPr>
        <w:t xml:space="preserve"> verilmektedir.</w:t>
      </w:r>
    </w:p>
    <w:p w14:paraId="364A4E62" w14:textId="77777777" w:rsidR="003B155E" w:rsidRPr="000A5D99" w:rsidRDefault="003B155E" w:rsidP="003B155E">
      <w:pPr>
        <w:keepNext/>
        <w:keepLines/>
        <w:spacing w:before="240" w:after="120" w:line="360" w:lineRule="auto"/>
        <w:ind w:left="434"/>
        <w:jc w:val="both"/>
        <w:outlineLvl w:val="2"/>
        <w:rPr>
          <w:rFonts w:ascii="Times New Roman" w:eastAsia="DengXian Light" w:hAnsi="Times New Roman" w:cs="Microsoft Uighur"/>
          <w:b/>
          <w:sz w:val="24"/>
          <w:szCs w:val="24"/>
          <w:lang w:val="en-US"/>
        </w:rPr>
      </w:pPr>
      <w:bookmarkStart w:id="122" w:name="_Toc137210522"/>
      <w:r w:rsidRPr="000A5D99">
        <w:rPr>
          <w:rFonts w:ascii="Times New Roman" w:eastAsia="DengXian Light" w:hAnsi="Times New Roman" w:cs="Microsoft Uighur"/>
          <w:b/>
          <w:sz w:val="24"/>
          <w:szCs w:val="24"/>
          <w:lang w:val="en-US"/>
        </w:rPr>
        <w:t>Gürültü</w:t>
      </w:r>
      <w:bookmarkEnd w:id="122"/>
    </w:p>
    <w:p w14:paraId="5BADD267" w14:textId="77777777" w:rsidR="003B155E" w:rsidRPr="000A5D99" w:rsidRDefault="003B155E" w:rsidP="003B155E">
      <w:pPr>
        <w:spacing w:before="240" w:after="0" w:line="360" w:lineRule="auto"/>
        <w:jc w:val="both"/>
        <w:rPr>
          <w:rFonts w:ascii="Times New Roman" w:eastAsia="Calibri" w:hAnsi="Times New Roman" w:cs="Calibri"/>
          <w:b/>
          <w:bCs/>
          <w:sz w:val="24"/>
          <w:lang w:val="en-US"/>
        </w:rPr>
      </w:pPr>
      <w:r w:rsidRPr="000A5D99">
        <w:rPr>
          <w:rFonts w:ascii="Times New Roman" w:eastAsia="Calibri" w:hAnsi="Times New Roman" w:cs="Calibri"/>
          <w:b/>
          <w:bCs/>
          <w:sz w:val="24"/>
          <w:lang w:val="en-US"/>
        </w:rPr>
        <w:t xml:space="preserve">MET 53: </w:t>
      </w:r>
      <w:r w:rsidRPr="000A5D99">
        <w:rPr>
          <w:rFonts w:ascii="Times New Roman" w:eastAsia="Calibri" w:hAnsi="Times New Roman" w:cs="Calibri"/>
          <w:sz w:val="24"/>
          <w:lang w:val="en-US"/>
        </w:rPr>
        <w:t>Gürültü emisyonlarını önlemek veya bunun mümkün olmadığı durumlarda azaltmak için aşağıda verilen tekniklerden biri veya birkaçı kullanılır.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1"/>
        <w:gridCol w:w="8671"/>
      </w:tblGrid>
      <w:tr w:rsidR="003B155E" w:rsidRPr="000A5D99" w14:paraId="25C2709F" w14:textId="77777777" w:rsidTr="000D79D6">
        <w:trPr>
          <w:trHeight w:val="230"/>
          <w:tblHeader/>
        </w:trPr>
        <w:tc>
          <w:tcPr>
            <w:tcW w:w="5000" w:type="pct"/>
            <w:gridSpan w:val="2"/>
            <w:vAlign w:val="center"/>
          </w:tcPr>
          <w:p w14:paraId="366D9A3A" w14:textId="77777777" w:rsidR="003B155E" w:rsidRPr="000A5D99" w:rsidRDefault="003B155E" w:rsidP="000D79D6">
            <w:pPr>
              <w:widowControl w:val="0"/>
              <w:autoSpaceDE w:val="0"/>
              <w:autoSpaceDN w:val="0"/>
              <w:spacing w:after="0" w:line="240" w:lineRule="auto"/>
              <w:ind w:left="74" w:right="74"/>
              <w:jc w:val="center"/>
              <w:rPr>
                <w:rFonts w:ascii="Times New Roman" w:eastAsia="Times New Roman" w:hAnsi="Times New Roman" w:cs="Times New Roman"/>
                <w:b/>
              </w:rPr>
            </w:pPr>
            <w:r w:rsidRPr="000A5D99">
              <w:rPr>
                <w:rFonts w:ascii="Times New Roman" w:eastAsia="Times New Roman" w:hAnsi="Times New Roman" w:cs="Times New Roman"/>
                <w:b/>
              </w:rPr>
              <w:t>Teknik</w:t>
            </w:r>
          </w:p>
        </w:tc>
      </w:tr>
      <w:tr w:rsidR="003B155E" w:rsidRPr="000A5D99" w14:paraId="2B7BCEC0" w14:textId="77777777" w:rsidTr="000D79D6">
        <w:trPr>
          <w:trHeight w:val="230"/>
        </w:trPr>
        <w:tc>
          <w:tcPr>
            <w:tcW w:w="5000" w:type="pct"/>
            <w:gridSpan w:val="2"/>
          </w:tcPr>
          <w:p w14:paraId="2F675D87" w14:textId="77777777" w:rsidR="003B155E" w:rsidRPr="000A5D99" w:rsidRDefault="003B155E" w:rsidP="000D79D6">
            <w:pPr>
              <w:widowControl w:val="0"/>
              <w:autoSpaceDE w:val="0"/>
              <w:autoSpaceDN w:val="0"/>
              <w:spacing w:after="0" w:line="240" w:lineRule="auto"/>
              <w:ind w:left="74" w:right="74"/>
              <w:jc w:val="both"/>
              <w:rPr>
                <w:rFonts w:ascii="Times New Roman" w:eastAsia="Times New Roman" w:hAnsi="Times New Roman" w:cs="Times New Roman"/>
                <w:b/>
                <w:iCs/>
              </w:rPr>
            </w:pPr>
            <w:r w:rsidRPr="000A5D99">
              <w:rPr>
                <w:rFonts w:ascii="Times New Roman" w:eastAsia="Times New Roman" w:hAnsi="Times New Roman" w:cs="Times New Roman"/>
                <w:b/>
                <w:iCs/>
              </w:rPr>
              <w:t>Ham maddelerin depolanması ve taşınması</w:t>
            </w:r>
          </w:p>
        </w:tc>
      </w:tr>
      <w:tr w:rsidR="003B155E" w:rsidRPr="000A5D99" w14:paraId="53FFD80E" w14:textId="77777777" w:rsidTr="000D79D6">
        <w:trPr>
          <w:trHeight w:val="566"/>
        </w:trPr>
        <w:tc>
          <w:tcPr>
            <w:tcW w:w="216" w:type="pct"/>
            <w:vAlign w:val="center"/>
          </w:tcPr>
          <w:p w14:paraId="47B752E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a</w:t>
            </w:r>
          </w:p>
        </w:tc>
        <w:tc>
          <w:tcPr>
            <w:tcW w:w="4784" w:type="pct"/>
            <w:vAlign w:val="center"/>
          </w:tcPr>
          <w:p w14:paraId="5EF40F67"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Gürültü duvarlarının montajı ve binaların gürültü emici etkisinin kullanılması/optimizasyonu</w:t>
            </w:r>
          </w:p>
        </w:tc>
      </w:tr>
      <w:tr w:rsidR="003B155E" w:rsidRPr="000A5D99" w14:paraId="4F3DB41D" w14:textId="77777777" w:rsidTr="000D79D6">
        <w:trPr>
          <w:trHeight w:val="269"/>
        </w:trPr>
        <w:tc>
          <w:tcPr>
            <w:tcW w:w="216" w:type="pct"/>
            <w:vAlign w:val="center"/>
          </w:tcPr>
          <w:p w14:paraId="191071AC"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b</w:t>
            </w:r>
          </w:p>
        </w:tc>
        <w:tc>
          <w:tcPr>
            <w:tcW w:w="4784" w:type="pct"/>
            <w:vAlign w:val="center"/>
          </w:tcPr>
          <w:p w14:paraId="26E58C22"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Gürültülü işlemlerin etrafının tamamen veya kısmen kapatılması</w:t>
            </w:r>
          </w:p>
        </w:tc>
      </w:tr>
      <w:tr w:rsidR="003B155E" w:rsidRPr="000A5D99" w14:paraId="6E1E83FE" w14:textId="77777777" w:rsidTr="000D79D6">
        <w:trPr>
          <w:trHeight w:val="269"/>
        </w:trPr>
        <w:tc>
          <w:tcPr>
            <w:tcW w:w="216" w:type="pct"/>
            <w:vAlign w:val="center"/>
          </w:tcPr>
          <w:p w14:paraId="0D33AC7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c</w:t>
            </w:r>
          </w:p>
        </w:tc>
        <w:tc>
          <w:tcPr>
            <w:tcW w:w="4784" w:type="pct"/>
            <w:vAlign w:val="center"/>
          </w:tcPr>
          <w:p w14:paraId="126CAC6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Düşük gürültülü araçların/taşıma sistemlerinin kullanımı</w:t>
            </w:r>
          </w:p>
        </w:tc>
      </w:tr>
      <w:tr w:rsidR="003B155E" w:rsidRPr="000A5D99" w14:paraId="7BA6A526" w14:textId="77777777" w:rsidTr="000D79D6">
        <w:trPr>
          <w:trHeight w:val="460"/>
        </w:trPr>
        <w:tc>
          <w:tcPr>
            <w:tcW w:w="216" w:type="pct"/>
            <w:vAlign w:val="center"/>
          </w:tcPr>
          <w:p w14:paraId="23BA974B"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d</w:t>
            </w:r>
          </w:p>
        </w:tc>
        <w:tc>
          <w:tcPr>
            <w:tcW w:w="4784" w:type="pct"/>
            <w:vAlign w:val="center"/>
          </w:tcPr>
          <w:p w14:paraId="484AE100"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Gürültü yönetimi önlemleri (örneğin, ekipman denetiminin iyileştirilmesi ve bakımı, kapı ve pencerelerin kapatılması)</w:t>
            </w:r>
          </w:p>
        </w:tc>
      </w:tr>
      <w:tr w:rsidR="003B155E" w:rsidRPr="000A5D99" w14:paraId="6CEFB7DF" w14:textId="77777777" w:rsidTr="000D79D6">
        <w:trPr>
          <w:trHeight w:val="230"/>
        </w:trPr>
        <w:tc>
          <w:tcPr>
            <w:tcW w:w="5000" w:type="pct"/>
            <w:gridSpan w:val="2"/>
            <w:vAlign w:val="center"/>
          </w:tcPr>
          <w:p w14:paraId="431A8F14"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b/>
                <w:iCs/>
              </w:rPr>
            </w:pPr>
            <w:r w:rsidRPr="000A5D99">
              <w:rPr>
                <w:rFonts w:ascii="Times New Roman" w:eastAsia="Times New Roman" w:hAnsi="Times New Roman" w:cs="Times New Roman"/>
                <w:b/>
                <w:iCs/>
              </w:rPr>
              <w:t>Fırın kurutma</w:t>
            </w:r>
          </w:p>
        </w:tc>
      </w:tr>
      <w:tr w:rsidR="003B155E" w:rsidRPr="000A5D99" w14:paraId="5215B961" w14:textId="77777777" w:rsidTr="000D79D6">
        <w:trPr>
          <w:trHeight w:val="269"/>
        </w:trPr>
        <w:tc>
          <w:tcPr>
            <w:tcW w:w="216" w:type="pct"/>
            <w:vAlign w:val="center"/>
          </w:tcPr>
          <w:p w14:paraId="436DDC66"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e</w:t>
            </w:r>
          </w:p>
        </w:tc>
        <w:tc>
          <w:tcPr>
            <w:tcW w:w="4784" w:type="pct"/>
            <w:vAlign w:val="center"/>
          </w:tcPr>
          <w:p w14:paraId="68AD0E98" w14:textId="77777777" w:rsidR="003B155E" w:rsidRPr="000A5D99" w:rsidRDefault="003B155E" w:rsidP="000D79D6">
            <w:pPr>
              <w:widowControl w:val="0"/>
              <w:autoSpaceDE w:val="0"/>
              <w:autoSpaceDN w:val="0"/>
              <w:spacing w:after="0" w:line="240" w:lineRule="auto"/>
              <w:ind w:left="74" w:right="74"/>
              <w:rPr>
                <w:rFonts w:ascii="Times New Roman" w:eastAsia="Times New Roman" w:hAnsi="Times New Roman" w:cs="Times New Roman"/>
              </w:rPr>
            </w:pPr>
            <w:r w:rsidRPr="000A5D99">
              <w:rPr>
                <w:rFonts w:ascii="Times New Roman" w:eastAsia="Times New Roman" w:hAnsi="Times New Roman" w:cs="Times New Roman"/>
              </w:rPr>
              <w:t>Fanlar için gürültü azaltma önlemleri</w:t>
            </w:r>
          </w:p>
        </w:tc>
      </w:tr>
    </w:tbl>
    <w:p w14:paraId="2675A81D" w14:textId="77777777" w:rsidR="003B155E" w:rsidRDefault="003B155E" w:rsidP="003B155E">
      <w:pPr>
        <w:spacing w:after="120" w:line="276" w:lineRule="auto"/>
        <w:jc w:val="both"/>
        <w:rPr>
          <w:rFonts w:ascii="Times New Roman" w:hAnsi="Times New Roman" w:cs="Times New Roman"/>
          <w:sz w:val="24"/>
          <w:szCs w:val="24"/>
        </w:rPr>
      </w:pPr>
    </w:p>
    <w:p w14:paraId="0ABF2D44" w14:textId="77777777" w:rsidR="003B155E" w:rsidRDefault="003B155E" w:rsidP="003B155E">
      <w:pPr>
        <w:spacing w:after="120" w:line="276" w:lineRule="auto"/>
        <w:jc w:val="both"/>
        <w:rPr>
          <w:rFonts w:ascii="Times New Roman" w:hAnsi="Times New Roman" w:cs="Times New Roman"/>
          <w:sz w:val="24"/>
          <w:szCs w:val="24"/>
        </w:rPr>
      </w:pPr>
    </w:p>
    <w:p w14:paraId="63383D2D" w14:textId="77777777" w:rsidR="003B155E" w:rsidRDefault="003B155E" w:rsidP="003B155E"/>
    <w:p w14:paraId="7F8FDF61" w14:textId="77777777" w:rsidR="003B05DC" w:rsidRDefault="003B05DC" w:rsidP="00B97F8E">
      <w:pPr>
        <w:spacing w:after="120" w:line="276" w:lineRule="auto"/>
        <w:jc w:val="both"/>
        <w:rPr>
          <w:rFonts w:ascii="Times New Roman" w:hAnsi="Times New Roman" w:cs="Times New Roman"/>
          <w:sz w:val="24"/>
          <w:szCs w:val="24"/>
        </w:rPr>
        <w:sectPr w:rsidR="003B05DC">
          <w:pgSz w:w="11906" w:h="16838"/>
          <w:pgMar w:top="1417" w:right="1417" w:bottom="1417" w:left="1417" w:header="708" w:footer="708" w:gutter="0"/>
          <w:cols w:space="708"/>
          <w:docGrid w:linePitch="360"/>
        </w:sectPr>
      </w:pPr>
    </w:p>
    <w:p w14:paraId="4D798BFE" w14:textId="77777777" w:rsidR="006F0765" w:rsidRPr="007F1D69" w:rsidRDefault="006F0765" w:rsidP="006F0765">
      <w:pPr>
        <w:pStyle w:val="Balk1"/>
        <w:spacing w:before="0" w:after="120" w:line="276" w:lineRule="auto"/>
        <w:jc w:val="right"/>
        <w:rPr>
          <w:rFonts w:cs="Times New Roman"/>
          <w:b w:val="0"/>
          <w:bCs/>
          <w:szCs w:val="24"/>
        </w:rPr>
      </w:pPr>
      <w:r>
        <w:rPr>
          <w:rFonts w:cs="Times New Roman"/>
          <w:bCs/>
          <w:szCs w:val="24"/>
        </w:rPr>
        <w:lastRenderedPageBreak/>
        <w:t>EK-10</w:t>
      </w:r>
    </w:p>
    <w:p w14:paraId="4AFC5D93" w14:textId="77777777" w:rsidR="006F0765" w:rsidRPr="007F1D69" w:rsidRDefault="006F0765" w:rsidP="006F0765">
      <w:pPr>
        <w:pStyle w:val="Balk1"/>
        <w:spacing w:before="0" w:after="120" w:line="276" w:lineRule="auto"/>
        <w:jc w:val="center"/>
        <w:rPr>
          <w:rFonts w:cs="Times New Roman"/>
          <w:b w:val="0"/>
          <w:bCs/>
          <w:szCs w:val="24"/>
        </w:rPr>
      </w:pPr>
      <w:r w:rsidRPr="00064D05">
        <w:rPr>
          <w:rFonts w:cs="Times New Roman"/>
          <w:bCs/>
          <w:szCs w:val="24"/>
        </w:rPr>
        <w:t xml:space="preserve">KİMYA </w:t>
      </w:r>
      <w:r w:rsidR="00C92919">
        <w:rPr>
          <w:rFonts w:cs="Times New Roman"/>
          <w:bCs/>
          <w:szCs w:val="24"/>
        </w:rPr>
        <w:t>ENDÜSTRİSİNDE</w:t>
      </w:r>
      <w:r w:rsidRPr="00064D05">
        <w:rPr>
          <w:rFonts w:cs="Times New Roman"/>
          <w:bCs/>
          <w:szCs w:val="24"/>
        </w:rPr>
        <w:t xml:space="preserve"> ATIK SU/ATIK GAZ ARITMA/YÖNETİMİ SİSTEMLERİ İÇİN MEVCUT EN İYİ TEKNİKLER</w:t>
      </w:r>
    </w:p>
    <w:p w14:paraId="4E9EA31F"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sonuçları, 14.01.2025 tarihli ve 32782 sayılı Resmi Gazete’de yayımlanan Endüstriyel Emisyonların Yönetimi Yönetmeliği Ek-1’inde yer alan aşağıdaki endüstriyel faaliyetleri kapsar:</w:t>
      </w:r>
    </w:p>
    <w:p w14:paraId="36E4CA7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4. Kimya Endüstrisi</w:t>
      </w:r>
    </w:p>
    <w:p w14:paraId="0238B1F2"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6.11. Esas kirletici yükünün (6.7) veya (6.10) maddeleri kapsamındaki faaliyetlerden kaynaklanması halinde, Kentsel Atıksu Arıtımı Yönetmeliği kapsamında bulunmayan ve bağımsız işletilen atık su arıtma tesisleri.</w:t>
      </w:r>
    </w:p>
    <w:p w14:paraId="540F3B8C"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ayrıca, esas kirletici yükünün Endüstriyel Emisyonların Yönetimi Yönetmeliği Ek-1’inde yer alan 4. maddesi kapsamındaki faaliyetlerden kaynaklanması halinde, farklı kaynaklardan gelen atık suyun ortak arıtımını da kapsar.</w:t>
      </w:r>
    </w:p>
    <w:p w14:paraId="676C514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MET, özellikle aşağıdaki hususları da kapsar:</w:t>
      </w:r>
    </w:p>
    <w:p w14:paraId="41765B4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çevre yönetim sistemleri;</w:t>
      </w:r>
    </w:p>
    <w:p w14:paraId="749931EC"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su tasarrufu;</w:t>
      </w:r>
    </w:p>
    <w:p w14:paraId="341D173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atık su yönetimi, toplanması ve arıtımı;</w:t>
      </w:r>
    </w:p>
    <w:p w14:paraId="5B110CDF"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atık yönetimi;</w:t>
      </w:r>
    </w:p>
    <w:p w14:paraId="3827AA11"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atıksu </w:t>
      </w:r>
      <w:r w:rsidR="00D222E3">
        <w:rPr>
          <w:rFonts w:ascii="Times New Roman" w:hAnsi="Times New Roman" w:cs="Times New Roman"/>
          <w:sz w:val="24"/>
          <w:szCs w:val="24"/>
        </w:rPr>
        <w:t xml:space="preserve">arıtma </w:t>
      </w:r>
      <w:r>
        <w:rPr>
          <w:rFonts w:ascii="Times New Roman" w:hAnsi="Times New Roman" w:cs="Times New Roman"/>
          <w:sz w:val="24"/>
          <w:szCs w:val="24"/>
        </w:rPr>
        <w:t>çamurunun, insinerasyon haricindeki bir uygulamayla arıtılması;</w:t>
      </w:r>
    </w:p>
    <w:p w14:paraId="64B42CF5"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atık gaz yönetimi, toplanması ve arıtımı;</w:t>
      </w:r>
    </w:p>
    <w:p w14:paraId="6F2DAA96"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tutuşturma;</w:t>
      </w:r>
    </w:p>
    <w:p w14:paraId="45F638CC"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uçucu organik bileşiklerin (</w:t>
      </w:r>
      <w:r w:rsidR="009D570E">
        <w:rPr>
          <w:rFonts w:ascii="Times New Roman" w:hAnsi="Times New Roman" w:cs="Times New Roman"/>
          <w:sz w:val="24"/>
          <w:szCs w:val="24"/>
        </w:rPr>
        <w:t>UOB</w:t>
      </w:r>
      <w:r>
        <w:rPr>
          <w:rFonts w:ascii="Times New Roman" w:hAnsi="Times New Roman" w:cs="Times New Roman"/>
          <w:sz w:val="24"/>
          <w:szCs w:val="24"/>
        </w:rPr>
        <w:t>) havaya yayılı emisyonları;</w:t>
      </w:r>
    </w:p>
    <w:p w14:paraId="11EDD124"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koku emisyonları;</w:t>
      </w:r>
    </w:p>
    <w:p w14:paraId="6B7CFC2F"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gürültü emisyonları.</w:t>
      </w:r>
    </w:p>
    <w:p w14:paraId="34E39A6D"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Bu MET sonuçlarının kapsadığı faaliyetlerle ilgili olabilecek diğer MET sonuçları ve referans belgeleri şunlardır:</w:t>
      </w:r>
    </w:p>
    <w:p w14:paraId="1AA80B1C" w14:textId="77777777" w:rsidR="00E74C18" w:rsidRPr="00E74C18" w:rsidRDefault="00E74C18" w:rsidP="00E74C18">
      <w:pPr>
        <w:spacing w:after="120" w:line="276" w:lineRule="auto"/>
        <w:jc w:val="both"/>
        <w:rPr>
          <w:rFonts w:ascii="Times New Roman" w:hAnsi="Times New Roman" w:cs="Times New Roman"/>
          <w:sz w:val="24"/>
          <w:szCs w:val="24"/>
        </w:rPr>
      </w:pPr>
    </w:p>
    <w:p w14:paraId="3BBEFDE6"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Klor-alkali Üretimi (CAK);</w:t>
      </w:r>
    </w:p>
    <w:p w14:paraId="291F3A65"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Büyük Hacimli İnorganik Kimyasalların İmalatı - Amonyak, Asitler ve Gübreler (LVIC-AAF);</w:t>
      </w:r>
    </w:p>
    <w:p w14:paraId="2E10065D"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Büyük Hacimli İnorganik Kimyasalların İmalatı - Katı ve Diğer Sanayi (LVIC-S);</w:t>
      </w:r>
    </w:p>
    <w:p w14:paraId="37D0F72D"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Özel İnorganik Kimyasalların Üretimi (SIC);</w:t>
      </w:r>
    </w:p>
    <w:p w14:paraId="66A74792"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Büyük Hacimli Organik Kimya Endüstrisi (LVOC);</w:t>
      </w:r>
    </w:p>
    <w:p w14:paraId="3A719E28"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Organik İnce Kimyasalların İmalatı (OFC);</w:t>
      </w:r>
    </w:p>
    <w:p w14:paraId="33CD3082"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Polimer Üretimi (POL);</w:t>
      </w:r>
    </w:p>
    <w:p w14:paraId="61CACC1B"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lastRenderedPageBreak/>
        <w:t>Depolamadan Kaynaklanan Emisyonlar (EFS);</w:t>
      </w:r>
    </w:p>
    <w:p w14:paraId="3C0522B1"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Enerji Verimliliği (ENE);</w:t>
      </w:r>
    </w:p>
    <w:p w14:paraId="2C10B5F2"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IED tesislerinden Havaya ve Suya Emisyonların İzlenmesi (ROM);</w:t>
      </w:r>
    </w:p>
    <w:p w14:paraId="1820CFFF"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Endüstriyel Soğutma Sistemleri (ICS);</w:t>
      </w:r>
    </w:p>
    <w:p w14:paraId="3DD81D43"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Büyük Yakma Tesisleri (LCP);</w:t>
      </w:r>
    </w:p>
    <w:p w14:paraId="26E772F3"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Atık Yakma (WI);</w:t>
      </w:r>
    </w:p>
    <w:p w14:paraId="1831A56D" w14:textId="77777777" w:rsidR="00E74C18" w:rsidRP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Atık Arıtma Endüstrileri (WT);</w:t>
      </w:r>
    </w:p>
    <w:p w14:paraId="43A41592" w14:textId="77777777" w:rsidR="00E74C18" w:rsidRDefault="00E74C18" w:rsidP="00E74C18">
      <w:pPr>
        <w:spacing w:after="120" w:line="276" w:lineRule="auto"/>
        <w:jc w:val="both"/>
        <w:rPr>
          <w:rFonts w:ascii="Times New Roman" w:hAnsi="Times New Roman" w:cs="Times New Roman"/>
          <w:sz w:val="24"/>
          <w:szCs w:val="24"/>
        </w:rPr>
      </w:pPr>
      <w:r w:rsidRPr="00E74C18">
        <w:rPr>
          <w:rFonts w:ascii="Times New Roman" w:hAnsi="Times New Roman" w:cs="Times New Roman"/>
          <w:sz w:val="24"/>
          <w:szCs w:val="24"/>
        </w:rPr>
        <w:t>Ekonomi ve Çapraz Medya Etkileri (ECM).</w:t>
      </w:r>
    </w:p>
    <w:p w14:paraId="08DC6D1E"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t>(1) Çevre Yönetim Sistemleri</w:t>
      </w:r>
    </w:p>
    <w:p w14:paraId="0B52BAA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w:t>
      </w:r>
      <w:r>
        <w:rPr>
          <w:rFonts w:ascii="Times New Roman" w:hAnsi="Times New Roman" w:cs="Times New Roman"/>
          <w:sz w:val="24"/>
          <w:szCs w:val="24"/>
        </w:rPr>
        <w:t xml:space="preserve"> Genel çevresel performansı iyileştirmek için, aşağıdaki özelliklerin tümünü içeren bir Çevre Yönetim Sistemi (ÇYS) uygulanır ve bu sisteme bağlı kalınır:</w:t>
      </w:r>
    </w:p>
    <w:p w14:paraId="7FCFF062" w14:textId="77777777" w:rsidR="006F0765" w:rsidRDefault="006F0765" w:rsidP="006F0765">
      <w:pPr>
        <w:pStyle w:val="ListeParagraf"/>
        <w:numPr>
          <w:ilvl w:val="0"/>
          <w:numId w:val="220"/>
        </w:numPr>
        <w:spacing w:after="120" w:line="276" w:lineRule="auto"/>
        <w:jc w:val="both"/>
        <w:rPr>
          <w:rFonts w:ascii="Times New Roman" w:hAnsi="Times New Roman" w:cs="Times New Roman"/>
          <w:sz w:val="24"/>
          <w:szCs w:val="24"/>
        </w:rPr>
      </w:pPr>
      <w:r w:rsidRPr="002F19C7">
        <w:rPr>
          <w:rFonts w:ascii="Times New Roman" w:hAnsi="Times New Roman" w:cs="Times New Roman"/>
          <w:sz w:val="24"/>
          <w:szCs w:val="24"/>
        </w:rPr>
        <w:t>üst yönetim de dahil olmak üzere, yönetimin taahhüdü;</w:t>
      </w:r>
    </w:p>
    <w:p w14:paraId="6745DDA1" w14:textId="77777777" w:rsidR="006F0765" w:rsidRDefault="006F0765" w:rsidP="006F0765">
      <w:pPr>
        <w:pStyle w:val="ListeParagraf"/>
        <w:numPr>
          <w:ilvl w:val="0"/>
          <w:numId w:val="220"/>
        </w:numPr>
        <w:spacing w:after="120" w:line="276" w:lineRule="auto"/>
        <w:jc w:val="both"/>
        <w:rPr>
          <w:rFonts w:ascii="Times New Roman" w:hAnsi="Times New Roman" w:cs="Times New Roman"/>
          <w:sz w:val="24"/>
          <w:szCs w:val="24"/>
        </w:rPr>
      </w:pPr>
      <w:r w:rsidRPr="002F19C7">
        <w:rPr>
          <w:rFonts w:ascii="Times New Roman" w:hAnsi="Times New Roman" w:cs="Times New Roman"/>
          <w:sz w:val="24"/>
          <w:szCs w:val="24"/>
        </w:rPr>
        <w:t>yönetim tarafından, tesisin sürekli iyileştirilmesini içeren bir çevre politikasının tanımlanması;</w:t>
      </w:r>
    </w:p>
    <w:p w14:paraId="7E545768" w14:textId="77777777" w:rsidR="006F0765" w:rsidRDefault="006F0765" w:rsidP="006F0765">
      <w:pPr>
        <w:pStyle w:val="ListeParagraf"/>
        <w:numPr>
          <w:ilvl w:val="0"/>
          <w:numId w:val="220"/>
        </w:numPr>
        <w:spacing w:after="120" w:line="276" w:lineRule="auto"/>
        <w:jc w:val="both"/>
        <w:rPr>
          <w:rFonts w:ascii="Times New Roman" w:hAnsi="Times New Roman" w:cs="Times New Roman"/>
          <w:sz w:val="24"/>
          <w:szCs w:val="24"/>
        </w:rPr>
      </w:pPr>
      <w:r w:rsidRPr="002F19C7">
        <w:rPr>
          <w:rFonts w:ascii="Times New Roman" w:hAnsi="Times New Roman" w:cs="Times New Roman"/>
          <w:sz w:val="24"/>
          <w:szCs w:val="24"/>
        </w:rPr>
        <w:t>finansal planlama ve yatırım ile bağlantılı olarak gerekli prosedürlerin, amaçların ve hedeflerin planlanması ve oluşturulması;</w:t>
      </w:r>
    </w:p>
    <w:p w14:paraId="04AA1C88" w14:textId="77777777" w:rsidR="006F0765" w:rsidRPr="002F19C7" w:rsidRDefault="006F0765" w:rsidP="006F0765">
      <w:pPr>
        <w:pStyle w:val="ListeParagraf"/>
        <w:numPr>
          <w:ilvl w:val="0"/>
          <w:numId w:val="220"/>
        </w:numPr>
        <w:spacing w:after="120" w:line="276" w:lineRule="auto"/>
        <w:jc w:val="both"/>
        <w:rPr>
          <w:rFonts w:ascii="Times New Roman" w:hAnsi="Times New Roman" w:cs="Times New Roman"/>
          <w:sz w:val="24"/>
          <w:szCs w:val="24"/>
        </w:rPr>
      </w:pPr>
      <w:r w:rsidRPr="002F19C7">
        <w:rPr>
          <w:rFonts w:ascii="Times New Roman" w:hAnsi="Times New Roman" w:cs="Times New Roman"/>
          <w:sz w:val="24"/>
          <w:szCs w:val="24"/>
        </w:rPr>
        <w:t>aşağıdakilere özellikle dikkat edilerek prosedürlerin uygulanması:</w:t>
      </w:r>
    </w:p>
    <w:p w14:paraId="0D1548AE"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A002BA">
        <w:rPr>
          <w:rFonts w:ascii="Times New Roman" w:hAnsi="Times New Roman" w:cs="Times New Roman"/>
          <w:sz w:val="24"/>
          <w:szCs w:val="24"/>
        </w:rPr>
        <w:t>yapı ve sorumluluk</w:t>
      </w:r>
      <w:r>
        <w:rPr>
          <w:rFonts w:ascii="Times New Roman" w:hAnsi="Times New Roman" w:cs="Times New Roman"/>
          <w:sz w:val="24"/>
          <w:szCs w:val="24"/>
        </w:rPr>
        <w:t>;</w:t>
      </w:r>
    </w:p>
    <w:p w14:paraId="0491E254"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işe alım, </w:t>
      </w:r>
      <w:r w:rsidRPr="006D7836">
        <w:rPr>
          <w:rFonts w:ascii="Times New Roman" w:hAnsi="Times New Roman" w:cs="Times New Roman"/>
          <w:sz w:val="24"/>
          <w:szCs w:val="24"/>
        </w:rPr>
        <w:t>eğitim, farkındalık ve yetkinlik</w:t>
      </w:r>
      <w:r>
        <w:rPr>
          <w:rFonts w:ascii="Times New Roman" w:hAnsi="Times New Roman" w:cs="Times New Roman"/>
          <w:sz w:val="24"/>
          <w:szCs w:val="24"/>
        </w:rPr>
        <w:t>;</w:t>
      </w:r>
    </w:p>
    <w:p w14:paraId="6BA45CF2"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iletişim</w:t>
      </w:r>
      <w:r>
        <w:rPr>
          <w:rFonts w:ascii="Times New Roman" w:hAnsi="Times New Roman" w:cs="Times New Roman"/>
          <w:sz w:val="24"/>
          <w:szCs w:val="24"/>
        </w:rPr>
        <w:t>;</w:t>
      </w:r>
    </w:p>
    <w:p w14:paraId="1B8EA51B"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çalışan katılımı</w:t>
      </w:r>
      <w:r>
        <w:rPr>
          <w:rFonts w:ascii="Times New Roman" w:hAnsi="Times New Roman" w:cs="Times New Roman"/>
          <w:sz w:val="24"/>
          <w:szCs w:val="24"/>
        </w:rPr>
        <w:t>;</w:t>
      </w:r>
    </w:p>
    <w:p w14:paraId="4A60B395"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dokümantasyon</w:t>
      </w:r>
      <w:r>
        <w:rPr>
          <w:rFonts w:ascii="Times New Roman" w:hAnsi="Times New Roman" w:cs="Times New Roman"/>
          <w:sz w:val="24"/>
          <w:szCs w:val="24"/>
        </w:rPr>
        <w:t>;</w:t>
      </w:r>
    </w:p>
    <w:p w14:paraId="7AD62C7F"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etkin proses kontrolü</w:t>
      </w:r>
      <w:r>
        <w:rPr>
          <w:rFonts w:ascii="Times New Roman" w:hAnsi="Times New Roman" w:cs="Times New Roman"/>
          <w:sz w:val="24"/>
          <w:szCs w:val="24"/>
        </w:rPr>
        <w:t>;</w:t>
      </w:r>
    </w:p>
    <w:p w14:paraId="05760E62"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bakım programları</w:t>
      </w:r>
      <w:r>
        <w:rPr>
          <w:rFonts w:ascii="Times New Roman" w:hAnsi="Times New Roman" w:cs="Times New Roman"/>
          <w:sz w:val="24"/>
          <w:szCs w:val="24"/>
        </w:rPr>
        <w:t>;</w:t>
      </w:r>
    </w:p>
    <w:p w14:paraId="1D127E06" w14:textId="77777777" w:rsidR="006F0765"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acil durum hazırlığı ve müdahalesi</w:t>
      </w:r>
      <w:r>
        <w:rPr>
          <w:rFonts w:ascii="Times New Roman" w:hAnsi="Times New Roman" w:cs="Times New Roman"/>
          <w:sz w:val="24"/>
          <w:szCs w:val="24"/>
        </w:rPr>
        <w:t>;</w:t>
      </w:r>
    </w:p>
    <w:p w14:paraId="69797D66" w14:textId="77777777" w:rsidR="006F0765" w:rsidRPr="006D7836" w:rsidRDefault="006F0765" w:rsidP="006F0765">
      <w:pPr>
        <w:pStyle w:val="ListeParagraf"/>
        <w:numPr>
          <w:ilvl w:val="0"/>
          <w:numId w:val="221"/>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çevre mevzuatına uyum sağlanması;</w:t>
      </w:r>
    </w:p>
    <w:p w14:paraId="74CCAE5C" w14:textId="77777777" w:rsidR="006F0765" w:rsidRPr="006D7836"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sidRPr="006D7836">
        <w:rPr>
          <w:rFonts w:ascii="Times New Roman" w:hAnsi="Times New Roman" w:cs="Times New Roman"/>
          <w:sz w:val="24"/>
          <w:szCs w:val="24"/>
        </w:rPr>
        <w:t>aşağıdakilere özellikle dikkat edilerek performans kontrolü yapılması ve düzeltici eylemlerin alınması:</w:t>
      </w:r>
    </w:p>
    <w:p w14:paraId="6B49E65F" w14:textId="77777777" w:rsidR="006F0765" w:rsidRDefault="006F0765" w:rsidP="006F0765">
      <w:pPr>
        <w:pStyle w:val="ListeParagraf"/>
        <w:numPr>
          <w:ilvl w:val="0"/>
          <w:numId w:val="22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izleme ve ölçüm;</w:t>
      </w:r>
    </w:p>
    <w:p w14:paraId="0D17BA88" w14:textId="77777777" w:rsidR="006F0765" w:rsidRDefault="006F0765" w:rsidP="006F0765">
      <w:pPr>
        <w:pStyle w:val="ListeParagraf"/>
        <w:numPr>
          <w:ilvl w:val="0"/>
          <w:numId w:val="22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düzeltici ve önleyici eylem;</w:t>
      </w:r>
    </w:p>
    <w:p w14:paraId="625BBC29" w14:textId="77777777" w:rsidR="006F0765" w:rsidRDefault="006F0765" w:rsidP="006F0765">
      <w:pPr>
        <w:pStyle w:val="ListeParagraf"/>
        <w:numPr>
          <w:ilvl w:val="0"/>
          <w:numId w:val="22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kayıtların tutulması;</w:t>
      </w:r>
    </w:p>
    <w:p w14:paraId="744E590B" w14:textId="77777777" w:rsidR="006F0765" w:rsidRDefault="006F0765" w:rsidP="006F0765">
      <w:pPr>
        <w:pStyle w:val="ListeParagraf"/>
        <w:numPr>
          <w:ilvl w:val="0"/>
          <w:numId w:val="223"/>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ÇYS’nin planlanan düzenlemelere uygun olup olmadığını ve doğru bir şekilde uygulanıp uygulanmadığını, sürdürülüp sürdürülmediğini belirlemek için, bağımsız (uygulanabilir olduğu durumlarda) iç ve dış denetimlerin yapılması;</w:t>
      </w:r>
    </w:p>
    <w:p w14:paraId="7CBAE744"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ÇYS’nin ve devam eden uygunluğunun, yeterliliğinin ve etkinliğinin üst yönetim tarafından değerlendirilmesi;</w:t>
      </w:r>
    </w:p>
    <w:p w14:paraId="294707AD"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daha temiz teknolojilere yönelik gelişmelerin takip edilmesi;</w:t>
      </w:r>
    </w:p>
    <w:p w14:paraId="24FE47F3"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yeni bir tesisin tasarım aşamasında ve tüm kullanım ömrü boyunca, tesisin nihai olarak kapatılmasından kaynaklanacak çevresel etkilerin dikkate alınması;</w:t>
      </w:r>
    </w:p>
    <w:p w14:paraId="4A1AEF6C"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düzenli aralıklarla sektörel kıyaslamanın uygulanması;</w:t>
      </w:r>
    </w:p>
    <w:p w14:paraId="065FDA47"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atık yönetim planı (bkz. MET 13).</w:t>
      </w:r>
    </w:p>
    <w:p w14:paraId="264599AE"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Özellikle kimya sektörü faaliyetleri için aşağıdaki özellikler, ÇYS’ye entegre edilir:</w:t>
      </w:r>
    </w:p>
    <w:p w14:paraId="5725716A"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çok operatörlü tesislerde/sahalarda, farklı operatörler arasındaki iş birliğini iyileştirmek için her bir tesis operatörünün çalışma prosedürlerine yönelik rollerin, sorumlulukların ve koordinasyonun düzenlendiği bir anlaşmanın oluşturulması;</w:t>
      </w:r>
    </w:p>
    <w:p w14:paraId="527CDB1B"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su ve atık gaz kollarına yönelik envanterlerin oluşturulması (bkz. MET 2).</w:t>
      </w:r>
    </w:p>
    <w:p w14:paraId="1AEE6E5B" w14:textId="77777777" w:rsidR="006F0765" w:rsidRPr="00E52E3B"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Bazı durumlarda, aşağıdaki özellikler ÇYS’nin bir parçasıdır:</w:t>
      </w:r>
    </w:p>
    <w:p w14:paraId="480C60D7"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koku yönetim planı (bkz. MET 20);</w:t>
      </w:r>
    </w:p>
    <w:p w14:paraId="1DEBF265" w14:textId="77777777" w:rsidR="006F0765" w:rsidRDefault="006F0765" w:rsidP="006F0765">
      <w:pPr>
        <w:pStyle w:val="ListeParagraf"/>
        <w:numPr>
          <w:ilvl w:val="0"/>
          <w:numId w:val="22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gürültü yönetim planı (bkz. MET 22).</w:t>
      </w:r>
    </w:p>
    <w:p w14:paraId="7FBEE1CE" w14:textId="77777777" w:rsidR="006F0765" w:rsidRDefault="006F0765" w:rsidP="006F0765">
      <w:pPr>
        <w:spacing w:after="120" w:line="276" w:lineRule="auto"/>
        <w:jc w:val="both"/>
        <w:rPr>
          <w:rFonts w:ascii="Times New Roman" w:hAnsi="Times New Roman" w:cs="Times New Roman"/>
          <w:sz w:val="24"/>
          <w:szCs w:val="24"/>
        </w:rPr>
      </w:pPr>
    </w:p>
    <w:p w14:paraId="58E9A939" w14:textId="77777777" w:rsidR="006F0765" w:rsidRPr="000F03B7" w:rsidRDefault="006F0765" w:rsidP="006F0765">
      <w:pPr>
        <w:spacing w:after="120" w:line="276" w:lineRule="auto"/>
        <w:jc w:val="both"/>
        <w:rPr>
          <w:rFonts w:ascii="Times New Roman" w:hAnsi="Times New Roman" w:cs="Times New Roman"/>
          <w:sz w:val="24"/>
          <w:szCs w:val="24"/>
        </w:rPr>
      </w:pPr>
      <w:r w:rsidRPr="000F03B7">
        <w:rPr>
          <w:rFonts w:ascii="Times New Roman" w:hAnsi="Times New Roman" w:cs="Times New Roman"/>
          <w:sz w:val="24"/>
          <w:szCs w:val="24"/>
        </w:rPr>
        <w:t>Uygulanabilirlik</w:t>
      </w:r>
    </w:p>
    <w:p w14:paraId="170DE69F" w14:textId="77777777" w:rsidR="006F0765" w:rsidRDefault="006F0765" w:rsidP="006F0765">
      <w:pPr>
        <w:spacing w:after="120" w:line="276" w:lineRule="auto"/>
        <w:jc w:val="both"/>
        <w:rPr>
          <w:rFonts w:ascii="Times New Roman" w:hAnsi="Times New Roman" w:cs="Times New Roman"/>
          <w:sz w:val="24"/>
          <w:szCs w:val="24"/>
        </w:rPr>
      </w:pPr>
      <w:r w:rsidRPr="00D40B9F">
        <w:rPr>
          <w:rFonts w:ascii="Times New Roman" w:hAnsi="Times New Roman" w:cs="Times New Roman"/>
          <w:sz w:val="24"/>
          <w:szCs w:val="24"/>
        </w:rPr>
        <w:t>ÇYS’nin kapsamı (örn. ayrıntı düzeyleri) ve yapısı (örn. standart veya standart olmayan); genellikle tesisin yapısı, ölçeği ve karmaşıklık düzeyi ve neden olabileceği çevresel etkilerin çeşitliliği ile ilişkili olacaktır.</w:t>
      </w:r>
    </w:p>
    <w:p w14:paraId="0B551F5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w:t>
      </w:r>
      <w:r>
        <w:rPr>
          <w:rFonts w:ascii="Times New Roman" w:hAnsi="Times New Roman" w:cs="Times New Roman"/>
          <w:sz w:val="24"/>
          <w:szCs w:val="24"/>
        </w:rPr>
        <w:t xml:space="preserve"> Suya ve havaya emisyonlar ile su kullanımının azaltılmasını kolaylaştırmak için, ÇYS’nin bir parçası olarak (bkz. MET 1), atık su ve atık gaz kollarına yönelik aşağıdaki özelliklerin tümünü içeren bir envanter oluşturulur ve devamlılığı sağlanır:</w:t>
      </w:r>
    </w:p>
    <w:p w14:paraId="5BA0A55F" w14:textId="77777777" w:rsidR="006F0765" w:rsidRDefault="006F0765" w:rsidP="006F0765">
      <w:pPr>
        <w:pStyle w:val="ListeParagraf"/>
        <w:numPr>
          <w:ilvl w:val="0"/>
          <w:numId w:val="22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aşağıdakileri de içeren, kimyasal üretim prosesleri hakkında bilgi:</w:t>
      </w:r>
    </w:p>
    <w:p w14:paraId="3CF51A02" w14:textId="77777777" w:rsidR="006F0765" w:rsidRDefault="006F0765" w:rsidP="006F0765">
      <w:pPr>
        <w:pStyle w:val="ListeParagraf"/>
        <w:numPr>
          <w:ilvl w:val="0"/>
          <w:numId w:val="225"/>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yan ürünleri de gösteren kimyasal reaksiyon denklemleri;</w:t>
      </w:r>
    </w:p>
    <w:p w14:paraId="21F3992B" w14:textId="77777777" w:rsidR="006F0765" w:rsidRDefault="006F0765" w:rsidP="006F0765">
      <w:pPr>
        <w:pStyle w:val="ListeParagraf"/>
        <w:numPr>
          <w:ilvl w:val="0"/>
          <w:numId w:val="225"/>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emisyonların kaynağını gösteren basitleştirilmiş proses akış şemaları;</w:t>
      </w:r>
    </w:p>
    <w:p w14:paraId="1947C351" w14:textId="77777777" w:rsidR="006F0765" w:rsidRDefault="006F0765" w:rsidP="006F0765">
      <w:pPr>
        <w:pStyle w:val="ListeParagraf"/>
        <w:numPr>
          <w:ilvl w:val="0"/>
          <w:numId w:val="225"/>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prosese entegre tekniklerin ve kaynağında atık su/atık gaz arıtmanın, performanslarını da kapsayacak şekilde, tanımları;</w:t>
      </w:r>
    </w:p>
    <w:p w14:paraId="711CB2D8" w14:textId="77777777" w:rsidR="006F0765" w:rsidRDefault="006F0765" w:rsidP="006F0765">
      <w:pPr>
        <w:pStyle w:val="ListeParagraf"/>
        <w:numPr>
          <w:ilvl w:val="0"/>
          <w:numId w:val="22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su kollarının özellikleri hakkında, makul şekilde mümkün olduğu kadar kapsamlı, aşağıdakiler gibi bilgi:</w:t>
      </w:r>
    </w:p>
    <w:p w14:paraId="7506000D" w14:textId="77777777" w:rsidR="006F0765" w:rsidRDefault="006F0765" w:rsidP="006F0765">
      <w:pPr>
        <w:pStyle w:val="ListeParagraf"/>
        <w:numPr>
          <w:ilvl w:val="0"/>
          <w:numId w:val="22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akış, pH, sıcaklık ve iletkenliğe yönelik ortalama değerler ve değişkenlikler;</w:t>
      </w:r>
    </w:p>
    <w:p w14:paraId="023CEF08" w14:textId="77777777" w:rsidR="006F0765" w:rsidRDefault="006F0765" w:rsidP="006F0765">
      <w:pPr>
        <w:pStyle w:val="ListeParagraf"/>
        <w:numPr>
          <w:ilvl w:val="0"/>
          <w:numId w:val="22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kirleticilere/parametrelere yönelik ortalama konsantrasyon ile yük değerleri ve bunların değişkenliği (örn. KOİ/TOK azot türleri, fosfor, metaller, tuzlar, belirli organik bileşikler);</w:t>
      </w:r>
    </w:p>
    <w:p w14:paraId="76AAC691" w14:textId="77777777" w:rsidR="006F0765" w:rsidRDefault="006F0765" w:rsidP="006F0765">
      <w:pPr>
        <w:pStyle w:val="ListeParagraf"/>
        <w:numPr>
          <w:ilvl w:val="0"/>
          <w:numId w:val="226"/>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biyoelenebilirlik üzerine veri (örn. BOİ, BOİ/KOİ oranı, Zahn-Wellens testi, biyolojik inhibisyon potansiyeli (örn. nitrifikasyon));</w:t>
      </w:r>
    </w:p>
    <w:p w14:paraId="10909F85" w14:textId="77777777" w:rsidR="006F0765" w:rsidRDefault="006F0765" w:rsidP="006F0765">
      <w:pPr>
        <w:pStyle w:val="ListeParagraf"/>
        <w:numPr>
          <w:ilvl w:val="0"/>
          <w:numId w:val="22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gaz kollarının özellikleri hakkında, makul şekilde mümkün olduğu kadar kapsamlı, aşağıdakiler gibi bilgi:</w:t>
      </w:r>
    </w:p>
    <w:p w14:paraId="174458A8" w14:textId="77777777" w:rsidR="006F0765" w:rsidRDefault="006F0765" w:rsidP="006F0765">
      <w:pPr>
        <w:pStyle w:val="ListeParagraf"/>
        <w:numPr>
          <w:ilvl w:val="0"/>
          <w:numId w:val="227"/>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akış ve sıcaklığa yönelik ortalama değerler ve değişkenlik;</w:t>
      </w:r>
    </w:p>
    <w:p w14:paraId="3409E65F" w14:textId="77777777" w:rsidR="006F0765" w:rsidRDefault="006F0765" w:rsidP="006F0765">
      <w:pPr>
        <w:pStyle w:val="ListeParagraf"/>
        <w:numPr>
          <w:ilvl w:val="0"/>
          <w:numId w:val="227"/>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ilişkili kirleticilere/parametrelere yönelik ortalama konsantrasyon ile yük değerleri ve bunların değişkenliği (örn. </w:t>
      </w:r>
      <w:r w:rsidR="009D570E">
        <w:rPr>
          <w:rFonts w:ascii="Times New Roman" w:hAnsi="Times New Roman" w:cs="Times New Roman"/>
          <w:sz w:val="24"/>
          <w:szCs w:val="24"/>
        </w:rPr>
        <w:t>UOB</w:t>
      </w:r>
      <w:r>
        <w:rPr>
          <w:rFonts w:ascii="Times New Roman" w:hAnsi="Times New Roman" w:cs="Times New Roman"/>
          <w:sz w:val="24"/>
          <w:szCs w:val="24"/>
        </w:rPr>
        <w:t>, CO, NO</w:t>
      </w:r>
      <w:r>
        <w:rPr>
          <w:rFonts w:ascii="Times New Roman" w:hAnsi="Times New Roman" w:cs="Times New Roman"/>
          <w:sz w:val="24"/>
          <w:szCs w:val="24"/>
          <w:vertAlign w:val="subscript"/>
        </w:rPr>
        <w:t>x</w:t>
      </w:r>
      <w:r>
        <w:rPr>
          <w:rFonts w:ascii="Times New Roman" w:hAnsi="Times New Roman" w:cs="Times New Roman"/>
          <w:sz w:val="24"/>
          <w:szCs w:val="24"/>
        </w:rPr>
        <w:t>, SO</w:t>
      </w:r>
      <w:r>
        <w:rPr>
          <w:rFonts w:ascii="Times New Roman" w:hAnsi="Times New Roman" w:cs="Times New Roman"/>
          <w:sz w:val="24"/>
          <w:szCs w:val="24"/>
          <w:vertAlign w:val="subscript"/>
        </w:rPr>
        <w:t>x</w:t>
      </w:r>
      <w:r>
        <w:rPr>
          <w:rFonts w:ascii="Times New Roman" w:hAnsi="Times New Roman" w:cs="Times New Roman"/>
          <w:sz w:val="24"/>
          <w:szCs w:val="24"/>
        </w:rPr>
        <w:t>, klor, hidrojen klorür);</w:t>
      </w:r>
    </w:p>
    <w:p w14:paraId="7AD78CF8" w14:textId="77777777" w:rsidR="006F0765" w:rsidRDefault="006F0765" w:rsidP="006F0765">
      <w:pPr>
        <w:pStyle w:val="ListeParagraf"/>
        <w:numPr>
          <w:ilvl w:val="0"/>
          <w:numId w:val="227"/>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tutuşabilirlik, alt ve üst patlama sınırları, reaktivite;</w:t>
      </w:r>
    </w:p>
    <w:p w14:paraId="3A480AB8" w14:textId="77777777" w:rsidR="006F0765" w:rsidRDefault="006F0765" w:rsidP="006F0765">
      <w:pPr>
        <w:pStyle w:val="ListeParagraf"/>
        <w:numPr>
          <w:ilvl w:val="0"/>
          <w:numId w:val="227"/>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atık gaz arıtımını veya tesis güvenliğini etkileyebilecek diğer maddelerin varlığı (örn. oksijen, azot, su buharı, toz).</w:t>
      </w:r>
    </w:p>
    <w:p w14:paraId="78CFFBCC"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lastRenderedPageBreak/>
        <w:t>(2) İzleme</w:t>
      </w:r>
    </w:p>
    <w:p w14:paraId="5DFBC1D6"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3:</w:t>
      </w:r>
      <w:r>
        <w:rPr>
          <w:rFonts w:ascii="Times New Roman" w:hAnsi="Times New Roman" w:cs="Times New Roman"/>
          <w:sz w:val="24"/>
          <w:szCs w:val="24"/>
        </w:rPr>
        <w:t xml:space="preserve"> Atık su kollarına yönelik envanter (bkz. MET 2) tarafından tanımlanan suya olan ilişkili emisyonlar için, kilit noktalarda (örn. ön arıtmaya giren su ve son arıtmaya giren su) önemli proses parametreleri (atık su akışı, pH ve sıcaklığın sürekli olarak izlenmesi dahil olmak üzere) izlenir.</w:t>
      </w:r>
    </w:p>
    <w:p w14:paraId="1E480AF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4:</w:t>
      </w:r>
      <w:r>
        <w:rPr>
          <w:rFonts w:ascii="Times New Roman" w:hAnsi="Times New Roman" w:cs="Times New Roman"/>
          <w:sz w:val="24"/>
          <w:szCs w:val="24"/>
        </w:rPr>
        <w:t xml:space="preserve"> Suya emisyonlar, aşağıda verilen sıklıklarda TS EN standartlarına uygun olarak izlenir. TS EN standardı mevcut değilse, eş değer bilimsel nitelikte veri elde edilmesini sağlayan ISO, ulusal veya uluslararası standartlar kullanılır.</w:t>
      </w:r>
    </w:p>
    <w:tbl>
      <w:tblPr>
        <w:tblStyle w:val="TabloKlavuzu"/>
        <w:tblW w:w="0" w:type="auto"/>
        <w:tblLook w:val="04A0" w:firstRow="1" w:lastRow="0" w:firstColumn="1" w:lastColumn="0" w:noHBand="0" w:noVBand="1"/>
      </w:tblPr>
      <w:tblGrid>
        <w:gridCol w:w="1271"/>
        <w:gridCol w:w="2268"/>
        <w:gridCol w:w="2410"/>
        <w:gridCol w:w="3113"/>
      </w:tblGrid>
      <w:tr w:rsidR="006F0765" w:rsidRPr="00393115" w14:paraId="7DD22F26" w14:textId="77777777" w:rsidTr="0082590D">
        <w:tc>
          <w:tcPr>
            <w:tcW w:w="3539" w:type="dxa"/>
            <w:gridSpan w:val="2"/>
          </w:tcPr>
          <w:p w14:paraId="4CDA09A9"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Madde/Parametre</w:t>
            </w:r>
          </w:p>
        </w:tc>
        <w:tc>
          <w:tcPr>
            <w:tcW w:w="2410" w:type="dxa"/>
          </w:tcPr>
          <w:p w14:paraId="63B1875D"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Standart(lar)</w:t>
            </w:r>
          </w:p>
        </w:tc>
        <w:tc>
          <w:tcPr>
            <w:tcW w:w="3113" w:type="dxa"/>
          </w:tcPr>
          <w:p w14:paraId="2CA2D500"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Minimum İzleme Sıklığı (</w:t>
            </w:r>
            <w:r w:rsidRPr="00EA524E">
              <w:rPr>
                <w:rFonts w:ascii="Times New Roman" w:hAnsi="Times New Roman" w:cs="Times New Roman"/>
                <w:b/>
                <w:bCs/>
                <w:vertAlign w:val="superscript"/>
              </w:rPr>
              <w:t>1</w:t>
            </w:r>
            <w:r>
              <w:rPr>
                <w:rFonts w:ascii="Times New Roman" w:hAnsi="Times New Roman" w:cs="Times New Roman"/>
                <w:b/>
                <w:bCs/>
              </w:rPr>
              <w:t>)(</w:t>
            </w:r>
            <w:r w:rsidRPr="00EA524E">
              <w:rPr>
                <w:rFonts w:ascii="Times New Roman" w:hAnsi="Times New Roman" w:cs="Times New Roman"/>
                <w:b/>
                <w:bCs/>
                <w:vertAlign w:val="superscript"/>
              </w:rPr>
              <w:t>2</w:t>
            </w:r>
            <w:r>
              <w:rPr>
                <w:rFonts w:ascii="Times New Roman" w:hAnsi="Times New Roman" w:cs="Times New Roman"/>
                <w:b/>
                <w:bCs/>
              </w:rPr>
              <w:t>)</w:t>
            </w:r>
          </w:p>
        </w:tc>
      </w:tr>
      <w:tr w:rsidR="006F0765" w:rsidRPr="00393115" w14:paraId="2F8C6F72" w14:textId="77777777" w:rsidTr="0082590D">
        <w:tc>
          <w:tcPr>
            <w:tcW w:w="3539" w:type="dxa"/>
            <w:gridSpan w:val="2"/>
          </w:tcPr>
          <w:p w14:paraId="0367AFF5" w14:textId="77777777" w:rsidR="006F0765" w:rsidRPr="00393115" w:rsidRDefault="006F0765" w:rsidP="000D79D6">
            <w:pPr>
              <w:jc w:val="both"/>
              <w:rPr>
                <w:rFonts w:ascii="Times New Roman" w:hAnsi="Times New Roman" w:cs="Times New Roman"/>
              </w:rPr>
            </w:pPr>
            <w:r>
              <w:rPr>
                <w:rFonts w:ascii="Times New Roman" w:hAnsi="Times New Roman" w:cs="Times New Roman"/>
              </w:rPr>
              <w:t>Toplam Organik Karbon (TOK) (</w:t>
            </w:r>
            <w:r w:rsidRPr="00EA524E">
              <w:rPr>
                <w:rFonts w:ascii="Times New Roman" w:hAnsi="Times New Roman" w:cs="Times New Roman"/>
                <w:vertAlign w:val="superscript"/>
              </w:rPr>
              <w:t>3</w:t>
            </w:r>
            <w:r>
              <w:rPr>
                <w:rFonts w:ascii="Times New Roman" w:hAnsi="Times New Roman" w:cs="Times New Roman"/>
              </w:rPr>
              <w:t>)</w:t>
            </w:r>
          </w:p>
        </w:tc>
        <w:tc>
          <w:tcPr>
            <w:tcW w:w="2410" w:type="dxa"/>
          </w:tcPr>
          <w:p w14:paraId="3BD5F3E4"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TS 8195 EN 1484</w:t>
            </w:r>
          </w:p>
        </w:tc>
        <w:tc>
          <w:tcPr>
            <w:tcW w:w="3113" w:type="dxa"/>
            <w:vMerge w:val="restart"/>
          </w:tcPr>
          <w:p w14:paraId="19FA39E9"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günlük</w:t>
            </w:r>
          </w:p>
        </w:tc>
      </w:tr>
      <w:tr w:rsidR="006F0765" w:rsidRPr="00393115" w14:paraId="0C33A57E" w14:textId="77777777" w:rsidTr="0082590D">
        <w:tc>
          <w:tcPr>
            <w:tcW w:w="3539" w:type="dxa"/>
            <w:gridSpan w:val="2"/>
          </w:tcPr>
          <w:p w14:paraId="399C2D0D" w14:textId="77777777" w:rsidR="006F0765" w:rsidRPr="00393115" w:rsidRDefault="006F0765" w:rsidP="000D79D6">
            <w:pPr>
              <w:jc w:val="both"/>
              <w:rPr>
                <w:rFonts w:ascii="Times New Roman" w:hAnsi="Times New Roman" w:cs="Times New Roman"/>
              </w:rPr>
            </w:pPr>
            <w:r>
              <w:rPr>
                <w:rFonts w:ascii="Times New Roman" w:hAnsi="Times New Roman" w:cs="Times New Roman"/>
              </w:rPr>
              <w:t>Kimyasal Oksijen İhtiyacı (KOİ) (</w:t>
            </w:r>
            <w:r w:rsidRPr="00EA524E">
              <w:rPr>
                <w:rFonts w:ascii="Times New Roman" w:hAnsi="Times New Roman" w:cs="Times New Roman"/>
                <w:vertAlign w:val="superscript"/>
              </w:rPr>
              <w:t>3</w:t>
            </w:r>
            <w:r>
              <w:rPr>
                <w:rFonts w:ascii="Times New Roman" w:hAnsi="Times New Roman" w:cs="Times New Roman"/>
              </w:rPr>
              <w:t>)</w:t>
            </w:r>
          </w:p>
        </w:tc>
        <w:tc>
          <w:tcPr>
            <w:tcW w:w="2410" w:type="dxa"/>
          </w:tcPr>
          <w:p w14:paraId="37790DE3"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mevcut standart yok</w:t>
            </w:r>
          </w:p>
        </w:tc>
        <w:tc>
          <w:tcPr>
            <w:tcW w:w="3113" w:type="dxa"/>
            <w:vMerge/>
          </w:tcPr>
          <w:p w14:paraId="3A167FDA" w14:textId="77777777" w:rsidR="006F0765" w:rsidRPr="00393115" w:rsidRDefault="006F0765" w:rsidP="000D79D6">
            <w:pPr>
              <w:jc w:val="center"/>
              <w:rPr>
                <w:rFonts w:ascii="Times New Roman" w:hAnsi="Times New Roman" w:cs="Times New Roman"/>
              </w:rPr>
            </w:pPr>
          </w:p>
        </w:tc>
      </w:tr>
      <w:tr w:rsidR="006F0765" w:rsidRPr="00393115" w14:paraId="5B5F82A6" w14:textId="77777777" w:rsidTr="0082590D">
        <w:tc>
          <w:tcPr>
            <w:tcW w:w="3539" w:type="dxa"/>
            <w:gridSpan w:val="2"/>
          </w:tcPr>
          <w:p w14:paraId="34607757" w14:textId="77777777" w:rsidR="006F0765" w:rsidRDefault="006F0765" w:rsidP="000D79D6">
            <w:pPr>
              <w:jc w:val="both"/>
              <w:rPr>
                <w:rFonts w:ascii="Times New Roman" w:hAnsi="Times New Roman" w:cs="Times New Roman"/>
              </w:rPr>
            </w:pPr>
            <w:r>
              <w:rPr>
                <w:rFonts w:ascii="Times New Roman" w:hAnsi="Times New Roman" w:cs="Times New Roman"/>
              </w:rPr>
              <w:t>Toplam Askıda Katı Maddeler (TAKM)</w:t>
            </w:r>
          </w:p>
        </w:tc>
        <w:tc>
          <w:tcPr>
            <w:tcW w:w="2410" w:type="dxa"/>
          </w:tcPr>
          <w:p w14:paraId="73CF10A8" w14:textId="77777777" w:rsidR="006F0765" w:rsidRDefault="006F0765" w:rsidP="000D79D6">
            <w:pPr>
              <w:jc w:val="center"/>
              <w:rPr>
                <w:rFonts w:ascii="Times New Roman" w:hAnsi="Times New Roman" w:cs="Times New Roman"/>
              </w:rPr>
            </w:pPr>
            <w:r>
              <w:rPr>
                <w:rFonts w:ascii="Times New Roman" w:hAnsi="Times New Roman" w:cs="Times New Roman"/>
              </w:rPr>
              <w:t>TS EN 872</w:t>
            </w:r>
          </w:p>
        </w:tc>
        <w:tc>
          <w:tcPr>
            <w:tcW w:w="3113" w:type="dxa"/>
            <w:vMerge/>
          </w:tcPr>
          <w:p w14:paraId="69BEE4E1" w14:textId="77777777" w:rsidR="006F0765" w:rsidRPr="00393115" w:rsidRDefault="006F0765" w:rsidP="000D79D6">
            <w:pPr>
              <w:jc w:val="center"/>
              <w:rPr>
                <w:rFonts w:ascii="Times New Roman" w:hAnsi="Times New Roman" w:cs="Times New Roman"/>
              </w:rPr>
            </w:pPr>
          </w:p>
        </w:tc>
      </w:tr>
      <w:tr w:rsidR="006F0765" w:rsidRPr="00393115" w14:paraId="035E1392" w14:textId="77777777" w:rsidTr="0082590D">
        <w:tc>
          <w:tcPr>
            <w:tcW w:w="3539" w:type="dxa"/>
            <w:gridSpan w:val="2"/>
          </w:tcPr>
          <w:p w14:paraId="7A23FE41" w14:textId="77777777" w:rsidR="006F0765" w:rsidRDefault="006F0765" w:rsidP="000D79D6">
            <w:pPr>
              <w:jc w:val="both"/>
              <w:rPr>
                <w:rFonts w:ascii="Times New Roman" w:hAnsi="Times New Roman" w:cs="Times New Roman"/>
              </w:rPr>
            </w:pPr>
            <w:r>
              <w:rPr>
                <w:rFonts w:ascii="Times New Roman" w:hAnsi="Times New Roman" w:cs="Times New Roman"/>
              </w:rPr>
              <w:t>Toplam Azot (TN) (</w:t>
            </w:r>
            <w:r w:rsidRPr="007958EA">
              <w:rPr>
                <w:rFonts w:ascii="Times New Roman" w:hAnsi="Times New Roman" w:cs="Times New Roman"/>
                <w:vertAlign w:val="superscript"/>
              </w:rPr>
              <w:t>4</w:t>
            </w:r>
            <w:r>
              <w:rPr>
                <w:rFonts w:ascii="Times New Roman" w:hAnsi="Times New Roman" w:cs="Times New Roman"/>
              </w:rPr>
              <w:t>)</w:t>
            </w:r>
          </w:p>
        </w:tc>
        <w:tc>
          <w:tcPr>
            <w:tcW w:w="2410" w:type="dxa"/>
          </w:tcPr>
          <w:p w14:paraId="51DE0FA7" w14:textId="77777777" w:rsidR="006F0765" w:rsidRDefault="006F0765" w:rsidP="000D79D6">
            <w:pPr>
              <w:jc w:val="center"/>
              <w:rPr>
                <w:rFonts w:ascii="Times New Roman" w:hAnsi="Times New Roman" w:cs="Times New Roman"/>
              </w:rPr>
            </w:pPr>
            <w:r>
              <w:rPr>
                <w:rFonts w:ascii="Times New Roman" w:hAnsi="Times New Roman" w:cs="Times New Roman"/>
              </w:rPr>
              <w:t>TS EN ISO 20236</w:t>
            </w:r>
          </w:p>
        </w:tc>
        <w:tc>
          <w:tcPr>
            <w:tcW w:w="3113" w:type="dxa"/>
            <w:vMerge/>
          </w:tcPr>
          <w:p w14:paraId="4F0B663D" w14:textId="77777777" w:rsidR="006F0765" w:rsidRPr="00393115" w:rsidRDefault="006F0765" w:rsidP="000D79D6">
            <w:pPr>
              <w:jc w:val="center"/>
              <w:rPr>
                <w:rFonts w:ascii="Times New Roman" w:hAnsi="Times New Roman" w:cs="Times New Roman"/>
              </w:rPr>
            </w:pPr>
          </w:p>
        </w:tc>
      </w:tr>
      <w:tr w:rsidR="006F0765" w:rsidRPr="00393115" w14:paraId="546512F7" w14:textId="77777777" w:rsidTr="0082590D">
        <w:tc>
          <w:tcPr>
            <w:tcW w:w="3539" w:type="dxa"/>
            <w:gridSpan w:val="2"/>
          </w:tcPr>
          <w:p w14:paraId="4B21809C" w14:textId="77777777" w:rsidR="006F0765" w:rsidRPr="007958EA" w:rsidRDefault="006F0765" w:rsidP="000D79D6">
            <w:pPr>
              <w:jc w:val="both"/>
              <w:rPr>
                <w:rFonts w:ascii="Times New Roman" w:hAnsi="Times New Roman" w:cs="Times New Roman"/>
              </w:rPr>
            </w:pPr>
            <w:r>
              <w:rPr>
                <w:rFonts w:ascii="Times New Roman" w:hAnsi="Times New Roman" w:cs="Times New Roman"/>
              </w:rPr>
              <w:t>Toplam İnorganik Azot (N</w:t>
            </w:r>
            <w:r>
              <w:rPr>
                <w:rFonts w:ascii="Times New Roman" w:hAnsi="Times New Roman" w:cs="Times New Roman"/>
                <w:vertAlign w:val="subscript"/>
              </w:rPr>
              <w:t>inorg</w:t>
            </w:r>
            <w:r>
              <w:rPr>
                <w:rFonts w:ascii="Times New Roman" w:hAnsi="Times New Roman" w:cs="Times New Roman"/>
              </w:rPr>
              <w:t>) (</w:t>
            </w:r>
            <w:r w:rsidRPr="007958EA">
              <w:rPr>
                <w:rFonts w:ascii="Times New Roman" w:hAnsi="Times New Roman" w:cs="Times New Roman"/>
                <w:vertAlign w:val="superscript"/>
              </w:rPr>
              <w:t>4</w:t>
            </w:r>
            <w:r>
              <w:rPr>
                <w:rFonts w:ascii="Times New Roman" w:hAnsi="Times New Roman" w:cs="Times New Roman"/>
              </w:rPr>
              <w:t>)</w:t>
            </w:r>
          </w:p>
        </w:tc>
        <w:tc>
          <w:tcPr>
            <w:tcW w:w="2410" w:type="dxa"/>
          </w:tcPr>
          <w:p w14:paraId="5F4FBFD4" w14:textId="77777777" w:rsidR="006F0765" w:rsidRDefault="006F0765" w:rsidP="000D79D6">
            <w:pPr>
              <w:jc w:val="center"/>
              <w:rPr>
                <w:rFonts w:ascii="Times New Roman" w:hAnsi="Times New Roman" w:cs="Times New Roman"/>
              </w:rPr>
            </w:pPr>
            <w:r>
              <w:rPr>
                <w:rFonts w:ascii="Times New Roman" w:hAnsi="Times New Roman" w:cs="Times New Roman"/>
              </w:rPr>
              <w:t>çeşitli standartlar mevcut</w:t>
            </w:r>
          </w:p>
        </w:tc>
        <w:tc>
          <w:tcPr>
            <w:tcW w:w="3113" w:type="dxa"/>
            <w:vMerge/>
          </w:tcPr>
          <w:p w14:paraId="117F1C15" w14:textId="77777777" w:rsidR="006F0765" w:rsidRPr="00393115" w:rsidRDefault="006F0765" w:rsidP="000D79D6">
            <w:pPr>
              <w:jc w:val="center"/>
              <w:rPr>
                <w:rFonts w:ascii="Times New Roman" w:hAnsi="Times New Roman" w:cs="Times New Roman"/>
              </w:rPr>
            </w:pPr>
          </w:p>
        </w:tc>
      </w:tr>
      <w:tr w:rsidR="006F0765" w:rsidRPr="00393115" w14:paraId="2EF6FA02" w14:textId="77777777" w:rsidTr="0082590D">
        <w:tc>
          <w:tcPr>
            <w:tcW w:w="3539" w:type="dxa"/>
            <w:gridSpan w:val="2"/>
          </w:tcPr>
          <w:p w14:paraId="4495768E" w14:textId="77777777" w:rsidR="006F0765" w:rsidRDefault="006F0765" w:rsidP="000D79D6">
            <w:pPr>
              <w:jc w:val="both"/>
              <w:rPr>
                <w:rFonts w:ascii="Times New Roman" w:hAnsi="Times New Roman" w:cs="Times New Roman"/>
              </w:rPr>
            </w:pPr>
            <w:r>
              <w:rPr>
                <w:rFonts w:ascii="Times New Roman" w:hAnsi="Times New Roman" w:cs="Times New Roman"/>
              </w:rPr>
              <w:t>Toplam Fosfor (TP)</w:t>
            </w:r>
          </w:p>
        </w:tc>
        <w:tc>
          <w:tcPr>
            <w:tcW w:w="2410" w:type="dxa"/>
          </w:tcPr>
          <w:p w14:paraId="34F203D9" w14:textId="77777777" w:rsidR="006F0765" w:rsidRDefault="006F0765" w:rsidP="000D79D6">
            <w:pPr>
              <w:jc w:val="center"/>
              <w:rPr>
                <w:rFonts w:ascii="Times New Roman" w:hAnsi="Times New Roman" w:cs="Times New Roman"/>
              </w:rPr>
            </w:pPr>
            <w:r>
              <w:rPr>
                <w:rFonts w:ascii="Times New Roman" w:hAnsi="Times New Roman" w:cs="Times New Roman"/>
              </w:rPr>
              <w:t>çeşitli standartlar mevcut</w:t>
            </w:r>
          </w:p>
        </w:tc>
        <w:tc>
          <w:tcPr>
            <w:tcW w:w="3113" w:type="dxa"/>
            <w:vMerge/>
          </w:tcPr>
          <w:p w14:paraId="438A62A4" w14:textId="77777777" w:rsidR="006F0765" w:rsidRPr="00393115" w:rsidRDefault="006F0765" w:rsidP="000D79D6">
            <w:pPr>
              <w:jc w:val="center"/>
              <w:rPr>
                <w:rFonts w:ascii="Times New Roman" w:hAnsi="Times New Roman" w:cs="Times New Roman"/>
              </w:rPr>
            </w:pPr>
          </w:p>
        </w:tc>
      </w:tr>
      <w:tr w:rsidR="006F0765" w:rsidRPr="00393115" w14:paraId="6466D300" w14:textId="77777777" w:rsidTr="0082590D">
        <w:tc>
          <w:tcPr>
            <w:tcW w:w="3539" w:type="dxa"/>
            <w:gridSpan w:val="2"/>
          </w:tcPr>
          <w:p w14:paraId="53E1DCB1" w14:textId="77777777" w:rsidR="006F0765" w:rsidRDefault="006F0765" w:rsidP="000D79D6">
            <w:pPr>
              <w:jc w:val="both"/>
              <w:rPr>
                <w:rFonts w:ascii="Times New Roman" w:hAnsi="Times New Roman" w:cs="Times New Roman"/>
              </w:rPr>
            </w:pPr>
            <w:r>
              <w:rPr>
                <w:rFonts w:ascii="Times New Roman" w:hAnsi="Times New Roman" w:cs="Times New Roman"/>
              </w:rPr>
              <w:t>Adsorplanabilir Organik Bağlı Halojenler (AOX)</w:t>
            </w:r>
          </w:p>
        </w:tc>
        <w:tc>
          <w:tcPr>
            <w:tcW w:w="2410" w:type="dxa"/>
          </w:tcPr>
          <w:p w14:paraId="1ADC5476" w14:textId="77777777" w:rsidR="006F0765" w:rsidRDefault="006F0765" w:rsidP="000D79D6">
            <w:pPr>
              <w:jc w:val="center"/>
              <w:rPr>
                <w:rFonts w:ascii="Times New Roman" w:hAnsi="Times New Roman" w:cs="Times New Roman"/>
              </w:rPr>
            </w:pPr>
            <w:r>
              <w:rPr>
                <w:rFonts w:ascii="Times New Roman" w:hAnsi="Times New Roman" w:cs="Times New Roman"/>
              </w:rPr>
              <w:t>TS EN ISO 9562</w:t>
            </w:r>
          </w:p>
        </w:tc>
        <w:tc>
          <w:tcPr>
            <w:tcW w:w="3113" w:type="dxa"/>
            <w:vMerge w:val="restart"/>
          </w:tcPr>
          <w:p w14:paraId="11A0E466"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aylık</w:t>
            </w:r>
          </w:p>
        </w:tc>
      </w:tr>
      <w:tr w:rsidR="006F0765" w:rsidRPr="00393115" w14:paraId="6B4D82D2" w14:textId="77777777" w:rsidTr="0082590D">
        <w:tc>
          <w:tcPr>
            <w:tcW w:w="1271" w:type="dxa"/>
            <w:vMerge w:val="restart"/>
          </w:tcPr>
          <w:p w14:paraId="57B99ECF" w14:textId="77777777" w:rsidR="006F0765" w:rsidRDefault="006F0765" w:rsidP="000D79D6">
            <w:pPr>
              <w:jc w:val="both"/>
              <w:rPr>
                <w:rFonts w:ascii="Times New Roman" w:hAnsi="Times New Roman" w:cs="Times New Roman"/>
              </w:rPr>
            </w:pPr>
            <w:r>
              <w:rPr>
                <w:rFonts w:ascii="Times New Roman" w:hAnsi="Times New Roman" w:cs="Times New Roman"/>
              </w:rPr>
              <w:t>Metaller</w:t>
            </w:r>
          </w:p>
        </w:tc>
        <w:tc>
          <w:tcPr>
            <w:tcW w:w="2268" w:type="dxa"/>
          </w:tcPr>
          <w:p w14:paraId="070E560D" w14:textId="77777777" w:rsidR="006F0765" w:rsidRDefault="006F0765" w:rsidP="000D79D6">
            <w:pPr>
              <w:jc w:val="both"/>
              <w:rPr>
                <w:rFonts w:ascii="Times New Roman" w:hAnsi="Times New Roman" w:cs="Times New Roman"/>
              </w:rPr>
            </w:pPr>
            <w:r>
              <w:rPr>
                <w:rFonts w:ascii="Times New Roman" w:hAnsi="Times New Roman" w:cs="Times New Roman"/>
              </w:rPr>
              <w:t>Cr</w:t>
            </w:r>
          </w:p>
        </w:tc>
        <w:tc>
          <w:tcPr>
            <w:tcW w:w="2410" w:type="dxa"/>
            <w:vMerge w:val="restart"/>
          </w:tcPr>
          <w:p w14:paraId="4C07E4F3" w14:textId="77777777" w:rsidR="006F0765" w:rsidRDefault="006F0765" w:rsidP="000D79D6">
            <w:pPr>
              <w:jc w:val="center"/>
              <w:rPr>
                <w:rFonts w:ascii="Times New Roman" w:hAnsi="Times New Roman" w:cs="Times New Roman"/>
              </w:rPr>
            </w:pPr>
            <w:r>
              <w:rPr>
                <w:rFonts w:ascii="Times New Roman" w:hAnsi="Times New Roman" w:cs="Times New Roman"/>
              </w:rPr>
              <w:t>çeşitli standartlar mevcut</w:t>
            </w:r>
          </w:p>
        </w:tc>
        <w:tc>
          <w:tcPr>
            <w:tcW w:w="3113" w:type="dxa"/>
            <w:vMerge/>
          </w:tcPr>
          <w:p w14:paraId="65E708E7" w14:textId="77777777" w:rsidR="006F0765" w:rsidRPr="00393115" w:rsidRDefault="006F0765" w:rsidP="000D79D6">
            <w:pPr>
              <w:jc w:val="center"/>
              <w:rPr>
                <w:rFonts w:ascii="Times New Roman" w:hAnsi="Times New Roman" w:cs="Times New Roman"/>
              </w:rPr>
            </w:pPr>
          </w:p>
        </w:tc>
      </w:tr>
      <w:tr w:rsidR="006F0765" w:rsidRPr="00393115" w14:paraId="3FB7044D" w14:textId="77777777" w:rsidTr="0082590D">
        <w:tc>
          <w:tcPr>
            <w:tcW w:w="1271" w:type="dxa"/>
            <w:vMerge/>
          </w:tcPr>
          <w:p w14:paraId="17A0AAA0" w14:textId="77777777" w:rsidR="006F0765" w:rsidRDefault="006F0765" w:rsidP="000D79D6">
            <w:pPr>
              <w:jc w:val="both"/>
              <w:rPr>
                <w:rFonts w:ascii="Times New Roman" w:hAnsi="Times New Roman" w:cs="Times New Roman"/>
              </w:rPr>
            </w:pPr>
          </w:p>
        </w:tc>
        <w:tc>
          <w:tcPr>
            <w:tcW w:w="2268" w:type="dxa"/>
          </w:tcPr>
          <w:p w14:paraId="09BE8B2E" w14:textId="77777777" w:rsidR="006F0765" w:rsidRDefault="006F0765" w:rsidP="000D79D6">
            <w:pPr>
              <w:jc w:val="both"/>
              <w:rPr>
                <w:rFonts w:ascii="Times New Roman" w:hAnsi="Times New Roman" w:cs="Times New Roman"/>
              </w:rPr>
            </w:pPr>
            <w:r>
              <w:rPr>
                <w:rFonts w:ascii="Times New Roman" w:hAnsi="Times New Roman" w:cs="Times New Roman"/>
              </w:rPr>
              <w:t>Cu</w:t>
            </w:r>
          </w:p>
        </w:tc>
        <w:tc>
          <w:tcPr>
            <w:tcW w:w="2410" w:type="dxa"/>
            <w:vMerge/>
          </w:tcPr>
          <w:p w14:paraId="6DEE0906" w14:textId="77777777" w:rsidR="006F0765" w:rsidRDefault="006F0765" w:rsidP="000D79D6">
            <w:pPr>
              <w:jc w:val="center"/>
              <w:rPr>
                <w:rFonts w:ascii="Times New Roman" w:hAnsi="Times New Roman" w:cs="Times New Roman"/>
              </w:rPr>
            </w:pPr>
          </w:p>
        </w:tc>
        <w:tc>
          <w:tcPr>
            <w:tcW w:w="3113" w:type="dxa"/>
            <w:vMerge/>
          </w:tcPr>
          <w:p w14:paraId="5FDD168D" w14:textId="77777777" w:rsidR="006F0765" w:rsidRPr="00393115" w:rsidRDefault="006F0765" w:rsidP="000D79D6">
            <w:pPr>
              <w:jc w:val="center"/>
              <w:rPr>
                <w:rFonts w:ascii="Times New Roman" w:hAnsi="Times New Roman" w:cs="Times New Roman"/>
              </w:rPr>
            </w:pPr>
          </w:p>
        </w:tc>
      </w:tr>
      <w:tr w:rsidR="006F0765" w:rsidRPr="00393115" w14:paraId="6BB9E6D2" w14:textId="77777777" w:rsidTr="0082590D">
        <w:tc>
          <w:tcPr>
            <w:tcW w:w="1271" w:type="dxa"/>
            <w:vMerge/>
          </w:tcPr>
          <w:p w14:paraId="6B2CD915" w14:textId="77777777" w:rsidR="006F0765" w:rsidRDefault="006F0765" w:rsidP="000D79D6">
            <w:pPr>
              <w:jc w:val="both"/>
              <w:rPr>
                <w:rFonts w:ascii="Times New Roman" w:hAnsi="Times New Roman" w:cs="Times New Roman"/>
              </w:rPr>
            </w:pPr>
          </w:p>
        </w:tc>
        <w:tc>
          <w:tcPr>
            <w:tcW w:w="2268" w:type="dxa"/>
          </w:tcPr>
          <w:p w14:paraId="3290F609" w14:textId="77777777" w:rsidR="006F0765" w:rsidRDefault="006F0765" w:rsidP="000D79D6">
            <w:pPr>
              <w:jc w:val="both"/>
              <w:rPr>
                <w:rFonts w:ascii="Times New Roman" w:hAnsi="Times New Roman" w:cs="Times New Roman"/>
              </w:rPr>
            </w:pPr>
            <w:r>
              <w:rPr>
                <w:rFonts w:ascii="Times New Roman" w:hAnsi="Times New Roman" w:cs="Times New Roman"/>
              </w:rPr>
              <w:t>Ni</w:t>
            </w:r>
          </w:p>
        </w:tc>
        <w:tc>
          <w:tcPr>
            <w:tcW w:w="2410" w:type="dxa"/>
            <w:vMerge/>
          </w:tcPr>
          <w:p w14:paraId="7E3B9766" w14:textId="77777777" w:rsidR="006F0765" w:rsidRDefault="006F0765" w:rsidP="000D79D6">
            <w:pPr>
              <w:jc w:val="center"/>
              <w:rPr>
                <w:rFonts w:ascii="Times New Roman" w:hAnsi="Times New Roman" w:cs="Times New Roman"/>
              </w:rPr>
            </w:pPr>
          </w:p>
        </w:tc>
        <w:tc>
          <w:tcPr>
            <w:tcW w:w="3113" w:type="dxa"/>
            <w:vMerge/>
          </w:tcPr>
          <w:p w14:paraId="4F2C25FB" w14:textId="77777777" w:rsidR="006F0765" w:rsidRPr="00393115" w:rsidRDefault="006F0765" w:rsidP="000D79D6">
            <w:pPr>
              <w:jc w:val="center"/>
              <w:rPr>
                <w:rFonts w:ascii="Times New Roman" w:hAnsi="Times New Roman" w:cs="Times New Roman"/>
              </w:rPr>
            </w:pPr>
          </w:p>
        </w:tc>
      </w:tr>
      <w:tr w:rsidR="006F0765" w:rsidRPr="00393115" w14:paraId="5924A813" w14:textId="77777777" w:rsidTr="0082590D">
        <w:tc>
          <w:tcPr>
            <w:tcW w:w="1271" w:type="dxa"/>
            <w:vMerge/>
          </w:tcPr>
          <w:p w14:paraId="55D901EB" w14:textId="77777777" w:rsidR="006F0765" w:rsidRDefault="006F0765" w:rsidP="000D79D6">
            <w:pPr>
              <w:jc w:val="both"/>
              <w:rPr>
                <w:rFonts w:ascii="Times New Roman" w:hAnsi="Times New Roman" w:cs="Times New Roman"/>
              </w:rPr>
            </w:pPr>
          </w:p>
        </w:tc>
        <w:tc>
          <w:tcPr>
            <w:tcW w:w="2268" w:type="dxa"/>
          </w:tcPr>
          <w:p w14:paraId="012B897D" w14:textId="77777777" w:rsidR="006F0765" w:rsidRDefault="006F0765" w:rsidP="000D79D6">
            <w:pPr>
              <w:jc w:val="both"/>
              <w:rPr>
                <w:rFonts w:ascii="Times New Roman" w:hAnsi="Times New Roman" w:cs="Times New Roman"/>
              </w:rPr>
            </w:pPr>
            <w:r>
              <w:rPr>
                <w:rFonts w:ascii="Times New Roman" w:hAnsi="Times New Roman" w:cs="Times New Roman"/>
              </w:rPr>
              <w:t>Pb</w:t>
            </w:r>
          </w:p>
        </w:tc>
        <w:tc>
          <w:tcPr>
            <w:tcW w:w="2410" w:type="dxa"/>
            <w:vMerge/>
          </w:tcPr>
          <w:p w14:paraId="7E463036" w14:textId="77777777" w:rsidR="006F0765" w:rsidRDefault="006F0765" w:rsidP="000D79D6">
            <w:pPr>
              <w:jc w:val="center"/>
              <w:rPr>
                <w:rFonts w:ascii="Times New Roman" w:hAnsi="Times New Roman" w:cs="Times New Roman"/>
              </w:rPr>
            </w:pPr>
          </w:p>
        </w:tc>
        <w:tc>
          <w:tcPr>
            <w:tcW w:w="3113" w:type="dxa"/>
            <w:vMerge/>
          </w:tcPr>
          <w:p w14:paraId="65B48379" w14:textId="77777777" w:rsidR="006F0765" w:rsidRPr="00393115" w:rsidRDefault="006F0765" w:rsidP="000D79D6">
            <w:pPr>
              <w:jc w:val="center"/>
              <w:rPr>
                <w:rFonts w:ascii="Times New Roman" w:hAnsi="Times New Roman" w:cs="Times New Roman"/>
              </w:rPr>
            </w:pPr>
          </w:p>
        </w:tc>
      </w:tr>
      <w:tr w:rsidR="006F0765" w:rsidRPr="00393115" w14:paraId="12664F30" w14:textId="77777777" w:rsidTr="0082590D">
        <w:tc>
          <w:tcPr>
            <w:tcW w:w="1271" w:type="dxa"/>
            <w:vMerge/>
          </w:tcPr>
          <w:p w14:paraId="6E50C90D" w14:textId="77777777" w:rsidR="006F0765" w:rsidRDefault="006F0765" w:rsidP="000D79D6">
            <w:pPr>
              <w:jc w:val="both"/>
              <w:rPr>
                <w:rFonts w:ascii="Times New Roman" w:hAnsi="Times New Roman" w:cs="Times New Roman"/>
              </w:rPr>
            </w:pPr>
          </w:p>
        </w:tc>
        <w:tc>
          <w:tcPr>
            <w:tcW w:w="2268" w:type="dxa"/>
          </w:tcPr>
          <w:p w14:paraId="2C3DE3FF" w14:textId="77777777" w:rsidR="006F0765" w:rsidRDefault="006F0765" w:rsidP="000D79D6">
            <w:pPr>
              <w:jc w:val="both"/>
              <w:rPr>
                <w:rFonts w:ascii="Times New Roman" w:hAnsi="Times New Roman" w:cs="Times New Roman"/>
              </w:rPr>
            </w:pPr>
            <w:r>
              <w:rPr>
                <w:rFonts w:ascii="Times New Roman" w:hAnsi="Times New Roman" w:cs="Times New Roman"/>
              </w:rPr>
              <w:t>Zn</w:t>
            </w:r>
          </w:p>
        </w:tc>
        <w:tc>
          <w:tcPr>
            <w:tcW w:w="2410" w:type="dxa"/>
            <w:vMerge/>
          </w:tcPr>
          <w:p w14:paraId="5D60733E" w14:textId="77777777" w:rsidR="006F0765" w:rsidRDefault="006F0765" w:rsidP="000D79D6">
            <w:pPr>
              <w:jc w:val="center"/>
              <w:rPr>
                <w:rFonts w:ascii="Times New Roman" w:hAnsi="Times New Roman" w:cs="Times New Roman"/>
              </w:rPr>
            </w:pPr>
          </w:p>
        </w:tc>
        <w:tc>
          <w:tcPr>
            <w:tcW w:w="3113" w:type="dxa"/>
            <w:vMerge/>
          </w:tcPr>
          <w:p w14:paraId="583207E9" w14:textId="77777777" w:rsidR="006F0765" w:rsidRPr="00393115" w:rsidRDefault="006F0765" w:rsidP="000D79D6">
            <w:pPr>
              <w:jc w:val="center"/>
              <w:rPr>
                <w:rFonts w:ascii="Times New Roman" w:hAnsi="Times New Roman" w:cs="Times New Roman"/>
              </w:rPr>
            </w:pPr>
          </w:p>
        </w:tc>
      </w:tr>
      <w:tr w:rsidR="006F0765" w:rsidRPr="00393115" w14:paraId="5767F911" w14:textId="77777777" w:rsidTr="0082590D">
        <w:tc>
          <w:tcPr>
            <w:tcW w:w="1271" w:type="dxa"/>
            <w:vMerge/>
          </w:tcPr>
          <w:p w14:paraId="79F89A3C" w14:textId="77777777" w:rsidR="006F0765" w:rsidRDefault="006F0765" w:rsidP="000D79D6">
            <w:pPr>
              <w:jc w:val="both"/>
              <w:rPr>
                <w:rFonts w:ascii="Times New Roman" w:hAnsi="Times New Roman" w:cs="Times New Roman"/>
              </w:rPr>
            </w:pPr>
          </w:p>
        </w:tc>
        <w:tc>
          <w:tcPr>
            <w:tcW w:w="2268" w:type="dxa"/>
          </w:tcPr>
          <w:p w14:paraId="5141D9AB" w14:textId="77777777" w:rsidR="006F0765" w:rsidRDefault="006F0765" w:rsidP="000D79D6">
            <w:pPr>
              <w:jc w:val="both"/>
              <w:rPr>
                <w:rFonts w:ascii="Times New Roman" w:hAnsi="Times New Roman" w:cs="Times New Roman"/>
              </w:rPr>
            </w:pPr>
            <w:r>
              <w:rPr>
                <w:rFonts w:ascii="Times New Roman" w:hAnsi="Times New Roman" w:cs="Times New Roman"/>
              </w:rPr>
              <w:t>Diğer metaller, ilgili ise</w:t>
            </w:r>
          </w:p>
        </w:tc>
        <w:tc>
          <w:tcPr>
            <w:tcW w:w="2410" w:type="dxa"/>
            <w:vMerge/>
          </w:tcPr>
          <w:p w14:paraId="66486849" w14:textId="77777777" w:rsidR="006F0765" w:rsidRDefault="006F0765" w:rsidP="000D79D6">
            <w:pPr>
              <w:jc w:val="center"/>
              <w:rPr>
                <w:rFonts w:ascii="Times New Roman" w:hAnsi="Times New Roman" w:cs="Times New Roman"/>
              </w:rPr>
            </w:pPr>
          </w:p>
        </w:tc>
        <w:tc>
          <w:tcPr>
            <w:tcW w:w="3113" w:type="dxa"/>
            <w:vMerge/>
          </w:tcPr>
          <w:p w14:paraId="02D59955" w14:textId="77777777" w:rsidR="006F0765" w:rsidRPr="00393115" w:rsidRDefault="006F0765" w:rsidP="000D79D6">
            <w:pPr>
              <w:jc w:val="center"/>
              <w:rPr>
                <w:rFonts w:ascii="Times New Roman" w:hAnsi="Times New Roman" w:cs="Times New Roman"/>
              </w:rPr>
            </w:pPr>
          </w:p>
        </w:tc>
      </w:tr>
      <w:tr w:rsidR="006F0765" w:rsidRPr="00393115" w14:paraId="7E730FD7" w14:textId="77777777" w:rsidTr="0082590D">
        <w:tc>
          <w:tcPr>
            <w:tcW w:w="1271" w:type="dxa"/>
            <w:vMerge w:val="restart"/>
          </w:tcPr>
          <w:p w14:paraId="4ACADAF1" w14:textId="77777777" w:rsidR="006F0765" w:rsidRDefault="006F0765" w:rsidP="000D79D6">
            <w:pPr>
              <w:jc w:val="both"/>
              <w:rPr>
                <w:rFonts w:ascii="Times New Roman" w:hAnsi="Times New Roman" w:cs="Times New Roman"/>
              </w:rPr>
            </w:pPr>
            <w:r>
              <w:rPr>
                <w:rFonts w:ascii="Times New Roman" w:hAnsi="Times New Roman" w:cs="Times New Roman"/>
              </w:rPr>
              <w:t>Toksisite (</w:t>
            </w:r>
            <w:r w:rsidRPr="007958EA">
              <w:rPr>
                <w:rFonts w:ascii="Times New Roman" w:hAnsi="Times New Roman" w:cs="Times New Roman"/>
                <w:vertAlign w:val="superscript"/>
              </w:rPr>
              <w:t>5</w:t>
            </w:r>
            <w:r>
              <w:rPr>
                <w:rFonts w:ascii="Times New Roman" w:hAnsi="Times New Roman" w:cs="Times New Roman"/>
              </w:rPr>
              <w:t>)</w:t>
            </w:r>
          </w:p>
        </w:tc>
        <w:tc>
          <w:tcPr>
            <w:tcW w:w="2268" w:type="dxa"/>
          </w:tcPr>
          <w:p w14:paraId="633E3141" w14:textId="77777777" w:rsidR="006F0765" w:rsidRPr="00A148F7" w:rsidRDefault="006F0765" w:rsidP="000D79D6">
            <w:pPr>
              <w:jc w:val="both"/>
              <w:rPr>
                <w:rFonts w:ascii="Times New Roman" w:hAnsi="Times New Roman" w:cs="Times New Roman"/>
              </w:rPr>
            </w:pPr>
            <w:r>
              <w:rPr>
                <w:rFonts w:ascii="Times New Roman" w:hAnsi="Times New Roman" w:cs="Times New Roman"/>
              </w:rPr>
              <w:t>Yumurta balıkları (</w:t>
            </w:r>
            <w:r>
              <w:rPr>
                <w:rFonts w:ascii="Times New Roman" w:hAnsi="Times New Roman" w:cs="Times New Roman"/>
                <w:i/>
                <w:iCs/>
              </w:rPr>
              <w:t>Danio rerio</w:t>
            </w:r>
            <w:r>
              <w:rPr>
                <w:rFonts w:ascii="Times New Roman" w:hAnsi="Times New Roman" w:cs="Times New Roman"/>
              </w:rPr>
              <w:t>)</w:t>
            </w:r>
          </w:p>
        </w:tc>
        <w:tc>
          <w:tcPr>
            <w:tcW w:w="2410" w:type="dxa"/>
          </w:tcPr>
          <w:p w14:paraId="63F4856B" w14:textId="77777777" w:rsidR="006F0765" w:rsidRDefault="006F0765" w:rsidP="000D79D6">
            <w:pPr>
              <w:jc w:val="center"/>
              <w:rPr>
                <w:rFonts w:ascii="Times New Roman" w:hAnsi="Times New Roman" w:cs="Times New Roman"/>
              </w:rPr>
            </w:pPr>
            <w:r>
              <w:rPr>
                <w:rFonts w:ascii="Times New Roman" w:hAnsi="Times New Roman" w:cs="Times New Roman"/>
              </w:rPr>
              <w:t>EN ISO 15088</w:t>
            </w:r>
          </w:p>
        </w:tc>
        <w:tc>
          <w:tcPr>
            <w:tcW w:w="3113" w:type="dxa"/>
            <w:vMerge w:val="restart"/>
          </w:tcPr>
          <w:p w14:paraId="36AF4EE9"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ilk karakterizasyondan sonra, risk değerlendirmesine bağlı olarak karar verilir</w:t>
            </w:r>
          </w:p>
        </w:tc>
      </w:tr>
      <w:tr w:rsidR="006F0765" w:rsidRPr="00393115" w14:paraId="48ED6D16" w14:textId="77777777" w:rsidTr="0082590D">
        <w:tc>
          <w:tcPr>
            <w:tcW w:w="1271" w:type="dxa"/>
            <w:vMerge/>
          </w:tcPr>
          <w:p w14:paraId="1F33AB16" w14:textId="77777777" w:rsidR="006F0765" w:rsidRDefault="006F0765" w:rsidP="000D79D6">
            <w:pPr>
              <w:jc w:val="both"/>
              <w:rPr>
                <w:rFonts w:ascii="Times New Roman" w:hAnsi="Times New Roman" w:cs="Times New Roman"/>
              </w:rPr>
            </w:pPr>
          </w:p>
        </w:tc>
        <w:tc>
          <w:tcPr>
            <w:tcW w:w="2268" w:type="dxa"/>
          </w:tcPr>
          <w:p w14:paraId="1C3727C3" w14:textId="77777777" w:rsidR="006F0765" w:rsidRPr="00861CB3" w:rsidRDefault="006F0765" w:rsidP="000D79D6">
            <w:pPr>
              <w:jc w:val="both"/>
              <w:rPr>
                <w:rFonts w:ascii="Times New Roman" w:hAnsi="Times New Roman" w:cs="Times New Roman"/>
              </w:rPr>
            </w:pPr>
            <w:r>
              <w:rPr>
                <w:rFonts w:ascii="Times New Roman" w:hAnsi="Times New Roman" w:cs="Times New Roman"/>
              </w:rPr>
              <w:t>Daphnia (</w:t>
            </w:r>
            <w:r>
              <w:rPr>
                <w:rFonts w:ascii="Times New Roman" w:hAnsi="Times New Roman" w:cs="Times New Roman"/>
                <w:i/>
                <w:iCs/>
              </w:rPr>
              <w:t>Daphnia magna Straus</w:t>
            </w:r>
            <w:r>
              <w:rPr>
                <w:rFonts w:ascii="Times New Roman" w:hAnsi="Times New Roman" w:cs="Times New Roman"/>
              </w:rPr>
              <w:t>)</w:t>
            </w:r>
          </w:p>
        </w:tc>
        <w:tc>
          <w:tcPr>
            <w:tcW w:w="2410" w:type="dxa"/>
          </w:tcPr>
          <w:p w14:paraId="0AFD233C" w14:textId="77777777" w:rsidR="006F0765" w:rsidRDefault="006F0765" w:rsidP="000D79D6">
            <w:pPr>
              <w:jc w:val="center"/>
              <w:rPr>
                <w:rFonts w:ascii="Times New Roman" w:hAnsi="Times New Roman" w:cs="Times New Roman"/>
              </w:rPr>
            </w:pPr>
            <w:r>
              <w:rPr>
                <w:rFonts w:ascii="Times New Roman" w:hAnsi="Times New Roman" w:cs="Times New Roman"/>
              </w:rPr>
              <w:t>TS EN ISO 6341</w:t>
            </w:r>
          </w:p>
        </w:tc>
        <w:tc>
          <w:tcPr>
            <w:tcW w:w="3113" w:type="dxa"/>
            <w:vMerge/>
          </w:tcPr>
          <w:p w14:paraId="2C3D5B89" w14:textId="77777777" w:rsidR="006F0765" w:rsidRPr="00393115" w:rsidRDefault="006F0765" w:rsidP="000D79D6">
            <w:pPr>
              <w:jc w:val="center"/>
              <w:rPr>
                <w:rFonts w:ascii="Times New Roman" w:hAnsi="Times New Roman" w:cs="Times New Roman"/>
              </w:rPr>
            </w:pPr>
          </w:p>
        </w:tc>
      </w:tr>
      <w:tr w:rsidR="006F0765" w:rsidRPr="00393115" w14:paraId="21D67014" w14:textId="77777777" w:rsidTr="0082590D">
        <w:tc>
          <w:tcPr>
            <w:tcW w:w="1271" w:type="dxa"/>
            <w:vMerge/>
          </w:tcPr>
          <w:p w14:paraId="577EC86C" w14:textId="77777777" w:rsidR="006F0765" w:rsidRDefault="006F0765" w:rsidP="000D79D6">
            <w:pPr>
              <w:jc w:val="both"/>
              <w:rPr>
                <w:rFonts w:ascii="Times New Roman" w:hAnsi="Times New Roman" w:cs="Times New Roman"/>
              </w:rPr>
            </w:pPr>
          </w:p>
        </w:tc>
        <w:tc>
          <w:tcPr>
            <w:tcW w:w="2268" w:type="dxa"/>
          </w:tcPr>
          <w:p w14:paraId="35DBB27F" w14:textId="77777777" w:rsidR="006F0765" w:rsidRPr="00861CB3" w:rsidRDefault="006F0765" w:rsidP="000D79D6">
            <w:pPr>
              <w:jc w:val="both"/>
              <w:rPr>
                <w:rFonts w:ascii="Times New Roman" w:hAnsi="Times New Roman" w:cs="Times New Roman"/>
              </w:rPr>
            </w:pPr>
            <w:r>
              <w:rPr>
                <w:rFonts w:ascii="Times New Roman" w:hAnsi="Times New Roman" w:cs="Times New Roman"/>
              </w:rPr>
              <w:t>Işıldayan bakteri (</w:t>
            </w:r>
            <w:r>
              <w:rPr>
                <w:rFonts w:ascii="Times New Roman" w:hAnsi="Times New Roman" w:cs="Times New Roman"/>
                <w:i/>
                <w:iCs/>
              </w:rPr>
              <w:t>Vibrio fischeri</w:t>
            </w:r>
            <w:r>
              <w:rPr>
                <w:rFonts w:ascii="Times New Roman" w:hAnsi="Times New Roman" w:cs="Times New Roman"/>
              </w:rPr>
              <w:t>)</w:t>
            </w:r>
          </w:p>
        </w:tc>
        <w:tc>
          <w:tcPr>
            <w:tcW w:w="2410" w:type="dxa"/>
          </w:tcPr>
          <w:p w14:paraId="485B951E" w14:textId="77777777" w:rsidR="006F0765" w:rsidRDefault="006F0765" w:rsidP="000D79D6">
            <w:pPr>
              <w:jc w:val="center"/>
              <w:rPr>
                <w:rFonts w:ascii="Times New Roman" w:hAnsi="Times New Roman" w:cs="Times New Roman"/>
              </w:rPr>
            </w:pPr>
            <w:r>
              <w:rPr>
                <w:rFonts w:ascii="Times New Roman" w:hAnsi="Times New Roman" w:cs="Times New Roman"/>
              </w:rPr>
              <w:t>TS EN ISO 11348-1</w:t>
            </w:r>
          </w:p>
          <w:p w14:paraId="7C7477B6" w14:textId="77777777" w:rsidR="006F0765" w:rsidRDefault="006F0765" w:rsidP="000D79D6">
            <w:pPr>
              <w:jc w:val="center"/>
              <w:rPr>
                <w:rFonts w:ascii="Times New Roman" w:hAnsi="Times New Roman" w:cs="Times New Roman"/>
              </w:rPr>
            </w:pPr>
            <w:r>
              <w:rPr>
                <w:rFonts w:ascii="Times New Roman" w:hAnsi="Times New Roman" w:cs="Times New Roman"/>
              </w:rPr>
              <w:t>TS EN ISO 11348-2</w:t>
            </w:r>
          </w:p>
          <w:p w14:paraId="1B217CD4" w14:textId="77777777" w:rsidR="006F0765" w:rsidRDefault="006F0765" w:rsidP="000D79D6">
            <w:pPr>
              <w:jc w:val="center"/>
              <w:rPr>
                <w:rFonts w:ascii="Times New Roman" w:hAnsi="Times New Roman" w:cs="Times New Roman"/>
              </w:rPr>
            </w:pPr>
            <w:r>
              <w:rPr>
                <w:rFonts w:ascii="Times New Roman" w:hAnsi="Times New Roman" w:cs="Times New Roman"/>
              </w:rPr>
              <w:t>veya</w:t>
            </w:r>
          </w:p>
          <w:p w14:paraId="6EBE804B" w14:textId="77777777" w:rsidR="006F0765" w:rsidRDefault="006F0765" w:rsidP="000D79D6">
            <w:pPr>
              <w:jc w:val="center"/>
              <w:rPr>
                <w:rFonts w:ascii="Times New Roman" w:hAnsi="Times New Roman" w:cs="Times New Roman"/>
              </w:rPr>
            </w:pPr>
            <w:r>
              <w:rPr>
                <w:rFonts w:ascii="Times New Roman" w:hAnsi="Times New Roman" w:cs="Times New Roman"/>
              </w:rPr>
              <w:t>TS EN SI 11348-3</w:t>
            </w:r>
          </w:p>
        </w:tc>
        <w:tc>
          <w:tcPr>
            <w:tcW w:w="3113" w:type="dxa"/>
            <w:vMerge/>
          </w:tcPr>
          <w:p w14:paraId="1D4CAEB1" w14:textId="77777777" w:rsidR="006F0765" w:rsidRPr="00393115" w:rsidRDefault="006F0765" w:rsidP="000D79D6">
            <w:pPr>
              <w:jc w:val="center"/>
              <w:rPr>
                <w:rFonts w:ascii="Times New Roman" w:hAnsi="Times New Roman" w:cs="Times New Roman"/>
              </w:rPr>
            </w:pPr>
          </w:p>
        </w:tc>
      </w:tr>
      <w:tr w:rsidR="006F0765" w:rsidRPr="00393115" w14:paraId="4CD29FDC" w14:textId="77777777" w:rsidTr="0082590D">
        <w:tc>
          <w:tcPr>
            <w:tcW w:w="1271" w:type="dxa"/>
            <w:vMerge/>
          </w:tcPr>
          <w:p w14:paraId="3A967673" w14:textId="77777777" w:rsidR="006F0765" w:rsidRDefault="006F0765" w:rsidP="000D79D6">
            <w:pPr>
              <w:jc w:val="both"/>
              <w:rPr>
                <w:rFonts w:ascii="Times New Roman" w:hAnsi="Times New Roman" w:cs="Times New Roman"/>
              </w:rPr>
            </w:pPr>
          </w:p>
        </w:tc>
        <w:tc>
          <w:tcPr>
            <w:tcW w:w="2268" w:type="dxa"/>
          </w:tcPr>
          <w:p w14:paraId="394AE2AF" w14:textId="77777777" w:rsidR="006F0765" w:rsidRPr="00861CB3" w:rsidRDefault="006F0765" w:rsidP="000D79D6">
            <w:pPr>
              <w:jc w:val="both"/>
              <w:rPr>
                <w:rFonts w:ascii="Times New Roman" w:hAnsi="Times New Roman" w:cs="Times New Roman"/>
              </w:rPr>
            </w:pPr>
            <w:r>
              <w:rPr>
                <w:rFonts w:ascii="Times New Roman" w:hAnsi="Times New Roman" w:cs="Times New Roman"/>
              </w:rPr>
              <w:t>Su mercimeği (</w:t>
            </w:r>
            <w:r>
              <w:rPr>
                <w:rFonts w:ascii="Times New Roman" w:hAnsi="Times New Roman" w:cs="Times New Roman"/>
                <w:i/>
                <w:iCs/>
              </w:rPr>
              <w:t>Lemna minor</w:t>
            </w:r>
            <w:r>
              <w:rPr>
                <w:rFonts w:ascii="Times New Roman" w:hAnsi="Times New Roman" w:cs="Times New Roman"/>
              </w:rPr>
              <w:t>)</w:t>
            </w:r>
          </w:p>
        </w:tc>
        <w:tc>
          <w:tcPr>
            <w:tcW w:w="2410" w:type="dxa"/>
          </w:tcPr>
          <w:p w14:paraId="08E7234D" w14:textId="77777777" w:rsidR="006F0765" w:rsidRDefault="006F0765" w:rsidP="000D79D6">
            <w:pPr>
              <w:jc w:val="center"/>
              <w:rPr>
                <w:rFonts w:ascii="Times New Roman" w:hAnsi="Times New Roman" w:cs="Times New Roman"/>
              </w:rPr>
            </w:pPr>
            <w:r>
              <w:rPr>
                <w:rFonts w:ascii="Times New Roman" w:hAnsi="Times New Roman" w:cs="Times New Roman"/>
              </w:rPr>
              <w:t>TS EN ISO 20079</w:t>
            </w:r>
          </w:p>
        </w:tc>
        <w:tc>
          <w:tcPr>
            <w:tcW w:w="3113" w:type="dxa"/>
            <w:vMerge/>
          </w:tcPr>
          <w:p w14:paraId="2641FEA4" w14:textId="77777777" w:rsidR="006F0765" w:rsidRPr="00393115" w:rsidRDefault="006F0765" w:rsidP="000D79D6">
            <w:pPr>
              <w:jc w:val="center"/>
              <w:rPr>
                <w:rFonts w:ascii="Times New Roman" w:hAnsi="Times New Roman" w:cs="Times New Roman"/>
              </w:rPr>
            </w:pPr>
          </w:p>
        </w:tc>
      </w:tr>
      <w:tr w:rsidR="006F0765" w:rsidRPr="00393115" w14:paraId="0B0539E5" w14:textId="77777777" w:rsidTr="0082590D">
        <w:tc>
          <w:tcPr>
            <w:tcW w:w="1271" w:type="dxa"/>
            <w:vMerge/>
          </w:tcPr>
          <w:p w14:paraId="474BA34C" w14:textId="77777777" w:rsidR="006F0765" w:rsidRDefault="006F0765" w:rsidP="000D79D6">
            <w:pPr>
              <w:jc w:val="both"/>
              <w:rPr>
                <w:rFonts w:ascii="Times New Roman" w:hAnsi="Times New Roman" w:cs="Times New Roman"/>
              </w:rPr>
            </w:pPr>
          </w:p>
        </w:tc>
        <w:tc>
          <w:tcPr>
            <w:tcW w:w="2268" w:type="dxa"/>
          </w:tcPr>
          <w:p w14:paraId="3BC4756C" w14:textId="77777777" w:rsidR="006F0765" w:rsidRDefault="006F0765" w:rsidP="000D79D6">
            <w:pPr>
              <w:jc w:val="both"/>
              <w:rPr>
                <w:rFonts w:ascii="Times New Roman" w:hAnsi="Times New Roman" w:cs="Times New Roman"/>
              </w:rPr>
            </w:pPr>
            <w:r>
              <w:rPr>
                <w:rFonts w:ascii="Times New Roman" w:hAnsi="Times New Roman" w:cs="Times New Roman"/>
              </w:rPr>
              <w:t>Alg</w:t>
            </w:r>
          </w:p>
        </w:tc>
        <w:tc>
          <w:tcPr>
            <w:tcW w:w="2410" w:type="dxa"/>
          </w:tcPr>
          <w:p w14:paraId="7AD98FC4" w14:textId="77777777" w:rsidR="006F0765" w:rsidRDefault="006F0765" w:rsidP="000D79D6">
            <w:pPr>
              <w:jc w:val="center"/>
              <w:rPr>
                <w:rFonts w:ascii="Times New Roman" w:hAnsi="Times New Roman" w:cs="Times New Roman"/>
              </w:rPr>
            </w:pPr>
            <w:r>
              <w:rPr>
                <w:rFonts w:ascii="Times New Roman" w:hAnsi="Times New Roman" w:cs="Times New Roman"/>
              </w:rPr>
              <w:t>TS EN ISO 8692</w:t>
            </w:r>
          </w:p>
          <w:p w14:paraId="076D42C0" w14:textId="77777777" w:rsidR="006F0765" w:rsidRDefault="006F0765" w:rsidP="000D79D6">
            <w:pPr>
              <w:jc w:val="center"/>
              <w:rPr>
                <w:rFonts w:ascii="Times New Roman" w:hAnsi="Times New Roman" w:cs="Times New Roman"/>
              </w:rPr>
            </w:pPr>
            <w:r>
              <w:rPr>
                <w:rFonts w:ascii="Times New Roman" w:hAnsi="Times New Roman" w:cs="Times New Roman"/>
              </w:rPr>
              <w:t>TS EN ISO 10253</w:t>
            </w:r>
          </w:p>
          <w:p w14:paraId="05A66CA3" w14:textId="77777777" w:rsidR="006F0765" w:rsidRDefault="006F0765" w:rsidP="000D79D6">
            <w:pPr>
              <w:jc w:val="center"/>
              <w:rPr>
                <w:rFonts w:ascii="Times New Roman" w:hAnsi="Times New Roman" w:cs="Times New Roman"/>
              </w:rPr>
            </w:pPr>
            <w:r>
              <w:rPr>
                <w:rFonts w:ascii="Times New Roman" w:hAnsi="Times New Roman" w:cs="Times New Roman"/>
              </w:rPr>
              <w:t>veya</w:t>
            </w:r>
          </w:p>
          <w:p w14:paraId="5CA2551F" w14:textId="77777777" w:rsidR="006F0765" w:rsidRDefault="006F0765" w:rsidP="000D79D6">
            <w:pPr>
              <w:jc w:val="center"/>
              <w:rPr>
                <w:rFonts w:ascii="Times New Roman" w:hAnsi="Times New Roman" w:cs="Times New Roman"/>
              </w:rPr>
            </w:pPr>
            <w:r>
              <w:rPr>
                <w:rFonts w:ascii="Times New Roman" w:hAnsi="Times New Roman" w:cs="Times New Roman"/>
              </w:rPr>
              <w:t>TS EN ISO 10710</w:t>
            </w:r>
          </w:p>
        </w:tc>
        <w:tc>
          <w:tcPr>
            <w:tcW w:w="3113" w:type="dxa"/>
            <w:vMerge/>
          </w:tcPr>
          <w:p w14:paraId="5AA87109" w14:textId="77777777" w:rsidR="006F0765" w:rsidRPr="00393115" w:rsidRDefault="006F0765" w:rsidP="000D79D6">
            <w:pPr>
              <w:jc w:val="center"/>
              <w:rPr>
                <w:rFonts w:ascii="Times New Roman" w:hAnsi="Times New Roman" w:cs="Times New Roman"/>
              </w:rPr>
            </w:pPr>
          </w:p>
        </w:tc>
      </w:tr>
      <w:tr w:rsidR="006F0765" w:rsidRPr="00393115" w14:paraId="2885280D" w14:textId="77777777" w:rsidTr="0082590D">
        <w:tc>
          <w:tcPr>
            <w:tcW w:w="9062" w:type="dxa"/>
            <w:gridSpan w:val="4"/>
          </w:tcPr>
          <w:p w14:paraId="628AAE93"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Veri serileri, yeterli stabiliteyi gösterirse, izleme sıklığı uyarlanabilir.</w:t>
            </w:r>
          </w:p>
          <w:p w14:paraId="7D5839EE"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Örnekleme noktası, emisyonun tesisi terk ettiği noktadadır.</w:t>
            </w:r>
          </w:p>
          <w:p w14:paraId="3CB35B51"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TOK izlenmesi ile KOİ izlenmesi alternatiftir. TOK izlenmesi, tercih edilen seçenektir, çünkü çok toksik bileşiklerin kullanımına bağlı değildir.</w:t>
            </w:r>
          </w:p>
          <w:p w14:paraId="47C31601"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4</w:t>
            </w:r>
            <w:r w:rsidRPr="0082590D">
              <w:rPr>
                <w:rFonts w:ascii="Times New Roman" w:hAnsi="Times New Roman" w:cs="Times New Roman"/>
                <w:sz w:val="20"/>
                <w:szCs w:val="20"/>
              </w:rPr>
              <w:t>) TN ve N</w:t>
            </w:r>
            <w:r w:rsidRPr="0082590D">
              <w:rPr>
                <w:rFonts w:ascii="Times New Roman" w:hAnsi="Times New Roman" w:cs="Times New Roman"/>
                <w:sz w:val="20"/>
                <w:szCs w:val="20"/>
                <w:vertAlign w:val="subscript"/>
              </w:rPr>
              <w:t>inorg</w:t>
            </w:r>
            <w:r w:rsidRPr="0082590D">
              <w:rPr>
                <w:rFonts w:ascii="Times New Roman" w:hAnsi="Times New Roman" w:cs="Times New Roman"/>
                <w:sz w:val="20"/>
                <w:szCs w:val="20"/>
              </w:rPr>
              <w:t xml:space="preserve"> izlenmesi, alternatiftir.</w:t>
            </w:r>
          </w:p>
          <w:p w14:paraId="22300D91" w14:textId="77777777" w:rsidR="006F0765" w:rsidRPr="00861CB3" w:rsidRDefault="006F0765" w:rsidP="000D79D6">
            <w:pPr>
              <w:jc w:val="both"/>
              <w:rPr>
                <w:rFonts w:ascii="Times New Roman" w:hAnsi="Times New Roman" w:cs="Times New Roman"/>
                <w:i/>
                <w:iCs/>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5</w:t>
            </w:r>
            <w:r w:rsidRPr="0082590D">
              <w:rPr>
                <w:rFonts w:ascii="Times New Roman" w:hAnsi="Times New Roman" w:cs="Times New Roman"/>
                <w:sz w:val="20"/>
                <w:szCs w:val="20"/>
              </w:rPr>
              <w:t>) Bu yöntemlerin uygun bir kombinasyonu kullanılabilir.</w:t>
            </w:r>
          </w:p>
        </w:tc>
      </w:tr>
    </w:tbl>
    <w:p w14:paraId="175E534A" w14:textId="77777777" w:rsidR="006F0765" w:rsidRDefault="006F0765" w:rsidP="006F0765">
      <w:pPr>
        <w:spacing w:after="120" w:line="276" w:lineRule="auto"/>
        <w:jc w:val="both"/>
        <w:rPr>
          <w:rFonts w:ascii="Times New Roman" w:hAnsi="Times New Roman" w:cs="Times New Roman"/>
          <w:sz w:val="24"/>
          <w:szCs w:val="24"/>
        </w:rPr>
      </w:pPr>
    </w:p>
    <w:p w14:paraId="18AE0C30"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5:</w:t>
      </w:r>
      <w:r>
        <w:rPr>
          <w:rFonts w:ascii="Times New Roman" w:hAnsi="Times New Roman" w:cs="Times New Roman"/>
          <w:sz w:val="24"/>
          <w:szCs w:val="24"/>
        </w:rPr>
        <w:t xml:space="preserve"> İlişkili kaynaklardan havaya olan yayılı </w:t>
      </w:r>
      <w:r w:rsidR="009D570E">
        <w:rPr>
          <w:rFonts w:ascii="Times New Roman" w:hAnsi="Times New Roman" w:cs="Times New Roman"/>
          <w:sz w:val="24"/>
          <w:szCs w:val="24"/>
        </w:rPr>
        <w:t>UOB</w:t>
      </w:r>
      <w:r>
        <w:rPr>
          <w:rFonts w:ascii="Times New Roman" w:hAnsi="Times New Roman" w:cs="Times New Roman"/>
          <w:sz w:val="24"/>
          <w:szCs w:val="24"/>
        </w:rPr>
        <w:t xml:space="preserve"> emisyonları, I-III tekniklerinin uygun bir kombinasyonu veya, yüksek miktarlarda </w:t>
      </w:r>
      <w:r w:rsidR="009D570E">
        <w:rPr>
          <w:rFonts w:ascii="Times New Roman" w:hAnsi="Times New Roman" w:cs="Times New Roman"/>
          <w:sz w:val="24"/>
          <w:szCs w:val="24"/>
        </w:rPr>
        <w:t>UOB</w:t>
      </w:r>
      <w:r>
        <w:rPr>
          <w:rFonts w:ascii="Times New Roman" w:hAnsi="Times New Roman" w:cs="Times New Roman"/>
          <w:sz w:val="24"/>
          <w:szCs w:val="24"/>
        </w:rPr>
        <w:t xml:space="preserve"> emisyonu söz konusu olduğunda, I-III tekniklerinin tümü kullanılarak periyodik bir şekilde izlenir.</w:t>
      </w:r>
    </w:p>
    <w:p w14:paraId="681639C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I. önemli ekipman için korelasyon eğrileri ile ilişkili olarak koklama yöntemleri (örn. TS EN 15446 standardına uygun olarak taşınabilir araçlar ile);</w:t>
      </w:r>
    </w:p>
    <w:p w14:paraId="37B40EF7"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II. optik gaz görüntüleme yöntemleri;</w:t>
      </w:r>
    </w:p>
    <w:p w14:paraId="11AEFAFE"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III. emisyonların, emisyon faktörlerine bağlı olarak, ölçümler ile periyodik olarak doğrulanan (örn. her iki yılda bir kere) hesaplaması.</w:t>
      </w:r>
    </w:p>
    <w:p w14:paraId="00DF8CE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Yüksek miktarlarda </w:t>
      </w:r>
      <w:r w:rsidR="009D570E">
        <w:rPr>
          <w:rFonts w:ascii="Times New Roman" w:hAnsi="Times New Roman" w:cs="Times New Roman"/>
          <w:sz w:val="24"/>
          <w:szCs w:val="24"/>
        </w:rPr>
        <w:t>UOB</w:t>
      </w:r>
      <w:r>
        <w:rPr>
          <w:rFonts w:ascii="Times New Roman" w:hAnsi="Times New Roman" w:cs="Times New Roman"/>
          <w:sz w:val="24"/>
          <w:szCs w:val="24"/>
        </w:rPr>
        <w:t xml:space="preserve"> emisyonu söz konusu olduğunda, tesisten çıkan emisyonların optik absorpsiyon tabanlı teknikler (örn. diferansiyel absorpsiyon ışık tespiti ve uzaklık tayini (DIAL) veya solar okültasyon değişimi (SOF)) ile periyodik çalışma sürelerinde taranması ve miktarlarının ölçülmesi, I-III teknikleri için faydalı ve tamamlayıcı bir tekniktir.</w:t>
      </w:r>
    </w:p>
    <w:p w14:paraId="1B2D87AF"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Açıklama</w:t>
      </w:r>
    </w:p>
    <w:p w14:paraId="3CBB1187"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Bölüm 6.2. ye bakınız</w:t>
      </w:r>
    </w:p>
    <w:p w14:paraId="6F9C3BEC"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6:</w:t>
      </w:r>
      <w:r>
        <w:rPr>
          <w:rFonts w:ascii="Times New Roman" w:hAnsi="Times New Roman" w:cs="Times New Roman"/>
          <w:sz w:val="24"/>
          <w:szCs w:val="24"/>
        </w:rPr>
        <w:t xml:space="preserve"> İlişkili kaynaklardan çıkan koku emisyonları, TS EN standartlarına uygun ve periyodik olarak izlenir.</w:t>
      </w:r>
    </w:p>
    <w:p w14:paraId="57B3C704"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Emisyonlar, TS EN 13725 standardına uygun olarak dinamik olfaktometri ile izlenebilir. Emisyon izlenmesi, koku maruziyetinin ölçümü/tahmini veya koku etkisinin tahmini yolu ile tamamlanabilir.</w:t>
      </w:r>
    </w:p>
    <w:p w14:paraId="26E6CF14" w14:textId="77777777" w:rsidR="006F0765" w:rsidRPr="000F03B7" w:rsidRDefault="006F0765" w:rsidP="006F0765">
      <w:pPr>
        <w:spacing w:after="120" w:line="276" w:lineRule="auto"/>
        <w:jc w:val="both"/>
        <w:rPr>
          <w:rFonts w:ascii="Times New Roman" w:hAnsi="Times New Roman" w:cs="Times New Roman"/>
          <w:b/>
          <w:sz w:val="24"/>
          <w:szCs w:val="24"/>
        </w:rPr>
      </w:pPr>
      <w:r w:rsidRPr="000F03B7">
        <w:rPr>
          <w:rFonts w:ascii="Times New Roman" w:hAnsi="Times New Roman" w:cs="Times New Roman"/>
          <w:b/>
          <w:sz w:val="24"/>
          <w:szCs w:val="24"/>
        </w:rPr>
        <w:t>Uygulanabilirlik</w:t>
      </w:r>
    </w:p>
    <w:p w14:paraId="7FA2F7F2"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rahatsız edici kokuların beklenebildiği veya tespit edildiği durumlarla kısıtlıdır.</w:t>
      </w:r>
    </w:p>
    <w:p w14:paraId="2A0EFC45"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t>(3) Suya Emisyonlar</w:t>
      </w:r>
    </w:p>
    <w:p w14:paraId="1BF0B890" w14:textId="77777777" w:rsidR="006F0765" w:rsidRPr="00687ECE" w:rsidRDefault="006F0765" w:rsidP="006F0765">
      <w:pPr>
        <w:pStyle w:val="Balk3"/>
        <w:spacing w:before="0" w:after="120" w:line="276" w:lineRule="auto"/>
        <w:jc w:val="both"/>
        <w:rPr>
          <w:rFonts w:cs="Times New Roman"/>
          <w:b w:val="0"/>
          <w:bCs/>
          <w:szCs w:val="24"/>
        </w:rPr>
      </w:pPr>
      <w:r>
        <w:rPr>
          <w:rFonts w:cs="Times New Roman"/>
          <w:bCs/>
          <w:szCs w:val="24"/>
        </w:rPr>
        <w:t>(3.1) Su Kullanımı ve Atık Su Oluşumu</w:t>
      </w:r>
    </w:p>
    <w:p w14:paraId="7CE5297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7:</w:t>
      </w:r>
      <w:r>
        <w:rPr>
          <w:rFonts w:ascii="Times New Roman" w:hAnsi="Times New Roman" w:cs="Times New Roman"/>
          <w:sz w:val="24"/>
          <w:szCs w:val="24"/>
        </w:rPr>
        <w:t xml:space="preserve"> Su kullanımını ve atık su oluşumunu düşürmek için, atık su kollarının hacmi ve/veya kirlilik yükü azaltılır, atık suyun üretim prosesi içinde yeniden kullanımı artırılır ve hammaddeler geri kazanılır ve yeniden kullanılır.</w:t>
      </w:r>
    </w:p>
    <w:p w14:paraId="7E74295E" w14:textId="77777777" w:rsidR="006F0765" w:rsidRPr="00687ECE" w:rsidRDefault="006F0765" w:rsidP="006F0765">
      <w:pPr>
        <w:pStyle w:val="Balk3"/>
        <w:spacing w:before="0" w:after="120" w:line="276" w:lineRule="auto"/>
        <w:jc w:val="both"/>
        <w:rPr>
          <w:rFonts w:cs="Times New Roman"/>
          <w:b w:val="0"/>
          <w:bCs/>
          <w:szCs w:val="24"/>
        </w:rPr>
      </w:pPr>
      <w:r>
        <w:rPr>
          <w:rFonts w:cs="Times New Roman"/>
          <w:bCs/>
          <w:szCs w:val="24"/>
        </w:rPr>
        <w:t>(3.2) Atık Su Toplanması ve Ayrımı</w:t>
      </w:r>
    </w:p>
    <w:p w14:paraId="49640072"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8:</w:t>
      </w:r>
      <w:r>
        <w:rPr>
          <w:rFonts w:ascii="Times New Roman" w:hAnsi="Times New Roman" w:cs="Times New Roman"/>
          <w:sz w:val="24"/>
          <w:szCs w:val="24"/>
        </w:rPr>
        <w:t xml:space="preserve"> Kirlenmemiş suyun kontamine olmasını engellemek ve suya emisyonları azaltmak için kirlenmemiş atık su kolları, arıtma gerektiren atık su kollarından ayrılır.</w:t>
      </w:r>
    </w:p>
    <w:p w14:paraId="1C71F4A7"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5AC358F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Kirlenmemiş yağmur suyunun ayrımı, mevcut atık su toplama sistemleri </w:t>
      </w:r>
      <w:r w:rsidR="00A33DD9">
        <w:rPr>
          <w:rFonts w:ascii="Times New Roman" w:hAnsi="Times New Roman" w:cs="Times New Roman"/>
          <w:sz w:val="24"/>
          <w:szCs w:val="24"/>
        </w:rPr>
        <w:t>ile</w:t>
      </w:r>
      <w:r>
        <w:rPr>
          <w:rFonts w:ascii="Times New Roman" w:hAnsi="Times New Roman" w:cs="Times New Roman"/>
          <w:sz w:val="24"/>
          <w:szCs w:val="24"/>
        </w:rPr>
        <w:t xml:space="preserve"> uygulanamayabilir.</w:t>
      </w:r>
    </w:p>
    <w:p w14:paraId="13392C0A"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9:</w:t>
      </w:r>
      <w:r>
        <w:rPr>
          <w:rFonts w:ascii="Times New Roman" w:hAnsi="Times New Roman" w:cs="Times New Roman"/>
          <w:sz w:val="24"/>
          <w:szCs w:val="24"/>
        </w:rPr>
        <w:t xml:space="preserve"> Suya olan kontrolsüz emisyonları önlemek için, normal çalışma koşulları dışındaki durumlarda meydana çıkan atık suya yönelik, risk değerlendirmesine bağlı olarak uygun bir tampon depolama kapasitesi sağlanır (örn. kirletici yapısı, ileri arıtma üzerindeki etkisi ve alıcı çevre de göz önünde bulundurularak) ve uygun ilave önlemler alınır (örn. kontrol, arıtma, yeniden kullanım).</w:t>
      </w:r>
    </w:p>
    <w:p w14:paraId="135B3E7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w:t>
      </w:r>
    </w:p>
    <w:p w14:paraId="2E785C55"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Kontamine yağmur suyunun ara depolaması, mevcut atık su toplama sistemleri </w:t>
      </w:r>
      <w:r w:rsidR="00A33DD9">
        <w:rPr>
          <w:rFonts w:ascii="Times New Roman" w:hAnsi="Times New Roman" w:cs="Times New Roman"/>
          <w:sz w:val="24"/>
          <w:szCs w:val="24"/>
        </w:rPr>
        <w:t>ile</w:t>
      </w:r>
      <w:r>
        <w:rPr>
          <w:rFonts w:ascii="Times New Roman" w:hAnsi="Times New Roman" w:cs="Times New Roman"/>
          <w:sz w:val="24"/>
          <w:szCs w:val="24"/>
        </w:rPr>
        <w:t xml:space="preserve"> uygulanamayabilir </w:t>
      </w:r>
      <w:r w:rsidR="00A33DD9">
        <w:rPr>
          <w:rFonts w:ascii="Times New Roman" w:hAnsi="Times New Roman" w:cs="Times New Roman"/>
          <w:sz w:val="24"/>
          <w:szCs w:val="24"/>
        </w:rPr>
        <w:t>ayrık sistem</w:t>
      </w:r>
      <w:r>
        <w:rPr>
          <w:rFonts w:ascii="Times New Roman" w:hAnsi="Times New Roman" w:cs="Times New Roman"/>
          <w:sz w:val="24"/>
          <w:szCs w:val="24"/>
        </w:rPr>
        <w:t xml:space="preserve"> gerektirir.</w:t>
      </w:r>
    </w:p>
    <w:p w14:paraId="5A7B0171" w14:textId="77777777" w:rsidR="006F0765" w:rsidRPr="00687ECE" w:rsidRDefault="006F0765" w:rsidP="006F0765">
      <w:pPr>
        <w:pStyle w:val="Balk3"/>
        <w:spacing w:before="0" w:after="120" w:line="276" w:lineRule="auto"/>
        <w:jc w:val="both"/>
        <w:rPr>
          <w:rFonts w:cs="Times New Roman"/>
          <w:b w:val="0"/>
          <w:bCs/>
          <w:szCs w:val="24"/>
        </w:rPr>
      </w:pPr>
      <w:r>
        <w:rPr>
          <w:rFonts w:cs="Times New Roman"/>
          <w:bCs/>
          <w:szCs w:val="24"/>
        </w:rPr>
        <w:lastRenderedPageBreak/>
        <w:t>(3.3) Atık Su Arıtımı</w:t>
      </w:r>
    </w:p>
    <w:p w14:paraId="3BF340B7"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10:</w:t>
      </w:r>
      <w:r>
        <w:rPr>
          <w:rFonts w:ascii="Times New Roman" w:hAnsi="Times New Roman" w:cs="Times New Roman"/>
          <w:sz w:val="24"/>
          <w:szCs w:val="24"/>
        </w:rPr>
        <w:t xml:space="preserve"> Suya emisyonları azaltmak için, aşağıda öncelik sırasına göre verilmiş tekniklerin uygun bir kombinasyonunu içeren bir entegre atık su yönetim ve arıtım stratejisi kullanılır.</w:t>
      </w:r>
    </w:p>
    <w:tbl>
      <w:tblPr>
        <w:tblStyle w:val="TabloKlavuzu"/>
        <w:tblW w:w="0" w:type="auto"/>
        <w:jc w:val="center"/>
        <w:tblLook w:val="04A0" w:firstRow="1" w:lastRow="0" w:firstColumn="1" w:lastColumn="0" w:noHBand="0" w:noVBand="1"/>
      </w:tblPr>
      <w:tblGrid>
        <w:gridCol w:w="704"/>
        <w:gridCol w:w="3969"/>
        <w:gridCol w:w="4389"/>
      </w:tblGrid>
      <w:tr w:rsidR="006F0765" w:rsidRPr="00393115" w14:paraId="398507CF" w14:textId="77777777" w:rsidTr="000D79D6">
        <w:trPr>
          <w:tblHeader/>
          <w:jc w:val="center"/>
        </w:trPr>
        <w:tc>
          <w:tcPr>
            <w:tcW w:w="704" w:type="dxa"/>
            <w:vAlign w:val="center"/>
          </w:tcPr>
          <w:p w14:paraId="7E067F33" w14:textId="77777777" w:rsidR="006F0765" w:rsidRPr="00393115" w:rsidRDefault="006F0765" w:rsidP="000D79D6">
            <w:pPr>
              <w:jc w:val="center"/>
              <w:rPr>
                <w:rFonts w:ascii="Times New Roman" w:hAnsi="Times New Roman" w:cs="Times New Roman"/>
                <w:b/>
                <w:bCs/>
              </w:rPr>
            </w:pPr>
          </w:p>
        </w:tc>
        <w:tc>
          <w:tcPr>
            <w:tcW w:w="3969" w:type="dxa"/>
            <w:vAlign w:val="center"/>
          </w:tcPr>
          <w:p w14:paraId="5A4AB5BF"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4389" w:type="dxa"/>
            <w:vAlign w:val="center"/>
          </w:tcPr>
          <w:p w14:paraId="7F2B41B7"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Açıklama</w:t>
            </w:r>
          </w:p>
        </w:tc>
      </w:tr>
      <w:tr w:rsidR="006F0765" w:rsidRPr="00393115" w14:paraId="731A37BF" w14:textId="77777777" w:rsidTr="000D79D6">
        <w:trPr>
          <w:jc w:val="center"/>
        </w:trPr>
        <w:tc>
          <w:tcPr>
            <w:tcW w:w="704" w:type="dxa"/>
            <w:vAlign w:val="center"/>
          </w:tcPr>
          <w:p w14:paraId="3F8973A1"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3969" w:type="dxa"/>
            <w:vAlign w:val="center"/>
          </w:tcPr>
          <w:p w14:paraId="1725C2C1" w14:textId="77777777" w:rsidR="006F0765" w:rsidRPr="00393115" w:rsidRDefault="006F0765" w:rsidP="000D79D6">
            <w:pPr>
              <w:jc w:val="both"/>
              <w:rPr>
                <w:rFonts w:ascii="Times New Roman" w:hAnsi="Times New Roman" w:cs="Times New Roman"/>
              </w:rPr>
            </w:pPr>
            <w:r>
              <w:rPr>
                <w:rFonts w:ascii="Times New Roman" w:hAnsi="Times New Roman" w:cs="Times New Roman"/>
              </w:rPr>
              <w:t>Prosese entegre teknikler (</w:t>
            </w:r>
            <w:r w:rsidRPr="0033694E">
              <w:rPr>
                <w:rFonts w:ascii="Times New Roman" w:hAnsi="Times New Roman" w:cs="Times New Roman"/>
                <w:vertAlign w:val="superscript"/>
              </w:rPr>
              <w:t>1</w:t>
            </w:r>
            <w:r>
              <w:rPr>
                <w:rFonts w:ascii="Times New Roman" w:hAnsi="Times New Roman" w:cs="Times New Roman"/>
              </w:rPr>
              <w:t>)</w:t>
            </w:r>
          </w:p>
        </w:tc>
        <w:tc>
          <w:tcPr>
            <w:tcW w:w="4389" w:type="dxa"/>
            <w:vAlign w:val="center"/>
          </w:tcPr>
          <w:p w14:paraId="1EAD22BC" w14:textId="77777777" w:rsidR="006F0765" w:rsidRPr="00393115" w:rsidRDefault="006F0765" w:rsidP="000D79D6">
            <w:pPr>
              <w:jc w:val="both"/>
              <w:rPr>
                <w:rFonts w:ascii="Times New Roman" w:hAnsi="Times New Roman" w:cs="Times New Roman"/>
              </w:rPr>
            </w:pPr>
            <w:r>
              <w:rPr>
                <w:rFonts w:ascii="Times New Roman" w:hAnsi="Times New Roman" w:cs="Times New Roman"/>
              </w:rPr>
              <w:t>Su kirleticilerinin oluşumunu önleyen veya azaltan teknikler.</w:t>
            </w:r>
          </w:p>
        </w:tc>
      </w:tr>
      <w:tr w:rsidR="006F0765" w:rsidRPr="00393115" w14:paraId="0D0BD647" w14:textId="77777777" w:rsidTr="000D79D6">
        <w:trPr>
          <w:jc w:val="center"/>
        </w:trPr>
        <w:tc>
          <w:tcPr>
            <w:tcW w:w="704" w:type="dxa"/>
            <w:vAlign w:val="center"/>
          </w:tcPr>
          <w:p w14:paraId="4FD99618"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3969" w:type="dxa"/>
            <w:vAlign w:val="center"/>
          </w:tcPr>
          <w:p w14:paraId="695FEC5C" w14:textId="77777777" w:rsidR="006F0765" w:rsidRPr="00393115" w:rsidRDefault="006F0765" w:rsidP="000D79D6">
            <w:pPr>
              <w:jc w:val="both"/>
              <w:rPr>
                <w:rFonts w:ascii="Times New Roman" w:hAnsi="Times New Roman" w:cs="Times New Roman"/>
              </w:rPr>
            </w:pPr>
            <w:r>
              <w:rPr>
                <w:rFonts w:ascii="Times New Roman" w:hAnsi="Times New Roman" w:cs="Times New Roman"/>
              </w:rPr>
              <w:t>Kirleticilerin kaynağında geri kazanımı (</w:t>
            </w:r>
            <w:r w:rsidRPr="0033694E">
              <w:rPr>
                <w:rFonts w:ascii="Times New Roman" w:hAnsi="Times New Roman" w:cs="Times New Roman"/>
                <w:vertAlign w:val="superscript"/>
              </w:rPr>
              <w:t>2</w:t>
            </w:r>
            <w:r>
              <w:rPr>
                <w:rFonts w:ascii="Times New Roman" w:hAnsi="Times New Roman" w:cs="Times New Roman"/>
              </w:rPr>
              <w:t>)</w:t>
            </w:r>
          </w:p>
        </w:tc>
        <w:tc>
          <w:tcPr>
            <w:tcW w:w="4389" w:type="dxa"/>
            <w:vAlign w:val="center"/>
          </w:tcPr>
          <w:p w14:paraId="1FFB76DE" w14:textId="77777777" w:rsidR="006F0765" w:rsidRPr="00393115" w:rsidRDefault="006F0765" w:rsidP="000D79D6">
            <w:pPr>
              <w:jc w:val="both"/>
              <w:rPr>
                <w:rFonts w:ascii="Times New Roman" w:hAnsi="Times New Roman" w:cs="Times New Roman"/>
              </w:rPr>
            </w:pPr>
            <w:r>
              <w:rPr>
                <w:rFonts w:ascii="Times New Roman" w:hAnsi="Times New Roman" w:cs="Times New Roman"/>
              </w:rPr>
              <w:t>Kirleticilerin, atık su toplama sistemine deşarjından önce geri kazanıldığı teknikler.</w:t>
            </w:r>
          </w:p>
        </w:tc>
      </w:tr>
      <w:tr w:rsidR="006F0765" w:rsidRPr="00393115" w14:paraId="6B66AD8F" w14:textId="77777777" w:rsidTr="000D79D6">
        <w:trPr>
          <w:jc w:val="center"/>
        </w:trPr>
        <w:tc>
          <w:tcPr>
            <w:tcW w:w="704" w:type="dxa"/>
            <w:vAlign w:val="center"/>
          </w:tcPr>
          <w:p w14:paraId="1A281B0A"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(c)</w:t>
            </w:r>
          </w:p>
        </w:tc>
        <w:tc>
          <w:tcPr>
            <w:tcW w:w="3969" w:type="dxa"/>
            <w:vAlign w:val="center"/>
          </w:tcPr>
          <w:p w14:paraId="0FA21FC9" w14:textId="77777777" w:rsidR="006F0765" w:rsidRPr="00393115" w:rsidRDefault="006F0765" w:rsidP="000D79D6">
            <w:pPr>
              <w:jc w:val="both"/>
              <w:rPr>
                <w:rFonts w:ascii="Times New Roman" w:hAnsi="Times New Roman" w:cs="Times New Roman"/>
              </w:rPr>
            </w:pPr>
            <w:r>
              <w:rPr>
                <w:rFonts w:ascii="Times New Roman" w:hAnsi="Times New Roman" w:cs="Times New Roman"/>
              </w:rPr>
              <w:t>Atık su ön arıtması (</w:t>
            </w:r>
            <w:r w:rsidRPr="00F17DCE">
              <w:rPr>
                <w:rFonts w:ascii="Times New Roman" w:hAnsi="Times New Roman" w:cs="Times New Roman"/>
                <w:vertAlign w:val="superscript"/>
              </w:rPr>
              <w:t>1</w:t>
            </w:r>
            <w:r>
              <w:rPr>
                <w:rFonts w:ascii="Times New Roman" w:hAnsi="Times New Roman" w:cs="Times New Roman"/>
              </w:rPr>
              <w:t>)(</w:t>
            </w:r>
            <w:r w:rsidRPr="00F17DCE">
              <w:rPr>
                <w:rFonts w:ascii="Times New Roman" w:hAnsi="Times New Roman" w:cs="Times New Roman"/>
                <w:vertAlign w:val="superscript"/>
              </w:rPr>
              <w:t>2</w:t>
            </w:r>
            <w:r>
              <w:rPr>
                <w:rFonts w:ascii="Times New Roman" w:hAnsi="Times New Roman" w:cs="Times New Roman"/>
              </w:rPr>
              <w:t>)</w:t>
            </w:r>
          </w:p>
        </w:tc>
        <w:tc>
          <w:tcPr>
            <w:tcW w:w="4389" w:type="dxa"/>
            <w:vAlign w:val="center"/>
          </w:tcPr>
          <w:p w14:paraId="59AA0AA1" w14:textId="77777777" w:rsidR="006F0765" w:rsidRPr="00393115" w:rsidRDefault="006F0765" w:rsidP="000D79D6">
            <w:pPr>
              <w:jc w:val="both"/>
              <w:rPr>
                <w:rFonts w:ascii="Times New Roman" w:hAnsi="Times New Roman" w:cs="Times New Roman"/>
              </w:rPr>
            </w:pPr>
            <w:r>
              <w:rPr>
                <w:rFonts w:ascii="Times New Roman" w:hAnsi="Times New Roman" w:cs="Times New Roman"/>
              </w:rPr>
              <w:t>Kirleticilerin, son atık su arıtımından önce azaltıldığı teknikler. Ön arıtma, kaynakta veya ortak/birleştirilmiş kollarda yürütülebilir.</w:t>
            </w:r>
          </w:p>
        </w:tc>
      </w:tr>
      <w:tr w:rsidR="006F0765" w:rsidRPr="00393115" w14:paraId="21013A26" w14:textId="77777777" w:rsidTr="000D79D6">
        <w:trPr>
          <w:jc w:val="center"/>
        </w:trPr>
        <w:tc>
          <w:tcPr>
            <w:tcW w:w="704" w:type="dxa"/>
            <w:tcBorders>
              <w:bottom w:val="single" w:sz="4" w:space="0" w:color="auto"/>
            </w:tcBorders>
            <w:vAlign w:val="center"/>
          </w:tcPr>
          <w:p w14:paraId="5D1D3671"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(d)</w:t>
            </w:r>
          </w:p>
        </w:tc>
        <w:tc>
          <w:tcPr>
            <w:tcW w:w="3969" w:type="dxa"/>
            <w:tcBorders>
              <w:bottom w:val="single" w:sz="4" w:space="0" w:color="auto"/>
            </w:tcBorders>
            <w:vAlign w:val="center"/>
          </w:tcPr>
          <w:p w14:paraId="44BE71AE" w14:textId="77777777" w:rsidR="006F0765" w:rsidRPr="00393115" w:rsidRDefault="00183ECE" w:rsidP="000D79D6">
            <w:pPr>
              <w:jc w:val="both"/>
              <w:rPr>
                <w:rFonts w:ascii="Times New Roman" w:hAnsi="Times New Roman" w:cs="Times New Roman"/>
              </w:rPr>
            </w:pPr>
            <w:r>
              <w:rPr>
                <w:rFonts w:ascii="Times New Roman" w:hAnsi="Times New Roman" w:cs="Times New Roman"/>
              </w:rPr>
              <w:t>Nihai</w:t>
            </w:r>
            <w:r w:rsidR="006F0765">
              <w:rPr>
                <w:rFonts w:ascii="Times New Roman" w:hAnsi="Times New Roman" w:cs="Times New Roman"/>
              </w:rPr>
              <w:t xml:space="preserve"> atık su arıtması (</w:t>
            </w:r>
            <w:r w:rsidR="006F0765" w:rsidRPr="00F17DCE">
              <w:rPr>
                <w:rFonts w:ascii="Times New Roman" w:hAnsi="Times New Roman" w:cs="Times New Roman"/>
                <w:vertAlign w:val="superscript"/>
              </w:rPr>
              <w:t>3</w:t>
            </w:r>
            <w:r w:rsidR="006F0765">
              <w:rPr>
                <w:rFonts w:ascii="Times New Roman" w:hAnsi="Times New Roman" w:cs="Times New Roman"/>
              </w:rPr>
              <w:t>)</w:t>
            </w:r>
          </w:p>
        </w:tc>
        <w:tc>
          <w:tcPr>
            <w:tcW w:w="4389" w:type="dxa"/>
            <w:tcBorders>
              <w:bottom w:val="single" w:sz="4" w:space="0" w:color="auto"/>
            </w:tcBorders>
            <w:vAlign w:val="center"/>
          </w:tcPr>
          <w:p w14:paraId="591BF7E0" w14:textId="77777777" w:rsidR="006F0765" w:rsidRPr="00393115" w:rsidRDefault="006F0765" w:rsidP="000D79D6">
            <w:pPr>
              <w:jc w:val="both"/>
              <w:rPr>
                <w:rFonts w:ascii="Times New Roman" w:hAnsi="Times New Roman" w:cs="Times New Roman"/>
              </w:rPr>
            </w:pPr>
            <w:r>
              <w:rPr>
                <w:rFonts w:ascii="Times New Roman" w:hAnsi="Times New Roman" w:cs="Times New Roman"/>
              </w:rPr>
              <w:t>Örneğin ilk ve birincil arıtma, biyolojik arıtma, azot uzaklaştırma, fosfor uzaklaştırma ve/veya alıcı su kütlesine deşarjdan önce son katı uzaklaştırma teknikleri ile son atık su arıtması.</w:t>
            </w:r>
          </w:p>
        </w:tc>
      </w:tr>
      <w:tr w:rsidR="006F0765" w:rsidRPr="00393115" w14:paraId="6E203F09" w14:textId="77777777" w:rsidTr="000D79D6">
        <w:trPr>
          <w:jc w:val="center"/>
        </w:trPr>
        <w:tc>
          <w:tcPr>
            <w:tcW w:w="9062" w:type="dxa"/>
            <w:gridSpan w:val="3"/>
            <w:tcBorders>
              <w:top w:val="single" w:sz="4" w:space="0" w:color="auto"/>
              <w:left w:val="nil"/>
              <w:bottom w:val="nil"/>
              <w:right w:val="nil"/>
            </w:tcBorders>
            <w:vAlign w:val="center"/>
          </w:tcPr>
          <w:p w14:paraId="47207B40" w14:textId="77777777" w:rsidR="006F0765" w:rsidRDefault="006F0765" w:rsidP="000D79D6">
            <w:pPr>
              <w:jc w:val="both"/>
              <w:rPr>
                <w:rFonts w:ascii="Times New Roman" w:hAnsi="Times New Roman" w:cs="Times New Roman"/>
                <w:i/>
                <w:iCs/>
                <w:sz w:val="20"/>
                <w:szCs w:val="20"/>
              </w:rPr>
            </w:pPr>
            <w:r>
              <w:rPr>
                <w:rFonts w:ascii="Times New Roman" w:hAnsi="Times New Roman" w:cs="Times New Roman"/>
                <w:i/>
                <w:iCs/>
                <w:sz w:val="20"/>
                <w:szCs w:val="20"/>
              </w:rPr>
              <w:t>(</w:t>
            </w:r>
            <w:r w:rsidRPr="00FD1417">
              <w:rPr>
                <w:rFonts w:ascii="Times New Roman" w:hAnsi="Times New Roman" w:cs="Times New Roman"/>
                <w:i/>
                <w:iCs/>
                <w:sz w:val="20"/>
                <w:szCs w:val="20"/>
                <w:vertAlign w:val="superscript"/>
              </w:rPr>
              <w:t>1</w:t>
            </w:r>
            <w:r>
              <w:rPr>
                <w:rFonts w:ascii="Times New Roman" w:hAnsi="Times New Roman" w:cs="Times New Roman"/>
                <w:i/>
                <w:iCs/>
                <w:sz w:val="20"/>
                <w:szCs w:val="20"/>
              </w:rPr>
              <w:t>) Bu teknikler ayrıca, kimya sektörü için olan diğer MET sonuçlarında da tanımlanmış ve açıklanmıştır.</w:t>
            </w:r>
          </w:p>
          <w:p w14:paraId="44252FF9" w14:textId="77777777" w:rsidR="006F0765" w:rsidRDefault="006F0765" w:rsidP="000D79D6">
            <w:pPr>
              <w:jc w:val="both"/>
              <w:rPr>
                <w:rFonts w:ascii="Times New Roman" w:hAnsi="Times New Roman" w:cs="Times New Roman"/>
                <w:i/>
                <w:iCs/>
                <w:sz w:val="20"/>
                <w:szCs w:val="20"/>
              </w:rPr>
            </w:pPr>
            <w:r>
              <w:rPr>
                <w:rFonts w:ascii="Times New Roman" w:hAnsi="Times New Roman" w:cs="Times New Roman"/>
                <w:i/>
                <w:iCs/>
                <w:sz w:val="20"/>
                <w:szCs w:val="20"/>
              </w:rPr>
              <w:t>(</w:t>
            </w:r>
            <w:r>
              <w:rPr>
                <w:rFonts w:ascii="Times New Roman" w:hAnsi="Times New Roman" w:cs="Times New Roman"/>
                <w:i/>
                <w:iCs/>
                <w:sz w:val="20"/>
                <w:szCs w:val="20"/>
                <w:vertAlign w:val="superscript"/>
              </w:rPr>
              <w:t>2</w:t>
            </w:r>
            <w:r>
              <w:rPr>
                <w:rFonts w:ascii="Times New Roman" w:hAnsi="Times New Roman" w:cs="Times New Roman"/>
                <w:i/>
                <w:iCs/>
                <w:sz w:val="20"/>
                <w:szCs w:val="20"/>
              </w:rPr>
              <w:t>) Bkz. MET 11.</w:t>
            </w:r>
          </w:p>
          <w:p w14:paraId="61AE489C" w14:textId="77777777" w:rsidR="006F0765" w:rsidRDefault="006F0765" w:rsidP="000D79D6">
            <w:pPr>
              <w:jc w:val="both"/>
              <w:rPr>
                <w:rFonts w:ascii="Times New Roman" w:hAnsi="Times New Roman" w:cs="Times New Roman"/>
                <w:i/>
                <w:iCs/>
                <w:sz w:val="20"/>
                <w:szCs w:val="20"/>
              </w:rPr>
            </w:pPr>
            <w:r>
              <w:rPr>
                <w:rFonts w:ascii="Times New Roman" w:hAnsi="Times New Roman" w:cs="Times New Roman"/>
                <w:i/>
                <w:iCs/>
                <w:sz w:val="20"/>
                <w:szCs w:val="20"/>
              </w:rPr>
              <w:t>(</w:t>
            </w:r>
            <w:r>
              <w:rPr>
                <w:rFonts w:ascii="Times New Roman" w:hAnsi="Times New Roman" w:cs="Times New Roman"/>
                <w:i/>
                <w:iCs/>
                <w:sz w:val="20"/>
                <w:szCs w:val="20"/>
                <w:vertAlign w:val="superscript"/>
              </w:rPr>
              <w:t>3</w:t>
            </w:r>
            <w:r>
              <w:rPr>
                <w:rFonts w:ascii="Times New Roman" w:hAnsi="Times New Roman" w:cs="Times New Roman"/>
                <w:i/>
                <w:iCs/>
                <w:sz w:val="20"/>
                <w:szCs w:val="20"/>
              </w:rPr>
              <w:t>) Bkz. MET 12.</w:t>
            </w:r>
          </w:p>
          <w:p w14:paraId="76246AC0" w14:textId="77777777" w:rsidR="006F0765" w:rsidRPr="00FD1417" w:rsidRDefault="006F0765" w:rsidP="000D79D6">
            <w:pPr>
              <w:jc w:val="both"/>
              <w:rPr>
                <w:rFonts w:ascii="Times New Roman" w:hAnsi="Times New Roman" w:cs="Times New Roman"/>
                <w:i/>
                <w:iCs/>
                <w:sz w:val="20"/>
                <w:szCs w:val="20"/>
              </w:rPr>
            </w:pPr>
          </w:p>
        </w:tc>
      </w:tr>
    </w:tbl>
    <w:p w14:paraId="661F1CB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Açıklama</w:t>
      </w:r>
    </w:p>
    <w:p w14:paraId="529CF68A"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Entegre atık su yönetim ve arıtma stratejisi, atık su kollarının envanterine dayanır (bkz. MET 2).</w:t>
      </w:r>
    </w:p>
    <w:p w14:paraId="6AAADB1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ile İlişkili Emisyon Seviyeleri (MET-İES’ler):</w:t>
      </w:r>
      <w:r>
        <w:rPr>
          <w:rFonts w:ascii="Times New Roman" w:hAnsi="Times New Roman" w:cs="Times New Roman"/>
          <w:sz w:val="24"/>
          <w:szCs w:val="24"/>
        </w:rPr>
        <w:t xml:space="preserve"> Bkz. (3.4) başlığı.</w:t>
      </w:r>
    </w:p>
    <w:p w14:paraId="37A485E2"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11:</w:t>
      </w:r>
      <w:r>
        <w:rPr>
          <w:rFonts w:ascii="Times New Roman" w:hAnsi="Times New Roman" w:cs="Times New Roman"/>
          <w:sz w:val="24"/>
          <w:szCs w:val="24"/>
        </w:rPr>
        <w:t xml:space="preserve"> Suya emisyonları azaltmak için, </w:t>
      </w:r>
      <w:r w:rsidR="00183ECE">
        <w:rPr>
          <w:rFonts w:ascii="Times New Roman" w:hAnsi="Times New Roman" w:cs="Times New Roman"/>
          <w:sz w:val="24"/>
          <w:szCs w:val="24"/>
        </w:rPr>
        <w:t>nihai</w:t>
      </w:r>
      <w:r>
        <w:rPr>
          <w:rFonts w:ascii="Times New Roman" w:hAnsi="Times New Roman" w:cs="Times New Roman"/>
          <w:sz w:val="24"/>
          <w:szCs w:val="24"/>
        </w:rPr>
        <w:t xml:space="preserve"> atık su arıtmasında yeterince </w:t>
      </w:r>
      <w:r w:rsidR="00183ECE">
        <w:rPr>
          <w:rFonts w:ascii="Times New Roman" w:hAnsi="Times New Roman" w:cs="Times New Roman"/>
          <w:sz w:val="24"/>
          <w:szCs w:val="24"/>
        </w:rPr>
        <w:t>giderilmeyen</w:t>
      </w:r>
      <w:r>
        <w:rPr>
          <w:rFonts w:ascii="Times New Roman" w:hAnsi="Times New Roman" w:cs="Times New Roman"/>
          <w:sz w:val="24"/>
          <w:szCs w:val="24"/>
        </w:rPr>
        <w:t xml:space="preserve"> kirleticileri içeren atıksuyun, uygun teknikler kullanılarak ön arıtması gerçekleştirilir.</w:t>
      </w:r>
    </w:p>
    <w:p w14:paraId="3DB0F83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Atık su ön arıtması, entegre atık su yönetim ve arıtma stratejisinin (bkz. MET 10) bir parçası olarak yürütülür ve genellikle aşağıdakileri gerçekleştirmek için gereklidir:</w:t>
      </w:r>
    </w:p>
    <w:p w14:paraId="492FD410"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3ECE">
        <w:rPr>
          <w:rFonts w:ascii="Times New Roman" w:hAnsi="Times New Roman" w:cs="Times New Roman"/>
          <w:sz w:val="24"/>
          <w:szCs w:val="24"/>
        </w:rPr>
        <w:t>Nihai a</w:t>
      </w:r>
      <w:r>
        <w:rPr>
          <w:rFonts w:ascii="Times New Roman" w:hAnsi="Times New Roman" w:cs="Times New Roman"/>
          <w:sz w:val="24"/>
          <w:szCs w:val="24"/>
        </w:rPr>
        <w:t>tıksu arıtma tesisini korumak (örn. biyolojik arıtma tesisinin inhibitör veya toksik bileşiklere karşı korunması);</w:t>
      </w:r>
    </w:p>
    <w:p w14:paraId="4AE7417A"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t>
      </w:r>
      <w:r w:rsidR="00183ECE">
        <w:rPr>
          <w:rFonts w:ascii="Times New Roman" w:hAnsi="Times New Roman" w:cs="Times New Roman"/>
          <w:sz w:val="24"/>
          <w:szCs w:val="24"/>
        </w:rPr>
        <w:t xml:space="preserve"> Nihai</w:t>
      </w:r>
      <w:r>
        <w:rPr>
          <w:rFonts w:ascii="Times New Roman" w:hAnsi="Times New Roman" w:cs="Times New Roman"/>
          <w:sz w:val="24"/>
          <w:szCs w:val="24"/>
        </w:rPr>
        <w:t xml:space="preserve"> arıtma sırasında yeterince azaltılmayan bileşikleri uzaklaştırmak (örn. biyolojik arıtma sırasındaki toksik bileşikler, yetersiz biyobozunur/biyobozunur olmayan organik bileşikler, yüksek konsantrasyonlarda bulunan organik bileşikler veya metaller);</w:t>
      </w:r>
    </w:p>
    <w:p w14:paraId="24C7D318"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3ECE">
        <w:rPr>
          <w:rFonts w:ascii="Times New Roman" w:hAnsi="Times New Roman" w:cs="Times New Roman"/>
          <w:sz w:val="24"/>
          <w:szCs w:val="24"/>
        </w:rPr>
        <w:t>T</w:t>
      </w:r>
      <w:r>
        <w:rPr>
          <w:rFonts w:ascii="Times New Roman" w:hAnsi="Times New Roman" w:cs="Times New Roman"/>
          <w:sz w:val="24"/>
          <w:szCs w:val="24"/>
        </w:rPr>
        <w:t xml:space="preserve">oplama sisteminden veya </w:t>
      </w:r>
      <w:r w:rsidR="00183ECE">
        <w:rPr>
          <w:rFonts w:ascii="Times New Roman" w:hAnsi="Times New Roman" w:cs="Times New Roman"/>
          <w:sz w:val="24"/>
          <w:szCs w:val="24"/>
        </w:rPr>
        <w:t xml:space="preserve">nihai </w:t>
      </w:r>
      <w:r>
        <w:rPr>
          <w:rFonts w:ascii="Times New Roman" w:hAnsi="Times New Roman" w:cs="Times New Roman"/>
          <w:sz w:val="24"/>
          <w:szCs w:val="24"/>
        </w:rPr>
        <w:t>arıtma boyunca havaya salınan bileşikleri uzaklaştırmak (örn. uçucu halojenli organik bileşikler, benzen);</w:t>
      </w:r>
    </w:p>
    <w:p w14:paraId="20F9F72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3ECE">
        <w:rPr>
          <w:rFonts w:ascii="Times New Roman" w:hAnsi="Times New Roman" w:cs="Times New Roman"/>
          <w:sz w:val="24"/>
          <w:szCs w:val="24"/>
        </w:rPr>
        <w:t>D</w:t>
      </w:r>
      <w:r>
        <w:rPr>
          <w:rFonts w:ascii="Times New Roman" w:hAnsi="Times New Roman" w:cs="Times New Roman"/>
          <w:sz w:val="24"/>
          <w:szCs w:val="24"/>
        </w:rPr>
        <w:t>iğer negatif etkilere sahip bileşikleri uzaklaştırmak (örn. ekipmanın aşınması, diğer maddelerle istenmeyen tepkime; atık su çamurunun kontaminasyonu).</w:t>
      </w:r>
    </w:p>
    <w:p w14:paraId="308BEFFC"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Ön arıtma genellikle, özellikle metaller için seyreltmeyi önlemek için kaynağa mümkün olduğu kadar yakın bir şekilde yürütülür. Bazı durumlarda, uygun özellikli atık su kolları, özel bir birleşik ön arıtma için ayrılabilir ve toplanabilir.</w:t>
      </w:r>
    </w:p>
    <w:p w14:paraId="03825557"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12:</w:t>
      </w:r>
      <w:r>
        <w:rPr>
          <w:rFonts w:ascii="Times New Roman" w:hAnsi="Times New Roman" w:cs="Times New Roman"/>
          <w:sz w:val="24"/>
          <w:szCs w:val="24"/>
        </w:rPr>
        <w:t xml:space="preserve"> Suya emisyonları azaltmak için, </w:t>
      </w:r>
      <w:r w:rsidR="00183ECE">
        <w:rPr>
          <w:rFonts w:ascii="Times New Roman" w:hAnsi="Times New Roman" w:cs="Times New Roman"/>
          <w:sz w:val="24"/>
          <w:szCs w:val="24"/>
        </w:rPr>
        <w:t>nihai</w:t>
      </w:r>
      <w:r>
        <w:rPr>
          <w:rFonts w:ascii="Times New Roman" w:hAnsi="Times New Roman" w:cs="Times New Roman"/>
          <w:sz w:val="24"/>
          <w:szCs w:val="24"/>
        </w:rPr>
        <w:t xml:space="preserve"> atık su arıtma tekniklerinin uygun bir kombinasyonu kullanılır.</w:t>
      </w:r>
    </w:p>
    <w:p w14:paraId="3A10A65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Açıklama:</w:t>
      </w:r>
      <w:r>
        <w:rPr>
          <w:rFonts w:ascii="Times New Roman" w:hAnsi="Times New Roman" w:cs="Times New Roman"/>
          <w:sz w:val="24"/>
          <w:szCs w:val="24"/>
        </w:rPr>
        <w:t xml:space="preserve"> Son atık su arıtması, entegre atık su yönetim ve arıtma stratejisinin (bkz. MET 10) bir parçası olarak yürütülür.</w:t>
      </w:r>
    </w:p>
    <w:p w14:paraId="2BC98F14"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Uygun </w:t>
      </w:r>
      <w:r w:rsidR="00183ECE">
        <w:rPr>
          <w:rFonts w:ascii="Times New Roman" w:hAnsi="Times New Roman" w:cs="Times New Roman"/>
          <w:sz w:val="24"/>
          <w:szCs w:val="24"/>
        </w:rPr>
        <w:t>nihai</w:t>
      </w:r>
      <w:r>
        <w:rPr>
          <w:rFonts w:ascii="Times New Roman" w:hAnsi="Times New Roman" w:cs="Times New Roman"/>
          <w:sz w:val="24"/>
          <w:szCs w:val="24"/>
        </w:rPr>
        <w:t xml:space="preserve"> atıksu arıtma teknikleri, kirleticiye bağlı olarak aşağıdakileri içerir:</w:t>
      </w:r>
    </w:p>
    <w:tbl>
      <w:tblPr>
        <w:tblStyle w:val="TabloKlavuzu"/>
        <w:tblW w:w="0" w:type="auto"/>
        <w:jc w:val="center"/>
        <w:tblLook w:val="04A0" w:firstRow="1" w:lastRow="0" w:firstColumn="1" w:lastColumn="0" w:noHBand="0" w:noVBand="1"/>
      </w:tblPr>
      <w:tblGrid>
        <w:gridCol w:w="607"/>
        <w:gridCol w:w="2832"/>
        <w:gridCol w:w="2809"/>
        <w:gridCol w:w="2814"/>
      </w:tblGrid>
      <w:tr w:rsidR="006F0765" w:rsidRPr="00393115" w14:paraId="7443ED11" w14:textId="77777777" w:rsidTr="000D79D6">
        <w:trPr>
          <w:tblHeader/>
          <w:jc w:val="center"/>
        </w:trPr>
        <w:tc>
          <w:tcPr>
            <w:tcW w:w="607" w:type="dxa"/>
            <w:vAlign w:val="center"/>
          </w:tcPr>
          <w:p w14:paraId="6E82AC55" w14:textId="77777777" w:rsidR="006F0765" w:rsidRPr="00393115" w:rsidRDefault="006F0765" w:rsidP="000D79D6">
            <w:pPr>
              <w:jc w:val="center"/>
              <w:rPr>
                <w:rFonts w:ascii="Times New Roman" w:hAnsi="Times New Roman" w:cs="Times New Roman"/>
                <w:b/>
                <w:bCs/>
              </w:rPr>
            </w:pPr>
          </w:p>
        </w:tc>
        <w:tc>
          <w:tcPr>
            <w:tcW w:w="2832" w:type="dxa"/>
            <w:vAlign w:val="center"/>
          </w:tcPr>
          <w:p w14:paraId="261A3051"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2809" w:type="dxa"/>
            <w:vAlign w:val="center"/>
          </w:tcPr>
          <w:p w14:paraId="55BC5B95" w14:textId="77777777" w:rsidR="006F0765" w:rsidRDefault="006F0765" w:rsidP="000D79D6">
            <w:pPr>
              <w:jc w:val="center"/>
              <w:rPr>
                <w:rFonts w:ascii="Times New Roman" w:hAnsi="Times New Roman" w:cs="Times New Roman"/>
                <w:b/>
                <w:bCs/>
              </w:rPr>
            </w:pPr>
            <w:r>
              <w:rPr>
                <w:rFonts w:ascii="Times New Roman" w:hAnsi="Times New Roman" w:cs="Times New Roman"/>
                <w:b/>
                <w:bCs/>
              </w:rPr>
              <w:t>Azaltılan Tipik Kirleticiler</w:t>
            </w:r>
          </w:p>
        </w:tc>
        <w:tc>
          <w:tcPr>
            <w:tcW w:w="2814" w:type="dxa"/>
            <w:vAlign w:val="center"/>
          </w:tcPr>
          <w:p w14:paraId="361239E6"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7D595421" w14:textId="77777777" w:rsidTr="000D79D6">
        <w:trPr>
          <w:jc w:val="center"/>
        </w:trPr>
        <w:tc>
          <w:tcPr>
            <w:tcW w:w="9062" w:type="dxa"/>
            <w:gridSpan w:val="4"/>
            <w:vAlign w:val="center"/>
          </w:tcPr>
          <w:p w14:paraId="6CEA8E13" w14:textId="77777777" w:rsidR="006F0765" w:rsidRPr="00E4286A" w:rsidRDefault="006F0765" w:rsidP="000D79D6">
            <w:pPr>
              <w:jc w:val="both"/>
              <w:rPr>
                <w:rFonts w:ascii="Times New Roman" w:hAnsi="Times New Roman" w:cs="Times New Roman"/>
                <w:b/>
                <w:bCs/>
              </w:rPr>
            </w:pPr>
            <w:r>
              <w:rPr>
                <w:rFonts w:ascii="Times New Roman" w:hAnsi="Times New Roman" w:cs="Times New Roman"/>
                <w:b/>
                <w:bCs/>
              </w:rPr>
              <w:t>Ön ve birincil arıtma</w:t>
            </w:r>
          </w:p>
        </w:tc>
      </w:tr>
      <w:tr w:rsidR="006F0765" w:rsidRPr="00393115" w14:paraId="3038B641" w14:textId="77777777" w:rsidTr="000D79D6">
        <w:trPr>
          <w:jc w:val="center"/>
        </w:trPr>
        <w:tc>
          <w:tcPr>
            <w:tcW w:w="607" w:type="dxa"/>
            <w:vAlign w:val="center"/>
          </w:tcPr>
          <w:p w14:paraId="66FD5F1C"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2832" w:type="dxa"/>
            <w:vAlign w:val="center"/>
          </w:tcPr>
          <w:p w14:paraId="2136AF62" w14:textId="77777777" w:rsidR="006F0765" w:rsidRPr="00393115" w:rsidRDefault="006F0765" w:rsidP="000D79D6">
            <w:pPr>
              <w:jc w:val="both"/>
              <w:rPr>
                <w:rFonts w:ascii="Times New Roman" w:hAnsi="Times New Roman" w:cs="Times New Roman"/>
              </w:rPr>
            </w:pPr>
            <w:r>
              <w:rPr>
                <w:rFonts w:ascii="Times New Roman" w:hAnsi="Times New Roman" w:cs="Times New Roman"/>
              </w:rPr>
              <w:t>Dengeleme</w:t>
            </w:r>
          </w:p>
        </w:tc>
        <w:tc>
          <w:tcPr>
            <w:tcW w:w="2809" w:type="dxa"/>
            <w:vAlign w:val="center"/>
          </w:tcPr>
          <w:p w14:paraId="49F2FFE5"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tüm kirleticiler</w:t>
            </w:r>
          </w:p>
        </w:tc>
        <w:tc>
          <w:tcPr>
            <w:tcW w:w="2814" w:type="dxa"/>
            <w:vMerge w:val="restart"/>
            <w:vAlign w:val="center"/>
          </w:tcPr>
          <w:p w14:paraId="0A4FBE00"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0BD405FA" w14:textId="77777777" w:rsidTr="000D79D6">
        <w:trPr>
          <w:jc w:val="center"/>
        </w:trPr>
        <w:tc>
          <w:tcPr>
            <w:tcW w:w="607" w:type="dxa"/>
            <w:vAlign w:val="center"/>
          </w:tcPr>
          <w:p w14:paraId="0AB4B48F"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2832" w:type="dxa"/>
            <w:vAlign w:val="center"/>
          </w:tcPr>
          <w:p w14:paraId="517F765D" w14:textId="77777777" w:rsidR="006F0765" w:rsidRPr="00393115" w:rsidRDefault="006F0765" w:rsidP="000D79D6">
            <w:pPr>
              <w:jc w:val="both"/>
              <w:rPr>
                <w:rFonts w:ascii="Times New Roman" w:hAnsi="Times New Roman" w:cs="Times New Roman"/>
              </w:rPr>
            </w:pPr>
            <w:r>
              <w:rPr>
                <w:rFonts w:ascii="Times New Roman" w:hAnsi="Times New Roman" w:cs="Times New Roman"/>
              </w:rPr>
              <w:t>Nötralizasyon</w:t>
            </w:r>
          </w:p>
        </w:tc>
        <w:tc>
          <w:tcPr>
            <w:tcW w:w="2809" w:type="dxa"/>
            <w:vAlign w:val="center"/>
          </w:tcPr>
          <w:p w14:paraId="21ECB244"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asitler, alkaliler</w:t>
            </w:r>
          </w:p>
        </w:tc>
        <w:tc>
          <w:tcPr>
            <w:tcW w:w="2814" w:type="dxa"/>
            <w:vMerge/>
            <w:vAlign w:val="center"/>
          </w:tcPr>
          <w:p w14:paraId="107FA470" w14:textId="77777777" w:rsidR="006F0765" w:rsidRPr="00393115" w:rsidRDefault="006F0765" w:rsidP="000D79D6">
            <w:pPr>
              <w:jc w:val="both"/>
              <w:rPr>
                <w:rFonts w:ascii="Times New Roman" w:hAnsi="Times New Roman" w:cs="Times New Roman"/>
              </w:rPr>
            </w:pPr>
          </w:p>
        </w:tc>
      </w:tr>
      <w:tr w:rsidR="006F0765" w:rsidRPr="00393115" w14:paraId="3CC6389D" w14:textId="77777777" w:rsidTr="000D79D6">
        <w:trPr>
          <w:jc w:val="center"/>
        </w:trPr>
        <w:tc>
          <w:tcPr>
            <w:tcW w:w="607" w:type="dxa"/>
            <w:tcBorders>
              <w:bottom w:val="single" w:sz="4" w:space="0" w:color="auto"/>
            </w:tcBorders>
            <w:vAlign w:val="center"/>
          </w:tcPr>
          <w:p w14:paraId="5FF5FE84"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(c)</w:t>
            </w:r>
          </w:p>
        </w:tc>
        <w:tc>
          <w:tcPr>
            <w:tcW w:w="2832" w:type="dxa"/>
            <w:tcBorders>
              <w:bottom w:val="single" w:sz="4" w:space="0" w:color="auto"/>
            </w:tcBorders>
            <w:vAlign w:val="center"/>
          </w:tcPr>
          <w:p w14:paraId="7B31FEB8" w14:textId="77777777" w:rsidR="006F0765" w:rsidRPr="00393115" w:rsidRDefault="006F0765" w:rsidP="000D79D6">
            <w:pPr>
              <w:jc w:val="both"/>
              <w:rPr>
                <w:rFonts w:ascii="Times New Roman" w:hAnsi="Times New Roman" w:cs="Times New Roman"/>
              </w:rPr>
            </w:pPr>
            <w:r>
              <w:rPr>
                <w:rFonts w:ascii="Times New Roman" w:hAnsi="Times New Roman" w:cs="Times New Roman"/>
              </w:rPr>
              <w:t>Fiziksel A</w:t>
            </w:r>
            <w:r w:rsidR="00183ECE">
              <w:rPr>
                <w:rFonts w:ascii="Times New Roman" w:hAnsi="Times New Roman" w:cs="Times New Roman"/>
              </w:rPr>
              <w:t>rıtma</w:t>
            </w:r>
            <w:r>
              <w:rPr>
                <w:rFonts w:ascii="Times New Roman" w:hAnsi="Times New Roman" w:cs="Times New Roman"/>
              </w:rPr>
              <w:t xml:space="preserve">; örn. elekler, </w:t>
            </w:r>
            <w:r w:rsidR="00183ECE">
              <w:rPr>
                <w:rFonts w:ascii="Times New Roman" w:hAnsi="Times New Roman" w:cs="Times New Roman"/>
              </w:rPr>
              <w:t>ızgaralar</w:t>
            </w:r>
            <w:r>
              <w:rPr>
                <w:rFonts w:ascii="Times New Roman" w:hAnsi="Times New Roman" w:cs="Times New Roman"/>
              </w:rPr>
              <w:t xml:space="preserve">, kum/çakıl </w:t>
            </w:r>
            <w:r w:rsidR="00183ECE">
              <w:rPr>
                <w:rFonts w:ascii="Times New Roman" w:hAnsi="Times New Roman" w:cs="Times New Roman"/>
              </w:rPr>
              <w:t>tutucular</w:t>
            </w:r>
            <w:r>
              <w:rPr>
                <w:rFonts w:ascii="Times New Roman" w:hAnsi="Times New Roman" w:cs="Times New Roman"/>
              </w:rPr>
              <w:t xml:space="preserve">, </w:t>
            </w:r>
            <w:r w:rsidR="00183ECE">
              <w:rPr>
                <w:rFonts w:ascii="Times New Roman" w:hAnsi="Times New Roman" w:cs="Times New Roman"/>
              </w:rPr>
              <w:t>yağ-</w:t>
            </w:r>
            <w:r>
              <w:rPr>
                <w:rFonts w:ascii="Times New Roman" w:hAnsi="Times New Roman" w:cs="Times New Roman"/>
              </w:rPr>
              <w:t>gres ayırıcılar veya birincil çöktürme tankları</w:t>
            </w:r>
          </w:p>
        </w:tc>
        <w:tc>
          <w:tcPr>
            <w:tcW w:w="2809" w:type="dxa"/>
            <w:tcBorders>
              <w:bottom w:val="single" w:sz="4" w:space="0" w:color="auto"/>
            </w:tcBorders>
            <w:vAlign w:val="center"/>
          </w:tcPr>
          <w:p w14:paraId="4805C0D8"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askıda katı maddeler, yağ/gres</w:t>
            </w:r>
          </w:p>
        </w:tc>
        <w:tc>
          <w:tcPr>
            <w:tcW w:w="2814" w:type="dxa"/>
            <w:vMerge/>
            <w:tcBorders>
              <w:bottom w:val="single" w:sz="4" w:space="0" w:color="auto"/>
            </w:tcBorders>
            <w:vAlign w:val="center"/>
          </w:tcPr>
          <w:p w14:paraId="1FC3FCCE" w14:textId="77777777" w:rsidR="006F0765" w:rsidRPr="00393115" w:rsidRDefault="006F0765" w:rsidP="000D79D6">
            <w:pPr>
              <w:jc w:val="both"/>
              <w:rPr>
                <w:rFonts w:ascii="Times New Roman" w:hAnsi="Times New Roman" w:cs="Times New Roman"/>
              </w:rPr>
            </w:pPr>
          </w:p>
        </w:tc>
      </w:tr>
      <w:tr w:rsidR="006F0765" w:rsidRPr="00393115" w14:paraId="31FE994F" w14:textId="77777777" w:rsidTr="000D79D6">
        <w:trPr>
          <w:jc w:val="center"/>
        </w:trPr>
        <w:tc>
          <w:tcPr>
            <w:tcW w:w="9062" w:type="dxa"/>
            <w:gridSpan w:val="4"/>
            <w:tcBorders>
              <w:bottom w:val="single" w:sz="4" w:space="0" w:color="auto"/>
            </w:tcBorders>
            <w:vAlign w:val="center"/>
          </w:tcPr>
          <w:p w14:paraId="1B76A758" w14:textId="77777777" w:rsidR="006F0765" w:rsidRPr="00E4286A" w:rsidRDefault="006F0765" w:rsidP="000D79D6">
            <w:pPr>
              <w:jc w:val="both"/>
              <w:rPr>
                <w:rFonts w:ascii="Times New Roman" w:hAnsi="Times New Roman" w:cs="Times New Roman"/>
                <w:b/>
                <w:bCs/>
              </w:rPr>
            </w:pPr>
            <w:r>
              <w:rPr>
                <w:rFonts w:ascii="Times New Roman" w:hAnsi="Times New Roman" w:cs="Times New Roman"/>
                <w:b/>
                <w:bCs/>
              </w:rPr>
              <w:t>Biyolojik arıtma (ikincil arıtma), örneğin:</w:t>
            </w:r>
          </w:p>
        </w:tc>
      </w:tr>
      <w:tr w:rsidR="006F0765" w:rsidRPr="00393115" w14:paraId="5C0C51D9" w14:textId="77777777" w:rsidTr="000D79D6">
        <w:trPr>
          <w:jc w:val="center"/>
        </w:trPr>
        <w:tc>
          <w:tcPr>
            <w:tcW w:w="607" w:type="dxa"/>
            <w:tcBorders>
              <w:bottom w:val="single" w:sz="4" w:space="0" w:color="auto"/>
            </w:tcBorders>
            <w:vAlign w:val="center"/>
          </w:tcPr>
          <w:p w14:paraId="0F4C4A56" w14:textId="77777777" w:rsidR="006F0765" w:rsidRDefault="006F0765" w:rsidP="000D79D6">
            <w:pPr>
              <w:jc w:val="center"/>
              <w:rPr>
                <w:rFonts w:ascii="Times New Roman" w:hAnsi="Times New Roman" w:cs="Times New Roman"/>
              </w:rPr>
            </w:pPr>
            <w:r>
              <w:rPr>
                <w:rFonts w:ascii="Times New Roman" w:hAnsi="Times New Roman" w:cs="Times New Roman"/>
              </w:rPr>
              <w:t>(d)</w:t>
            </w:r>
          </w:p>
        </w:tc>
        <w:tc>
          <w:tcPr>
            <w:tcW w:w="2832" w:type="dxa"/>
            <w:tcBorders>
              <w:bottom w:val="single" w:sz="4" w:space="0" w:color="auto"/>
            </w:tcBorders>
            <w:vAlign w:val="center"/>
          </w:tcPr>
          <w:p w14:paraId="7CCC8886" w14:textId="77777777" w:rsidR="006F0765" w:rsidRDefault="006F0765" w:rsidP="000D79D6">
            <w:pPr>
              <w:jc w:val="both"/>
              <w:rPr>
                <w:rFonts w:ascii="Times New Roman" w:hAnsi="Times New Roman" w:cs="Times New Roman"/>
              </w:rPr>
            </w:pPr>
            <w:r>
              <w:rPr>
                <w:rFonts w:ascii="Times New Roman" w:hAnsi="Times New Roman" w:cs="Times New Roman"/>
              </w:rPr>
              <w:t>Aktif Çamur Prosesi</w:t>
            </w:r>
          </w:p>
        </w:tc>
        <w:tc>
          <w:tcPr>
            <w:tcW w:w="2809" w:type="dxa"/>
            <w:vMerge w:val="restart"/>
            <w:vAlign w:val="center"/>
          </w:tcPr>
          <w:p w14:paraId="4D9E813A" w14:textId="77777777" w:rsidR="006F0765" w:rsidRDefault="006F0765" w:rsidP="000D79D6">
            <w:pPr>
              <w:jc w:val="center"/>
              <w:rPr>
                <w:rFonts w:ascii="Times New Roman" w:hAnsi="Times New Roman" w:cs="Times New Roman"/>
              </w:rPr>
            </w:pPr>
            <w:r>
              <w:rPr>
                <w:rFonts w:ascii="Times New Roman" w:hAnsi="Times New Roman" w:cs="Times New Roman"/>
              </w:rPr>
              <w:t>biyobozunur organik bileşikler</w:t>
            </w:r>
          </w:p>
        </w:tc>
        <w:tc>
          <w:tcPr>
            <w:tcW w:w="2814" w:type="dxa"/>
            <w:vMerge w:val="restart"/>
            <w:vAlign w:val="center"/>
          </w:tcPr>
          <w:p w14:paraId="54D07459"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401C17A4" w14:textId="77777777" w:rsidTr="000D79D6">
        <w:trPr>
          <w:jc w:val="center"/>
        </w:trPr>
        <w:tc>
          <w:tcPr>
            <w:tcW w:w="607" w:type="dxa"/>
            <w:tcBorders>
              <w:bottom w:val="single" w:sz="4" w:space="0" w:color="auto"/>
            </w:tcBorders>
            <w:vAlign w:val="center"/>
          </w:tcPr>
          <w:p w14:paraId="5FACD1AA" w14:textId="77777777" w:rsidR="006F0765" w:rsidRDefault="006F0765" w:rsidP="000D79D6">
            <w:pPr>
              <w:jc w:val="center"/>
              <w:rPr>
                <w:rFonts w:ascii="Times New Roman" w:hAnsi="Times New Roman" w:cs="Times New Roman"/>
              </w:rPr>
            </w:pPr>
            <w:r>
              <w:rPr>
                <w:rFonts w:ascii="Times New Roman" w:hAnsi="Times New Roman" w:cs="Times New Roman"/>
              </w:rPr>
              <w:t>(e)</w:t>
            </w:r>
          </w:p>
        </w:tc>
        <w:tc>
          <w:tcPr>
            <w:tcW w:w="2832" w:type="dxa"/>
            <w:tcBorders>
              <w:bottom w:val="single" w:sz="4" w:space="0" w:color="auto"/>
            </w:tcBorders>
            <w:vAlign w:val="center"/>
          </w:tcPr>
          <w:p w14:paraId="03F44CD0" w14:textId="77777777" w:rsidR="006F0765" w:rsidRDefault="006F0765" w:rsidP="000D79D6">
            <w:pPr>
              <w:jc w:val="both"/>
              <w:rPr>
                <w:rFonts w:ascii="Times New Roman" w:hAnsi="Times New Roman" w:cs="Times New Roman"/>
              </w:rPr>
            </w:pPr>
            <w:r>
              <w:rPr>
                <w:rFonts w:ascii="Times New Roman" w:hAnsi="Times New Roman" w:cs="Times New Roman"/>
              </w:rPr>
              <w:t>Membran Biyoreaktör</w:t>
            </w:r>
          </w:p>
        </w:tc>
        <w:tc>
          <w:tcPr>
            <w:tcW w:w="2809" w:type="dxa"/>
            <w:vMerge/>
            <w:tcBorders>
              <w:bottom w:val="single" w:sz="4" w:space="0" w:color="auto"/>
            </w:tcBorders>
            <w:vAlign w:val="center"/>
          </w:tcPr>
          <w:p w14:paraId="4E338A2C" w14:textId="77777777" w:rsidR="006F0765" w:rsidRDefault="006F0765" w:rsidP="000D79D6">
            <w:pPr>
              <w:jc w:val="center"/>
              <w:rPr>
                <w:rFonts w:ascii="Times New Roman" w:hAnsi="Times New Roman" w:cs="Times New Roman"/>
              </w:rPr>
            </w:pPr>
          </w:p>
        </w:tc>
        <w:tc>
          <w:tcPr>
            <w:tcW w:w="2814" w:type="dxa"/>
            <w:vMerge/>
            <w:tcBorders>
              <w:bottom w:val="single" w:sz="4" w:space="0" w:color="auto"/>
            </w:tcBorders>
            <w:vAlign w:val="center"/>
          </w:tcPr>
          <w:p w14:paraId="2A48A62F" w14:textId="77777777" w:rsidR="006F0765" w:rsidRPr="00393115" w:rsidRDefault="006F0765" w:rsidP="000D79D6">
            <w:pPr>
              <w:jc w:val="both"/>
              <w:rPr>
                <w:rFonts w:ascii="Times New Roman" w:hAnsi="Times New Roman" w:cs="Times New Roman"/>
              </w:rPr>
            </w:pPr>
          </w:p>
        </w:tc>
      </w:tr>
      <w:tr w:rsidR="006F0765" w:rsidRPr="00393115" w14:paraId="4006B866" w14:textId="77777777" w:rsidTr="000D79D6">
        <w:trPr>
          <w:jc w:val="center"/>
        </w:trPr>
        <w:tc>
          <w:tcPr>
            <w:tcW w:w="9062" w:type="dxa"/>
            <w:gridSpan w:val="4"/>
            <w:tcBorders>
              <w:bottom w:val="single" w:sz="4" w:space="0" w:color="auto"/>
            </w:tcBorders>
            <w:vAlign w:val="center"/>
          </w:tcPr>
          <w:p w14:paraId="10C3BBC2" w14:textId="77777777" w:rsidR="006F0765" w:rsidRPr="00E4286A" w:rsidRDefault="006F0765" w:rsidP="000D79D6">
            <w:pPr>
              <w:jc w:val="both"/>
              <w:rPr>
                <w:rFonts w:ascii="Times New Roman" w:hAnsi="Times New Roman" w:cs="Times New Roman"/>
                <w:b/>
                <w:bCs/>
              </w:rPr>
            </w:pPr>
            <w:r>
              <w:rPr>
                <w:rFonts w:ascii="Times New Roman" w:hAnsi="Times New Roman" w:cs="Times New Roman"/>
                <w:b/>
                <w:bCs/>
              </w:rPr>
              <w:t>Azot Giderme</w:t>
            </w:r>
          </w:p>
        </w:tc>
      </w:tr>
      <w:tr w:rsidR="006F0765" w:rsidRPr="00393115" w14:paraId="38DD3019" w14:textId="77777777" w:rsidTr="000D79D6">
        <w:trPr>
          <w:jc w:val="center"/>
        </w:trPr>
        <w:tc>
          <w:tcPr>
            <w:tcW w:w="607" w:type="dxa"/>
            <w:tcBorders>
              <w:bottom w:val="single" w:sz="4" w:space="0" w:color="auto"/>
            </w:tcBorders>
            <w:vAlign w:val="center"/>
          </w:tcPr>
          <w:p w14:paraId="5CDD005D" w14:textId="77777777" w:rsidR="006F0765" w:rsidRDefault="006F0765" w:rsidP="000D79D6">
            <w:pPr>
              <w:jc w:val="center"/>
              <w:rPr>
                <w:rFonts w:ascii="Times New Roman" w:hAnsi="Times New Roman" w:cs="Times New Roman"/>
              </w:rPr>
            </w:pPr>
            <w:r>
              <w:rPr>
                <w:rFonts w:ascii="Times New Roman" w:hAnsi="Times New Roman" w:cs="Times New Roman"/>
              </w:rPr>
              <w:t>(f)</w:t>
            </w:r>
          </w:p>
        </w:tc>
        <w:tc>
          <w:tcPr>
            <w:tcW w:w="2832" w:type="dxa"/>
            <w:tcBorders>
              <w:bottom w:val="single" w:sz="4" w:space="0" w:color="auto"/>
            </w:tcBorders>
            <w:vAlign w:val="center"/>
          </w:tcPr>
          <w:p w14:paraId="2563CB6D" w14:textId="77777777" w:rsidR="006F0765" w:rsidRDefault="006F0765" w:rsidP="000D79D6">
            <w:pPr>
              <w:jc w:val="both"/>
              <w:rPr>
                <w:rFonts w:ascii="Times New Roman" w:hAnsi="Times New Roman" w:cs="Times New Roman"/>
              </w:rPr>
            </w:pPr>
            <w:r>
              <w:rPr>
                <w:rFonts w:ascii="Times New Roman" w:hAnsi="Times New Roman" w:cs="Times New Roman"/>
              </w:rPr>
              <w:t>Nitrifikasyon/Denitrifikasyon</w:t>
            </w:r>
          </w:p>
        </w:tc>
        <w:tc>
          <w:tcPr>
            <w:tcW w:w="2809" w:type="dxa"/>
            <w:tcBorders>
              <w:bottom w:val="single" w:sz="4" w:space="0" w:color="auto"/>
            </w:tcBorders>
            <w:vAlign w:val="center"/>
          </w:tcPr>
          <w:p w14:paraId="007FCDB2" w14:textId="77777777" w:rsidR="006F0765" w:rsidRDefault="006F0765" w:rsidP="000D79D6">
            <w:pPr>
              <w:jc w:val="center"/>
              <w:rPr>
                <w:rFonts w:ascii="Times New Roman" w:hAnsi="Times New Roman" w:cs="Times New Roman"/>
              </w:rPr>
            </w:pPr>
            <w:r>
              <w:rPr>
                <w:rFonts w:ascii="Times New Roman" w:hAnsi="Times New Roman" w:cs="Times New Roman"/>
              </w:rPr>
              <w:t>toplam azot, amonyak</w:t>
            </w:r>
          </w:p>
        </w:tc>
        <w:tc>
          <w:tcPr>
            <w:tcW w:w="2814" w:type="dxa"/>
            <w:tcBorders>
              <w:bottom w:val="single" w:sz="4" w:space="0" w:color="auto"/>
            </w:tcBorders>
            <w:vAlign w:val="center"/>
          </w:tcPr>
          <w:p w14:paraId="4202E8E0" w14:textId="77777777" w:rsidR="006F0765" w:rsidRDefault="006F0765" w:rsidP="000D79D6">
            <w:pPr>
              <w:jc w:val="both"/>
              <w:rPr>
                <w:rFonts w:ascii="Times New Roman" w:hAnsi="Times New Roman" w:cs="Times New Roman"/>
              </w:rPr>
            </w:pPr>
            <w:r>
              <w:rPr>
                <w:rFonts w:ascii="Times New Roman" w:hAnsi="Times New Roman" w:cs="Times New Roman"/>
              </w:rPr>
              <w:t>Nitrifikasyon, yüksek klor konsantrasyonları (yaklaşık 10 g/L) durumunda ve klor indirgemesinin nitrifikasyondan önce olmasının sağlanması halinde, çevresel faydalar bakımından doğrulanmayabilir.</w:t>
            </w:r>
          </w:p>
          <w:p w14:paraId="04ACB099" w14:textId="77777777" w:rsidR="006F0765" w:rsidRDefault="006F0765" w:rsidP="000D79D6">
            <w:pPr>
              <w:jc w:val="both"/>
              <w:rPr>
                <w:rFonts w:ascii="Times New Roman" w:hAnsi="Times New Roman" w:cs="Times New Roman"/>
              </w:rPr>
            </w:pPr>
          </w:p>
          <w:p w14:paraId="6FFF86A4" w14:textId="77777777" w:rsidR="006F0765" w:rsidRPr="00393115" w:rsidRDefault="006F0765" w:rsidP="000D79D6">
            <w:pPr>
              <w:jc w:val="both"/>
              <w:rPr>
                <w:rFonts w:ascii="Times New Roman" w:hAnsi="Times New Roman" w:cs="Times New Roman"/>
              </w:rPr>
            </w:pPr>
            <w:r>
              <w:rPr>
                <w:rFonts w:ascii="Times New Roman" w:hAnsi="Times New Roman" w:cs="Times New Roman"/>
              </w:rPr>
              <w:t>Son arıtmanın biyolojik arıtmayı içermediği durumlarda uygulanamaz.</w:t>
            </w:r>
          </w:p>
        </w:tc>
      </w:tr>
      <w:tr w:rsidR="006F0765" w:rsidRPr="00393115" w14:paraId="286F1C95" w14:textId="77777777" w:rsidTr="000D79D6">
        <w:trPr>
          <w:jc w:val="center"/>
        </w:trPr>
        <w:tc>
          <w:tcPr>
            <w:tcW w:w="9062" w:type="dxa"/>
            <w:gridSpan w:val="4"/>
            <w:tcBorders>
              <w:bottom w:val="single" w:sz="4" w:space="0" w:color="auto"/>
            </w:tcBorders>
            <w:vAlign w:val="center"/>
          </w:tcPr>
          <w:p w14:paraId="188B05ED" w14:textId="77777777" w:rsidR="006F0765" w:rsidRPr="00D72907" w:rsidRDefault="006F0765" w:rsidP="000D79D6">
            <w:pPr>
              <w:jc w:val="both"/>
              <w:rPr>
                <w:rFonts w:ascii="Times New Roman" w:hAnsi="Times New Roman" w:cs="Times New Roman"/>
                <w:b/>
                <w:bCs/>
              </w:rPr>
            </w:pPr>
            <w:r>
              <w:rPr>
                <w:rFonts w:ascii="Times New Roman" w:hAnsi="Times New Roman" w:cs="Times New Roman"/>
                <w:b/>
                <w:bCs/>
              </w:rPr>
              <w:t>Fosfor Giderme</w:t>
            </w:r>
          </w:p>
        </w:tc>
      </w:tr>
      <w:tr w:rsidR="006F0765" w:rsidRPr="00393115" w14:paraId="0004A11E" w14:textId="77777777" w:rsidTr="000D79D6">
        <w:trPr>
          <w:jc w:val="center"/>
        </w:trPr>
        <w:tc>
          <w:tcPr>
            <w:tcW w:w="607" w:type="dxa"/>
            <w:tcBorders>
              <w:bottom w:val="single" w:sz="4" w:space="0" w:color="auto"/>
            </w:tcBorders>
            <w:vAlign w:val="center"/>
          </w:tcPr>
          <w:p w14:paraId="49A83E8B" w14:textId="77777777" w:rsidR="006F0765" w:rsidRDefault="006F0765" w:rsidP="000D79D6">
            <w:pPr>
              <w:jc w:val="center"/>
              <w:rPr>
                <w:rFonts w:ascii="Times New Roman" w:hAnsi="Times New Roman" w:cs="Times New Roman"/>
              </w:rPr>
            </w:pPr>
            <w:r>
              <w:rPr>
                <w:rFonts w:ascii="Times New Roman" w:hAnsi="Times New Roman" w:cs="Times New Roman"/>
              </w:rPr>
              <w:t>(g)</w:t>
            </w:r>
          </w:p>
        </w:tc>
        <w:tc>
          <w:tcPr>
            <w:tcW w:w="2832" w:type="dxa"/>
            <w:tcBorders>
              <w:bottom w:val="single" w:sz="4" w:space="0" w:color="auto"/>
            </w:tcBorders>
            <w:vAlign w:val="center"/>
          </w:tcPr>
          <w:p w14:paraId="56744019" w14:textId="77777777" w:rsidR="006F0765" w:rsidRDefault="006F0765" w:rsidP="000D79D6">
            <w:pPr>
              <w:jc w:val="both"/>
              <w:rPr>
                <w:rFonts w:ascii="Times New Roman" w:hAnsi="Times New Roman" w:cs="Times New Roman"/>
              </w:rPr>
            </w:pPr>
            <w:r>
              <w:rPr>
                <w:rFonts w:ascii="Times New Roman" w:hAnsi="Times New Roman" w:cs="Times New Roman"/>
              </w:rPr>
              <w:t>Kimyasal Çöktürme</w:t>
            </w:r>
          </w:p>
        </w:tc>
        <w:tc>
          <w:tcPr>
            <w:tcW w:w="2809" w:type="dxa"/>
            <w:tcBorders>
              <w:bottom w:val="single" w:sz="4" w:space="0" w:color="auto"/>
            </w:tcBorders>
            <w:vAlign w:val="center"/>
          </w:tcPr>
          <w:p w14:paraId="44CBE49C" w14:textId="77777777" w:rsidR="006F0765" w:rsidRDefault="006F0765" w:rsidP="000D79D6">
            <w:pPr>
              <w:jc w:val="center"/>
              <w:rPr>
                <w:rFonts w:ascii="Times New Roman" w:hAnsi="Times New Roman" w:cs="Times New Roman"/>
              </w:rPr>
            </w:pPr>
            <w:r>
              <w:rPr>
                <w:rFonts w:ascii="Times New Roman" w:hAnsi="Times New Roman" w:cs="Times New Roman"/>
              </w:rPr>
              <w:t>fosfor</w:t>
            </w:r>
          </w:p>
        </w:tc>
        <w:tc>
          <w:tcPr>
            <w:tcW w:w="2814" w:type="dxa"/>
            <w:tcBorders>
              <w:bottom w:val="single" w:sz="4" w:space="0" w:color="auto"/>
            </w:tcBorders>
            <w:vAlign w:val="center"/>
          </w:tcPr>
          <w:p w14:paraId="5D0E133B" w14:textId="77777777" w:rsidR="006F076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0C8A98F0" w14:textId="77777777" w:rsidTr="000D79D6">
        <w:trPr>
          <w:jc w:val="center"/>
        </w:trPr>
        <w:tc>
          <w:tcPr>
            <w:tcW w:w="9062" w:type="dxa"/>
            <w:gridSpan w:val="4"/>
            <w:tcBorders>
              <w:bottom w:val="single" w:sz="4" w:space="0" w:color="auto"/>
            </w:tcBorders>
            <w:vAlign w:val="center"/>
          </w:tcPr>
          <w:p w14:paraId="4CA5B7D7" w14:textId="77777777" w:rsidR="006F0765" w:rsidRPr="00D72907" w:rsidRDefault="006F0765" w:rsidP="000D79D6">
            <w:pPr>
              <w:jc w:val="both"/>
              <w:rPr>
                <w:rFonts w:ascii="Times New Roman" w:hAnsi="Times New Roman" w:cs="Times New Roman"/>
                <w:b/>
                <w:bCs/>
              </w:rPr>
            </w:pPr>
            <w:r>
              <w:rPr>
                <w:rFonts w:ascii="Times New Roman" w:hAnsi="Times New Roman" w:cs="Times New Roman"/>
                <w:b/>
                <w:bCs/>
              </w:rPr>
              <w:t xml:space="preserve"> Katı Madde Giderme</w:t>
            </w:r>
          </w:p>
        </w:tc>
      </w:tr>
      <w:tr w:rsidR="006F0765" w:rsidRPr="00393115" w14:paraId="01C39D58" w14:textId="77777777" w:rsidTr="000D79D6">
        <w:trPr>
          <w:jc w:val="center"/>
        </w:trPr>
        <w:tc>
          <w:tcPr>
            <w:tcW w:w="607" w:type="dxa"/>
            <w:tcBorders>
              <w:bottom w:val="single" w:sz="4" w:space="0" w:color="auto"/>
            </w:tcBorders>
            <w:vAlign w:val="center"/>
          </w:tcPr>
          <w:p w14:paraId="3C19EAC2" w14:textId="77777777" w:rsidR="006F0765" w:rsidRDefault="006F0765" w:rsidP="000D79D6">
            <w:pPr>
              <w:jc w:val="center"/>
              <w:rPr>
                <w:rFonts w:ascii="Times New Roman" w:hAnsi="Times New Roman" w:cs="Times New Roman"/>
              </w:rPr>
            </w:pPr>
            <w:r>
              <w:rPr>
                <w:rFonts w:ascii="Times New Roman" w:hAnsi="Times New Roman" w:cs="Times New Roman"/>
              </w:rPr>
              <w:t>(h)</w:t>
            </w:r>
          </w:p>
        </w:tc>
        <w:tc>
          <w:tcPr>
            <w:tcW w:w="2832" w:type="dxa"/>
            <w:tcBorders>
              <w:bottom w:val="single" w:sz="4" w:space="0" w:color="auto"/>
            </w:tcBorders>
            <w:vAlign w:val="center"/>
          </w:tcPr>
          <w:p w14:paraId="494FD776" w14:textId="77777777" w:rsidR="006F0765" w:rsidRDefault="006F0765" w:rsidP="000D79D6">
            <w:pPr>
              <w:jc w:val="both"/>
              <w:rPr>
                <w:rFonts w:ascii="Times New Roman" w:hAnsi="Times New Roman" w:cs="Times New Roman"/>
              </w:rPr>
            </w:pPr>
            <w:r>
              <w:rPr>
                <w:rFonts w:ascii="Times New Roman" w:hAnsi="Times New Roman" w:cs="Times New Roman"/>
              </w:rPr>
              <w:t>Koagülasyon ve Flokülasyon</w:t>
            </w:r>
          </w:p>
        </w:tc>
        <w:tc>
          <w:tcPr>
            <w:tcW w:w="2809" w:type="dxa"/>
            <w:vMerge w:val="restart"/>
            <w:vAlign w:val="center"/>
          </w:tcPr>
          <w:p w14:paraId="1709B28B" w14:textId="77777777" w:rsidR="006F0765" w:rsidRDefault="006F0765" w:rsidP="000D79D6">
            <w:pPr>
              <w:jc w:val="center"/>
              <w:rPr>
                <w:rFonts w:ascii="Times New Roman" w:hAnsi="Times New Roman" w:cs="Times New Roman"/>
              </w:rPr>
            </w:pPr>
            <w:r>
              <w:rPr>
                <w:rFonts w:ascii="Times New Roman" w:hAnsi="Times New Roman" w:cs="Times New Roman"/>
              </w:rPr>
              <w:t>askıda katı maddeler</w:t>
            </w:r>
          </w:p>
        </w:tc>
        <w:tc>
          <w:tcPr>
            <w:tcW w:w="2814" w:type="dxa"/>
            <w:vMerge w:val="restart"/>
            <w:vAlign w:val="center"/>
          </w:tcPr>
          <w:p w14:paraId="6A134ED1" w14:textId="77777777" w:rsidR="006F076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5B50319C" w14:textId="77777777" w:rsidTr="000D79D6">
        <w:trPr>
          <w:jc w:val="center"/>
        </w:trPr>
        <w:tc>
          <w:tcPr>
            <w:tcW w:w="607" w:type="dxa"/>
            <w:vAlign w:val="center"/>
          </w:tcPr>
          <w:p w14:paraId="4877DE48" w14:textId="77777777" w:rsidR="006F0765" w:rsidRDefault="006F0765" w:rsidP="000D79D6">
            <w:pPr>
              <w:jc w:val="center"/>
              <w:rPr>
                <w:rFonts w:ascii="Times New Roman" w:hAnsi="Times New Roman" w:cs="Times New Roman"/>
              </w:rPr>
            </w:pPr>
            <w:r>
              <w:rPr>
                <w:rFonts w:ascii="Times New Roman" w:hAnsi="Times New Roman" w:cs="Times New Roman"/>
              </w:rPr>
              <w:t>(i)</w:t>
            </w:r>
          </w:p>
        </w:tc>
        <w:tc>
          <w:tcPr>
            <w:tcW w:w="2832" w:type="dxa"/>
            <w:vAlign w:val="center"/>
          </w:tcPr>
          <w:p w14:paraId="39975B88" w14:textId="77777777" w:rsidR="006F0765" w:rsidRDefault="006F0765" w:rsidP="000D79D6">
            <w:pPr>
              <w:jc w:val="both"/>
              <w:rPr>
                <w:rFonts w:ascii="Times New Roman" w:hAnsi="Times New Roman" w:cs="Times New Roman"/>
              </w:rPr>
            </w:pPr>
            <w:r>
              <w:rPr>
                <w:rFonts w:ascii="Times New Roman" w:hAnsi="Times New Roman" w:cs="Times New Roman"/>
              </w:rPr>
              <w:t>Sedimantasyon</w:t>
            </w:r>
          </w:p>
        </w:tc>
        <w:tc>
          <w:tcPr>
            <w:tcW w:w="2809" w:type="dxa"/>
            <w:vMerge/>
            <w:vAlign w:val="center"/>
          </w:tcPr>
          <w:p w14:paraId="7E9F460C" w14:textId="77777777" w:rsidR="006F0765" w:rsidRDefault="006F0765" w:rsidP="000D79D6">
            <w:pPr>
              <w:jc w:val="center"/>
              <w:rPr>
                <w:rFonts w:ascii="Times New Roman" w:hAnsi="Times New Roman" w:cs="Times New Roman"/>
              </w:rPr>
            </w:pPr>
          </w:p>
        </w:tc>
        <w:tc>
          <w:tcPr>
            <w:tcW w:w="2814" w:type="dxa"/>
            <w:vMerge/>
            <w:vAlign w:val="center"/>
          </w:tcPr>
          <w:p w14:paraId="3F4F2BCD" w14:textId="77777777" w:rsidR="006F0765" w:rsidRDefault="006F0765" w:rsidP="000D79D6">
            <w:pPr>
              <w:jc w:val="both"/>
              <w:rPr>
                <w:rFonts w:ascii="Times New Roman" w:hAnsi="Times New Roman" w:cs="Times New Roman"/>
              </w:rPr>
            </w:pPr>
          </w:p>
        </w:tc>
      </w:tr>
      <w:tr w:rsidR="006F0765" w:rsidRPr="00393115" w14:paraId="40C967B1" w14:textId="77777777" w:rsidTr="000D79D6">
        <w:trPr>
          <w:jc w:val="center"/>
        </w:trPr>
        <w:tc>
          <w:tcPr>
            <w:tcW w:w="607" w:type="dxa"/>
            <w:tcBorders>
              <w:bottom w:val="single" w:sz="4" w:space="0" w:color="auto"/>
            </w:tcBorders>
            <w:vAlign w:val="center"/>
          </w:tcPr>
          <w:p w14:paraId="2E8C1B38" w14:textId="77777777" w:rsidR="006F0765" w:rsidRDefault="006F0765" w:rsidP="000D79D6">
            <w:pPr>
              <w:jc w:val="center"/>
              <w:rPr>
                <w:rFonts w:ascii="Times New Roman" w:hAnsi="Times New Roman" w:cs="Times New Roman"/>
              </w:rPr>
            </w:pPr>
            <w:r>
              <w:rPr>
                <w:rFonts w:ascii="Times New Roman" w:hAnsi="Times New Roman" w:cs="Times New Roman"/>
              </w:rPr>
              <w:t>(j)</w:t>
            </w:r>
          </w:p>
        </w:tc>
        <w:tc>
          <w:tcPr>
            <w:tcW w:w="2832" w:type="dxa"/>
            <w:tcBorders>
              <w:bottom w:val="single" w:sz="4" w:space="0" w:color="auto"/>
            </w:tcBorders>
            <w:vAlign w:val="center"/>
          </w:tcPr>
          <w:p w14:paraId="4FFCFC40" w14:textId="77777777" w:rsidR="006F0765" w:rsidRDefault="006F0765" w:rsidP="000D79D6">
            <w:pPr>
              <w:jc w:val="both"/>
              <w:rPr>
                <w:rFonts w:ascii="Times New Roman" w:hAnsi="Times New Roman" w:cs="Times New Roman"/>
              </w:rPr>
            </w:pPr>
            <w:r>
              <w:rPr>
                <w:rFonts w:ascii="Times New Roman" w:hAnsi="Times New Roman" w:cs="Times New Roman"/>
              </w:rPr>
              <w:t>Filtrasyon (örn. kum filtrasyonu, mikrofiltrasyon, ultrafiltrasyon)</w:t>
            </w:r>
          </w:p>
        </w:tc>
        <w:tc>
          <w:tcPr>
            <w:tcW w:w="2809" w:type="dxa"/>
            <w:vMerge/>
            <w:vAlign w:val="center"/>
          </w:tcPr>
          <w:p w14:paraId="3765F2F9" w14:textId="77777777" w:rsidR="006F0765" w:rsidRDefault="006F0765" w:rsidP="000D79D6">
            <w:pPr>
              <w:jc w:val="center"/>
              <w:rPr>
                <w:rFonts w:ascii="Times New Roman" w:hAnsi="Times New Roman" w:cs="Times New Roman"/>
              </w:rPr>
            </w:pPr>
          </w:p>
        </w:tc>
        <w:tc>
          <w:tcPr>
            <w:tcW w:w="2814" w:type="dxa"/>
            <w:vMerge/>
            <w:vAlign w:val="center"/>
          </w:tcPr>
          <w:p w14:paraId="5D271E7C" w14:textId="77777777" w:rsidR="006F0765" w:rsidRDefault="006F0765" w:rsidP="000D79D6">
            <w:pPr>
              <w:jc w:val="both"/>
              <w:rPr>
                <w:rFonts w:ascii="Times New Roman" w:hAnsi="Times New Roman" w:cs="Times New Roman"/>
              </w:rPr>
            </w:pPr>
          </w:p>
        </w:tc>
      </w:tr>
      <w:tr w:rsidR="006F0765" w:rsidRPr="00393115" w14:paraId="03A3D8AD" w14:textId="77777777" w:rsidTr="000D79D6">
        <w:trPr>
          <w:jc w:val="center"/>
        </w:trPr>
        <w:tc>
          <w:tcPr>
            <w:tcW w:w="607" w:type="dxa"/>
            <w:tcBorders>
              <w:bottom w:val="single" w:sz="4" w:space="0" w:color="auto"/>
            </w:tcBorders>
            <w:vAlign w:val="center"/>
          </w:tcPr>
          <w:p w14:paraId="099BD9AE" w14:textId="77777777" w:rsidR="006F0765" w:rsidRDefault="006F0765" w:rsidP="000D79D6">
            <w:pPr>
              <w:jc w:val="center"/>
              <w:rPr>
                <w:rFonts w:ascii="Times New Roman" w:hAnsi="Times New Roman" w:cs="Times New Roman"/>
              </w:rPr>
            </w:pPr>
            <w:r>
              <w:rPr>
                <w:rFonts w:ascii="Times New Roman" w:hAnsi="Times New Roman" w:cs="Times New Roman"/>
              </w:rPr>
              <w:t>(k)</w:t>
            </w:r>
          </w:p>
        </w:tc>
        <w:tc>
          <w:tcPr>
            <w:tcW w:w="2832" w:type="dxa"/>
            <w:tcBorders>
              <w:bottom w:val="single" w:sz="4" w:space="0" w:color="auto"/>
            </w:tcBorders>
            <w:vAlign w:val="center"/>
          </w:tcPr>
          <w:p w14:paraId="3AFA9CA9" w14:textId="77777777" w:rsidR="006F0765" w:rsidRDefault="006F0765" w:rsidP="000D79D6">
            <w:pPr>
              <w:jc w:val="both"/>
              <w:rPr>
                <w:rFonts w:ascii="Times New Roman" w:hAnsi="Times New Roman" w:cs="Times New Roman"/>
              </w:rPr>
            </w:pPr>
            <w:r>
              <w:rPr>
                <w:rFonts w:ascii="Times New Roman" w:hAnsi="Times New Roman" w:cs="Times New Roman"/>
              </w:rPr>
              <w:t>Yüzdürme</w:t>
            </w:r>
          </w:p>
        </w:tc>
        <w:tc>
          <w:tcPr>
            <w:tcW w:w="2809" w:type="dxa"/>
            <w:vMerge/>
            <w:tcBorders>
              <w:bottom w:val="single" w:sz="4" w:space="0" w:color="auto"/>
            </w:tcBorders>
            <w:vAlign w:val="center"/>
          </w:tcPr>
          <w:p w14:paraId="3B58DEEE" w14:textId="77777777" w:rsidR="006F0765" w:rsidRDefault="006F0765" w:rsidP="000D79D6">
            <w:pPr>
              <w:jc w:val="center"/>
              <w:rPr>
                <w:rFonts w:ascii="Times New Roman" w:hAnsi="Times New Roman" w:cs="Times New Roman"/>
              </w:rPr>
            </w:pPr>
          </w:p>
        </w:tc>
        <w:tc>
          <w:tcPr>
            <w:tcW w:w="2814" w:type="dxa"/>
            <w:vMerge/>
            <w:tcBorders>
              <w:bottom w:val="single" w:sz="4" w:space="0" w:color="auto"/>
            </w:tcBorders>
            <w:vAlign w:val="center"/>
          </w:tcPr>
          <w:p w14:paraId="5B6D1AA3" w14:textId="77777777" w:rsidR="006F0765" w:rsidRDefault="006F0765" w:rsidP="000D79D6">
            <w:pPr>
              <w:jc w:val="both"/>
              <w:rPr>
                <w:rFonts w:ascii="Times New Roman" w:hAnsi="Times New Roman" w:cs="Times New Roman"/>
              </w:rPr>
            </w:pPr>
          </w:p>
        </w:tc>
      </w:tr>
    </w:tbl>
    <w:p w14:paraId="3FBC292F" w14:textId="77777777" w:rsidR="006F0765" w:rsidRDefault="006F0765" w:rsidP="006F0765">
      <w:pPr>
        <w:spacing w:after="120" w:line="276" w:lineRule="auto"/>
        <w:jc w:val="both"/>
        <w:rPr>
          <w:rFonts w:ascii="Times New Roman" w:hAnsi="Times New Roman" w:cs="Times New Roman"/>
          <w:sz w:val="24"/>
          <w:szCs w:val="24"/>
        </w:rPr>
      </w:pPr>
    </w:p>
    <w:p w14:paraId="3084BCBA" w14:textId="77777777" w:rsidR="006F0765" w:rsidRPr="00687ECE" w:rsidRDefault="006F0765" w:rsidP="006F0765">
      <w:pPr>
        <w:pStyle w:val="Balk3"/>
        <w:spacing w:before="0" w:after="120" w:line="276" w:lineRule="auto"/>
        <w:jc w:val="both"/>
        <w:rPr>
          <w:rFonts w:cs="Times New Roman"/>
          <w:b w:val="0"/>
          <w:bCs/>
          <w:szCs w:val="24"/>
        </w:rPr>
      </w:pPr>
      <w:r>
        <w:rPr>
          <w:rFonts w:cs="Times New Roman"/>
          <w:bCs/>
          <w:szCs w:val="24"/>
        </w:rPr>
        <w:t>(3.4) Suya Emisyonlara Yönelik MET ile İlişkili Emisyon Seviyeleri</w:t>
      </w:r>
    </w:p>
    <w:p w14:paraId="6F48FE70"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Tablo 1, Tablo 2 ve Tablo 3’te verilen suya emisyonlara yönelik MET ile ilişkili emisyon seviyeleri (MET-İES’ler), aşağıdakilerden alıcı su kütlesine olan doğrudan emisyonlar için geçerlidir:</w:t>
      </w:r>
    </w:p>
    <w:p w14:paraId="5E560AD8" w14:textId="77777777" w:rsidR="006F0765" w:rsidRDefault="006F0765" w:rsidP="006F0765">
      <w:pPr>
        <w:pStyle w:val="ListeParagraf"/>
        <w:numPr>
          <w:ilvl w:val="0"/>
          <w:numId w:val="22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Endüstriyel Emisyonların Yönetimi Yönetmeliği (R.G. 14.01.2025, Sayı: 32782) Ek-1’inde yer alan 4. başlık kapsamındaki faaliyetler;</w:t>
      </w:r>
    </w:p>
    <w:p w14:paraId="25EAD98F" w14:textId="77777777" w:rsidR="006F0765" w:rsidRDefault="006F0765" w:rsidP="006F0765">
      <w:pPr>
        <w:pStyle w:val="ListeParagraf"/>
        <w:numPr>
          <w:ilvl w:val="0"/>
          <w:numId w:val="22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esas kirletici yükünün Endüstriyel Emisyonların Yönetimi Yönetmeliği (R.G. 14.01.2025, Sayı: 32782) Ek-1’inde yer alan 4. başlığı kapsamındaki faaliyetlerden kaynaklanması halinde, aynı yönetmeliğin (6.11) başlığı kapsamındaki bağımsız olarak işletilen atık su arıtma tesisleri;</w:t>
      </w:r>
    </w:p>
    <w:p w14:paraId="3DA91BAA" w14:textId="77777777" w:rsidR="006F0765" w:rsidRDefault="006F0765" w:rsidP="006F0765">
      <w:pPr>
        <w:pStyle w:val="ListeParagraf"/>
        <w:numPr>
          <w:ilvl w:val="0"/>
          <w:numId w:val="228"/>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esas kirletici yükünün Endüstriyel Emisyonların Yönetimi Yönetmeliği (R.G. 14.01.2025, Sayı: 32782) Ek-1’inde yer alan 4. başlığı kapsamındaki faaliyetlerden kaynaklanması halinde, farklı kaynaklardan gelen atık suyun ortak arıtması.</w:t>
      </w:r>
    </w:p>
    <w:p w14:paraId="1B9724FF"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MET-İES’ler, emisyonun tesisi terk ettiği noktada geçerlidir.</w:t>
      </w:r>
    </w:p>
    <w:p w14:paraId="1073151E" w14:textId="77777777" w:rsidR="006F0765" w:rsidRDefault="006F0765" w:rsidP="006F0765">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1</w:t>
      </w:r>
    </w:p>
    <w:p w14:paraId="29FDE881" w14:textId="77777777" w:rsidR="006F0765" w:rsidRPr="000A2FE3" w:rsidRDefault="006F0765" w:rsidP="006F0765">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Alıcı su kütlesine olan doğrudan TOK, KOİ ve TAKM emisyonlarına yönelik MET-İES’ler</w:t>
      </w:r>
    </w:p>
    <w:tbl>
      <w:tblPr>
        <w:tblStyle w:val="TabloKlavuzu"/>
        <w:tblW w:w="0" w:type="auto"/>
        <w:tblLook w:val="04A0" w:firstRow="1" w:lastRow="0" w:firstColumn="1" w:lastColumn="0" w:noHBand="0" w:noVBand="1"/>
      </w:tblPr>
      <w:tblGrid>
        <w:gridCol w:w="3439"/>
        <w:gridCol w:w="2809"/>
        <w:gridCol w:w="2814"/>
      </w:tblGrid>
      <w:tr w:rsidR="006F0765" w:rsidRPr="00393115" w14:paraId="7078D87E" w14:textId="77777777" w:rsidTr="0082590D">
        <w:tc>
          <w:tcPr>
            <w:tcW w:w="3439" w:type="dxa"/>
          </w:tcPr>
          <w:p w14:paraId="0CCD7715"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Parametre</w:t>
            </w:r>
          </w:p>
        </w:tc>
        <w:tc>
          <w:tcPr>
            <w:tcW w:w="2809" w:type="dxa"/>
          </w:tcPr>
          <w:p w14:paraId="415E086B" w14:textId="77777777" w:rsidR="006F0765" w:rsidRDefault="006F0765" w:rsidP="000D79D6">
            <w:pPr>
              <w:jc w:val="center"/>
              <w:rPr>
                <w:rFonts w:ascii="Times New Roman" w:hAnsi="Times New Roman" w:cs="Times New Roman"/>
                <w:b/>
                <w:bCs/>
              </w:rPr>
            </w:pPr>
            <w:r>
              <w:rPr>
                <w:rFonts w:ascii="Times New Roman" w:hAnsi="Times New Roman" w:cs="Times New Roman"/>
                <w:b/>
                <w:bCs/>
              </w:rPr>
              <w:t>MET-İES</w:t>
            </w:r>
          </w:p>
          <w:p w14:paraId="4F75B5A8" w14:textId="77777777" w:rsidR="006F0765" w:rsidRDefault="006F0765" w:rsidP="000D79D6">
            <w:pPr>
              <w:jc w:val="center"/>
              <w:rPr>
                <w:rFonts w:ascii="Times New Roman" w:hAnsi="Times New Roman" w:cs="Times New Roman"/>
                <w:b/>
                <w:bCs/>
              </w:rPr>
            </w:pPr>
            <w:r>
              <w:rPr>
                <w:rFonts w:ascii="Times New Roman" w:hAnsi="Times New Roman" w:cs="Times New Roman"/>
                <w:b/>
                <w:bCs/>
              </w:rPr>
              <w:t>(yıllık ortalama)</w:t>
            </w:r>
          </w:p>
        </w:tc>
        <w:tc>
          <w:tcPr>
            <w:tcW w:w="2814" w:type="dxa"/>
          </w:tcPr>
          <w:p w14:paraId="71C6BE20"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Koşullar</w:t>
            </w:r>
          </w:p>
        </w:tc>
      </w:tr>
      <w:tr w:rsidR="006F0765" w:rsidRPr="00393115" w14:paraId="50153282" w14:textId="77777777" w:rsidTr="0082590D">
        <w:tc>
          <w:tcPr>
            <w:tcW w:w="3439" w:type="dxa"/>
          </w:tcPr>
          <w:p w14:paraId="6716582D" w14:textId="77777777" w:rsidR="006F0765" w:rsidRPr="00AD6088" w:rsidRDefault="006F0765" w:rsidP="000D79D6">
            <w:pPr>
              <w:jc w:val="both"/>
              <w:rPr>
                <w:rFonts w:ascii="Times New Roman" w:hAnsi="Times New Roman" w:cs="Times New Roman"/>
              </w:rPr>
            </w:pPr>
            <w:r>
              <w:rPr>
                <w:rFonts w:ascii="Times New Roman" w:hAnsi="Times New Roman" w:cs="Times New Roman"/>
              </w:rPr>
              <w:t>Toplam Organik Karbon (TOK) (</w:t>
            </w:r>
            <w:r w:rsidRPr="00AD6088">
              <w:rPr>
                <w:rFonts w:ascii="Times New Roman" w:hAnsi="Times New Roman" w:cs="Times New Roman"/>
                <w:vertAlign w:val="superscript"/>
              </w:rPr>
              <w:t>1</w:t>
            </w:r>
            <w:r>
              <w:rPr>
                <w:rFonts w:ascii="Times New Roman" w:hAnsi="Times New Roman" w:cs="Times New Roman"/>
              </w:rPr>
              <w:t>)(</w:t>
            </w:r>
            <w:r w:rsidRPr="00AD6088">
              <w:rPr>
                <w:rFonts w:ascii="Times New Roman" w:hAnsi="Times New Roman" w:cs="Times New Roman"/>
                <w:vertAlign w:val="superscript"/>
              </w:rPr>
              <w:t>2</w:t>
            </w:r>
            <w:r>
              <w:rPr>
                <w:rFonts w:ascii="Times New Roman" w:hAnsi="Times New Roman" w:cs="Times New Roman"/>
              </w:rPr>
              <w:t>)</w:t>
            </w:r>
          </w:p>
        </w:tc>
        <w:tc>
          <w:tcPr>
            <w:tcW w:w="2809" w:type="dxa"/>
          </w:tcPr>
          <w:p w14:paraId="5F41A0AB"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10-33 mg/L (</w:t>
            </w:r>
            <w:r w:rsidRPr="00AD6088">
              <w:rPr>
                <w:rFonts w:ascii="Times New Roman" w:hAnsi="Times New Roman" w:cs="Times New Roman"/>
                <w:vertAlign w:val="superscript"/>
              </w:rPr>
              <w:t>3</w:t>
            </w:r>
            <w:r>
              <w:rPr>
                <w:rFonts w:ascii="Times New Roman" w:hAnsi="Times New Roman" w:cs="Times New Roman"/>
              </w:rPr>
              <w:t>)(</w:t>
            </w:r>
            <w:r w:rsidRPr="00AD6088">
              <w:rPr>
                <w:rFonts w:ascii="Times New Roman" w:hAnsi="Times New Roman" w:cs="Times New Roman"/>
                <w:vertAlign w:val="superscript"/>
              </w:rPr>
              <w:t>4</w:t>
            </w:r>
            <w:r>
              <w:rPr>
                <w:rFonts w:ascii="Times New Roman" w:hAnsi="Times New Roman" w:cs="Times New Roman"/>
              </w:rPr>
              <w:t>)(</w:t>
            </w:r>
            <w:r w:rsidRPr="00AD6088">
              <w:rPr>
                <w:rFonts w:ascii="Times New Roman" w:hAnsi="Times New Roman" w:cs="Times New Roman"/>
                <w:vertAlign w:val="superscript"/>
              </w:rPr>
              <w:t>5</w:t>
            </w:r>
            <w:r>
              <w:rPr>
                <w:rFonts w:ascii="Times New Roman" w:hAnsi="Times New Roman" w:cs="Times New Roman"/>
              </w:rPr>
              <w:t>)(</w:t>
            </w:r>
            <w:r w:rsidRPr="00AD6088">
              <w:rPr>
                <w:rFonts w:ascii="Times New Roman" w:hAnsi="Times New Roman" w:cs="Times New Roman"/>
                <w:vertAlign w:val="superscript"/>
              </w:rPr>
              <w:t>6</w:t>
            </w:r>
            <w:r>
              <w:rPr>
                <w:rFonts w:ascii="Times New Roman" w:hAnsi="Times New Roman" w:cs="Times New Roman"/>
              </w:rPr>
              <w:t>)</w:t>
            </w:r>
          </w:p>
        </w:tc>
        <w:tc>
          <w:tcPr>
            <w:tcW w:w="2814" w:type="dxa"/>
          </w:tcPr>
          <w:p w14:paraId="73BDB6A8"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3,3 t/yıl değerini aşarsa geçerlidir. </w:t>
            </w:r>
          </w:p>
        </w:tc>
      </w:tr>
      <w:tr w:rsidR="006F0765" w:rsidRPr="00393115" w14:paraId="30728F1E" w14:textId="77777777" w:rsidTr="0082590D">
        <w:tc>
          <w:tcPr>
            <w:tcW w:w="3439" w:type="dxa"/>
          </w:tcPr>
          <w:p w14:paraId="583F7938" w14:textId="77777777" w:rsidR="006F0765" w:rsidRPr="00AD6088" w:rsidRDefault="006F0765" w:rsidP="000D79D6">
            <w:pPr>
              <w:jc w:val="both"/>
              <w:rPr>
                <w:rFonts w:ascii="Times New Roman" w:hAnsi="Times New Roman" w:cs="Times New Roman"/>
              </w:rPr>
            </w:pPr>
            <w:r>
              <w:rPr>
                <w:rFonts w:ascii="Times New Roman" w:hAnsi="Times New Roman" w:cs="Times New Roman"/>
              </w:rPr>
              <w:t>Kimyasal Oksijen İhtiyacı (KOİ) (</w:t>
            </w:r>
            <w:r w:rsidRPr="00AD6088">
              <w:rPr>
                <w:rFonts w:ascii="Times New Roman" w:hAnsi="Times New Roman" w:cs="Times New Roman"/>
                <w:vertAlign w:val="superscript"/>
              </w:rPr>
              <w:t>1</w:t>
            </w:r>
            <w:r>
              <w:rPr>
                <w:rFonts w:ascii="Times New Roman" w:hAnsi="Times New Roman" w:cs="Times New Roman"/>
              </w:rPr>
              <w:t>)(</w:t>
            </w:r>
            <w:r w:rsidRPr="00AD6088">
              <w:rPr>
                <w:rFonts w:ascii="Times New Roman" w:hAnsi="Times New Roman" w:cs="Times New Roman"/>
                <w:vertAlign w:val="superscript"/>
              </w:rPr>
              <w:t>2</w:t>
            </w:r>
            <w:r>
              <w:rPr>
                <w:rFonts w:ascii="Times New Roman" w:hAnsi="Times New Roman" w:cs="Times New Roman"/>
              </w:rPr>
              <w:t>)</w:t>
            </w:r>
          </w:p>
        </w:tc>
        <w:tc>
          <w:tcPr>
            <w:tcW w:w="2809" w:type="dxa"/>
          </w:tcPr>
          <w:p w14:paraId="161A4AF0"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30-100 mg/L (</w:t>
            </w:r>
            <w:r w:rsidRPr="00AD6088">
              <w:rPr>
                <w:rFonts w:ascii="Times New Roman" w:hAnsi="Times New Roman" w:cs="Times New Roman"/>
                <w:vertAlign w:val="superscript"/>
              </w:rPr>
              <w:t>3</w:t>
            </w:r>
            <w:r>
              <w:rPr>
                <w:rFonts w:ascii="Times New Roman" w:hAnsi="Times New Roman" w:cs="Times New Roman"/>
              </w:rPr>
              <w:t>)(</w:t>
            </w:r>
            <w:r w:rsidRPr="00AD6088">
              <w:rPr>
                <w:rFonts w:ascii="Times New Roman" w:hAnsi="Times New Roman" w:cs="Times New Roman"/>
                <w:vertAlign w:val="superscript"/>
              </w:rPr>
              <w:t>4</w:t>
            </w:r>
            <w:r>
              <w:rPr>
                <w:rFonts w:ascii="Times New Roman" w:hAnsi="Times New Roman" w:cs="Times New Roman"/>
              </w:rPr>
              <w:t>)(</w:t>
            </w:r>
            <w:r w:rsidRPr="00AD6088">
              <w:rPr>
                <w:rFonts w:ascii="Times New Roman" w:hAnsi="Times New Roman" w:cs="Times New Roman"/>
                <w:vertAlign w:val="superscript"/>
              </w:rPr>
              <w:t>5</w:t>
            </w:r>
            <w:r>
              <w:rPr>
                <w:rFonts w:ascii="Times New Roman" w:hAnsi="Times New Roman" w:cs="Times New Roman"/>
              </w:rPr>
              <w:t>)(</w:t>
            </w:r>
            <w:r w:rsidRPr="00AD6088">
              <w:rPr>
                <w:rFonts w:ascii="Times New Roman" w:hAnsi="Times New Roman" w:cs="Times New Roman"/>
                <w:vertAlign w:val="superscript"/>
              </w:rPr>
              <w:t>6</w:t>
            </w:r>
            <w:r>
              <w:rPr>
                <w:rFonts w:ascii="Times New Roman" w:hAnsi="Times New Roman" w:cs="Times New Roman"/>
              </w:rPr>
              <w:t>)</w:t>
            </w:r>
          </w:p>
        </w:tc>
        <w:tc>
          <w:tcPr>
            <w:tcW w:w="2814" w:type="dxa"/>
          </w:tcPr>
          <w:p w14:paraId="09B99AC1"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10 t/yıl değerini aşarsa geçerlidir. </w:t>
            </w:r>
          </w:p>
        </w:tc>
      </w:tr>
      <w:tr w:rsidR="006F0765" w:rsidRPr="00393115" w14:paraId="121528CD" w14:textId="77777777" w:rsidTr="0082590D">
        <w:tc>
          <w:tcPr>
            <w:tcW w:w="3439" w:type="dxa"/>
          </w:tcPr>
          <w:p w14:paraId="35E943CC" w14:textId="77777777" w:rsidR="006F0765" w:rsidRPr="00AD6088" w:rsidRDefault="006F0765" w:rsidP="000D79D6">
            <w:pPr>
              <w:jc w:val="both"/>
              <w:rPr>
                <w:rFonts w:ascii="Times New Roman" w:hAnsi="Times New Roman" w:cs="Times New Roman"/>
              </w:rPr>
            </w:pPr>
            <w:r>
              <w:rPr>
                <w:rFonts w:ascii="Times New Roman" w:hAnsi="Times New Roman" w:cs="Times New Roman"/>
              </w:rPr>
              <w:t>Toplam Askıda Katı Maddeler (TAKM)</w:t>
            </w:r>
          </w:p>
        </w:tc>
        <w:tc>
          <w:tcPr>
            <w:tcW w:w="2809" w:type="dxa"/>
          </w:tcPr>
          <w:p w14:paraId="50DAB10A"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5,0-35 mg/L (</w:t>
            </w:r>
            <w:r w:rsidRPr="006C7E21">
              <w:rPr>
                <w:rFonts w:ascii="Times New Roman" w:hAnsi="Times New Roman" w:cs="Times New Roman"/>
                <w:vertAlign w:val="superscript"/>
              </w:rPr>
              <w:t>7</w:t>
            </w:r>
            <w:r>
              <w:rPr>
                <w:rFonts w:ascii="Times New Roman" w:hAnsi="Times New Roman" w:cs="Times New Roman"/>
              </w:rPr>
              <w:t>)(</w:t>
            </w:r>
            <w:r w:rsidRPr="006C7E21">
              <w:rPr>
                <w:rFonts w:ascii="Times New Roman" w:hAnsi="Times New Roman" w:cs="Times New Roman"/>
                <w:vertAlign w:val="superscript"/>
              </w:rPr>
              <w:t>8</w:t>
            </w:r>
            <w:r>
              <w:rPr>
                <w:rFonts w:ascii="Times New Roman" w:hAnsi="Times New Roman" w:cs="Times New Roman"/>
              </w:rPr>
              <w:t>)</w:t>
            </w:r>
          </w:p>
        </w:tc>
        <w:tc>
          <w:tcPr>
            <w:tcW w:w="2814" w:type="dxa"/>
          </w:tcPr>
          <w:p w14:paraId="70C6B4DB"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3,5 t/yıl değerini aşarsa geçerlidir. </w:t>
            </w:r>
          </w:p>
        </w:tc>
      </w:tr>
      <w:tr w:rsidR="006F0765" w:rsidRPr="00393115" w14:paraId="5F52C0DE" w14:textId="77777777" w:rsidTr="0082590D">
        <w:tc>
          <w:tcPr>
            <w:tcW w:w="9062" w:type="dxa"/>
            <w:gridSpan w:val="3"/>
          </w:tcPr>
          <w:p w14:paraId="50CB0209"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Biyokimyasal Oksijen İhtiyacı (BOİ) için bir MET-İES mevcut değildir. Gösterge olarak, biyolojik atık su arıtma tesisinden kaynaklanan atık sudaki yıllık ortalama BOİ</w:t>
            </w:r>
            <w:r w:rsidRPr="0082590D">
              <w:rPr>
                <w:rFonts w:ascii="Times New Roman" w:hAnsi="Times New Roman" w:cs="Times New Roman"/>
                <w:sz w:val="20"/>
                <w:szCs w:val="20"/>
                <w:vertAlign w:val="subscript"/>
              </w:rPr>
              <w:t>5</w:t>
            </w:r>
            <w:r w:rsidRPr="0082590D">
              <w:rPr>
                <w:rFonts w:ascii="Times New Roman" w:hAnsi="Times New Roman" w:cs="Times New Roman"/>
                <w:sz w:val="20"/>
                <w:szCs w:val="20"/>
              </w:rPr>
              <w:t xml:space="preserve"> seviyesi, genellikle ≤20 mg/L olacaktır.</w:t>
            </w:r>
          </w:p>
          <w:p w14:paraId="1719EAA4"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Ya TOKiçin olan MET-İES ya da KOİ için olan MET-İES geçerlidir. TOK, tercih edilen seçenektir, çünkü izlenmesi, çok toksik bileşiklerin kullanımına dayanmaz.</w:t>
            </w:r>
          </w:p>
          <w:p w14:paraId="584B411C"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Aralığın alt sınırına, birkaç atık su kolunun organik bileşik içerdiği ve/veya atık suyun çoğunlukla kolayca biyobozunur organik bileşik içerdiği durumlarda genel olarak ulaşılır.</w:t>
            </w:r>
          </w:p>
          <w:p w14:paraId="5A0DBD77"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4</w:t>
            </w:r>
            <w:r w:rsidRPr="0082590D">
              <w:rPr>
                <w:rFonts w:ascii="Times New Roman" w:hAnsi="Times New Roman" w:cs="Times New Roman"/>
                <w:sz w:val="20"/>
                <w:szCs w:val="20"/>
              </w:rPr>
              <w:t>) Aralığın üst sınırı, eğer aşağıdaki iki koşul da sağlanırsa, ikisi de yıllık ortalamalar olarak TOK için 100 mg/L’ye veya KOİ için 300 mg/L’ye kadar çıkabilir:</w:t>
            </w:r>
          </w:p>
          <w:p w14:paraId="5C2A6674"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A Koşulu: Yıllık ortalama olarak azaltım verimliliği ≥%90 (hem ön arıtma hem de son arıtma dahil).</w:t>
            </w:r>
          </w:p>
          <w:p w14:paraId="61A96361"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B Koşulu: Biyolojik arıtma kullanıldıysa, aşağıdaki kriterlerden en az biri sağlanır:</w:t>
            </w:r>
          </w:p>
          <w:p w14:paraId="3A566804"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Düşük yüklü biyolojik arıtma adımı kullanılır (≤0,25 kg KOİ/kg çamurun organik kuru içeriği). Bu, atık sudaki BOİ</w:t>
            </w:r>
            <w:r w:rsidRPr="0082590D">
              <w:rPr>
                <w:rFonts w:ascii="Times New Roman" w:hAnsi="Times New Roman" w:cs="Times New Roman"/>
                <w:sz w:val="20"/>
                <w:szCs w:val="20"/>
                <w:vertAlign w:val="subscript"/>
              </w:rPr>
              <w:t>5</w:t>
            </w:r>
            <w:r w:rsidRPr="0082590D">
              <w:rPr>
                <w:rFonts w:ascii="Times New Roman" w:hAnsi="Times New Roman" w:cs="Times New Roman"/>
                <w:sz w:val="20"/>
                <w:szCs w:val="20"/>
              </w:rPr>
              <w:t xml:space="preserve"> seviyesinin ≤20 mg/L olduğu anlamına gelir.</w:t>
            </w:r>
          </w:p>
          <w:p w14:paraId="1FE12AE3"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Nitrifikasyon kullanılır.</w:t>
            </w:r>
          </w:p>
          <w:p w14:paraId="1C36FA3E"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5</w:t>
            </w:r>
            <w:r w:rsidRPr="0082590D">
              <w:rPr>
                <w:rFonts w:ascii="Times New Roman" w:hAnsi="Times New Roman" w:cs="Times New Roman"/>
                <w:sz w:val="20"/>
                <w:szCs w:val="20"/>
              </w:rPr>
              <w:t>) Aralığın üst sınırı, aşağıdaki koşulların tümü sağlandığında uygulanamayabilir:</w:t>
            </w:r>
          </w:p>
          <w:p w14:paraId="042AE3B6"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A Koşulu: Yıllık ortalama olarak azaltım verimliliği ≥%95 (hem ön arıtma hem de son arıtma dahil).</w:t>
            </w:r>
          </w:p>
          <w:p w14:paraId="7C6E5FA8"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B Koşulu: (</w:t>
            </w:r>
            <w:r w:rsidRPr="0082590D">
              <w:rPr>
                <w:rFonts w:ascii="Times New Roman" w:hAnsi="Times New Roman" w:cs="Times New Roman"/>
                <w:sz w:val="20"/>
                <w:szCs w:val="20"/>
                <w:vertAlign w:val="superscript"/>
              </w:rPr>
              <w:t>4</w:t>
            </w:r>
            <w:r w:rsidRPr="0082590D">
              <w:rPr>
                <w:rFonts w:ascii="Times New Roman" w:hAnsi="Times New Roman" w:cs="Times New Roman"/>
                <w:sz w:val="20"/>
                <w:szCs w:val="20"/>
              </w:rPr>
              <w:t>) maddesindeki B koşulu.</w:t>
            </w:r>
          </w:p>
          <w:p w14:paraId="3158A61F"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 xml:space="preserve">-- C Koşulu: Son atık su arıtmasına giren su, şu özellikleri gösterir: yıllık ortalama ve tepkime vermeyen organik bileşiklerin yüksek bir oranı olarak </w:t>
            </w:r>
            <w:r w:rsidR="009D570E" w:rsidRPr="0082590D">
              <w:rPr>
                <w:rFonts w:ascii="Times New Roman" w:hAnsi="Times New Roman" w:cs="Times New Roman"/>
                <w:sz w:val="20"/>
                <w:szCs w:val="20"/>
              </w:rPr>
              <w:t>TOK</w:t>
            </w:r>
            <w:r w:rsidRPr="0082590D">
              <w:rPr>
                <w:rFonts w:ascii="Times New Roman" w:hAnsi="Times New Roman" w:cs="Times New Roman"/>
                <w:sz w:val="20"/>
                <w:szCs w:val="20"/>
              </w:rPr>
              <w:t>&gt;2 g/L (veya KOİ&gt;6 g/L).</w:t>
            </w:r>
          </w:p>
          <w:p w14:paraId="30E9B0EE"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6</w:t>
            </w:r>
            <w:r w:rsidRPr="0082590D">
              <w:rPr>
                <w:rFonts w:ascii="Times New Roman" w:hAnsi="Times New Roman" w:cs="Times New Roman"/>
                <w:sz w:val="20"/>
                <w:szCs w:val="20"/>
              </w:rPr>
              <w:t>) Aralığın üst sınırı, esas kirletici yükünün metilselüloz üretiminden kaynaklandığı durumlarda uygulanamayabilir.</w:t>
            </w:r>
          </w:p>
          <w:p w14:paraId="103560BF"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7</w:t>
            </w:r>
            <w:r w:rsidRPr="0082590D">
              <w:rPr>
                <w:rFonts w:ascii="Times New Roman" w:hAnsi="Times New Roman" w:cs="Times New Roman"/>
                <w:sz w:val="20"/>
                <w:szCs w:val="20"/>
              </w:rPr>
              <w:t>) Aralığın alt sınırı, filtrasyon (örn. kum filtrasyonu, mikrofiltrasyon, ultrafiltrasyon, membran biyoreaktör) kullanıldığında genellikle ulaşılabilirken aralığın üst sınırı, sadece sedimantasyon kullanıldığında genellikle ulaşılabilir.</w:t>
            </w:r>
          </w:p>
          <w:p w14:paraId="6ACD4165" w14:textId="77777777" w:rsidR="006F0765" w:rsidRPr="00797382" w:rsidRDefault="006F0765" w:rsidP="000D79D6">
            <w:pPr>
              <w:jc w:val="both"/>
              <w:rPr>
                <w:rFonts w:ascii="Times New Roman" w:hAnsi="Times New Roman" w:cs="Times New Roman"/>
                <w:i/>
                <w:iCs/>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8</w:t>
            </w:r>
            <w:r w:rsidRPr="0082590D">
              <w:rPr>
                <w:rFonts w:ascii="Times New Roman" w:hAnsi="Times New Roman" w:cs="Times New Roman"/>
                <w:sz w:val="20"/>
                <w:szCs w:val="20"/>
              </w:rPr>
              <w:t>) Bu MET-İES, esas kirletici yükünün Solvay prosesi ile soda külü üretiminden veya titanyum dioksit üretiminden kaynaklandığı durumlarda uygulanamayabilir.</w:t>
            </w:r>
          </w:p>
        </w:tc>
      </w:tr>
    </w:tbl>
    <w:p w14:paraId="04BDE430" w14:textId="77777777" w:rsidR="006F0765" w:rsidRDefault="006F0765" w:rsidP="006F0765">
      <w:pPr>
        <w:spacing w:after="120" w:line="276" w:lineRule="auto"/>
        <w:jc w:val="both"/>
        <w:rPr>
          <w:rFonts w:ascii="Times New Roman" w:hAnsi="Times New Roman" w:cs="Times New Roman"/>
          <w:sz w:val="24"/>
          <w:szCs w:val="24"/>
        </w:rPr>
      </w:pPr>
    </w:p>
    <w:p w14:paraId="03E7A942" w14:textId="77777777" w:rsidR="006F0765" w:rsidRDefault="006F0765" w:rsidP="006F0765">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2</w:t>
      </w:r>
    </w:p>
    <w:p w14:paraId="6954F5B5" w14:textId="77777777" w:rsidR="006F0765" w:rsidRPr="00C418A0" w:rsidRDefault="006F0765" w:rsidP="006F0765">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Alıcı su kütlesine olan doğrudan besin maddesi emisyonlarına yönelik MET-İES’ler</w:t>
      </w:r>
    </w:p>
    <w:tbl>
      <w:tblPr>
        <w:tblStyle w:val="TabloKlavuzu"/>
        <w:tblW w:w="0" w:type="auto"/>
        <w:tblLook w:val="04A0" w:firstRow="1" w:lastRow="0" w:firstColumn="1" w:lastColumn="0" w:noHBand="0" w:noVBand="1"/>
      </w:tblPr>
      <w:tblGrid>
        <w:gridCol w:w="3439"/>
        <w:gridCol w:w="2809"/>
        <w:gridCol w:w="2814"/>
      </w:tblGrid>
      <w:tr w:rsidR="006F0765" w:rsidRPr="00393115" w14:paraId="4F99C0B5" w14:textId="77777777" w:rsidTr="0082590D">
        <w:tc>
          <w:tcPr>
            <w:tcW w:w="3439" w:type="dxa"/>
          </w:tcPr>
          <w:p w14:paraId="7B630B73"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Parametre</w:t>
            </w:r>
          </w:p>
        </w:tc>
        <w:tc>
          <w:tcPr>
            <w:tcW w:w="2809" w:type="dxa"/>
          </w:tcPr>
          <w:p w14:paraId="21BB2DCB" w14:textId="77777777" w:rsidR="006F0765" w:rsidRDefault="006F0765" w:rsidP="000D79D6">
            <w:pPr>
              <w:jc w:val="center"/>
              <w:rPr>
                <w:rFonts w:ascii="Times New Roman" w:hAnsi="Times New Roman" w:cs="Times New Roman"/>
                <w:b/>
                <w:bCs/>
              </w:rPr>
            </w:pPr>
            <w:r>
              <w:rPr>
                <w:rFonts w:ascii="Times New Roman" w:hAnsi="Times New Roman" w:cs="Times New Roman"/>
                <w:b/>
                <w:bCs/>
              </w:rPr>
              <w:t>MET-İES</w:t>
            </w:r>
          </w:p>
          <w:p w14:paraId="24D897B2" w14:textId="77777777" w:rsidR="006F0765" w:rsidRDefault="006F0765" w:rsidP="000D79D6">
            <w:pPr>
              <w:jc w:val="center"/>
              <w:rPr>
                <w:rFonts w:ascii="Times New Roman" w:hAnsi="Times New Roman" w:cs="Times New Roman"/>
                <w:b/>
                <w:bCs/>
              </w:rPr>
            </w:pPr>
            <w:r>
              <w:rPr>
                <w:rFonts w:ascii="Times New Roman" w:hAnsi="Times New Roman" w:cs="Times New Roman"/>
                <w:b/>
                <w:bCs/>
              </w:rPr>
              <w:t>(yıllık ortalama)</w:t>
            </w:r>
          </w:p>
        </w:tc>
        <w:tc>
          <w:tcPr>
            <w:tcW w:w="2814" w:type="dxa"/>
          </w:tcPr>
          <w:p w14:paraId="24403E10"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Koşullar</w:t>
            </w:r>
          </w:p>
        </w:tc>
      </w:tr>
      <w:tr w:rsidR="006F0765" w:rsidRPr="00393115" w14:paraId="764D56AE" w14:textId="77777777" w:rsidTr="0082590D">
        <w:tc>
          <w:tcPr>
            <w:tcW w:w="3439" w:type="dxa"/>
          </w:tcPr>
          <w:p w14:paraId="5882B1E0" w14:textId="77777777" w:rsidR="006F0765" w:rsidRPr="00AD6088" w:rsidRDefault="006F0765" w:rsidP="000D79D6">
            <w:pPr>
              <w:jc w:val="both"/>
              <w:rPr>
                <w:rFonts w:ascii="Times New Roman" w:hAnsi="Times New Roman" w:cs="Times New Roman"/>
              </w:rPr>
            </w:pPr>
            <w:r>
              <w:rPr>
                <w:rFonts w:ascii="Times New Roman" w:hAnsi="Times New Roman" w:cs="Times New Roman"/>
              </w:rPr>
              <w:t>Toplam Azot (TN) (</w:t>
            </w:r>
            <w:r w:rsidRPr="00AD6088">
              <w:rPr>
                <w:rFonts w:ascii="Times New Roman" w:hAnsi="Times New Roman" w:cs="Times New Roman"/>
                <w:vertAlign w:val="superscript"/>
              </w:rPr>
              <w:t>1</w:t>
            </w:r>
            <w:r>
              <w:rPr>
                <w:rFonts w:ascii="Times New Roman" w:hAnsi="Times New Roman" w:cs="Times New Roman"/>
              </w:rPr>
              <w:t>)</w:t>
            </w:r>
          </w:p>
        </w:tc>
        <w:tc>
          <w:tcPr>
            <w:tcW w:w="2809" w:type="dxa"/>
          </w:tcPr>
          <w:p w14:paraId="28EEBB36"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5,0-25 mg/L (</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vertAlign w:val="superscript"/>
              </w:rPr>
              <w:t>3</w:t>
            </w:r>
            <w:r>
              <w:rPr>
                <w:rFonts w:ascii="Times New Roman" w:hAnsi="Times New Roman" w:cs="Times New Roman"/>
              </w:rPr>
              <w:t>)</w:t>
            </w:r>
          </w:p>
        </w:tc>
        <w:tc>
          <w:tcPr>
            <w:tcW w:w="2814" w:type="dxa"/>
          </w:tcPr>
          <w:p w14:paraId="6990E27A"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2,5 t/yıl değerini aşarsa geçerlidir. </w:t>
            </w:r>
          </w:p>
        </w:tc>
      </w:tr>
      <w:tr w:rsidR="006F0765" w:rsidRPr="00393115" w14:paraId="64A0BBF1" w14:textId="77777777" w:rsidTr="0082590D">
        <w:tc>
          <w:tcPr>
            <w:tcW w:w="3439" w:type="dxa"/>
          </w:tcPr>
          <w:p w14:paraId="100354CA" w14:textId="77777777" w:rsidR="006F0765" w:rsidRPr="00AD6088" w:rsidRDefault="006F0765" w:rsidP="000D79D6">
            <w:pPr>
              <w:jc w:val="both"/>
              <w:rPr>
                <w:rFonts w:ascii="Times New Roman" w:hAnsi="Times New Roman" w:cs="Times New Roman"/>
              </w:rPr>
            </w:pPr>
            <w:r>
              <w:rPr>
                <w:rFonts w:ascii="Times New Roman" w:hAnsi="Times New Roman" w:cs="Times New Roman"/>
              </w:rPr>
              <w:t>Toplam İnorganik Azot (N</w:t>
            </w:r>
            <w:r>
              <w:rPr>
                <w:rFonts w:ascii="Times New Roman" w:hAnsi="Times New Roman" w:cs="Times New Roman"/>
                <w:vertAlign w:val="subscript"/>
              </w:rPr>
              <w:t>inorg</w:t>
            </w:r>
            <w:r>
              <w:rPr>
                <w:rFonts w:ascii="Times New Roman" w:hAnsi="Times New Roman" w:cs="Times New Roman"/>
              </w:rPr>
              <w:t>) (</w:t>
            </w:r>
            <w:r w:rsidRPr="00AD6088">
              <w:rPr>
                <w:rFonts w:ascii="Times New Roman" w:hAnsi="Times New Roman" w:cs="Times New Roman"/>
                <w:vertAlign w:val="superscript"/>
              </w:rPr>
              <w:t>1</w:t>
            </w:r>
            <w:r>
              <w:rPr>
                <w:rFonts w:ascii="Times New Roman" w:hAnsi="Times New Roman" w:cs="Times New Roman"/>
              </w:rPr>
              <w:t>)</w:t>
            </w:r>
          </w:p>
        </w:tc>
        <w:tc>
          <w:tcPr>
            <w:tcW w:w="2809" w:type="dxa"/>
          </w:tcPr>
          <w:p w14:paraId="6AD87B5C"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5,0-20 mg/L (</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vertAlign w:val="superscript"/>
              </w:rPr>
              <w:t>3</w:t>
            </w:r>
            <w:r>
              <w:rPr>
                <w:rFonts w:ascii="Times New Roman" w:hAnsi="Times New Roman" w:cs="Times New Roman"/>
              </w:rPr>
              <w:t>)</w:t>
            </w:r>
          </w:p>
        </w:tc>
        <w:tc>
          <w:tcPr>
            <w:tcW w:w="2814" w:type="dxa"/>
          </w:tcPr>
          <w:p w14:paraId="0E01582F"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2,0 t/yıl değerini aşarsa geçerlidir. </w:t>
            </w:r>
          </w:p>
        </w:tc>
      </w:tr>
      <w:tr w:rsidR="006F0765" w:rsidRPr="00393115" w14:paraId="1E58A562" w14:textId="77777777" w:rsidTr="0082590D">
        <w:tc>
          <w:tcPr>
            <w:tcW w:w="3439" w:type="dxa"/>
          </w:tcPr>
          <w:p w14:paraId="05570796" w14:textId="77777777" w:rsidR="006F0765" w:rsidRPr="00AD6088" w:rsidRDefault="006F0765" w:rsidP="000D79D6">
            <w:pPr>
              <w:jc w:val="both"/>
              <w:rPr>
                <w:rFonts w:ascii="Times New Roman" w:hAnsi="Times New Roman" w:cs="Times New Roman"/>
              </w:rPr>
            </w:pPr>
            <w:r>
              <w:rPr>
                <w:rFonts w:ascii="Times New Roman" w:hAnsi="Times New Roman" w:cs="Times New Roman"/>
              </w:rPr>
              <w:lastRenderedPageBreak/>
              <w:t>Toplam Fosfor (TP)</w:t>
            </w:r>
          </w:p>
        </w:tc>
        <w:tc>
          <w:tcPr>
            <w:tcW w:w="2809" w:type="dxa"/>
          </w:tcPr>
          <w:p w14:paraId="76CAC2B5"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0,50-3,0 mg/L (</w:t>
            </w:r>
            <w:r>
              <w:rPr>
                <w:rFonts w:ascii="Times New Roman" w:hAnsi="Times New Roman" w:cs="Times New Roman"/>
                <w:vertAlign w:val="superscript"/>
              </w:rPr>
              <w:t>4</w:t>
            </w:r>
            <w:r>
              <w:rPr>
                <w:rFonts w:ascii="Times New Roman" w:hAnsi="Times New Roman" w:cs="Times New Roman"/>
              </w:rPr>
              <w:t>)</w:t>
            </w:r>
          </w:p>
        </w:tc>
        <w:tc>
          <w:tcPr>
            <w:tcW w:w="2814" w:type="dxa"/>
          </w:tcPr>
          <w:p w14:paraId="5B9C82F4"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300 kg/yıl değerini aşarsa geçerlidir. </w:t>
            </w:r>
          </w:p>
        </w:tc>
      </w:tr>
      <w:tr w:rsidR="006F0765" w:rsidRPr="00393115" w14:paraId="799BB1C0" w14:textId="77777777" w:rsidTr="0082590D">
        <w:tc>
          <w:tcPr>
            <w:tcW w:w="9062" w:type="dxa"/>
            <w:gridSpan w:val="3"/>
          </w:tcPr>
          <w:p w14:paraId="49CD52CE"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Ya toplam azot için olan MET-İES ya da toplam inorganik azot için olan MET-İES geçerlidir.</w:t>
            </w:r>
          </w:p>
          <w:p w14:paraId="64EE7722"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TN ve N</w:t>
            </w:r>
            <w:r w:rsidRPr="0082590D">
              <w:rPr>
                <w:rFonts w:ascii="Times New Roman" w:hAnsi="Times New Roman" w:cs="Times New Roman"/>
                <w:sz w:val="20"/>
                <w:szCs w:val="20"/>
                <w:vertAlign w:val="subscript"/>
              </w:rPr>
              <w:t>inorg</w:t>
            </w:r>
            <w:r w:rsidRPr="0082590D">
              <w:rPr>
                <w:rFonts w:ascii="Times New Roman" w:hAnsi="Times New Roman" w:cs="Times New Roman"/>
                <w:sz w:val="20"/>
                <w:szCs w:val="20"/>
              </w:rPr>
              <w:t xml:space="preserve"> için olan MET-İES’ler, biyolojik atık su arıtma tesisi olmayan tesislere uygulanmaz. Aralığın alt sınırına, biyolojik atık su arıtma tesisine giren suyun düşük seviyelerde azot içermesi ve/veya nitrifikasyonun/denitrifikasyonun optimum koşullar altında gerçekleştirilebilmesi durumunda genellikle ulaşılır.</w:t>
            </w:r>
          </w:p>
          <w:p w14:paraId="2B5D4C70"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Azaltım verimliliği, yıllık ortalama olarak ≥%70 ise (hem ön arıtma hem de son arıtma dahil), aralığın üst sınırı, yıllık ortalamalar olarak TN için 40 mg/L’ye veya N</w:t>
            </w:r>
            <w:r w:rsidRPr="0082590D">
              <w:rPr>
                <w:rFonts w:ascii="Times New Roman" w:hAnsi="Times New Roman" w:cs="Times New Roman"/>
                <w:sz w:val="20"/>
                <w:szCs w:val="20"/>
                <w:vertAlign w:val="subscript"/>
              </w:rPr>
              <w:t>inorg</w:t>
            </w:r>
            <w:r w:rsidRPr="0082590D">
              <w:rPr>
                <w:rFonts w:ascii="Times New Roman" w:hAnsi="Times New Roman" w:cs="Times New Roman"/>
                <w:sz w:val="20"/>
                <w:szCs w:val="20"/>
              </w:rPr>
              <w:t xml:space="preserve"> için 35 mg/L’ye kadar daha yüksek olabilir.</w:t>
            </w:r>
          </w:p>
          <w:p w14:paraId="354A2C8B"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4</w:t>
            </w:r>
            <w:r w:rsidRPr="0082590D">
              <w:rPr>
                <w:rFonts w:ascii="Times New Roman" w:hAnsi="Times New Roman" w:cs="Times New Roman"/>
                <w:sz w:val="20"/>
                <w:szCs w:val="20"/>
              </w:rPr>
              <w:t>) Aralığın alt sınırına, biyolojik atık su arıtma tesisinin uygun bir şekilde çalışması için fosfor eklenmesi veya fosforun esas olarak ısıtma veya soğutma sistemlerinden kaynaklanması durumunda genellikle ulaşılır. Aralığın üst sınırına ise, tesis tarafından fosfor içerikli bileşikler üretilmesi durumunda ulaşılır.</w:t>
            </w:r>
          </w:p>
        </w:tc>
      </w:tr>
    </w:tbl>
    <w:p w14:paraId="64FF0A1C" w14:textId="77777777" w:rsidR="006F0765" w:rsidRDefault="006F0765" w:rsidP="006F0765">
      <w:pPr>
        <w:spacing w:after="120" w:line="276" w:lineRule="auto"/>
        <w:jc w:val="both"/>
        <w:rPr>
          <w:rFonts w:ascii="Times New Roman" w:hAnsi="Times New Roman" w:cs="Times New Roman"/>
          <w:sz w:val="24"/>
          <w:szCs w:val="24"/>
        </w:rPr>
      </w:pPr>
    </w:p>
    <w:p w14:paraId="2733BBA6" w14:textId="77777777" w:rsidR="006F0765" w:rsidRDefault="006F0765" w:rsidP="006F0765">
      <w:pPr>
        <w:spacing w:after="120" w:line="276" w:lineRule="auto"/>
        <w:jc w:val="center"/>
        <w:rPr>
          <w:rFonts w:ascii="Times New Roman" w:hAnsi="Times New Roman" w:cs="Times New Roman"/>
          <w:i/>
          <w:iCs/>
          <w:sz w:val="24"/>
          <w:szCs w:val="24"/>
        </w:rPr>
      </w:pPr>
      <w:r>
        <w:rPr>
          <w:rFonts w:ascii="Times New Roman" w:hAnsi="Times New Roman" w:cs="Times New Roman"/>
          <w:i/>
          <w:iCs/>
          <w:sz w:val="24"/>
          <w:szCs w:val="24"/>
        </w:rPr>
        <w:t>Tablo 3</w:t>
      </w:r>
    </w:p>
    <w:p w14:paraId="06B2A33A" w14:textId="77777777" w:rsidR="006F0765" w:rsidRPr="00C21578" w:rsidRDefault="006F0765" w:rsidP="006F0765">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Alıcı su kütlesine olan doğrudan AOX ve metal emisyonlarına yönelik MET-İES’ler</w:t>
      </w:r>
    </w:p>
    <w:tbl>
      <w:tblPr>
        <w:tblStyle w:val="TabloKlavuzu"/>
        <w:tblW w:w="0" w:type="auto"/>
        <w:tblLook w:val="04A0" w:firstRow="1" w:lastRow="0" w:firstColumn="1" w:lastColumn="0" w:noHBand="0" w:noVBand="1"/>
      </w:tblPr>
      <w:tblGrid>
        <w:gridCol w:w="3439"/>
        <w:gridCol w:w="2809"/>
        <w:gridCol w:w="2814"/>
      </w:tblGrid>
      <w:tr w:rsidR="006F0765" w:rsidRPr="00393115" w14:paraId="499112A6" w14:textId="77777777" w:rsidTr="0082590D">
        <w:tc>
          <w:tcPr>
            <w:tcW w:w="3439" w:type="dxa"/>
          </w:tcPr>
          <w:p w14:paraId="0E2CAC55"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Parametre</w:t>
            </w:r>
          </w:p>
        </w:tc>
        <w:tc>
          <w:tcPr>
            <w:tcW w:w="2809" w:type="dxa"/>
          </w:tcPr>
          <w:p w14:paraId="62DBFE8F" w14:textId="77777777" w:rsidR="006F0765" w:rsidRDefault="006F0765" w:rsidP="000D79D6">
            <w:pPr>
              <w:jc w:val="center"/>
              <w:rPr>
                <w:rFonts w:ascii="Times New Roman" w:hAnsi="Times New Roman" w:cs="Times New Roman"/>
                <w:b/>
                <w:bCs/>
              </w:rPr>
            </w:pPr>
            <w:r>
              <w:rPr>
                <w:rFonts w:ascii="Times New Roman" w:hAnsi="Times New Roman" w:cs="Times New Roman"/>
                <w:b/>
                <w:bCs/>
              </w:rPr>
              <w:t>MET-İES</w:t>
            </w:r>
          </w:p>
          <w:p w14:paraId="2CC1B14E" w14:textId="77777777" w:rsidR="006F0765" w:rsidRDefault="006F0765" w:rsidP="000D79D6">
            <w:pPr>
              <w:jc w:val="center"/>
              <w:rPr>
                <w:rFonts w:ascii="Times New Roman" w:hAnsi="Times New Roman" w:cs="Times New Roman"/>
                <w:b/>
                <w:bCs/>
              </w:rPr>
            </w:pPr>
            <w:r>
              <w:rPr>
                <w:rFonts w:ascii="Times New Roman" w:hAnsi="Times New Roman" w:cs="Times New Roman"/>
                <w:b/>
                <w:bCs/>
              </w:rPr>
              <w:t>(yıllık ortalama)</w:t>
            </w:r>
          </w:p>
        </w:tc>
        <w:tc>
          <w:tcPr>
            <w:tcW w:w="2814" w:type="dxa"/>
          </w:tcPr>
          <w:p w14:paraId="1DBBD2C2"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Koşullar</w:t>
            </w:r>
          </w:p>
        </w:tc>
      </w:tr>
      <w:tr w:rsidR="006F0765" w:rsidRPr="00393115" w14:paraId="544BCA2F" w14:textId="77777777" w:rsidTr="0082590D">
        <w:tc>
          <w:tcPr>
            <w:tcW w:w="3439" w:type="dxa"/>
          </w:tcPr>
          <w:p w14:paraId="5D8550A8" w14:textId="77777777" w:rsidR="006F0765" w:rsidRPr="00AD6088" w:rsidRDefault="006F0765" w:rsidP="000D79D6">
            <w:pPr>
              <w:jc w:val="both"/>
              <w:rPr>
                <w:rFonts w:ascii="Times New Roman" w:hAnsi="Times New Roman" w:cs="Times New Roman"/>
              </w:rPr>
            </w:pPr>
            <w:r>
              <w:rPr>
                <w:rFonts w:ascii="Times New Roman" w:hAnsi="Times New Roman" w:cs="Times New Roman"/>
              </w:rPr>
              <w:t>Adsorplanabilir Organik Bağlı Halojenler (AOX)</w:t>
            </w:r>
          </w:p>
        </w:tc>
        <w:tc>
          <w:tcPr>
            <w:tcW w:w="2809" w:type="dxa"/>
          </w:tcPr>
          <w:p w14:paraId="5E741B84"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0,20-1,0 mg/L (</w:t>
            </w:r>
            <w:r>
              <w:rPr>
                <w:rFonts w:ascii="Times New Roman" w:hAnsi="Times New Roman" w:cs="Times New Roman"/>
                <w:vertAlign w:val="superscript"/>
              </w:rPr>
              <w:t>1</w:t>
            </w:r>
            <w:r>
              <w:rPr>
                <w:rFonts w:ascii="Times New Roman" w:hAnsi="Times New Roman" w:cs="Times New Roman"/>
              </w:rPr>
              <w:t>)(</w:t>
            </w:r>
            <w:r>
              <w:rPr>
                <w:rFonts w:ascii="Times New Roman" w:hAnsi="Times New Roman" w:cs="Times New Roman"/>
                <w:vertAlign w:val="superscript"/>
              </w:rPr>
              <w:t>2</w:t>
            </w:r>
            <w:r>
              <w:rPr>
                <w:rFonts w:ascii="Times New Roman" w:hAnsi="Times New Roman" w:cs="Times New Roman"/>
              </w:rPr>
              <w:t>)</w:t>
            </w:r>
          </w:p>
        </w:tc>
        <w:tc>
          <w:tcPr>
            <w:tcW w:w="2814" w:type="dxa"/>
          </w:tcPr>
          <w:p w14:paraId="275072AB"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100 kg/yıl değerini aşarsa geçerlidir. </w:t>
            </w:r>
          </w:p>
        </w:tc>
      </w:tr>
      <w:tr w:rsidR="006F0765" w:rsidRPr="00393115" w14:paraId="1CA2DD79" w14:textId="77777777" w:rsidTr="0082590D">
        <w:tc>
          <w:tcPr>
            <w:tcW w:w="3439" w:type="dxa"/>
          </w:tcPr>
          <w:p w14:paraId="7A985286" w14:textId="77777777" w:rsidR="006F0765" w:rsidRPr="00AD6088" w:rsidRDefault="006F0765" w:rsidP="000D79D6">
            <w:pPr>
              <w:jc w:val="both"/>
              <w:rPr>
                <w:rFonts w:ascii="Times New Roman" w:hAnsi="Times New Roman" w:cs="Times New Roman"/>
              </w:rPr>
            </w:pPr>
            <w:r>
              <w:rPr>
                <w:rFonts w:ascii="Times New Roman" w:hAnsi="Times New Roman" w:cs="Times New Roman"/>
              </w:rPr>
              <w:t>Krom (Cr olarak ifade edilir)</w:t>
            </w:r>
          </w:p>
        </w:tc>
        <w:tc>
          <w:tcPr>
            <w:tcW w:w="2809" w:type="dxa"/>
          </w:tcPr>
          <w:p w14:paraId="40A2DCA2"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5,0-25 µg/L (</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vertAlign w:val="superscript"/>
              </w:rPr>
              <w:t>4</w:t>
            </w:r>
            <w:r>
              <w:rPr>
                <w:rFonts w:ascii="Times New Roman" w:hAnsi="Times New Roman" w:cs="Times New Roman"/>
              </w:rPr>
              <w:t>)(</w:t>
            </w:r>
            <w:r>
              <w:rPr>
                <w:rFonts w:ascii="Times New Roman" w:hAnsi="Times New Roman" w:cs="Times New Roman"/>
                <w:vertAlign w:val="superscript"/>
              </w:rPr>
              <w:t>5</w:t>
            </w:r>
            <w:r>
              <w:rPr>
                <w:rFonts w:ascii="Times New Roman" w:hAnsi="Times New Roman" w:cs="Times New Roman"/>
              </w:rPr>
              <w:t>)(</w:t>
            </w:r>
            <w:r>
              <w:rPr>
                <w:rFonts w:ascii="Times New Roman" w:hAnsi="Times New Roman" w:cs="Times New Roman"/>
                <w:vertAlign w:val="superscript"/>
              </w:rPr>
              <w:t>6</w:t>
            </w:r>
            <w:r>
              <w:rPr>
                <w:rFonts w:ascii="Times New Roman" w:hAnsi="Times New Roman" w:cs="Times New Roman"/>
              </w:rPr>
              <w:t>)</w:t>
            </w:r>
          </w:p>
        </w:tc>
        <w:tc>
          <w:tcPr>
            <w:tcW w:w="2814" w:type="dxa"/>
          </w:tcPr>
          <w:p w14:paraId="42F719BA"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2,5 kg/yıl değerini aşarsa geçerlidir. </w:t>
            </w:r>
          </w:p>
        </w:tc>
      </w:tr>
      <w:tr w:rsidR="006F0765" w:rsidRPr="00393115" w14:paraId="10342A98" w14:textId="77777777" w:rsidTr="0082590D">
        <w:tc>
          <w:tcPr>
            <w:tcW w:w="3439" w:type="dxa"/>
          </w:tcPr>
          <w:p w14:paraId="2F1729D3" w14:textId="77777777" w:rsidR="006F0765" w:rsidRPr="00AD6088" w:rsidRDefault="006F0765" w:rsidP="000D79D6">
            <w:pPr>
              <w:jc w:val="both"/>
              <w:rPr>
                <w:rFonts w:ascii="Times New Roman" w:hAnsi="Times New Roman" w:cs="Times New Roman"/>
              </w:rPr>
            </w:pPr>
            <w:r>
              <w:rPr>
                <w:rFonts w:ascii="Times New Roman" w:hAnsi="Times New Roman" w:cs="Times New Roman"/>
              </w:rPr>
              <w:t>Bakır (Cu olarak ifade edilir)</w:t>
            </w:r>
          </w:p>
        </w:tc>
        <w:tc>
          <w:tcPr>
            <w:tcW w:w="2809" w:type="dxa"/>
          </w:tcPr>
          <w:p w14:paraId="26AC4657" w14:textId="77777777" w:rsidR="006F0765" w:rsidRPr="00AD6088" w:rsidRDefault="006F0765" w:rsidP="000D79D6">
            <w:pPr>
              <w:jc w:val="center"/>
              <w:rPr>
                <w:rFonts w:ascii="Times New Roman" w:hAnsi="Times New Roman" w:cs="Times New Roman"/>
              </w:rPr>
            </w:pPr>
            <w:r>
              <w:rPr>
                <w:rFonts w:ascii="Times New Roman" w:hAnsi="Times New Roman" w:cs="Times New Roman"/>
              </w:rPr>
              <w:t>5,0-50 µg/L (</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vertAlign w:val="superscript"/>
              </w:rPr>
              <w:t>4</w:t>
            </w:r>
            <w:r>
              <w:rPr>
                <w:rFonts w:ascii="Times New Roman" w:hAnsi="Times New Roman" w:cs="Times New Roman"/>
              </w:rPr>
              <w:t>)(</w:t>
            </w:r>
            <w:r>
              <w:rPr>
                <w:rFonts w:ascii="Times New Roman" w:hAnsi="Times New Roman" w:cs="Times New Roman"/>
                <w:vertAlign w:val="superscript"/>
              </w:rPr>
              <w:t>5</w:t>
            </w:r>
            <w:r>
              <w:rPr>
                <w:rFonts w:ascii="Times New Roman" w:hAnsi="Times New Roman" w:cs="Times New Roman"/>
              </w:rPr>
              <w:t>)(</w:t>
            </w:r>
            <w:r>
              <w:rPr>
                <w:rFonts w:ascii="Times New Roman" w:hAnsi="Times New Roman" w:cs="Times New Roman"/>
                <w:vertAlign w:val="superscript"/>
              </w:rPr>
              <w:t>7</w:t>
            </w:r>
            <w:r>
              <w:rPr>
                <w:rFonts w:ascii="Times New Roman" w:hAnsi="Times New Roman" w:cs="Times New Roman"/>
              </w:rPr>
              <w:t>)</w:t>
            </w:r>
          </w:p>
        </w:tc>
        <w:tc>
          <w:tcPr>
            <w:tcW w:w="2814" w:type="dxa"/>
          </w:tcPr>
          <w:p w14:paraId="3A134468" w14:textId="77777777" w:rsidR="006F0765" w:rsidRPr="00AD6088" w:rsidRDefault="006F0765" w:rsidP="000D79D6">
            <w:pPr>
              <w:jc w:val="both"/>
              <w:rPr>
                <w:rFonts w:ascii="Times New Roman" w:hAnsi="Times New Roman" w:cs="Times New Roman"/>
              </w:rPr>
            </w:pPr>
            <w:r>
              <w:rPr>
                <w:rFonts w:ascii="Times New Roman" w:hAnsi="Times New Roman" w:cs="Times New Roman"/>
              </w:rPr>
              <w:t xml:space="preserve">MET-İES, emisyon 5,0 kg/yıl değerini aşarsa geçerlidir. </w:t>
            </w:r>
          </w:p>
        </w:tc>
      </w:tr>
      <w:tr w:rsidR="006F0765" w:rsidRPr="00393115" w14:paraId="690899D2" w14:textId="77777777" w:rsidTr="0082590D">
        <w:tc>
          <w:tcPr>
            <w:tcW w:w="3439" w:type="dxa"/>
          </w:tcPr>
          <w:p w14:paraId="3C52B068" w14:textId="77777777" w:rsidR="006F0765" w:rsidRDefault="006F0765" w:rsidP="000D79D6">
            <w:pPr>
              <w:jc w:val="both"/>
              <w:rPr>
                <w:rFonts w:ascii="Times New Roman" w:hAnsi="Times New Roman" w:cs="Times New Roman"/>
              </w:rPr>
            </w:pPr>
            <w:r>
              <w:rPr>
                <w:rFonts w:ascii="Times New Roman" w:hAnsi="Times New Roman" w:cs="Times New Roman"/>
              </w:rPr>
              <w:t>Nikel (Ni olarak ifade edilir)</w:t>
            </w:r>
          </w:p>
        </w:tc>
        <w:tc>
          <w:tcPr>
            <w:tcW w:w="2809" w:type="dxa"/>
          </w:tcPr>
          <w:p w14:paraId="4B465F8C" w14:textId="77777777" w:rsidR="006F0765" w:rsidRDefault="006F0765" w:rsidP="000D79D6">
            <w:pPr>
              <w:jc w:val="center"/>
              <w:rPr>
                <w:rFonts w:ascii="Times New Roman" w:hAnsi="Times New Roman" w:cs="Times New Roman"/>
              </w:rPr>
            </w:pPr>
            <w:r>
              <w:rPr>
                <w:rFonts w:ascii="Times New Roman" w:hAnsi="Times New Roman" w:cs="Times New Roman"/>
              </w:rPr>
              <w:t>5,0-50 µg/L (</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vertAlign w:val="superscript"/>
              </w:rPr>
              <w:t>4</w:t>
            </w:r>
            <w:r>
              <w:rPr>
                <w:rFonts w:ascii="Times New Roman" w:hAnsi="Times New Roman" w:cs="Times New Roman"/>
              </w:rPr>
              <w:t>)(</w:t>
            </w:r>
            <w:r>
              <w:rPr>
                <w:rFonts w:ascii="Times New Roman" w:hAnsi="Times New Roman" w:cs="Times New Roman"/>
                <w:vertAlign w:val="superscript"/>
              </w:rPr>
              <w:t>5</w:t>
            </w:r>
            <w:r>
              <w:rPr>
                <w:rFonts w:ascii="Times New Roman" w:hAnsi="Times New Roman" w:cs="Times New Roman"/>
              </w:rPr>
              <w:t>)</w:t>
            </w:r>
          </w:p>
        </w:tc>
        <w:tc>
          <w:tcPr>
            <w:tcW w:w="2814" w:type="dxa"/>
          </w:tcPr>
          <w:p w14:paraId="65CC4890" w14:textId="77777777" w:rsidR="006F0765" w:rsidRDefault="006F0765" w:rsidP="000D79D6">
            <w:pPr>
              <w:jc w:val="both"/>
              <w:rPr>
                <w:rFonts w:ascii="Times New Roman" w:hAnsi="Times New Roman" w:cs="Times New Roman"/>
              </w:rPr>
            </w:pPr>
            <w:r>
              <w:rPr>
                <w:rFonts w:ascii="Times New Roman" w:hAnsi="Times New Roman" w:cs="Times New Roman"/>
              </w:rPr>
              <w:t xml:space="preserve">MET-İES, emisyon 5,0 kg/yıl değerini aşarsa geçerlidir. </w:t>
            </w:r>
          </w:p>
        </w:tc>
      </w:tr>
      <w:tr w:rsidR="006F0765" w:rsidRPr="00393115" w14:paraId="19E9CE9F" w14:textId="77777777" w:rsidTr="0082590D">
        <w:tc>
          <w:tcPr>
            <w:tcW w:w="3439" w:type="dxa"/>
          </w:tcPr>
          <w:p w14:paraId="0A020182" w14:textId="77777777" w:rsidR="006F0765" w:rsidRDefault="006F0765" w:rsidP="000D79D6">
            <w:pPr>
              <w:jc w:val="both"/>
              <w:rPr>
                <w:rFonts w:ascii="Times New Roman" w:hAnsi="Times New Roman" w:cs="Times New Roman"/>
              </w:rPr>
            </w:pPr>
            <w:r>
              <w:rPr>
                <w:rFonts w:ascii="Times New Roman" w:hAnsi="Times New Roman" w:cs="Times New Roman"/>
              </w:rPr>
              <w:t>Çinko (Zn olarak ifade edilir)</w:t>
            </w:r>
          </w:p>
        </w:tc>
        <w:tc>
          <w:tcPr>
            <w:tcW w:w="2809" w:type="dxa"/>
          </w:tcPr>
          <w:p w14:paraId="0A008124" w14:textId="77777777" w:rsidR="006F0765" w:rsidRDefault="006F0765" w:rsidP="000D79D6">
            <w:pPr>
              <w:jc w:val="center"/>
              <w:rPr>
                <w:rFonts w:ascii="Times New Roman" w:hAnsi="Times New Roman" w:cs="Times New Roman"/>
              </w:rPr>
            </w:pPr>
            <w:r>
              <w:rPr>
                <w:rFonts w:ascii="Times New Roman" w:hAnsi="Times New Roman" w:cs="Times New Roman"/>
              </w:rPr>
              <w:t>20-300 µg/L (</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vertAlign w:val="superscript"/>
              </w:rPr>
              <w:t>4</w:t>
            </w:r>
            <w:r>
              <w:rPr>
                <w:rFonts w:ascii="Times New Roman" w:hAnsi="Times New Roman" w:cs="Times New Roman"/>
              </w:rPr>
              <w:t>)(</w:t>
            </w:r>
            <w:r>
              <w:rPr>
                <w:rFonts w:ascii="Times New Roman" w:hAnsi="Times New Roman" w:cs="Times New Roman"/>
                <w:vertAlign w:val="superscript"/>
              </w:rPr>
              <w:t>5</w:t>
            </w:r>
            <w:r>
              <w:rPr>
                <w:rFonts w:ascii="Times New Roman" w:hAnsi="Times New Roman" w:cs="Times New Roman"/>
              </w:rPr>
              <w:t>)(</w:t>
            </w:r>
            <w:r>
              <w:rPr>
                <w:rFonts w:ascii="Times New Roman" w:hAnsi="Times New Roman" w:cs="Times New Roman"/>
                <w:vertAlign w:val="superscript"/>
              </w:rPr>
              <w:t>8</w:t>
            </w:r>
            <w:r>
              <w:rPr>
                <w:rFonts w:ascii="Times New Roman" w:hAnsi="Times New Roman" w:cs="Times New Roman"/>
              </w:rPr>
              <w:t>)</w:t>
            </w:r>
          </w:p>
        </w:tc>
        <w:tc>
          <w:tcPr>
            <w:tcW w:w="2814" w:type="dxa"/>
          </w:tcPr>
          <w:p w14:paraId="5066FC4C" w14:textId="77777777" w:rsidR="006F0765" w:rsidRDefault="006F0765" w:rsidP="000D79D6">
            <w:pPr>
              <w:jc w:val="both"/>
              <w:rPr>
                <w:rFonts w:ascii="Times New Roman" w:hAnsi="Times New Roman" w:cs="Times New Roman"/>
              </w:rPr>
            </w:pPr>
            <w:r>
              <w:rPr>
                <w:rFonts w:ascii="Times New Roman" w:hAnsi="Times New Roman" w:cs="Times New Roman"/>
              </w:rPr>
              <w:t xml:space="preserve">MET-İES, emisyon 30 kg/yıl değerini aşarsa geçerlidir. </w:t>
            </w:r>
          </w:p>
        </w:tc>
      </w:tr>
      <w:tr w:rsidR="006F0765" w:rsidRPr="00393115" w14:paraId="285116A2" w14:textId="77777777" w:rsidTr="0082590D">
        <w:tc>
          <w:tcPr>
            <w:tcW w:w="9062" w:type="dxa"/>
            <w:gridSpan w:val="3"/>
          </w:tcPr>
          <w:p w14:paraId="39A86987"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1</w:t>
            </w:r>
            <w:r w:rsidRPr="0082590D">
              <w:rPr>
                <w:rFonts w:ascii="Times New Roman" w:hAnsi="Times New Roman" w:cs="Times New Roman"/>
                <w:sz w:val="20"/>
                <w:szCs w:val="20"/>
              </w:rPr>
              <w:t>) Aralığın alt sınırına, birkaç halojenli bileşiğin kullanılması veya tesis tarafından üretilmesi durumunda ulaşılır.</w:t>
            </w:r>
          </w:p>
          <w:p w14:paraId="0CE529A0"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2</w:t>
            </w:r>
            <w:r w:rsidRPr="0082590D">
              <w:rPr>
                <w:rFonts w:ascii="Times New Roman" w:hAnsi="Times New Roman" w:cs="Times New Roman"/>
                <w:sz w:val="20"/>
                <w:szCs w:val="20"/>
              </w:rPr>
              <w:t>) Bu MET-İES, esas kirletici yükünün, yüksek dayanıklılık miktarlarından dolayı iyotlu X-ray kontrast madde üretiminden kaynaklanması durumunda uygulanamayabilir. Bu MET-İES ayrıca, esas kirletici yükünün, yüksek miktarlardan dolayı klorohidrin prosesi ile propilen oksit veya epiklorohidrin üretiminden kaynaklanması durumunda uygulanamayabilir.</w:t>
            </w:r>
          </w:p>
          <w:p w14:paraId="4E7AA0D6"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3</w:t>
            </w:r>
            <w:r w:rsidRPr="0082590D">
              <w:rPr>
                <w:rFonts w:ascii="Times New Roman" w:hAnsi="Times New Roman" w:cs="Times New Roman"/>
                <w:sz w:val="20"/>
                <w:szCs w:val="20"/>
              </w:rPr>
              <w:t>) Aralığın alt sınırına, birkaç eş değer metal bileşiğinin kullanılması veya tesis tarafından üretilmesi durumunda genellikle ulaşılır.</w:t>
            </w:r>
          </w:p>
          <w:p w14:paraId="5179170B"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4</w:t>
            </w:r>
            <w:r w:rsidRPr="0082590D">
              <w:rPr>
                <w:rFonts w:ascii="Times New Roman" w:hAnsi="Times New Roman" w:cs="Times New Roman"/>
                <w:sz w:val="20"/>
                <w:szCs w:val="20"/>
              </w:rPr>
              <w:t>) Bu MET-İES, esas kirletici yükünün inorganik ağır metal bileşikleri üretiminden kaynaklanması durumunda, inorganik atık sulara uygulanamayabilir.</w:t>
            </w:r>
          </w:p>
          <w:p w14:paraId="2D75F104"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5</w:t>
            </w:r>
            <w:r w:rsidRPr="0082590D">
              <w:rPr>
                <w:rFonts w:ascii="Times New Roman" w:hAnsi="Times New Roman" w:cs="Times New Roman"/>
                <w:sz w:val="20"/>
                <w:szCs w:val="20"/>
              </w:rPr>
              <w:t>) Bu MET-İES, esas kirletici yükünün metaller ile (örn. Solvay prosesinden çıkan soda külü, titanyum dioksit) kontamine olmuş katı inorganik ham materyallerin büyük hacimlerde işlenmesinden kaynaklanması durumunda uygulanamayabilir.</w:t>
            </w:r>
          </w:p>
          <w:p w14:paraId="20ABEF23"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6</w:t>
            </w:r>
            <w:r w:rsidRPr="0082590D">
              <w:rPr>
                <w:rFonts w:ascii="Times New Roman" w:hAnsi="Times New Roman" w:cs="Times New Roman"/>
                <w:sz w:val="20"/>
                <w:szCs w:val="20"/>
              </w:rPr>
              <w:t>) Bu MET-İES, esas kirletici yükünün kromlu organik bileşik üretiminden kaynaklanması durumunda uygulanamayabilir.</w:t>
            </w:r>
          </w:p>
          <w:p w14:paraId="7F01CC88"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7</w:t>
            </w:r>
            <w:r w:rsidRPr="0082590D">
              <w:rPr>
                <w:rFonts w:ascii="Times New Roman" w:hAnsi="Times New Roman" w:cs="Times New Roman"/>
                <w:sz w:val="20"/>
                <w:szCs w:val="20"/>
              </w:rPr>
              <w:t>) Bu MET-İES, esas kirletici yükünün bakırlı organik bileşik veya oksi-klorlama prosesi ile vinil klor monomeri/etilen diklorür üretiminden kaynaklanması durumunda uygulanamayabilir.</w:t>
            </w:r>
          </w:p>
          <w:p w14:paraId="03106DCD" w14:textId="77777777" w:rsidR="006F0765" w:rsidRPr="0082590D" w:rsidRDefault="006F0765" w:rsidP="000D79D6">
            <w:pPr>
              <w:jc w:val="both"/>
              <w:rPr>
                <w:rFonts w:ascii="Times New Roman" w:hAnsi="Times New Roman" w:cs="Times New Roman"/>
                <w:sz w:val="20"/>
                <w:szCs w:val="20"/>
              </w:rPr>
            </w:pPr>
            <w:r w:rsidRPr="0082590D">
              <w:rPr>
                <w:rFonts w:ascii="Times New Roman" w:hAnsi="Times New Roman" w:cs="Times New Roman"/>
                <w:sz w:val="20"/>
                <w:szCs w:val="20"/>
              </w:rPr>
              <w:t>(</w:t>
            </w:r>
            <w:r w:rsidRPr="0082590D">
              <w:rPr>
                <w:rFonts w:ascii="Times New Roman" w:hAnsi="Times New Roman" w:cs="Times New Roman"/>
                <w:sz w:val="20"/>
                <w:szCs w:val="20"/>
                <w:vertAlign w:val="superscript"/>
              </w:rPr>
              <w:t>8</w:t>
            </w:r>
            <w:r w:rsidRPr="0082590D">
              <w:rPr>
                <w:rFonts w:ascii="Times New Roman" w:hAnsi="Times New Roman" w:cs="Times New Roman"/>
                <w:sz w:val="20"/>
                <w:szCs w:val="20"/>
              </w:rPr>
              <w:t>) Bu MET-İES, esas kirletici yükünün viskoz lifi üretiminden kaynaklanması durumunda uygulanamayabilir.</w:t>
            </w:r>
          </w:p>
        </w:tc>
      </w:tr>
    </w:tbl>
    <w:p w14:paraId="49DE116E" w14:textId="77777777" w:rsidR="006F0765" w:rsidRDefault="006F0765" w:rsidP="006F0765">
      <w:pPr>
        <w:spacing w:after="120" w:line="276" w:lineRule="auto"/>
        <w:jc w:val="both"/>
        <w:rPr>
          <w:rFonts w:ascii="Times New Roman" w:hAnsi="Times New Roman" w:cs="Times New Roman"/>
          <w:sz w:val="24"/>
          <w:szCs w:val="24"/>
        </w:rPr>
      </w:pPr>
    </w:p>
    <w:p w14:paraId="674F8BDD"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4’te verilmektedir.</w:t>
      </w:r>
    </w:p>
    <w:p w14:paraId="71B5947E"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t>(4) Atık</w:t>
      </w:r>
    </w:p>
    <w:p w14:paraId="5E0EA59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13:</w:t>
      </w:r>
      <w:r>
        <w:rPr>
          <w:rFonts w:ascii="Times New Roman" w:hAnsi="Times New Roman" w:cs="Times New Roman"/>
          <w:sz w:val="24"/>
          <w:szCs w:val="24"/>
        </w:rPr>
        <w:t xml:space="preserve"> Bertarafa gönderilen atık miktarını önlemek veya, bunun mümkün olmadığı durumlarda, azaltmak için, ÇYS’nin bir parçası olarak (bkz. MET 1), atığın öncelik sırasına </w:t>
      </w:r>
      <w:r>
        <w:rPr>
          <w:rFonts w:ascii="Times New Roman" w:hAnsi="Times New Roman" w:cs="Times New Roman"/>
          <w:sz w:val="24"/>
          <w:szCs w:val="24"/>
        </w:rPr>
        <w:lastRenderedPageBreak/>
        <w:t>göre önlenmesini, yeniden kullanım için hazırlanmasını, geri dönüştürülmesini veya geri kazanılmasını sağlayan bir atık yönetim planı oluşturulur ve uygulanır.</w:t>
      </w:r>
    </w:p>
    <w:p w14:paraId="72F3DA4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14:</w:t>
      </w:r>
      <w:r>
        <w:rPr>
          <w:rFonts w:ascii="Times New Roman" w:hAnsi="Times New Roman" w:cs="Times New Roman"/>
          <w:sz w:val="24"/>
          <w:szCs w:val="24"/>
        </w:rPr>
        <w:t xml:space="preserve"> İleri arıtma veya bertaraf gerektiren atık su </w:t>
      </w:r>
      <w:r w:rsidR="00D222E3">
        <w:rPr>
          <w:rFonts w:ascii="Times New Roman" w:hAnsi="Times New Roman" w:cs="Times New Roman"/>
          <w:sz w:val="24"/>
          <w:szCs w:val="24"/>
        </w:rPr>
        <w:t xml:space="preserve">arıtma </w:t>
      </w:r>
      <w:r>
        <w:rPr>
          <w:rFonts w:ascii="Times New Roman" w:hAnsi="Times New Roman" w:cs="Times New Roman"/>
          <w:sz w:val="24"/>
          <w:szCs w:val="24"/>
        </w:rPr>
        <w:t>çamurunun hacmini ve potansiyel çevresel etkisini azaltmak için, aşağıdaki tekniklerin biri veya bir kombinasyonu kullanılır.</w:t>
      </w:r>
    </w:p>
    <w:tbl>
      <w:tblPr>
        <w:tblStyle w:val="TabloKlavuzu"/>
        <w:tblW w:w="0" w:type="auto"/>
        <w:jc w:val="center"/>
        <w:tblLook w:val="04A0" w:firstRow="1" w:lastRow="0" w:firstColumn="1" w:lastColumn="0" w:noHBand="0" w:noVBand="1"/>
      </w:tblPr>
      <w:tblGrid>
        <w:gridCol w:w="594"/>
        <w:gridCol w:w="2840"/>
        <w:gridCol w:w="2440"/>
        <w:gridCol w:w="3188"/>
      </w:tblGrid>
      <w:tr w:rsidR="006F0765" w:rsidRPr="00393115" w14:paraId="650182D8" w14:textId="77777777" w:rsidTr="000D79D6">
        <w:trPr>
          <w:tblHeader/>
          <w:jc w:val="center"/>
        </w:trPr>
        <w:tc>
          <w:tcPr>
            <w:tcW w:w="594" w:type="dxa"/>
            <w:vAlign w:val="center"/>
          </w:tcPr>
          <w:p w14:paraId="100A1E74" w14:textId="77777777" w:rsidR="006F0765" w:rsidRPr="00393115" w:rsidRDefault="006F0765" w:rsidP="000D79D6">
            <w:pPr>
              <w:jc w:val="center"/>
              <w:rPr>
                <w:rFonts w:ascii="Times New Roman" w:hAnsi="Times New Roman" w:cs="Times New Roman"/>
                <w:b/>
                <w:bCs/>
              </w:rPr>
            </w:pPr>
          </w:p>
        </w:tc>
        <w:tc>
          <w:tcPr>
            <w:tcW w:w="2840" w:type="dxa"/>
            <w:vAlign w:val="center"/>
          </w:tcPr>
          <w:p w14:paraId="6F3F0C66"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2440" w:type="dxa"/>
            <w:vAlign w:val="center"/>
          </w:tcPr>
          <w:p w14:paraId="60CB911A" w14:textId="77777777" w:rsidR="006F0765" w:rsidRDefault="006F0765" w:rsidP="000D79D6">
            <w:pPr>
              <w:jc w:val="center"/>
              <w:rPr>
                <w:rFonts w:ascii="Times New Roman" w:hAnsi="Times New Roman" w:cs="Times New Roman"/>
                <w:b/>
                <w:bCs/>
              </w:rPr>
            </w:pPr>
            <w:r>
              <w:rPr>
                <w:rFonts w:ascii="Times New Roman" w:hAnsi="Times New Roman" w:cs="Times New Roman"/>
                <w:b/>
                <w:bCs/>
              </w:rPr>
              <w:t>Açıklama</w:t>
            </w:r>
          </w:p>
        </w:tc>
        <w:tc>
          <w:tcPr>
            <w:tcW w:w="3188" w:type="dxa"/>
            <w:vAlign w:val="center"/>
          </w:tcPr>
          <w:p w14:paraId="7C8A6995"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7996948C" w14:textId="77777777" w:rsidTr="000D79D6">
        <w:trPr>
          <w:jc w:val="center"/>
        </w:trPr>
        <w:tc>
          <w:tcPr>
            <w:tcW w:w="594" w:type="dxa"/>
            <w:vAlign w:val="center"/>
          </w:tcPr>
          <w:p w14:paraId="06059348"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2840" w:type="dxa"/>
            <w:vAlign w:val="center"/>
          </w:tcPr>
          <w:p w14:paraId="1EEFD978" w14:textId="77777777" w:rsidR="006F0765" w:rsidRPr="00393115" w:rsidRDefault="00D222E3" w:rsidP="000D79D6">
            <w:pPr>
              <w:jc w:val="both"/>
              <w:rPr>
                <w:rFonts w:ascii="Times New Roman" w:hAnsi="Times New Roman" w:cs="Times New Roman"/>
              </w:rPr>
            </w:pPr>
            <w:r>
              <w:rPr>
                <w:rFonts w:ascii="Times New Roman" w:hAnsi="Times New Roman" w:cs="Times New Roman"/>
              </w:rPr>
              <w:t>Şartlandırma</w:t>
            </w:r>
          </w:p>
        </w:tc>
        <w:tc>
          <w:tcPr>
            <w:tcW w:w="2440" w:type="dxa"/>
            <w:vAlign w:val="center"/>
          </w:tcPr>
          <w:p w14:paraId="72769FCA" w14:textId="77777777" w:rsidR="006F0765" w:rsidRDefault="006F0765" w:rsidP="000D79D6">
            <w:pPr>
              <w:jc w:val="both"/>
              <w:rPr>
                <w:rFonts w:ascii="Times New Roman" w:hAnsi="Times New Roman" w:cs="Times New Roman"/>
              </w:rPr>
            </w:pPr>
            <w:r>
              <w:rPr>
                <w:rFonts w:ascii="Times New Roman" w:hAnsi="Times New Roman" w:cs="Times New Roman"/>
              </w:rPr>
              <w:t>Çamur kıvamlaştırma, susuzlaştırma sırasında koşulları iyileştirmek için kimyasal koşullandırma (diğer bir ifadeyle, koagülan ve/veya flokülant eklenmesi) veya termal koşullandırma (diğer bir ifadeyle, ısıtma).</w:t>
            </w:r>
          </w:p>
        </w:tc>
        <w:tc>
          <w:tcPr>
            <w:tcW w:w="3188" w:type="dxa"/>
            <w:vAlign w:val="center"/>
          </w:tcPr>
          <w:p w14:paraId="4BDD085C" w14:textId="77777777" w:rsidR="006F0765" w:rsidRPr="00393115" w:rsidRDefault="006F0765" w:rsidP="000D79D6">
            <w:pPr>
              <w:jc w:val="both"/>
              <w:rPr>
                <w:rFonts w:ascii="Times New Roman" w:hAnsi="Times New Roman" w:cs="Times New Roman"/>
              </w:rPr>
            </w:pPr>
            <w:r>
              <w:rPr>
                <w:rFonts w:ascii="Times New Roman" w:hAnsi="Times New Roman" w:cs="Times New Roman"/>
              </w:rPr>
              <w:t>İnorganik çamurlara uygulanamaz. Koşullandırma ihtiyacı, çamur özelliklerine ve kullanılan kıvamlaştırma, susuzlaştırma ekipmanına bağlıdır.</w:t>
            </w:r>
          </w:p>
        </w:tc>
      </w:tr>
      <w:tr w:rsidR="006F0765" w:rsidRPr="00393115" w14:paraId="3EAB1ED6" w14:textId="77777777" w:rsidTr="000D79D6">
        <w:trPr>
          <w:jc w:val="center"/>
        </w:trPr>
        <w:tc>
          <w:tcPr>
            <w:tcW w:w="594" w:type="dxa"/>
            <w:vAlign w:val="center"/>
          </w:tcPr>
          <w:p w14:paraId="20CDCAFA"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2840" w:type="dxa"/>
            <w:vAlign w:val="center"/>
          </w:tcPr>
          <w:p w14:paraId="11F0A613" w14:textId="77777777" w:rsidR="006F0765" w:rsidRPr="00393115" w:rsidRDefault="006F0765" w:rsidP="000D79D6">
            <w:pPr>
              <w:jc w:val="both"/>
              <w:rPr>
                <w:rFonts w:ascii="Times New Roman" w:hAnsi="Times New Roman" w:cs="Times New Roman"/>
              </w:rPr>
            </w:pPr>
            <w:r>
              <w:rPr>
                <w:rFonts w:ascii="Times New Roman" w:hAnsi="Times New Roman" w:cs="Times New Roman"/>
              </w:rPr>
              <w:t>Kıvamlaştırma/Susuzlaştırma</w:t>
            </w:r>
          </w:p>
        </w:tc>
        <w:tc>
          <w:tcPr>
            <w:tcW w:w="2440" w:type="dxa"/>
            <w:vAlign w:val="center"/>
          </w:tcPr>
          <w:p w14:paraId="581FE4CB" w14:textId="77777777" w:rsidR="006F0765" w:rsidRDefault="006F0765" w:rsidP="000D79D6">
            <w:pPr>
              <w:jc w:val="both"/>
              <w:rPr>
                <w:rFonts w:ascii="Times New Roman" w:hAnsi="Times New Roman" w:cs="Times New Roman"/>
              </w:rPr>
            </w:pPr>
            <w:r>
              <w:rPr>
                <w:rFonts w:ascii="Times New Roman" w:hAnsi="Times New Roman" w:cs="Times New Roman"/>
              </w:rPr>
              <w:t>Kıvamlaştırma; sedimantasyon, santrifüjleme, yüzdürme, yer çekimi bandı veya döner tambur ile gerçekleştirilebilir. Susuzlaştırma, bant filtre veya plakalı filtre presi ile gerçekleştirilebilir.</w:t>
            </w:r>
          </w:p>
        </w:tc>
        <w:tc>
          <w:tcPr>
            <w:tcW w:w="3188" w:type="dxa"/>
            <w:vAlign w:val="center"/>
          </w:tcPr>
          <w:p w14:paraId="5A991AEF"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63F3EAAC" w14:textId="77777777" w:rsidTr="000D79D6">
        <w:trPr>
          <w:jc w:val="center"/>
        </w:trPr>
        <w:tc>
          <w:tcPr>
            <w:tcW w:w="594" w:type="dxa"/>
            <w:vAlign w:val="center"/>
          </w:tcPr>
          <w:p w14:paraId="45CAD3AE"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(c)</w:t>
            </w:r>
          </w:p>
        </w:tc>
        <w:tc>
          <w:tcPr>
            <w:tcW w:w="2840" w:type="dxa"/>
            <w:vAlign w:val="center"/>
          </w:tcPr>
          <w:p w14:paraId="11278F2F" w14:textId="77777777" w:rsidR="006F0765" w:rsidRPr="00393115" w:rsidRDefault="006F0765" w:rsidP="000D79D6">
            <w:pPr>
              <w:jc w:val="both"/>
              <w:rPr>
                <w:rFonts w:ascii="Times New Roman" w:hAnsi="Times New Roman" w:cs="Times New Roman"/>
              </w:rPr>
            </w:pPr>
            <w:r>
              <w:rPr>
                <w:rFonts w:ascii="Times New Roman" w:hAnsi="Times New Roman" w:cs="Times New Roman"/>
              </w:rPr>
              <w:t>Stabilizasyon</w:t>
            </w:r>
          </w:p>
        </w:tc>
        <w:tc>
          <w:tcPr>
            <w:tcW w:w="2440" w:type="dxa"/>
            <w:vAlign w:val="center"/>
          </w:tcPr>
          <w:p w14:paraId="35ACB0CD" w14:textId="77777777" w:rsidR="006F0765" w:rsidRDefault="006F0765" w:rsidP="000D79D6">
            <w:pPr>
              <w:jc w:val="both"/>
              <w:rPr>
                <w:rFonts w:ascii="Times New Roman" w:hAnsi="Times New Roman" w:cs="Times New Roman"/>
              </w:rPr>
            </w:pPr>
            <w:r>
              <w:rPr>
                <w:rFonts w:ascii="Times New Roman" w:hAnsi="Times New Roman" w:cs="Times New Roman"/>
              </w:rPr>
              <w:t>Çamur stabilizasyonu; kimyasal arıtmayı, termal arıtmayı, aerobik çürütmeyi veya anaerobik çürütmeyi içerir.</w:t>
            </w:r>
          </w:p>
        </w:tc>
        <w:tc>
          <w:tcPr>
            <w:tcW w:w="3188" w:type="dxa"/>
            <w:vAlign w:val="center"/>
          </w:tcPr>
          <w:p w14:paraId="3D078130" w14:textId="77777777" w:rsidR="006F0765" w:rsidRPr="00393115" w:rsidRDefault="006F0765" w:rsidP="000D79D6">
            <w:pPr>
              <w:jc w:val="both"/>
              <w:rPr>
                <w:rFonts w:ascii="Times New Roman" w:hAnsi="Times New Roman" w:cs="Times New Roman"/>
              </w:rPr>
            </w:pPr>
            <w:r>
              <w:rPr>
                <w:rFonts w:ascii="Times New Roman" w:hAnsi="Times New Roman" w:cs="Times New Roman"/>
              </w:rPr>
              <w:t>İnorganik çamurlara uygulanmaz. Son arıtmadan önceki kısa süreli işlemler için uygulanmaz.</w:t>
            </w:r>
          </w:p>
        </w:tc>
      </w:tr>
      <w:tr w:rsidR="006F0765" w:rsidRPr="00393115" w14:paraId="78C87FBD" w14:textId="77777777" w:rsidTr="000D79D6">
        <w:trPr>
          <w:jc w:val="center"/>
        </w:trPr>
        <w:tc>
          <w:tcPr>
            <w:tcW w:w="594" w:type="dxa"/>
            <w:tcBorders>
              <w:bottom w:val="single" w:sz="4" w:space="0" w:color="auto"/>
            </w:tcBorders>
            <w:vAlign w:val="center"/>
          </w:tcPr>
          <w:p w14:paraId="1F7EB954"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(d)</w:t>
            </w:r>
          </w:p>
        </w:tc>
        <w:tc>
          <w:tcPr>
            <w:tcW w:w="2840" w:type="dxa"/>
            <w:tcBorders>
              <w:bottom w:val="single" w:sz="4" w:space="0" w:color="auto"/>
            </w:tcBorders>
            <w:vAlign w:val="center"/>
          </w:tcPr>
          <w:p w14:paraId="5B98941F" w14:textId="77777777" w:rsidR="006F0765" w:rsidRPr="00393115" w:rsidRDefault="006F0765" w:rsidP="000D79D6">
            <w:pPr>
              <w:jc w:val="both"/>
              <w:rPr>
                <w:rFonts w:ascii="Times New Roman" w:hAnsi="Times New Roman" w:cs="Times New Roman"/>
              </w:rPr>
            </w:pPr>
            <w:r>
              <w:rPr>
                <w:rFonts w:ascii="Times New Roman" w:hAnsi="Times New Roman" w:cs="Times New Roman"/>
              </w:rPr>
              <w:t>Kurutma</w:t>
            </w:r>
          </w:p>
        </w:tc>
        <w:tc>
          <w:tcPr>
            <w:tcW w:w="2440" w:type="dxa"/>
            <w:tcBorders>
              <w:bottom w:val="single" w:sz="4" w:space="0" w:color="auto"/>
            </w:tcBorders>
            <w:vAlign w:val="center"/>
          </w:tcPr>
          <w:p w14:paraId="0777437B" w14:textId="77777777" w:rsidR="006F0765" w:rsidRDefault="006F0765" w:rsidP="000D79D6">
            <w:pPr>
              <w:jc w:val="both"/>
              <w:rPr>
                <w:rFonts w:ascii="Times New Roman" w:hAnsi="Times New Roman" w:cs="Times New Roman"/>
              </w:rPr>
            </w:pPr>
            <w:r>
              <w:rPr>
                <w:rFonts w:ascii="Times New Roman" w:hAnsi="Times New Roman" w:cs="Times New Roman"/>
              </w:rPr>
              <w:t>Çamur, bir ısı kaynağı ile doğrudan veya dolaylı temas yoluyla kurutulur.</w:t>
            </w:r>
          </w:p>
        </w:tc>
        <w:tc>
          <w:tcPr>
            <w:tcW w:w="3188" w:type="dxa"/>
            <w:tcBorders>
              <w:bottom w:val="single" w:sz="4" w:space="0" w:color="auto"/>
            </w:tcBorders>
            <w:vAlign w:val="center"/>
          </w:tcPr>
          <w:p w14:paraId="05646D79" w14:textId="77777777" w:rsidR="006F0765" w:rsidRPr="00393115" w:rsidRDefault="006F0765" w:rsidP="000D79D6">
            <w:pPr>
              <w:jc w:val="both"/>
              <w:rPr>
                <w:rFonts w:ascii="Times New Roman" w:hAnsi="Times New Roman" w:cs="Times New Roman"/>
              </w:rPr>
            </w:pPr>
            <w:r>
              <w:rPr>
                <w:rFonts w:ascii="Times New Roman" w:hAnsi="Times New Roman" w:cs="Times New Roman"/>
              </w:rPr>
              <w:t>Atık ısının mevcut olmadığı veya kullanılamadığı durumlara uygulanmaz.</w:t>
            </w:r>
          </w:p>
        </w:tc>
      </w:tr>
    </w:tbl>
    <w:p w14:paraId="3ED96C1F" w14:textId="77777777" w:rsidR="006F0765" w:rsidRDefault="006F0765" w:rsidP="006F0765">
      <w:pPr>
        <w:spacing w:after="120" w:line="276" w:lineRule="auto"/>
        <w:jc w:val="both"/>
        <w:rPr>
          <w:rFonts w:ascii="Times New Roman" w:hAnsi="Times New Roman" w:cs="Times New Roman"/>
          <w:sz w:val="24"/>
          <w:szCs w:val="24"/>
        </w:rPr>
      </w:pPr>
    </w:p>
    <w:p w14:paraId="3615C1D8"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t>(5) Havaya Emisyonlar</w:t>
      </w:r>
    </w:p>
    <w:p w14:paraId="7BBA5A79" w14:textId="77777777" w:rsidR="006F0765" w:rsidRPr="006C6672" w:rsidRDefault="006F0765" w:rsidP="006F0765">
      <w:pPr>
        <w:pStyle w:val="Balk3"/>
        <w:spacing w:before="0" w:after="120" w:line="276" w:lineRule="auto"/>
        <w:jc w:val="both"/>
        <w:rPr>
          <w:rFonts w:cs="Times New Roman"/>
          <w:b w:val="0"/>
          <w:bCs/>
          <w:szCs w:val="24"/>
        </w:rPr>
      </w:pPr>
      <w:r>
        <w:rPr>
          <w:rFonts w:cs="Times New Roman"/>
          <w:bCs/>
          <w:szCs w:val="24"/>
        </w:rPr>
        <w:t>(5.1) Atık Gaz Toplama</w:t>
      </w:r>
    </w:p>
    <w:p w14:paraId="372DE07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15:</w:t>
      </w:r>
      <w:r>
        <w:rPr>
          <w:rFonts w:ascii="Times New Roman" w:hAnsi="Times New Roman" w:cs="Times New Roman"/>
          <w:sz w:val="24"/>
          <w:szCs w:val="24"/>
        </w:rPr>
        <w:t xml:space="preserve"> Bileşiklerin geri kazanımını ve havaya emisyonların azaltımını kolaylaştırmak için, mümkün olduğu durumlarda emisyon kaynaklarının etrafı kapatılır ve emisyonlar arıtılır.</w:t>
      </w:r>
    </w:p>
    <w:p w14:paraId="7608656E"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Uygulanabilirlik; </w:t>
      </w:r>
    </w:p>
    <w:p w14:paraId="3B281C01"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çalışabilirlik (ekipmana erişim), güvenlik (alt patlama sınırına yakın konsantrasyonların engellenmesi) ve sağlık (operatör erişiminin kapalı alan içinde gerektiği durumlarda) üzerine hususlara ilişkin kısıtlanabilir.</w:t>
      </w:r>
    </w:p>
    <w:p w14:paraId="0CC733B3" w14:textId="77777777" w:rsidR="006F0765" w:rsidRPr="006C6672" w:rsidRDefault="006F0765" w:rsidP="006F0765">
      <w:pPr>
        <w:pStyle w:val="Balk3"/>
        <w:spacing w:before="0" w:after="120" w:line="276" w:lineRule="auto"/>
        <w:jc w:val="both"/>
        <w:rPr>
          <w:rFonts w:cs="Times New Roman"/>
          <w:b w:val="0"/>
          <w:bCs/>
          <w:szCs w:val="24"/>
        </w:rPr>
      </w:pPr>
      <w:r>
        <w:rPr>
          <w:rFonts w:cs="Times New Roman"/>
          <w:bCs/>
          <w:szCs w:val="24"/>
        </w:rPr>
        <w:t>(5.2) Atık Gaz Arıtımı</w:t>
      </w:r>
    </w:p>
    <w:p w14:paraId="51170BA1"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16:</w:t>
      </w:r>
      <w:r>
        <w:rPr>
          <w:rFonts w:ascii="Times New Roman" w:hAnsi="Times New Roman" w:cs="Times New Roman"/>
          <w:sz w:val="24"/>
          <w:szCs w:val="24"/>
        </w:rPr>
        <w:t xml:space="preserve"> Havaya emisyonları azaltmak için, prosese entegre ve atık gaz arıtma tekniklerini içeren bir entegre atık gaz yönetim ve arıtma stratejisi kullanılır.</w:t>
      </w:r>
    </w:p>
    <w:p w14:paraId="7C2602C4"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Açıklama:</w:t>
      </w:r>
      <w:r>
        <w:rPr>
          <w:rFonts w:ascii="Times New Roman" w:hAnsi="Times New Roman" w:cs="Times New Roman"/>
          <w:sz w:val="24"/>
          <w:szCs w:val="24"/>
        </w:rPr>
        <w:t xml:space="preserve"> </w:t>
      </w:r>
    </w:p>
    <w:p w14:paraId="59450CE4"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Entegre atık gaz yönetim ve arıtma stratejisi, prosese entegre tekniklere öncelik veren atık gaz kollarının envanterine (bkz. MET 2) bağlıdır.</w:t>
      </w:r>
    </w:p>
    <w:p w14:paraId="490C720D" w14:textId="77777777" w:rsidR="006F0765" w:rsidRPr="006C6672" w:rsidRDefault="006F0765" w:rsidP="006F0765">
      <w:pPr>
        <w:pStyle w:val="Balk3"/>
        <w:spacing w:before="0" w:after="120" w:line="276" w:lineRule="auto"/>
        <w:jc w:val="both"/>
        <w:rPr>
          <w:rFonts w:cs="Times New Roman"/>
          <w:b w:val="0"/>
          <w:bCs/>
          <w:szCs w:val="24"/>
        </w:rPr>
      </w:pPr>
      <w:r>
        <w:rPr>
          <w:rFonts w:cs="Times New Roman"/>
          <w:bCs/>
          <w:szCs w:val="24"/>
        </w:rPr>
        <w:t>(5.3) Tutuşturma</w:t>
      </w:r>
    </w:p>
    <w:p w14:paraId="7D8033C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17:</w:t>
      </w:r>
      <w:r>
        <w:rPr>
          <w:rFonts w:ascii="Times New Roman" w:hAnsi="Times New Roman" w:cs="Times New Roman"/>
          <w:sz w:val="24"/>
          <w:szCs w:val="24"/>
        </w:rPr>
        <w:t xml:space="preserve"> Alevlerden kaynaklanan havaya emisyonları önlemek için tutuşturma, aşağıdaki tekniklerin biri veya ikisi uygulanarak sadece güvenlik sebepleri veya rutin dışındaki çalışma koşulları (örn. başlatma/devreye alma, kapatma) için kullanılır.</w:t>
      </w:r>
    </w:p>
    <w:tbl>
      <w:tblPr>
        <w:tblStyle w:val="TabloKlavuzu"/>
        <w:tblW w:w="0" w:type="auto"/>
        <w:jc w:val="center"/>
        <w:tblLook w:val="04A0" w:firstRow="1" w:lastRow="0" w:firstColumn="1" w:lastColumn="0" w:noHBand="0" w:noVBand="1"/>
      </w:tblPr>
      <w:tblGrid>
        <w:gridCol w:w="594"/>
        <w:gridCol w:w="2840"/>
        <w:gridCol w:w="2440"/>
        <w:gridCol w:w="3188"/>
      </w:tblGrid>
      <w:tr w:rsidR="006F0765" w:rsidRPr="00393115" w14:paraId="6784DCFB" w14:textId="77777777" w:rsidTr="000D79D6">
        <w:trPr>
          <w:tblHeader/>
          <w:jc w:val="center"/>
        </w:trPr>
        <w:tc>
          <w:tcPr>
            <w:tcW w:w="594" w:type="dxa"/>
            <w:vAlign w:val="center"/>
          </w:tcPr>
          <w:p w14:paraId="3A4FA8C5" w14:textId="77777777" w:rsidR="006F0765" w:rsidRPr="00393115" w:rsidRDefault="006F0765" w:rsidP="000D79D6">
            <w:pPr>
              <w:jc w:val="center"/>
              <w:rPr>
                <w:rFonts w:ascii="Times New Roman" w:hAnsi="Times New Roman" w:cs="Times New Roman"/>
                <w:b/>
                <w:bCs/>
              </w:rPr>
            </w:pPr>
          </w:p>
        </w:tc>
        <w:tc>
          <w:tcPr>
            <w:tcW w:w="2840" w:type="dxa"/>
            <w:vAlign w:val="center"/>
          </w:tcPr>
          <w:p w14:paraId="1D0A660F"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2440" w:type="dxa"/>
            <w:vAlign w:val="center"/>
          </w:tcPr>
          <w:p w14:paraId="32FA14C8" w14:textId="77777777" w:rsidR="006F0765" w:rsidRDefault="006F0765" w:rsidP="000D79D6">
            <w:pPr>
              <w:jc w:val="center"/>
              <w:rPr>
                <w:rFonts w:ascii="Times New Roman" w:hAnsi="Times New Roman" w:cs="Times New Roman"/>
                <w:b/>
                <w:bCs/>
              </w:rPr>
            </w:pPr>
            <w:r>
              <w:rPr>
                <w:rFonts w:ascii="Times New Roman" w:hAnsi="Times New Roman" w:cs="Times New Roman"/>
                <w:b/>
                <w:bCs/>
              </w:rPr>
              <w:t>Açıklama</w:t>
            </w:r>
          </w:p>
        </w:tc>
        <w:tc>
          <w:tcPr>
            <w:tcW w:w="3188" w:type="dxa"/>
            <w:vAlign w:val="center"/>
          </w:tcPr>
          <w:p w14:paraId="3EFC1380"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4D784457" w14:textId="77777777" w:rsidTr="000D79D6">
        <w:trPr>
          <w:jc w:val="center"/>
        </w:trPr>
        <w:tc>
          <w:tcPr>
            <w:tcW w:w="594" w:type="dxa"/>
            <w:vAlign w:val="center"/>
          </w:tcPr>
          <w:p w14:paraId="6F1E6DF6"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2840" w:type="dxa"/>
            <w:vAlign w:val="center"/>
          </w:tcPr>
          <w:p w14:paraId="7D6D5BF7" w14:textId="77777777" w:rsidR="006F0765" w:rsidRPr="00393115" w:rsidRDefault="006F0765" w:rsidP="000D79D6">
            <w:pPr>
              <w:jc w:val="both"/>
              <w:rPr>
                <w:rFonts w:ascii="Times New Roman" w:hAnsi="Times New Roman" w:cs="Times New Roman"/>
              </w:rPr>
            </w:pPr>
            <w:r>
              <w:rPr>
                <w:rFonts w:ascii="Times New Roman" w:hAnsi="Times New Roman" w:cs="Times New Roman"/>
              </w:rPr>
              <w:t>Doğru tesis tasarımı</w:t>
            </w:r>
          </w:p>
        </w:tc>
        <w:tc>
          <w:tcPr>
            <w:tcW w:w="2440" w:type="dxa"/>
            <w:vAlign w:val="center"/>
          </w:tcPr>
          <w:p w14:paraId="676E1E9F" w14:textId="77777777" w:rsidR="006F0765" w:rsidRDefault="006F0765" w:rsidP="000D79D6">
            <w:pPr>
              <w:jc w:val="both"/>
              <w:rPr>
                <w:rFonts w:ascii="Times New Roman" w:hAnsi="Times New Roman" w:cs="Times New Roman"/>
              </w:rPr>
            </w:pPr>
            <w:r>
              <w:rPr>
                <w:rFonts w:ascii="Times New Roman" w:hAnsi="Times New Roman" w:cs="Times New Roman"/>
              </w:rPr>
              <w:t>Bu, yeterli kapasiteli bir gaz geri kazanım sistemi ile yüksek sağlamlığa sahip tahliye vanalarının kullanımını içerir.</w:t>
            </w:r>
          </w:p>
        </w:tc>
        <w:tc>
          <w:tcPr>
            <w:tcW w:w="3188" w:type="dxa"/>
            <w:vAlign w:val="center"/>
          </w:tcPr>
          <w:p w14:paraId="06999866" w14:textId="77777777" w:rsidR="006F0765" w:rsidRPr="00393115" w:rsidRDefault="006F0765" w:rsidP="000D79D6">
            <w:pPr>
              <w:jc w:val="both"/>
              <w:rPr>
                <w:rFonts w:ascii="Times New Roman" w:hAnsi="Times New Roman" w:cs="Times New Roman"/>
              </w:rPr>
            </w:pPr>
            <w:r>
              <w:rPr>
                <w:rFonts w:ascii="Times New Roman" w:hAnsi="Times New Roman" w:cs="Times New Roman"/>
              </w:rPr>
              <w:t>Yeni tesislere genellikle uygulanabilir. Gaz geri kazanım sistemleri, mevcut tesislerde iyileştirilebilir.</w:t>
            </w:r>
          </w:p>
        </w:tc>
      </w:tr>
      <w:tr w:rsidR="006F0765" w:rsidRPr="00393115" w14:paraId="44F19C2B" w14:textId="77777777" w:rsidTr="000D79D6">
        <w:trPr>
          <w:jc w:val="center"/>
        </w:trPr>
        <w:tc>
          <w:tcPr>
            <w:tcW w:w="594" w:type="dxa"/>
            <w:vAlign w:val="center"/>
          </w:tcPr>
          <w:p w14:paraId="19E29BCB"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2840" w:type="dxa"/>
            <w:vAlign w:val="center"/>
          </w:tcPr>
          <w:p w14:paraId="257F7A96" w14:textId="77777777" w:rsidR="006F0765" w:rsidRPr="00393115" w:rsidRDefault="006F0765" w:rsidP="000D79D6">
            <w:pPr>
              <w:jc w:val="both"/>
              <w:rPr>
                <w:rFonts w:ascii="Times New Roman" w:hAnsi="Times New Roman" w:cs="Times New Roman"/>
              </w:rPr>
            </w:pPr>
            <w:r>
              <w:rPr>
                <w:rFonts w:ascii="Times New Roman" w:hAnsi="Times New Roman" w:cs="Times New Roman"/>
              </w:rPr>
              <w:t>Tesis yönetimi</w:t>
            </w:r>
          </w:p>
        </w:tc>
        <w:tc>
          <w:tcPr>
            <w:tcW w:w="2440" w:type="dxa"/>
            <w:vAlign w:val="center"/>
          </w:tcPr>
          <w:p w14:paraId="268E9D0B" w14:textId="77777777" w:rsidR="006F0765" w:rsidRDefault="006F0765" w:rsidP="000D79D6">
            <w:pPr>
              <w:jc w:val="both"/>
              <w:rPr>
                <w:rFonts w:ascii="Times New Roman" w:hAnsi="Times New Roman" w:cs="Times New Roman"/>
              </w:rPr>
            </w:pPr>
            <w:r>
              <w:rPr>
                <w:rFonts w:ascii="Times New Roman" w:hAnsi="Times New Roman" w:cs="Times New Roman"/>
              </w:rPr>
              <w:t>Bu, yakıt gazı sisteminin dengelenmesini ve ileri proses kontrolünün kullanımını içerir.</w:t>
            </w:r>
          </w:p>
        </w:tc>
        <w:tc>
          <w:tcPr>
            <w:tcW w:w="3188" w:type="dxa"/>
            <w:vAlign w:val="center"/>
          </w:tcPr>
          <w:p w14:paraId="482B6C96"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bl>
    <w:p w14:paraId="04010A1F" w14:textId="77777777" w:rsidR="006F0765" w:rsidRDefault="006F0765" w:rsidP="006F0765">
      <w:pPr>
        <w:spacing w:after="120" w:line="276" w:lineRule="auto"/>
        <w:jc w:val="both"/>
        <w:rPr>
          <w:rFonts w:ascii="Times New Roman" w:hAnsi="Times New Roman" w:cs="Times New Roman"/>
          <w:sz w:val="24"/>
          <w:szCs w:val="24"/>
        </w:rPr>
      </w:pPr>
    </w:p>
    <w:p w14:paraId="36EDFB56"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18:</w:t>
      </w:r>
      <w:r>
        <w:rPr>
          <w:rFonts w:ascii="Times New Roman" w:hAnsi="Times New Roman" w:cs="Times New Roman"/>
          <w:sz w:val="24"/>
          <w:szCs w:val="24"/>
        </w:rPr>
        <w:t xml:space="preserve"> Tutuşturmanın önlenemediği durumlarda, alevlerden kaynaklanan havaya emisyonları azaltmak için, aşağıdaki tekniklerin biri veya ikisi kullanılır.</w:t>
      </w:r>
    </w:p>
    <w:tbl>
      <w:tblPr>
        <w:tblStyle w:val="TabloKlavuzu"/>
        <w:tblW w:w="0" w:type="auto"/>
        <w:jc w:val="center"/>
        <w:tblLook w:val="04A0" w:firstRow="1" w:lastRow="0" w:firstColumn="1" w:lastColumn="0" w:noHBand="0" w:noVBand="1"/>
      </w:tblPr>
      <w:tblGrid>
        <w:gridCol w:w="594"/>
        <w:gridCol w:w="2840"/>
        <w:gridCol w:w="2440"/>
        <w:gridCol w:w="3188"/>
      </w:tblGrid>
      <w:tr w:rsidR="006F0765" w:rsidRPr="00393115" w14:paraId="2877F94E" w14:textId="77777777" w:rsidTr="000D79D6">
        <w:trPr>
          <w:tblHeader/>
          <w:jc w:val="center"/>
        </w:trPr>
        <w:tc>
          <w:tcPr>
            <w:tcW w:w="594" w:type="dxa"/>
            <w:vAlign w:val="center"/>
          </w:tcPr>
          <w:p w14:paraId="62CFF54C" w14:textId="77777777" w:rsidR="006F0765" w:rsidRPr="00393115" w:rsidRDefault="006F0765" w:rsidP="000D79D6">
            <w:pPr>
              <w:jc w:val="center"/>
              <w:rPr>
                <w:rFonts w:ascii="Times New Roman" w:hAnsi="Times New Roman" w:cs="Times New Roman"/>
                <w:b/>
                <w:bCs/>
              </w:rPr>
            </w:pPr>
          </w:p>
        </w:tc>
        <w:tc>
          <w:tcPr>
            <w:tcW w:w="2840" w:type="dxa"/>
            <w:vAlign w:val="center"/>
          </w:tcPr>
          <w:p w14:paraId="5F024364"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2440" w:type="dxa"/>
            <w:vAlign w:val="center"/>
          </w:tcPr>
          <w:p w14:paraId="74E04AE9" w14:textId="77777777" w:rsidR="006F0765" w:rsidRDefault="006F0765" w:rsidP="000D79D6">
            <w:pPr>
              <w:jc w:val="center"/>
              <w:rPr>
                <w:rFonts w:ascii="Times New Roman" w:hAnsi="Times New Roman" w:cs="Times New Roman"/>
                <w:b/>
                <w:bCs/>
              </w:rPr>
            </w:pPr>
            <w:r>
              <w:rPr>
                <w:rFonts w:ascii="Times New Roman" w:hAnsi="Times New Roman" w:cs="Times New Roman"/>
                <w:b/>
                <w:bCs/>
              </w:rPr>
              <w:t>Açıklama</w:t>
            </w:r>
          </w:p>
        </w:tc>
        <w:tc>
          <w:tcPr>
            <w:tcW w:w="3188" w:type="dxa"/>
            <w:vAlign w:val="center"/>
          </w:tcPr>
          <w:p w14:paraId="5BA6C8F3"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46799450" w14:textId="77777777" w:rsidTr="000D79D6">
        <w:trPr>
          <w:jc w:val="center"/>
        </w:trPr>
        <w:tc>
          <w:tcPr>
            <w:tcW w:w="594" w:type="dxa"/>
            <w:vAlign w:val="center"/>
          </w:tcPr>
          <w:p w14:paraId="1DA3F5D0"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2840" w:type="dxa"/>
            <w:vAlign w:val="center"/>
          </w:tcPr>
          <w:p w14:paraId="3619E330" w14:textId="77777777" w:rsidR="006F0765" w:rsidRPr="00393115" w:rsidRDefault="006F0765" w:rsidP="000D79D6">
            <w:pPr>
              <w:jc w:val="both"/>
              <w:rPr>
                <w:rFonts w:ascii="Times New Roman" w:hAnsi="Times New Roman" w:cs="Times New Roman"/>
              </w:rPr>
            </w:pPr>
            <w:r>
              <w:rPr>
                <w:rFonts w:ascii="Times New Roman" w:hAnsi="Times New Roman" w:cs="Times New Roman"/>
              </w:rPr>
              <w:t>Tutuşturma cihazlarının doğru tasarımı</w:t>
            </w:r>
          </w:p>
        </w:tc>
        <w:tc>
          <w:tcPr>
            <w:tcW w:w="2440" w:type="dxa"/>
            <w:vAlign w:val="center"/>
          </w:tcPr>
          <w:p w14:paraId="1A2D6BE0" w14:textId="77777777" w:rsidR="006F0765" w:rsidRDefault="006F0765" w:rsidP="000D79D6">
            <w:pPr>
              <w:jc w:val="both"/>
              <w:rPr>
                <w:rFonts w:ascii="Times New Roman" w:hAnsi="Times New Roman" w:cs="Times New Roman"/>
              </w:rPr>
            </w:pPr>
            <w:r>
              <w:rPr>
                <w:rFonts w:ascii="Times New Roman" w:hAnsi="Times New Roman" w:cs="Times New Roman"/>
              </w:rPr>
              <w:t>Dumansız ve güvenilir operasyonu mümkün kılmak ve çıkış gazlarının etkin bir şekilde yakılmasını sağlamak için yükseklik, basınç, buhar desteği, hava veya gaz, alev türlerinin tipi (ya kapalı ya da korunaklı) vb. optimizasyonu.</w:t>
            </w:r>
          </w:p>
        </w:tc>
        <w:tc>
          <w:tcPr>
            <w:tcW w:w="3188" w:type="dxa"/>
            <w:vAlign w:val="center"/>
          </w:tcPr>
          <w:p w14:paraId="5B903622" w14:textId="77777777" w:rsidR="006F0765" w:rsidRPr="00393115" w:rsidRDefault="006F0765" w:rsidP="000D79D6">
            <w:pPr>
              <w:jc w:val="both"/>
              <w:rPr>
                <w:rFonts w:ascii="Times New Roman" w:hAnsi="Times New Roman" w:cs="Times New Roman"/>
              </w:rPr>
            </w:pPr>
            <w:r>
              <w:rPr>
                <w:rFonts w:ascii="Times New Roman" w:hAnsi="Times New Roman" w:cs="Times New Roman"/>
              </w:rPr>
              <w:t>Yeni alevlere uygulanabilir. Mevcut tesislerde uygulanabilirlik, örneğin tesisin devir dönemindeki mevcut bakım süresinden dolayı kısıtlanabilir.</w:t>
            </w:r>
          </w:p>
        </w:tc>
      </w:tr>
      <w:tr w:rsidR="006F0765" w:rsidRPr="00393115" w14:paraId="6210CE38" w14:textId="77777777" w:rsidTr="000D79D6">
        <w:trPr>
          <w:jc w:val="center"/>
        </w:trPr>
        <w:tc>
          <w:tcPr>
            <w:tcW w:w="594" w:type="dxa"/>
            <w:vAlign w:val="center"/>
          </w:tcPr>
          <w:p w14:paraId="413B925C"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2840" w:type="dxa"/>
            <w:vAlign w:val="center"/>
          </w:tcPr>
          <w:p w14:paraId="256AB056" w14:textId="77777777" w:rsidR="006F0765" w:rsidRPr="00393115" w:rsidRDefault="006F0765" w:rsidP="000D79D6">
            <w:pPr>
              <w:jc w:val="both"/>
              <w:rPr>
                <w:rFonts w:ascii="Times New Roman" w:hAnsi="Times New Roman" w:cs="Times New Roman"/>
              </w:rPr>
            </w:pPr>
            <w:r>
              <w:rPr>
                <w:rFonts w:ascii="Times New Roman" w:hAnsi="Times New Roman" w:cs="Times New Roman"/>
              </w:rPr>
              <w:t>Alev yönetiminin bir parçası olarak izleme ve kayıt altına alma</w:t>
            </w:r>
          </w:p>
        </w:tc>
        <w:tc>
          <w:tcPr>
            <w:tcW w:w="2440" w:type="dxa"/>
            <w:vAlign w:val="center"/>
          </w:tcPr>
          <w:p w14:paraId="08FB8FB7" w14:textId="77777777" w:rsidR="006F0765" w:rsidRPr="003B73EF" w:rsidRDefault="006F0765" w:rsidP="000D79D6">
            <w:pPr>
              <w:jc w:val="both"/>
              <w:rPr>
                <w:rFonts w:ascii="Times New Roman" w:hAnsi="Times New Roman" w:cs="Times New Roman"/>
              </w:rPr>
            </w:pPr>
            <w:r>
              <w:rPr>
                <w:rFonts w:ascii="Times New Roman" w:hAnsi="Times New Roman" w:cs="Times New Roman"/>
              </w:rPr>
              <w:t>Tutuşturmaya gönderilen gazın sürekli izlenmesi, gaz akışlarının ölçümü ve diğer parametrelerin (örn. kompozisyon, ısı içeriği, destek oranı, hız, pürj gazı akış oranı, kirletici emisyonları (örn. NO</w:t>
            </w:r>
            <w:r>
              <w:rPr>
                <w:rFonts w:ascii="Times New Roman" w:hAnsi="Times New Roman" w:cs="Times New Roman"/>
                <w:vertAlign w:val="subscript"/>
              </w:rPr>
              <w:t>x</w:t>
            </w:r>
            <w:r>
              <w:rPr>
                <w:rFonts w:ascii="Times New Roman" w:hAnsi="Times New Roman" w:cs="Times New Roman"/>
              </w:rPr>
              <w:t xml:space="preserve">, CO, hidrokarbonlar, gürültü)). Tutuşturma faaliyetlerinin kayıt altına alınması, çoğunlukla tahmin edilen/ölçülen alev gazı kompozisyonunu, tahmin edilen/ölçülen alev gazı miktarını ve çalışması süresini içerir. Kayıt </w:t>
            </w:r>
            <w:r>
              <w:rPr>
                <w:rFonts w:ascii="Times New Roman" w:hAnsi="Times New Roman" w:cs="Times New Roman"/>
              </w:rPr>
              <w:lastRenderedPageBreak/>
              <w:t>altına alma, emisyonların nicelleştirilmesini ve gelecek tutuşturma faaliyetlerinin potansiyel olarak önlenmesini mümkün kılar.</w:t>
            </w:r>
          </w:p>
        </w:tc>
        <w:tc>
          <w:tcPr>
            <w:tcW w:w="3188" w:type="dxa"/>
            <w:vAlign w:val="center"/>
          </w:tcPr>
          <w:p w14:paraId="35C502FF" w14:textId="77777777" w:rsidR="006F0765" w:rsidRPr="00393115" w:rsidRDefault="006F0765" w:rsidP="000D79D6">
            <w:pPr>
              <w:jc w:val="both"/>
              <w:rPr>
                <w:rFonts w:ascii="Times New Roman" w:hAnsi="Times New Roman" w:cs="Times New Roman"/>
              </w:rPr>
            </w:pPr>
            <w:r>
              <w:rPr>
                <w:rFonts w:ascii="Times New Roman" w:hAnsi="Times New Roman" w:cs="Times New Roman"/>
              </w:rPr>
              <w:lastRenderedPageBreak/>
              <w:t>Genellikle uygulanabilir.</w:t>
            </w:r>
          </w:p>
        </w:tc>
      </w:tr>
    </w:tbl>
    <w:p w14:paraId="39C43587" w14:textId="77777777" w:rsidR="006F0765" w:rsidRDefault="006F0765" w:rsidP="006F0765">
      <w:pPr>
        <w:spacing w:after="120" w:line="276" w:lineRule="auto"/>
        <w:jc w:val="both"/>
        <w:rPr>
          <w:rFonts w:ascii="Times New Roman" w:hAnsi="Times New Roman" w:cs="Times New Roman"/>
          <w:sz w:val="24"/>
          <w:szCs w:val="24"/>
        </w:rPr>
      </w:pPr>
    </w:p>
    <w:p w14:paraId="37464732" w14:textId="77777777" w:rsidR="006F0765" w:rsidRPr="006C6672" w:rsidRDefault="006F0765" w:rsidP="006F0765">
      <w:pPr>
        <w:pStyle w:val="Balk3"/>
        <w:spacing w:before="0" w:after="120" w:line="276" w:lineRule="auto"/>
        <w:jc w:val="both"/>
        <w:rPr>
          <w:rFonts w:cs="Times New Roman"/>
          <w:b w:val="0"/>
          <w:bCs/>
          <w:szCs w:val="24"/>
        </w:rPr>
      </w:pPr>
      <w:r>
        <w:rPr>
          <w:rFonts w:cs="Times New Roman"/>
          <w:bCs/>
          <w:szCs w:val="24"/>
        </w:rPr>
        <w:t xml:space="preserve">(5.4) Yayılı </w:t>
      </w:r>
      <w:r w:rsidR="009D570E">
        <w:rPr>
          <w:rFonts w:cs="Times New Roman"/>
          <w:bCs/>
          <w:szCs w:val="24"/>
        </w:rPr>
        <w:t>UOB</w:t>
      </w:r>
      <w:r>
        <w:rPr>
          <w:rFonts w:cs="Times New Roman"/>
          <w:bCs/>
          <w:szCs w:val="24"/>
        </w:rPr>
        <w:t xml:space="preserve"> Emisyonları</w:t>
      </w:r>
    </w:p>
    <w:p w14:paraId="1E262A20"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19:</w:t>
      </w:r>
      <w:r>
        <w:rPr>
          <w:rFonts w:ascii="Times New Roman" w:hAnsi="Times New Roman" w:cs="Times New Roman"/>
          <w:sz w:val="24"/>
          <w:szCs w:val="24"/>
        </w:rPr>
        <w:t xml:space="preserve"> Havaya olan yayılı </w:t>
      </w:r>
      <w:r w:rsidR="009D570E">
        <w:rPr>
          <w:rFonts w:ascii="Times New Roman" w:hAnsi="Times New Roman" w:cs="Times New Roman"/>
          <w:sz w:val="24"/>
          <w:szCs w:val="24"/>
        </w:rPr>
        <w:t>UOB</w:t>
      </w:r>
      <w:r>
        <w:rPr>
          <w:rFonts w:ascii="Times New Roman" w:hAnsi="Times New Roman" w:cs="Times New Roman"/>
          <w:sz w:val="24"/>
          <w:szCs w:val="24"/>
        </w:rPr>
        <w:t xml:space="preserve"> emisyonlarını önlemek veya, bunun mümkün olmadığı durumlarda, azaltmak için, aşağıdaki tekniklerin bir kombinasyonu kullanılır.</w:t>
      </w:r>
    </w:p>
    <w:tbl>
      <w:tblPr>
        <w:tblStyle w:val="TabloKlavuzu"/>
        <w:tblW w:w="0" w:type="auto"/>
        <w:jc w:val="center"/>
        <w:tblLook w:val="04A0" w:firstRow="1" w:lastRow="0" w:firstColumn="1" w:lastColumn="0" w:noHBand="0" w:noVBand="1"/>
      </w:tblPr>
      <w:tblGrid>
        <w:gridCol w:w="594"/>
        <w:gridCol w:w="4788"/>
        <w:gridCol w:w="3680"/>
      </w:tblGrid>
      <w:tr w:rsidR="006F0765" w:rsidRPr="00393115" w14:paraId="03DC3593" w14:textId="77777777" w:rsidTr="000D79D6">
        <w:trPr>
          <w:tblHeader/>
          <w:jc w:val="center"/>
        </w:trPr>
        <w:tc>
          <w:tcPr>
            <w:tcW w:w="594" w:type="dxa"/>
            <w:vAlign w:val="center"/>
          </w:tcPr>
          <w:p w14:paraId="392AC2C0" w14:textId="77777777" w:rsidR="006F0765" w:rsidRPr="00393115" w:rsidRDefault="006F0765" w:rsidP="000D79D6">
            <w:pPr>
              <w:jc w:val="center"/>
              <w:rPr>
                <w:rFonts w:ascii="Times New Roman" w:hAnsi="Times New Roman" w:cs="Times New Roman"/>
                <w:b/>
                <w:bCs/>
              </w:rPr>
            </w:pPr>
          </w:p>
        </w:tc>
        <w:tc>
          <w:tcPr>
            <w:tcW w:w="4788" w:type="dxa"/>
            <w:vAlign w:val="center"/>
          </w:tcPr>
          <w:p w14:paraId="387E1146"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3680" w:type="dxa"/>
            <w:vAlign w:val="center"/>
          </w:tcPr>
          <w:p w14:paraId="576975E2"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42359204" w14:textId="77777777" w:rsidTr="000D79D6">
        <w:trPr>
          <w:jc w:val="center"/>
        </w:trPr>
        <w:tc>
          <w:tcPr>
            <w:tcW w:w="9062" w:type="dxa"/>
            <w:gridSpan w:val="3"/>
            <w:vAlign w:val="center"/>
          </w:tcPr>
          <w:p w14:paraId="31FFED0B" w14:textId="77777777" w:rsidR="006F0765" w:rsidRPr="00B46CA9" w:rsidRDefault="006F0765" w:rsidP="000D79D6">
            <w:pPr>
              <w:jc w:val="both"/>
              <w:rPr>
                <w:rFonts w:ascii="Times New Roman" w:hAnsi="Times New Roman" w:cs="Times New Roman"/>
                <w:b/>
                <w:bCs/>
              </w:rPr>
            </w:pPr>
            <w:r>
              <w:rPr>
                <w:rFonts w:ascii="Times New Roman" w:hAnsi="Times New Roman" w:cs="Times New Roman"/>
                <w:b/>
                <w:bCs/>
              </w:rPr>
              <w:t>Tesis tasarımı ile ilişkili teknikler</w:t>
            </w:r>
          </w:p>
        </w:tc>
      </w:tr>
      <w:tr w:rsidR="006F0765" w:rsidRPr="00393115" w14:paraId="7927A0D4" w14:textId="77777777" w:rsidTr="000D79D6">
        <w:trPr>
          <w:jc w:val="center"/>
        </w:trPr>
        <w:tc>
          <w:tcPr>
            <w:tcW w:w="594" w:type="dxa"/>
            <w:vAlign w:val="center"/>
          </w:tcPr>
          <w:p w14:paraId="1C2F872F"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4788" w:type="dxa"/>
            <w:vAlign w:val="center"/>
          </w:tcPr>
          <w:p w14:paraId="6661E6D8" w14:textId="77777777" w:rsidR="006F0765" w:rsidRPr="00393115" w:rsidRDefault="006F0765" w:rsidP="000D79D6">
            <w:pPr>
              <w:jc w:val="both"/>
              <w:rPr>
                <w:rFonts w:ascii="Times New Roman" w:hAnsi="Times New Roman" w:cs="Times New Roman"/>
              </w:rPr>
            </w:pPr>
            <w:r>
              <w:rPr>
                <w:rFonts w:ascii="Times New Roman" w:hAnsi="Times New Roman" w:cs="Times New Roman"/>
              </w:rPr>
              <w:t>Potansiyel emisyon kaynakları sayısının sınırlandırılması</w:t>
            </w:r>
          </w:p>
        </w:tc>
        <w:tc>
          <w:tcPr>
            <w:tcW w:w="3680" w:type="dxa"/>
            <w:vMerge w:val="restart"/>
            <w:vAlign w:val="center"/>
          </w:tcPr>
          <w:p w14:paraId="54E1E554" w14:textId="77777777" w:rsidR="006F0765" w:rsidRPr="00393115" w:rsidRDefault="006F0765" w:rsidP="000D79D6">
            <w:pPr>
              <w:jc w:val="both"/>
              <w:rPr>
                <w:rFonts w:ascii="Times New Roman" w:hAnsi="Times New Roman" w:cs="Times New Roman"/>
              </w:rPr>
            </w:pPr>
            <w:r>
              <w:rPr>
                <w:rFonts w:ascii="Times New Roman" w:hAnsi="Times New Roman" w:cs="Times New Roman"/>
              </w:rPr>
              <w:t>Uygulanabilirlik, çalışabilirlik gereksinimleri dolayısıyla mevcut tesislerde kısıtlanabilir.</w:t>
            </w:r>
          </w:p>
        </w:tc>
      </w:tr>
      <w:tr w:rsidR="006F0765" w:rsidRPr="00393115" w14:paraId="1C5B3BB0" w14:textId="77777777" w:rsidTr="000D79D6">
        <w:trPr>
          <w:jc w:val="center"/>
        </w:trPr>
        <w:tc>
          <w:tcPr>
            <w:tcW w:w="594" w:type="dxa"/>
            <w:vAlign w:val="center"/>
          </w:tcPr>
          <w:p w14:paraId="0051D2A4"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4788" w:type="dxa"/>
            <w:vAlign w:val="center"/>
          </w:tcPr>
          <w:p w14:paraId="5E0A8729" w14:textId="77777777" w:rsidR="006F0765" w:rsidRPr="00393115" w:rsidRDefault="006F0765" w:rsidP="000D79D6">
            <w:pPr>
              <w:jc w:val="both"/>
              <w:rPr>
                <w:rFonts w:ascii="Times New Roman" w:hAnsi="Times New Roman" w:cs="Times New Roman"/>
              </w:rPr>
            </w:pPr>
            <w:r>
              <w:rPr>
                <w:rFonts w:ascii="Times New Roman" w:hAnsi="Times New Roman" w:cs="Times New Roman"/>
              </w:rPr>
              <w:t>Prosese özgü kontrol özelliklerinin maksimuma çıkarılması</w:t>
            </w:r>
          </w:p>
        </w:tc>
        <w:tc>
          <w:tcPr>
            <w:tcW w:w="3680" w:type="dxa"/>
            <w:vMerge/>
            <w:vAlign w:val="center"/>
          </w:tcPr>
          <w:p w14:paraId="54F028D4" w14:textId="77777777" w:rsidR="006F0765" w:rsidRPr="00393115" w:rsidRDefault="006F0765" w:rsidP="000D79D6">
            <w:pPr>
              <w:jc w:val="both"/>
              <w:rPr>
                <w:rFonts w:ascii="Times New Roman" w:hAnsi="Times New Roman" w:cs="Times New Roman"/>
              </w:rPr>
            </w:pPr>
          </w:p>
        </w:tc>
      </w:tr>
      <w:tr w:rsidR="006F0765" w:rsidRPr="00393115" w14:paraId="76EDE4F0" w14:textId="77777777" w:rsidTr="000D79D6">
        <w:trPr>
          <w:jc w:val="center"/>
        </w:trPr>
        <w:tc>
          <w:tcPr>
            <w:tcW w:w="594" w:type="dxa"/>
            <w:vAlign w:val="center"/>
          </w:tcPr>
          <w:p w14:paraId="730D8D46" w14:textId="77777777" w:rsidR="006F0765" w:rsidRDefault="006F0765" w:rsidP="000D79D6">
            <w:pPr>
              <w:jc w:val="center"/>
              <w:rPr>
                <w:rFonts w:ascii="Times New Roman" w:hAnsi="Times New Roman" w:cs="Times New Roman"/>
              </w:rPr>
            </w:pPr>
            <w:r>
              <w:rPr>
                <w:rFonts w:ascii="Times New Roman" w:hAnsi="Times New Roman" w:cs="Times New Roman"/>
              </w:rPr>
              <w:t>(c)</w:t>
            </w:r>
          </w:p>
        </w:tc>
        <w:tc>
          <w:tcPr>
            <w:tcW w:w="4788" w:type="dxa"/>
            <w:vAlign w:val="center"/>
          </w:tcPr>
          <w:p w14:paraId="69F1BB6D" w14:textId="77777777" w:rsidR="006F0765" w:rsidRDefault="006F0765" w:rsidP="000D79D6">
            <w:pPr>
              <w:jc w:val="both"/>
              <w:rPr>
                <w:rFonts w:ascii="Times New Roman" w:hAnsi="Times New Roman" w:cs="Times New Roman"/>
              </w:rPr>
            </w:pPr>
            <w:r>
              <w:rPr>
                <w:rFonts w:ascii="Times New Roman" w:hAnsi="Times New Roman" w:cs="Times New Roman"/>
              </w:rPr>
              <w:t>Yüksek sağlamlığa sahip ekipmanların seçilmesi</w:t>
            </w:r>
          </w:p>
        </w:tc>
        <w:tc>
          <w:tcPr>
            <w:tcW w:w="3680" w:type="dxa"/>
            <w:vMerge/>
            <w:vAlign w:val="center"/>
          </w:tcPr>
          <w:p w14:paraId="79B02E51" w14:textId="77777777" w:rsidR="006F0765" w:rsidRPr="00393115" w:rsidRDefault="006F0765" w:rsidP="000D79D6">
            <w:pPr>
              <w:jc w:val="both"/>
              <w:rPr>
                <w:rFonts w:ascii="Times New Roman" w:hAnsi="Times New Roman" w:cs="Times New Roman"/>
              </w:rPr>
            </w:pPr>
          </w:p>
        </w:tc>
      </w:tr>
      <w:tr w:rsidR="006F0765" w:rsidRPr="00393115" w14:paraId="6570D527" w14:textId="77777777" w:rsidTr="000D79D6">
        <w:trPr>
          <w:jc w:val="center"/>
        </w:trPr>
        <w:tc>
          <w:tcPr>
            <w:tcW w:w="594" w:type="dxa"/>
            <w:vAlign w:val="center"/>
          </w:tcPr>
          <w:p w14:paraId="1F74D3C9" w14:textId="77777777" w:rsidR="006F0765" w:rsidRDefault="006F0765" w:rsidP="000D79D6">
            <w:pPr>
              <w:jc w:val="center"/>
              <w:rPr>
                <w:rFonts w:ascii="Times New Roman" w:hAnsi="Times New Roman" w:cs="Times New Roman"/>
              </w:rPr>
            </w:pPr>
            <w:r>
              <w:rPr>
                <w:rFonts w:ascii="Times New Roman" w:hAnsi="Times New Roman" w:cs="Times New Roman"/>
              </w:rPr>
              <w:t>(d)</w:t>
            </w:r>
          </w:p>
        </w:tc>
        <w:tc>
          <w:tcPr>
            <w:tcW w:w="4788" w:type="dxa"/>
            <w:vAlign w:val="center"/>
          </w:tcPr>
          <w:p w14:paraId="5FED7E97" w14:textId="77777777" w:rsidR="006F0765" w:rsidRDefault="006F0765" w:rsidP="000D79D6">
            <w:pPr>
              <w:jc w:val="both"/>
              <w:rPr>
                <w:rFonts w:ascii="Times New Roman" w:hAnsi="Times New Roman" w:cs="Times New Roman"/>
              </w:rPr>
            </w:pPr>
            <w:r>
              <w:rPr>
                <w:rFonts w:ascii="Times New Roman" w:hAnsi="Times New Roman" w:cs="Times New Roman"/>
              </w:rPr>
              <w:t>Potansiyel olarak sızdıran ekipmana erişimin sağlanması ile bakım faaliyetlerinin kolaylaştırılması</w:t>
            </w:r>
          </w:p>
        </w:tc>
        <w:tc>
          <w:tcPr>
            <w:tcW w:w="3680" w:type="dxa"/>
            <w:vMerge/>
            <w:vAlign w:val="center"/>
          </w:tcPr>
          <w:p w14:paraId="351E4604" w14:textId="77777777" w:rsidR="006F0765" w:rsidRPr="00393115" w:rsidRDefault="006F0765" w:rsidP="000D79D6">
            <w:pPr>
              <w:jc w:val="both"/>
              <w:rPr>
                <w:rFonts w:ascii="Times New Roman" w:hAnsi="Times New Roman" w:cs="Times New Roman"/>
              </w:rPr>
            </w:pPr>
          </w:p>
        </w:tc>
      </w:tr>
      <w:tr w:rsidR="006F0765" w:rsidRPr="00393115" w14:paraId="172FCD7A" w14:textId="77777777" w:rsidTr="000D79D6">
        <w:trPr>
          <w:jc w:val="center"/>
        </w:trPr>
        <w:tc>
          <w:tcPr>
            <w:tcW w:w="9062" w:type="dxa"/>
            <w:gridSpan w:val="3"/>
            <w:vAlign w:val="center"/>
          </w:tcPr>
          <w:p w14:paraId="34AE20DF" w14:textId="77777777" w:rsidR="006F0765" w:rsidRPr="00F635A3" w:rsidRDefault="006F0765" w:rsidP="000D79D6">
            <w:pPr>
              <w:jc w:val="both"/>
              <w:rPr>
                <w:rFonts w:ascii="Times New Roman" w:hAnsi="Times New Roman" w:cs="Times New Roman"/>
                <w:b/>
                <w:bCs/>
              </w:rPr>
            </w:pPr>
            <w:r>
              <w:rPr>
                <w:rFonts w:ascii="Times New Roman" w:hAnsi="Times New Roman" w:cs="Times New Roman"/>
                <w:b/>
                <w:bCs/>
              </w:rPr>
              <w:t>Tesis/ekipman inşası, montajı ve devreye alınması ile ilişkili teknikler</w:t>
            </w:r>
          </w:p>
        </w:tc>
      </w:tr>
      <w:tr w:rsidR="006F0765" w:rsidRPr="00393115" w14:paraId="37BB5F8D" w14:textId="77777777" w:rsidTr="000D79D6">
        <w:trPr>
          <w:jc w:val="center"/>
        </w:trPr>
        <w:tc>
          <w:tcPr>
            <w:tcW w:w="594" w:type="dxa"/>
            <w:vAlign w:val="center"/>
          </w:tcPr>
          <w:p w14:paraId="1FEA7938" w14:textId="77777777" w:rsidR="006F0765" w:rsidRDefault="006F0765" w:rsidP="000D79D6">
            <w:pPr>
              <w:jc w:val="center"/>
              <w:rPr>
                <w:rFonts w:ascii="Times New Roman" w:hAnsi="Times New Roman" w:cs="Times New Roman"/>
              </w:rPr>
            </w:pPr>
            <w:r>
              <w:rPr>
                <w:rFonts w:ascii="Times New Roman" w:hAnsi="Times New Roman" w:cs="Times New Roman"/>
              </w:rPr>
              <w:t>(e)</w:t>
            </w:r>
          </w:p>
        </w:tc>
        <w:tc>
          <w:tcPr>
            <w:tcW w:w="4788" w:type="dxa"/>
            <w:vAlign w:val="center"/>
          </w:tcPr>
          <w:p w14:paraId="01392028" w14:textId="77777777" w:rsidR="006F0765" w:rsidRDefault="006F0765" w:rsidP="000D79D6">
            <w:pPr>
              <w:jc w:val="both"/>
              <w:rPr>
                <w:rFonts w:ascii="Times New Roman" w:hAnsi="Times New Roman" w:cs="Times New Roman"/>
              </w:rPr>
            </w:pPr>
            <w:r>
              <w:rPr>
                <w:rFonts w:ascii="Times New Roman" w:hAnsi="Times New Roman" w:cs="Times New Roman"/>
              </w:rPr>
              <w:t>Tesis/ekipman inşası ve montajı için iyi açıklanmış ve kapsamlı prosedürlerin sağlanması. Bu, flanşlı ek montaj için tasarlanmış conta baskısını da içerir.</w:t>
            </w:r>
          </w:p>
        </w:tc>
        <w:tc>
          <w:tcPr>
            <w:tcW w:w="3680" w:type="dxa"/>
            <w:vMerge w:val="restart"/>
            <w:vAlign w:val="center"/>
          </w:tcPr>
          <w:p w14:paraId="07934499"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33F272DC" w14:textId="77777777" w:rsidTr="000D79D6">
        <w:trPr>
          <w:jc w:val="center"/>
        </w:trPr>
        <w:tc>
          <w:tcPr>
            <w:tcW w:w="594" w:type="dxa"/>
            <w:vAlign w:val="center"/>
          </w:tcPr>
          <w:p w14:paraId="2A4D6B85" w14:textId="77777777" w:rsidR="006F0765" w:rsidRDefault="006F0765" w:rsidP="000D79D6">
            <w:pPr>
              <w:jc w:val="center"/>
              <w:rPr>
                <w:rFonts w:ascii="Times New Roman" w:hAnsi="Times New Roman" w:cs="Times New Roman"/>
              </w:rPr>
            </w:pPr>
            <w:r>
              <w:rPr>
                <w:rFonts w:ascii="Times New Roman" w:hAnsi="Times New Roman" w:cs="Times New Roman"/>
              </w:rPr>
              <w:t>(f)</w:t>
            </w:r>
          </w:p>
        </w:tc>
        <w:tc>
          <w:tcPr>
            <w:tcW w:w="4788" w:type="dxa"/>
            <w:vAlign w:val="center"/>
          </w:tcPr>
          <w:p w14:paraId="77228D74" w14:textId="77777777" w:rsidR="006F0765" w:rsidRDefault="006F0765" w:rsidP="000D79D6">
            <w:pPr>
              <w:jc w:val="both"/>
              <w:rPr>
                <w:rFonts w:ascii="Times New Roman" w:hAnsi="Times New Roman" w:cs="Times New Roman"/>
              </w:rPr>
            </w:pPr>
            <w:r>
              <w:rPr>
                <w:rFonts w:ascii="Times New Roman" w:hAnsi="Times New Roman" w:cs="Times New Roman"/>
              </w:rPr>
              <w:t>Tasarım gereksinimleriyle aynı doğrultuda olacak şekilde, tesis/ekipman devreye alma ve devretme prosedürlerinin sağlanması.</w:t>
            </w:r>
          </w:p>
        </w:tc>
        <w:tc>
          <w:tcPr>
            <w:tcW w:w="3680" w:type="dxa"/>
            <w:vMerge/>
            <w:vAlign w:val="center"/>
          </w:tcPr>
          <w:p w14:paraId="03998791" w14:textId="77777777" w:rsidR="006F0765" w:rsidRPr="00393115" w:rsidRDefault="006F0765" w:rsidP="000D79D6">
            <w:pPr>
              <w:jc w:val="both"/>
              <w:rPr>
                <w:rFonts w:ascii="Times New Roman" w:hAnsi="Times New Roman" w:cs="Times New Roman"/>
              </w:rPr>
            </w:pPr>
          </w:p>
        </w:tc>
      </w:tr>
      <w:tr w:rsidR="006F0765" w:rsidRPr="00393115" w14:paraId="1AA5B8AF" w14:textId="77777777" w:rsidTr="000D79D6">
        <w:trPr>
          <w:jc w:val="center"/>
        </w:trPr>
        <w:tc>
          <w:tcPr>
            <w:tcW w:w="9062" w:type="dxa"/>
            <w:gridSpan w:val="3"/>
            <w:vAlign w:val="center"/>
          </w:tcPr>
          <w:p w14:paraId="772D29B3" w14:textId="77777777" w:rsidR="006F0765" w:rsidRPr="00F635A3" w:rsidRDefault="006F0765" w:rsidP="000D79D6">
            <w:pPr>
              <w:jc w:val="both"/>
              <w:rPr>
                <w:rFonts w:ascii="Times New Roman" w:hAnsi="Times New Roman" w:cs="Times New Roman"/>
                <w:b/>
                <w:bCs/>
              </w:rPr>
            </w:pPr>
            <w:r>
              <w:rPr>
                <w:rFonts w:ascii="Times New Roman" w:hAnsi="Times New Roman" w:cs="Times New Roman"/>
                <w:b/>
                <w:bCs/>
              </w:rPr>
              <w:t>Tesis operasyonu ile ilişkili teknikler</w:t>
            </w:r>
          </w:p>
        </w:tc>
      </w:tr>
      <w:tr w:rsidR="006F0765" w:rsidRPr="00393115" w14:paraId="66B0D048" w14:textId="77777777" w:rsidTr="000D79D6">
        <w:trPr>
          <w:jc w:val="center"/>
        </w:trPr>
        <w:tc>
          <w:tcPr>
            <w:tcW w:w="594" w:type="dxa"/>
            <w:vAlign w:val="center"/>
          </w:tcPr>
          <w:p w14:paraId="62AAC067" w14:textId="77777777" w:rsidR="006F0765" w:rsidRDefault="006F0765" w:rsidP="000D79D6">
            <w:pPr>
              <w:jc w:val="center"/>
              <w:rPr>
                <w:rFonts w:ascii="Times New Roman" w:hAnsi="Times New Roman" w:cs="Times New Roman"/>
              </w:rPr>
            </w:pPr>
            <w:r>
              <w:rPr>
                <w:rFonts w:ascii="Times New Roman" w:hAnsi="Times New Roman" w:cs="Times New Roman"/>
              </w:rPr>
              <w:t>(g)</w:t>
            </w:r>
          </w:p>
        </w:tc>
        <w:tc>
          <w:tcPr>
            <w:tcW w:w="4788" w:type="dxa"/>
            <w:vAlign w:val="center"/>
          </w:tcPr>
          <w:p w14:paraId="4BA41D6A" w14:textId="77777777" w:rsidR="006F0765" w:rsidRDefault="006F0765" w:rsidP="000D79D6">
            <w:pPr>
              <w:jc w:val="both"/>
              <w:rPr>
                <w:rFonts w:ascii="Times New Roman" w:hAnsi="Times New Roman" w:cs="Times New Roman"/>
              </w:rPr>
            </w:pPr>
            <w:r>
              <w:rPr>
                <w:rFonts w:ascii="Times New Roman" w:hAnsi="Times New Roman" w:cs="Times New Roman"/>
              </w:rPr>
              <w:t>Ekipmanın iyi bakımı ve zamanında yapılan değişiminin sağlanması</w:t>
            </w:r>
          </w:p>
        </w:tc>
        <w:tc>
          <w:tcPr>
            <w:tcW w:w="3680" w:type="dxa"/>
            <w:vMerge w:val="restart"/>
            <w:vAlign w:val="center"/>
          </w:tcPr>
          <w:p w14:paraId="720937DB"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190E19A6" w14:textId="77777777" w:rsidTr="000D79D6">
        <w:trPr>
          <w:jc w:val="center"/>
        </w:trPr>
        <w:tc>
          <w:tcPr>
            <w:tcW w:w="594" w:type="dxa"/>
            <w:vAlign w:val="center"/>
          </w:tcPr>
          <w:p w14:paraId="28334096" w14:textId="77777777" w:rsidR="006F0765" w:rsidRDefault="006F0765" w:rsidP="000D79D6">
            <w:pPr>
              <w:jc w:val="center"/>
              <w:rPr>
                <w:rFonts w:ascii="Times New Roman" w:hAnsi="Times New Roman" w:cs="Times New Roman"/>
              </w:rPr>
            </w:pPr>
            <w:r>
              <w:rPr>
                <w:rFonts w:ascii="Times New Roman" w:hAnsi="Times New Roman" w:cs="Times New Roman"/>
              </w:rPr>
              <w:t>(h)</w:t>
            </w:r>
          </w:p>
        </w:tc>
        <w:tc>
          <w:tcPr>
            <w:tcW w:w="4788" w:type="dxa"/>
            <w:vAlign w:val="center"/>
          </w:tcPr>
          <w:p w14:paraId="51417995" w14:textId="77777777" w:rsidR="006F0765" w:rsidRDefault="006F0765" w:rsidP="000D79D6">
            <w:pPr>
              <w:jc w:val="both"/>
              <w:rPr>
                <w:rFonts w:ascii="Times New Roman" w:hAnsi="Times New Roman" w:cs="Times New Roman"/>
              </w:rPr>
            </w:pPr>
            <w:r>
              <w:rPr>
                <w:rFonts w:ascii="Times New Roman" w:hAnsi="Times New Roman" w:cs="Times New Roman"/>
              </w:rPr>
              <w:t>Risk tabanlı sızıntı tespit ve onarım (LDAR) programının kullanımı</w:t>
            </w:r>
          </w:p>
        </w:tc>
        <w:tc>
          <w:tcPr>
            <w:tcW w:w="3680" w:type="dxa"/>
            <w:vMerge/>
            <w:vAlign w:val="center"/>
          </w:tcPr>
          <w:p w14:paraId="57E220B8" w14:textId="77777777" w:rsidR="006F0765" w:rsidRPr="00393115" w:rsidRDefault="006F0765" w:rsidP="000D79D6">
            <w:pPr>
              <w:jc w:val="both"/>
              <w:rPr>
                <w:rFonts w:ascii="Times New Roman" w:hAnsi="Times New Roman" w:cs="Times New Roman"/>
              </w:rPr>
            </w:pPr>
          </w:p>
        </w:tc>
      </w:tr>
      <w:tr w:rsidR="006F0765" w:rsidRPr="00393115" w14:paraId="0BF89D69" w14:textId="77777777" w:rsidTr="000D79D6">
        <w:trPr>
          <w:jc w:val="center"/>
        </w:trPr>
        <w:tc>
          <w:tcPr>
            <w:tcW w:w="594" w:type="dxa"/>
            <w:vAlign w:val="center"/>
          </w:tcPr>
          <w:p w14:paraId="4CFAB0DF" w14:textId="77777777" w:rsidR="006F0765" w:rsidRDefault="006F0765" w:rsidP="000D79D6">
            <w:pPr>
              <w:jc w:val="center"/>
              <w:rPr>
                <w:rFonts w:ascii="Times New Roman" w:hAnsi="Times New Roman" w:cs="Times New Roman"/>
              </w:rPr>
            </w:pPr>
            <w:r>
              <w:rPr>
                <w:rFonts w:ascii="Times New Roman" w:hAnsi="Times New Roman" w:cs="Times New Roman"/>
              </w:rPr>
              <w:t>(i)</w:t>
            </w:r>
          </w:p>
        </w:tc>
        <w:tc>
          <w:tcPr>
            <w:tcW w:w="4788" w:type="dxa"/>
            <w:vAlign w:val="center"/>
          </w:tcPr>
          <w:p w14:paraId="4860445C" w14:textId="77777777" w:rsidR="006F0765" w:rsidRDefault="006F0765" w:rsidP="000D79D6">
            <w:pPr>
              <w:jc w:val="both"/>
              <w:rPr>
                <w:rFonts w:ascii="Times New Roman" w:hAnsi="Times New Roman" w:cs="Times New Roman"/>
              </w:rPr>
            </w:pPr>
            <w:r>
              <w:rPr>
                <w:rFonts w:ascii="Times New Roman" w:hAnsi="Times New Roman" w:cs="Times New Roman"/>
              </w:rPr>
              <w:t xml:space="preserve">Makul olduğu sürece, yayılı </w:t>
            </w:r>
            <w:r w:rsidR="009D570E">
              <w:rPr>
                <w:rFonts w:ascii="Times New Roman" w:hAnsi="Times New Roman" w:cs="Times New Roman"/>
              </w:rPr>
              <w:t>UOB</w:t>
            </w:r>
            <w:r>
              <w:rPr>
                <w:rFonts w:ascii="Times New Roman" w:hAnsi="Times New Roman" w:cs="Times New Roman"/>
              </w:rPr>
              <w:t xml:space="preserve"> emisyonlarının önlenmesi, kaynağında toplanması ve arıtılması</w:t>
            </w:r>
          </w:p>
        </w:tc>
        <w:tc>
          <w:tcPr>
            <w:tcW w:w="3680" w:type="dxa"/>
            <w:vMerge/>
            <w:vAlign w:val="center"/>
          </w:tcPr>
          <w:p w14:paraId="302B6619" w14:textId="77777777" w:rsidR="006F0765" w:rsidRPr="00393115" w:rsidRDefault="006F0765" w:rsidP="000D79D6">
            <w:pPr>
              <w:jc w:val="both"/>
              <w:rPr>
                <w:rFonts w:ascii="Times New Roman" w:hAnsi="Times New Roman" w:cs="Times New Roman"/>
              </w:rPr>
            </w:pPr>
          </w:p>
        </w:tc>
      </w:tr>
    </w:tbl>
    <w:p w14:paraId="5BBB6DD4" w14:textId="77777777" w:rsidR="006F0765" w:rsidRDefault="006F0765" w:rsidP="006F0765">
      <w:pPr>
        <w:spacing w:after="120" w:line="276" w:lineRule="auto"/>
        <w:jc w:val="both"/>
        <w:rPr>
          <w:rFonts w:ascii="Times New Roman" w:hAnsi="Times New Roman" w:cs="Times New Roman"/>
          <w:sz w:val="24"/>
          <w:szCs w:val="24"/>
        </w:rPr>
      </w:pPr>
    </w:p>
    <w:p w14:paraId="4071500F"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İlişkili izleme, MET 5’te verilmektedir.</w:t>
      </w:r>
    </w:p>
    <w:p w14:paraId="56191475" w14:textId="77777777" w:rsidR="006F0765" w:rsidRPr="006C6672" w:rsidRDefault="006F0765" w:rsidP="006F0765">
      <w:pPr>
        <w:pStyle w:val="Balk3"/>
        <w:spacing w:before="0" w:after="120" w:line="276" w:lineRule="auto"/>
        <w:jc w:val="both"/>
        <w:rPr>
          <w:rFonts w:cs="Times New Roman"/>
          <w:b w:val="0"/>
          <w:bCs/>
          <w:szCs w:val="24"/>
        </w:rPr>
      </w:pPr>
      <w:r>
        <w:rPr>
          <w:rFonts w:cs="Times New Roman"/>
          <w:bCs/>
          <w:szCs w:val="24"/>
        </w:rPr>
        <w:t>(5.5) Koku Emisyonları</w:t>
      </w:r>
    </w:p>
    <w:p w14:paraId="1B32B18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20:</w:t>
      </w:r>
      <w:r>
        <w:rPr>
          <w:rFonts w:ascii="Times New Roman" w:hAnsi="Times New Roman" w:cs="Times New Roman"/>
          <w:sz w:val="24"/>
          <w:szCs w:val="24"/>
        </w:rPr>
        <w:t xml:space="preserve"> Koku emisyonlarını önlemek veya, bunun mümkün olmadığı durumlarda, azaltmak için, ÇYS’nin bir parçası olarak (bkz. MET 1), aşağıdakilerin tümünü içeren bir koku yönetim planı oluşturulur, uygulanır ve düzenli aralıklarla değerlendirilir:</w:t>
      </w:r>
    </w:p>
    <w:p w14:paraId="02D09C60" w14:textId="77777777" w:rsidR="006F0765" w:rsidRDefault="006F0765" w:rsidP="006F0765">
      <w:pPr>
        <w:pStyle w:val="ListeParagraf"/>
        <w:numPr>
          <w:ilvl w:val="0"/>
          <w:numId w:val="229"/>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uygun eylem ve zaman planlarını içeren bir protokol;</w:t>
      </w:r>
    </w:p>
    <w:p w14:paraId="180BC1AE" w14:textId="77777777" w:rsidR="006F0765" w:rsidRDefault="006F0765" w:rsidP="006F0765">
      <w:pPr>
        <w:pStyle w:val="ListeParagraf"/>
        <w:numPr>
          <w:ilvl w:val="0"/>
          <w:numId w:val="229"/>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koku izlemenin yürütülmesi için bir protokol;</w:t>
      </w:r>
    </w:p>
    <w:p w14:paraId="1611E989" w14:textId="77777777" w:rsidR="006F0765" w:rsidRDefault="006F0765" w:rsidP="006F0765">
      <w:pPr>
        <w:pStyle w:val="ListeParagraf"/>
        <w:numPr>
          <w:ilvl w:val="0"/>
          <w:numId w:val="229"/>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belirli koku olaylarına müdahale için bir protokol;</w:t>
      </w:r>
    </w:p>
    <w:p w14:paraId="4838F586" w14:textId="77777777" w:rsidR="006F0765" w:rsidRDefault="006F0765" w:rsidP="006F0765">
      <w:pPr>
        <w:pStyle w:val="ListeParagraf"/>
        <w:numPr>
          <w:ilvl w:val="0"/>
          <w:numId w:val="229"/>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kaynağı/kaynakları belirlemek, koku maruziyetini ölçmek/tahmin etmek, kaynakların katkılarını karakterize etmek ve önleme ve/veya azaltma önlemlerini uygulamak için tasarlanmış bir koku önleme ve azaltım programı.</w:t>
      </w:r>
    </w:p>
    <w:p w14:paraId="4C2FFDD4"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İlişkili izleme, MET 6’da verilmiştir.</w:t>
      </w:r>
    </w:p>
    <w:p w14:paraId="68299A4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 rahatsız edici kokunun beklendiği veya rapor edildiği durumlar ile sınırlıdır.</w:t>
      </w:r>
    </w:p>
    <w:p w14:paraId="1F10CE6B"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21:</w:t>
      </w:r>
      <w:r>
        <w:rPr>
          <w:rFonts w:ascii="Times New Roman" w:hAnsi="Times New Roman" w:cs="Times New Roman"/>
          <w:sz w:val="24"/>
          <w:szCs w:val="24"/>
        </w:rPr>
        <w:t xml:space="preserve"> Atıksu toplama ve arıtma ile çamur arıtmadan kaynaklanan koku emisyonlarını önlemek veya, bunun mümkün olmadığı durumlarda, azaltmak için, aşağıdaki tekniklerin biri veya bir kombinasyonu kullanılır.</w:t>
      </w:r>
    </w:p>
    <w:tbl>
      <w:tblPr>
        <w:tblStyle w:val="TabloKlavuzu"/>
        <w:tblW w:w="0" w:type="auto"/>
        <w:jc w:val="center"/>
        <w:tblLook w:val="04A0" w:firstRow="1" w:lastRow="0" w:firstColumn="1" w:lastColumn="0" w:noHBand="0" w:noVBand="1"/>
      </w:tblPr>
      <w:tblGrid>
        <w:gridCol w:w="594"/>
        <w:gridCol w:w="2840"/>
        <w:gridCol w:w="2440"/>
        <w:gridCol w:w="3188"/>
      </w:tblGrid>
      <w:tr w:rsidR="006F0765" w:rsidRPr="00393115" w14:paraId="74FAE2A0" w14:textId="77777777" w:rsidTr="000D79D6">
        <w:trPr>
          <w:tblHeader/>
          <w:jc w:val="center"/>
        </w:trPr>
        <w:tc>
          <w:tcPr>
            <w:tcW w:w="594" w:type="dxa"/>
            <w:vAlign w:val="center"/>
          </w:tcPr>
          <w:p w14:paraId="62CBA7ED" w14:textId="77777777" w:rsidR="006F0765" w:rsidRPr="00393115" w:rsidRDefault="006F0765" w:rsidP="000D79D6">
            <w:pPr>
              <w:jc w:val="center"/>
              <w:rPr>
                <w:rFonts w:ascii="Times New Roman" w:hAnsi="Times New Roman" w:cs="Times New Roman"/>
                <w:b/>
                <w:bCs/>
              </w:rPr>
            </w:pPr>
          </w:p>
        </w:tc>
        <w:tc>
          <w:tcPr>
            <w:tcW w:w="2840" w:type="dxa"/>
            <w:vAlign w:val="center"/>
          </w:tcPr>
          <w:p w14:paraId="39F60CC2"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2440" w:type="dxa"/>
            <w:vAlign w:val="center"/>
          </w:tcPr>
          <w:p w14:paraId="2F544A44" w14:textId="77777777" w:rsidR="006F0765" w:rsidRDefault="006F0765" w:rsidP="000D79D6">
            <w:pPr>
              <w:jc w:val="center"/>
              <w:rPr>
                <w:rFonts w:ascii="Times New Roman" w:hAnsi="Times New Roman" w:cs="Times New Roman"/>
                <w:b/>
                <w:bCs/>
              </w:rPr>
            </w:pPr>
            <w:r>
              <w:rPr>
                <w:rFonts w:ascii="Times New Roman" w:hAnsi="Times New Roman" w:cs="Times New Roman"/>
                <w:b/>
                <w:bCs/>
              </w:rPr>
              <w:t>Açıklama</w:t>
            </w:r>
          </w:p>
        </w:tc>
        <w:tc>
          <w:tcPr>
            <w:tcW w:w="3188" w:type="dxa"/>
            <w:vAlign w:val="center"/>
          </w:tcPr>
          <w:p w14:paraId="4FB1D9BC"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05DB4B76" w14:textId="77777777" w:rsidTr="000D79D6">
        <w:trPr>
          <w:jc w:val="center"/>
        </w:trPr>
        <w:tc>
          <w:tcPr>
            <w:tcW w:w="594" w:type="dxa"/>
            <w:vAlign w:val="center"/>
          </w:tcPr>
          <w:p w14:paraId="57D51274"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2840" w:type="dxa"/>
            <w:vAlign w:val="center"/>
          </w:tcPr>
          <w:p w14:paraId="2431CF93" w14:textId="77777777" w:rsidR="006F0765" w:rsidRPr="00393115" w:rsidRDefault="006F0765" w:rsidP="000D79D6">
            <w:pPr>
              <w:jc w:val="both"/>
              <w:rPr>
                <w:rFonts w:ascii="Times New Roman" w:hAnsi="Times New Roman" w:cs="Times New Roman"/>
              </w:rPr>
            </w:pPr>
            <w:r>
              <w:rPr>
                <w:rFonts w:ascii="Times New Roman" w:hAnsi="Times New Roman" w:cs="Times New Roman"/>
              </w:rPr>
              <w:t>Bekleme sürelerinin en aza indirilmesi</w:t>
            </w:r>
          </w:p>
        </w:tc>
        <w:tc>
          <w:tcPr>
            <w:tcW w:w="2440" w:type="dxa"/>
            <w:vAlign w:val="center"/>
          </w:tcPr>
          <w:p w14:paraId="25F4EF4E" w14:textId="77777777" w:rsidR="006F0765" w:rsidRDefault="006F0765" w:rsidP="000D79D6">
            <w:pPr>
              <w:jc w:val="both"/>
              <w:rPr>
                <w:rFonts w:ascii="Times New Roman" w:hAnsi="Times New Roman" w:cs="Times New Roman"/>
              </w:rPr>
            </w:pPr>
            <w:r>
              <w:rPr>
                <w:rFonts w:ascii="Times New Roman" w:hAnsi="Times New Roman" w:cs="Times New Roman"/>
              </w:rPr>
              <w:t>Özellikle anaerobik koşullar altında, atıksu ve çamurun toplama ve depolama sistemlerindeki bekleme sürelerinin en aza indirilmesi.</w:t>
            </w:r>
          </w:p>
        </w:tc>
        <w:tc>
          <w:tcPr>
            <w:tcW w:w="3188" w:type="dxa"/>
            <w:vAlign w:val="center"/>
          </w:tcPr>
          <w:p w14:paraId="408D3FF4" w14:textId="77777777" w:rsidR="006F0765" w:rsidRPr="00393115" w:rsidRDefault="006F0765" w:rsidP="000D79D6">
            <w:pPr>
              <w:jc w:val="both"/>
              <w:rPr>
                <w:rFonts w:ascii="Times New Roman" w:hAnsi="Times New Roman" w:cs="Times New Roman"/>
              </w:rPr>
            </w:pPr>
            <w:r>
              <w:rPr>
                <w:rFonts w:ascii="Times New Roman" w:hAnsi="Times New Roman" w:cs="Times New Roman"/>
              </w:rPr>
              <w:t>Uygulanabilirlik, mevcut toplama ve depolama sistemleri ile kısıtlanabilir.</w:t>
            </w:r>
          </w:p>
        </w:tc>
      </w:tr>
      <w:tr w:rsidR="006F0765" w:rsidRPr="00393115" w14:paraId="181CD546" w14:textId="77777777" w:rsidTr="000D79D6">
        <w:trPr>
          <w:jc w:val="center"/>
        </w:trPr>
        <w:tc>
          <w:tcPr>
            <w:tcW w:w="594" w:type="dxa"/>
            <w:vAlign w:val="center"/>
          </w:tcPr>
          <w:p w14:paraId="48EA9CD9"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2840" w:type="dxa"/>
            <w:vAlign w:val="center"/>
          </w:tcPr>
          <w:p w14:paraId="6B900666" w14:textId="77777777" w:rsidR="006F0765" w:rsidRPr="00393115" w:rsidRDefault="006F0765" w:rsidP="000D79D6">
            <w:pPr>
              <w:jc w:val="both"/>
              <w:rPr>
                <w:rFonts w:ascii="Times New Roman" w:hAnsi="Times New Roman" w:cs="Times New Roman"/>
              </w:rPr>
            </w:pPr>
            <w:r>
              <w:rPr>
                <w:rFonts w:ascii="Times New Roman" w:hAnsi="Times New Roman" w:cs="Times New Roman"/>
              </w:rPr>
              <w:t>Kimyasal arıtma</w:t>
            </w:r>
          </w:p>
        </w:tc>
        <w:tc>
          <w:tcPr>
            <w:tcW w:w="2440" w:type="dxa"/>
            <w:vAlign w:val="center"/>
          </w:tcPr>
          <w:p w14:paraId="0F526188" w14:textId="77777777" w:rsidR="006F0765" w:rsidRDefault="006F0765" w:rsidP="000D79D6">
            <w:pPr>
              <w:jc w:val="both"/>
              <w:rPr>
                <w:rFonts w:ascii="Times New Roman" w:hAnsi="Times New Roman" w:cs="Times New Roman"/>
              </w:rPr>
            </w:pPr>
            <w:r>
              <w:rPr>
                <w:rFonts w:ascii="Times New Roman" w:hAnsi="Times New Roman" w:cs="Times New Roman"/>
              </w:rPr>
              <w:t>Kokulu bileşiklerin oluşumunu sonlandırmak veya azaltmak için kimyasalların kullanımı (örn. hidrojen sülfitin oksidasyonu veya çöktürülmesi).</w:t>
            </w:r>
          </w:p>
        </w:tc>
        <w:tc>
          <w:tcPr>
            <w:tcW w:w="3188" w:type="dxa"/>
            <w:vAlign w:val="center"/>
          </w:tcPr>
          <w:p w14:paraId="6674563A"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59E490E3" w14:textId="77777777" w:rsidTr="000D79D6">
        <w:trPr>
          <w:jc w:val="center"/>
        </w:trPr>
        <w:tc>
          <w:tcPr>
            <w:tcW w:w="594" w:type="dxa"/>
            <w:vAlign w:val="center"/>
          </w:tcPr>
          <w:p w14:paraId="252EAEFB" w14:textId="77777777" w:rsidR="006F0765" w:rsidRDefault="006F0765" w:rsidP="000D79D6">
            <w:pPr>
              <w:jc w:val="center"/>
              <w:rPr>
                <w:rFonts w:ascii="Times New Roman" w:hAnsi="Times New Roman" w:cs="Times New Roman"/>
              </w:rPr>
            </w:pPr>
            <w:r>
              <w:rPr>
                <w:rFonts w:ascii="Times New Roman" w:hAnsi="Times New Roman" w:cs="Times New Roman"/>
              </w:rPr>
              <w:t>(c)</w:t>
            </w:r>
          </w:p>
        </w:tc>
        <w:tc>
          <w:tcPr>
            <w:tcW w:w="2840" w:type="dxa"/>
            <w:vAlign w:val="center"/>
          </w:tcPr>
          <w:p w14:paraId="0AFB90C7" w14:textId="77777777" w:rsidR="006F0765" w:rsidRDefault="006F0765" w:rsidP="000D79D6">
            <w:pPr>
              <w:jc w:val="both"/>
              <w:rPr>
                <w:rFonts w:ascii="Times New Roman" w:hAnsi="Times New Roman" w:cs="Times New Roman"/>
              </w:rPr>
            </w:pPr>
            <w:r>
              <w:rPr>
                <w:rFonts w:ascii="Times New Roman" w:hAnsi="Times New Roman" w:cs="Times New Roman"/>
              </w:rPr>
              <w:t>Aerobik arıtmanın optimizasyonu</w:t>
            </w:r>
          </w:p>
        </w:tc>
        <w:tc>
          <w:tcPr>
            <w:tcW w:w="2440" w:type="dxa"/>
            <w:vAlign w:val="center"/>
          </w:tcPr>
          <w:p w14:paraId="6FEDE19B" w14:textId="77777777" w:rsidR="006F0765" w:rsidRDefault="006F0765" w:rsidP="000D79D6">
            <w:pPr>
              <w:jc w:val="both"/>
              <w:rPr>
                <w:rFonts w:ascii="Times New Roman" w:hAnsi="Times New Roman" w:cs="Times New Roman"/>
              </w:rPr>
            </w:pPr>
            <w:r>
              <w:rPr>
                <w:rFonts w:ascii="Times New Roman" w:hAnsi="Times New Roman" w:cs="Times New Roman"/>
              </w:rPr>
              <w:t>Bu, şunları içerebilir:</w:t>
            </w:r>
          </w:p>
          <w:p w14:paraId="13F4E3CF" w14:textId="77777777" w:rsidR="006F0765" w:rsidRDefault="006F0765" w:rsidP="000D79D6">
            <w:pPr>
              <w:jc w:val="both"/>
              <w:rPr>
                <w:rFonts w:ascii="Times New Roman" w:hAnsi="Times New Roman" w:cs="Times New Roman"/>
              </w:rPr>
            </w:pPr>
            <w:r>
              <w:rPr>
                <w:rFonts w:ascii="Times New Roman" w:hAnsi="Times New Roman" w:cs="Times New Roman"/>
              </w:rPr>
              <w:t>(i) oksijen içeriğinin kontrolü;</w:t>
            </w:r>
          </w:p>
          <w:p w14:paraId="34D43047" w14:textId="77777777" w:rsidR="006F0765" w:rsidRDefault="006F0765" w:rsidP="000D79D6">
            <w:pPr>
              <w:jc w:val="both"/>
              <w:rPr>
                <w:rFonts w:ascii="Times New Roman" w:hAnsi="Times New Roman" w:cs="Times New Roman"/>
              </w:rPr>
            </w:pPr>
            <w:r>
              <w:rPr>
                <w:rFonts w:ascii="Times New Roman" w:hAnsi="Times New Roman" w:cs="Times New Roman"/>
              </w:rPr>
              <w:t>(ii) havalandırma sisteminin kısa aralıklı bakımı;</w:t>
            </w:r>
          </w:p>
          <w:p w14:paraId="4B4CD07C" w14:textId="77777777" w:rsidR="006F0765" w:rsidRDefault="006F0765" w:rsidP="000D79D6">
            <w:pPr>
              <w:jc w:val="both"/>
              <w:rPr>
                <w:rFonts w:ascii="Times New Roman" w:hAnsi="Times New Roman" w:cs="Times New Roman"/>
              </w:rPr>
            </w:pPr>
            <w:r>
              <w:rPr>
                <w:rFonts w:ascii="Times New Roman" w:hAnsi="Times New Roman" w:cs="Times New Roman"/>
              </w:rPr>
              <w:t>(iii) saf oksijen kullanımı;</w:t>
            </w:r>
          </w:p>
          <w:p w14:paraId="5CE703D4" w14:textId="77777777" w:rsidR="006F0765" w:rsidRDefault="006F0765" w:rsidP="000D79D6">
            <w:pPr>
              <w:jc w:val="both"/>
              <w:rPr>
                <w:rFonts w:ascii="Times New Roman" w:hAnsi="Times New Roman" w:cs="Times New Roman"/>
              </w:rPr>
            </w:pPr>
            <w:r>
              <w:rPr>
                <w:rFonts w:ascii="Times New Roman" w:hAnsi="Times New Roman" w:cs="Times New Roman"/>
              </w:rPr>
              <w:t>(iv) tanklardaki kir tabakasının uzaklaştırılması.</w:t>
            </w:r>
          </w:p>
        </w:tc>
        <w:tc>
          <w:tcPr>
            <w:tcW w:w="3188" w:type="dxa"/>
            <w:vAlign w:val="center"/>
          </w:tcPr>
          <w:p w14:paraId="258AD39A" w14:textId="77777777" w:rsidR="006F076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6815B7F3" w14:textId="77777777" w:rsidTr="000D79D6">
        <w:trPr>
          <w:jc w:val="center"/>
        </w:trPr>
        <w:tc>
          <w:tcPr>
            <w:tcW w:w="594" w:type="dxa"/>
            <w:vAlign w:val="center"/>
          </w:tcPr>
          <w:p w14:paraId="30973B6B" w14:textId="77777777" w:rsidR="006F0765" w:rsidRDefault="006F0765" w:rsidP="000D79D6">
            <w:pPr>
              <w:jc w:val="center"/>
              <w:rPr>
                <w:rFonts w:ascii="Times New Roman" w:hAnsi="Times New Roman" w:cs="Times New Roman"/>
              </w:rPr>
            </w:pPr>
            <w:r>
              <w:rPr>
                <w:rFonts w:ascii="Times New Roman" w:hAnsi="Times New Roman" w:cs="Times New Roman"/>
              </w:rPr>
              <w:t>(d)</w:t>
            </w:r>
          </w:p>
        </w:tc>
        <w:tc>
          <w:tcPr>
            <w:tcW w:w="2840" w:type="dxa"/>
            <w:vAlign w:val="center"/>
          </w:tcPr>
          <w:p w14:paraId="34CF4160" w14:textId="77777777" w:rsidR="006F0765" w:rsidRDefault="006F0765" w:rsidP="000D79D6">
            <w:pPr>
              <w:jc w:val="both"/>
              <w:rPr>
                <w:rFonts w:ascii="Times New Roman" w:hAnsi="Times New Roman" w:cs="Times New Roman"/>
              </w:rPr>
            </w:pPr>
            <w:r>
              <w:rPr>
                <w:rFonts w:ascii="Times New Roman" w:hAnsi="Times New Roman" w:cs="Times New Roman"/>
              </w:rPr>
              <w:t>Etrafını kapatma</w:t>
            </w:r>
          </w:p>
        </w:tc>
        <w:tc>
          <w:tcPr>
            <w:tcW w:w="2440" w:type="dxa"/>
            <w:vAlign w:val="center"/>
          </w:tcPr>
          <w:p w14:paraId="0E0BE0FC" w14:textId="77777777" w:rsidR="006F0765" w:rsidRDefault="006F0765" w:rsidP="000D79D6">
            <w:pPr>
              <w:jc w:val="both"/>
              <w:rPr>
                <w:rFonts w:ascii="Times New Roman" w:hAnsi="Times New Roman" w:cs="Times New Roman"/>
              </w:rPr>
            </w:pPr>
            <w:r>
              <w:rPr>
                <w:rFonts w:ascii="Times New Roman" w:hAnsi="Times New Roman" w:cs="Times New Roman"/>
              </w:rPr>
              <w:t>İleri arıtma için kokulu atık gazın toplanması amacıyla atıksuyun ve çamurun toplanması ve arıtılması adına tesislerin üstünün kapatılması veya etrafının kapatılması.</w:t>
            </w:r>
          </w:p>
        </w:tc>
        <w:tc>
          <w:tcPr>
            <w:tcW w:w="3188" w:type="dxa"/>
            <w:vAlign w:val="center"/>
          </w:tcPr>
          <w:p w14:paraId="78C2E69B" w14:textId="77777777" w:rsidR="006F076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02BB4576" w14:textId="77777777" w:rsidTr="000D79D6">
        <w:trPr>
          <w:jc w:val="center"/>
        </w:trPr>
        <w:tc>
          <w:tcPr>
            <w:tcW w:w="594" w:type="dxa"/>
            <w:vAlign w:val="center"/>
          </w:tcPr>
          <w:p w14:paraId="243ED7FF" w14:textId="77777777" w:rsidR="006F0765" w:rsidRDefault="006F0765" w:rsidP="000D79D6">
            <w:pPr>
              <w:jc w:val="center"/>
              <w:rPr>
                <w:rFonts w:ascii="Times New Roman" w:hAnsi="Times New Roman" w:cs="Times New Roman"/>
              </w:rPr>
            </w:pPr>
            <w:r>
              <w:rPr>
                <w:rFonts w:ascii="Times New Roman" w:hAnsi="Times New Roman" w:cs="Times New Roman"/>
              </w:rPr>
              <w:t>(e)</w:t>
            </w:r>
          </w:p>
        </w:tc>
        <w:tc>
          <w:tcPr>
            <w:tcW w:w="2840" w:type="dxa"/>
            <w:vAlign w:val="center"/>
          </w:tcPr>
          <w:p w14:paraId="19F108A3" w14:textId="77777777" w:rsidR="006F0765" w:rsidRDefault="006F0765" w:rsidP="000D79D6">
            <w:pPr>
              <w:jc w:val="both"/>
              <w:rPr>
                <w:rFonts w:ascii="Times New Roman" w:hAnsi="Times New Roman" w:cs="Times New Roman"/>
              </w:rPr>
            </w:pPr>
            <w:r>
              <w:rPr>
                <w:rFonts w:ascii="Times New Roman" w:hAnsi="Times New Roman" w:cs="Times New Roman"/>
              </w:rPr>
              <w:t>Boru sonu arıtımı</w:t>
            </w:r>
          </w:p>
        </w:tc>
        <w:tc>
          <w:tcPr>
            <w:tcW w:w="2440" w:type="dxa"/>
            <w:vAlign w:val="center"/>
          </w:tcPr>
          <w:p w14:paraId="4EE51521" w14:textId="77777777" w:rsidR="006F0765" w:rsidRDefault="006F0765" w:rsidP="000D79D6">
            <w:pPr>
              <w:jc w:val="both"/>
              <w:rPr>
                <w:rFonts w:ascii="Times New Roman" w:hAnsi="Times New Roman" w:cs="Times New Roman"/>
              </w:rPr>
            </w:pPr>
            <w:r>
              <w:rPr>
                <w:rFonts w:ascii="Times New Roman" w:hAnsi="Times New Roman" w:cs="Times New Roman"/>
              </w:rPr>
              <w:t>Bu, şunları içerebilir:</w:t>
            </w:r>
          </w:p>
          <w:p w14:paraId="45686A81" w14:textId="77777777" w:rsidR="006F0765" w:rsidRDefault="006F0765" w:rsidP="000D79D6">
            <w:pPr>
              <w:jc w:val="both"/>
              <w:rPr>
                <w:rFonts w:ascii="Times New Roman" w:hAnsi="Times New Roman" w:cs="Times New Roman"/>
              </w:rPr>
            </w:pPr>
            <w:r>
              <w:rPr>
                <w:rFonts w:ascii="Times New Roman" w:hAnsi="Times New Roman" w:cs="Times New Roman"/>
              </w:rPr>
              <w:t>(i) biyolojik arıtma;</w:t>
            </w:r>
          </w:p>
          <w:p w14:paraId="51CAB6B2" w14:textId="77777777" w:rsidR="006F0765" w:rsidRDefault="006F0765" w:rsidP="000D79D6">
            <w:pPr>
              <w:jc w:val="both"/>
              <w:rPr>
                <w:rFonts w:ascii="Times New Roman" w:hAnsi="Times New Roman" w:cs="Times New Roman"/>
              </w:rPr>
            </w:pPr>
            <w:r>
              <w:rPr>
                <w:rFonts w:ascii="Times New Roman" w:hAnsi="Times New Roman" w:cs="Times New Roman"/>
              </w:rPr>
              <w:t>(ii) termal oksidasyon.</w:t>
            </w:r>
          </w:p>
        </w:tc>
        <w:tc>
          <w:tcPr>
            <w:tcW w:w="3188" w:type="dxa"/>
            <w:vAlign w:val="center"/>
          </w:tcPr>
          <w:p w14:paraId="68CFB0B7" w14:textId="77777777" w:rsidR="006F0765" w:rsidRDefault="006F0765" w:rsidP="000D79D6">
            <w:pPr>
              <w:jc w:val="both"/>
              <w:rPr>
                <w:rFonts w:ascii="Times New Roman" w:hAnsi="Times New Roman" w:cs="Times New Roman"/>
              </w:rPr>
            </w:pPr>
            <w:r>
              <w:rPr>
                <w:rFonts w:ascii="Times New Roman" w:hAnsi="Times New Roman" w:cs="Times New Roman"/>
              </w:rPr>
              <w:t>Biyolojik arıtma sadece, suda kolayca çözünebilir ve kolayca biyoelenebilir bileşiklere uygulanır.</w:t>
            </w:r>
          </w:p>
        </w:tc>
      </w:tr>
    </w:tbl>
    <w:p w14:paraId="65645F56" w14:textId="77777777" w:rsidR="006F0765" w:rsidRDefault="006F0765" w:rsidP="006F0765">
      <w:pPr>
        <w:spacing w:after="120" w:line="276" w:lineRule="auto"/>
        <w:jc w:val="both"/>
        <w:rPr>
          <w:rFonts w:ascii="Times New Roman" w:hAnsi="Times New Roman" w:cs="Times New Roman"/>
          <w:sz w:val="24"/>
          <w:szCs w:val="24"/>
        </w:rPr>
      </w:pPr>
    </w:p>
    <w:p w14:paraId="56AA4B2C" w14:textId="77777777" w:rsidR="006F0765" w:rsidRPr="006C6672" w:rsidRDefault="006F0765" w:rsidP="006F0765">
      <w:pPr>
        <w:pStyle w:val="Balk3"/>
        <w:spacing w:before="0" w:after="120" w:line="276" w:lineRule="auto"/>
        <w:jc w:val="both"/>
        <w:rPr>
          <w:rFonts w:cs="Times New Roman"/>
          <w:b w:val="0"/>
          <w:bCs/>
          <w:szCs w:val="24"/>
        </w:rPr>
      </w:pPr>
      <w:r>
        <w:rPr>
          <w:rFonts w:cs="Times New Roman"/>
          <w:bCs/>
          <w:szCs w:val="24"/>
        </w:rPr>
        <w:t>(5.6) Gürültü Emisyonları</w:t>
      </w:r>
    </w:p>
    <w:p w14:paraId="5E12BB29"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22:</w:t>
      </w:r>
      <w:r>
        <w:rPr>
          <w:rFonts w:ascii="Times New Roman" w:hAnsi="Times New Roman" w:cs="Times New Roman"/>
          <w:sz w:val="24"/>
          <w:szCs w:val="24"/>
        </w:rPr>
        <w:t xml:space="preserve"> Gürültü emisyonlarını önlemek veya, bunun uygulanabilir olmadığı durumlarda, azaltmak için, ÇYS’nin bir parçası olarak (bkz. MET 1), aşağıdakilerin tümünü içeren bir gürültü yönetim planı oluşturulur ve uygulanır:</w:t>
      </w:r>
    </w:p>
    <w:p w14:paraId="0FA30E7B" w14:textId="77777777" w:rsidR="006F0765" w:rsidRDefault="006F0765" w:rsidP="006F0765">
      <w:pPr>
        <w:pStyle w:val="ListeParagraf"/>
        <w:numPr>
          <w:ilvl w:val="0"/>
          <w:numId w:val="23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uygun eylem ve zaman planlarını içeren bir protokol;</w:t>
      </w:r>
    </w:p>
    <w:p w14:paraId="7D6F3E73" w14:textId="77777777" w:rsidR="006F0765" w:rsidRDefault="006F0765" w:rsidP="006F0765">
      <w:pPr>
        <w:pStyle w:val="ListeParagraf"/>
        <w:numPr>
          <w:ilvl w:val="0"/>
          <w:numId w:val="23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gürültü izlenmesinin yürütülmesi için bir protokol;</w:t>
      </w:r>
    </w:p>
    <w:p w14:paraId="2FBBC3B4" w14:textId="77777777" w:rsidR="006F0765" w:rsidRDefault="006F0765" w:rsidP="006F0765">
      <w:pPr>
        <w:pStyle w:val="ListeParagraf"/>
        <w:numPr>
          <w:ilvl w:val="0"/>
          <w:numId w:val="23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belirli gürültü olaylarına müdahale için bir protokol;</w:t>
      </w:r>
    </w:p>
    <w:p w14:paraId="514FA908" w14:textId="77777777" w:rsidR="006F0765" w:rsidRPr="008C2ED5" w:rsidRDefault="006F0765" w:rsidP="006F0765">
      <w:pPr>
        <w:pStyle w:val="ListeParagraf"/>
        <w:numPr>
          <w:ilvl w:val="0"/>
          <w:numId w:val="230"/>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kaynağı/kaynakları belirlemek, gürültü maruziyetini ölçmek/tahmin etmek, kaynakların katkılarını karakterize etmek ve önleme ve/veya azaltma önlemlerini uygulamak için tasarlanmış bir gürültü önleme ve azaltım programı</w:t>
      </w:r>
    </w:p>
    <w:p w14:paraId="78146D2C"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Uygulanabilirlik, gürültü kirliliğinin beklendiği veya rapor edildiği durumlar ile kısıtlıdır.</w:t>
      </w:r>
    </w:p>
    <w:p w14:paraId="42AD25F3" w14:textId="77777777" w:rsidR="006F0765" w:rsidRDefault="006F0765" w:rsidP="006F076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MET 23:</w:t>
      </w:r>
      <w:r>
        <w:rPr>
          <w:rFonts w:ascii="Times New Roman" w:hAnsi="Times New Roman" w:cs="Times New Roman"/>
          <w:sz w:val="24"/>
          <w:szCs w:val="24"/>
        </w:rPr>
        <w:t xml:space="preserve"> Gürültü emisyonlarını önlemek veya, bunun uygulanabilir olmadığı durumlarda, azaltmak için, aşağıdaki tekniklerin biri veya bir kombinasyonu kullanılır.</w:t>
      </w:r>
    </w:p>
    <w:tbl>
      <w:tblPr>
        <w:tblStyle w:val="TabloKlavuzu"/>
        <w:tblW w:w="0" w:type="auto"/>
        <w:jc w:val="center"/>
        <w:tblLook w:val="04A0" w:firstRow="1" w:lastRow="0" w:firstColumn="1" w:lastColumn="0" w:noHBand="0" w:noVBand="1"/>
      </w:tblPr>
      <w:tblGrid>
        <w:gridCol w:w="594"/>
        <w:gridCol w:w="2840"/>
        <w:gridCol w:w="2440"/>
        <w:gridCol w:w="3188"/>
      </w:tblGrid>
      <w:tr w:rsidR="006F0765" w:rsidRPr="00393115" w14:paraId="012761D9" w14:textId="77777777" w:rsidTr="000D79D6">
        <w:trPr>
          <w:tblHeader/>
          <w:jc w:val="center"/>
        </w:trPr>
        <w:tc>
          <w:tcPr>
            <w:tcW w:w="594" w:type="dxa"/>
            <w:vAlign w:val="center"/>
          </w:tcPr>
          <w:p w14:paraId="0795A396" w14:textId="77777777" w:rsidR="006F0765" w:rsidRPr="00393115" w:rsidRDefault="006F0765" w:rsidP="000D79D6">
            <w:pPr>
              <w:jc w:val="center"/>
              <w:rPr>
                <w:rFonts w:ascii="Times New Roman" w:hAnsi="Times New Roman" w:cs="Times New Roman"/>
                <w:b/>
                <w:bCs/>
              </w:rPr>
            </w:pPr>
          </w:p>
        </w:tc>
        <w:tc>
          <w:tcPr>
            <w:tcW w:w="2840" w:type="dxa"/>
            <w:vAlign w:val="center"/>
          </w:tcPr>
          <w:p w14:paraId="12B16FD6"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2440" w:type="dxa"/>
            <w:vAlign w:val="center"/>
          </w:tcPr>
          <w:p w14:paraId="3C1C1D04" w14:textId="77777777" w:rsidR="006F0765" w:rsidRDefault="006F0765" w:rsidP="000D79D6">
            <w:pPr>
              <w:jc w:val="center"/>
              <w:rPr>
                <w:rFonts w:ascii="Times New Roman" w:hAnsi="Times New Roman" w:cs="Times New Roman"/>
                <w:b/>
                <w:bCs/>
              </w:rPr>
            </w:pPr>
            <w:r>
              <w:rPr>
                <w:rFonts w:ascii="Times New Roman" w:hAnsi="Times New Roman" w:cs="Times New Roman"/>
                <w:b/>
                <w:bCs/>
              </w:rPr>
              <w:t>Açıklama</w:t>
            </w:r>
          </w:p>
        </w:tc>
        <w:tc>
          <w:tcPr>
            <w:tcW w:w="3188" w:type="dxa"/>
            <w:vAlign w:val="center"/>
          </w:tcPr>
          <w:p w14:paraId="1D91E5BE" w14:textId="77777777" w:rsidR="006F0765" w:rsidRPr="00393115" w:rsidRDefault="006F0765" w:rsidP="000D79D6">
            <w:pPr>
              <w:jc w:val="center"/>
              <w:rPr>
                <w:rFonts w:ascii="Times New Roman" w:hAnsi="Times New Roman" w:cs="Times New Roman"/>
                <w:b/>
                <w:bCs/>
              </w:rPr>
            </w:pPr>
            <w:r>
              <w:rPr>
                <w:rFonts w:ascii="Times New Roman" w:hAnsi="Times New Roman" w:cs="Times New Roman"/>
                <w:b/>
                <w:bCs/>
              </w:rPr>
              <w:t>Uygulanabilirlik</w:t>
            </w:r>
          </w:p>
        </w:tc>
      </w:tr>
      <w:tr w:rsidR="006F0765" w:rsidRPr="00393115" w14:paraId="33B7F680" w14:textId="77777777" w:rsidTr="000D79D6">
        <w:trPr>
          <w:jc w:val="center"/>
        </w:trPr>
        <w:tc>
          <w:tcPr>
            <w:tcW w:w="594" w:type="dxa"/>
            <w:vAlign w:val="center"/>
          </w:tcPr>
          <w:p w14:paraId="5EE181AB"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(a)</w:t>
            </w:r>
          </w:p>
        </w:tc>
        <w:tc>
          <w:tcPr>
            <w:tcW w:w="2840" w:type="dxa"/>
            <w:vAlign w:val="center"/>
          </w:tcPr>
          <w:p w14:paraId="0C387409" w14:textId="77777777" w:rsidR="006F0765" w:rsidRPr="00393115" w:rsidRDefault="006F0765" w:rsidP="000D79D6">
            <w:pPr>
              <w:jc w:val="both"/>
              <w:rPr>
                <w:rFonts w:ascii="Times New Roman" w:hAnsi="Times New Roman" w:cs="Times New Roman"/>
              </w:rPr>
            </w:pPr>
            <w:r>
              <w:rPr>
                <w:rFonts w:ascii="Times New Roman" w:hAnsi="Times New Roman" w:cs="Times New Roman"/>
              </w:rPr>
              <w:t>Ekipman ve binaların uygun konumlandırılması</w:t>
            </w:r>
          </w:p>
        </w:tc>
        <w:tc>
          <w:tcPr>
            <w:tcW w:w="2440" w:type="dxa"/>
            <w:vAlign w:val="center"/>
          </w:tcPr>
          <w:p w14:paraId="6CC84652" w14:textId="77777777" w:rsidR="006F0765" w:rsidRDefault="006F0765" w:rsidP="000D79D6">
            <w:pPr>
              <w:jc w:val="both"/>
              <w:rPr>
                <w:rFonts w:ascii="Times New Roman" w:hAnsi="Times New Roman" w:cs="Times New Roman"/>
              </w:rPr>
            </w:pPr>
            <w:r>
              <w:rPr>
                <w:rFonts w:ascii="Times New Roman" w:hAnsi="Times New Roman" w:cs="Times New Roman"/>
              </w:rPr>
              <w:t>Yayıcı ve alıcı arasındaki mesafenin artırılması ve binaların gürültü paravanı olarak kullanılması.</w:t>
            </w:r>
          </w:p>
        </w:tc>
        <w:tc>
          <w:tcPr>
            <w:tcW w:w="3188" w:type="dxa"/>
            <w:vAlign w:val="center"/>
          </w:tcPr>
          <w:p w14:paraId="5A3EBBD0" w14:textId="77777777" w:rsidR="006F0765" w:rsidRPr="00393115" w:rsidRDefault="006F0765" w:rsidP="000D79D6">
            <w:pPr>
              <w:jc w:val="both"/>
              <w:rPr>
                <w:rFonts w:ascii="Times New Roman" w:hAnsi="Times New Roman" w:cs="Times New Roman"/>
              </w:rPr>
            </w:pPr>
            <w:r>
              <w:rPr>
                <w:rFonts w:ascii="Times New Roman" w:hAnsi="Times New Roman" w:cs="Times New Roman"/>
              </w:rPr>
              <w:t>Mevcut tesisler için, ekipmanların yeniden konumlandırılması, alan yetersizliğinden veya yüksek maliyetlerden dolayı kısıtlanabilir.</w:t>
            </w:r>
          </w:p>
        </w:tc>
      </w:tr>
      <w:tr w:rsidR="006F0765" w:rsidRPr="00393115" w14:paraId="451BB8FE" w14:textId="77777777" w:rsidTr="000D79D6">
        <w:trPr>
          <w:jc w:val="center"/>
        </w:trPr>
        <w:tc>
          <w:tcPr>
            <w:tcW w:w="594" w:type="dxa"/>
            <w:vAlign w:val="center"/>
          </w:tcPr>
          <w:p w14:paraId="33786178" w14:textId="77777777" w:rsidR="006F0765" w:rsidRPr="00393115" w:rsidRDefault="006F0765" w:rsidP="000D79D6">
            <w:pPr>
              <w:jc w:val="center"/>
              <w:rPr>
                <w:rFonts w:ascii="Times New Roman" w:hAnsi="Times New Roman" w:cs="Times New Roman"/>
              </w:rPr>
            </w:pPr>
            <w:r>
              <w:rPr>
                <w:rFonts w:ascii="Times New Roman" w:hAnsi="Times New Roman" w:cs="Times New Roman"/>
              </w:rPr>
              <w:t>(b)</w:t>
            </w:r>
          </w:p>
        </w:tc>
        <w:tc>
          <w:tcPr>
            <w:tcW w:w="2840" w:type="dxa"/>
            <w:vAlign w:val="center"/>
          </w:tcPr>
          <w:p w14:paraId="2C4011AF" w14:textId="77777777" w:rsidR="006F0765" w:rsidRPr="00393115" w:rsidRDefault="006F0765" w:rsidP="000D79D6">
            <w:pPr>
              <w:jc w:val="both"/>
              <w:rPr>
                <w:rFonts w:ascii="Times New Roman" w:hAnsi="Times New Roman" w:cs="Times New Roman"/>
              </w:rPr>
            </w:pPr>
            <w:r>
              <w:rPr>
                <w:rFonts w:ascii="Times New Roman" w:hAnsi="Times New Roman" w:cs="Times New Roman"/>
              </w:rPr>
              <w:t>Operasyonel önlemler</w:t>
            </w:r>
          </w:p>
        </w:tc>
        <w:tc>
          <w:tcPr>
            <w:tcW w:w="2440" w:type="dxa"/>
            <w:vAlign w:val="center"/>
          </w:tcPr>
          <w:p w14:paraId="30F33F4A" w14:textId="77777777" w:rsidR="006F0765" w:rsidRDefault="006F0765" w:rsidP="000D79D6">
            <w:pPr>
              <w:jc w:val="both"/>
              <w:rPr>
                <w:rFonts w:ascii="Times New Roman" w:hAnsi="Times New Roman" w:cs="Times New Roman"/>
              </w:rPr>
            </w:pPr>
            <w:r>
              <w:rPr>
                <w:rFonts w:ascii="Times New Roman" w:hAnsi="Times New Roman" w:cs="Times New Roman"/>
              </w:rPr>
              <w:t>Bu, şunları içerir:</w:t>
            </w:r>
          </w:p>
          <w:p w14:paraId="7ECFD61E" w14:textId="77777777" w:rsidR="006F0765" w:rsidRDefault="006F0765" w:rsidP="000D79D6">
            <w:pPr>
              <w:jc w:val="both"/>
              <w:rPr>
                <w:rFonts w:ascii="Times New Roman" w:hAnsi="Times New Roman" w:cs="Times New Roman"/>
              </w:rPr>
            </w:pPr>
            <w:r>
              <w:rPr>
                <w:rFonts w:ascii="Times New Roman" w:hAnsi="Times New Roman" w:cs="Times New Roman"/>
              </w:rPr>
              <w:t>(i) ekipmanın iyileştirilmiş denetimi ve bakımı;</w:t>
            </w:r>
          </w:p>
          <w:p w14:paraId="06562DBF" w14:textId="77777777" w:rsidR="006F0765" w:rsidRDefault="006F0765" w:rsidP="000D79D6">
            <w:pPr>
              <w:jc w:val="both"/>
              <w:rPr>
                <w:rFonts w:ascii="Times New Roman" w:hAnsi="Times New Roman" w:cs="Times New Roman"/>
              </w:rPr>
            </w:pPr>
            <w:r>
              <w:rPr>
                <w:rFonts w:ascii="Times New Roman" w:hAnsi="Times New Roman" w:cs="Times New Roman"/>
              </w:rPr>
              <w:t>(ii) mümkünse, kapalı alanların kapı ve pencerelerinin kapatılması;</w:t>
            </w:r>
          </w:p>
          <w:p w14:paraId="33259AC8" w14:textId="77777777" w:rsidR="006F0765" w:rsidRDefault="006F0765" w:rsidP="000D79D6">
            <w:pPr>
              <w:jc w:val="both"/>
              <w:rPr>
                <w:rFonts w:ascii="Times New Roman" w:hAnsi="Times New Roman" w:cs="Times New Roman"/>
              </w:rPr>
            </w:pPr>
            <w:r>
              <w:rPr>
                <w:rFonts w:ascii="Times New Roman" w:hAnsi="Times New Roman" w:cs="Times New Roman"/>
              </w:rPr>
              <w:t>(iii) ekipmanların deneyimli personel tarafından çalıştırılması;</w:t>
            </w:r>
          </w:p>
          <w:p w14:paraId="44AFAC71" w14:textId="77777777" w:rsidR="006F0765" w:rsidRDefault="006F0765" w:rsidP="000D79D6">
            <w:pPr>
              <w:jc w:val="both"/>
              <w:rPr>
                <w:rFonts w:ascii="Times New Roman" w:hAnsi="Times New Roman" w:cs="Times New Roman"/>
              </w:rPr>
            </w:pPr>
            <w:r>
              <w:rPr>
                <w:rFonts w:ascii="Times New Roman" w:hAnsi="Times New Roman" w:cs="Times New Roman"/>
              </w:rPr>
              <w:t>(iv) mümkünse, gürültülü faaliyetlerin gece saatlerinde gerçekleştirilmemesi;</w:t>
            </w:r>
          </w:p>
          <w:p w14:paraId="22775753" w14:textId="77777777" w:rsidR="006F0765" w:rsidRDefault="006F0765" w:rsidP="000D79D6">
            <w:pPr>
              <w:jc w:val="both"/>
              <w:rPr>
                <w:rFonts w:ascii="Times New Roman" w:hAnsi="Times New Roman" w:cs="Times New Roman"/>
              </w:rPr>
            </w:pPr>
            <w:r>
              <w:rPr>
                <w:rFonts w:ascii="Times New Roman" w:hAnsi="Times New Roman" w:cs="Times New Roman"/>
              </w:rPr>
              <w:t>(v) bakım faaliyetleri sırasında gürültü kontrolü için önlemler.</w:t>
            </w:r>
          </w:p>
        </w:tc>
        <w:tc>
          <w:tcPr>
            <w:tcW w:w="3188" w:type="dxa"/>
            <w:vAlign w:val="center"/>
          </w:tcPr>
          <w:p w14:paraId="575DD0AF" w14:textId="77777777" w:rsidR="006F0765" w:rsidRPr="00393115" w:rsidRDefault="006F0765" w:rsidP="000D79D6">
            <w:pPr>
              <w:jc w:val="both"/>
              <w:rPr>
                <w:rFonts w:ascii="Times New Roman" w:hAnsi="Times New Roman" w:cs="Times New Roman"/>
              </w:rPr>
            </w:pPr>
            <w:r>
              <w:rPr>
                <w:rFonts w:ascii="Times New Roman" w:hAnsi="Times New Roman" w:cs="Times New Roman"/>
              </w:rPr>
              <w:t>Genellikle uygulanabilir.</w:t>
            </w:r>
          </w:p>
        </w:tc>
      </w:tr>
      <w:tr w:rsidR="006F0765" w:rsidRPr="00393115" w14:paraId="130B5B32" w14:textId="77777777" w:rsidTr="000D79D6">
        <w:trPr>
          <w:jc w:val="center"/>
        </w:trPr>
        <w:tc>
          <w:tcPr>
            <w:tcW w:w="594" w:type="dxa"/>
            <w:vAlign w:val="center"/>
          </w:tcPr>
          <w:p w14:paraId="5394C5EF" w14:textId="77777777" w:rsidR="006F0765" w:rsidRDefault="006F0765" w:rsidP="000D79D6">
            <w:pPr>
              <w:jc w:val="center"/>
              <w:rPr>
                <w:rFonts w:ascii="Times New Roman" w:hAnsi="Times New Roman" w:cs="Times New Roman"/>
              </w:rPr>
            </w:pPr>
            <w:r>
              <w:rPr>
                <w:rFonts w:ascii="Times New Roman" w:hAnsi="Times New Roman" w:cs="Times New Roman"/>
              </w:rPr>
              <w:t>(c)</w:t>
            </w:r>
          </w:p>
        </w:tc>
        <w:tc>
          <w:tcPr>
            <w:tcW w:w="2840" w:type="dxa"/>
            <w:vAlign w:val="center"/>
          </w:tcPr>
          <w:p w14:paraId="0D7A3D9D" w14:textId="77777777" w:rsidR="006F0765" w:rsidRDefault="006F0765" w:rsidP="000D79D6">
            <w:pPr>
              <w:jc w:val="both"/>
              <w:rPr>
                <w:rFonts w:ascii="Times New Roman" w:hAnsi="Times New Roman" w:cs="Times New Roman"/>
              </w:rPr>
            </w:pPr>
            <w:r>
              <w:rPr>
                <w:rFonts w:ascii="Times New Roman" w:hAnsi="Times New Roman" w:cs="Times New Roman"/>
              </w:rPr>
              <w:t>Düşük sesli ekipman</w:t>
            </w:r>
          </w:p>
        </w:tc>
        <w:tc>
          <w:tcPr>
            <w:tcW w:w="2440" w:type="dxa"/>
            <w:vAlign w:val="center"/>
          </w:tcPr>
          <w:p w14:paraId="259A7712" w14:textId="77777777" w:rsidR="006F0765" w:rsidRDefault="006F0765" w:rsidP="000D79D6">
            <w:pPr>
              <w:jc w:val="both"/>
              <w:rPr>
                <w:rFonts w:ascii="Times New Roman" w:hAnsi="Times New Roman" w:cs="Times New Roman"/>
              </w:rPr>
            </w:pPr>
            <w:r>
              <w:rPr>
                <w:rFonts w:ascii="Times New Roman" w:hAnsi="Times New Roman" w:cs="Times New Roman"/>
              </w:rPr>
              <w:t>Bu, düşük sesli kompresörleri, pompaları ve alevleri içerir.</w:t>
            </w:r>
          </w:p>
        </w:tc>
        <w:tc>
          <w:tcPr>
            <w:tcW w:w="3188" w:type="dxa"/>
            <w:vAlign w:val="center"/>
          </w:tcPr>
          <w:p w14:paraId="31D6A882" w14:textId="77777777" w:rsidR="006F0765" w:rsidRDefault="006F0765" w:rsidP="000D79D6">
            <w:pPr>
              <w:jc w:val="both"/>
              <w:rPr>
                <w:rFonts w:ascii="Times New Roman" w:hAnsi="Times New Roman" w:cs="Times New Roman"/>
              </w:rPr>
            </w:pPr>
            <w:r>
              <w:rPr>
                <w:rFonts w:ascii="Times New Roman" w:hAnsi="Times New Roman" w:cs="Times New Roman"/>
              </w:rPr>
              <w:t>Sadece ekipmanın yeni olduğu veya yenisiyle değiştirildiği durumlara uygulanabilir.</w:t>
            </w:r>
          </w:p>
        </w:tc>
      </w:tr>
      <w:tr w:rsidR="006F0765" w:rsidRPr="00393115" w14:paraId="4EF0E617" w14:textId="77777777" w:rsidTr="000D79D6">
        <w:trPr>
          <w:jc w:val="center"/>
        </w:trPr>
        <w:tc>
          <w:tcPr>
            <w:tcW w:w="594" w:type="dxa"/>
            <w:vAlign w:val="center"/>
          </w:tcPr>
          <w:p w14:paraId="35B64A15" w14:textId="77777777" w:rsidR="006F0765" w:rsidRDefault="006F0765" w:rsidP="000D79D6">
            <w:pPr>
              <w:jc w:val="center"/>
              <w:rPr>
                <w:rFonts w:ascii="Times New Roman" w:hAnsi="Times New Roman" w:cs="Times New Roman"/>
              </w:rPr>
            </w:pPr>
            <w:r>
              <w:rPr>
                <w:rFonts w:ascii="Times New Roman" w:hAnsi="Times New Roman" w:cs="Times New Roman"/>
              </w:rPr>
              <w:t>(d)</w:t>
            </w:r>
          </w:p>
        </w:tc>
        <w:tc>
          <w:tcPr>
            <w:tcW w:w="2840" w:type="dxa"/>
            <w:vAlign w:val="center"/>
          </w:tcPr>
          <w:p w14:paraId="2D44D4F5" w14:textId="77777777" w:rsidR="006F0765" w:rsidRDefault="006F0765" w:rsidP="000D79D6">
            <w:pPr>
              <w:jc w:val="both"/>
              <w:rPr>
                <w:rFonts w:ascii="Times New Roman" w:hAnsi="Times New Roman" w:cs="Times New Roman"/>
              </w:rPr>
            </w:pPr>
            <w:r>
              <w:rPr>
                <w:rFonts w:ascii="Times New Roman" w:hAnsi="Times New Roman" w:cs="Times New Roman"/>
              </w:rPr>
              <w:t>Ses kontrollü ekipman</w:t>
            </w:r>
          </w:p>
        </w:tc>
        <w:tc>
          <w:tcPr>
            <w:tcW w:w="2440" w:type="dxa"/>
            <w:vAlign w:val="center"/>
          </w:tcPr>
          <w:p w14:paraId="44AA7FDD" w14:textId="77777777" w:rsidR="006F0765" w:rsidRDefault="006F0765" w:rsidP="000D79D6">
            <w:pPr>
              <w:jc w:val="both"/>
              <w:rPr>
                <w:rFonts w:ascii="Times New Roman" w:hAnsi="Times New Roman" w:cs="Times New Roman"/>
              </w:rPr>
            </w:pPr>
            <w:r>
              <w:rPr>
                <w:rFonts w:ascii="Times New Roman" w:hAnsi="Times New Roman" w:cs="Times New Roman"/>
              </w:rPr>
              <w:t>Bu, şunları içerir:</w:t>
            </w:r>
          </w:p>
          <w:p w14:paraId="5BF8185A" w14:textId="77777777" w:rsidR="006F0765" w:rsidRDefault="006F0765" w:rsidP="000D79D6">
            <w:pPr>
              <w:jc w:val="both"/>
              <w:rPr>
                <w:rFonts w:ascii="Times New Roman" w:hAnsi="Times New Roman" w:cs="Times New Roman"/>
              </w:rPr>
            </w:pPr>
            <w:r>
              <w:rPr>
                <w:rFonts w:ascii="Times New Roman" w:hAnsi="Times New Roman" w:cs="Times New Roman"/>
              </w:rPr>
              <w:t>(i) ses azaltıcılar;</w:t>
            </w:r>
          </w:p>
          <w:p w14:paraId="57CB1115" w14:textId="77777777" w:rsidR="006F0765" w:rsidRDefault="006F0765" w:rsidP="000D79D6">
            <w:pPr>
              <w:jc w:val="both"/>
              <w:rPr>
                <w:rFonts w:ascii="Times New Roman" w:hAnsi="Times New Roman" w:cs="Times New Roman"/>
              </w:rPr>
            </w:pPr>
            <w:r>
              <w:rPr>
                <w:rFonts w:ascii="Times New Roman" w:hAnsi="Times New Roman" w:cs="Times New Roman"/>
              </w:rPr>
              <w:t>(ii) ekipman yalıtımı;</w:t>
            </w:r>
          </w:p>
          <w:p w14:paraId="245B2B0C" w14:textId="77777777" w:rsidR="006F0765" w:rsidRDefault="006F0765" w:rsidP="000D79D6">
            <w:pPr>
              <w:jc w:val="both"/>
              <w:rPr>
                <w:rFonts w:ascii="Times New Roman" w:hAnsi="Times New Roman" w:cs="Times New Roman"/>
              </w:rPr>
            </w:pPr>
            <w:r>
              <w:rPr>
                <w:rFonts w:ascii="Times New Roman" w:hAnsi="Times New Roman" w:cs="Times New Roman"/>
              </w:rPr>
              <w:t>(iii) gürültü ekipmanların etrafının kapatılması;</w:t>
            </w:r>
          </w:p>
          <w:p w14:paraId="588F2BB9" w14:textId="77777777" w:rsidR="006F0765" w:rsidRDefault="006F0765" w:rsidP="000D79D6">
            <w:pPr>
              <w:jc w:val="both"/>
              <w:rPr>
                <w:rFonts w:ascii="Times New Roman" w:hAnsi="Times New Roman" w:cs="Times New Roman"/>
              </w:rPr>
            </w:pPr>
            <w:r>
              <w:rPr>
                <w:rFonts w:ascii="Times New Roman" w:hAnsi="Times New Roman" w:cs="Times New Roman"/>
              </w:rPr>
              <w:t>(iv) binaların ses geçirmez hale getirilmesi.</w:t>
            </w:r>
          </w:p>
        </w:tc>
        <w:tc>
          <w:tcPr>
            <w:tcW w:w="3188" w:type="dxa"/>
            <w:vAlign w:val="center"/>
          </w:tcPr>
          <w:p w14:paraId="078D332C" w14:textId="77777777" w:rsidR="006F0765" w:rsidRDefault="006F0765" w:rsidP="000D79D6">
            <w:pPr>
              <w:jc w:val="both"/>
              <w:rPr>
                <w:rFonts w:ascii="Times New Roman" w:hAnsi="Times New Roman" w:cs="Times New Roman"/>
              </w:rPr>
            </w:pPr>
            <w:r>
              <w:rPr>
                <w:rFonts w:ascii="Times New Roman" w:hAnsi="Times New Roman" w:cs="Times New Roman"/>
              </w:rPr>
              <w:t>Uygulanabilirlik; alan gereksinimleri (mevcut tesisler için), sağlık ve güvenlik hususları dolayısıyla kısıtlanabilir.</w:t>
            </w:r>
          </w:p>
        </w:tc>
      </w:tr>
      <w:tr w:rsidR="006F0765" w:rsidRPr="00393115" w14:paraId="67B9EDBB" w14:textId="77777777" w:rsidTr="000D79D6">
        <w:trPr>
          <w:jc w:val="center"/>
        </w:trPr>
        <w:tc>
          <w:tcPr>
            <w:tcW w:w="594" w:type="dxa"/>
            <w:vAlign w:val="center"/>
          </w:tcPr>
          <w:p w14:paraId="0AB7E8A9" w14:textId="77777777" w:rsidR="006F0765" w:rsidRDefault="006F0765" w:rsidP="000D79D6">
            <w:pPr>
              <w:jc w:val="center"/>
              <w:rPr>
                <w:rFonts w:ascii="Times New Roman" w:hAnsi="Times New Roman" w:cs="Times New Roman"/>
              </w:rPr>
            </w:pPr>
            <w:r>
              <w:rPr>
                <w:rFonts w:ascii="Times New Roman" w:hAnsi="Times New Roman" w:cs="Times New Roman"/>
              </w:rPr>
              <w:t>(e)</w:t>
            </w:r>
          </w:p>
        </w:tc>
        <w:tc>
          <w:tcPr>
            <w:tcW w:w="2840" w:type="dxa"/>
            <w:vAlign w:val="center"/>
          </w:tcPr>
          <w:p w14:paraId="4C6548E0" w14:textId="77777777" w:rsidR="006F0765" w:rsidRDefault="006F0765" w:rsidP="000D79D6">
            <w:pPr>
              <w:jc w:val="both"/>
              <w:rPr>
                <w:rFonts w:ascii="Times New Roman" w:hAnsi="Times New Roman" w:cs="Times New Roman"/>
              </w:rPr>
            </w:pPr>
            <w:r>
              <w:rPr>
                <w:rFonts w:ascii="Times New Roman" w:hAnsi="Times New Roman" w:cs="Times New Roman"/>
              </w:rPr>
              <w:t>Boru sonu arıtımı</w:t>
            </w:r>
          </w:p>
        </w:tc>
        <w:tc>
          <w:tcPr>
            <w:tcW w:w="2440" w:type="dxa"/>
            <w:vAlign w:val="center"/>
          </w:tcPr>
          <w:p w14:paraId="64A99D07" w14:textId="77777777" w:rsidR="006F0765" w:rsidRDefault="006F0765" w:rsidP="000D79D6">
            <w:pPr>
              <w:jc w:val="both"/>
              <w:rPr>
                <w:rFonts w:ascii="Times New Roman" w:hAnsi="Times New Roman" w:cs="Times New Roman"/>
              </w:rPr>
            </w:pPr>
            <w:r>
              <w:rPr>
                <w:rFonts w:ascii="Times New Roman" w:hAnsi="Times New Roman" w:cs="Times New Roman"/>
              </w:rPr>
              <w:t>Yayıcılar ve alıcılar arasına engellerin yerleştirilmesi (örn. koruma duvarları, setler ve binalar).</w:t>
            </w:r>
          </w:p>
        </w:tc>
        <w:tc>
          <w:tcPr>
            <w:tcW w:w="3188" w:type="dxa"/>
            <w:vAlign w:val="center"/>
          </w:tcPr>
          <w:p w14:paraId="59FA05B6" w14:textId="77777777" w:rsidR="006F0765" w:rsidRDefault="006F0765" w:rsidP="000D79D6">
            <w:pPr>
              <w:jc w:val="both"/>
              <w:rPr>
                <w:rFonts w:ascii="Times New Roman" w:hAnsi="Times New Roman" w:cs="Times New Roman"/>
              </w:rPr>
            </w:pPr>
            <w:r>
              <w:rPr>
                <w:rFonts w:ascii="Times New Roman" w:hAnsi="Times New Roman" w:cs="Times New Roman"/>
              </w:rPr>
              <w:t>Sadece mevcut tesislere uygulanabilir; çünkü, yeni tesislerin tasarımı, bu tekniğin kullanımını gerektirmemelidir. Mevcut tesisler için engellerin yerleştirilmesi, alan yetersizliğinden dolayı kısıtlanabilir.</w:t>
            </w:r>
          </w:p>
        </w:tc>
      </w:tr>
    </w:tbl>
    <w:p w14:paraId="62E21E3C" w14:textId="77777777" w:rsidR="006F0765" w:rsidRDefault="006F0765" w:rsidP="006F0765">
      <w:pPr>
        <w:spacing w:after="120" w:line="276" w:lineRule="auto"/>
        <w:jc w:val="both"/>
        <w:rPr>
          <w:rFonts w:ascii="Times New Roman" w:hAnsi="Times New Roman" w:cs="Times New Roman"/>
          <w:sz w:val="24"/>
          <w:szCs w:val="24"/>
        </w:rPr>
      </w:pPr>
    </w:p>
    <w:p w14:paraId="13306CDB" w14:textId="6DBDAFE0" w:rsidR="006F0765" w:rsidRPr="007F1D69" w:rsidRDefault="004B4E52" w:rsidP="006F0765">
      <w:pPr>
        <w:pStyle w:val="Balk1"/>
        <w:spacing w:before="0" w:after="120" w:line="276" w:lineRule="auto"/>
        <w:jc w:val="both"/>
        <w:rPr>
          <w:rFonts w:cs="Times New Roman"/>
          <w:b w:val="0"/>
          <w:bCs/>
          <w:szCs w:val="24"/>
        </w:rPr>
      </w:pPr>
      <w:r>
        <w:rPr>
          <w:rFonts w:cs="Times New Roman"/>
          <w:bCs/>
          <w:szCs w:val="24"/>
        </w:rPr>
        <w:lastRenderedPageBreak/>
        <w:t>T</w:t>
      </w:r>
      <w:r w:rsidR="006F0765">
        <w:rPr>
          <w:rFonts w:cs="Times New Roman"/>
          <w:bCs/>
          <w:szCs w:val="24"/>
        </w:rPr>
        <w:t>EKNİKLERİN AÇIKLAMALARI</w:t>
      </w:r>
    </w:p>
    <w:p w14:paraId="43CCB6D8"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t>(1) Atık Su Arıtımı</w:t>
      </w:r>
    </w:p>
    <w:tbl>
      <w:tblPr>
        <w:tblStyle w:val="TabloKlavuzu"/>
        <w:tblW w:w="0" w:type="auto"/>
        <w:jc w:val="center"/>
        <w:tblLook w:val="04A0" w:firstRow="1" w:lastRow="0" w:firstColumn="1" w:lastColumn="0" w:noHBand="0" w:noVBand="1"/>
      </w:tblPr>
      <w:tblGrid>
        <w:gridCol w:w="3256"/>
        <w:gridCol w:w="5806"/>
      </w:tblGrid>
      <w:tr w:rsidR="006F0765" w:rsidRPr="007266D3" w14:paraId="65DC6D33" w14:textId="77777777" w:rsidTr="000D79D6">
        <w:trPr>
          <w:tblHeader/>
          <w:jc w:val="center"/>
        </w:trPr>
        <w:tc>
          <w:tcPr>
            <w:tcW w:w="3256" w:type="dxa"/>
            <w:vAlign w:val="center"/>
          </w:tcPr>
          <w:p w14:paraId="1F8F5988" w14:textId="77777777" w:rsidR="006F0765" w:rsidRPr="007266D3"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5806" w:type="dxa"/>
            <w:vAlign w:val="center"/>
          </w:tcPr>
          <w:p w14:paraId="596A80CF" w14:textId="77777777" w:rsidR="006F0765" w:rsidRPr="007266D3" w:rsidRDefault="006F0765" w:rsidP="000D79D6">
            <w:pPr>
              <w:jc w:val="center"/>
              <w:rPr>
                <w:rFonts w:ascii="Times New Roman" w:hAnsi="Times New Roman" w:cs="Times New Roman"/>
                <w:b/>
                <w:bCs/>
              </w:rPr>
            </w:pPr>
            <w:r>
              <w:rPr>
                <w:rFonts w:ascii="Times New Roman" w:hAnsi="Times New Roman" w:cs="Times New Roman"/>
                <w:b/>
                <w:bCs/>
              </w:rPr>
              <w:t>Açıklama</w:t>
            </w:r>
          </w:p>
        </w:tc>
      </w:tr>
      <w:tr w:rsidR="006F0765" w:rsidRPr="007266D3" w14:paraId="3A501D1E" w14:textId="77777777" w:rsidTr="000D79D6">
        <w:trPr>
          <w:jc w:val="center"/>
        </w:trPr>
        <w:tc>
          <w:tcPr>
            <w:tcW w:w="3256" w:type="dxa"/>
            <w:vAlign w:val="center"/>
          </w:tcPr>
          <w:p w14:paraId="54561BDC" w14:textId="77777777" w:rsidR="006F0765" w:rsidRPr="007266D3" w:rsidRDefault="006F0765" w:rsidP="000D79D6">
            <w:pPr>
              <w:jc w:val="both"/>
              <w:rPr>
                <w:rFonts w:ascii="Times New Roman" w:hAnsi="Times New Roman" w:cs="Times New Roman"/>
              </w:rPr>
            </w:pPr>
            <w:r>
              <w:rPr>
                <w:rFonts w:ascii="Times New Roman" w:hAnsi="Times New Roman" w:cs="Times New Roman"/>
              </w:rPr>
              <w:t>Aktif Çamur Prosesi</w:t>
            </w:r>
          </w:p>
        </w:tc>
        <w:tc>
          <w:tcPr>
            <w:tcW w:w="5806" w:type="dxa"/>
            <w:vAlign w:val="center"/>
          </w:tcPr>
          <w:p w14:paraId="0677BB11" w14:textId="77777777" w:rsidR="006F0765" w:rsidRPr="007266D3" w:rsidRDefault="006F0765" w:rsidP="000D79D6">
            <w:pPr>
              <w:jc w:val="both"/>
              <w:rPr>
                <w:rFonts w:ascii="Times New Roman" w:hAnsi="Times New Roman" w:cs="Times New Roman"/>
              </w:rPr>
            </w:pPr>
            <w:r>
              <w:rPr>
                <w:rFonts w:ascii="Times New Roman" w:hAnsi="Times New Roman" w:cs="Times New Roman"/>
              </w:rPr>
              <w:t xml:space="preserve">Mikroorganizmaların metabolik faaliyetleri kullanılarak, çözünmüş organik maddelerin oksijen ile biyolojik oksidasyonu. Çözünmüş oksijen (hava veya saf oksijen olarak enjekte edilen) varlığında organik bileşenler, karbon dioksit veya suya mineralleştirilir veya diğer metabolitlere ve biyokütleye (aktif çamur) dönüştürülür. Mikroorganizmalar, atıksuda asılı bir şekilde tutulur ve tüm karışım, mekanik olarak havalandırılır. Aktif çamur karışımı, </w:t>
            </w:r>
            <w:r w:rsidR="00183ECE">
              <w:rPr>
                <w:rFonts w:ascii="Times New Roman" w:hAnsi="Times New Roman" w:cs="Times New Roman"/>
              </w:rPr>
              <w:t>çöktürme havuzundan</w:t>
            </w:r>
            <w:r>
              <w:rPr>
                <w:rFonts w:ascii="Times New Roman" w:hAnsi="Times New Roman" w:cs="Times New Roman"/>
              </w:rPr>
              <w:t xml:space="preserve"> havalandırma tankına </w:t>
            </w:r>
            <w:r w:rsidR="00183ECE">
              <w:rPr>
                <w:rFonts w:ascii="Times New Roman" w:hAnsi="Times New Roman" w:cs="Times New Roman"/>
              </w:rPr>
              <w:t>geri devir yaptırılır.</w:t>
            </w:r>
          </w:p>
        </w:tc>
      </w:tr>
      <w:tr w:rsidR="006F0765" w:rsidRPr="007266D3" w14:paraId="62144D6A" w14:textId="77777777" w:rsidTr="000D79D6">
        <w:trPr>
          <w:jc w:val="center"/>
        </w:trPr>
        <w:tc>
          <w:tcPr>
            <w:tcW w:w="3256" w:type="dxa"/>
            <w:vAlign w:val="center"/>
          </w:tcPr>
          <w:p w14:paraId="2E79EC9A" w14:textId="77777777" w:rsidR="006F0765" w:rsidRPr="007266D3" w:rsidRDefault="006F0765" w:rsidP="000D79D6">
            <w:pPr>
              <w:jc w:val="both"/>
              <w:rPr>
                <w:rFonts w:ascii="Times New Roman" w:hAnsi="Times New Roman" w:cs="Times New Roman"/>
              </w:rPr>
            </w:pPr>
            <w:r>
              <w:rPr>
                <w:rFonts w:ascii="Times New Roman" w:hAnsi="Times New Roman" w:cs="Times New Roman"/>
              </w:rPr>
              <w:t>Nitrifikasyon/Denitrifikasyon</w:t>
            </w:r>
          </w:p>
        </w:tc>
        <w:tc>
          <w:tcPr>
            <w:tcW w:w="5806" w:type="dxa"/>
            <w:vAlign w:val="center"/>
          </w:tcPr>
          <w:p w14:paraId="1676AE95" w14:textId="77777777" w:rsidR="006F0765" w:rsidRPr="007266D3" w:rsidRDefault="006F0765" w:rsidP="000D79D6">
            <w:pPr>
              <w:jc w:val="both"/>
              <w:rPr>
                <w:rFonts w:ascii="Times New Roman" w:hAnsi="Times New Roman" w:cs="Times New Roman"/>
              </w:rPr>
            </w:pPr>
            <w:r>
              <w:rPr>
                <w:rFonts w:ascii="Times New Roman" w:hAnsi="Times New Roman" w:cs="Times New Roman"/>
              </w:rPr>
              <w:t>Biyolojik atıksu arıtma tesislerine genel olarak entegre edilmiş iki adımlı bir proses</w:t>
            </w:r>
            <w:r w:rsidR="00183ECE">
              <w:rPr>
                <w:rFonts w:ascii="Times New Roman" w:hAnsi="Times New Roman" w:cs="Times New Roman"/>
              </w:rPr>
              <w:t>tir.</w:t>
            </w:r>
            <w:r>
              <w:rPr>
                <w:rFonts w:ascii="Times New Roman" w:hAnsi="Times New Roman" w:cs="Times New Roman"/>
              </w:rPr>
              <w:t xml:space="preserve"> İlk adım, mikroorganizmaların amonyumu (</w:t>
            </w:r>
            <m:oMath>
              <m:sSubSup>
                <m:sSubSupPr>
                  <m:ctrlPr>
                    <w:rPr>
                      <w:rFonts w:ascii="Cambria Math" w:hAnsi="Cambria Math" w:cs="Times New Roman"/>
                      <w:i/>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oMath>
            <w:r>
              <w:rPr>
                <w:rFonts w:ascii="Times New Roman" w:eastAsiaTheme="minorEastAsia" w:hAnsi="Times New Roman" w:cs="Times New Roman"/>
              </w:rPr>
              <w:t>) ara madde olarak nitrite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NO</m:t>
                  </m:r>
                </m:e>
                <m:sub>
                  <m:r>
                    <m:rPr>
                      <m:sty m:val="p"/>
                    </m:rPr>
                    <w:rPr>
                      <w:rFonts w:ascii="Cambria Math" w:eastAsiaTheme="minorEastAsia" w:hAnsi="Cambria Math" w:cs="Times New Roman"/>
                    </w:rPr>
                    <m:t>2</m:t>
                  </m:r>
                </m:sub>
                <m:sup>
                  <m:r>
                    <m:rPr>
                      <m:sty m:val="p"/>
                    </m:rPr>
                    <w:rPr>
                      <w:rFonts w:ascii="Cambria Math" w:eastAsiaTheme="minorEastAsia" w:hAnsi="Cambria Math" w:cs="Times New Roman"/>
                    </w:rPr>
                    <m:t>-</m:t>
                  </m:r>
                </m:sup>
              </m:sSubSup>
            </m:oMath>
            <w:r>
              <w:rPr>
                <w:rFonts w:ascii="Times New Roman" w:eastAsiaTheme="minorEastAsia" w:hAnsi="Times New Roman" w:cs="Times New Roman"/>
              </w:rPr>
              <w:t>) ve daha sonra nitrata (</w:t>
            </w:r>
            <m:oMath>
              <m:sSubSup>
                <m:sSubSupPr>
                  <m:ctrlPr>
                    <w:rPr>
                      <w:rFonts w:ascii="Cambria Math" w:eastAsiaTheme="minorEastAsia" w:hAnsi="Cambria Math" w:cs="Times New Roman"/>
                      <w:i/>
                    </w:rPr>
                  </m:ctrlPr>
                </m:sSubSupPr>
                <m:e>
                  <m:r>
                    <m:rPr>
                      <m:sty m:val="p"/>
                    </m:rPr>
                    <w:rPr>
                      <w:rFonts w:ascii="Cambria Math" w:eastAsiaTheme="minorEastAsia" w:hAnsi="Cambria Math" w:cs="Times New Roman"/>
                    </w:rPr>
                    <m:t>NO</m:t>
                  </m:r>
                </m:e>
                <m:sub>
                  <m:r>
                    <m:rPr>
                      <m:sty m:val="p"/>
                    </m:rPr>
                    <w:rPr>
                      <w:rFonts w:ascii="Cambria Math" w:eastAsiaTheme="minorEastAsia" w:hAnsi="Cambria Math" w:cs="Times New Roman"/>
                    </w:rPr>
                    <m:t>3</m:t>
                  </m:r>
                </m:sub>
                <m:sup>
                  <m:r>
                    <m:rPr>
                      <m:sty m:val="p"/>
                    </m:rPr>
                    <w:rPr>
                      <w:rFonts w:ascii="Cambria Math" w:eastAsiaTheme="minorEastAsia" w:hAnsi="Cambria Math" w:cs="Times New Roman"/>
                    </w:rPr>
                    <m:t>-</m:t>
                  </m:r>
                </m:sup>
              </m:sSubSup>
            </m:oMath>
            <w:r>
              <w:rPr>
                <w:rFonts w:ascii="Times New Roman" w:eastAsiaTheme="minorEastAsia" w:hAnsi="Times New Roman" w:cs="Times New Roman"/>
              </w:rPr>
              <w:t>) oksitlediği aerobik nitrifikasyondur. Devamındaki anoksik denitrifikasyon adımında mikroorganizmalar, nitratı azot gazına kimyasal olarak indirger.</w:t>
            </w:r>
          </w:p>
        </w:tc>
      </w:tr>
      <w:tr w:rsidR="006F0765" w:rsidRPr="007266D3" w14:paraId="535AA269" w14:textId="77777777" w:rsidTr="000D79D6">
        <w:trPr>
          <w:jc w:val="center"/>
        </w:trPr>
        <w:tc>
          <w:tcPr>
            <w:tcW w:w="3256" w:type="dxa"/>
            <w:vAlign w:val="center"/>
          </w:tcPr>
          <w:p w14:paraId="3FEAB9B1" w14:textId="77777777" w:rsidR="006F0765" w:rsidRPr="007266D3" w:rsidRDefault="006F0765" w:rsidP="000D79D6">
            <w:pPr>
              <w:jc w:val="both"/>
              <w:rPr>
                <w:rFonts w:ascii="Times New Roman" w:hAnsi="Times New Roman" w:cs="Times New Roman"/>
              </w:rPr>
            </w:pPr>
            <w:r>
              <w:rPr>
                <w:rFonts w:ascii="Times New Roman" w:hAnsi="Times New Roman" w:cs="Times New Roman"/>
              </w:rPr>
              <w:t>Kimyasal Çöktürme</w:t>
            </w:r>
          </w:p>
        </w:tc>
        <w:tc>
          <w:tcPr>
            <w:tcW w:w="5806" w:type="dxa"/>
            <w:vAlign w:val="center"/>
          </w:tcPr>
          <w:p w14:paraId="2AE2A181" w14:textId="77777777" w:rsidR="006F0765" w:rsidRPr="007266D3" w:rsidRDefault="006F0765" w:rsidP="000D79D6">
            <w:pPr>
              <w:jc w:val="both"/>
              <w:rPr>
                <w:rFonts w:ascii="Times New Roman" w:hAnsi="Times New Roman" w:cs="Times New Roman"/>
              </w:rPr>
            </w:pPr>
            <w:r>
              <w:rPr>
                <w:rFonts w:ascii="Times New Roman" w:hAnsi="Times New Roman" w:cs="Times New Roman"/>
              </w:rPr>
              <w:t>Çözünmüş kirleticilerin çözünmez bileşiklere, kimyasal çöktürücü maddeler eklenerek dönüşümü</w:t>
            </w:r>
            <w:r w:rsidR="00183ECE">
              <w:rPr>
                <w:rFonts w:ascii="Times New Roman" w:hAnsi="Times New Roman" w:cs="Times New Roman"/>
              </w:rPr>
              <w:t>dür</w:t>
            </w:r>
            <w:r>
              <w:rPr>
                <w:rFonts w:ascii="Times New Roman" w:hAnsi="Times New Roman" w:cs="Times New Roman"/>
              </w:rPr>
              <w:t>. Oluşan katı çökeltiler, daha sonra sedimantasyon, havalı yüzdürme veya filtrasyon ile ayrılır</w:t>
            </w:r>
            <w:r w:rsidR="007359B3">
              <w:rPr>
                <w:rFonts w:ascii="Times New Roman" w:hAnsi="Times New Roman" w:cs="Times New Roman"/>
              </w:rPr>
              <w:t xml:space="preserve">. </w:t>
            </w:r>
            <w:r w:rsidR="00183ECE">
              <w:rPr>
                <w:rFonts w:ascii="Times New Roman" w:hAnsi="Times New Roman" w:cs="Times New Roman"/>
              </w:rPr>
              <w:t>Devamında</w:t>
            </w:r>
            <w:r>
              <w:rPr>
                <w:rFonts w:ascii="Times New Roman" w:hAnsi="Times New Roman" w:cs="Times New Roman"/>
              </w:rPr>
              <w:t xml:space="preserve">, gerekli ise, mikrofiltrasyon veya ultrafiltrasyon </w:t>
            </w:r>
            <w:r w:rsidR="007359B3">
              <w:rPr>
                <w:rFonts w:ascii="Times New Roman" w:hAnsi="Times New Roman" w:cs="Times New Roman"/>
              </w:rPr>
              <w:t>kullanılır.</w:t>
            </w:r>
            <w:r>
              <w:rPr>
                <w:rFonts w:ascii="Times New Roman" w:hAnsi="Times New Roman" w:cs="Times New Roman"/>
              </w:rPr>
              <w:t xml:space="preserve"> Çok değerlikli metal iyonları (örn. kalsiyum, alüminyum, demir), fosfor çöktürmesi için kullanılır.</w:t>
            </w:r>
          </w:p>
        </w:tc>
      </w:tr>
      <w:tr w:rsidR="006F0765" w:rsidRPr="007266D3" w14:paraId="297C5CF9" w14:textId="77777777" w:rsidTr="000D79D6">
        <w:trPr>
          <w:jc w:val="center"/>
        </w:trPr>
        <w:tc>
          <w:tcPr>
            <w:tcW w:w="3256" w:type="dxa"/>
            <w:vAlign w:val="center"/>
          </w:tcPr>
          <w:p w14:paraId="57157A19" w14:textId="77777777" w:rsidR="006F0765" w:rsidRPr="007266D3" w:rsidRDefault="006F0765" w:rsidP="000D79D6">
            <w:pPr>
              <w:jc w:val="both"/>
              <w:rPr>
                <w:rFonts w:ascii="Times New Roman" w:hAnsi="Times New Roman" w:cs="Times New Roman"/>
              </w:rPr>
            </w:pPr>
            <w:r>
              <w:rPr>
                <w:rFonts w:ascii="Times New Roman" w:hAnsi="Times New Roman" w:cs="Times New Roman"/>
              </w:rPr>
              <w:t>Koagülasyon ve Flokülasyon</w:t>
            </w:r>
          </w:p>
        </w:tc>
        <w:tc>
          <w:tcPr>
            <w:tcW w:w="5806" w:type="dxa"/>
            <w:vAlign w:val="center"/>
          </w:tcPr>
          <w:p w14:paraId="6DF9F6C2" w14:textId="77777777" w:rsidR="006F0765" w:rsidRPr="007266D3" w:rsidRDefault="006F0765" w:rsidP="000D79D6">
            <w:pPr>
              <w:jc w:val="both"/>
              <w:rPr>
                <w:rFonts w:ascii="Times New Roman" w:hAnsi="Times New Roman" w:cs="Times New Roman"/>
              </w:rPr>
            </w:pPr>
            <w:r>
              <w:rPr>
                <w:rFonts w:ascii="Times New Roman" w:hAnsi="Times New Roman" w:cs="Times New Roman"/>
              </w:rPr>
              <w:t>Koagülasyon ve flokülasyon, askıda katı maddeleri atık sudan ayırmak için kullanılır ve çoğu kez art arda gerçekleştirilir. Koagülasyon</w:t>
            </w:r>
            <w:r w:rsidR="007359B3">
              <w:rPr>
                <w:rFonts w:ascii="Times New Roman" w:hAnsi="Times New Roman" w:cs="Times New Roman"/>
              </w:rPr>
              <w:t xml:space="preserve"> işlemi,</w:t>
            </w:r>
            <w:r>
              <w:rPr>
                <w:rFonts w:ascii="Times New Roman" w:hAnsi="Times New Roman" w:cs="Times New Roman"/>
              </w:rPr>
              <w:t xml:space="preserve"> askıda katı maddelere göre zıt yüklü koagülanların eklenmesiyle </w:t>
            </w:r>
            <w:r w:rsidR="007359B3">
              <w:rPr>
                <w:rFonts w:ascii="Times New Roman" w:hAnsi="Times New Roman" w:cs="Times New Roman"/>
              </w:rPr>
              <w:t>gerçekleşir</w:t>
            </w:r>
            <w:r>
              <w:rPr>
                <w:rFonts w:ascii="Times New Roman" w:hAnsi="Times New Roman" w:cs="Times New Roman"/>
              </w:rPr>
              <w:t>. Flokülasyon</w:t>
            </w:r>
            <w:r w:rsidR="007359B3">
              <w:rPr>
                <w:rFonts w:ascii="Times New Roman" w:hAnsi="Times New Roman" w:cs="Times New Roman"/>
              </w:rPr>
              <w:t xml:space="preserve"> işlemi,</w:t>
            </w:r>
            <w:r>
              <w:rPr>
                <w:rFonts w:ascii="Times New Roman" w:hAnsi="Times New Roman" w:cs="Times New Roman"/>
              </w:rPr>
              <w:t xml:space="preserve"> mikroflok partikülleri </w:t>
            </w:r>
            <w:r w:rsidR="007359B3">
              <w:rPr>
                <w:rFonts w:ascii="Times New Roman" w:hAnsi="Times New Roman" w:cs="Times New Roman"/>
              </w:rPr>
              <w:t>bir araya gelmesi ve</w:t>
            </w:r>
            <w:r>
              <w:rPr>
                <w:rFonts w:ascii="Times New Roman" w:hAnsi="Times New Roman" w:cs="Times New Roman"/>
              </w:rPr>
              <w:t xml:space="preserve"> daha büyük floklar üretebilmesi için, polimer eklenmesiyle </w:t>
            </w:r>
            <w:r w:rsidR="007359B3">
              <w:rPr>
                <w:rFonts w:ascii="Times New Roman" w:hAnsi="Times New Roman" w:cs="Times New Roman"/>
              </w:rPr>
              <w:t>gerçekleşir.</w:t>
            </w:r>
          </w:p>
        </w:tc>
      </w:tr>
      <w:tr w:rsidR="006F0765" w:rsidRPr="007266D3" w14:paraId="01A6F9AD" w14:textId="77777777" w:rsidTr="000D79D6">
        <w:trPr>
          <w:jc w:val="center"/>
        </w:trPr>
        <w:tc>
          <w:tcPr>
            <w:tcW w:w="3256" w:type="dxa"/>
            <w:vAlign w:val="center"/>
          </w:tcPr>
          <w:p w14:paraId="230796E6" w14:textId="77777777" w:rsidR="006F0765" w:rsidRPr="007266D3" w:rsidRDefault="006F0765" w:rsidP="000D79D6">
            <w:pPr>
              <w:jc w:val="both"/>
              <w:rPr>
                <w:rFonts w:ascii="Times New Roman" w:hAnsi="Times New Roman" w:cs="Times New Roman"/>
              </w:rPr>
            </w:pPr>
            <w:r>
              <w:rPr>
                <w:rFonts w:ascii="Times New Roman" w:hAnsi="Times New Roman" w:cs="Times New Roman"/>
              </w:rPr>
              <w:t>Dengeleme</w:t>
            </w:r>
          </w:p>
        </w:tc>
        <w:tc>
          <w:tcPr>
            <w:tcW w:w="5806" w:type="dxa"/>
            <w:vAlign w:val="center"/>
          </w:tcPr>
          <w:p w14:paraId="7534B23E" w14:textId="77777777" w:rsidR="006F0765" w:rsidRPr="007266D3" w:rsidRDefault="00BB2545" w:rsidP="000D79D6">
            <w:pPr>
              <w:jc w:val="both"/>
              <w:rPr>
                <w:rFonts w:ascii="Times New Roman" w:hAnsi="Times New Roman" w:cs="Times New Roman"/>
              </w:rPr>
            </w:pPr>
            <w:r>
              <w:rPr>
                <w:rFonts w:ascii="Times New Roman" w:hAnsi="Times New Roman" w:cs="Times New Roman"/>
              </w:rPr>
              <w:t>Atıksuyun</w:t>
            </w:r>
            <w:r w:rsidR="006F0765">
              <w:rPr>
                <w:rFonts w:ascii="Times New Roman" w:hAnsi="Times New Roman" w:cs="Times New Roman"/>
              </w:rPr>
              <w:t xml:space="preserve"> akışın ve kirletici yükünün, merkezi tanklar kullanılarak dengelenmesi. Dengeleme, diğer yönetim teknikleri kullanılarak daha az merkezi bir hale getirilebilir veya gerçekleştirilebilir.</w:t>
            </w:r>
          </w:p>
        </w:tc>
      </w:tr>
      <w:tr w:rsidR="006F0765" w:rsidRPr="007266D3" w14:paraId="02E2760D" w14:textId="77777777" w:rsidTr="000D79D6">
        <w:trPr>
          <w:jc w:val="center"/>
        </w:trPr>
        <w:tc>
          <w:tcPr>
            <w:tcW w:w="3256" w:type="dxa"/>
            <w:vAlign w:val="center"/>
          </w:tcPr>
          <w:p w14:paraId="7DC50CC7" w14:textId="77777777" w:rsidR="006F0765" w:rsidRDefault="006F0765" w:rsidP="000D79D6">
            <w:pPr>
              <w:jc w:val="both"/>
              <w:rPr>
                <w:rFonts w:ascii="Times New Roman" w:hAnsi="Times New Roman" w:cs="Times New Roman"/>
              </w:rPr>
            </w:pPr>
            <w:r>
              <w:rPr>
                <w:rFonts w:ascii="Times New Roman" w:hAnsi="Times New Roman" w:cs="Times New Roman"/>
              </w:rPr>
              <w:t>Filtrasyon</w:t>
            </w:r>
          </w:p>
        </w:tc>
        <w:tc>
          <w:tcPr>
            <w:tcW w:w="5806" w:type="dxa"/>
            <w:vAlign w:val="center"/>
          </w:tcPr>
          <w:p w14:paraId="0B883192" w14:textId="77777777" w:rsidR="006F0765" w:rsidRDefault="006F0765" w:rsidP="000D79D6">
            <w:pPr>
              <w:jc w:val="both"/>
              <w:rPr>
                <w:rFonts w:ascii="Times New Roman" w:hAnsi="Times New Roman" w:cs="Times New Roman"/>
              </w:rPr>
            </w:pPr>
            <w:r>
              <w:rPr>
                <w:rFonts w:ascii="Times New Roman" w:hAnsi="Times New Roman" w:cs="Times New Roman"/>
              </w:rPr>
              <w:t>Katı maddelerin atıksudan, gözenekli bir ortamdan -örn. kum filtrasyonu, mikrofiltrasyon ve ultrafiltrasyon- geçirilerek ayrılması.</w:t>
            </w:r>
          </w:p>
        </w:tc>
      </w:tr>
      <w:tr w:rsidR="006F0765" w:rsidRPr="007266D3" w14:paraId="584231BD" w14:textId="77777777" w:rsidTr="000D79D6">
        <w:trPr>
          <w:jc w:val="center"/>
        </w:trPr>
        <w:tc>
          <w:tcPr>
            <w:tcW w:w="3256" w:type="dxa"/>
            <w:vAlign w:val="center"/>
          </w:tcPr>
          <w:p w14:paraId="44D77331" w14:textId="77777777" w:rsidR="006F0765" w:rsidRDefault="006F0765" w:rsidP="000D79D6">
            <w:pPr>
              <w:jc w:val="both"/>
              <w:rPr>
                <w:rFonts w:ascii="Times New Roman" w:hAnsi="Times New Roman" w:cs="Times New Roman"/>
              </w:rPr>
            </w:pPr>
            <w:r>
              <w:rPr>
                <w:rFonts w:ascii="Times New Roman" w:hAnsi="Times New Roman" w:cs="Times New Roman"/>
              </w:rPr>
              <w:t>Yüzdürme</w:t>
            </w:r>
          </w:p>
        </w:tc>
        <w:tc>
          <w:tcPr>
            <w:tcW w:w="5806" w:type="dxa"/>
            <w:vAlign w:val="center"/>
          </w:tcPr>
          <w:p w14:paraId="186AE790" w14:textId="77777777" w:rsidR="006F0765" w:rsidRDefault="006F0765" w:rsidP="000D79D6">
            <w:pPr>
              <w:jc w:val="both"/>
              <w:rPr>
                <w:rFonts w:ascii="Times New Roman" w:hAnsi="Times New Roman" w:cs="Times New Roman"/>
              </w:rPr>
            </w:pPr>
            <w:r>
              <w:rPr>
                <w:rFonts w:ascii="Times New Roman" w:hAnsi="Times New Roman" w:cs="Times New Roman"/>
              </w:rPr>
              <w:t>Katı veya sıvı partiküllerin atıksudan, küçük gaz baloncuklarına -genellikle hava- bağlanarak ayrılması.</w:t>
            </w:r>
          </w:p>
        </w:tc>
      </w:tr>
      <w:tr w:rsidR="006F0765" w:rsidRPr="007266D3" w14:paraId="6D77A6C7" w14:textId="77777777" w:rsidTr="000D79D6">
        <w:trPr>
          <w:jc w:val="center"/>
        </w:trPr>
        <w:tc>
          <w:tcPr>
            <w:tcW w:w="3256" w:type="dxa"/>
            <w:vAlign w:val="center"/>
          </w:tcPr>
          <w:p w14:paraId="7E7B02DD" w14:textId="77777777" w:rsidR="006F0765" w:rsidRDefault="006F0765" w:rsidP="000D79D6">
            <w:pPr>
              <w:jc w:val="both"/>
              <w:rPr>
                <w:rFonts w:ascii="Times New Roman" w:hAnsi="Times New Roman" w:cs="Times New Roman"/>
              </w:rPr>
            </w:pPr>
            <w:r>
              <w:rPr>
                <w:rFonts w:ascii="Times New Roman" w:hAnsi="Times New Roman" w:cs="Times New Roman"/>
              </w:rPr>
              <w:t>Membran Biyoreaktör</w:t>
            </w:r>
          </w:p>
        </w:tc>
        <w:tc>
          <w:tcPr>
            <w:tcW w:w="5806" w:type="dxa"/>
            <w:vAlign w:val="center"/>
          </w:tcPr>
          <w:p w14:paraId="5029C501" w14:textId="77777777" w:rsidR="006F0765" w:rsidRDefault="00BB2545" w:rsidP="000D79D6">
            <w:pPr>
              <w:jc w:val="both"/>
              <w:rPr>
                <w:rFonts w:ascii="Times New Roman" w:hAnsi="Times New Roman" w:cs="Times New Roman"/>
              </w:rPr>
            </w:pPr>
            <w:r w:rsidRPr="00BB2545">
              <w:rPr>
                <w:rFonts w:ascii="Times New Roman" w:hAnsi="Times New Roman" w:cs="Times New Roman"/>
              </w:rPr>
              <w:t>Aktif çamur sistemi ile membran filtrasyonunun bir kombinasyonudur. İki farklı yöntemi vardır: a) aktif çamur tankı ve membran modülü arasında harici bir resirkülasyon döngüsü (harici membran) ; ve b) aktif çamur tankına membran modülünün batırılması (batık membran) (bu tür, daha az enerji tüketir ve daha kompakt tesislerde kullanımı tercih edilir.).</w:t>
            </w:r>
          </w:p>
        </w:tc>
      </w:tr>
      <w:tr w:rsidR="006F0765" w:rsidRPr="007266D3" w14:paraId="36AFABC1" w14:textId="77777777" w:rsidTr="000D79D6">
        <w:trPr>
          <w:jc w:val="center"/>
        </w:trPr>
        <w:tc>
          <w:tcPr>
            <w:tcW w:w="3256" w:type="dxa"/>
            <w:vAlign w:val="center"/>
          </w:tcPr>
          <w:p w14:paraId="22462452" w14:textId="77777777" w:rsidR="006F0765" w:rsidRDefault="006F0765" w:rsidP="000D79D6">
            <w:pPr>
              <w:jc w:val="both"/>
              <w:rPr>
                <w:rFonts w:ascii="Times New Roman" w:hAnsi="Times New Roman" w:cs="Times New Roman"/>
              </w:rPr>
            </w:pPr>
            <w:r>
              <w:rPr>
                <w:rFonts w:ascii="Times New Roman" w:hAnsi="Times New Roman" w:cs="Times New Roman"/>
              </w:rPr>
              <w:t>Nötralizasyon</w:t>
            </w:r>
          </w:p>
        </w:tc>
        <w:tc>
          <w:tcPr>
            <w:tcW w:w="5806" w:type="dxa"/>
            <w:vAlign w:val="center"/>
          </w:tcPr>
          <w:p w14:paraId="77EC135C" w14:textId="77777777" w:rsidR="006F0765" w:rsidRPr="00EF12BA" w:rsidRDefault="006F0765" w:rsidP="000D79D6">
            <w:pPr>
              <w:jc w:val="both"/>
              <w:rPr>
                <w:rFonts w:ascii="Times New Roman" w:hAnsi="Times New Roman" w:cs="Times New Roman"/>
              </w:rPr>
            </w:pPr>
            <w:r>
              <w:rPr>
                <w:rFonts w:ascii="Times New Roman" w:hAnsi="Times New Roman" w:cs="Times New Roman"/>
              </w:rPr>
              <w:t>Atıksu pH’sinin, kimyasal eklenerek, nötr bir değere (yaklaşık 7) ayarlanması. pH’nin artırılması için genellikle sodyum hidroksit (NaOH) veya kalsiyum hidroksit (Ca(OH)</w:t>
            </w:r>
            <w:r>
              <w:rPr>
                <w:rFonts w:ascii="Times New Roman" w:hAnsi="Times New Roman" w:cs="Times New Roman"/>
                <w:vertAlign w:val="subscript"/>
              </w:rPr>
              <w:t>2</w:t>
            </w:r>
            <w:r>
              <w:rPr>
                <w:rFonts w:ascii="Times New Roman" w:hAnsi="Times New Roman" w:cs="Times New Roman"/>
              </w:rPr>
              <w:t>) kullanılır; bununla birlikte, pH’nin düşürülmesi için genellikle sülfürik asit (H</w:t>
            </w:r>
            <w:r>
              <w:rPr>
                <w:rFonts w:ascii="Times New Roman" w:hAnsi="Times New Roman" w:cs="Times New Roman"/>
                <w:vertAlign w:val="subscript"/>
              </w:rPr>
              <w:t>2</w:t>
            </w:r>
            <w:r>
              <w:rPr>
                <w:rFonts w:ascii="Times New Roman" w:hAnsi="Times New Roman" w:cs="Times New Roman"/>
              </w:rPr>
              <w:t>SO</w:t>
            </w:r>
            <w:r>
              <w:rPr>
                <w:rFonts w:ascii="Times New Roman" w:hAnsi="Times New Roman" w:cs="Times New Roman"/>
                <w:vertAlign w:val="subscript"/>
              </w:rPr>
              <w:t>4</w:t>
            </w:r>
            <w:r>
              <w:rPr>
                <w:rFonts w:ascii="Times New Roman" w:hAnsi="Times New Roman" w:cs="Times New Roman"/>
              </w:rPr>
              <w:t>), hidroklorik asit (HCl) veya karbon dioksit (CO</w:t>
            </w:r>
            <w:r>
              <w:rPr>
                <w:rFonts w:ascii="Times New Roman" w:hAnsi="Times New Roman" w:cs="Times New Roman"/>
                <w:vertAlign w:val="subscript"/>
              </w:rPr>
              <w:t>2</w:t>
            </w:r>
            <w:r>
              <w:rPr>
                <w:rFonts w:ascii="Times New Roman" w:hAnsi="Times New Roman" w:cs="Times New Roman"/>
              </w:rPr>
              <w:t>) kullanılır. Nötralizasyon sırasında, bazı maddelerin çökelmesi gerçekleşebilir.</w:t>
            </w:r>
          </w:p>
        </w:tc>
      </w:tr>
      <w:tr w:rsidR="006F0765" w:rsidRPr="007266D3" w14:paraId="43A52554" w14:textId="77777777" w:rsidTr="000D79D6">
        <w:trPr>
          <w:jc w:val="center"/>
        </w:trPr>
        <w:tc>
          <w:tcPr>
            <w:tcW w:w="3256" w:type="dxa"/>
            <w:vAlign w:val="center"/>
          </w:tcPr>
          <w:p w14:paraId="0C5CE45B" w14:textId="77777777" w:rsidR="006F0765" w:rsidRDefault="006F0765" w:rsidP="000D79D6">
            <w:pPr>
              <w:jc w:val="both"/>
              <w:rPr>
                <w:rFonts w:ascii="Times New Roman" w:hAnsi="Times New Roman" w:cs="Times New Roman"/>
              </w:rPr>
            </w:pPr>
            <w:r>
              <w:rPr>
                <w:rFonts w:ascii="Times New Roman" w:hAnsi="Times New Roman" w:cs="Times New Roman"/>
              </w:rPr>
              <w:lastRenderedPageBreak/>
              <w:t>Sedimantasyon</w:t>
            </w:r>
          </w:p>
        </w:tc>
        <w:tc>
          <w:tcPr>
            <w:tcW w:w="5806" w:type="dxa"/>
            <w:vAlign w:val="center"/>
          </w:tcPr>
          <w:p w14:paraId="62B13758" w14:textId="77777777" w:rsidR="006F0765" w:rsidRDefault="006F0765" w:rsidP="000D79D6">
            <w:pPr>
              <w:jc w:val="both"/>
              <w:rPr>
                <w:rFonts w:ascii="Times New Roman" w:hAnsi="Times New Roman" w:cs="Times New Roman"/>
              </w:rPr>
            </w:pPr>
            <w:r>
              <w:rPr>
                <w:rFonts w:ascii="Times New Roman" w:hAnsi="Times New Roman" w:cs="Times New Roman"/>
              </w:rPr>
              <w:t>Askıdaki partiküllerin ve askıdaki materyallerin, yer çekimi çöktürmesi ile ayrımı.</w:t>
            </w:r>
          </w:p>
        </w:tc>
      </w:tr>
    </w:tbl>
    <w:p w14:paraId="3195D2BF" w14:textId="77777777" w:rsidR="006F0765" w:rsidRDefault="006F0765" w:rsidP="006F0765">
      <w:pPr>
        <w:spacing w:after="120" w:line="276" w:lineRule="auto"/>
        <w:jc w:val="both"/>
        <w:rPr>
          <w:rFonts w:ascii="Times New Roman" w:hAnsi="Times New Roman" w:cs="Times New Roman"/>
          <w:sz w:val="24"/>
          <w:szCs w:val="24"/>
        </w:rPr>
      </w:pPr>
    </w:p>
    <w:p w14:paraId="5BC2AAF3" w14:textId="77777777" w:rsidR="006F0765" w:rsidRPr="009C5B1E" w:rsidRDefault="006F0765" w:rsidP="006F0765">
      <w:pPr>
        <w:pStyle w:val="Balk2"/>
        <w:spacing w:before="0" w:after="120" w:line="276" w:lineRule="auto"/>
        <w:jc w:val="both"/>
        <w:rPr>
          <w:rFonts w:cs="Times New Roman"/>
          <w:b/>
          <w:bCs/>
          <w:szCs w:val="24"/>
        </w:rPr>
      </w:pPr>
      <w:r>
        <w:rPr>
          <w:rFonts w:cs="Times New Roman"/>
          <w:b/>
          <w:bCs/>
          <w:szCs w:val="24"/>
        </w:rPr>
        <w:t xml:space="preserve">(2) Yayılı </w:t>
      </w:r>
      <w:r w:rsidR="009D570E">
        <w:rPr>
          <w:rFonts w:cs="Times New Roman"/>
          <w:b/>
          <w:bCs/>
          <w:szCs w:val="24"/>
        </w:rPr>
        <w:t>UOB</w:t>
      </w:r>
      <w:r>
        <w:rPr>
          <w:rFonts w:cs="Times New Roman"/>
          <w:b/>
          <w:bCs/>
          <w:szCs w:val="24"/>
        </w:rPr>
        <w:t xml:space="preserve"> Emisyonları</w:t>
      </w:r>
    </w:p>
    <w:tbl>
      <w:tblPr>
        <w:tblStyle w:val="TabloKlavuzu"/>
        <w:tblW w:w="0" w:type="auto"/>
        <w:jc w:val="center"/>
        <w:tblLook w:val="04A0" w:firstRow="1" w:lastRow="0" w:firstColumn="1" w:lastColumn="0" w:noHBand="0" w:noVBand="1"/>
      </w:tblPr>
      <w:tblGrid>
        <w:gridCol w:w="3256"/>
        <w:gridCol w:w="5806"/>
      </w:tblGrid>
      <w:tr w:rsidR="006F0765" w:rsidRPr="007266D3" w14:paraId="3DB8DA09" w14:textId="77777777" w:rsidTr="000D79D6">
        <w:trPr>
          <w:tblHeader/>
          <w:jc w:val="center"/>
        </w:trPr>
        <w:tc>
          <w:tcPr>
            <w:tcW w:w="3256" w:type="dxa"/>
            <w:vAlign w:val="center"/>
          </w:tcPr>
          <w:p w14:paraId="562503A5" w14:textId="77777777" w:rsidR="006F0765" w:rsidRPr="007266D3" w:rsidRDefault="006F0765" w:rsidP="000D79D6">
            <w:pPr>
              <w:jc w:val="center"/>
              <w:rPr>
                <w:rFonts w:ascii="Times New Roman" w:hAnsi="Times New Roman" w:cs="Times New Roman"/>
                <w:b/>
                <w:bCs/>
              </w:rPr>
            </w:pPr>
            <w:r>
              <w:rPr>
                <w:rFonts w:ascii="Times New Roman" w:hAnsi="Times New Roman" w:cs="Times New Roman"/>
                <w:b/>
                <w:bCs/>
              </w:rPr>
              <w:t>Teknik</w:t>
            </w:r>
          </w:p>
        </w:tc>
        <w:tc>
          <w:tcPr>
            <w:tcW w:w="5806" w:type="dxa"/>
            <w:vAlign w:val="center"/>
          </w:tcPr>
          <w:p w14:paraId="6509A2D6" w14:textId="77777777" w:rsidR="006F0765" w:rsidRPr="007266D3" w:rsidRDefault="006F0765" w:rsidP="000D79D6">
            <w:pPr>
              <w:jc w:val="center"/>
              <w:rPr>
                <w:rFonts w:ascii="Times New Roman" w:hAnsi="Times New Roman" w:cs="Times New Roman"/>
                <w:b/>
                <w:bCs/>
              </w:rPr>
            </w:pPr>
            <w:r>
              <w:rPr>
                <w:rFonts w:ascii="Times New Roman" w:hAnsi="Times New Roman" w:cs="Times New Roman"/>
                <w:b/>
                <w:bCs/>
              </w:rPr>
              <w:t>Açıklama</w:t>
            </w:r>
          </w:p>
        </w:tc>
      </w:tr>
      <w:tr w:rsidR="006F0765" w:rsidRPr="007266D3" w14:paraId="6D9F53D3" w14:textId="77777777" w:rsidTr="000D79D6">
        <w:trPr>
          <w:jc w:val="center"/>
        </w:trPr>
        <w:tc>
          <w:tcPr>
            <w:tcW w:w="3256" w:type="dxa"/>
            <w:vAlign w:val="center"/>
          </w:tcPr>
          <w:p w14:paraId="7791737E" w14:textId="77777777" w:rsidR="006F0765" w:rsidRPr="007266D3" w:rsidRDefault="006F0765" w:rsidP="000D79D6">
            <w:pPr>
              <w:jc w:val="both"/>
              <w:rPr>
                <w:rFonts w:ascii="Times New Roman" w:hAnsi="Times New Roman" w:cs="Times New Roman"/>
              </w:rPr>
            </w:pPr>
            <w:r>
              <w:rPr>
                <w:rFonts w:ascii="Times New Roman" w:hAnsi="Times New Roman" w:cs="Times New Roman"/>
              </w:rPr>
              <w:t>Yüksek Sağlamlığa Sahip Ekipman</w:t>
            </w:r>
          </w:p>
        </w:tc>
        <w:tc>
          <w:tcPr>
            <w:tcW w:w="5806" w:type="dxa"/>
            <w:vAlign w:val="center"/>
          </w:tcPr>
          <w:p w14:paraId="22089C04" w14:textId="77777777" w:rsidR="006F0765" w:rsidRDefault="006F0765" w:rsidP="000D79D6">
            <w:pPr>
              <w:jc w:val="both"/>
              <w:rPr>
                <w:rFonts w:ascii="Times New Roman" w:hAnsi="Times New Roman" w:cs="Times New Roman"/>
              </w:rPr>
            </w:pPr>
            <w:r>
              <w:rPr>
                <w:rFonts w:ascii="Times New Roman" w:hAnsi="Times New Roman" w:cs="Times New Roman"/>
              </w:rPr>
              <w:t>Yüksek sağlamlığa sahip ekipman, şunları içerir:</w:t>
            </w:r>
          </w:p>
          <w:p w14:paraId="3F560704" w14:textId="77777777" w:rsidR="006F0765" w:rsidRDefault="006F0765" w:rsidP="000D79D6">
            <w:pPr>
              <w:jc w:val="both"/>
              <w:rPr>
                <w:rFonts w:ascii="Times New Roman" w:hAnsi="Times New Roman" w:cs="Times New Roman"/>
              </w:rPr>
            </w:pPr>
            <w:r>
              <w:rPr>
                <w:rFonts w:ascii="Times New Roman" w:hAnsi="Times New Roman" w:cs="Times New Roman"/>
              </w:rPr>
              <w:t>-- çift salmastralı vanalar;</w:t>
            </w:r>
          </w:p>
          <w:p w14:paraId="6257FBD1" w14:textId="77777777" w:rsidR="006F0765" w:rsidRDefault="006F0765" w:rsidP="000D79D6">
            <w:pPr>
              <w:jc w:val="both"/>
              <w:rPr>
                <w:rFonts w:ascii="Times New Roman" w:hAnsi="Times New Roman" w:cs="Times New Roman"/>
              </w:rPr>
            </w:pPr>
            <w:r>
              <w:rPr>
                <w:rFonts w:ascii="Times New Roman" w:hAnsi="Times New Roman" w:cs="Times New Roman"/>
              </w:rPr>
              <w:t>-- manyetik pompalar/kompresörler/ajitatörler;</w:t>
            </w:r>
          </w:p>
          <w:p w14:paraId="6464792F" w14:textId="77777777" w:rsidR="006F0765" w:rsidRDefault="006F0765" w:rsidP="000D79D6">
            <w:pPr>
              <w:jc w:val="both"/>
              <w:rPr>
                <w:rFonts w:ascii="Times New Roman" w:hAnsi="Times New Roman" w:cs="Times New Roman"/>
              </w:rPr>
            </w:pPr>
            <w:r>
              <w:rPr>
                <w:rFonts w:ascii="Times New Roman" w:hAnsi="Times New Roman" w:cs="Times New Roman"/>
              </w:rPr>
              <w:t>-- salmastra yerine mekanik salmastralarla donatılmış pompalar/kompresörler/ajitatörler;</w:t>
            </w:r>
          </w:p>
          <w:p w14:paraId="7D89EE5D" w14:textId="77777777" w:rsidR="006F0765" w:rsidRDefault="006F0765" w:rsidP="000D79D6">
            <w:pPr>
              <w:jc w:val="both"/>
              <w:rPr>
                <w:rFonts w:ascii="Times New Roman" w:hAnsi="Times New Roman" w:cs="Times New Roman"/>
              </w:rPr>
            </w:pPr>
            <w:r>
              <w:rPr>
                <w:rFonts w:ascii="Times New Roman" w:hAnsi="Times New Roman" w:cs="Times New Roman"/>
              </w:rPr>
              <w:t>-- kritik uygulamalar için yüksek sağlamlığa sahip contalar (spiral sargılı, metal halkalı gibi);</w:t>
            </w:r>
          </w:p>
          <w:p w14:paraId="2F8A7460" w14:textId="77777777" w:rsidR="006F0765" w:rsidRPr="007266D3" w:rsidRDefault="006F0765" w:rsidP="000D79D6">
            <w:pPr>
              <w:jc w:val="both"/>
              <w:rPr>
                <w:rFonts w:ascii="Times New Roman" w:hAnsi="Times New Roman" w:cs="Times New Roman"/>
              </w:rPr>
            </w:pPr>
            <w:r>
              <w:rPr>
                <w:rFonts w:ascii="Times New Roman" w:hAnsi="Times New Roman" w:cs="Times New Roman"/>
              </w:rPr>
              <w:t>-- aşınıma dirençli ekipman.</w:t>
            </w:r>
          </w:p>
        </w:tc>
      </w:tr>
      <w:tr w:rsidR="006F0765" w:rsidRPr="007266D3" w14:paraId="539FEC88" w14:textId="77777777" w:rsidTr="000D79D6">
        <w:trPr>
          <w:jc w:val="center"/>
        </w:trPr>
        <w:tc>
          <w:tcPr>
            <w:tcW w:w="3256" w:type="dxa"/>
            <w:vAlign w:val="center"/>
          </w:tcPr>
          <w:p w14:paraId="145FB466" w14:textId="77777777" w:rsidR="006F0765" w:rsidRPr="007266D3" w:rsidRDefault="006F0765" w:rsidP="000D79D6">
            <w:pPr>
              <w:jc w:val="both"/>
              <w:rPr>
                <w:rFonts w:ascii="Times New Roman" w:hAnsi="Times New Roman" w:cs="Times New Roman"/>
              </w:rPr>
            </w:pPr>
            <w:r>
              <w:rPr>
                <w:rFonts w:ascii="Times New Roman" w:hAnsi="Times New Roman" w:cs="Times New Roman"/>
              </w:rPr>
              <w:t>Sızıntı Tespit ve Onarım (LDAR) Programı</w:t>
            </w:r>
          </w:p>
        </w:tc>
        <w:tc>
          <w:tcPr>
            <w:tcW w:w="5806" w:type="dxa"/>
            <w:vAlign w:val="center"/>
          </w:tcPr>
          <w:p w14:paraId="36987284" w14:textId="77777777" w:rsidR="006F0765" w:rsidRDefault="006F0765" w:rsidP="000D79D6">
            <w:pPr>
              <w:jc w:val="both"/>
              <w:rPr>
                <w:rFonts w:ascii="Times New Roman" w:hAnsi="Times New Roman" w:cs="Times New Roman"/>
              </w:rPr>
            </w:pPr>
            <w:r>
              <w:rPr>
                <w:rFonts w:ascii="Times New Roman" w:hAnsi="Times New Roman" w:cs="Times New Roman"/>
              </w:rPr>
              <w:t xml:space="preserve">Sızıntı yapan bileşenlerin tespiti ve beraberinde onarımı veya değiştirilmesi ile kaçak </w:t>
            </w:r>
            <w:r w:rsidR="009D570E">
              <w:rPr>
                <w:rFonts w:ascii="Times New Roman" w:hAnsi="Times New Roman" w:cs="Times New Roman"/>
              </w:rPr>
              <w:t>UOB</w:t>
            </w:r>
            <w:r>
              <w:rPr>
                <w:rFonts w:ascii="Times New Roman" w:hAnsi="Times New Roman" w:cs="Times New Roman"/>
              </w:rPr>
              <w:t xml:space="preserve"> emisyonlarının azaltılmasına yönelik yapılandırılmış bir yaklaşım. Güncel durumda, koklama (TS EN 15446 ile tanımlanan) ve optik gaz görüntüleme teknikleri, sızıntıların tespiti için mevcuttur.</w:t>
            </w:r>
          </w:p>
          <w:p w14:paraId="116DF40B" w14:textId="77777777" w:rsidR="006F0765" w:rsidRDefault="006F0765" w:rsidP="000D79D6">
            <w:pPr>
              <w:jc w:val="both"/>
              <w:rPr>
                <w:rFonts w:ascii="Times New Roman" w:hAnsi="Times New Roman" w:cs="Times New Roman"/>
              </w:rPr>
            </w:pPr>
          </w:p>
          <w:p w14:paraId="4238056A" w14:textId="77777777" w:rsidR="006F0765" w:rsidRDefault="006F0765" w:rsidP="000D79D6">
            <w:pPr>
              <w:jc w:val="both"/>
              <w:rPr>
                <w:rFonts w:ascii="Times New Roman" w:hAnsi="Times New Roman" w:cs="Times New Roman"/>
              </w:rPr>
            </w:pPr>
            <w:r>
              <w:rPr>
                <w:rFonts w:ascii="Times New Roman" w:hAnsi="Times New Roman" w:cs="Times New Roman"/>
                <w:b/>
                <w:bCs/>
              </w:rPr>
              <w:t>Koklama Yöntemi:</w:t>
            </w:r>
            <w:r>
              <w:rPr>
                <w:rFonts w:ascii="Times New Roman" w:hAnsi="Times New Roman" w:cs="Times New Roman"/>
              </w:rPr>
              <w:t xml:space="preserve"> İlk adım, Elde taşınan </w:t>
            </w:r>
            <w:r w:rsidR="009D570E">
              <w:rPr>
                <w:rFonts w:ascii="Times New Roman" w:hAnsi="Times New Roman" w:cs="Times New Roman"/>
              </w:rPr>
              <w:t>UOB</w:t>
            </w:r>
            <w:r>
              <w:rPr>
                <w:rFonts w:ascii="Times New Roman" w:hAnsi="Times New Roman" w:cs="Times New Roman"/>
              </w:rPr>
              <w:t xml:space="preserve"> analizörleri kullanılarak ve ekipmana yakın konsantrasyonlar ölçülerek tespittir (örn. alev iyonizasyonu veya foto-iyonizasyon kullanılarak). İkinci adım, emisyon kaynağında doğrudan ölçüm yapmak için bileşenin torbalanmasından oluşur. Bu ikinci adım bazen, benzer bileşenler için yapılan daha önceki ölçümlerin büyük bir kısmından elde edilen istatistiksel sonuçlardan türetilen matematiksel korelasyon eğrileri ile değiştirilir.</w:t>
            </w:r>
          </w:p>
          <w:p w14:paraId="7A348EEB" w14:textId="77777777" w:rsidR="006F0765" w:rsidRDefault="006F0765" w:rsidP="000D79D6">
            <w:pPr>
              <w:jc w:val="both"/>
              <w:rPr>
                <w:rFonts w:ascii="Times New Roman" w:hAnsi="Times New Roman" w:cs="Times New Roman"/>
              </w:rPr>
            </w:pPr>
          </w:p>
          <w:p w14:paraId="4D5BBE4A" w14:textId="77777777" w:rsidR="006F0765" w:rsidRPr="00957B68" w:rsidRDefault="006F0765" w:rsidP="000D79D6">
            <w:pPr>
              <w:jc w:val="both"/>
              <w:rPr>
                <w:rFonts w:ascii="Times New Roman" w:hAnsi="Times New Roman" w:cs="Times New Roman"/>
              </w:rPr>
            </w:pPr>
            <w:r>
              <w:rPr>
                <w:rFonts w:ascii="Times New Roman" w:hAnsi="Times New Roman" w:cs="Times New Roman"/>
                <w:b/>
                <w:bCs/>
              </w:rPr>
              <w:t>Optik Gaz Görüntüleme Yöntemleri:</w:t>
            </w:r>
            <w:r>
              <w:rPr>
                <w:rFonts w:ascii="Times New Roman" w:hAnsi="Times New Roman" w:cs="Times New Roman"/>
              </w:rPr>
              <w:t xml:space="preserve"> Optik görüntüleme, gaz sızıntılarının gerçek zamanlı olarak görüntülenmesini sağlayan küçük, hafif el kameraları kullanır; böylece, önemli </w:t>
            </w:r>
            <w:r w:rsidR="009D570E">
              <w:rPr>
                <w:rFonts w:ascii="Times New Roman" w:hAnsi="Times New Roman" w:cs="Times New Roman"/>
              </w:rPr>
              <w:t>UOB</w:t>
            </w:r>
            <w:r>
              <w:rPr>
                <w:rFonts w:ascii="Times New Roman" w:hAnsi="Times New Roman" w:cs="Times New Roman"/>
              </w:rPr>
              <w:t xml:space="preserve"> sızıntılarını kolayca ve hızlı bir şekilde bulmak için ilgili bileşenin normal görüntüsüyle birlikte bir video kaydedicide ‘duman’ olarak görünürler. Aktif sistemler, bileşen ve çevresine yansıyan geri saçılmış kızılötesi lazer ışığı ile bir görüntü üretir. Pasif sistemler, ekipmanın ve çevresinin doğal kızılötesi radyasyonuna dayanır.</w:t>
            </w:r>
          </w:p>
        </w:tc>
      </w:tr>
      <w:tr w:rsidR="006F0765" w:rsidRPr="007266D3" w14:paraId="36FDF9A3" w14:textId="77777777" w:rsidTr="000D79D6">
        <w:trPr>
          <w:jc w:val="center"/>
        </w:trPr>
        <w:tc>
          <w:tcPr>
            <w:tcW w:w="3256" w:type="dxa"/>
            <w:vAlign w:val="center"/>
          </w:tcPr>
          <w:p w14:paraId="3941FA78" w14:textId="77777777" w:rsidR="006F0765" w:rsidRPr="007266D3" w:rsidRDefault="006F0765" w:rsidP="000D79D6">
            <w:pPr>
              <w:jc w:val="both"/>
              <w:rPr>
                <w:rFonts w:ascii="Times New Roman" w:hAnsi="Times New Roman" w:cs="Times New Roman"/>
              </w:rPr>
            </w:pPr>
            <w:r>
              <w:rPr>
                <w:rFonts w:ascii="Times New Roman" w:hAnsi="Times New Roman" w:cs="Times New Roman"/>
              </w:rPr>
              <w:t>Termal Oksidasyon</w:t>
            </w:r>
          </w:p>
        </w:tc>
        <w:tc>
          <w:tcPr>
            <w:tcW w:w="5806" w:type="dxa"/>
            <w:vAlign w:val="center"/>
          </w:tcPr>
          <w:p w14:paraId="33329800" w14:textId="77777777" w:rsidR="006F0765" w:rsidRPr="007266D3" w:rsidRDefault="006F0765" w:rsidP="000D79D6">
            <w:pPr>
              <w:jc w:val="both"/>
              <w:rPr>
                <w:rFonts w:ascii="Times New Roman" w:hAnsi="Times New Roman" w:cs="Times New Roman"/>
              </w:rPr>
            </w:pPr>
            <w:r>
              <w:rPr>
                <w:rFonts w:ascii="Times New Roman" w:hAnsi="Times New Roman" w:cs="Times New Roman"/>
              </w:rPr>
              <w:t>Bir atık gaz akışındaki yanıcı gazların ve kokulu maddelerin, kirleticilerin hava veya oksijen ile karışımının bir yanma bölmesinde kendiliğinden tutuşma noktasının üzerine kadar ısıtılması ve karbon dioksit ve suya yanmasını tamamlayacak kadar uzun süre yüksek sıcaklıkta tutulması yoluyla oksidasyonu. Termal oksidasyon aynı zamanda; ‘insinerasyon’, ‘termal insinerasyon’ veya ‘oksidatif yakma’ olarak da adlandırılır.</w:t>
            </w:r>
          </w:p>
        </w:tc>
      </w:tr>
      <w:tr w:rsidR="006F0765" w:rsidRPr="007266D3" w14:paraId="6D4E1F15" w14:textId="77777777" w:rsidTr="000D79D6">
        <w:trPr>
          <w:jc w:val="center"/>
        </w:trPr>
        <w:tc>
          <w:tcPr>
            <w:tcW w:w="3256" w:type="dxa"/>
            <w:vAlign w:val="center"/>
          </w:tcPr>
          <w:p w14:paraId="485EC08D" w14:textId="77777777" w:rsidR="006F0765" w:rsidRPr="007266D3" w:rsidRDefault="006F0765" w:rsidP="000D79D6">
            <w:pPr>
              <w:jc w:val="both"/>
              <w:rPr>
                <w:rFonts w:ascii="Times New Roman" w:hAnsi="Times New Roman" w:cs="Times New Roman"/>
              </w:rPr>
            </w:pPr>
            <w:r>
              <w:rPr>
                <w:rFonts w:ascii="Times New Roman" w:hAnsi="Times New Roman" w:cs="Times New Roman"/>
              </w:rPr>
              <w:t>Flanşlı Ekli Montaj İçin Tasarlanmış Conta Baskısının Kullanımı</w:t>
            </w:r>
          </w:p>
        </w:tc>
        <w:tc>
          <w:tcPr>
            <w:tcW w:w="5806" w:type="dxa"/>
            <w:vAlign w:val="center"/>
          </w:tcPr>
          <w:p w14:paraId="760DAEFF" w14:textId="77777777" w:rsidR="006F0765" w:rsidRDefault="006F0765" w:rsidP="000D79D6">
            <w:pPr>
              <w:jc w:val="both"/>
              <w:rPr>
                <w:rFonts w:ascii="Times New Roman" w:hAnsi="Times New Roman" w:cs="Times New Roman"/>
              </w:rPr>
            </w:pPr>
            <w:r>
              <w:rPr>
                <w:rFonts w:ascii="Times New Roman" w:hAnsi="Times New Roman" w:cs="Times New Roman"/>
              </w:rPr>
              <w:t>Bu, şunları içerir:</w:t>
            </w:r>
          </w:p>
          <w:p w14:paraId="05FF5B4F" w14:textId="77777777" w:rsidR="006F0765" w:rsidRDefault="006F0765" w:rsidP="000D79D6">
            <w:pPr>
              <w:jc w:val="both"/>
              <w:rPr>
                <w:rFonts w:ascii="Times New Roman" w:hAnsi="Times New Roman" w:cs="Times New Roman"/>
              </w:rPr>
            </w:pPr>
            <w:r>
              <w:rPr>
                <w:rFonts w:ascii="Times New Roman" w:hAnsi="Times New Roman" w:cs="Times New Roman"/>
              </w:rPr>
              <w:t>(i) sertifikalı ve yüksek kalitesi contaların elde edilmesi, örn. TS EN 13555 standardına göre;</w:t>
            </w:r>
          </w:p>
          <w:p w14:paraId="305EA41E" w14:textId="77777777" w:rsidR="006F0765" w:rsidRDefault="006F0765" w:rsidP="000D79D6">
            <w:pPr>
              <w:jc w:val="both"/>
              <w:rPr>
                <w:rFonts w:ascii="Times New Roman" w:hAnsi="Times New Roman" w:cs="Times New Roman"/>
              </w:rPr>
            </w:pPr>
            <w:r>
              <w:rPr>
                <w:rFonts w:ascii="Times New Roman" w:hAnsi="Times New Roman" w:cs="Times New Roman"/>
              </w:rPr>
              <w:t>(ii) mümkün olan en yüksek cıvata yükünün hesaplanması, örn. TS EN 1591-1:2024 standardına göre;</w:t>
            </w:r>
          </w:p>
          <w:p w14:paraId="39CAD223" w14:textId="77777777" w:rsidR="006F0765" w:rsidRDefault="006F0765" w:rsidP="000D79D6">
            <w:pPr>
              <w:jc w:val="both"/>
              <w:rPr>
                <w:rFonts w:ascii="Times New Roman" w:hAnsi="Times New Roman" w:cs="Times New Roman"/>
              </w:rPr>
            </w:pPr>
            <w:r>
              <w:rPr>
                <w:rFonts w:ascii="Times New Roman" w:hAnsi="Times New Roman" w:cs="Times New Roman"/>
              </w:rPr>
              <w:t>(iii) nitelikli flanş-montaj ekipmanının elde edilmesi;</w:t>
            </w:r>
          </w:p>
          <w:p w14:paraId="34EC6E3E" w14:textId="77777777" w:rsidR="006F0765" w:rsidRPr="007266D3" w:rsidRDefault="006F0765" w:rsidP="000D79D6">
            <w:pPr>
              <w:jc w:val="both"/>
              <w:rPr>
                <w:rFonts w:ascii="Times New Roman" w:hAnsi="Times New Roman" w:cs="Times New Roman"/>
              </w:rPr>
            </w:pPr>
            <w:r>
              <w:rPr>
                <w:rFonts w:ascii="Times New Roman" w:hAnsi="Times New Roman" w:cs="Times New Roman"/>
              </w:rPr>
              <w:lastRenderedPageBreak/>
              <w:t>(iv) cıvata sıkmanın, nitelikli bir montajcı tarafından denetimi, gözetimi.</w:t>
            </w:r>
          </w:p>
        </w:tc>
      </w:tr>
      <w:tr w:rsidR="006F0765" w:rsidRPr="007266D3" w14:paraId="27CE6AF6" w14:textId="77777777" w:rsidTr="000D79D6">
        <w:trPr>
          <w:jc w:val="center"/>
        </w:trPr>
        <w:tc>
          <w:tcPr>
            <w:tcW w:w="3256" w:type="dxa"/>
            <w:vAlign w:val="center"/>
          </w:tcPr>
          <w:p w14:paraId="690B4B4F" w14:textId="77777777" w:rsidR="006F0765" w:rsidRPr="007266D3" w:rsidRDefault="009D570E" w:rsidP="000D79D6">
            <w:pPr>
              <w:jc w:val="both"/>
              <w:rPr>
                <w:rFonts w:ascii="Times New Roman" w:hAnsi="Times New Roman" w:cs="Times New Roman"/>
              </w:rPr>
            </w:pPr>
            <w:r>
              <w:rPr>
                <w:rFonts w:ascii="Times New Roman" w:hAnsi="Times New Roman" w:cs="Times New Roman"/>
              </w:rPr>
              <w:lastRenderedPageBreak/>
              <w:t>UOB</w:t>
            </w:r>
            <w:r w:rsidR="006F0765">
              <w:rPr>
                <w:rFonts w:ascii="Times New Roman" w:hAnsi="Times New Roman" w:cs="Times New Roman"/>
              </w:rPr>
              <w:t xml:space="preserve"> Yayılı Emisyonlarının İzlenmesi</w:t>
            </w:r>
          </w:p>
        </w:tc>
        <w:tc>
          <w:tcPr>
            <w:tcW w:w="5806" w:type="dxa"/>
            <w:vAlign w:val="center"/>
          </w:tcPr>
          <w:p w14:paraId="7154F814" w14:textId="77777777" w:rsidR="006F0765" w:rsidRDefault="006F0765" w:rsidP="000D79D6">
            <w:pPr>
              <w:jc w:val="both"/>
              <w:rPr>
                <w:rFonts w:ascii="Times New Roman" w:hAnsi="Times New Roman" w:cs="Times New Roman"/>
              </w:rPr>
            </w:pPr>
            <w:r>
              <w:rPr>
                <w:rFonts w:ascii="Times New Roman" w:hAnsi="Times New Roman" w:cs="Times New Roman"/>
              </w:rPr>
              <w:t>Koklama ve optik gaz görüntüleme yöntemleri, “sızıntı tespit ve onarımı programı” altında açıklanmaktadır.</w:t>
            </w:r>
          </w:p>
          <w:p w14:paraId="63BE040F" w14:textId="77777777" w:rsidR="006F0765" w:rsidRDefault="006F0765" w:rsidP="000D79D6">
            <w:pPr>
              <w:jc w:val="both"/>
              <w:rPr>
                <w:rFonts w:ascii="Times New Roman" w:hAnsi="Times New Roman" w:cs="Times New Roman"/>
              </w:rPr>
            </w:pPr>
          </w:p>
          <w:p w14:paraId="0BAEA9C4" w14:textId="77777777" w:rsidR="006F0765" w:rsidRDefault="006F0765" w:rsidP="000D79D6">
            <w:pPr>
              <w:jc w:val="both"/>
              <w:rPr>
                <w:rFonts w:ascii="Times New Roman" w:hAnsi="Times New Roman" w:cs="Times New Roman"/>
              </w:rPr>
            </w:pPr>
            <w:r>
              <w:rPr>
                <w:rFonts w:ascii="Times New Roman" w:hAnsi="Times New Roman" w:cs="Times New Roman"/>
              </w:rPr>
              <w:t>Solar okültasyon değişimi (SOF) veya diferansiyel absorpsiyon LIDAR (DIAL) girişimleri gibi bütünleyici yöntemlerin uygun bir kombinasyonu kullanılarak tesisten kaynaklanan emisyonların tam taraması ve ölçümü gerçekleştirilebilir. Bu sonuçlar; zaman içindeki eğilim değerlendirmesi, çapraz kontrol ve devam eden LDAR programının güncellenmesi/doğrulanması için kullanılabilir.</w:t>
            </w:r>
          </w:p>
          <w:p w14:paraId="46B37069" w14:textId="77777777" w:rsidR="006F0765" w:rsidRDefault="006F0765" w:rsidP="000D79D6">
            <w:pPr>
              <w:jc w:val="both"/>
              <w:rPr>
                <w:rFonts w:ascii="Times New Roman" w:hAnsi="Times New Roman" w:cs="Times New Roman"/>
              </w:rPr>
            </w:pPr>
          </w:p>
          <w:p w14:paraId="6CEC4C6D" w14:textId="77777777" w:rsidR="006F0765" w:rsidRDefault="006F0765" w:rsidP="000D79D6">
            <w:pPr>
              <w:jc w:val="both"/>
              <w:rPr>
                <w:rFonts w:ascii="Times New Roman" w:hAnsi="Times New Roman" w:cs="Times New Roman"/>
              </w:rPr>
            </w:pPr>
            <w:r>
              <w:rPr>
                <w:rFonts w:ascii="Times New Roman" w:hAnsi="Times New Roman" w:cs="Times New Roman"/>
                <w:b/>
                <w:bCs/>
              </w:rPr>
              <w:t>Solar Okültasyon Değişimi (SOF):</w:t>
            </w:r>
            <w:r>
              <w:rPr>
                <w:rFonts w:ascii="Times New Roman" w:hAnsi="Times New Roman" w:cs="Times New Roman"/>
              </w:rPr>
              <w:t xml:space="preserve"> Teknik, belirli bir coğrafi rota boyunca, rüzgar yönünü ve </w:t>
            </w:r>
            <w:r w:rsidR="009D570E">
              <w:rPr>
                <w:rFonts w:ascii="Times New Roman" w:hAnsi="Times New Roman" w:cs="Times New Roman"/>
              </w:rPr>
              <w:t>UOB</w:t>
            </w:r>
            <w:r>
              <w:rPr>
                <w:rFonts w:ascii="Times New Roman" w:hAnsi="Times New Roman" w:cs="Times New Roman"/>
              </w:rPr>
              <w:t xml:space="preserve"> baca emisyonlarını kesen geniş bantlı kızılötesi veya ultraviyole/görünür güneş ışığı spektrumunun kaydedilmesi ve spektrometrik Fourier Dönüşüm analizine dayanır.</w:t>
            </w:r>
          </w:p>
          <w:p w14:paraId="403CDB19" w14:textId="77777777" w:rsidR="006F0765" w:rsidRDefault="006F0765" w:rsidP="000D79D6">
            <w:pPr>
              <w:jc w:val="both"/>
              <w:rPr>
                <w:rFonts w:ascii="Times New Roman" w:hAnsi="Times New Roman" w:cs="Times New Roman"/>
              </w:rPr>
            </w:pPr>
          </w:p>
          <w:p w14:paraId="79AE1E54" w14:textId="77777777" w:rsidR="006F0765" w:rsidRPr="00A91D6C" w:rsidRDefault="006F0765" w:rsidP="000D79D6">
            <w:pPr>
              <w:jc w:val="both"/>
              <w:rPr>
                <w:rFonts w:ascii="Times New Roman" w:hAnsi="Times New Roman" w:cs="Times New Roman"/>
              </w:rPr>
            </w:pPr>
            <w:r>
              <w:rPr>
                <w:rFonts w:ascii="Times New Roman" w:hAnsi="Times New Roman" w:cs="Times New Roman"/>
                <w:b/>
                <w:bCs/>
              </w:rPr>
              <w:t>Diferansiyel Absorpsiyon LIDAR (DIAL):</w:t>
            </w:r>
            <w:r>
              <w:rPr>
                <w:rFonts w:ascii="Times New Roman" w:hAnsi="Times New Roman" w:cs="Times New Roman"/>
              </w:rPr>
              <w:t xml:space="preserve"> Bu, radyo dalgası tabanlı RADAR’ın optik analoğu olan diferansiyel absorpsiyon LIDAR’ı (ışık algılama ve mesafe tayini) kullanan lazer tabanlı bir tekniktir. Teknik, lazer ışını darbelerinin atmosferik aerosoller tarafından geri saçılmasına ve bir teleskopla toplanan geri dönen ışığın spektral özelliklerinin analizine dayanır.</w:t>
            </w:r>
          </w:p>
        </w:tc>
      </w:tr>
    </w:tbl>
    <w:p w14:paraId="34EA2F51" w14:textId="77777777" w:rsidR="006F0765" w:rsidRDefault="006F0765" w:rsidP="006F0765">
      <w:pPr>
        <w:spacing w:after="120" w:line="276" w:lineRule="auto"/>
        <w:jc w:val="both"/>
        <w:rPr>
          <w:rFonts w:ascii="Times New Roman" w:hAnsi="Times New Roman" w:cs="Times New Roman"/>
          <w:sz w:val="24"/>
          <w:szCs w:val="24"/>
        </w:rPr>
      </w:pPr>
    </w:p>
    <w:p w14:paraId="17260900" w14:textId="77777777" w:rsidR="006F0765" w:rsidRPr="00CA5B94" w:rsidRDefault="006F0765" w:rsidP="006F0765">
      <w:pPr>
        <w:spacing w:after="120" w:line="276" w:lineRule="auto"/>
        <w:jc w:val="both"/>
        <w:rPr>
          <w:rFonts w:ascii="Times New Roman" w:hAnsi="Times New Roman" w:cs="Times New Roman"/>
          <w:sz w:val="24"/>
          <w:szCs w:val="24"/>
        </w:rPr>
      </w:pPr>
    </w:p>
    <w:p w14:paraId="2933FEEC" w14:textId="77777777" w:rsidR="006F0765" w:rsidRDefault="006F0765" w:rsidP="006F0765"/>
    <w:p w14:paraId="4AC766DF" w14:textId="77777777" w:rsidR="009F1356" w:rsidRDefault="009F1356" w:rsidP="00B55EE6">
      <w:pPr>
        <w:spacing w:after="120" w:line="276" w:lineRule="auto"/>
        <w:jc w:val="both"/>
        <w:rPr>
          <w:rFonts w:ascii="Times New Roman" w:hAnsi="Times New Roman" w:cs="Times New Roman"/>
          <w:sz w:val="24"/>
          <w:szCs w:val="24"/>
        </w:rPr>
      </w:pPr>
    </w:p>
    <w:p w14:paraId="5EC24942" w14:textId="77777777" w:rsidR="00EE24B6" w:rsidRDefault="00EE24B6" w:rsidP="00B55EE6">
      <w:pPr>
        <w:spacing w:after="120" w:line="276" w:lineRule="auto"/>
        <w:jc w:val="both"/>
        <w:rPr>
          <w:rFonts w:ascii="Times New Roman" w:hAnsi="Times New Roman" w:cs="Times New Roman"/>
          <w:sz w:val="24"/>
          <w:szCs w:val="24"/>
        </w:rPr>
      </w:pPr>
    </w:p>
    <w:p w14:paraId="5E81576B" w14:textId="77777777" w:rsidR="00EE24B6" w:rsidRDefault="00EE24B6" w:rsidP="00B55EE6">
      <w:pPr>
        <w:spacing w:after="120" w:line="276" w:lineRule="auto"/>
        <w:jc w:val="both"/>
        <w:rPr>
          <w:rFonts w:ascii="Times New Roman" w:hAnsi="Times New Roman" w:cs="Times New Roman"/>
          <w:sz w:val="24"/>
          <w:szCs w:val="24"/>
        </w:rPr>
      </w:pPr>
    </w:p>
    <w:p w14:paraId="23039A09" w14:textId="77777777" w:rsidR="00EE24B6" w:rsidRDefault="00EE24B6" w:rsidP="00B55EE6">
      <w:pPr>
        <w:spacing w:after="120" w:line="276" w:lineRule="auto"/>
        <w:jc w:val="both"/>
        <w:rPr>
          <w:rFonts w:ascii="Times New Roman" w:hAnsi="Times New Roman" w:cs="Times New Roman"/>
          <w:sz w:val="24"/>
          <w:szCs w:val="24"/>
        </w:rPr>
      </w:pPr>
    </w:p>
    <w:p w14:paraId="5C390FE7" w14:textId="77777777" w:rsidR="00EE24B6" w:rsidRDefault="00EE24B6" w:rsidP="00B55EE6">
      <w:pPr>
        <w:spacing w:after="120" w:line="276" w:lineRule="auto"/>
        <w:jc w:val="both"/>
        <w:rPr>
          <w:rFonts w:ascii="Times New Roman" w:hAnsi="Times New Roman" w:cs="Times New Roman"/>
          <w:sz w:val="24"/>
          <w:szCs w:val="24"/>
        </w:rPr>
      </w:pPr>
    </w:p>
    <w:p w14:paraId="1423F972" w14:textId="77777777" w:rsidR="00EE24B6" w:rsidRDefault="00EE24B6" w:rsidP="00B55EE6">
      <w:pPr>
        <w:spacing w:after="120" w:line="276" w:lineRule="auto"/>
        <w:jc w:val="both"/>
        <w:rPr>
          <w:rFonts w:ascii="Times New Roman" w:hAnsi="Times New Roman" w:cs="Times New Roman"/>
          <w:sz w:val="24"/>
          <w:szCs w:val="24"/>
        </w:rPr>
      </w:pPr>
    </w:p>
    <w:p w14:paraId="43254CCD" w14:textId="77777777" w:rsidR="00EE24B6" w:rsidRDefault="00EE24B6" w:rsidP="00B55EE6">
      <w:pPr>
        <w:spacing w:after="120" w:line="276" w:lineRule="auto"/>
        <w:jc w:val="both"/>
        <w:rPr>
          <w:rFonts w:ascii="Times New Roman" w:hAnsi="Times New Roman" w:cs="Times New Roman"/>
          <w:sz w:val="24"/>
          <w:szCs w:val="24"/>
        </w:rPr>
      </w:pPr>
    </w:p>
    <w:p w14:paraId="09002BC5" w14:textId="77777777" w:rsidR="00EE24B6" w:rsidRDefault="00EE24B6" w:rsidP="00B55EE6">
      <w:pPr>
        <w:spacing w:after="120" w:line="276" w:lineRule="auto"/>
        <w:jc w:val="both"/>
        <w:rPr>
          <w:rFonts w:ascii="Times New Roman" w:hAnsi="Times New Roman" w:cs="Times New Roman"/>
          <w:sz w:val="24"/>
          <w:szCs w:val="24"/>
        </w:rPr>
      </w:pPr>
    </w:p>
    <w:p w14:paraId="669BC921" w14:textId="77777777" w:rsidR="00EE24B6" w:rsidRDefault="00EE24B6" w:rsidP="00B55EE6">
      <w:pPr>
        <w:spacing w:after="120" w:line="276" w:lineRule="auto"/>
        <w:jc w:val="both"/>
        <w:rPr>
          <w:rFonts w:ascii="Times New Roman" w:hAnsi="Times New Roman" w:cs="Times New Roman"/>
          <w:sz w:val="24"/>
          <w:szCs w:val="24"/>
        </w:rPr>
      </w:pPr>
    </w:p>
    <w:p w14:paraId="017FE968" w14:textId="77777777" w:rsidR="00EE24B6" w:rsidRDefault="00EE24B6" w:rsidP="00B55EE6">
      <w:pPr>
        <w:spacing w:after="120" w:line="276" w:lineRule="auto"/>
        <w:jc w:val="both"/>
        <w:rPr>
          <w:rFonts w:ascii="Times New Roman" w:hAnsi="Times New Roman" w:cs="Times New Roman"/>
          <w:sz w:val="24"/>
          <w:szCs w:val="24"/>
        </w:rPr>
      </w:pPr>
    </w:p>
    <w:p w14:paraId="2329FC45" w14:textId="77777777" w:rsidR="00EE24B6" w:rsidRDefault="00EE24B6" w:rsidP="00B55EE6">
      <w:pPr>
        <w:spacing w:after="120" w:line="276" w:lineRule="auto"/>
        <w:jc w:val="both"/>
        <w:rPr>
          <w:rFonts w:ascii="Times New Roman" w:hAnsi="Times New Roman" w:cs="Times New Roman"/>
          <w:sz w:val="24"/>
          <w:szCs w:val="24"/>
        </w:rPr>
      </w:pPr>
    </w:p>
    <w:p w14:paraId="1CBFB378" w14:textId="77777777" w:rsidR="00EE24B6" w:rsidRDefault="00EE24B6" w:rsidP="00B55EE6">
      <w:pPr>
        <w:spacing w:after="120" w:line="276" w:lineRule="auto"/>
        <w:jc w:val="both"/>
        <w:rPr>
          <w:rFonts w:ascii="Times New Roman" w:hAnsi="Times New Roman" w:cs="Times New Roman"/>
          <w:sz w:val="24"/>
          <w:szCs w:val="24"/>
        </w:rPr>
      </w:pPr>
    </w:p>
    <w:p w14:paraId="0154BDC1" w14:textId="77777777" w:rsidR="00EE24B6" w:rsidRDefault="00EE24B6" w:rsidP="00B55EE6">
      <w:pPr>
        <w:spacing w:after="120" w:line="276" w:lineRule="auto"/>
        <w:jc w:val="both"/>
        <w:rPr>
          <w:rFonts w:ascii="Times New Roman" w:hAnsi="Times New Roman" w:cs="Times New Roman"/>
          <w:sz w:val="24"/>
          <w:szCs w:val="24"/>
        </w:rPr>
      </w:pPr>
    </w:p>
    <w:p w14:paraId="2B0044F5" w14:textId="77777777" w:rsidR="00EE24B6" w:rsidRDefault="00EE24B6" w:rsidP="00B55EE6">
      <w:pPr>
        <w:spacing w:after="120" w:line="276" w:lineRule="auto"/>
        <w:jc w:val="both"/>
        <w:rPr>
          <w:rFonts w:ascii="Times New Roman" w:hAnsi="Times New Roman" w:cs="Times New Roman"/>
          <w:sz w:val="24"/>
          <w:szCs w:val="24"/>
        </w:rPr>
      </w:pPr>
    </w:p>
    <w:p w14:paraId="5CCCA200" w14:textId="77777777" w:rsidR="00C01496" w:rsidRDefault="00EE24B6" w:rsidP="00DA70EE">
      <w:pPr>
        <w:spacing w:after="120" w:line="276" w:lineRule="auto"/>
        <w:jc w:val="right"/>
        <w:rPr>
          <w:rFonts w:ascii="Times New Roman" w:hAnsi="Times New Roman" w:cs="Times New Roman"/>
          <w:b/>
          <w:bCs/>
          <w:sz w:val="24"/>
          <w:szCs w:val="24"/>
        </w:rPr>
      </w:pPr>
      <w:r w:rsidRPr="00F97902">
        <w:rPr>
          <w:rFonts w:ascii="Times New Roman" w:hAnsi="Times New Roman" w:cs="Times New Roman"/>
          <w:b/>
          <w:bCs/>
          <w:sz w:val="24"/>
          <w:szCs w:val="24"/>
        </w:rPr>
        <w:lastRenderedPageBreak/>
        <w:t>EK-11</w:t>
      </w:r>
      <w:r w:rsidR="00C413D8">
        <w:rPr>
          <w:rFonts w:ascii="Times New Roman" w:hAnsi="Times New Roman" w:cs="Times New Roman"/>
          <w:b/>
          <w:bCs/>
          <w:sz w:val="24"/>
          <w:szCs w:val="24"/>
        </w:rPr>
        <w:t xml:space="preserve"> </w:t>
      </w:r>
    </w:p>
    <w:p w14:paraId="05F7023E" w14:textId="6416E143" w:rsidR="00EE24B6" w:rsidRPr="008C3EE8" w:rsidRDefault="00EE24B6" w:rsidP="00C413D8">
      <w:pPr>
        <w:spacing w:after="120" w:line="276" w:lineRule="auto"/>
        <w:jc w:val="both"/>
        <w:rPr>
          <w:rFonts w:ascii="Times New Roman" w:hAnsi="Times New Roman" w:cs="Times New Roman"/>
          <w:b/>
        </w:rPr>
      </w:pPr>
      <w:r>
        <w:rPr>
          <w:rFonts w:ascii="Times New Roman" w:hAnsi="Times New Roman" w:cs="Times New Roman"/>
          <w:b/>
        </w:rPr>
        <w:t xml:space="preserve">Organik Solvent </w:t>
      </w:r>
      <w:r w:rsidRPr="008C3EE8">
        <w:rPr>
          <w:rFonts w:ascii="Times New Roman" w:hAnsi="Times New Roman" w:cs="Times New Roman"/>
          <w:b/>
        </w:rPr>
        <w:t xml:space="preserve"> </w:t>
      </w:r>
      <w:r>
        <w:rPr>
          <w:rFonts w:ascii="Times New Roman" w:hAnsi="Times New Roman" w:cs="Times New Roman"/>
          <w:b/>
        </w:rPr>
        <w:t xml:space="preserve">Kullanılan Faaliyetlere İlişkin </w:t>
      </w:r>
      <w:r w:rsidRPr="008C3EE8">
        <w:rPr>
          <w:rFonts w:ascii="Times New Roman" w:hAnsi="Times New Roman" w:cs="Times New Roman"/>
          <w:b/>
        </w:rPr>
        <w:t xml:space="preserve">Emisyon </w:t>
      </w:r>
      <w:r>
        <w:rPr>
          <w:rFonts w:ascii="Times New Roman" w:hAnsi="Times New Roman" w:cs="Times New Roman"/>
          <w:b/>
        </w:rPr>
        <w:t>S</w:t>
      </w:r>
      <w:r w:rsidRPr="008C3EE8">
        <w:rPr>
          <w:rFonts w:ascii="Times New Roman" w:hAnsi="Times New Roman" w:cs="Times New Roman"/>
          <w:b/>
        </w:rPr>
        <w:t xml:space="preserve">ınır </w:t>
      </w:r>
      <w:r>
        <w:rPr>
          <w:rFonts w:ascii="Times New Roman" w:hAnsi="Times New Roman" w:cs="Times New Roman"/>
          <w:b/>
        </w:rPr>
        <w:t>D</w:t>
      </w:r>
      <w:r w:rsidRPr="008C3EE8">
        <w:rPr>
          <w:rFonts w:ascii="Times New Roman" w:hAnsi="Times New Roman" w:cs="Times New Roman"/>
          <w:b/>
        </w:rPr>
        <w:t>eğerleri</w:t>
      </w:r>
    </w:p>
    <w:p w14:paraId="4FB0498C" w14:textId="794EF46A" w:rsidR="00751EB7" w:rsidRDefault="00751EB7" w:rsidP="00B55EE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Bu bölümYönetmelik Ek-2 kapsamında tanımlanan faaliyetlerden Ek-11 Bölüm A’da yer alan solvent tüketim eşik değerlerin aşılması halinde  uygulanır.</w:t>
      </w:r>
    </w:p>
    <w:p w14:paraId="0AF00120" w14:textId="77777777" w:rsidR="00E80917" w:rsidRPr="00E80917" w:rsidRDefault="00E80917" w:rsidP="00E80917">
      <w:pPr>
        <w:spacing w:after="120" w:line="276" w:lineRule="auto"/>
        <w:jc w:val="both"/>
        <w:rPr>
          <w:rFonts w:ascii="Times New Roman" w:hAnsi="Times New Roman" w:cs="Times New Roman"/>
          <w:b/>
          <w:bCs/>
          <w:sz w:val="24"/>
          <w:szCs w:val="24"/>
        </w:rPr>
      </w:pPr>
      <w:r w:rsidRPr="00E80917">
        <w:rPr>
          <w:rFonts w:ascii="Times New Roman" w:hAnsi="Times New Roman" w:cs="Times New Roman"/>
          <w:b/>
          <w:bCs/>
          <w:sz w:val="24"/>
          <w:szCs w:val="24"/>
        </w:rPr>
        <w:t>Tehlikeli Maddelerin İkamesi</w:t>
      </w:r>
    </w:p>
    <w:p w14:paraId="7B96C3F9" w14:textId="0D9C3854" w:rsidR="00751EB7" w:rsidRDefault="00E80917" w:rsidP="00B55EE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1</w:t>
      </w:r>
      <w:r w:rsidR="00751E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0917">
        <w:rPr>
          <w:rFonts w:ascii="Times New Roman" w:hAnsi="Times New Roman" w:cs="Times New Roman"/>
          <w:sz w:val="24"/>
          <w:szCs w:val="24"/>
        </w:rPr>
        <w:t>Uçucu organik bile</w:t>
      </w:r>
      <w:r>
        <w:rPr>
          <w:rFonts w:ascii="Times New Roman" w:hAnsi="Times New Roman" w:cs="Times New Roman"/>
          <w:sz w:val="24"/>
          <w:szCs w:val="24"/>
        </w:rPr>
        <w:t>ş</w:t>
      </w:r>
      <w:r w:rsidRPr="00E80917">
        <w:rPr>
          <w:rFonts w:ascii="Times New Roman" w:hAnsi="Times New Roman" w:cs="Times New Roman"/>
          <w:sz w:val="24"/>
          <w:szCs w:val="24"/>
        </w:rPr>
        <w:t>ik içerikleri nedeniyle kanserojen, mutajen veya üremede toksik kabul edilen ve H340, H350, H350Ġ, H360D veya H360F tehlike ibarelerini ta</w:t>
      </w:r>
      <w:r>
        <w:rPr>
          <w:rFonts w:ascii="Times New Roman" w:hAnsi="Times New Roman" w:cs="Times New Roman"/>
          <w:sz w:val="24"/>
          <w:szCs w:val="24"/>
        </w:rPr>
        <w:t>ş</w:t>
      </w:r>
      <w:r w:rsidRPr="00E80917">
        <w:rPr>
          <w:rFonts w:ascii="Times New Roman" w:hAnsi="Times New Roman" w:cs="Times New Roman"/>
          <w:sz w:val="24"/>
          <w:szCs w:val="24"/>
        </w:rPr>
        <w:t>ıması gereken maddeler ve karı</w:t>
      </w:r>
      <w:r>
        <w:rPr>
          <w:rFonts w:ascii="Times New Roman" w:hAnsi="Times New Roman" w:cs="Times New Roman"/>
          <w:sz w:val="24"/>
          <w:szCs w:val="24"/>
        </w:rPr>
        <w:t>ş</w:t>
      </w:r>
      <w:r w:rsidRPr="00E80917">
        <w:rPr>
          <w:rFonts w:ascii="Times New Roman" w:hAnsi="Times New Roman" w:cs="Times New Roman"/>
          <w:sz w:val="24"/>
          <w:szCs w:val="24"/>
        </w:rPr>
        <w:t>ımlar mümkün olan en kısa zamanda daha az zararlı maddeler veya karı</w:t>
      </w:r>
      <w:r>
        <w:rPr>
          <w:rFonts w:ascii="Times New Roman" w:hAnsi="Times New Roman" w:cs="Times New Roman"/>
          <w:sz w:val="24"/>
          <w:szCs w:val="24"/>
        </w:rPr>
        <w:t>ş</w:t>
      </w:r>
      <w:r w:rsidRPr="00E80917">
        <w:rPr>
          <w:rFonts w:ascii="Times New Roman" w:hAnsi="Times New Roman" w:cs="Times New Roman"/>
          <w:sz w:val="24"/>
          <w:szCs w:val="24"/>
        </w:rPr>
        <w:t>ımlarla deği</w:t>
      </w:r>
      <w:r>
        <w:rPr>
          <w:rFonts w:ascii="Times New Roman" w:hAnsi="Times New Roman" w:cs="Times New Roman"/>
          <w:sz w:val="24"/>
          <w:szCs w:val="24"/>
        </w:rPr>
        <w:t>ş</w:t>
      </w:r>
      <w:r w:rsidRPr="00E80917">
        <w:rPr>
          <w:rFonts w:ascii="Times New Roman" w:hAnsi="Times New Roman" w:cs="Times New Roman"/>
          <w:sz w:val="24"/>
          <w:szCs w:val="24"/>
        </w:rPr>
        <w:t>tirilmelidirler.</w:t>
      </w:r>
    </w:p>
    <w:p w14:paraId="73C64ECB" w14:textId="65998EC9" w:rsidR="00E80917" w:rsidRDefault="00E80917" w:rsidP="00B55EE6">
      <w:pPr>
        <w:spacing w:after="120" w:line="276" w:lineRule="auto"/>
        <w:jc w:val="both"/>
        <w:rPr>
          <w:rFonts w:ascii="Times New Roman" w:hAnsi="Times New Roman" w:cs="Times New Roman"/>
          <w:b/>
          <w:bCs/>
          <w:sz w:val="24"/>
          <w:szCs w:val="24"/>
        </w:rPr>
      </w:pPr>
      <w:r w:rsidRPr="00E80917">
        <w:rPr>
          <w:rFonts w:ascii="Times New Roman" w:hAnsi="Times New Roman" w:cs="Times New Roman"/>
          <w:b/>
          <w:bCs/>
          <w:sz w:val="24"/>
          <w:szCs w:val="24"/>
        </w:rPr>
        <w:t>Emisyon Kontrolü</w:t>
      </w:r>
    </w:p>
    <w:p w14:paraId="4F0799CC" w14:textId="160BA14E" w:rsidR="00E80917" w:rsidRDefault="008A57F9" w:rsidP="00B55EE6">
      <w:pPr>
        <w:spacing w:after="120" w:line="276" w:lineRule="auto"/>
        <w:jc w:val="both"/>
        <w:rPr>
          <w:rFonts w:ascii="Times New Roman" w:hAnsi="Times New Roman" w:cs="Times New Roman"/>
          <w:b/>
          <w:bCs/>
          <w:sz w:val="24"/>
          <w:szCs w:val="24"/>
        </w:rPr>
      </w:pPr>
      <w:r>
        <w:rPr>
          <w:rFonts w:ascii="Times New Roman" w:hAnsi="Times New Roman" w:cs="Times New Roman"/>
          <w:sz w:val="24"/>
          <w:szCs w:val="24"/>
        </w:rPr>
        <w:t xml:space="preserve">1) </w:t>
      </w:r>
      <w:r w:rsidR="00E80917">
        <w:rPr>
          <w:rFonts w:ascii="Times New Roman" w:hAnsi="Times New Roman" w:cs="Times New Roman"/>
          <w:sz w:val="24"/>
          <w:szCs w:val="24"/>
        </w:rPr>
        <w:t>Yönetmelik Ek-2 kapsamında tanımlanan tesisler aşağıdaki huşulardan herhangi birine uuymakla yükümlüdür.</w:t>
      </w:r>
    </w:p>
    <w:p w14:paraId="56A07E33" w14:textId="24C01DE7" w:rsidR="00E80917" w:rsidRDefault="008A57F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w:t>
      </w:r>
      <w:r w:rsidR="00E80917">
        <w:rPr>
          <w:rFonts w:ascii="Times New Roman" w:hAnsi="Times New Roman" w:cs="Times New Roman"/>
          <w:sz w:val="24"/>
          <w:szCs w:val="24"/>
        </w:rPr>
        <w:t xml:space="preserve">) </w:t>
      </w:r>
      <w:r w:rsidR="00E80917" w:rsidRPr="00E80917">
        <w:rPr>
          <w:rFonts w:ascii="Times New Roman" w:hAnsi="Times New Roman" w:cs="Times New Roman"/>
          <w:sz w:val="24"/>
          <w:szCs w:val="24"/>
        </w:rPr>
        <w:t>Tesislerden kaynaklı uçucu organik bileşik emisyonları atık gazlarda emisyon sınır değerlerini ve kaçak emisyon sınır değerlerini aşamaz veya Ek 11 Bölüm A ve B’de belirtilen toplam emisyon sınır değerlerine ve diğer şartlara uymakla yükümlüdür.</w:t>
      </w:r>
    </w:p>
    <w:p w14:paraId="78B15723" w14:textId="5888D8B6" w:rsidR="00E80917" w:rsidRDefault="008A57F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w:t>
      </w:r>
      <w:r w:rsidR="00E80917">
        <w:rPr>
          <w:rFonts w:ascii="Times New Roman" w:hAnsi="Times New Roman" w:cs="Times New Roman"/>
          <w:sz w:val="24"/>
          <w:szCs w:val="24"/>
        </w:rPr>
        <w:t xml:space="preserve">) Ek-11 Bölüm D’de belirtilen </w:t>
      </w:r>
      <w:r>
        <w:rPr>
          <w:rFonts w:ascii="Times New Roman" w:hAnsi="Times New Roman" w:cs="Times New Roman"/>
          <w:sz w:val="24"/>
          <w:szCs w:val="24"/>
        </w:rPr>
        <w:t xml:space="preserve"> azaltma  planı ile  belirtilen emisyon sınır değerlerinin uygulanmasına eşdeğer bir emisyon azaltımı sağlanır.</w:t>
      </w:r>
    </w:p>
    <w:p w14:paraId="52FEDA8B" w14:textId="77777777" w:rsidR="008A57F9" w:rsidRDefault="008A57F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2) İş</w:t>
      </w:r>
      <w:r w:rsidRPr="008A57F9">
        <w:rPr>
          <w:rFonts w:ascii="Times New Roman" w:hAnsi="Times New Roman" w:cs="Times New Roman"/>
          <w:sz w:val="24"/>
          <w:szCs w:val="24"/>
        </w:rPr>
        <w:t>letmecinin belirli bir tesiste kaçak salımlar için emisyon sınır değerlerinin teknik ve ekonomik olarak uygulanabilir olmadığını kanıtlaması durumunda insan sağlığı veya çevre üzerinde ciddi olumsuz etkilerin meydana gelmeyeceğinin ve tesiste elde bulunan en iyi tekniklerin kullanıldığının i</w:t>
      </w:r>
      <w:r>
        <w:rPr>
          <w:rFonts w:ascii="Times New Roman" w:hAnsi="Times New Roman" w:cs="Times New Roman"/>
          <w:sz w:val="24"/>
          <w:szCs w:val="24"/>
        </w:rPr>
        <w:t>ş</w:t>
      </w:r>
      <w:r w:rsidRPr="008A57F9">
        <w:rPr>
          <w:rFonts w:ascii="Times New Roman" w:hAnsi="Times New Roman" w:cs="Times New Roman"/>
          <w:sz w:val="24"/>
          <w:szCs w:val="24"/>
        </w:rPr>
        <w:t xml:space="preserve">letmeci tarafından kanıtlanması </w:t>
      </w:r>
      <w:r>
        <w:rPr>
          <w:rFonts w:ascii="Times New Roman" w:hAnsi="Times New Roman" w:cs="Times New Roman"/>
          <w:sz w:val="24"/>
          <w:szCs w:val="24"/>
        </w:rPr>
        <w:t>ş</w:t>
      </w:r>
      <w:r w:rsidRPr="008A57F9">
        <w:rPr>
          <w:rFonts w:ascii="Times New Roman" w:hAnsi="Times New Roman" w:cs="Times New Roman"/>
          <w:sz w:val="24"/>
          <w:szCs w:val="24"/>
        </w:rPr>
        <w:t>artıyla emisyon sınır değerlerinin üzerinde salıma izin verebilir.</w:t>
      </w:r>
    </w:p>
    <w:p w14:paraId="02DC832E" w14:textId="77777777" w:rsidR="008A57F9" w:rsidRDefault="008A57F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3) Bölüm A’da belirtilen </w:t>
      </w:r>
      <w:r w:rsidRPr="008A57F9">
        <w:rPr>
          <w:rFonts w:ascii="Times New Roman" w:hAnsi="Times New Roman" w:cs="Times New Roman"/>
          <w:sz w:val="24"/>
          <w:szCs w:val="24"/>
        </w:rPr>
        <w:t>kaplama faaliyetlerinden kapalı ko</w:t>
      </w:r>
      <w:r>
        <w:rPr>
          <w:rFonts w:ascii="Times New Roman" w:hAnsi="Times New Roman" w:cs="Times New Roman"/>
          <w:sz w:val="24"/>
          <w:szCs w:val="24"/>
        </w:rPr>
        <w:t>ş</w:t>
      </w:r>
      <w:r w:rsidRPr="008A57F9">
        <w:rPr>
          <w:rFonts w:ascii="Times New Roman" w:hAnsi="Times New Roman" w:cs="Times New Roman"/>
          <w:sz w:val="24"/>
          <w:szCs w:val="24"/>
        </w:rPr>
        <w:t>ullarda yürütülmesi mümkün olmayanlar için, iletmecinin ilgili değerlere uyumun teknik ve ekonomik olarak sağlanabilir olmadığını ve tesiste elde bulunan en iyi tekniklerin kullanıldığını kanıtlaması durumunda ilgili tesis belirtilen emisyon sınır değerlerine uymaktan muaf tutulabilir.</w:t>
      </w:r>
    </w:p>
    <w:p w14:paraId="532FDD75" w14:textId="77777777" w:rsidR="008A57F9" w:rsidRDefault="008A57F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8A57F9">
        <w:rPr>
          <w:rFonts w:ascii="Times New Roman" w:hAnsi="Times New Roman" w:cs="Times New Roman"/>
          <w:sz w:val="24"/>
          <w:szCs w:val="24"/>
        </w:rPr>
        <w:t>H340, H350, H350</w:t>
      </w:r>
      <w:r>
        <w:rPr>
          <w:rFonts w:ascii="Times New Roman" w:hAnsi="Times New Roman" w:cs="Times New Roman"/>
          <w:sz w:val="24"/>
          <w:szCs w:val="24"/>
        </w:rPr>
        <w:t>İ</w:t>
      </w:r>
      <w:r w:rsidRPr="008A57F9">
        <w:rPr>
          <w:rFonts w:ascii="Times New Roman" w:hAnsi="Times New Roman" w:cs="Times New Roman"/>
          <w:sz w:val="24"/>
          <w:szCs w:val="24"/>
        </w:rPr>
        <w:t>, H360D veya H360F tehlike ibarelerini ta</w:t>
      </w:r>
      <w:r>
        <w:rPr>
          <w:rFonts w:ascii="Times New Roman" w:hAnsi="Times New Roman" w:cs="Times New Roman"/>
          <w:sz w:val="24"/>
          <w:szCs w:val="24"/>
        </w:rPr>
        <w:t>ş</w:t>
      </w:r>
      <w:r w:rsidRPr="008A57F9">
        <w:rPr>
          <w:rFonts w:ascii="Times New Roman" w:hAnsi="Times New Roman" w:cs="Times New Roman"/>
          <w:sz w:val="24"/>
          <w:szCs w:val="24"/>
        </w:rPr>
        <w:t>ıması gereken uçucu organik bile</w:t>
      </w:r>
      <w:r>
        <w:rPr>
          <w:rFonts w:ascii="Times New Roman" w:hAnsi="Times New Roman" w:cs="Times New Roman"/>
          <w:sz w:val="24"/>
          <w:szCs w:val="24"/>
        </w:rPr>
        <w:t>ş</w:t>
      </w:r>
      <w:r w:rsidRPr="008A57F9">
        <w:rPr>
          <w:rFonts w:ascii="Times New Roman" w:hAnsi="Times New Roman" w:cs="Times New Roman"/>
          <w:sz w:val="24"/>
          <w:szCs w:val="24"/>
        </w:rPr>
        <w:t>iklerden ya da H341 veya H351 tehlike ibarelerini ta</w:t>
      </w:r>
      <w:r>
        <w:rPr>
          <w:rFonts w:ascii="Times New Roman" w:hAnsi="Times New Roman" w:cs="Times New Roman"/>
          <w:sz w:val="24"/>
          <w:szCs w:val="24"/>
        </w:rPr>
        <w:t>ş</w:t>
      </w:r>
      <w:r w:rsidRPr="008A57F9">
        <w:rPr>
          <w:rFonts w:ascii="Times New Roman" w:hAnsi="Times New Roman" w:cs="Times New Roman"/>
          <w:sz w:val="24"/>
          <w:szCs w:val="24"/>
        </w:rPr>
        <w:t>ıması gereken halojenize uçucu organik bile</w:t>
      </w:r>
      <w:r>
        <w:rPr>
          <w:rFonts w:ascii="Times New Roman" w:hAnsi="Times New Roman" w:cs="Times New Roman"/>
          <w:sz w:val="24"/>
          <w:szCs w:val="24"/>
        </w:rPr>
        <w:t>ş</w:t>
      </w:r>
      <w:r w:rsidRPr="008A57F9">
        <w:rPr>
          <w:rFonts w:ascii="Times New Roman" w:hAnsi="Times New Roman" w:cs="Times New Roman"/>
          <w:sz w:val="24"/>
          <w:szCs w:val="24"/>
        </w:rPr>
        <w:t xml:space="preserve">iklerden kaynaklı </w:t>
      </w:r>
      <w:r w:rsidR="007D5119">
        <w:rPr>
          <w:rFonts w:ascii="Times New Roman" w:hAnsi="Times New Roman" w:cs="Times New Roman"/>
          <w:sz w:val="24"/>
          <w:szCs w:val="24"/>
        </w:rPr>
        <w:t>emisyonlar</w:t>
      </w:r>
      <w:r w:rsidRPr="008A57F9">
        <w:rPr>
          <w:rFonts w:ascii="Times New Roman" w:hAnsi="Times New Roman" w:cs="Times New Roman"/>
          <w:sz w:val="24"/>
          <w:szCs w:val="24"/>
        </w:rPr>
        <w:t xml:space="preserve"> teknik ve ekonomik açıdan elveri</w:t>
      </w:r>
      <w:r>
        <w:rPr>
          <w:rFonts w:ascii="Times New Roman" w:hAnsi="Times New Roman" w:cs="Times New Roman"/>
          <w:sz w:val="24"/>
          <w:szCs w:val="24"/>
        </w:rPr>
        <w:t>ş</w:t>
      </w:r>
      <w:r w:rsidRPr="008A57F9">
        <w:rPr>
          <w:rFonts w:ascii="Times New Roman" w:hAnsi="Times New Roman" w:cs="Times New Roman"/>
          <w:sz w:val="24"/>
          <w:szCs w:val="24"/>
        </w:rPr>
        <w:t>li olduğu sürece kapalı ko</w:t>
      </w:r>
      <w:r>
        <w:rPr>
          <w:rFonts w:ascii="Times New Roman" w:hAnsi="Times New Roman" w:cs="Times New Roman"/>
          <w:sz w:val="24"/>
          <w:szCs w:val="24"/>
        </w:rPr>
        <w:t>ş</w:t>
      </w:r>
      <w:r w:rsidRPr="008A57F9">
        <w:rPr>
          <w:rFonts w:ascii="Times New Roman" w:hAnsi="Times New Roman" w:cs="Times New Roman"/>
          <w:sz w:val="24"/>
          <w:szCs w:val="24"/>
        </w:rPr>
        <w:t xml:space="preserve">ullarda denetim altında tutularak insan sağlığı ve çevrenin korunması sağlanacak ve </w:t>
      </w:r>
      <w:r w:rsidR="007D5119">
        <w:rPr>
          <w:rFonts w:ascii="Times New Roman" w:hAnsi="Times New Roman" w:cs="Times New Roman"/>
          <w:sz w:val="24"/>
          <w:szCs w:val="24"/>
        </w:rPr>
        <w:t>Ek-11Bölüm C’de</w:t>
      </w:r>
      <w:r w:rsidRPr="008A57F9">
        <w:rPr>
          <w:rFonts w:ascii="Times New Roman" w:hAnsi="Times New Roman" w:cs="Times New Roman"/>
          <w:sz w:val="24"/>
          <w:szCs w:val="24"/>
        </w:rPr>
        <w:t xml:space="preserve"> belirtilen emisyon sınır değerleri a</w:t>
      </w:r>
      <w:r>
        <w:rPr>
          <w:rFonts w:ascii="Times New Roman" w:hAnsi="Times New Roman" w:cs="Times New Roman"/>
          <w:sz w:val="24"/>
          <w:szCs w:val="24"/>
        </w:rPr>
        <w:t>ş</w:t>
      </w:r>
      <w:r w:rsidRPr="008A57F9">
        <w:rPr>
          <w:rFonts w:ascii="Times New Roman" w:hAnsi="Times New Roman" w:cs="Times New Roman"/>
          <w:sz w:val="24"/>
          <w:szCs w:val="24"/>
        </w:rPr>
        <w:t>ılmayacaktır.</w:t>
      </w:r>
    </w:p>
    <w:p w14:paraId="4ACB7729" w14:textId="77777777" w:rsidR="007D5119" w:rsidRDefault="007D511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5) Ek-11 Bölüm A’da yer alan eşik değerleri aşan iki veya daha fazla faaliyetin birlikte yürütüldüğü tesislerden 4. Maddede belirtilen maddeler yönünden sınır değerlere her bir faaliyet için ayrı ayrı uyulur.</w:t>
      </w:r>
    </w:p>
    <w:p w14:paraId="15B0D9A6" w14:textId="77777777" w:rsidR="007D5119" w:rsidRDefault="007D5119"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Diğer maddeler için</w:t>
      </w:r>
      <w:r w:rsidR="00A65742">
        <w:rPr>
          <w:rFonts w:ascii="Times New Roman" w:hAnsi="Times New Roman" w:cs="Times New Roman"/>
          <w:sz w:val="24"/>
          <w:szCs w:val="24"/>
        </w:rPr>
        <w:t xml:space="preserve"> sınır değerlere her bir faaliyet için ayrı ayrı uyulur ya da toplam uçucu organik bileşik emisyon sınır  değerlerine uyulur.</w:t>
      </w:r>
    </w:p>
    <w:p w14:paraId="44B683AF" w14:textId="77777777" w:rsidR="00A65742" w:rsidRDefault="00A65742"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6)Açma ve kapama işlemleri sırasında uçucu organik bileşik emisyonlarının en aza indirilmesi için gerekli önlemler alınır.</w:t>
      </w:r>
    </w:p>
    <w:p w14:paraId="17898B8D" w14:textId="77777777" w:rsidR="00C413D8" w:rsidRDefault="00C413D8" w:rsidP="00E80917">
      <w:pPr>
        <w:spacing w:after="120" w:line="276" w:lineRule="auto"/>
        <w:jc w:val="both"/>
        <w:rPr>
          <w:rFonts w:ascii="Times New Roman" w:hAnsi="Times New Roman" w:cs="Times New Roman"/>
          <w:b/>
          <w:bCs/>
          <w:sz w:val="24"/>
          <w:szCs w:val="24"/>
        </w:rPr>
      </w:pPr>
    </w:p>
    <w:p w14:paraId="6E8D49FF" w14:textId="12BB57E6" w:rsidR="00A65742" w:rsidRDefault="00C413D8" w:rsidP="00E80917">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E</w:t>
      </w:r>
      <w:r w:rsidR="00A65742" w:rsidRPr="00A65742">
        <w:rPr>
          <w:rFonts w:ascii="Times New Roman" w:hAnsi="Times New Roman" w:cs="Times New Roman"/>
          <w:b/>
          <w:bCs/>
          <w:sz w:val="24"/>
          <w:szCs w:val="24"/>
        </w:rPr>
        <w:t>misyonların İzlenmesi</w:t>
      </w:r>
    </w:p>
    <w:p w14:paraId="1B64648B" w14:textId="77777777" w:rsidR="00A65742" w:rsidRDefault="00A65742" w:rsidP="00E80917">
      <w:pPr>
        <w:spacing w:after="120" w:line="276" w:lineRule="auto"/>
        <w:jc w:val="both"/>
        <w:rPr>
          <w:rFonts w:ascii="Times New Roman" w:hAnsi="Times New Roman" w:cs="Times New Roman"/>
          <w:sz w:val="24"/>
          <w:szCs w:val="24"/>
        </w:rPr>
      </w:pPr>
      <w:r w:rsidRPr="00A65742">
        <w:rPr>
          <w:rFonts w:ascii="Times New Roman" w:hAnsi="Times New Roman" w:cs="Times New Roman"/>
          <w:sz w:val="24"/>
          <w:szCs w:val="24"/>
        </w:rPr>
        <w:t>Emisyon ölçümlerinin Ek-11 Bölüm E  hükümlerine uygun yürütülmesi sağlanır.</w:t>
      </w:r>
    </w:p>
    <w:p w14:paraId="5A26E60B" w14:textId="3E5A7BB7" w:rsidR="00A65742" w:rsidRPr="00BC55E6" w:rsidRDefault="00A65742" w:rsidP="00E80917">
      <w:pPr>
        <w:spacing w:after="120" w:line="276" w:lineRule="auto"/>
        <w:jc w:val="both"/>
        <w:rPr>
          <w:rFonts w:ascii="Times New Roman" w:hAnsi="Times New Roman" w:cs="Times New Roman"/>
          <w:b/>
          <w:bCs/>
          <w:sz w:val="24"/>
          <w:szCs w:val="24"/>
        </w:rPr>
      </w:pPr>
      <w:r w:rsidRPr="00BC55E6">
        <w:rPr>
          <w:rFonts w:ascii="Times New Roman" w:hAnsi="Times New Roman" w:cs="Times New Roman"/>
          <w:b/>
          <w:bCs/>
          <w:sz w:val="24"/>
          <w:szCs w:val="24"/>
        </w:rPr>
        <w:t>Emisyon Sınır Değ</w:t>
      </w:r>
      <w:r w:rsidR="00BC55E6" w:rsidRPr="00BC55E6">
        <w:rPr>
          <w:rFonts w:ascii="Times New Roman" w:hAnsi="Times New Roman" w:cs="Times New Roman"/>
          <w:b/>
          <w:bCs/>
          <w:sz w:val="24"/>
          <w:szCs w:val="24"/>
        </w:rPr>
        <w:t>e</w:t>
      </w:r>
      <w:r w:rsidRPr="00BC55E6">
        <w:rPr>
          <w:rFonts w:ascii="Times New Roman" w:hAnsi="Times New Roman" w:cs="Times New Roman"/>
          <w:b/>
          <w:bCs/>
          <w:sz w:val="24"/>
          <w:szCs w:val="24"/>
        </w:rPr>
        <w:t>rlerine Uyum</w:t>
      </w:r>
    </w:p>
    <w:p w14:paraId="7A68376A" w14:textId="77777777" w:rsidR="00A65742" w:rsidRDefault="00A65742"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Ek-11 Bölüm F de belirtilen Solvent Yönetim Planı</w:t>
      </w:r>
      <w:r w:rsidR="00BC55E6">
        <w:rPr>
          <w:rFonts w:ascii="Times New Roman" w:hAnsi="Times New Roman" w:cs="Times New Roman"/>
          <w:sz w:val="24"/>
          <w:szCs w:val="24"/>
        </w:rPr>
        <w:t>ndaki koşullar yerine getirildiğinde</w:t>
      </w:r>
      <w:r>
        <w:rPr>
          <w:rFonts w:ascii="Times New Roman" w:hAnsi="Times New Roman" w:cs="Times New Roman"/>
          <w:sz w:val="24"/>
          <w:szCs w:val="24"/>
        </w:rPr>
        <w:t xml:space="preserve"> </w:t>
      </w:r>
      <w:r w:rsidR="00BC55E6">
        <w:rPr>
          <w:rFonts w:ascii="Times New Roman" w:hAnsi="Times New Roman" w:cs="Times New Roman"/>
          <w:sz w:val="24"/>
          <w:szCs w:val="24"/>
        </w:rPr>
        <w:t xml:space="preserve">atık gazlara ilişkin </w:t>
      </w:r>
      <w:r>
        <w:rPr>
          <w:rFonts w:ascii="Times New Roman" w:hAnsi="Times New Roman" w:cs="Times New Roman"/>
          <w:sz w:val="24"/>
          <w:szCs w:val="24"/>
        </w:rPr>
        <w:t>emisyon sınır değerlerine uyulmuş sayılır.</w:t>
      </w:r>
    </w:p>
    <w:p w14:paraId="2D1180D0" w14:textId="4E2CD007" w:rsidR="00BC55E6" w:rsidRDefault="00BC55E6" w:rsidP="00E80917">
      <w:pPr>
        <w:spacing w:after="120" w:line="276" w:lineRule="auto"/>
        <w:jc w:val="both"/>
        <w:rPr>
          <w:rFonts w:ascii="Times New Roman" w:hAnsi="Times New Roman" w:cs="Times New Roman"/>
          <w:b/>
          <w:bCs/>
          <w:sz w:val="24"/>
          <w:szCs w:val="24"/>
        </w:rPr>
      </w:pPr>
      <w:r w:rsidRPr="00BC55E6">
        <w:rPr>
          <w:rFonts w:ascii="Times New Roman" w:hAnsi="Times New Roman" w:cs="Times New Roman"/>
          <w:b/>
          <w:bCs/>
          <w:sz w:val="24"/>
          <w:szCs w:val="24"/>
        </w:rPr>
        <w:t xml:space="preserve">Uyum hakkında raporlama </w:t>
      </w:r>
    </w:p>
    <w:p w14:paraId="61E650E0"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 xml:space="preserve">İşletmeci </w:t>
      </w:r>
    </w:p>
    <w:p w14:paraId="27A66285"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(a) Atık gazların emisyon sınır değerleri, kaçak emisyon sınır değerleri ve toplam emisyon sınır değerleri,</w:t>
      </w:r>
    </w:p>
    <w:p w14:paraId="1D32010F"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 xml:space="preserve">(b) </w:t>
      </w:r>
      <w:r>
        <w:rPr>
          <w:rFonts w:ascii="Times New Roman" w:hAnsi="Times New Roman" w:cs="Times New Roman"/>
          <w:sz w:val="24"/>
          <w:szCs w:val="24"/>
        </w:rPr>
        <w:t>Bölüm D’de</w:t>
      </w:r>
      <w:r w:rsidRPr="00BC55E6">
        <w:rPr>
          <w:rFonts w:ascii="Times New Roman" w:hAnsi="Times New Roman" w:cs="Times New Roman"/>
          <w:sz w:val="24"/>
          <w:szCs w:val="24"/>
        </w:rPr>
        <w:t xml:space="preserve"> yer verilen azaltma planının </w:t>
      </w:r>
      <w:r>
        <w:rPr>
          <w:rFonts w:ascii="Times New Roman" w:hAnsi="Times New Roman" w:cs="Times New Roman"/>
          <w:sz w:val="24"/>
          <w:szCs w:val="24"/>
        </w:rPr>
        <w:t>ş</w:t>
      </w:r>
      <w:r w:rsidRPr="00BC55E6">
        <w:rPr>
          <w:rFonts w:ascii="Times New Roman" w:hAnsi="Times New Roman" w:cs="Times New Roman"/>
          <w:sz w:val="24"/>
          <w:szCs w:val="24"/>
        </w:rPr>
        <w:t>artları,</w:t>
      </w:r>
    </w:p>
    <w:p w14:paraId="739C2374"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 xml:space="preserve">(c) </w:t>
      </w:r>
      <w:r>
        <w:rPr>
          <w:rFonts w:ascii="Times New Roman" w:hAnsi="Times New Roman" w:cs="Times New Roman"/>
          <w:sz w:val="24"/>
          <w:szCs w:val="24"/>
        </w:rPr>
        <w:t>M</w:t>
      </w:r>
      <w:r w:rsidRPr="00BC55E6">
        <w:rPr>
          <w:rFonts w:ascii="Times New Roman" w:hAnsi="Times New Roman" w:cs="Times New Roman"/>
          <w:sz w:val="24"/>
          <w:szCs w:val="24"/>
        </w:rPr>
        <w:t>uafiyet</w:t>
      </w:r>
      <w:r>
        <w:rPr>
          <w:rFonts w:ascii="Times New Roman" w:hAnsi="Times New Roman" w:cs="Times New Roman"/>
          <w:sz w:val="24"/>
          <w:szCs w:val="24"/>
        </w:rPr>
        <w:t>e ilişkin bilgileri</w:t>
      </w:r>
    </w:p>
    <w:p w14:paraId="28356C7E" w14:textId="7A4914FD" w:rsidR="00BC55E6" w:rsidRPr="00BC55E6" w:rsidRDefault="00BC55E6" w:rsidP="00E8091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Bakanlık sistemine kayıt olurken yükler. Bölüm F</w:t>
      </w:r>
      <w:r w:rsidRPr="00BC55E6">
        <w:rPr>
          <w:rFonts w:ascii="Times New Roman" w:hAnsi="Times New Roman" w:cs="Times New Roman"/>
          <w:sz w:val="24"/>
          <w:szCs w:val="24"/>
        </w:rPr>
        <w:t xml:space="preserve"> uyarınca hazırlanmı</w:t>
      </w:r>
      <w:r>
        <w:rPr>
          <w:rFonts w:ascii="Times New Roman" w:hAnsi="Times New Roman" w:cs="Times New Roman"/>
          <w:sz w:val="24"/>
          <w:szCs w:val="24"/>
        </w:rPr>
        <w:t>ş</w:t>
      </w:r>
      <w:r w:rsidRPr="00BC55E6">
        <w:rPr>
          <w:rFonts w:ascii="Times New Roman" w:hAnsi="Times New Roman" w:cs="Times New Roman"/>
          <w:sz w:val="24"/>
          <w:szCs w:val="24"/>
        </w:rPr>
        <w:t xml:space="preserve"> solvent yönetim planı da raporlamaya ekle</w:t>
      </w:r>
      <w:r>
        <w:rPr>
          <w:rFonts w:ascii="Times New Roman" w:hAnsi="Times New Roman" w:cs="Times New Roman"/>
          <w:sz w:val="24"/>
          <w:szCs w:val="24"/>
        </w:rPr>
        <w:t>n</w:t>
      </w:r>
      <w:r w:rsidRPr="00BC55E6">
        <w:rPr>
          <w:rFonts w:ascii="Times New Roman" w:hAnsi="Times New Roman" w:cs="Times New Roman"/>
          <w:sz w:val="24"/>
          <w:szCs w:val="24"/>
        </w:rPr>
        <w:t>ebilir.</w:t>
      </w:r>
    </w:p>
    <w:p w14:paraId="6D292F06" w14:textId="77777777" w:rsidR="00BC55E6" w:rsidRDefault="00BC55E6" w:rsidP="00E80917">
      <w:pPr>
        <w:spacing w:after="120" w:line="276" w:lineRule="auto"/>
        <w:jc w:val="both"/>
        <w:rPr>
          <w:rFonts w:ascii="Times New Roman" w:hAnsi="Times New Roman" w:cs="Times New Roman"/>
          <w:b/>
          <w:bCs/>
          <w:sz w:val="24"/>
          <w:szCs w:val="24"/>
        </w:rPr>
      </w:pPr>
      <w:r w:rsidRPr="00BC55E6">
        <w:rPr>
          <w:rFonts w:ascii="Times New Roman" w:hAnsi="Times New Roman" w:cs="Times New Roman"/>
          <w:b/>
          <w:bCs/>
          <w:sz w:val="24"/>
          <w:szCs w:val="24"/>
        </w:rPr>
        <w:t>Mevcut Tesislerde Önemli Değişiklikler</w:t>
      </w:r>
    </w:p>
    <w:p w14:paraId="4AF9CB86"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1. Açma ve kapama i</w:t>
      </w:r>
      <w:r>
        <w:rPr>
          <w:rFonts w:ascii="Times New Roman" w:hAnsi="Times New Roman" w:cs="Times New Roman"/>
          <w:sz w:val="24"/>
          <w:szCs w:val="24"/>
        </w:rPr>
        <w:t>ş</w:t>
      </w:r>
      <w:r w:rsidRPr="00BC55E6">
        <w:rPr>
          <w:rFonts w:ascii="Times New Roman" w:hAnsi="Times New Roman" w:cs="Times New Roman"/>
          <w:sz w:val="24"/>
          <w:szCs w:val="24"/>
        </w:rPr>
        <w:t>lemleri ile bakım dı</w:t>
      </w:r>
      <w:r>
        <w:rPr>
          <w:rFonts w:ascii="Times New Roman" w:hAnsi="Times New Roman" w:cs="Times New Roman"/>
          <w:sz w:val="24"/>
          <w:szCs w:val="24"/>
        </w:rPr>
        <w:t>ş</w:t>
      </w:r>
      <w:r w:rsidRPr="00BC55E6">
        <w:rPr>
          <w:rFonts w:ascii="Times New Roman" w:hAnsi="Times New Roman" w:cs="Times New Roman"/>
          <w:sz w:val="24"/>
          <w:szCs w:val="24"/>
        </w:rPr>
        <w:t>ında tasarlanmı</w:t>
      </w:r>
      <w:r>
        <w:rPr>
          <w:rFonts w:ascii="Times New Roman" w:hAnsi="Times New Roman" w:cs="Times New Roman"/>
          <w:sz w:val="24"/>
          <w:szCs w:val="24"/>
        </w:rPr>
        <w:t>ş</w:t>
      </w:r>
      <w:r w:rsidRPr="00BC55E6">
        <w:rPr>
          <w:rFonts w:ascii="Times New Roman" w:hAnsi="Times New Roman" w:cs="Times New Roman"/>
          <w:sz w:val="24"/>
          <w:szCs w:val="24"/>
        </w:rPr>
        <w:t xml:space="preserve"> çıktı ko</w:t>
      </w:r>
      <w:r>
        <w:rPr>
          <w:rFonts w:ascii="Times New Roman" w:hAnsi="Times New Roman" w:cs="Times New Roman"/>
          <w:sz w:val="24"/>
          <w:szCs w:val="24"/>
        </w:rPr>
        <w:t>ş</w:t>
      </w:r>
      <w:r w:rsidRPr="00BC55E6">
        <w:rPr>
          <w:rFonts w:ascii="Times New Roman" w:hAnsi="Times New Roman" w:cs="Times New Roman"/>
          <w:sz w:val="24"/>
          <w:szCs w:val="24"/>
        </w:rPr>
        <w:t>ullarında faaliyet gösteren mevcut bir tesisin ortalama 1 günlük organik solvent kütle çıktısında deği</w:t>
      </w:r>
      <w:r>
        <w:rPr>
          <w:rFonts w:ascii="Times New Roman" w:hAnsi="Times New Roman" w:cs="Times New Roman"/>
          <w:sz w:val="24"/>
          <w:szCs w:val="24"/>
        </w:rPr>
        <w:t>ş</w:t>
      </w:r>
      <w:r w:rsidRPr="00BC55E6">
        <w:rPr>
          <w:rFonts w:ascii="Times New Roman" w:hAnsi="Times New Roman" w:cs="Times New Roman"/>
          <w:sz w:val="24"/>
          <w:szCs w:val="24"/>
        </w:rPr>
        <w:t>iklik meydana gelmi</w:t>
      </w:r>
      <w:r>
        <w:rPr>
          <w:rFonts w:ascii="Times New Roman" w:hAnsi="Times New Roman" w:cs="Times New Roman"/>
          <w:sz w:val="24"/>
          <w:szCs w:val="24"/>
        </w:rPr>
        <w:t>ş</w:t>
      </w:r>
      <w:r w:rsidRPr="00BC55E6">
        <w:rPr>
          <w:rFonts w:ascii="Times New Roman" w:hAnsi="Times New Roman" w:cs="Times New Roman"/>
          <w:sz w:val="24"/>
          <w:szCs w:val="24"/>
        </w:rPr>
        <w:t>se ve bu durum a</w:t>
      </w:r>
      <w:r>
        <w:rPr>
          <w:rFonts w:ascii="Times New Roman" w:hAnsi="Times New Roman" w:cs="Times New Roman"/>
          <w:sz w:val="24"/>
          <w:szCs w:val="24"/>
        </w:rPr>
        <w:t>ş</w:t>
      </w:r>
      <w:r w:rsidRPr="00BC55E6">
        <w:rPr>
          <w:rFonts w:ascii="Times New Roman" w:hAnsi="Times New Roman" w:cs="Times New Roman"/>
          <w:sz w:val="24"/>
          <w:szCs w:val="24"/>
        </w:rPr>
        <w:t>ağıdaki değerlerden daha yüksek uçucu organik bile</w:t>
      </w:r>
      <w:r>
        <w:rPr>
          <w:rFonts w:ascii="Times New Roman" w:hAnsi="Times New Roman" w:cs="Times New Roman"/>
          <w:sz w:val="24"/>
          <w:szCs w:val="24"/>
        </w:rPr>
        <w:t>ş</w:t>
      </w:r>
      <w:r w:rsidRPr="00BC55E6">
        <w:rPr>
          <w:rFonts w:ascii="Times New Roman" w:hAnsi="Times New Roman" w:cs="Times New Roman"/>
          <w:sz w:val="24"/>
          <w:szCs w:val="24"/>
        </w:rPr>
        <w:t>ik salımlarına yol açıyorsa bu deği</w:t>
      </w:r>
      <w:r>
        <w:rPr>
          <w:rFonts w:ascii="Times New Roman" w:hAnsi="Times New Roman" w:cs="Times New Roman"/>
          <w:sz w:val="24"/>
          <w:szCs w:val="24"/>
        </w:rPr>
        <w:t>ş</w:t>
      </w:r>
      <w:r w:rsidRPr="00BC55E6">
        <w:rPr>
          <w:rFonts w:ascii="Times New Roman" w:hAnsi="Times New Roman" w:cs="Times New Roman"/>
          <w:sz w:val="24"/>
          <w:szCs w:val="24"/>
        </w:rPr>
        <w:t xml:space="preserve">iklik </w:t>
      </w:r>
      <w:r>
        <w:rPr>
          <w:rFonts w:ascii="Times New Roman" w:hAnsi="Times New Roman" w:cs="Times New Roman"/>
          <w:sz w:val="24"/>
          <w:szCs w:val="24"/>
        </w:rPr>
        <w:t xml:space="preserve">önemli </w:t>
      </w:r>
      <w:r w:rsidRPr="00BC55E6">
        <w:rPr>
          <w:rFonts w:ascii="Times New Roman" w:hAnsi="Times New Roman" w:cs="Times New Roman"/>
          <w:sz w:val="24"/>
          <w:szCs w:val="24"/>
        </w:rPr>
        <w:t>deği</w:t>
      </w:r>
      <w:r>
        <w:rPr>
          <w:rFonts w:ascii="Times New Roman" w:hAnsi="Times New Roman" w:cs="Times New Roman"/>
          <w:sz w:val="24"/>
          <w:szCs w:val="24"/>
        </w:rPr>
        <w:t>ş</w:t>
      </w:r>
      <w:r w:rsidRPr="00BC55E6">
        <w:rPr>
          <w:rFonts w:ascii="Times New Roman" w:hAnsi="Times New Roman" w:cs="Times New Roman"/>
          <w:sz w:val="24"/>
          <w:szCs w:val="24"/>
        </w:rPr>
        <w:t>iklik olarak kabul edilir:</w:t>
      </w:r>
    </w:p>
    <w:p w14:paraId="46FB5B93"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 xml:space="preserve">(a) Yıllık solvent tüketimi 10 tondan az olan ve </w:t>
      </w:r>
      <w:r>
        <w:rPr>
          <w:rFonts w:ascii="Times New Roman" w:hAnsi="Times New Roman" w:cs="Times New Roman"/>
          <w:sz w:val="24"/>
          <w:szCs w:val="24"/>
        </w:rPr>
        <w:t>Bölüm A</w:t>
      </w:r>
      <w:r w:rsidRPr="00BC55E6">
        <w:rPr>
          <w:rFonts w:ascii="Times New Roman" w:hAnsi="Times New Roman" w:cs="Times New Roman"/>
          <w:sz w:val="24"/>
          <w:szCs w:val="24"/>
        </w:rPr>
        <w:t xml:space="preserve"> tabloda yer alan 1, 3, 4, 5, 8, 10, 13, 16 veya 17 numaralı </w:t>
      </w:r>
      <w:r>
        <w:rPr>
          <w:rFonts w:ascii="Times New Roman" w:hAnsi="Times New Roman" w:cs="Times New Roman"/>
          <w:sz w:val="24"/>
          <w:szCs w:val="24"/>
        </w:rPr>
        <w:t>faaliyetlerden</w:t>
      </w:r>
      <w:r w:rsidRPr="00BC55E6">
        <w:rPr>
          <w:rFonts w:ascii="Times New Roman" w:hAnsi="Times New Roman" w:cs="Times New Roman"/>
          <w:sz w:val="24"/>
          <w:szCs w:val="24"/>
        </w:rPr>
        <w:t xml:space="preserve"> alt sınırında kalan faaliyetlerin yürütüldüğü veya </w:t>
      </w:r>
      <w:r>
        <w:rPr>
          <w:rFonts w:ascii="Times New Roman" w:hAnsi="Times New Roman" w:cs="Times New Roman"/>
          <w:sz w:val="24"/>
          <w:szCs w:val="24"/>
        </w:rPr>
        <w:t>Bölüm A’da kalan</w:t>
      </w:r>
      <w:r w:rsidRPr="00BC55E6">
        <w:rPr>
          <w:rFonts w:ascii="Times New Roman" w:hAnsi="Times New Roman" w:cs="Times New Roman"/>
          <w:sz w:val="24"/>
          <w:szCs w:val="24"/>
        </w:rPr>
        <w:t xml:space="preserve"> diğer  faaliyetlerin yürütüldüğü tesisler için % 25, </w:t>
      </w:r>
    </w:p>
    <w:p w14:paraId="571E8748"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 xml:space="preserve">(b) Diğer tüm tesisler için % 10. </w:t>
      </w:r>
    </w:p>
    <w:p w14:paraId="27D4E29F" w14:textId="77777777" w:rsidR="00BC55E6" w:rsidRDefault="00BC55E6" w:rsidP="00E80917">
      <w:pPr>
        <w:spacing w:after="120" w:line="276" w:lineRule="auto"/>
        <w:jc w:val="both"/>
        <w:rPr>
          <w:rFonts w:ascii="Times New Roman" w:hAnsi="Times New Roman" w:cs="Times New Roman"/>
          <w:sz w:val="24"/>
          <w:szCs w:val="24"/>
        </w:rPr>
      </w:pPr>
      <w:r w:rsidRPr="00BC55E6">
        <w:rPr>
          <w:rFonts w:ascii="Times New Roman" w:hAnsi="Times New Roman" w:cs="Times New Roman"/>
          <w:sz w:val="24"/>
          <w:szCs w:val="24"/>
        </w:rPr>
        <w:t>2. Mevcut bir tesiste esaslı deği</w:t>
      </w:r>
      <w:r>
        <w:rPr>
          <w:rFonts w:ascii="Times New Roman" w:hAnsi="Times New Roman" w:cs="Times New Roman"/>
          <w:sz w:val="24"/>
          <w:szCs w:val="24"/>
        </w:rPr>
        <w:t>ş</w:t>
      </w:r>
      <w:r w:rsidRPr="00BC55E6">
        <w:rPr>
          <w:rFonts w:ascii="Times New Roman" w:hAnsi="Times New Roman" w:cs="Times New Roman"/>
          <w:sz w:val="24"/>
          <w:szCs w:val="24"/>
        </w:rPr>
        <w:t>ikliğe gidilmi</w:t>
      </w:r>
      <w:r>
        <w:rPr>
          <w:rFonts w:ascii="Times New Roman" w:hAnsi="Times New Roman" w:cs="Times New Roman"/>
          <w:sz w:val="24"/>
          <w:szCs w:val="24"/>
        </w:rPr>
        <w:t>ş</w:t>
      </w:r>
      <w:r w:rsidRPr="00BC55E6">
        <w:rPr>
          <w:rFonts w:ascii="Times New Roman" w:hAnsi="Times New Roman" w:cs="Times New Roman"/>
          <w:sz w:val="24"/>
          <w:szCs w:val="24"/>
        </w:rPr>
        <w:t>se ya da tesis yapılan esaslı deği</w:t>
      </w:r>
      <w:r>
        <w:rPr>
          <w:rFonts w:ascii="Times New Roman" w:hAnsi="Times New Roman" w:cs="Times New Roman"/>
          <w:sz w:val="24"/>
          <w:szCs w:val="24"/>
        </w:rPr>
        <w:t>ş</w:t>
      </w:r>
      <w:r w:rsidRPr="00BC55E6">
        <w:rPr>
          <w:rFonts w:ascii="Times New Roman" w:hAnsi="Times New Roman" w:cs="Times New Roman"/>
          <w:sz w:val="24"/>
          <w:szCs w:val="24"/>
        </w:rPr>
        <w:t xml:space="preserve">iklik sonucunda ilk defa bu </w:t>
      </w:r>
      <w:r>
        <w:rPr>
          <w:rFonts w:ascii="Times New Roman" w:hAnsi="Times New Roman" w:cs="Times New Roman"/>
          <w:sz w:val="24"/>
          <w:szCs w:val="24"/>
        </w:rPr>
        <w:t xml:space="preserve">bölüm </w:t>
      </w:r>
      <w:r w:rsidRPr="00BC55E6">
        <w:rPr>
          <w:rFonts w:ascii="Times New Roman" w:hAnsi="Times New Roman" w:cs="Times New Roman"/>
          <w:sz w:val="24"/>
          <w:szCs w:val="24"/>
        </w:rPr>
        <w:t>kapsamına girmi</w:t>
      </w:r>
      <w:r>
        <w:rPr>
          <w:rFonts w:ascii="Times New Roman" w:hAnsi="Times New Roman" w:cs="Times New Roman"/>
          <w:sz w:val="24"/>
          <w:szCs w:val="24"/>
        </w:rPr>
        <w:t>ş</w:t>
      </w:r>
      <w:r w:rsidRPr="00BC55E6">
        <w:rPr>
          <w:rFonts w:ascii="Times New Roman" w:hAnsi="Times New Roman" w:cs="Times New Roman"/>
          <w:sz w:val="24"/>
          <w:szCs w:val="24"/>
        </w:rPr>
        <w:t>se tesiste esaslı deği</w:t>
      </w:r>
      <w:r>
        <w:rPr>
          <w:rFonts w:ascii="Times New Roman" w:hAnsi="Times New Roman" w:cs="Times New Roman"/>
          <w:sz w:val="24"/>
          <w:szCs w:val="24"/>
        </w:rPr>
        <w:t>ş</w:t>
      </w:r>
      <w:r w:rsidRPr="00BC55E6">
        <w:rPr>
          <w:rFonts w:ascii="Times New Roman" w:hAnsi="Times New Roman" w:cs="Times New Roman"/>
          <w:sz w:val="24"/>
          <w:szCs w:val="24"/>
        </w:rPr>
        <w:t>iklik yapılan kısım yeni bir i</w:t>
      </w:r>
      <w:r>
        <w:rPr>
          <w:rFonts w:ascii="Times New Roman" w:hAnsi="Times New Roman" w:cs="Times New Roman"/>
          <w:sz w:val="24"/>
          <w:szCs w:val="24"/>
        </w:rPr>
        <w:t>ş</w:t>
      </w:r>
      <w:r w:rsidRPr="00BC55E6">
        <w:rPr>
          <w:rFonts w:ascii="Times New Roman" w:hAnsi="Times New Roman" w:cs="Times New Roman"/>
          <w:sz w:val="24"/>
          <w:szCs w:val="24"/>
        </w:rPr>
        <w:t>letme olarak ya da tesisin tamamının toplam salımların deği</w:t>
      </w:r>
      <w:r>
        <w:rPr>
          <w:rFonts w:ascii="Times New Roman" w:hAnsi="Times New Roman" w:cs="Times New Roman"/>
          <w:sz w:val="24"/>
          <w:szCs w:val="24"/>
        </w:rPr>
        <w:t>ş</w:t>
      </w:r>
      <w:r w:rsidRPr="00BC55E6">
        <w:rPr>
          <w:rFonts w:ascii="Times New Roman" w:hAnsi="Times New Roman" w:cs="Times New Roman"/>
          <w:sz w:val="24"/>
          <w:szCs w:val="24"/>
        </w:rPr>
        <w:t>ikliğe uğrayan kısmın yeni bir tesis sayılması halinde geçerli değerlerden daha yüksek değerlere tabi olmaması durumunda mevcut bir i</w:t>
      </w:r>
      <w:r>
        <w:rPr>
          <w:rFonts w:ascii="Times New Roman" w:hAnsi="Times New Roman" w:cs="Times New Roman"/>
          <w:sz w:val="24"/>
          <w:szCs w:val="24"/>
        </w:rPr>
        <w:t>ş</w:t>
      </w:r>
      <w:r w:rsidRPr="00BC55E6">
        <w:rPr>
          <w:rFonts w:ascii="Times New Roman" w:hAnsi="Times New Roman" w:cs="Times New Roman"/>
          <w:sz w:val="24"/>
          <w:szCs w:val="24"/>
        </w:rPr>
        <w:t>letme olarak kabul edilecektir.</w:t>
      </w:r>
    </w:p>
    <w:p w14:paraId="3CE403CC" w14:textId="30F401C2" w:rsidR="00BC55E6" w:rsidRPr="00BC55E6" w:rsidRDefault="00BC55E6" w:rsidP="00E80917">
      <w:pPr>
        <w:spacing w:after="120" w:line="276" w:lineRule="auto"/>
        <w:jc w:val="both"/>
        <w:rPr>
          <w:rFonts w:ascii="Times New Roman" w:hAnsi="Times New Roman" w:cs="Times New Roman"/>
          <w:sz w:val="24"/>
          <w:szCs w:val="24"/>
        </w:rPr>
        <w:sectPr w:rsidR="00BC55E6" w:rsidRPr="00BC55E6">
          <w:pgSz w:w="11906" w:h="16838"/>
          <w:pgMar w:top="1417" w:right="1417" w:bottom="1417" w:left="1417" w:header="708" w:footer="708" w:gutter="0"/>
          <w:cols w:space="708"/>
          <w:docGrid w:linePitch="360"/>
        </w:sectPr>
      </w:pPr>
    </w:p>
    <w:p w14:paraId="62B59629" w14:textId="4427AA66" w:rsidR="00070752" w:rsidRPr="00CA067F" w:rsidRDefault="00BD739A" w:rsidP="00CA067F">
      <w:pPr>
        <w:shd w:val="clear" w:color="auto" w:fill="FFFFFF"/>
        <w:spacing w:line="240" w:lineRule="auto"/>
        <w:ind w:left="10"/>
        <w:jc w:val="center"/>
        <w:rPr>
          <w:rFonts w:ascii="Times New Roman" w:hAnsi="Times New Roman" w:cs="Times New Roman"/>
          <w:b/>
          <w:bCs/>
          <w:i/>
          <w:iCs/>
          <w:color w:val="000000"/>
          <w:spacing w:val="-5"/>
          <w:sz w:val="24"/>
          <w:szCs w:val="24"/>
        </w:rPr>
      </w:pPr>
      <w:r w:rsidRPr="00CA067F">
        <w:rPr>
          <w:rFonts w:ascii="Times New Roman" w:hAnsi="Times New Roman" w:cs="Times New Roman"/>
          <w:b/>
          <w:bCs/>
          <w:i/>
          <w:iCs/>
          <w:color w:val="000000"/>
          <w:spacing w:val="-5"/>
          <w:sz w:val="24"/>
          <w:szCs w:val="24"/>
        </w:rPr>
        <w:lastRenderedPageBreak/>
        <w:t>Bölüm A-</w:t>
      </w:r>
      <w:r w:rsidR="00CA067F" w:rsidRPr="00CA067F">
        <w:rPr>
          <w:rFonts w:ascii="Times New Roman" w:hAnsi="Times New Roman" w:cs="Times New Roman"/>
          <w:b/>
          <w:bCs/>
          <w:i/>
          <w:iCs/>
          <w:color w:val="000000"/>
          <w:spacing w:val="-5"/>
          <w:sz w:val="24"/>
          <w:szCs w:val="24"/>
        </w:rPr>
        <w:t xml:space="preserve"> </w:t>
      </w:r>
      <w:r w:rsidR="00070752" w:rsidRPr="00CA067F">
        <w:rPr>
          <w:rFonts w:ascii="Times New Roman" w:hAnsi="Times New Roman" w:cs="Times New Roman"/>
          <w:b/>
          <w:bCs/>
          <w:i/>
          <w:iCs/>
          <w:color w:val="000000"/>
          <w:spacing w:val="-5"/>
          <w:sz w:val="24"/>
          <w:szCs w:val="24"/>
        </w:rPr>
        <w:t>Sınırlar ve emisyon sınır değerleri</w:t>
      </w:r>
    </w:p>
    <w:p w14:paraId="6B4E81E7" w14:textId="77777777" w:rsidR="00070752" w:rsidRPr="001F2086" w:rsidRDefault="00070752" w:rsidP="00070752">
      <w:pPr>
        <w:shd w:val="clear" w:color="auto" w:fill="FFFFFF"/>
        <w:spacing w:line="240" w:lineRule="auto"/>
        <w:ind w:left="29"/>
        <w:jc w:val="center"/>
        <w:rPr>
          <w:rFonts w:ascii="Times New Roman" w:hAnsi="Times New Roman" w:cs="Times New Roman"/>
          <w:sz w:val="20"/>
          <w:szCs w:val="20"/>
        </w:rPr>
      </w:pPr>
      <w:r w:rsidRPr="001F2086">
        <w:rPr>
          <w:rFonts w:ascii="Times New Roman" w:hAnsi="Times New Roman" w:cs="Times New Roman"/>
          <w:color w:val="000000"/>
          <w:spacing w:val="-1"/>
          <w:sz w:val="20"/>
          <w:szCs w:val="20"/>
        </w:rPr>
        <w:t>Atık gaz emisyon sınır değerleri 273,15 K sıcaklık ve 101,3 kPa basınçta ölçülecektir.</w:t>
      </w:r>
    </w:p>
    <w:tbl>
      <w:tblPr>
        <w:tblStyle w:val="TabloKlavuzu15"/>
        <w:tblW w:w="14445" w:type="dxa"/>
        <w:tblLayout w:type="fixed"/>
        <w:tblLook w:val="0000" w:firstRow="0" w:lastRow="0" w:firstColumn="0" w:lastColumn="0" w:noHBand="0" w:noVBand="0"/>
      </w:tblPr>
      <w:tblGrid>
        <w:gridCol w:w="484"/>
        <w:gridCol w:w="3042"/>
        <w:gridCol w:w="1306"/>
        <w:gridCol w:w="1400"/>
        <w:gridCol w:w="1204"/>
        <w:gridCol w:w="1306"/>
        <w:gridCol w:w="1301"/>
        <w:gridCol w:w="1301"/>
        <w:gridCol w:w="3101"/>
      </w:tblGrid>
      <w:tr w:rsidR="00070752" w:rsidRPr="000F22A4" w14:paraId="51B45FCF" w14:textId="77777777" w:rsidTr="001F2086">
        <w:trPr>
          <w:trHeight w:hRule="exact" w:val="1262"/>
        </w:trPr>
        <w:tc>
          <w:tcPr>
            <w:tcW w:w="484" w:type="dxa"/>
          </w:tcPr>
          <w:p w14:paraId="7DC9D303" w14:textId="77777777" w:rsidR="00070752" w:rsidRPr="000F22A4" w:rsidRDefault="00070752" w:rsidP="00C10647">
            <w:pPr>
              <w:shd w:val="clear" w:color="auto" w:fill="FFFFFF"/>
              <w:rPr>
                <w:rFonts w:ascii="Times New Roman" w:hAnsi="Times New Roman" w:cs="Times New Roman"/>
                <w:sz w:val="20"/>
                <w:szCs w:val="20"/>
              </w:rPr>
            </w:pPr>
          </w:p>
        </w:tc>
        <w:tc>
          <w:tcPr>
            <w:tcW w:w="3042" w:type="dxa"/>
          </w:tcPr>
          <w:p w14:paraId="42B10922" w14:textId="77777777" w:rsidR="00070752" w:rsidRPr="001F2086" w:rsidRDefault="00070752" w:rsidP="001F2086">
            <w:pPr>
              <w:shd w:val="clear" w:color="auto" w:fill="FFFFFF"/>
              <w:ind w:right="269"/>
              <w:jc w:val="center"/>
              <w:rPr>
                <w:rFonts w:ascii="Times New Roman" w:hAnsi="Times New Roman" w:cs="Times New Roman"/>
                <w:b/>
                <w:bCs/>
                <w:sz w:val="20"/>
                <w:szCs w:val="20"/>
              </w:rPr>
            </w:pPr>
            <w:r w:rsidRPr="001F2086">
              <w:rPr>
                <w:rFonts w:ascii="Times New Roman" w:hAnsi="Times New Roman" w:cs="Times New Roman"/>
                <w:b/>
                <w:bCs/>
                <w:color w:val="000000"/>
                <w:spacing w:val="-5"/>
                <w:sz w:val="20"/>
                <w:szCs w:val="20"/>
              </w:rPr>
              <w:t xml:space="preserve">Faaliyet (ton/yıl solvent </w:t>
            </w:r>
            <w:r w:rsidRPr="001F2086">
              <w:rPr>
                <w:rFonts w:ascii="Times New Roman" w:hAnsi="Times New Roman" w:cs="Times New Roman"/>
                <w:b/>
                <w:bCs/>
                <w:color w:val="000000"/>
                <w:sz w:val="20"/>
                <w:szCs w:val="20"/>
              </w:rPr>
              <w:t>tüketim sınırı)</w:t>
            </w:r>
          </w:p>
        </w:tc>
        <w:tc>
          <w:tcPr>
            <w:tcW w:w="1306" w:type="dxa"/>
          </w:tcPr>
          <w:p w14:paraId="1CB83EB0" w14:textId="77777777" w:rsidR="00070752" w:rsidRPr="001F2086" w:rsidRDefault="00070752" w:rsidP="001F2086">
            <w:pPr>
              <w:shd w:val="clear" w:color="auto" w:fill="FFFFFF"/>
              <w:ind w:right="139"/>
              <w:jc w:val="center"/>
              <w:rPr>
                <w:rFonts w:ascii="Times New Roman" w:hAnsi="Times New Roman" w:cs="Times New Roman"/>
                <w:b/>
                <w:bCs/>
                <w:sz w:val="20"/>
                <w:szCs w:val="20"/>
              </w:rPr>
            </w:pPr>
            <w:r w:rsidRPr="001F2086">
              <w:rPr>
                <w:rFonts w:ascii="Times New Roman" w:hAnsi="Times New Roman" w:cs="Times New Roman"/>
                <w:b/>
                <w:bCs/>
                <w:color w:val="000000"/>
                <w:spacing w:val="-5"/>
                <w:sz w:val="20"/>
                <w:szCs w:val="20"/>
              </w:rPr>
              <w:t xml:space="preserve">Sınır (ton/yıl </w:t>
            </w:r>
            <w:r w:rsidRPr="001F2086">
              <w:rPr>
                <w:rFonts w:ascii="Times New Roman" w:hAnsi="Times New Roman" w:cs="Times New Roman"/>
                <w:b/>
                <w:bCs/>
                <w:color w:val="000000"/>
                <w:sz w:val="20"/>
                <w:szCs w:val="20"/>
              </w:rPr>
              <w:t>solvent tüketim sınırı)</w:t>
            </w:r>
          </w:p>
        </w:tc>
        <w:tc>
          <w:tcPr>
            <w:tcW w:w="1400" w:type="dxa"/>
          </w:tcPr>
          <w:p w14:paraId="19476C6A" w14:textId="51D1A5D7" w:rsidR="00070752" w:rsidRPr="001F2086" w:rsidRDefault="00070752" w:rsidP="001F2086">
            <w:pPr>
              <w:shd w:val="clear" w:color="auto" w:fill="FFFFFF"/>
              <w:jc w:val="center"/>
              <w:rPr>
                <w:rFonts w:ascii="Times New Roman" w:hAnsi="Times New Roman" w:cs="Times New Roman"/>
                <w:b/>
                <w:bCs/>
                <w:sz w:val="20"/>
                <w:szCs w:val="20"/>
              </w:rPr>
            </w:pPr>
            <w:r w:rsidRPr="001F2086">
              <w:rPr>
                <w:rFonts w:ascii="Times New Roman" w:hAnsi="Times New Roman" w:cs="Times New Roman"/>
                <w:b/>
                <w:bCs/>
                <w:color w:val="000000"/>
                <w:spacing w:val="-8"/>
                <w:sz w:val="20"/>
                <w:szCs w:val="20"/>
              </w:rPr>
              <w:t>Atık gaz emisyon</w:t>
            </w:r>
            <w:r w:rsidR="003344B6" w:rsidRPr="001F2086">
              <w:rPr>
                <w:rFonts w:ascii="Times New Roman" w:hAnsi="Times New Roman" w:cs="Times New Roman"/>
                <w:b/>
                <w:bCs/>
                <w:color w:val="000000"/>
                <w:spacing w:val="-8"/>
                <w:sz w:val="20"/>
                <w:szCs w:val="20"/>
              </w:rPr>
              <w:t xml:space="preserve"> </w:t>
            </w:r>
            <w:r w:rsidRPr="001F2086">
              <w:rPr>
                <w:rFonts w:ascii="Times New Roman" w:hAnsi="Times New Roman" w:cs="Times New Roman"/>
                <w:b/>
                <w:bCs/>
                <w:color w:val="000000"/>
                <w:sz w:val="20"/>
                <w:szCs w:val="20"/>
              </w:rPr>
              <w:t>sınır</w:t>
            </w:r>
          </w:p>
          <w:p w14:paraId="6416EBD5" w14:textId="77777777" w:rsidR="00070752" w:rsidRPr="001F2086" w:rsidRDefault="00070752" w:rsidP="001F2086">
            <w:pPr>
              <w:shd w:val="clear" w:color="auto" w:fill="FFFFFF"/>
              <w:jc w:val="center"/>
              <w:rPr>
                <w:rFonts w:ascii="Times New Roman" w:hAnsi="Times New Roman" w:cs="Times New Roman"/>
                <w:b/>
                <w:bCs/>
                <w:sz w:val="20"/>
                <w:szCs w:val="20"/>
              </w:rPr>
            </w:pPr>
            <w:r w:rsidRPr="001F2086">
              <w:rPr>
                <w:rFonts w:ascii="Times New Roman" w:hAnsi="Times New Roman" w:cs="Times New Roman"/>
                <w:b/>
                <w:bCs/>
                <w:color w:val="000000"/>
                <w:spacing w:val="-13"/>
                <w:sz w:val="20"/>
                <w:szCs w:val="20"/>
              </w:rPr>
              <w:t>değerleri (mg C/Nm</w:t>
            </w:r>
            <w:r w:rsidRPr="001F2086">
              <w:rPr>
                <w:rFonts w:ascii="Times New Roman" w:hAnsi="Times New Roman" w:cs="Times New Roman"/>
                <w:b/>
                <w:bCs/>
                <w:color w:val="000000"/>
                <w:spacing w:val="-13"/>
                <w:sz w:val="20"/>
                <w:szCs w:val="20"/>
                <w:vertAlign w:val="superscript"/>
              </w:rPr>
              <w:t>3</w:t>
            </w:r>
            <w:r w:rsidRPr="001F2086">
              <w:rPr>
                <w:rFonts w:ascii="Times New Roman" w:hAnsi="Times New Roman" w:cs="Times New Roman"/>
                <w:b/>
                <w:bCs/>
                <w:color w:val="000000"/>
                <w:spacing w:val="-13"/>
                <w:sz w:val="20"/>
                <w:szCs w:val="20"/>
              </w:rPr>
              <w:t>)</w:t>
            </w:r>
          </w:p>
        </w:tc>
        <w:tc>
          <w:tcPr>
            <w:tcW w:w="2510" w:type="dxa"/>
            <w:gridSpan w:val="2"/>
          </w:tcPr>
          <w:p w14:paraId="4AF7520B" w14:textId="77777777" w:rsidR="001F2086" w:rsidRDefault="00070752" w:rsidP="001F2086">
            <w:pPr>
              <w:shd w:val="clear" w:color="auto" w:fill="FFFFFF"/>
              <w:ind w:right="365"/>
              <w:jc w:val="center"/>
              <w:rPr>
                <w:rFonts w:ascii="Times New Roman" w:hAnsi="Times New Roman" w:cs="Times New Roman"/>
                <w:b/>
                <w:bCs/>
                <w:color w:val="000000"/>
                <w:spacing w:val="-9"/>
                <w:sz w:val="20"/>
                <w:szCs w:val="20"/>
              </w:rPr>
            </w:pPr>
            <w:r w:rsidRPr="001F2086">
              <w:rPr>
                <w:rFonts w:ascii="Times New Roman" w:hAnsi="Times New Roman" w:cs="Times New Roman"/>
                <w:b/>
                <w:bCs/>
                <w:color w:val="000000"/>
                <w:spacing w:val="-9"/>
                <w:sz w:val="20"/>
                <w:szCs w:val="20"/>
              </w:rPr>
              <w:t xml:space="preserve">Kaçak emisyon sınır değerleri </w:t>
            </w:r>
          </w:p>
          <w:p w14:paraId="5E62359A" w14:textId="0A4D1A51" w:rsidR="00070752" w:rsidRPr="001F2086" w:rsidRDefault="00070752" w:rsidP="001F2086">
            <w:pPr>
              <w:shd w:val="clear" w:color="auto" w:fill="FFFFFF"/>
              <w:ind w:right="365"/>
              <w:jc w:val="center"/>
              <w:rPr>
                <w:rFonts w:ascii="Times New Roman" w:hAnsi="Times New Roman" w:cs="Times New Roman"/>
                <w:b/>
                <w:bCs/>
                <w:sz w:val="20"/>
                <w:szCs w:val="20"/>
              </w:rPr>
            </w:pPr>
            <w:r w:rsidRPr="001F2086">
              <w:rPr>
                <w:rFonts w:ascii="Times New Roman" w:hAnsi="Times New Roman" w:cs="Times New Roman"/>
                <w:b/>
                <w:bCs/>
                <w:color w:val="000000"/>
                <w:sz w:val="20"/>
                <w:szCs w:val="20"/>
              </w:rPr>
              <w:t>(solvent girdi yüzdesi)</w:t>
            </w:r>
          </w:p>
        </w:tc>
        <w:tc>
          <w:tcPr>
            <w:tcW w:w="2602" w:type="dxa"/>
            <w:gridSpan w:val="2"/>
          </w:tcPr>
          <w:p w14:paraId="78AF2C02" w14:textId="77777777" w:rsidR="00070752" w:rsidRPr="001F2086" w:rsidRDefault="00070752" w:rsidP="001F2086">
            <w:pPr>
              <w:shd w:val="clear" w:color="auto" w:fill="FFFFFF"/>
              <w:jc w:val="center"/>
              <w:rPr>
                <w:rFonts w:ascii="Times New Roman" w:hAnsi="Times New Roman" w:cs="Times New Roman"/>
                <w:b/>
                <w:bCs/>
                <w:sz w:val="20"/>
                <w:szCs w:val="20"/>
              </w:rPr>
            </w:pPr>
            <w:r w:rsidRPr="001F2086">
              <w:rPr>
                <w:rFonts w:ascii="Times New Roman" w:hAnsi="Times New Roman" w:cs="Times New Roman"/>
                <w:b/>
                <w:bCs/>
                <w:color w:val="000000"/>
                <w:spacing w:val="-8"/>
                <w:sz w:val="20"/>
                <w:szCs w:val="20"/>
              </w:rPr>
              <w:t>Toplam emisyon sınır değerleri</w:t>
            </w:r>
          </w:p>
        </w:tc>
        <w:tc>
          <w:tcPr>
            <w:tcW w:w="3101" w:type="dxa"/>
          </w:tcPr>
          <w:p w14:paraId="73384B79" w14:textId="77777777" w:rsidR="00070752" w:rsidRPr="001F2086" w:rsidRDefault="00070752" w:rsidP="001F2086">
            <w:pPr>
              <w:shd w:val="clear" w:color="auto" w:fill="FFFFFF"/>
              <w:jc w:val="center"/>
              <w:rPr>
                <w:rFonts w:ascii="Times New Roman" w:hAnsi="Times New Roman" w:cs="Times New Roman"/>
                <w:b/>
                <w:bCs/>
                <w:sz w:val="20"/>
                <w:szCs w:val="20"/>
              </w:rPr>
            </w:pPr>
            <w:r w:rsidRPr="001F2086">
              <w:rPr>
                <w:rFonts w:ascii="Times New Roman" w:hAnsi="Times New Roman" w:cs="Times New Roman"/>
                <w:b/>
                <w:bCs/>
                <w:color w:val="000000"/>
                <w:sz w:val="20"/>
                <w:szCs w:val="20"/>
              </w:rPr>
              <w:t>Özel hükümler</w:t>
            </w:r>
          </w:p>
        </w:tc>
      </w:tr>
      <w:tr w:rsidR="008D5718" w:rsidRPr="000F22A4" w14:paraId="731DCAD9" w14:textId="77777777" w:rsidTr="001F2086">
        <w:trPr>
          <w:trHeight w:hRule="exact" w:val="428"/>
        </w:trPr>
        <w:tc>
          <w:tcPr>
            <w:tcW w:w="484" w:type="dxa"/>
          </w:tcPr>
          <w:p w14:paraId="0FCC75F9" w14:textId="77777777" w:rsidR="008D5718" w:rsidRPr="000F22A4" w:rsidRDefault="008D5718" w:rsidP="00C10647">
            <w:pPr>
              <w:shd w:val="clear" w:color="auto" w:fill="FFFFFF"/>
              <w:rPr>
                <w:rFonts w:ascii="Times New Roman" w:hAnsi="Times New Roman" w:cs="Times New Roman"/>
                <w:sz w:val="20"/>
                <w:szCs w:val="20"/>
              </w:rPr>
            </w:pPr>
          </w:p>
        </w:tc>
        <w:tc>
          <w:tcPr>
            <w:tcW w:w="3042" w:type="dxa"/>
          </w:tcPr>
          <w:p w14:paraId="31D688E8" w14:textId="77777777" w:rsidR="008D5718" w:rsidRPr="000F22A4" w:rsidRDefault="008D5718" w:rsidP="00C10647">
            <w:pPr>
              <w:shd w:val="clear" w:color="auto" w:fill="FFFFFF"/>
              <w:rPr>
                <w:rFonts w:ascii="Times New Roman" w:hAnsi="Times New Roman" w:cs="Times New Roman"/>
                <w:sz w:val="20"/>
                <w:szCs w:val="20"/>
              </w:rPr>
            </w:pPr>
          </w:p>
          <w:p w14:paraId="0E4EEFA5" w14:textId="77777777" w:rsidR="008D5718" w:rsidRPr="000F22A4" w:rsidRDefault="008D5718" w:rsidP="00C10647">
            <w:pPr>
              <w:shd w:val="clear" w:color="auto" w:fill="FFFFFF"/>
              <w:rPr>
                <w:rFonts w:ascii="Times New Roman" w:hAnsi="Times New Roman" w:cs="Times New Roman"/>
                <w:sz w:val="20"/>
                <w:szCs w:val="20"/>
              </w:rPr>
            </w:pPr>
          </w:p>
        </w:tc>
        <w:tc>
          <w:tcPr>
            <w:tcW w:w="1306" w:type="dxa"/>
          </w:tcPr>
          <w:p w14:paraId="054C4BBC" w14:textId="77777777" w:rsidR="008D5718" w:rsidRPr="000F22A4" w:rsidRDefault="008D5718" w:rsidP="00C10647">
            <w:pPr>
              <w:shd w:val="clear" w:color="auto" w:fill="FFFFFF"/>
              <w:rPr>
                <w:rFonts w:ascii="Times New Roman" w:hAnsi="Times New Roman" w:cs="Times New Roman"/>
                <w:sz w:val="20"/>
                <w:szCs w:val="20"/>
              </w:rPr>
            </w:pPr>
          </w:p>
          <w:p w14:paraId="5B022703" w14:textId="77777777" w:rsidR="008D5718" w:rsidRPr="000F22A4" w:rsidRDefault="008D5718" w:rsidP="00C10647">
            <w:pPr>
              <w:shd w:val="clear" w:color="auto" w:fill="FFFFFF"/>
              <w:rPr>
                <w:rFonts w:ascii="Times New Roman" w:hAnsi="Times New Roman" w:cs="Times New Roman"/>
                <w:sz w:val="20"/>
                <w:szCs w:val="20"/>
              </w:rPr>
            </w:pPr>
          </w:p>
        </w:tc>
        <w:tc>
          <w:tcPr>
            <w:tcW w:w="1400" w:type="dxa"/>
          </w:tcPr>
          <w:p w14:paraId="7C9F955F" w14:textId="77777777" w:rsidR="008D5718" w:rsidRPr="000F22A4" w:rsidRDefault="008D5718" w:rsidP="00C10647">
            <w:pPr>
              <w:shd w:val="clear" w:color="auto" w:fill="FFFFFF"/>
              <w:rPr>
                <w:rFonts w:ascii="Times New Roman" w:hAnsi="Times New Roman" w:cs="Times New Roman"/>
                <w:sz w:val="20"/>
                <w:szCs w:val="20"/>
              </w:rPr>
            </w:pPr>
          </w:p>
          <w:p w14:paraId="11326450" w14:textId="77777777" w:rsidR="008D5718" w:rsidRPr="000F22A4" w:rsidRDefault="008D5718" w:rsidP="00C10647">
            <w:pPr>
              <w:shd w:val="clear" w:color="auto" w:fill="FFFFFF"/>
              <w:rPr>
                <w:rFonts w:ascii="Times New Roman" w:hAnsi="Times New Roman" w:cs="Times New Roman"/>
                <w:sz w:val="20"/>
                <w:szCs w:val="20"/>
              </w:rPr>
            </w:pPr>
          </w:p>
        </w:tc>
        <w:tc>
          <w:tcPr>
            <w:tcW w:w="1204" w:type="dxa"/>
          </w:tcPr>
          <w:p w14:paraId="07042F13" w14:textId="3BE89523" w:rsidR="008D5718" w:rsidRPr="000F22A4" w:rsidRDefault="008D5718" w:rsidP="001F2086">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4"/>
                <w:sz w:val="20"/>
                <w:szCs w:val="20"/>
              </w:rPr>
              <w:t xml:space="preserve">Yeni tesisler                   </w:t>
            </w:r>
          </w:p>
        </w:tc>
        <w:tc>
          <w:tcPr>
            <w:tcW w:w="1306" w:type="dxa"/>
          </w:tcPr>
          <w:p w14:paraId="553EFBD8" w14:textId="64AE2565" w:rsidR="008D5718" w:rsidRPr="000F22A4" w:rsidRDefault="008D5718"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4"/>
                <w:sz w:val="20"/>
                <w:szCs w:val="20"/>
              </w:rPr>
              <w:t>Mevcut tesisler</w:t>
            </w:r>
          </w:p>
        </w:tc>
        <w:tc>
          <w:tcPr>
            <w:tcW w:w="1301" w:type="dxa"/>
          </w:tcPr>
          <w:p w14:paraId="49921D90" w14:textId="5D00E320" w:rsidR="008D5718" w:rsidRPr="000F22A4" w:rsidRDefault="008D5718" w:rsidP="00C10647">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pacing w:val="-14"/>
                <w:sz w:val="20"/>
                <w:szCs w:val="20"/>
              </w:rPr>
              <w:t xml:space="preserve">Yeni tesisler                   </w:t>
            </w:r>
          </w:p>
        </w:tc>
        <w:tc>
          <w:tcPr>
            <w:tcW w:w="1301" w:type="dxa"/>
          </w:tcPr>
          <w:p w14:paraId="6C5082CE" w14:textId="0616296E" w:rsidR="008D5718" w:rsidRPr="000F22A4" w:rsidRDefault="008D5718" w:rsidP="00C10647">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pacing w:val="-14"/>
                <w:sz w:val="20"/>
                <w:szCs w:val="20"/>
              </w:rPr>
              <w:t>Mevcut tesisler</w:t>
            </w:r>
          </w:p>
        </w:tc>
        <w:tc>
          <w:tcPr>
            <w:tcW w:w="3101" w:type="dxa"/>
          </w:tcPr>
          <w:p w14:paraId="67B703E8" w14:textId="77777777" w:rsidR="008D5718" w:rsidRPr="000F22A4" w:rsidRDefault="008D5718" w:rsidP="00C10647">
            <w:pPr>
              <w:shd w:val="clear" w:color="auto" w:fill="FFFFFF"/>
              <w:rPr>
                <w:rFonts w:ascii="Times New Roman" w:hAnsi="Times New Roman" w:cs="Times New Roman"/>
                <w:sz w:val="20"/>
                <w:szCs w:val="20"/>
              </w:rPr>
            </w:pPr>
          </w:p>
        </w:tc>
      </w:tr>
      <w:tr w:rsidR="00070752" w:rsidRPr="000F22A4" w14:paraId="6251D555" w14:textId="77777777" w:rsidTr="001F2086">
        <w:trPr>
          <w:trHeight w:hRule="exact" w:val="835"/>
        </w:trPr>
        <w:tc>
          <w:tcPr>
            <w:tcW w:w="484" w:type="dxa"/>
            <w:tcBorders>
              <w:bottom w:val="single" w:sz="4" w:space="0" w:color="auto"/>
            </w:tcBorders>
          </w:tcPr>
          <w:p w14:paraId="58FBD26E"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w:t>
            </w:r>
          </w:p>
        </w:tc>
        <w:tc>
          <w:tcPr>
            <w:tcW w:w="3042" w:type="dxa"/>
            <w:tcBorders>
              <w:bottom w:val="single" w:sz="4" w:space="0" w:color="auto"/>
            </w:tcBorders>
          </w:tcPr>
          <w:p w14:paraId="4FC49981"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Kurutmalı web ofset basım</w:t>
            </w:r>
          </w:p>
          <w:p w14:paraId="4441D802"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(&gt;15)</w:t>
            </w:r>
          </w:p>
        </w:tc>
        <w:tc>
          <w:tcPr>
            <w:tcW w:w="1306" w:type="dxa"/>
            <w:tcBorders>
              <w:bottom w:val="single" w:sz="4" w:space="0" w:color="auto"/>
            </w:tcBorders>
          </w:tcPr>
          <w:p w14:paraId="0AB4159D" w14:textId="77777777" w:rsidR="008D5718" w:rsidRDefault="00070752" w:rsidP="008D5718">
            <w:pPr>
              <w:shd w:val="clear" w:color="auto" w:fill="FFFFFF"/>
              <w:rPr>
                <w:rFonts w:ascii="Times New Roman" w:hAnsi="Times New Roman" w:cs="Times New Roman"/>
                <w:color w:val="000000"/>
                <w:spacing w:val="-3"/>
                <w:sz w:val="20"/>
                <w:szCs w:val="20"/>
              </w:rPr>
            </w:pPr>
            <w:r w:rsidRPr="000F22A4">
              <w:rPr>
                <w:rFonts w:ascii="Times New Roman" w:hAnsi="Times New Roman" w:cs="Times New Roman"/>
                <w:color w:val="000000"/>
                <w:spacing w:val="-3"/>
                <w:sz w:val="20"/>
                <w:szCs w:val="20"/>
              </w:rPr>
              <w:t>15—25</w:t>
            </w:r>
          </w:p>
          <w:p w14:paraId="2D089F04" w14:textId="088FAB87" w:rsidR="00070752" w:rsidRPr="000F22A4" w:rsidRDefault="00070752"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&gt;25</w:t>
            </w:r>
          </w:p>
        </w:tc>
        <w:tc>
          <w:tcPr>
            <w:tcW w:w="1400" w:type="dxa"/>
          </w:tcPr>
          <w:p w14:paraId="3EC93192" w14:textId="77777777" w:rsidR="00070752" w:rsidRPr="000F22A4" w:rsidRDefault="00070752"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0"/>
                <w:sz w:val="20"/>
                <w:szCs w:val="20"/>
              </w:rPr>
              <w:t>100</w:t>
            </w:r>
          </w:p>
          <w:p w14:paraId="477F9511" w14:textId="77777777" w:rsidR="00070752" w:rsidRPr="000F22A4" w:rsidRDefault="00070752"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7"/>
                <w:sz w:val="20"/>
                <w:szCs w:val="20"/>
              </w:rPr>
              <w:t>20</w:t>
            </w:r>
          </w:p>
        </w:tc>
        <w:tc>
          <w:tcPr>
            <w:tcW w:w="2510" w:type="dxa"/>
            <w:gridSpan w:val="2"/>
          </w:tcPr>
          <w:p w14:paraId="601E077D" w14:textId="77777777" w:rsidR="008D5718" w:rsidRDefault="00070752" w:rsidP="008D5718">
            <w:pPr>
              <w:shd w:val="clear" w:color="auto" w:fill="FFFFFF"/>
              <w:rPr>
                <w:rFonts w:ascii="Times New Roman" w:hAnsi="Times New Roman" w:cs="Times New Roman"/>
                <w:color w:val="000000"/>
                <w:spacing w:val="-7"/>
                <w:sz w:val="20"/>
                <w:szCs w:val="20"/>
              </w:rPr>
            </w:pPr>
            <w:r w:rsidRPr="000F22A4">
              <w:rPr>
                <w:rFonts w:ascii="Times New Roman" w:hAnsi="Times New Roman" w:cs="Times New Roman"/>
                <w:color w:val="000000"/>
                <w:spacing w:val="-7"/>
                <w:sz w:val="20"/>
                <w:szCs w:val="20"/>
              </w:rPr>
              <w:t>30 (</w:t>
            </w:r>
            <w:r w:rsidRPr="000F22A4">
              <w:rPr>
                <w:rFonts w:ascii="Times New Roman" w:hAnsi="Times New Roman" w:cs="Times New Roman"/>
                <w:color w:val="000000"/>
                <w:spacing w:val="-7"/>
                <w:sz w:val="20"/>
                <w:szCs w:val="20"/>
                <w:vertAlign w:val="superscript"/>
              </w:rPr>
              <w:t>1</w:t>
            </w:r>
            <w:r w:rsidRPr="000F22A4">
              <w:rPr>
                <w:rFonts w:ascii="Times New Roman" w:hAnsi="Times New Roman" w:cs="Times New Roman"/>
                <w:color w:val="000000"/>
                <w:spacing w:val="-7"/>
                <w:sz w:val="20"/>
                <w:szCs w:val="20"/>
              </w:rPr>
              <w:t xml:space="preserve">) </w:t>
            </w:r>
          </w:p>
          <w:p w14:paraId="04867DA7" w14:textId="39ADEB06" w:rsidR="00070752" w:rsidRPr="000F22A4" w:rsidRDefault="00070752"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7"/>
                <w:sz w:val="20"/>
                <w:szCs w:val="20"/>
              </w:rPr>
              <w:t>30 (</w:t>
            </w:r>
            <w:r w:rsidRPr="000F22A4">
              <w:rPr>
                <w:rFonts w:ascii="Times New Roman" w:hAnsi="Times New Roman" w:cs="Times New Roman"/>
                <w:color w:val="000000"/>
                <w:spacing w:val="-7"/>
                <w:sz w:val="20"/>
                <w:szCs w:val="20"/>
                <w:vertAlign w:val="superscript"/>
              </w:rPr>
              <w:t>1</w:t>
            </w:r>
            <w:r w:rsidRPr="000F22A4">
              <w:rPr>
                <w:rFonts w:ascii="Times New Roman" w:hAnsi="Times New Roman" w:cs="Times New Roman"/>
                <w:color w:val="000000"/>
                <w:spacing w:val="-7"/>
                <w:sz w:val="20"/>
                <w:szCs w:val="20"/>
              </w:rPr>
              <w:t>)</w:t>
            </w:r>
          </w:p>
        </w:tc>
        <w:tc>
          <w:tcPr>
            <w:tcW w:w="2602" w:type="dxa"/>
            <w:gridSpan w:val="2"/>
          </w:tcPr>
          <w:p w14:paraId="368F264B" w14:textId="77777777" w:rsidR="00070752" w:rsidRPr="000F22A4" w:rsidRDefault="00070752" w:rsidP="00C10647">
            <w:pPr>
              <w:shd w:val="clear" w:color="auto" w:fill="FFFFFF"/>
              <w:rPr>
                <w:rFonts w:ascii="Times New Roman" w:hAnsi="Times New Roman" w:cs="Times New Roman"/>
                <w:sz w:val="20"/>
                <w:szCs w:val="20"/>
              </w:rPr>
            </w:pPr>
          </w:p>
        </w:tc>
        <w:tc>
          <w:tcPr>
            <w:tcW w:w="3101" w:type="dxa"/>
          </w:tcPr>
          <w:p w14:paraId="2CBCCEAF" w14:textId="77777777" w:rsidR="00070752" w:rsidRPr="000F22A4" w:rsidRDefault="00070752" w:rsidP="001F2086">
            <w:pPr>
              <w:shd w:val="clear" w:color="auto" w:fill="FFFFFF"/>
              <w:ind w:firstLine="5"/>
              <w:jc w:val="both"/>
              <w:rPr>
                <w:rFonts w:ascii="Times New Roman" w:hAnsi="Times New Roman" w:cs="Times New Roman"/>
                <w:sz w:val="20"/>
                <w:szCs w:val="20"/>
              </w:rPr>
            </w:pPr>
            <w:r w:rsidRPr="000F22A4">
              <w:rPr>
                <w:rFonts w:ascii="Times New Roman" w:hAnsi="Times New Roman" w:cs="Times New Roman"/>
                <w:color w:val="000000"/>
                <w:sz w:val="20"/>
                <w:szCs w:val="20"/>
              </w:rPr>
              <w:t>(</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 xml:space="preserve">) Nihai üründeki solvent artığı kaçak </w:t>
            </w:r>
            <w:r w:rsidRPr="003344B6">
              <w:rPr>
                <w:rFonts w:ascii="Times New Roman" w:hAnsi="Times New Roman" w:cs="Times New Roman"/>
                <w:color w:val="000000"/>
                <w:sz w:val="20"/>
                <w:szCs w:val="20"/>
              </w:rPr>
              <w:t>emisyonların parçası kabul edilmeyecektir</w:t>
            </w:r>
            <w:r w:rsidRPr="000F22A4">
              <w:rPr>
                <w:rFonts w:ascii="Times New Roman" w:hAnsi="Times New Roman" w:cs="Times New Roman"/>
                <w:color w:val="000000"/>
                <w:spacing w:val="-1"/>
                <w:sz w:val="20"/>
                <w:szCs w:val="20"/>
              </w:rPr>
              <w:t>.</w:t>
            </w:r>
          </w:p>
        </w:tc>
      </w:tr>
      <w:tr w:rsidR="00070752" w:rsidRPr="000F22A4" w14:paraId="0F0A2498" w14:textId="77777777" w:rsidTr="001F2086">
        <w:trPr>
          <w:trHeight w:hRule="exact" w:val="452"/>
        </w:trPr>
        <w:tc>
          <w:tcPr>
            <w:tcW w:w="484" w:type="dxa"/>
            <w:tcBorders>
              <w:top w:val="single" w:sz="4" w:space="0" w:color="auto"/>
              <w:left w:val="single" w:sz="4" w:space="0" w:color="auto"/>
              <w:bottom w:val="single" w:sz="4" w:space="0" w:color="auto"/>
              <w:right w:val="single" w:sz="4" w:space="0" w:color="auto"/>
            </w:tcBorders>
          </w:tcPr>
          <w:p w14:paraId="7871FBD6"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2</w:t>
            </w:r>
          </w:p>
        </w:tc>
        <w:tc>
          <w:tcPr>
            <w:tcW w:w="3042" w:type="dxa"/>
            <w:tcBorders>
              <w:top w:val="single" w:sz="4" w:space="0" w:color="auto"/>
              <w:left w:val="single" w:sz="4" w:space="0" w:color="auto"/>
              <w:bottom w:val="single" w:sz="4" w:space="0" w:color="auto"/>
              <w:right w:val="single" w:sz="4" w:space="0" w:color="auto"/>
            </w:tcBorders>
          </w:tcPr>
          <w:p w14:paraId="47D73867" w14:textId="62BB1F90" w:rsidR="00070752" w:rsidRPr="000F22A4" w:rsidRDefault="00070752" w:rsidP="008D5718">
            <w:pPr>
              <w:shd w:val="clear" w:color="auto" w:fill="FFFFFF"/>
              <w:ind w:right="1010"/>
              <w:rPr>
                <w:rFonts w:ascii="Times New Roman" w:hAnsi="Times New Roman" w:cs="Times New Roman"/>
                <w:sz w:val="20"/>
                <w:szCs w:val="20"/>
              </w:rPr>
            </w:pPr>
            <w:r w:rsidRPr="000F22A4">
              <w:rPr>
                <w:rFonts w:ascii="Times New Roman" w:hAnsi="Times New Roman" w:cs="Times New Roman"/>
                <w:color w:val="000000"/>
                <w:sz w:val="20"/>
                <w:szCs w:val="20"/>
              </w:rPr>
              <w:t>Tifd</w:t>
            </w:r>
            <w:r w:rsidR="008D5718">
              <w:rPr>
                <w:rFonts w:ascii="Times New Roman" w:hAnsi="Times New Roman" w:cs="Times New Roman"/>
                <w:color w:val="000000"/>
                <w:sz w:val="20"/>
                <w:szCs w:val="20"/>
              </w:rPr>
              <w:t xml:space="preserve">ruk </w:t>
            </w:r>
            <w:r w:rsidRPr="000F22A4">
              <w:rPr>
                <w:rFonts w:ascii="Times New Roman" w:hAnsi="Times New Roman" w:cs="Times New Roman"/>
                <w:color w:val="000000"/>
                <w:sz w:val="20"/>
                <w:szCs w:val="20"/>
              </w:rPr>
              <w:t>(&gt;25)</w:t>
            </w:r>
          </w:p>
        </w:tc>
        <w:tc>
          <w:tcPr>
            <w:tcW w:w="1306" w:type="dxa"/>
            <w:tcBorders>
              <w:top w:val="single" w:sz="4" w:space="0" w:color="auto"/>
              <w:left w:val="single" w:sz="4" w:space="0" w:color="auto"/>
              <w:bottom w:val="single" w:sz="4" w:space="0" w:color="auto"/>
            </w:tcBorders>
          </w:tcPr>
          <w:p w14:paraId="269BA468" w14:textId="77777777" w:rsidR="00070752" w:rsidRPr="000F22A4" w:rsidRDefault="00070752" w:rsidP="00C10647">
            <w:pPr>
              <w:shd w:val="clear" w:color="auto" w:fill="FFFFFF"/>
              <w:rPr>
                <w:rFonts w:ascii="Times New Roman" w:hAnsi="Times New Roman" w:cs="Times New Roman"/>
                <w:sz w:val="20"/>
                <w:szCs w:val="20"/>
              </w:rPr>
            </w:pPr>
          </w:p>
        </w:tc>
        <w:tc>
          <w:tcPr>
            <w:tcW w:w="1400" w:type="dxa"/>
          </w:tcPr>
          <w:p w14:paraId="3BFEED38"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75</w:t>
            </w:r>
          </w:p>
        </w:tc>
        <w:tc>
          <w:tcPr>
            <w:tcW w:w="1204" w:type="dxa"/>
          </w:tcPr>
          <w:p w14:paraId="3DDF431A"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10</w:t>
            </w:r>
          </w:p>
        </w:tc>
        <w:tc>
          <w:tcPr>
            <w:tcW w:w="1306" w:type="dxa"/>
          </w:tcPr>
          <w:p w14:paraId="391E1A68"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15</w:t>
            </w:r>
          </w:p>
        </w:tc>
        <w:tc>
          <w:tcPr>
            <w:tcW w:w="1301" w:type="dxa"/>
          </w:tcPr>
          <w:p w14:paraId="52E7D914" w14:textId="77777777" w:rsidR="00070752" w:rsidRPr="000F22A4" w:rsidRDefault="00070752" w:rsidP="00C10647">
            <w:pPr>
              <w:shd w:val="clear" w:color="auto" w:fill="FFFFFF"/>
              <w:rPr>
                <w:rFonts w:ascii="Times New Roman" w:hAnsi="Times New Roman" w:cs="Times New Roman"/>
                <w:sz w:val="20"/>
                <w:szCs w:val="20"/>
              </w:rPr>
            </w:pPr>
          </w:p>
        </w:tc>
        <w:tc>
          <w:tcPr>
            <w:tcW w:w="1301" w:type="dxa"/>
          </w:tcPr>
          <w:p w14:paraId="237FB12E" w14:textId="77777777" w:rsidR="00070752" w:rsidRPr="000F22A4" w:rsidRDefault="00070752" w:rsidP="00C10647">
            <w:pPr>
              <w:shd w:val="clear" w:color="auto" w:fill="FFFFFF"/>
              <w:rPr>
                <w:rFonts w:ascii="Times New Roman" w:hAnsi="Times New Roman" w:cs="Times New Roman"/>
                <w:sz w:val="20"/>
                <w:szCs w:val="20"/>
              </w:rPr>
            </w:pPr>
          </w:p>
        </w:tc>
        <w:tc>
          <w:tcPr>
            <w:tcW w:w="3101" w:type="dxa"/>
          </w:tcPr>
          <w:p w14:paraId="74BCEE2D" w14:textId="77777777" w:rsidR="00070752" w:rsidRPr="000F22A4" w:rsidRDefault="00070752" w:rsidP="001F2086">
            <w:pPr>
              <w:shd w:val="clear" w:color="auto" w:fill="FFFFFF"/>
              <w:jc w:val="both"/>
              <w:rPr>
                <w:rFonts w:ascii="Times New Roman" w:hAnsi="Times New Roman" w:cs="Times New Roman"/>
                <w:sz w:val="20"/>
                <w:szCs w:val="20"/>
              </w:rPr>
            </w:pPr>
          </w:p>
        </w:tc>
      </w:tr>
      <w:tr w:rsidR="008D5718" w:rsidRPr="000F22A4" w14:paraId="28A5F003" w14:textId="77777777" w:rsidTr="001F2086">
        <w:trPr>
          <w:trHeight w:val="1256"/>
        </w:trPr>
        <w:tc>
          <w:tcPr>
            <w:tcW w:w="484" w:type="dxa"/>
            <w:tcBorders>
              <w:top w:val="single" w:sz="4" w:space="0" w:color="auto"/>
            </w:tcBorders>
          </w:tcPr>
          <w:p w14:paraId="132A9298" w14:textId="77777777" w:rsidR="008D5718" w:rsidRPr="000F22A4" w:rsidRDefault="008D5718"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3</w:t>
            </w:r>
          </w:p>
        </w:tc>
        <w:tc>
          <w:tcPr>
            <w:tcW w:w="3042" w:type="dxa"/>
            <w:tcBorders>
              <w:top w:val="single" w:sz="4" w:space="0" w:color="auto"/>
            </w:tcBorders>
          </w:tcPr>
          <w:p w14:paraId="46610655" w14:textId="41E301D5" w:rsidR="008D5718" w:rsidRPr="000F22A4" w:rsidRDefault="008D5718"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5"/>
                <w:sz w:val="20"/>
                <w:szCs w:val="20"/>
              </w:rPr>
              <w:t>Rotogravür, fleksografi,   döner serigrafi,</w:t>
            </w:r>
            <w:r>
              <w:rPr>
                <w:rFonts w:ascii="Times New Roman" w:hAnsi="Times New Roman" w:cs="Times New Roman"/>
                <w:color w:val="000000"/>
                <w:spacing w:val="-5"/>
                <w:sz w:val="20"/>
                <w:szCs w:val="20"/>
              </w:rPr>
              <w:t xml:space="preserve"> </w:t>
            </w:r>
            <w:r w:rsidRPr="000F22A4">
              <w:rPr>
                <w:rFonts w:ascii="Times New Roman" w:hAnsi="Times New Roman" w:cs="Times New Roman"/>
                <w:color w:val="000000"/>
                <w:spacing w:val="-4"/>
                <w:sz w:val="20"/>
                <w:szCs w:val="20"/>
              </w:rPr>
              <w:t>laminasyon veya cilalama</w:t>
            </w:r>
            <w:r>
              <w:rPr>
                <w:rFonts w:ascii="Times New Roman" w:hAnsi="Times New Roman" w:cs="Times New Roman"/>
                <w:color w:val="000000"/>
                <w:spacing w:val="-4"/>
                <w:sz w:val="20"/>
                <w:szCs w:val="20"/>
              </w:rPr>
              <w:t xml:space="preserve"> </w:t>
            </w:r>
            <w:r w:rsidRPr="000F22A4">
              <w:rPr>
                <w:rFonts w:ascii="Times New Roman" w:hAnsi="Times New Roman" w:cs="Times New Roman"/>
                <w:color w:val="000000"/>
                <w:spacing w:val="-4"/>
                <w:sz w:val="20"/>
                <w:szCs w:val="20"/>
              </w:rPr>
              <w:t>birimleri   (&gt;15)</w:t>
            </w:r>
          </w:p>
          <w:p w14:paraId="63468D9C" w14:textId="3C3BC9D0" w:rsidR="008D5718" w:rsidRPr="000F22A4" w:rsidRDefault="008D5718" w:rsidP="008D5718">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
                <w:sz w:val="20"/>
                <w:szCs w:val="20"/>
              </w:rPr>
              <w:t>Kumaş/karton üzerine döner serigrafi (&gt;</w:t>
            </w:r>
            <w:r w:rsidRPr="000F22A4">
              <w:rPr>
                <w:rFonts w:ascii="Times New Roman" w:hAnsi="Times New Roman" w:cs="Times New Roman"/>
                <w:color w:val="000000"/>
                <w:sz w:val="20"/>
                <w:szCs w:val="20"/>
              </w:rPr>
              <w:t>30)</w:t>
            </w:r>
          </w:p>
        </w:tc>
        <w:tc>
          <w:tcPr>
            <w:tcW w:w="1306" w:type="dxa"/>
            <w:tcBorders>
              <w:top w:val="single" w:sz="4" w:space="0" w:color="auto"/>
            </w:tcBorders>
          </w:tcPr>
          <w:p w14:paraId="22340732" w14:textId="77C52A90" w:rsidR="008D5718" w:rsidRDefault="008D5718" w:rsidP="003344B6">
            <w:pPr>
              <w:shd w:val="clear" w:color="auto" w:fill="FFFFFF"/>
              <w:rPr>
                <w:rFonts w:ascii="Times New Roman" w:hAnsi="Times New Roman" w:cs="Times New Roman"/>
                <w:color w:val="000000"/>
                <w:sz w:val="20"/>
                <w:szCs w:val="20"/>
              </w:rPr>
            </w:pPr>
            <w:r w:rsidRPr="000F22A4">
              <w:rPr>
                <w:rFonts w:ascii="Times New Roman" w:hAnsi="Times New Roman" w:cs="Times New Roman"/>
                <w:color w:val="000000"/>
                <w:sz w:val="20"/>
                <w:szCs w:val="20"/>
              </w:rPr>
              <w:t>15—25</w:t>
            </w:r>
          </w:p>
          <w:p w14:paraId="61FED3D1" w14:textId="77777777" w:rsidR="008D5718" w:rsidRPr="000F22A4" w:rsidRDefault="008D5718" w:rsidP="003344B6">
            <w:pPr>
              <w:shd w:val="clear" w:color="auto" w:fill="FFFFFF"/>
              <w:rPr>
                <w:rFonts w:ascii="Times New Roman" w:hAnsi="Times New Roman" w:cs="Times New Roman"/>
                <w:sz w:val="20"/>
                <w:szCs w:val="20"/>
              </w:rPr>
            </w:pPr>
          </w:p>
          <w:p w14:paraId="4104C269" w14:textId="0810DC5C" w:rsidR="008D5718" w:rsidRDefault="008D5718" w:rsidP="003344B6">
            <w:pPr>
              <w:shd w:val="clear" w:color="auto" w:fill="FFFFFF"/>
              <w:rPr>
                <w:rFonts w:ascii="Times New Roman" w:hAnsi="Times New Roman" w:cs="Times New Roman"/>
                <w:color w:val="000000"/>
                <w:sz w:val="20"/>
                <w:szCs w:val="20"/>
              </w:rPr>
            </w:pPr>
            <w:r w:rsidRPr="000F22A4">
              <w:rPr>
                <w:rFonts w:ascii="Times New Roman" w:hAnsi="Times New Roman" w:cs="Times New Roman"/>
                <w:color w:val="000000"/>
                <w:sz w:val="20"/>
                <w:szCs w:val="20"/>
              </w:rPr>
              <w:t>&gt;25</w:t>
            </w:r>
          </w:p>
          <w:p w14:paraId="09E26A53" w14:textId="77777777" w:rsidR="008D5718" w:rsidRPr="000F22A4" w:rsidRDefault="008D5718" w:rsidP="003344B6">
            <w:pPr>
              <w:shd w:val="clear" w:color="auto" w:fill="FFFFFF"/>
              <w:rPr>
                <w:rFonts w:ascii="Times New Roman" w:hAnsi="Times New Roman" w:cs="Times New Roman"/>
                <w:sz w:val="20"/>
                <w:szCs w:val="20"/>
              </w:rPr>
            </w:pPr>
          </w:p>
          <w:p w14:paraId="24B382F3" w14:textId="6EA3074A" w:rsidR="008D5718" w:rsidRPr="000F22A4" w:rsidRDefault="008D5718" w:rsidP="003344B6">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&gt; 30 (</w:t>
            </w:r>
            <w:r w:rsidRPr="008D5718">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1400" w:type="dxa"/>
          </w:tcPr>
          <w:p w14:paraId="66398928" w14:textId="77777777" w:rsidR="008D5718" w:rsidRPr="000F22A4" w:rsidRDefault="008D5718" w:rsidP="008D5718">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100</w:t>
            </w:r>
          </w:p>
          <w:p w14:paraId="0109D88F" w14:textId="77777777" w:rsidR="008D5718" w:rsidRDefault="008D5718" w:rsidP="008D5718">
            <w:pPr>
              <w:shd w:val="clear" w:color="auto" w:fill="FFFFFF"/>
              <w:jc w:val="center"/>
              <w:rPr>
                <w:rFonts w:ascii="Times New Roman" w:hAnsi="Times New Roman" w:cs="Times New Roman"/>
                <w:color w:val="000000"/>
                <w:spacing w:val="-10"/>
                <w:sz w:val="20"/>
                <w:szCs w:val="20"/>
              </w:rPr>
            </w:pPr>
          </w:p>
          <w:p w14:paraId="50C65168" w14:textId="197A39D8" w:rsidR="008D5718" w:rsidRDefault="008D5718" w:rsidP="008D5718">
            <w:pPr>
              <w:shd w:val="clear" w:color="auto" w:fill="FFFFFF"/>
              <w:jc w:val="center"/>
              <w:rPr>
                <w:rFonts w:ascii="Times New Roman" w:hAnsi="Times New Roman" w:cs="Times New Roman"/>
                <w:color w:val="000000"/>
                <w:spacing w:val="-10"/>
                <w:sz w:val="20"/>
                <w:szCs w:val="20"/>
              </w:rPr>
            </w:pPr>
            <w:r w:rsidRPr="000F22A4">
              <w:rPr>
                <w:rFonts w:ascii="Times New Roman" w:hAnsi="Times New Roman" w:cs="Times New Roman"/>
                <w:color w:val="000000"/>
                <w:spacing w:val="-10"/>
                <w:sz w:val="20"/>
                <w:szCs w:val="20"/>
              </w:rPr>
              <w:t>100</w:t>
            </w:r>
          </w:p>
          <w:p w14:paraId="41939F30" w14:textId="77777777" w:rsidR="008D5718" w:rsidRDefault="008D5718" w:rsidP="008D5718">
            <w:pPr>
              <w:shd w:val="clear" w:color="auto" w:fill="FFFFFF"/>
              <w:jc w:val="center"/>
              <w:rPr>
                <w:rFonts w:ascii="Times New Roman" w:hAnsi="Times New Roman" w:cs="Times New Roman"/>
                <w:color w:val="000000"/>
                <w:spacing w:val="-9"/>
                <w:sz w:val="20"/>
                <w:szCs w:val="20"/>
              </w:rPr>
            </w:pPr>
          </w:p>
          <w:p w14:paraId="15B35FA0" w14:textId="71C58531" w:rsidR="008D5718" w:rsidRPr="000F22A4" w:rsidRDefault="008D5718" w:rsidP="008D5718">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pacing w:val="-9"/>
                <w:sz w:val="20"/>
                <w:szCs w:val="20"/>
              </w:rPr>
              <w:t>100</w:t>
            </w:r>
          </w:p>
        </w:tc>
        <w:tc>
          <w:tcPr>
            <w:tcW w:w="2510" w:type="dxa"/>
            <w:gridSpan w:val="2"/>
          </w:tcPr>
          <w:p w14:paraId="36C9291D" w14:textId="77777777" w:rsidR="008D5718" w:rsidRPr="000F22A4" w:rsidRDefault="008D5718" w:rsidP="003344B6">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25</w:t>
            </w:r>
          </w:p>
          <w:p w14:paraId="0D27CBBE" w14:textId="77777777" w:rsidR="008D5718" w:rsidRDefault="008D5718" w:rsidP="003344B6">
            <w:pPr>
              <w:shd w:val="clear" w:color="auto" w:fill="FFFFFF"/>
              <w:jc w:val="center"/>
              <w:rPr>
                <w:rFonts w:ascii="Times New Roman" w:hAnsi="Times New Roman" w:cs="Times New Roman"/>
                <w:color w:val="000000"/>
                <w:spacing w:val="-7"/>
                <w:sz w:val="20"/>
                <w:szCs w:val="20"/>
              </w:rPr>
            </w:pPr>
          </w:p>
          <w:p w14:paraId="0AE8A122" w14:textId="53375795" w:rsidR="008D5718" w:rsidRDefault="008D5718" w:rsidP="003344B6">
            <w:pPr>
              <w:shd w:val="clear" w:color="auto" w:fill="FFFFFF"/>
              <w:jc w:val="center"/>
              <w:rPr>
                <w:rFonts w:ascii="Times New Roman" w:hAnsi="Times New Roman" w:cs="Times New Roman"/>
                <w:color w:val="000000"/>
                <w:spacing w:val="-7"/>
                <w:sz w:val="20"/>
                <w:szCs w:val="20"/>
              </w:rPr>
            </w:pPr>
            <w:r w:rsidRPr="000F22A4">
              <w:rPr>
                <w:rFonts w:ascii="Times New Roman" w:hAnsi="Times New Roman" w:cs="Times New Roman"/>
                <w:color w:val="000000"/>
                <w:spacing w:val="-7"/>
                <w:sz w:val="20"/>
                <w:szCs w:val="20"/>
              </w:rPr>
              <w:t>20</w:t>
            </w:r>
          </w:p>
          <w:p w14:paraId="42A5BD8C" w14:textId="77777777" w:rsidR="008D5718" w:rsidRDefault="008D5718" w:rsidP="003344B6">
            <w:pPr>
              <w:shd w:val="clear" w:color="auto" w:fill="FFFFFF"/>
              <w:jc w:val="center"/>
              <w:rPr>
                <w:rFonts w:ascii="Times New Roman" w:hAnsi="Times New Roman" w:cs="Times New Roman"/>
                <w:color w:val="000000"/>
                <w:spacing w:val="-8"/>
                <w:sz w:val="20"/>
                <w:szCs w:val="20"/>
              </w:rPr>
            </w:pPr>
          </w:p>
          <w:p w14:paraId="1D682B35" w14:textId="4ABFFEFB" w:rsidR="008D5718" w:rsidRPr="000F22A4" w:rsidRDefault="008D5718" w:rsidP="003344B6">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pacing w:val="-8"/>
                <w:sz w:val="20"/>
                <w:szCs w:val="20"/>
              </w:rPr>
              <w:t>20</w:t>
            </w:r>
          </w:p>
        </w:tc>
        <w:tc>
          <w:tcPr>
            <w:tcW w:w="2602" w:type="dxa"/>
            <w:gridSpan w:val="2"/>
          </w:tcPr>
          <w:p w14:paraId="404E5EEE" w14:textId="77777777" w:rsidR="008D5718" w:rsidRPr="000F22A4" w:rsidRDefault="008D5718" w:rsidP="00C10647">
            <w:pPr>
              <w:shd w:val="clear" w:color="auto" w:fill="FFFFFF"/>
              <w:rPr>
                <w:rFonts w:ascii="Times New Roman" w:hAnsi="Times New Roman" w:cs="Times New Roman"/>
                <w:sz w:val="20"/>
                <w:szCs w:val="20"/>
              </w:rPr>
            </w:pPr>
          </w:p>
        </w:tc>
        <w:tc>
          <w:tcPr>
            <w:tcW w:w="3101" w:type="dxa"/>
          </w:tcPr>
          <w:p w14:paraId="199C9FAA" w14:textId="7DE8A198" w:rsidR="008D5718" w:rsidRPr="000F22A4" w:rsidRDefault="008D5718" w:rsidP="001F2086">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pacing w:val="-12"/>
                <w:sz w:val="20"/>
                <w:szCs w:val="20"/>
              </w:rPr>
              <w:t>(</w:t>
            </w:r>
            <w:r w:rsidRPr="000F22A4">
              <w:rPr>
                <w:rFonts w:ascii="Times New Roman" w:hAnsi="Times New Roman" w:cs="Times New Roman"/>
                <w:color w:val="000000"/>
                <w:spacing w:val="-12"/>
                <w:sz w:val="20"/>
                <w:szCs w:val="20"/>
                <w:vertAlign w:val="superscript"/>
              </w:rPr>
              <w:t>1</w:t>
            </w:r>
            <w:r w:rsidRPr="000F22A4">
              <w:rPr>
                <w:rFonts w:ascii="Times New Roman" w:hAnsi="Times New Roman" w:cs="Times New Roman"/>
                <w:color w:val="000000"/>
                <w:spacing w:val="-12"/>
                <w:sz w:val="20"/>
                <w:szCs w:val="20"/>
              </w:rPr>
              <w:t>)       Kumaş       ve       karton       üzerinde       döner</w:t>
            </w:r>
            <w:r>
              <w:rPr>
                <w:rFonts w:ascii="Times New Roman" w:hAnsi="Times New Roman" w:cs="Times New Roman"/>
                <w:color w:val="000000"/>
                <w:spacing w:val="-12"/>
                <w:sz w:val="20"/>
                <w:szCs w:val="20"/>
              </w:rPr>
              <w:t xml:space="preserve"> </w:t>
            </w:r>
            <w:r w:rsidRPr="000F22A4">
              <w:rPr>
                <w:rFonts w:ascii="Times New Roman" w:hAnsi="Times New Roman" w:cs="Times New Roman"/>
                <w:color w:val="000000"/>
                <w:sz w:val="20"/>
                <w:szCs w:val="20"/>
              </w:rPr>
              <w:t>serigrafi sınırı.</w:t>
            </w:r>
          </w:p>
        </w:tc>
      </w:tr>
      <w:tr w:rsidR="001F2086" w:rsidRPr="000F22A4" w14:paraId="084892FF" w14:textId="77777777" w:rsidTr="001F2086">
        <w:trPr>
          <w:trHeight w:val="986"/>
        </w:trPr>
        <w:tc>
          <w:tcPr>
            <w:tcW w:w="484" w:type="dxa"/>
          </w:tcPr>
          <w:p w14:paraId="233B20B9" w14:textId="77777777" w:rsidR="001F2086" w:rsidRPr="000F22A4" w:rsidRDefault="001F2086"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4</w:t>
            </w:r>
          </w:p>
        </w:tc>
        <w:tc>
          <w:tcPr>
            <w:tcW w:w="3042" w:type="dxa"/>
          </w:tcPr>
          <w:p w14:paraId="21D3DF6D" w14:textId="77777777" w:rsidR="001F2086" w:rsidRPr="000F22A4" w:rsidRDefault="001F2086" w:rsidP="00C10647">
            <w:pPr>
              <w:shd w:val="clear" w:color="auto" w:fill="FFFFFF"/>
              <w:rPr>
                <w:rFonts w:ascii="Times New Roman" w:hAnsi="Times New Roman" w:cs="Times New Roman"/>
                <w:sz w:val="20"/>
                <w:szCs w:val="20"/>
              </w:rPr>
            </w:pPr>
            <w:r>
              <w:rPr>
                <w:rFonts w:ascii="Times New Roman" w:hAnsi="Times New Roman" w:cs="Times New Roman"/>
                <w:color w:val="000000"/>
                <w:spacing w:val="-1"/>
                <w:sz w:val="20"/>
                <w:szCs w:val="20"/>
              </w:rPr>
              <w:t xml:space="preserve">Bu Tebliğ EK-11 Emisyon Kontrolü (4) </w:t>
            </w:r>
            <w:r w:rsidRPr="000F22A4">
              <w:rPr>
                <w:rFonts w:ascii="Times New Roman" w:hAnsi="Times New Roman" w:cs="Times New Roman"/>
                <w:color w:val="000000"/>
                <w:spacing w:val="-1"/>
                <w:sz w:val="20"/>
                <w:szCs w:val="20"/>
              </w:rPr>
              <w:t>hükmünde belirtilen</w:t>
            </w:r>
          </w:p>
          <w:p w14:paraId="57E0079E" w14:textId="77777777" w:rsidR="001F2086" w:rsidRPr="000F22A4" w:rsidRDefault="001F2086"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bileşiklerle yüzey temizleme</w:t>
            </w:r>
          </w:p>
          <w:p w14:paraId="2E631B12" w14:textId="48912A84" w:rsidR="001F2086" w:rsidRPr="000F22A4" w:rsidRDefault="001F2086"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(&gt;1)</w:t>
            </w:r>
          </w:p>
        </w:tc>
        <w:tc>
          <w:tcPr>
            <w:tcW w:w="1306" w:type="dxa"/>
          </w:tcPr>
          <w:p w14:paraId="091FC224" w14:textId="77777777"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1—5</w:t>
            </w:r>
          </w:p>
          <w:p w14:paraId="2B124E6B" w14:textId="2267A4B0"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&gt; 5</w:t>
            </w:r>
          </w:p>
        </w:tc>
        <w:tc>
          <w:tcPr>
            <w:tcW w:w="1400" w:type="dxa"/>
          </w:tcPr>
          <w:p w14:paraId="27F2F94D" w14:textId="77777777"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20 (</w:t>
            </w:r>
            <w:r w:rsidRPr="001F2086">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p w14:paraId="78572048" w14:textId="2F52B572"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20 (</w:t>
            </w:r>
            <w:r w:rsidRPr="001F2086">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2510" w:type="dxa"/>
            <w:gridSpan w:val="2"/>
          </w:tcPr>
          <w:p w14:paraId="48CC1A4F" w14:textId="77777777" w:rsidR="001F2086" w:rsidRPr="000F22A4" w:rsidRDefault="001F2086" w:rsidP="003344B6">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15</w:t>
            </w:r>
          </w:p>
          <w:p w14:paraId="417E59F3" w14:textId="591A1739" w:rsidR="001F2086" w:rsidRPr="000F22A4" w:rsidRDefault="001F2086" w:rsidP="003344B6">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10</w:t>
            </w:r>
          </w:p>
        </w:tc>
        <w:tc>
          <w:tcPr>
            <w:tcW w:w="2602" w:type="dxa"/>
            <w:gridSpan w:val="2"/>
          </w:tcPr>
          <w:p w14:paraId="274D996B" w14:textId="77777777" w:rsidR="001F2086" w:rsidRPr="000F22A4" w:rsidRDefault="001F2086" w:rsidP="00C10647">
            <w:pPr>
              <w:shd w:val="clear" w:color="auto" w:fill="FFFFFF"/>
              <w:rPr>
                <w:rFonts w:ascii="Times New Roman" w:hAnsi="Times New Roman" w:cs="Times New Roman"/>
                <w:sz w:val="20"/>
                <w:szCs w:val="20"/>
              </w:rPr>
            </w:pPr>
          </w:p>
        </w:tc>
        <w:tc>
          <w:tcPr>
            <w:tcW w:w="3101" w:type="dxa"/>
          </w:tcPr>
          <w:p w14:paraId="6703650D" w14:textId="55ED292D" w:rsidR="001F2086" w:rsidRPr="000F22A4" w:rsidRDefault="001F2086" w:rsidP="001F2086">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pacing w:val="-6"/>
                <w:sz w:val="20"/>
                <w:szCs w:val="20"/>
              </w:rPr>
              <w:t>(</w:t>
            </w:r>
            <w:r w:rsidRPr="000F22A4">
              <w:rPr>
                <w:rFonts w:ascii="Times New Roman" w:hAnsi="Times New Roman" w:cs="Times New Roman"/>
                <w:color w:val="000000"/>
                <w:spacing w:val="-6"/>
                <w:sz w:val="20"/>
                <w:szCs w:val="20"/>
                <w:vertAlign w:val="superscript"/>
              </w:rPr>
              <w:t>1</w:t>
            </w:r>
            <w:r w:rsidRPr="000F22A4">
              <w:rPr>
                <w:rFonts w:ascii="Times New Roman" w:hAnsi="Times New Roman" w:cs="Times New Roman"/>
                <w:color w:val="000000"/>
                <w:spacing w:val="-6"/>
                <w:sz w:val="20"/>
                <w:szCs w:val="20"/>
              </w:rPr>
              <w:t>)   Sınır   değeri   toplam   karbon   anlamında</w:t>
            </w:r>
            <w:r>
              <w:rPr>
                <w:rFonts w:ascii="Times New Roman" w:hAnsi="Times New Roman" w:cs="Times New Roman"/>
                <w:sz w:val="20"/>
                <w:szCs w:val="20"/>
              </w:rPr>
              <w:t xml:space="preserve"> </w:t>
            </w:r>
            <w:r w:rsidRPr="000F22A4">
              <w:rPr>
                <w:rFonts w:ascii="Times New Roman" w:hAnsi="Times New Roman" w:cs="Times New Roman"/>
                <w:color w:val="000000"/>
                <w:spacing w:val="-12"/>
                <w:sz w:val="20"/>
                <w:szCs w:val="20"/>
              </w:rPr>
              <w:t xml:space="preserve">değil, </w:t>
            </w:r>
            <w:r>
              <w:rPr>
                <w:rFonts w:ascii="Times New Roman" w:hAnsi="Times New Roman" w:cs="Times New Roman"/>
                <w:color w:val="000000"/>
                <w:spacing w:val="-12"/>
                <w:sz w:val="20"/>
                <w:szCs w:val="20"/>
              </w:rPr>
              <w:t xml:space="preserve"> </w:t>
            </w:r>
            <w:r w:rsidRPr="000F22A4">
              <w:rPr>
                <w:rFonts w:ascii="Times New Roman" w:hAnsi="Times New Roman" w:cs="Times New Roman"/>
                <w:color w:val="000000"/>
                <w:spacing w:val="-12"/>
                <w:sz w:val="20"/>
                <w:szCs w:val="20"/>
              </w:rPr>
              <w:t>bileşiklerin  mg/Nm</w:t>
            </w:r>
            <w:r w:rsidRPr="000F22A4">
              <w:rPr>
                <w:rFonts w:ascii="Times New Roman" w:hAnsi="Times New Roman" w:cs="Times New Roman"/>
                <w:color w:val="000000"/>
                <w:spacing w:val="-12"/>
                <w:sz w:val="20"/>
                <w:szCs w:val="20"/>
                <w:vertAlign w:val="superscript"/>
              </w:rPr>
              <w:t>3</w:t>
            </w:r>
            <w:r w:rsidRPr="000F22A4">
              <w:rPr>
                <w:rFonts w:ascii="Times New Roman" w:hAnsi="Times New Roman" w:cs="Times New Roman"/>
                <w:color w:val="000000"/>
                <w:spacing w:val="-12"/>
                <w:sz w:val="20"/>
                <w:szCs w:val="20"/>
              </w:rPr>
              <w:t xml:space="preserve">       kütle        değeri</w:t>
            </w:r>
            <w:r>
              <w:rPr>
                <w:rFonts w:ascii="Times New Roman" w:hAnsi="Times New Roman" w:cs="Times New Roman"/>
                <w:color w:val="000000"/>
                <w:spacing w:val="-12"/>
                <w:sz w:val="20"/>
                <w:szCs w:val="20"/>
              </w:rPr>
              <w:t xml:space="preserve"> </w:t>
            </w:r>
            <w:r w:rsidRPr="000F22A4">
              <w:rPr>
                <w:rFonts w:ascii="Times New Roman" w:hAnsi="Times New Roman" w:cs="Times New Roman"/>
                <w:color w:val="000000"/>
                <w:sz w:val="20"/>
                <w:szCs w:val="20"/>
              </w:rPr>
              <w:t>anlamındadır.</w:t>
            </w:r>
          </w:p>
        </w:tc>
      </w:tr>
      <w:tr w:rsidR="001F2086" w:rsidRPr="000F22A4" w14:paraId="7D72FD63" w14:textId="77777777" w:rsidTr="001F2086">
        <w:trPr>
          <w:trHeight w:val="1283"/>
        </w:trPr>
        <w:tc>
          <w:tcPr>
            <w:tcW w:w="484" w:type="dxa"/>
          </w:tcPr>
          <w:p w14:paraId="07D9966D" w14:textId="77777777" w:rsidR="001F2086" w:rsidRPr="000F22A4" w:rsidRDefault="001F2086"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5</w:t>
            </w:r>
          </w:p>
        </w:tc>
        <w:tc>
          <w:tcPr>
            <w:tcW w:w="3042" w:type="dxa"/>
          </w:tcPr>
          <w:p w14:paraId="1FAD76FC" w14:textId="77777777" w:rsidR="001F2086" w:rsidRPr="000F22A4" w:rsidRDefault="001F2086"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Diğer yüzey</w:t>
            </w:r>
          </w:p>
          <w:p w14:paraId="20C105BA" w14:textId="77777777" w:rsidR="001F2086" w:rsidRPr="000F22A4" w:rsidRDefault="001F2086"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temizleme(&gt;2)</w:t>
            </w:r>
          </w:p>
          <w:p w14:paraId="28056493" w14:textId="77777777" w:rsidR="001F2086" w:rsidRPr="000F22A4" w:rsidRDefault="001F2086" w:rsidP="00C10647">
            <w:pPr>
              <w:shd w:val="clear" w:color="auto" w:fill="FFFFFF"/>
              <w:rPr>
                <w:rFonts w:ascii="Times New Roman" w:hAnsi="Times New Roman" w:cs="Times New Roman"/>
                <w:sz w:val="20"/>
                <w:szCs w:val="20"/>
              </w:rPr>
            </w:pPr>
          </w:p>
          <w:p w14:paraId="416C837A" w14:textId="5CBA61D5" w:rsidR="001F2086" w:rsidRPr="000F22A4" w:rsidRDefault="001F2086" w:rsidP="00C10647">
            <w:pPr>
              <w:shd w:val="clear" w:color="auto" w:fill="FFFFFF"/>
              <w:rPr>
                <w:rFonts w:ascii="Times New Roman" w:hAnsi="Times New Roman" w:cs="Times New Roman"/>
                <w:sz w:val="20"/>
                <w:szCs w:val="20"/>
              </w:rPr>
            </w:pPr>
          </w:p>
        </w:tc>
        <w:tc>
          <w:tcPr>
            <w:tcW w:w="1306" w:type="dxa"/>
          </w:tcPr>
          <w:p w14:paraId="3FBDF504" w14:textId="77777777"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2—10</w:t>
            </w:r>
          </w:p>
          <w:p w14:paraId="7AFCBBC7" w14:textId="756D72B7"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&gt; 10</w:t>
            </w:r>
          </w:p>
        </w:tc>
        <w:tc>
          <w:tcPr>
            <w:tcW w:w="1400" w:type="dxa"/>
          </w:tcPr>
          <w:p w14:paraId="62FA7166" w14:textId="77777777"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75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p w14:paraId="4CBCC70A" w14:textId="3CDD3F1B" w:rsidR="001F2086" w:rsidRPr="000F22A4" w:rsidRDefault="001F2086"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75 (</w:t>
            </w:r>
            <w:r w:rsidRPr="001F2086">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2510" w:type="dxa"/>
            <w:gridSpan w:val="2"/>
          </w:tcPr>
          <w:p w14:paraId="60C39561" w14:textId="77777777" w:rsidR="001F2086" w:rsidRPr="000F22A4" w:rsidRDefault="001F2086" w:rsidP="003344B6">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20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p w14:paraId="012CAD51" w14:textId="4A4692C3" w:rsidR="001F2086" w:rsidRPr="000F22A4" w:rsidRDefault="001F2086" w:rsidP="003344B6">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15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2602" w:type="dxa"/>
            <w:gridSpan w:val="2"/>
          </w:tcPr>
          <w:p w14:paraId="2A01B85F" w14:textId="77777777" w:rsidR="001F2086" w:rsidRPr="000F22A4" w:rsidRDefault="001F2086" w:rsidP="00C10647">
            <w:pPr>
              <w:shd w:val="clear" w:color="auto" w:fill="FFFFFF"/>
              <w:rPr>
                <w:rFonts w:ascii="Times New Roman" w:hAnsi="Times New Roman" w:cs="Times New Roman"/>
                <w:sz w:val="20"/>
                <w:szCs w:val="20"/>
              </w:rPr>
            </w:pPr>
          </w:p>
        </w:tc>
        <w:tc>
          <w:tcPr>
            <w:tcW w:w="3101" w:type="dxa"/>
          </w:tcPr>
          <w:p w14:paraId="1F0AD3FB" w14:textId="5CA62B59" w:rsidR="001F2086" w:rsidRPr="000F22A4" w:rsidRDefault="001F2086" w:rsidP="001F2086">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pacing w:val="-10"/>
                <w:sz w:val="20"/>
                <w:szCs w:val="20"/>
              </w:rPr>
              <w:t>(</w:t>
            </w:r>
            <w:r w:rsidRPr="000F22A4">
              <w:rPr>
                <w:rFonts w:ascii="Times New Roman" w:hAnsi="Times New Roman" w:cs="Times New Roman"/>
                <w:color w:val="000000"/>
                <w:spacing w:val="-10"/>
                <w:sz w:val="20"/>
                <w:szCs w:val="20"/>
                <w:vertAlign w:val="superscript"/>
              </w:rPr>
              <w:t>1</w:t>
            </w:r>
            <w:r w:rsidRPr="000F22A4">
              <w:rPr>
                <w:rFonts w:ascii="Times New Roman" w:hAnsi="Times New Roman" w:cs="Times New Roman"/>
                <w:color w:val="000000"/>
                <w:spacing w:val="-10"/>
                <w:sz w:val="20"/>
                <w:szCs w:val="20"/>
              </w:rPr>
              <w:t xml:space="preserve">) </w:t>
            </w:r>
            <w:r>
              <w:rPr>
                <w:rFonts w:ascii="Times New Roman" w:hAnsi="Times New Roman" w:cs="Times New Roman"/>
                <w:color w:val="000000"/>
                <w:spacing w:val="-10"/>
                <w:sz w:val="20"/>
                <w:szCs w:val="20"/>
              </w:rPr>
              <w:t xml:space="preserve"> </w:t>
            </w:r>
            <w:r w:rsidRPr="000F22A4">
              <w:rPr>
                <w:rFonts w:ascii="Times New Roman" w:hAnsi="Times New Roman" w:cs="Times New Roman"/>
                <w:color w:val="000000"/>
                <w:spacing w:val="-10"/>
                <w:sz w:val="20"/>
                <w:szCs w:val="20"/>
              </w:rPr>
              <w:t>Kullanılan</w:t>
            </w:r>
            <w:r>
              <w:rPr>
                <w:rFonts w:ascii="Times New Roman" w:hAnsi="Times New Roman" w:cs="Times New Roman"/>
                <w:color w:val="000000"/>
                <w:spacing w:val="-10"/>
                <w:sz w:val="20"/>
                <w:szCs w:val="20"/>
              </w:rPr>
              <w:t xml:space="preserve"> </w:t>
            </w:r>
            <w:r w:rsidRPr="000F22A4">
              <w:rPr>
                <w:rFonts w:ascii="Times New Roman" w:hAnsi="Times New Roman" w:cs="Times New Roman"/>
                <w:color w:val="000000"/>
                <w:spacing w:val="-10"/>
                <w:sz w:val="20"/>
                <w:szCs w:val="20"/>
              </w:rPr>
              <w:t>temizlik</w:t>
            </w:r>
            <w:r>
              <w:rPr>
                <w:rFonts w:ascii="Times New Roman" w:hAnsi="Times New Roman" w:cs="Times New Roman"/>
                <w:color w:val="000000"/>
                <w:spacing w:val="-10"/>
                <w:sz w:val="20"/>
                <w:szCs w:val="20"/>
              </w:rPr>
              <w:t xml:space="preserve"> </w:t>
            </w:r>
            <w:r w:rsidRPr="000F22A4">
              <w:rPr>
                <w:rFonts w:ascii="Times New Roman" w:hAnsi="Times New Roman" w:cs="Times New Roman"/>
                <w:color w:val="000000"/>
                <w:spacing w:val="-10"/>
                <w:sz w:val="20"/>
                <w:szCs w:val="20"/>
              </w:rPr>
              <w:t>maddelerinin</w:t>
            </w:r>
            <w:r>
              <w:rPr>
                <w:rFonts w:ascii="Times New Roman" w:hAnsi="Times New Roman" w:cs="Times New Roman"/>
                <w:color w:val="000000"/>
                <w:spacing w:val="-10"/>
                <w:sz w:val="20"/>
                <w:szCs w:val="20"/>
              </w:rPr>
              <w:t xml:space="preserve"> </w:t>
            </w:r>
            <w:r w:rsidRPr="000F22A4">
              <w:rPr>
                <w:rFonts w:ascii="Times New Roman" w:hAnsi="Times New Roman" w:cs="Times New Roman"/>
                <w:color w:val="000000"/>
                <w:spacing w:val="-5"/>
                <w:sz w:val="20"/>
                <w:szCs w:val="20"/>
              </w:rPr>
              <w:t xml:space="preserve">ortalama   organik </w:t>
            </w:r>
            <w:r>
              <w:rPr>
                <w:rFonts w:ascii="Times New Roman" w:hAnsi="Times New Roman" w:cs="Times New Roman"/>
                <w:color w:val="000000"/>
                <w:spacing w:val="-5"/>
                <w:sz w:val="20"/>
                <w:szCs w:val="20"/>
              </w:rPr>
              <w:t xml:space="preserve"> s</w:t>
            </w:r>
            <w:r w:rsidRPr="000F22A4">
              <w:rPr>
                <w:rFonts w:ascii="Times New Roman" w:hAnsi="Times New Roman" w:cs="Times New Roman"/>
                <w:color w:val="000000"/>
                <w:spacing w:val="-5"/>
                <w:sz w:val="20"/>
                <w:szCs w:val="20"/>
              </w:rPr>
              <w:t>olvent   içeriğinin   ağırlık</w:t>
            </w:r>
            <w:r>
              <w:rPr>
                <w:rFonts w:ascii="Times New Roman" w:hAnsi="Times New Roman" w:cs="Times New Roman"/>
                <w:color w:val="000000"/>
                <w:spacing w:val="-5"/>
                <w:sz w:val="20"/>
                <w:szCs w:val="20"/>
              </w:rPr>
              <w:t xml:space="preserve"> </w:t>
            </w:r>
            <w:r w:rsidRPr="000F22A4">
              <w:rPr>
                <w:rFonts w:ascii="Times New Roman" w:hAnsi="Times New Roman" w:cs="Times New Roman"/>
                <w:color w:val="000000"/>
                <w:spacing w:val="-6"/>
                <w:sz w:val="20"/>
                <w:szCs w:val="20"/>
              </w:rPr>
              <w:t>olarak  % 30’u   aşmadığını</w:t>
            </w:r>
            <w:r>
              <w:rPr>
                <w:rFonts w:ascii="Times New Roman" w:hAnsi="Times New Roman" w:cs="Times New Roman"/>
                <w:color w:val="000000"/>
                <w:spacing w:val="-6"/>
                <w:sz w:val="20"/>
                <w:szCs w:val="20"/>
              </w:rPr>
              <w:t xml:space="preserve"> Bakanlığa </w:t>
            </w:r>
            <w:r w:rsidRPr="000F22A4">
              <w:rPr>
                <w:rFonts w:ascii="Times New Roman" w:hAnsi="Times New Roman" w:cs="Times New Roman"/>
                <w:color w:val="000000"/>
                <w:sz w:val="20"/>
                <w:szCs w:val="20"/>
              </w:rPr>
              <w:t>kanıtlayan tesisler bu</w:t>
            </w:r>
            <w:r>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değerleri uygulamaktan muaftırlar.</w:t>
            </w:r>
          </w:p>
        </w:tc>
      </w:tr>
      <w:tr w:rsidR="00070752" w:rsidRPr="000F22A4" w14:paraId="2D7367F3" w14:textId="77777777" w:rsidTr="001F2086">
        <w:trPr>
          <w:trHeight w:hRule="exact" w:val="993"/>
        </w:trPr>
        <w:tc>
          <w:tcPr>
            <w:tcW w:w="484" w:type="dxa"/>
          </w:tcPr>
          <w:p w14:paraId="605CF933"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6</w:t>
            </w:r>
          </w:p>
        </w:tc>
        <w:tc>
          <w:tcPr>
            <w:tcW w:w="3042" w:type="dxa"/>
          </w:tcPr>
          <w:p w14:paraId="69D0F131"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3"/>
                <w:sz w:val="20"/>
                <w:szCs w:val="20"/>
              </w:rPr>
              <w:t>Araç kaplama (&lt; 15) ve araç tesviye</w:t>
            </w:r>
          </w:p>
        </w:tc>
        <w:tc>
          <w:tcPr>
            <w:tcW w:w="1306" w:type="dxa"/>
          </w:tcPr>
          <w:p w14:paraId="0FC1D293"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pacing w:val="21"/>
                <w:sz w:val="20"/>
                <w:szCs w:val="20"/>
              </w:rPr>
              <w:t>&gt;0,5</w:t>
            </w:r>
          </w:p>
        </w:tc>
        <w:tc>
          <w:tcPr>
            <w:tcW w:w="1400" w:type="dxa"/>
          </w:tcPr>
          <w:p w14:paraId="19B808DA"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50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2510" w:type="dxa"/>
            <w:gridSpan w:val="2"/>
          </w:tcPr>
          <w:p w14:paraId="4438568E"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25</w:t>
            </w:r>
          </w:p>
        </w:tc>
        <w:tc>
          <w:tcPr>
            <w:tcW w:w="2602" w:type="dxa"/>
            <w:gridSpan w:val="2"/>
          </w:tcPr>
          <w:p w14:paraId="405D6ABD" w14:textId="77777777" w:rsidR="00070752" w:rsidRPr="000F22A4" w:rsidRDefault="00070752" w:rsidP="00C10647">
            <w:pPr>
              <w:shd w:val="clear" w:color="auto" w:fill="FFFFFF"/>
              <w:rPr>
                <w:rFonts w:ascii="Times New Roman" w:hAnsi="Times New Roman" w:cs="Times New Roman"/>
                <w:sz w:val="20"/>
                <w:szCs w:val="20"/>
              </w:rPr>
            </w:pPr>
          </w:p>
        </w:tc>
        <w:tc>
          <w:tcPr>
            <w:tcW w:w="3101" w:type="dxa"/>
          </w:tcPr>
          <w:p w14:paraId="5AD4B6BD" w14:textId="7CFF1BDB" w:rsidR="00070752" w:rsidRPr="000F22A4" w:rsidRDefault="00070752" w:rsidP="001F2086">
            <w:pPr>
              <w:shd w:val="clear" w:color="auto" w:fill="FFFFFF"/>
              <w:ind w:firstLine="5"/>
              <w:jc w:val="both"/>
              <w:rPr>
                <w:rFonts w:ascii="Times New Roman" w:hAnsi="Times New Roman" w:cs="Times New Roman"/>
                <w:sz w:val="20"/>
                <w:szCs w:val="20"/>
              </w:rPr>
            </w:pPr>
            <w:r w:rsidRPr="000F22A4">
              <w:rPr>
                <w:rFonts w:ascii="Times New Roman" w:hAnsi="Times New Roman" w:cs="Times New Roman"/>
                <w:color w:val="000000"/>
                <w:sz w:val="20"/>
                <w:szCs w:val="20"/>
              </w:rPr>
              <w:t>(</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 xml:space="preserve">) </w:t>
            </w:r>
            <w:r w:rsidR="00BD3D64">
              <w:rPr>
                <w:rFonts w:ascii="Times New Roman" w:hAnsi="Times New Roman" w:cs="Times New Roman"/>
                <w:color w:val="000000"/>
                <w:sz w:val="20"/>
                <w:szCs w:val="20"/>
              </w:rPr>
              <w:t>Bölüm G</w:t>
            </w:r>
            <w:r w:rsidRPr="000F22A4">
              <w:rPr>
                <w:rFonts w:ascii="Times New Roman" w:hAnsi="Times New Roman" w:cs="Times New Roman"/>
                <w:color w:val="000000"/>
                <w:sz w:val="20"/>
                <w:szCs w:val="20"/>
              </w:rPr>
              <w:t xml:space="preserve"> 2</w:t>
            </w:r>
            <w:r w:rsidR="001F2086">
              <w:rPr>
                <w:rFonts w:ascii="Times New Roman" w:hAnsi="Times New Roman" w:cs="Times New Roman"/>
                <w:color w:val="000000"/>
                <w:sz w:val="20"/>
                <w:szCs w:val="20"/>
              </w:rPr>
              <w:t xml:space="preserve">nci </w:t>
            </w:r>
            <w:r w:rsidR="00BD3D64">
              <w:rPr>
                <w:rFonts w:ascii="Times New Roman" w:hAnsi="Times New Roman" w:cs="Times New Roman"/>
                <w:color w:val="000000"/>
                <w:sz w:val="20"/>
                <w:szCs w:val="20"/>
              </w:rPr>
              <w:t>madde</w:t>
            </w:r>
            <w:r w:rsidRPr="000F22A4">
              <w:rPr>
                <w:rFonts w:ascii="Times New Roman" w:hAnsi="Times New Roman" w:cs="Times New Roman"/>
                <w:color w:val="000000"/>
                <w:sz w:val="20"/>
                <w:szCs w:val="20"/>
              </w:rPr>
              <w:t>ye uyumluluk 15 dakikalık ortalama ölçümleriyle ortaya konacaktır.</w:t>
            </w:r>
          </w:p>
        </w:tc>
      </w:tr>
      <w:tr w:rsidR="00070752" w:rsidRPr="000F22A4" w14:paraId="6674E24B" w14:textId="77777777" w:rsidTr="001F2086">
        <w:trPr>
          <w:trHeight w:hRule="exact" w:val="1291"/>
        </w:trPr>
        <w:tc>
          <w:tcPr>
            <w:tcW w:w="484" w:type="dxa"/>
          </w:tcPr>
          <w:p w14:paraId="3F678F59"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7</w:t>
            </w:r>
          </w:p>
        </w:tc>
        <w:tc>
          <w:tcPr>
            <w:tcW w:w="3042" w:type="dxa"/>
          </w:tcPr>
          <w:p w14:paraId="02F31A69" w14:textId="449D38DD" w:rsidR="00070752" w:rsidRPr="000F22A4" w:rsidRDefault="00070752" w:rsidP="001F2086">
            <w:pPr>
              <w:shd w:val="clear" w:color="auto" w:fill="FFFFFF"/>
              <w:ind w:right="585"/>
              <w:rPr>
                <w:rFonts w:ascii="Times New Roman" w:hAnsi="Times New Roman" w:cs="Times New Roman"/>
                <w:sz w:val="20"/>
                <w:szCs w:val="20"/>
              </w:rPr>
            </w:pPr>
            <w:r w:rsidRPr="000F22A4">
              <w:rPr>
                <w:rFonts w:ascii="Times New Roman" w:hAnsi="Times New Roman" w:cs="Times New Roman"/>
                <w:color w:val="000000"/>
                <w:sz w:val="20"/>
                <w:szCs w:val="20"/>
              </w:rPr>
              <w:t>Bobi</w:t>
            </w:r>
            <w:r w:rsidR="001F2086">
              <w:rPr>
                <w:rFonts w:ascii="Times New Roman" w:hAnsi="Times New Roman" w:cs="Times New Roman"/>
                <w:color w:val="000000"/>
                <w:sz w:val="20"/>
                <w:szCs w:val="20"/>
              </w:rPr>
              <w:t>n k</w:t>
            </w:r>
            <w:r w:rsidRPr="000F22A4">
              <w:rPr>
                <w:rFonts w:ascii="Times New Roman" w:hAnsi="Times New Roman" w:cs="Times New Roman"/>
                <w:color w:val="000000"/>
                <w:sz w:val="20"/>
                <w:szCs w:val="20"/>
              </w:rPr>
              <w:t>aplama (&gt;25)</w:t>
            </w:r>
          </w:p>
        </w:tc>
        <w:tc>
          <w:tcPr>
            <w:tcW w:w="1306" w:type="dxa"/>
          </w:tcPr>
          <w:p w14:paraId="4348CFCA" w14:textId="77777777" w:rsidR="00070752" w:rsidRPr="000F22A4" w:rsidRDefault="00070752" w:rsidP="00C10647">
            <w:pPr>
              <w:shd w:val="clear" w:color="auto" w:fill="FFFFFF"/>
              <w:rPr>
                <w:rFonts w:ascii="Times New Roman" w:hAnsi="Times New Roman" w:cs="Times New Roman"/>
                <w:sz w:val="20"/>
                <w:szCs w:val="20"/>
              </w:rPr>
            </w:pPr>
          </w:p>
        </w:tc>
        <w:tc>
          <w:tcPr>
            <w:tcW w:w="1400" w:type="dxa"/>
          </w:tcPr>
          <w:p w14:paraId="5B584137"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50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1204" w:type="dxa"/>
          </w:tcPr>
          <w:p w14:paraId="63CABABD"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5</w:t>
            </w:r>
          </w:p>
        </w:tc>
        <w:tc>
          <w:tcPr>
            <w:tcW w:w="1306" w:type="dxa"/>
          </w:tcPr>
          <w:p w14:paraId="736AC3BE"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10</w:t>
            </w:r>
          </w:p>
        </w:tc>
        <w:tc>
          <w:tcPr>
            <w:tcW w:w="2602" w:type="dxa"/>
            <w:gridSpan w:val="2"/>
          </w:tcPr>
          <w:p w14:paraId="61E43D1E" w14:textId="77777777" w:rsidR="00070752" w:rsidRPr="000F22A4" w:rsidRDefault="00070752" w:rsidP="00C10647">
            <w:pPr>
              <w:shd w:val="clear" w:color="auto" w:fill="FFFFFF"/>
              <w:rPr>
                <w:rFonts w:ascii="Times New Roman" w:hAnsi="Times New Roman" w:cs="Times New Roman"/>
                <w:sz w:val="20"/>
                <w:szCs w:val="20"/>
              </w:rPr>
            </w:pPr>
          </w:p>
        </w:tc>
        <w:tc>
          <w:tcPr>
            <w:tcW w:w="3101" w:type="dxa"/>
          </w:tcPr>
          <w:p w14:paraId="0C0993B9" w14:textId="77777777" w:rsidR="00070752" w:rsidRPr="000F22A4" w:rsidRDefault="00070752" w:rsidP="00C10647">
            <w:pPr>
              <w:shd w:val="clear" w:color="auto" w:fill="FFFFFF"/>
              <w:ind w:firstLine="5"/>
              <w:jc w:val="both"/>
              <w:rPr>
                <w:rFonts w:ascii="Times New Roman" w:hAnsi="Times New Roman" w:cs="Times New Roman"/>
                <w:sz w:val="20"/>
                <w:szCs w:val="20"/>
              </w:rPr>
            </w:pPr>
            <w:r w:rsidRPr="000F22A4">
              <w:rPr>
                <w:rFonts w:ascii="Times New Roman" w:hAnsi="Times New Roman" w:cs="Times New Roman"/>
                <w:color w:val="000000"/>
                <w:sz w:val="20"/>
                <w:szCs w:val="20"/>
              </w:rPr>
              <w:t>(</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 Yeniden kazanılmış solventleri tekrar kullanmayı olası kılan tekniklere sahip tesislerde emisyon sınır değeri 150 olacaktır.</w:t>
            </w:r>
          </w:p>
        </w:tc>
      </w:tr>
    </w:tbl>
    <w:p w14:paraId="2D1A3907" w14:textId="77777777" w:rsidR="00070752" w:rsidRPr="002E5F0F" w:rsidRDefault="00070752" w:rsidP="00070752">
      <w:pPr>
        <w:spacing w:line="240" w:lineRule="auto"/>
        <w:rPr>
          <w:rFonts w:ascii="Times New Roman" w:hAnsi="Times New Roman" w:cs="Times New Roman"/>
          <w:sz w:val="24"/>
          <w:szCs w:val="24"/>
        </w:rPr>
        <w:sectPr w:rsidR="00070752" w:rsidRPr="002E5F0F" w:rsidSect="00070752">
          <w:pgSz w:w="16834" w:h="11909" w:orient="landscape"/>
          <w:pgMar w:top="1440" w:right="1196" w:bottom="720" w:left="1196" w:header="708" w:footer="708" w:gutter="0"/>
          <w:cols w:space="60"/>
          <w:noEndnote/>
        </w:sectPr>
      </w:pPr>
    </w:p>
    <w:p w14:paraId="620A9CF4" w14:textId="77777777" w:rsidR="00070752" w:rsidRPr="002E5F0F" w:rsidRDefault="00070752" w:rsidP="00070752">
      <w:pPr>
        <w:shd w:val="clear" w:color="auto" w:fill="FFFFFF"/>
        <w:spacing w:line="240" w:lineRule="auto"/>
        <w:rPr>
          <w:rFonts w:ascii="Times New Roman" w:hAnsi="Times New Roman" w:cs="Times New Roman"/>
          <w:sz w:val="24"/>
          <w:szCs w:val="24"/>
        </w:rPr>
        <w:sectPr w:rsidR="00070752" w:rsidRPr="002E5F0F">
          <w:pgSz w:w="16834" w:h="11909" w:orient="landscape"/>
          <w:pgMar w:top="1440" w:right="6248" w:bottom="720" w:left="1226" w:header="708" w:footer="708" w:gutter="0"/>
          <w:cols w:num="3" w:space="708" w:equalWidth="0">
            <w:col w:w="1996" w:space="1603"/>
            <w:col w:w="2462" w:space="2573"/>
            <w:col w:w="724"/>
          </w:cols>
          <w:noEndnote/>
        </w:sectPr>
      </w:pPr>
    </w:p>
    <w:tbl>
      <w:tblPr>
        <w:tblStyle w:val="TabloKlavuzu15"/>
        <w:tblW w:w="14449" w:type="dxa"/>
        <w:tblLayout w:type="fixed"/>
        <w:tblLook w:val="0000" w:firstRow="0" w:lastRow="0" w:firstColumn="0" w:lastColumn="0" w:noHBand="0" w:noVBand="0"/>
      </w:tblPr>
      <w:tblGrid>
        <w:gridCol w:w="485"/>
        <w:gridCol w:w="3043"/>
        <w:gridCol w:w="1306"/>
        <w:gridCol w:w="1398"/>
        <w:gridCol w:w="1254"/>
        <w:gridCol w:w="1255"/>
        <w:gridCol w:w="1301"/>
        <w:gridCol w:w="1301"/>
        <w:gridCol w:w="3106"/>
      </w:tblGrid>
      <w:tr w:rsidR="00070752" w:rsidRPr="006C29B9" w14:paraId="2BE1593D" w14:textId="77777777" w:rsidTr="00CA067F">
        <w:trPr>
          <w:trHeight w:hRule="exact" w:val="1279"/>
        </w:trPr>
        <w:tc>
          <w:tcPr>
            <w:tcW w:w="485" w:type="dxa"/>
          </w:tcPr>
          <w:p w14:paraId="4C342D8F" w14:textId="77777777" w:rsidR="00070752" w:rsidRPr="006C29B9" w:rsidRDefault="00070752" w:rsidP="00C10647">
            <w:pPr>
              <w:shd w:val="clear" w:color="auto" w:fill="FFFFFF"/>
              <w:rPr>
                <w:rFonts w:ascii="Times New Roman" w:hAnsi="Times New Roman" w:cs="Times New Roman"/>
                <w:sz w:val="20"/>
                <w:szCs w:val="20"/>
              </w:rPr>
            </w:pPr>
          </w:p>
        </w:tc>
        <w:tc>
          <w:tcPr>
            <w:tcW w:w="3043" w:type="dxa"/>
          </w:tcPr>
          <w:p w14:paraId="08C49687" w14:textId="77777777" w:rsidR="00070752" w:rsidRPr="001F2086" w:rsidRDefault="00070752" w:rsidP="00C10647">
            <w:pPr>
              <w:shd w:val="clear" w:color="auto" w:fill="FFFFFF"/>
              <w:jc w:val="center"/>
              <w:rPr>
                <w:rFonts w:ascii="Times New Roman" w:hAnsi="Times New Roman" w:cs="Times New Roman"/>
                <w:b/>
                <w:bCs/>
                <w:sz w:val="20"/>
                <w:szCs w:val="20"/>
              </w:rPr>
            </w:pPr>
            <w:r w:rsidRPr="001F2086">
              <w:rPr>
                <w:rFonts w:ascii="Times New Roman" w:hAnsi="Times New Roman" w:cs="Times New Roman"/>
                <w:b/>
                <w:bCs/>
                <w:color w:val="000000"/>
                <w:sz w:val="20"/>
                <w:szCs w:val="20"/>
              </w:rPr>
              <w:t>Faaliyet (ton/yıl solvent tüketim sınırı)</w:t>
            </w:r>
          </w:p>
        </w:tc>
        <w:tc>
          <w:tcPr>
            <w:tcW w:w="1306" w:type="dxa"/>
          </w:tcPr>
          <w:p w14:paraId="78CF68C5" w14:textId="77777777" w:rsidR="00070752" w:rsidRPr="001F2086" w:rsidRDefault="00070752" w:rsidP="00C10647">
            <w:pPr>
              <w:shd w:val="clear" w:color="auto" w:fill="FFFFFF"/>
              <w:rPr>
                <w:rFonts w:ascii="Times New Roman" w:hAnsi="Times New Roman" w:cs="Times New Roman"/>
                <w:b/>
                <w:bCs/>
                <w:sz w:val="20"/>
                <w:szCs w:val="20"/>
              </w:rPr>
            </w:pPr>
            <w:r w:rsidRPr="001F2086">
              <w:rPr>
                <w:rFonts w:ascii="Times New Roman" w:hAnsi="Times New Roman" w:cs="Times New Roman"/>
                <w:b/>
                <w:bCs/>
                <w:color w:val="000000"/>
                <w:sz w:val="20"/>
                <w:szCs w:val="20"/>
              </w:rPr>
              <w:t>Sınır (ton/yıl solvent tüketim sınırı)</w:t>
            </w:r>
          </w:p>
        </w:tc>
        <w:tc>
          <w:tcPr>
            <w:tcW w:w="1398" w:type="dxa"/>
          </w:tcPr>
          <w:p w14:paraId="47F34274" w14:textId="77777777" w:rsidR="00070752" w:rsidRPr="001F2086" w:rsidRDefault="00070752" w:rsidP="00C10647">
            <w:pPr>
              <w:shd w:val="clear" w:color="auto" w:fill="FFFFFF"/>
              <w:ind w:left="29"/>
              <w:rPr>
                <w:rFonts w:ascii="Times New Roman" w:hAnsi="Times New Roman" w:cs="Times New Roman"/>
                <w:b/>
                <w:bCs/>
                <w:sz w:val="20"/>
                <w:szCs w:val="20"/>
              </w:rPr>
            </w:pPr>
            <w:r w:rsidRPr="001F2086">
              <w:rPr>
                <w:rFonts w:ascii="Times New Roman" w:hAnsi="Times New Roman" w:cs="Times New Roman"/>
                <w:b/>
                <w:bCs/>
                <w:color w:val="000000"/>
                <w:sz w:val="20"/>
                <w:szCs w:val="20"/>
              </w:rPr>
              <w:t>Atık gaz emisyon</w:t>
            </w:r>
          </w:p>
          <w:p w14:paraId="47B9980F" w14:textId="3E96F2E1" w:rsidR="00070752" w:rsidRPr="001F2086" w:rsidRDefault="00070752" w:rsidP="00CA067F">
            <w:pPr>
              <w:shd w:val="clear" w:color="auto" w:fill="FFFFFF"/>
              <w:ind w:left="29"/>
              <w:rPr>
                <w:rFonts w:ascii="Times New Roman" w:hAnsi="Times New Roman" w:cs="Times New Roman"/>
                <w:b/>
                <w:bCs/>
                <w:sz w:val="20"/>
                <w:szCs w:val="20"/>
              </w:rPr>
            </w:pPr>
            <w:r w:rsidRPr="001F2086">
              <w:rPr>
                <w:rFonts w:ascii="Times New Roman" w:hAnsi="Times New Roman" w:cs="Times New Roman"/>
                <w:b/>
                <w:bCs/>
                <w:color w:val="000000"/>
                <w:spacing w:val="-2"/>
                <w:sz w:val="20"/>
                <w:szCs w:val="20"/>
              </w:rPr>
              <w:t>sınır değerleri (mg</w:t>
            </w:r>
            <w:r w:rsidR="00CA067F">
              <w:rPr>
                <w:rFonts w:ascii="Times New Roman" w:hAnsi="Times New Roman" w:cs="Times New Roman"/>
                <w:b/>
                <w:bCs/>
                <w:color w:val="000000"/>
                <w:spacing w:val="-2"/>
                <w:sz w:val="20"/>
                <w:szCs w:val="20"/>
              </w:rPr>
              <w:t xml:space="preserve"> </w:t>
            </w:r>
            <w:r w:rsidRPr="001F2086">
              <w:rPr>
                <w:rFonts w:ascii="Times New Roman" w:hAnsi="Times New Roman" w:cs="Times New Roman"/>
                <w:b/>
                <w:bCs/>
                <w:color w:val="000000"/>
                <w:sz w:val="20"/>
                <w:szCs w:val="20"/>
              </w:rPr>
              <w:t>C/Nm</w:t>
            </w:r>
            <w:r w:rsidRPr="001F2086">
              <w:rPr>
                <w:rFonts w:ascii="Times New Roman" w:hAnsi="Times New Roman" w:cs="Times New Roman"/>
                <w:b/>
                <w:bCs/>
                <w:color w:val="000000"/>
                <w:sz w:val="20"/>
                <w:szCs w:val="20"/>
                <w:vertAlign w:val="superscript"/>
              </w:rPr>
              <w:t>3</w:t>
            </w:r>
            <w:r w:rsidRPr="001F2086">
              <w:rPr>
                <w:rFonts w:ascii="Times New Roman" w:hAnsi="Times New Roman" w:cs="Times New Roman"/>
                <w:b/>
                <w:bCs/>
                <w:color w:val="000000"/>
                <w:sz w:val="20"/>
                <w:szCs w:val="20"/>
              </w:rPr>
              <w:t>)</w:t>
            </w:r>
          </w:p>
        </w:tc>
        <w:tc>
          <w:tcPr>
            <w:tcW w:w="2509" w:type="dxa"/>
            <w:gridSpan w:val="2"/>
          </w:tcPr>
          <w:p w14:paraId="360B59D5" w14:textId="067F6144" w:rsidR="00070752" w:rsidRPr="001F2086" w:rsidRDefault="00070752" w:rsidP="00C10647">
            <w:pPr>
              <w:shd w:val="clear" w:color="auto" w:fill="FFFFFF"/>
              <w:rPr>
                <w:rFonts w:ascii="Times New Roman" w:hAnsi="Times New Roman" w:cs="Times New Roman"/>
                <w:b/>
                <w:bCs/>
                <w:sz w:val="20"/>
                <w:szCs w:val="20"/>
              </w:rPr>
            </w:pPr>
            <w:r w:rsidRPr="001F2086">
              <w:rPr>
                <w:rFonts w:ascii="Times New Roman" w:hAnsi="Times New Roman" w:cs="Times New Roman"/>
                <w:b/>
                <w:bCs/>
                <w:color w:val="000000"/>
                <w:spacing w:val="-1"/>
                <w:sz w:val="20"/>
                <w:szCs w:val="20"/>
              </w:rPr>
              <w:t xml:space="preserve">Kaçak emisyon sınır değerleri (solvent </w:t>
            </w:r>
            <w:r w:rsidRPr="001F2086">
              <w:rPr>
                <w:rFonts w:ascii="Times New Roman" w:hAnsi="Times New Roman" w:cs="Times New Roman"/>
                <w:b/>
                <w:bCs/>
                <w:color w:val="000000"/>
                <w:sz w:val="20"/>
                <w:szCs w:val="20"/>
              </w:rPr>
              <w:t>girdi yüzdesi)</w:t>
            </w:r>
          </w:p>
        </w:tc>
        <w:tc>
          <w:tcPr>
            <w:tcW w:w="2602" w:type="dxa"/>
            <w:gridSpan w:val="2"/>
          </w:tcPr>
          <w:p w14:paraId="6C8206CF" w14:textId="1F42964C" w:rsidR="00070752" w:rsidRPr="001F2086" w:rsidRDefault="00CA067F" w:rsidP="00C10647">
            <w:pPr>
              <w:shd w:val="clear" w:color="auto" w:fill="FFFFFF"/>
              <w:jc w:val="center"/>
              <w:rPr>
                <w:rFonts w:ascii="Times New Roman" w:hAnsi="Times New Roman" w:cs="Times New Roman"/>
                <w:b/>
                <w:bCs/>
                <w:sz w:val="20"/>
                <w:szCs w:val="20"/>
              </w:rPr>
            </w:pPr>
            <w:r>
              <w:rPr>
                <w:rFonts w:ascii="Times New Roman" w:hAnsi="Times New Roman" w:cs="Times New Roman"/>
                <w:b/>
                <w:bCs/>
                <w:color w:val="000000"/>
                <w:sz w:val="20"/>
                <w:szCs w:val="20"/>
              </w:rPr>
              <w:t>Toplam</w:t>
            </w:r>
            <w:r w:rsidR="00070752" w:rsidRPr="001F2086">
              <w:rPr>
                <w:rFonts w:ascii="Times New Roman" w:hAnsi="Times New Roman" w:cs="Times New Roman"/>
                <w:b/>
                <w:bCs/>
                <w:color w:val="000000"/>
                <w:sz w:val="20"/>
                <w:szCs w:val="20"/>
              </w:rPr>
              <w:t xml:space="preserve"> emisyon sınır değerleri</w:t>
            </w:r>
          </w:p>
        </w:tc>
        <w:tc>
          <w:tcPr>
            <w:tcW w:w="3106" w:type="dxa"/>
          </w:tcPr>
          <w:p w14:paraId="534C2983" w14:textId="77777777" w:rsidR="00070752" w:rsidRPr="001F2086" w:rsidRDefault="00070752" w:rsidP="00C10647">
            <w:pPr>
              <w:shd w:val="clear" w:color="auto" w:fill="FFFFFF"/>
              <w:jc w:val="center"/>
              <w:rPr>
                <w:rFonts w:ascii="Times New Roman" w:hAnsi="Times New Roman" w:cs="Times New Roman"/>
                <w:b/>
                <w:bCs/>
                <w:sz w:val="20"/>
                <w:szCs w:val="20"/>
              </w:rPr>
            </w:pPr>
            <w:r w:rsidRPr="001F2086">
              <w:rPr>
                <w:rFonts w:ascii="Times New Roman" w:hAnsi="Times New Roman" w:cs="Times New Roman"/>
                <w:b/>
                <w:bCs/>
                <w:color w:val="000000"/>
                <w:sz w:val="20"/>
                <w:szCs w:val="20"/>
              </w:rPr>
              <w:t>Özel hükümler</w:t>
            </w:r>
          </w:p>
        </w:tc>
      </w:tr>
      <w:tr w:rsidR="00CA067F" w:rsidRPr="006C29B9" w14:paraId="6C012183" w14:textId="77777777" w:rsidTr="00CA067F">
        <w:trPr>
          <w:trHeight w:hRule="exact" w:val="573"/>
        </w:trPr>
        <w:tc>
          <w:tcPr>
            <w:tcW w:w="485" w:type="dxa"/>
          </w:tcPr>
          <w:p w14:paraId="7F293A0B" w14:textId="77777777" w:rsidR="00CA067F" w:rsidRPr="006C29B9" w:rsidRDefault="00CA067F" w:rsidP="00C10647">
            <w:pPr>
              <w:shd w:val="clear" w:color="auto" w:fill="FFFFFF"/>
              <w:rPr>
                <w:rFonts w:ascii="Times New Roman" w:hAnsi="Times New Roman" w:cs="Times New Roman"/>
                <w:sz w:val="20"/>
                <w:szCs w:val="20"/>
              </w:rPr>
            </w:pPr>
          </w:p>
        </w:tc>
        <w:tc>
          <w:tcPr>
            <w:tcW w:w="3043" w:type="dxa"/>
          </w:tcPr>
          <w:p w14:paraId="6BA4C3BC" w14:textId="77777777" w:rsidR="00CA067F" w:rsidRPr="006C29B9" w:rsidRDefault="00CA067F" w:rsidP="00C10647">
            <w:pPr>
              <w:shd w:val="clear" w:color="auto" w:fill="FFFFFF"/>
              <w:rPr>
                <w:rFonts w:ascii="Times New Roman" w:hAnsi="Times New Roman" w:cs="Times New Roman"/>
                <w:sz w:val="20"/>
                <w:szCs w:val="20"/>
              </w:rPr>
            </w:pPr>
          </w:p>
          <w:p w14:paraId="2AF5FA5C" w14:textId="77777777" w:rsidR="00CA067F" w:rsidRPr="006C29B9" w:rsidRDefault="00CA067F" w:rsidP="00C10647">
            <w:pPr>
              <w:shd w:val="clear" w:color="auto" w:fill="FFFFFF"/>
              <w:rPr>
                <w:rFonts w:ascii="Times New Roman" w:hAnsi="Times New Roman" w:cs="Times New Roman"/>
                <w:sz w:val="20"/>
                <w:szCs w:val="20"/>
              </w:rPr>
            </w:pPr>
          </w:p>
        </w:tc>
        <w:tc>
          <w:tcPr>
            <w:tcW w:w="1306" w:type="dxa"/>
          </w:tcPr>
          <w:p w14:paraId="39926706" w14:textId="77777777" w:rsidR="00CA067F" w:rsidRPr="006C29B9" w:rsidRDefault="00CA067F" w:rsidP="00C10647">
            <w:pPr>
              <w:shd w:val="clear" w:color="auto" w:fill="FFFFFF"/>
              <w:rPr>
                <w:rFonts w:ascii="Times New Roman" w:hAnsi="Times New Roman" w:cs="Times New Roman"/>
                <w:sz w:val="20"/>
                <w:szCs w:val="20"/>
              </w:rPr>
            </w:pPr>
          </w:p>
          <w:p w14:paraId="40873595" w14:textId="77777777" w:rsidR="00CA067F" w:rsidRPr="006C29B9" w:rsidRDefault="00CA067F" w:rsidP="00C10647">
            <w:pPr>
              <w:shd w:val="clear" w:color="auto" w:fill="FFFFFF"/>
              <w:rPr>
                <w:rFonts w:ascii="Times New Roman" w:hAnsi="Times New Roman" w:cs="Times New Roman"/>
                <w:sz w:val="20"/>
                <w:szCs w:val="20"/>
              </w:rPr>
            </w:pPr>
          </w:p>
        </w:tc>
        <w:tc>
          <w:tcPr>
            <w:tcW w:w="1398" w:type="dxa"/>
          </w:tcPr>
          <w:p w14:paraId="1E1F7E41" w14:textId="77777777" w:rsidR="00CA067F" w:rsidRPr="006C29B9" w:rsidRDefault="00CA067F" w:rsidP="00C10647">
            <w:pPr>
              <w:shd w:val="clear" w:color="auto" w:fill="FFFFFF"/>
              <w:rPr>
                <w:rFonts w:ascii="Times New Roman" w:hAnsi="Times New Roman" w:cs="Times New Roman"/>
                <w:sz w:val="20"/>
                <w:szCs w:val="20"/>
              </w:rPr>
            </w:pPr>
          </w:p>
          <w:p w14:paraId="393B5762" w14:textId="77777777" w:rsidR="00CA067F" w:rsidRPr="006C29B9" w:rsidRDefault="00CA067F" w:rsidP="00C10647">
            <w:pPr>
              <w:shd w:val="clear" w:color="auto" w:fill="FFFFFF"/>
              <w:rPr>
                <w:rFonts w:ascii="Times New Roman" w:hAnsi="Times New Roman" w:cs="Times New Roman"/>
                <w:sz w:val="20"/>
                <w:szCs w:val="20"/>
              </w:rPr>
            </w:pPr>
          </w:p>
        </w:tc>
        <w:tc>
          <w:tcPr>
            <w:tcW w:w="1254" w:type="dxa"/>
          </w:tcPr>
          <w:p w14:paraId="5F9CB085" w14:textId="1B5222CA" w:rsidR="00CA067F" w:rsidRPr="006C29B9" w:rsidRDefault="00CA067F" w:rsidP="00C10647">
            <w:pPr>
              <w:shd w:val="clear" w:color="auto" w:fill="FFFFFF"/>
              <w:ind w:left="187"/>
              <w:rPr>
                <w:rFonts w:ascii="Times New Roman" w:hAnsi="Times New Roman" w:cs="Times New Roman"/>
                <w:sz w:val="20"/>
                <w:szCs w:val="20"/>
              </w:rPr>
            </w:pPr>
            <w:r w:rsidRPr="006C29B9">
              <w:rPr>
                <w:rFonts w:ascii="Times New Roman" w:hAnsi="Times New Roman" w:cs="Times New Roman"/>
                <w:color w:val="000000"/>
                <w:spacing w:val="-6"/>
                <w:sz w:val="20"/>
                <w:szCs w:val="20"/>
              </w:rPr>
              <w:t xml:space="preserve">Yeni tesisler                </w:t>
            </w:r>
          </w:p>
        </w:tc>
        <w:tc>
          <w:tcPr>
            <w:tcW w:w="1255" w:type="dxa"/>
          </w:tcPr>
          <w:p w14:paraId="3494274A" w14:textId="4FCEAC7B" w:rsidR="00CA067F" w:rsidRPr="006C29B9" w:rsidRDefault="00CA067F" w:rsidP="00C10647">
            <w:pPr>
              <w:shd w:val="clear" w:color="auto" w:fill="FFFFFF"/>
              <w:ind w:left="187"/>
              <w:rPr>
                <w:rFonts w:ascii="Times New Roman" w:hAnsi="Times New Roman" w:cs="Times New Roman"/>
                <w:sz w:val="20"/>
                <w:szCs w:val="20"/>
              </w:rPr>
            </w:pPr>
            <w:r w:rsidRPr="006C29B9">
              <w:rPr>
                <w:rFonts w:ascii="Times New Roman" w:hAnsi="Times New Roman" w:cs="Times New Roman"/>
                <w:color w:val="000000"/>
                <w:spacing w:val="-6"/>
                <w:sz w:val="20"/>
                <w:szCs w:val="20"/>
              </w:rPr>
              <w:t>Mevcut tesisler</w:t>
            </w:r>
          </w:p>
        </w:tc>
        <w:tc>
          <w:tcPr>
            <w:tcW w:w="1301" w:type="dxa"/>
          </w:tcPr>
          <w:p w14:paraId="6EF80439" w14:textId="5F777FD3" w:rsidR="00CA067F" w:rsidRPr="006C29B9" w:rsidRDefault="00CA067F" w:rsidP="00C10647">
            <w:pPr>
              <w:shd w:val="clear" w:color="auto" w:fill="FFFFFF"/>
              <w:ind w:left="187"/>
              <w:rPr>
                <w:rFonts w:ascii="Times New Roman" w:hAnsi="Times New Roman" w:cs="Times New Roman"/>
                <w:sz w:val="20"/>
                <w:szCs w:val="20"/>
              </w:rPr>
            </w:pPr>
            <w:r w:rsidRPr="006C29B9">
              <w:rPr>
                <w:rFonts w:ascii="Times New Roman" w:hAnsi="Times New Roman" w:cs="Times New Roman"/>
                <w:color w:val="000000"/>
                <w:spacing w:val="-6"/>
                <w:sz w:val="20"/>
                <w:szCs w:val="20"/>
              </w:rPr>
              <w:t xml:space="preserve">Yeni tesisler                </w:t>
            </w:r>
          </w:p>
        </w:tc>
        <w:tc>
          <w:tcPr>
            <w:tcW w:w="1301" w:type="dxa"/>
          </w:tcPr>
          <w:p w14:paraId="32B40FCF" w14:textId="035F3A6E" w:rsidR="00CA067F" w:rsidRPr="006C29B9" w:rsidRDefault="00CA067F"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pacing w:val="-6"/>
                <w:sz w:val="20"/>
                <w:szCs w:val="20"/>
              </w:rPr>
              <w:t>Mevcut tesisler</w:t>
            </w:r>
          </w:p>
        </w:tc>
        <w:tc>
          <w:tcPr>
            <w:tcW w:w="3106" w:type="dxa"/>
          </w:tcPr>
          <w:p w14:paraId="40CF4E71" w14:textId="77777777" w:rsidR="00CA067F" w:rsidRPr="006C29B9" w:rsidRDefault="00CA067F" w:rsidP="00C10647">
            <w:pPr>
              <w:shd w:val="clear" w:color="auto" w:fill="FFFFFF"/>
              <w:rPr>
                <w:rFonts w:ascii="Times New Roman" w:hAnsi="Times New Roman" w:cs="Times New Roman"/>
                <w:sz w:val="20"/>
                <w:szCs w:val="20"/>
              </w:rPr>
            </w:pPr>
          </w:p>
        </w:tc>
      </w:tr>
      <w:tr w:rsidR="00070752" w:rsidRPr="006C29B9" w14:paraId="075E2EE6" w14:textId="77777777" w:rsidTr="00CA067F">
        <w:trPr>
          <w:trHeight w:hRule="exact" w:val="6832"/>
        </w:trPr>
        <w:tc>
          <w:tcPr>
            <w:tcW w:w="485" w:type="dxa"/>
          </w:tcPr>
          <w:p w14:paraId="026F7DFA"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8</w:t>
            </w:r>
          </w:p>
        </w:tc>
        <w:tc>
          <w:tcPr>
            <w:tcW w:w="3043" w:type="dxa"/>
          </w:tcPr>
          <w:p w14:paraId="0A409C24" w14:textId="77777777" w:rsidR="00070752" w:rsidRPr="006C29B9" w:rsidRDefault="00070752" w:rsidP="00C10647">
            <w:pPr>
              <w:shd w:val="clear" w:color="auto" w:fill="FFFFFF"/>
              <w:ind w:right="355"/>
              <w:rPr>
                <w:rFonts w:ascii="Times New Roman" w:hAnsi="Times New Roman" w:cs="Times New Roman"/>
                <w:sz w:val="20"/>
                <w:szCs w:val="20"/>
              </w:rPr>
            </w:pPr>
            <w:r w:rsidRPr="006C29B9">
              <w:rPr>
                <w:rFonts w:ascii="Times New Roman" w:hAnsi="Times New Roman" w:cs="Times New Roman"/>
                <w:color w:val="000000"/>
                <w:sz w:val="20"/>
                <w:szCs w:val="20"/>
              </w:rPr>
              <w:t>Metal, plastik, kumaş, (</w:t>
            </w:r>
            <w:r w:rsidRPr="006C29B9">
              <w:rPr>
                <w:rFonts w:ascii="Times New Roman" w:hAnsi="Times New Roman" w:cs="Times New Roman"/>
                <w:color w:val="000000"/>
                <w:sz w:val="20"/>
                <w:szCs w:val="20"/>
                <w:vertAlign w:val="superscript"/>
              </w:rPr>
              <w:t>5</w:t>
            </w:r>
            <w:r w:rsidRPr="006C29B9">
              <w:rPr>
                <w:rFonts w:ascii="Times New Roman" w:hAnsi="Times New Roman" w:cs="Times New Roman"/>
                <w:color w:val="000000"/>
                <w:sz w:val="20"/>
                <w:szCs w:val="20"/>
              </w:rPr>
              <w:t>) tabaka, kağıt kaplama gibi diğer kaplamalar (&gt;5)</w:t>
            </w:r>
          </w:p>
        </w:tc>
        <w:tc>
          <w:tcPr>
            <w:tcW w:w="1306" w:type="dxa"/>
          </w:tcPr>
          <w:p w14:paraId="6215832A" w14:textId="6DEF30C8" w:rsidR="00CA067F" w:rsidRDefault="00070752" w:rsidP="00CA067F">
            <w:pPr>
              <w:shd w:val="clear" w:color="auto" w:fill="FFFFFF"/>
              <w:rPr>
                <w:rFonts w:ascii="Times New Roman" w:hAnsi="Times New Roman" w:cs="Times New Roman"/>
                <w:color w:val="000000"/>
                <w:spacing w:val="-4"/>
                <w:sz w:val="20"/>
                <w:szCs w:val="20"/>
              </w:rPr>
            </w:pPr>
            <w:r w:rsidRPr="006C29B9">
              <w:rPr>
                <w:rFonts w:ascii="Times New Roman" w:hAnsi="Times New Roman" w:cs="Times New Roman"/>
                <w:color w:val="000000"/>
                <w:spacing w:val="-4"/>
                <w:sz w:val="20"/>
                <w:szCs w:val="20"/>
              </w:rPr>
              <w:t>5</w:t>
            </w:r>
            <w:r w:rsidR="00CA067F">
              <w:rPr>
                <w:rFonts w:ascii="Times New Roman" w:hAnsi="Times New Roman" w:cs="Times New Roman"/>
                <w:color w:val="000000"/>
                <w:spacing w:val="-4"/>
                <w:sz w:val="20"/>
                <w:szCs w:val="20"/>
              </w:rPr>
              <w:t>-</w:t>
            </w:r>
            <w:r w:rsidRPr="006C29B9">
              <w:rPr>
                <w:rFonts w:ascii="Times New Roman" w:hAnsi="Times New Roman" w:cs="Times New Roman"/>
                <w:color w:val="000000"/>
                <w:spacing w:val="-4"/>
                <w:sz w:val="20"/>
                <w:szCs w:val="20"/>
              </w:rPr>
              <w:t>15</w:t>
            </w:r>
          </w:p>
          <w:p w14:paraId="6BB2CD05" w14:textId="5CF94694"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pacing w:val="-1"/>
                <w:sz w:val="20"/>
                <w:szCs w:val="20"/>
              </w:rPr>
              <w:t>&gt; 15</w:t>
            </w:r>
          </w:p>
        </w:tc>
        <w:tc>
          <w:tcPr>
            <w:tcW w:w="1398" w:type="dxa"/>
          </w:tcPr>
          <w:p w14:paraId="457035A3" w14:textId="77777777"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pacing w:val="-9"/>
                <w:w w:val="81"/>
                <w:sz w:val="20"/>
                <w:szCs w:val="20"/>
              </w:rPr>
              <w:t>100 (</w:t>
            </w:r>
            <w:r w:rsidRPr="006C29B9">
              <w:rPr>
                <w:rFonts w:ascii="Times New Roman" w:hAnsi="Times New Roman" w:cs="Times New Roman"/>
                <w:color w:val="000000"/>
                <w:spacing w:val="-9"/>
                <w:w w:val="81"/>
                <w:sz w:val="20"/>
                <w:szCs w:val="20"/>
                <w:vertAlign w:val="superscript"/>
              </w:rPr>
              <w:t>1</w:t>
            </w:r>
            <w:r w:rsidRPr="006C29B9">
              <w:rPr>
                <w:rFonts w:ascii="Times New Roman" w:hAnsi="Times New Roman" w:cs="Times New Roman"/>
                <w:color w:val="000000"/>
                <w:spacing w:val="-9"/>
                <w:w w:val="81"/>
                <w:sz w:val="20"/>
                <w:szCs w:val="20"/>
              </w:rPr>
              <w:t>) (</w:t>
            </w:r>
            <w:r w:rsidRPr="006C29B9">
              <w:rPr>
                <w:rFonts w:ascii="Times New Roman" w:hAnsi="Times New Roman" w:cs="Times New Roman"/>
                <w:color w:val="000000"/>
                <w:spacing w:val="-9"/>
                <w:w w:val="81"/>
                <w:sz w:val="20"/>
                <w:szCs w:val="20"/>
                <w:vertAlign w:val="superscript"/>
              </w:rPr>
              <w:t>4</w:t>
            </w:r>
            <w:r w:rsidRPr="006C29B9">
              <w:rPr>
                <w:rFonts w:ascii="Times New Roman" w:hAnsi="Times New Roman" w:cs="Times New Roman"/>
                <w:color w:val="000000"/>
                <w:spacing w:val="-9"/>
                <w:w w:val="81"/>
                <w:sz w:val="20"/>
                <w:szCs w:val="20"/>
              </w:rPr>
              <w:t>)</w:t>
            </w:r>
          </w:p>
          <w:p w14:paraId="7CC69071" w14:textId="77777777"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pacing w:val="-3"/>
                <w:sz w:val="20"/>
                <w:szCs w:val="20"/>
              </w:rPr>
              <w:t>50/75 (</w:t>
            </w:r>
            <w:r w:rsidRPr="006C29B9">
              <w:rPr>
                <w:rFonts w:ascii="Times New Roman" w:hAnsi="Times New Roman" w:cs="Times New Roman"/>
                <w:color w:val="000000"/>
                <w:spacing w:val="-3"/>
                <w:sz w:val="20"/>
                <w:szCs w:val="20"/>
                <w:vertAlign w:val="superscript"/>
              </w:rPr>
              <w:t>2</w:t>
            </w:r>
            <w:r w:rsidRPr="006C29B9">
              <w:rPr>
                <w:rFonts w:ascii="Times New Roman" w:hAnsi="Times New Roman" w:cs="Times New Roman"/>
                <w:color w:val="000000"/>
                <w:spacing w:val="-3"/>
                <w:sz w:val="20"/>
                <w:szCs w:val="20"/>
              </w:rPr>
              <w:t>) (</w:t>
            </w:r>
            <w:r w:rsidRPr="006C29B9">
              <w:rPr>
                <w:rFonts w:ascii="Times New Roman" w:hAnsi="Times New Roman" w:cs="Times New Roman"/>
                <w:color w:val="000000"/>
                <w:spacing w:val="-3"/>
                <w:sz w:val="20"/>
                <w:szCs w:val="20"/>
                <w:vertAlign w:val="superscript"/>
              </w:rPr>
              <w:t>3</w:t>
            </w:r>
            <w:r w:rsidRPr="006C29B9">
              <w:rPr>
                <w:rFonts w:ascii="Times New Roman" w:hAnsi="Times New Roman" w:cs="Times New Roman"/>
                <w:color w:val="000000"/>
                <w:spacing w:val="-3"/>
                <w:sz w:val="20"/>
                <w:szCs w:val="20"/>
              </w:rPr>
              <w:t>) (</w:t>
            </w:r>
            <w:r w:rsidRPr="006C29B9">
              <w:rPr>
                <w:rFonts w:ascii="Times New Roman" w:hAnsi="Times New Roman" w:cs="Times New Roman"/>
                <w:color w:val="000000"/>
                <w:spacing w:val="-3"/>
                <w:sz w:val="20"/>
                <w:szCs w:val="20"/>
                <w:vertAlign w:val="superscript"/>
              </w:rPr>
              <w:t>4</w:t>
            </w:r>
            <w:r w:rsidRPr="006C29B9">
              <w:rPr>
                <w:rFonts w:ascii="Times New Roman" w:hAnsi="Times New Roman" w:cs="Times New Roman"/>
                <w:color w:val="000000"/>
                <w:spacing w:val="-3"/>
                <w:sz w:val="20"/>
                <w:szCs w:val="20"/>
              </w:rPr>
              <w:t>)</w:t>
            </w:r>
          </w:p>
        </w:tc>
        <w:tc>
          <w:tcPr>
            <w:tcW w:w="2509" w:type="dxa"/>
            <w:gridSpan w:val="2"/>
          </w:tcPr>
          <w:p w14:paraId="0B66E950" w14:textId="77777777" w:rsidR="00CA067F" w:rsidRDefault="00070752" w:rsidP="00CA067F">
            <w:pPr>
              <w:shd w:val="clear" w:color="auto" w:fill="FFFFFF"/>
              <w:jc w:val="center"/>
              <w:rPr>
                <w:rFonts w:ascii="Times New Roman" w:hAnsi="Times New Roman" w:cs="Times New Roman"/>
                <w:color w:val="000000"/>
                <w:sz w:val="20"/>
                <w:szCs w:val="20"/>
              </w:rPr>
            </w:pPr>
            <w:r w:rsidRPr="006C29B9">
              <w:rPr>
                <w:rFonts w:ascii="Times New Roman" w:hAnsi="Times New Roman" w:cs="Times New Roman"/>
                <w:color w:val="000000"/>
                <w:sz w:val="20"/>
                <w:szCs w:val="20"/>
              </w:rPr>
              <w:t>25 (</w:t>
            </w:r>
            <w:r w:rsidRPr="006C29B9">
              <w:rPr>
                <w:rFonts w:ascii="Times New Roman" w:hAnsi="Times New Roman" w:cs="Times New Roman"/>
                <w:color w:val="000000"/>
                <w:sz w:val="20"/>
                <w:szCs w:val="20"/>
                <w:vertAlign w:val="superscript"/>
              </w:rPr>
              <w:t>4</w:t>
            </w:r>
            <w:r w:rsidRPr="006C29B9">
              <w:rPr>
                <w:rFonts w:ascii="Times New Roman" w:hAnsi="Times New Roman" w:cs="Times New Roman"/>
                <w:color w:val="000000"/>
                <w:sz w:val="20"/>
                <w:szCs w:val="20"/>
              </w:rPr>
              <w:t>)</w:t>
            </w:r>
          </w:p>
          <w:p w14:paraId="68A04445" w14:textId="28742973" w:rsidR="00070752" w:rsidRPr="006C29B9" w:rsidRDefault="00070752" w:rsidP="00CA067F">
            <w:pPr>
              <w:shd w:val="clear" w:color="auto" w:fill="FFFFFF"/>
              <w:jc w:val="center"/>
              <w:rPr>
                <w:rFonts w:ascii="Times New Roman" w:hAnsi="Times New Roman" w:cs="Times New Roman"/>
                <w:sz w:val="20"/>
                <w:szCs w:val="20"/>
              </w:rPr>
            </w:pPr>
            <w:r w:rsidRPr="006C29B9">
              <w:rPr>
                <w:rFonts w:ascii="Times New Roman" w:hAnsi="Times New Roman" w:cs="Times New Roman"/>
                <w:color w:val="000000"/>
                <w:sz w:val="20"/>
                <w:szCs w:val="20"/>
              </w:rPr>
              <w:t>20 (</w:t>
            </w:r>
            <w:r w:rsidRPr="006C29B9">
              <w:rPr>
                <w:rFonts w:ascii="Times New Roman" w:hAnsi="Times New Roman" w:cs="Times New Roman"/>
                <w:color w:val="000000"/>
                <w:sz w:val="20"/>
                <w:szCs w:val="20"/>
                <w:vertAlign w:val="superscript"/>
              </w:rPr>
              <w:t>4</w:t>
            </w:r>
            <w:r w:rsidRPr="006C29B9">
              <w:rPr>
                <w:rFonts w:ascii="Times New Roman" w:hAnsi="Times New Roman" w:cs="Times New Roman"/>
                <w:color w:val="000000"/>
                <w:sz w:val="20"/>
                <w:szCs w:val="20"/>
              </w:rPr>
              <w:t>)</w:t>
            </w:r>
          </w:p>
        </w:tc>
        <w:tc>
          <w:tcPr>
            <w:tcW w:w="2602" w:type="dxa"/>
            <w:gridSpan w:val="2"/>
          </w:tcPr>
          <w:p w14:paraId="676809C5" w14:textId="77777777" w:rsidR="00070752" w:rsidRPr="006C29B9" w:rsidRDefault="00070752" w:rsidP="00C10647">
            <w:pPr>
              <w:shd w:val="clear" w:color="auto" w:fill="FFFFFF"/>
              <w:rPr>
                <w:rFonts w:ascii="Times New Roman" w:hAnsi="Times New Roman" w:cs="Times New Roman"/>
                <w:sz w:val="20"/>
                <w:szCs w:val="20"/>
              </w:rPr>
            </w:pPr>
          </w:p>
        </w:tc>
        <w:tc>
          <w:tcPr>
            <w:tcW w:w="3106" w:type="dxa"/>
          </w:tcPr>
          <w:p w14:paraId="1D4BAA54" w14:textId="604A9B29" w:rsidR="00070752" w:rsidRPr="006C29B9" w:rsidRDefault="00070752" w:rsidP="00C10647">
            <w:pPr>
              <w:shd w:val="clear" w:color="auto" w:fill="FFFFFF"/>
              <w:tabs>
                <w:tab w:val="left" w:pos="240"/>
              </w:tabs>
              <w:ind w:right="38"/>
              <w:rPr>
                <w:rFonts w:ascii="Times New Roman" w:hAnsi="Times New Roman" w:cs="Times New Roman"/>
                <w:sz w:val="20"/>
                <w:szCs w:val="20"/>
              </w:rPr>
            </w:pPr>
            <w:r w:rsidRPr="006C29B9">
              <w:rPr>
                <w:rFonts w:ascii="Times New Roman" w:hAnsi="Times New Roman" w:cs="Times New Roman"/>
                <w:color w:val="000000"/>
                <w:spacing w:val="-6"/>
                <w:sz w:val="20"/>
                <w:szCs w:val="20"/>
              </w:rPr>
              <w:t>(</w:t>
            </w:r>
            <w:r w:rsidRPr="006C29B9">
              <w:rPr>
                <w:rFonts w:ascii="Times New Roman" w:hAnsi="Times New Roman" w:cs="Times New Roman"/>
                <w:color w:val="000000"/>
                <w:spacing w:val="-6"/>
                <w:sz w:val="20"/>
                <w:szCs w:val="20"/>
                <w:vertAlign w:val="superscript"/>
              </w:rPr>
              <w:t>1</w:t>
            </w:r>
            <w:r w:rsidRPr="006C29B9">
              <w:rPr>
                <w:rFonts w:ascii="Times New Roman" w:hAnsi="Times New Roman" w:cs="Times New Roman"/>
                <w:color w:val="000000"/>
                <w:spacing w:val="-6"/>
                <w:sz w:val="20"/>
                <w:szCs w:val="20"/>
              </w:rPr>
              <w:t>)</w:t>
            </w:r>
            <w:r w:rsidRPr="006C29B9">
              <w:rPr>
                <w:rFonts w:ascii="Times New Roman" w:hAnsi="Times New Roman" w:cs="Times New Roman"/>
                <w:color w:val="000000"/>
                <w:sz w:val="20"/>
                <w:szCs w:val="20"/>
              </w:rPr>
              <w:tab/>
              <w:t>Emisyon sınır değeri kapalı koşullarda</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uygulanan kaplama ve kurutma işlemleri</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için geçerlidir.</w:t>
            </w:r>
          </w:p>
          <w:p w14:paraId="7AD2113C" w14:textId="640952FC" w:rsidR="00070752" w:rsidRPr="006C29B9" w:rsidRDefault="00070752" w:rsidP="00C10647">
            <w:pPr>
              <w:shd w:val="clear" w:color="auto" w:fill="FFFFFF"/>
              <w:tabs>
                <w:tab w:val="left" w:pos="346"/>
              </w:tabs>
              <w:ind w:right="38"/>
              <w:rPr>
                <w:rFonts w:ascii="Times New Roman" w:hAnsi="Times New Roman" w:cs="Times New Roman"/>
                <w:sz w:val="20"/>
                <w:szCs w:val="20"/>
              </w:rPr>
            </w:pPr>
            <w:r w:rsidRPr="006C29B9">
              <w:rPr>
                <w:rFonts w:ascii="Times New Roman" w:hAnsi="Times New Roman" w:cs="Times New Roman"/>
                <w:color w:val="000000"/>
                <w:spacing w:val="-15"/>
                <w:sz w:val="20"/>
                <w:szCs w:val="20"/>
              </w:rPr>
              <w:t>(</w:t>
            </w:r>
            <w:r w:rsidRPr="006C29B9">
              <w:rPr>
                <w:rFonts w:ascii="Times New Roman" w:hAnsi="Times New Roman" w:cs="Times New Roman"/>
                <w:color w:val="000000"/>
                <w:spacing w:val="-15"/>
                <w:sz w:val="20"/>
                <w:szCs w:val="20"/>
                <w:vertAlign w:val="superscript"/>
              </w:rPr>
              <w:t>2</w:t>
            </w:r>
            <w:r w:rsidRPr="006C29B9">
              <w:rPr>
                <w:rFonts w:ascii="Times New Roman" w:hAnsi="Times New Roman" w:cs="Times New Roman"/>
                <w:color w:val="000000"/>
                <w:spacing w:val="-15"/>
                <w:sz w:val="20"/>
                <w:szCs w:val="20"/>
              </w:rPr>
              <w:t>)</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İlk emisyon sınır değeri kurutma,</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ikinci emisyon sınır değeri ise kaplama</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işlemlerine uygulanır.</w:t>
            </w:r>
          </w:p>
          <w:p w14:paraId="67EC17E4" w14:textId="48394496" w:rsidR="00070752" w:rsidRPr="006C29B9" w:rsidRDefault="00070752" w:rsidP="00C10647">
            <w:pPr>
              <w:shd w:val="clear" w:color="auto" w:fill="FFFFFF"/>
              <w:tabs>
                <w:tab w:val="left" w:pos="187"/>
              </w:tabs>
              <w:ind w:right="38"/>
              <w:rPr>
                <w:rFonts w:ascii="Times New Roman" w:hAnsi="Times New Roman" w:cs="Times New Roman"/>
                <w:sz w:val="20"/>
                <w:szCs w:val="20"/>
              </w:rPr>
            </w:pPr>
            <w:r w:rsidRPr="006C29B9">
              <w:rPr>
                <w:rFonts w:ascii="Times New Roman" w:hAnsi="Times New Roman" w:cs="Times New Roman"/>
                <w:color w:val="000000"/>
                <w:spacing w:val="-15"/>
                <w:sz w:val="20"/>
                <w:szCs w:val="20"/>
              </w:rPr>
              <w:t>(</w:t>
            </w:r>
            <w:r w:rsidRPr="006C29B9">
              <w:rPr>
                <w:rFonts w:ascii="Times New Roman" w:hAnsi="Times New Roman" w:cs="Times New Roman"/>
                <w:color w:val="000000"/>
                <w:spacing w:val="-15"/>
                <w:sz w:val="20"/>
                <w:szCs w:val="20"/>
                <w:vertAlign w:val="superscript"/>
              </w:rPr>
              <w:t>3</w:t>
            </w:r>
            <w:r w:rsidRPr="006C29B9">
              <w:rPr>
                <w:rFonts w:ascii="Times New Roman" w:hAnsi="Times New Roman" w:cs="Times New Roman"/>
                <w:color w:val="000000"/>
                <w:spacing w:val="-15"/>
                <w:sz w:val="20"/>
                <w:szCs w:val="20"/>
              </w:rPr>
              <w:t>)</w:t>
            </w:r>
            <w:r w:rsidRPr="006C29B9">
              <w:rPr>
                <w:rFonts w:ascii="Times New Roman" w:hAnsi="Times New Roman" w:cs="Times New Roman"/>
                <w:color w:val="000000"/>
                <w:sz w:val="20"/>
                <w:szCs w:val="20"/>
              </w:rPr>
              <w:tab/>
              <w:t>Yeniden kazanılmış solventleri tekrar</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kullanmayı olası kılan tekniklere sahip</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kumaş kaplama tesislerinde hem kaplama,</w:t>
            </w:r>
            <w:r w:rsidRPr="006C29B9">
              <w:rPr>
                <w:rFonts w:ascii="Times New Roman" w:hAnsi="Times New Roman" w:cs="Times New Roman"/>
                <w:color w:val="000000"/>
                <w:sz w:val="20"/>
                <w:szCs w:val="20"/>
              </w:rPr>
              <w:br/>
              <w:t>hem kurutma işlemleri için uygulanacak</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emisyon sınır değeri 150 olacaktır.</w:t>
            </w:r>
          </w:p>
          <w:p w14:paraId="675D71A6" w14:textId="272264C1" w:rsidR="00070752" w:rsidRPr="006C29B9" w:rsidRDefault="00070752" w:rsidP="00C10647">
            <w:pPr>
              <w:shd w:val="clear" w:color="auto" w:fill="FFFFFF"/>
              <w:tabs>
                <w:tab w:val="left" w:pos="346"/>
              </w:tabs>
              <w:ind w:right="38"/>
              <w:rPr>
                <w:rFonts w:ascii="Times New Roman" w:hAnsi="Times New Roman" w:cs="Times New Roman"/>
                <w:sz w:val="20"/>
                <w:szCs w:val="20"/>
              </w:rPr>
            </w:pPr>
            <w:r w:rsidRPr="006C29B9">
              <w:rPr>
                <w:rFonts w:ascii="Times New Roman" w:hAnsi="Times New Roman" w:cs="Times New Roman"/>
                <w:color w:val="000000"/>
                <w:spacing w:val="-15"/>
                <w:sz w:val="20"/>
                <w:szCs w:val="20"/>
              </w:rPr>
              <w:t>(</w:t>
            </w:r>
            <w:r w:rsidRPr="006C29B9">
              <w:rPr>
                <w:rFonts w:ascii="Times New Roman" w:hAnsi="Times New Roman" w:cs="Times New Roman"/>
                <w:color w:val="000000"/>
                <w:spacing w:val="-15"/>
                <w:sz w:val="20"/>
                <w:szCs w:val="20"/>
                <w:vertAlign w:val="superscript"/>
              </w:rPr>
              <w:t>4</w:t>
            </w:r>
            <w:r w:rsidRPr="006C29B9">
              <w:rPr>
                <w:rFonts w:ascii="Times New Roman" w:hAnsi="Times New Roman" w:cs="Times New Roman"/>
                <w:color w:val="000000"/>
                <w:spacing w:val="-15"/>
                <w:sz w:val="20"/>
                <w:szCs w:val="20"/>
              </w:rPr>
              <w:t>)</w:t>
            </w:r>
            <w:r w:rsidR="006C29B9">
              <w:rPr>
                <w:rFonts w:ascii="Times New Roman" w:hAnsi="Times New Roman" w:cs="Times New Roman"/>
                <w:color w:val="000000"/>
                <w:spacing w:val="-15"/>
                <w:sz w:val="20"/>
                <w:szCs w:val="20"/>
              </w:rPr>
              <w:t xml:space="preserve"> </w:t>
            </w:r>
            <w:r w:rsidRPr="006C29B9">
              <w:rPr>
                <w:rFonts w:ascii="Times New Roman" w:hAnsi="Times New Roman" w:cs="Times New Roman"/>
                <w:color w:val="000000"/>
                <w:sz w:val="20"/>
                <w:szCs w:val="20"/>
              </w:rPr>
              <w:t>Gemi inşası, uçak boyama gibi kapalı koşullarda yürütülemeyecek kaplama faaliyetleri emisyon sınır değerlerinden muaf tutulabilirler.</w:t>
            </w:r>
          </w:p>
          <w:p w14:paraId="06DDD5C2" w14:textId="330021EE" w:rsidR="00070752" w:rsidRPr="006C29B9" w:rsidRDefault="00070752" w:rsidP="00C10647">
            <w:pPr>
              <w:shd w:val="clear" w:color="auto" w:fill="FFFFFF"/>
              <w:tabs>
                <w:tab w:val="left" w:pos="346"/>
              </w:tabs>
              <w:ind w:right="38"/>
              <w:rPr>
                <w:rFonts w:ascii="Times New Roman" w:hAnsi="Times New Roman" w:cs="Times New Roman"/>
                <w:sz w:val="20"/>
                <w:szCs w:val="20"/>
              </w:rPr>
            </w:pPr>
            <w:r w:rsidRPr="006C29B9">
              <w:rPr>
                <w:rFonts w:ascii="Times New Roman" w:hAnsi="Times New Roman" w:cs="Times New Roman"/>
                <w:color w:val="000000"/>
                <w:spacing w:val="-15"/>
                <w:sz w:val="20"/>
                <w:szCs w:val="20"/>
              </w:rPr>
              <w:t>(</w:t>
            </w:r>
            <w:r w:rsidRPr="006C29B9">
              <w:rPr>
                <w:rFonts w:ascii="Times New Roman" w:hAnsi="Times New Roman" w:cs="Times New Roman"/>
                <w:color w:val="000000"/>
                <w:spacing w:val="-15"/>
                <w:sz w:val="20"/>
                <w:szCs w:val="20"/>
                <w:vertAlign w:val="superscript"/>
              </w:rPr>
              <w:t>5</w:t>
            </w:r>
            <w:r w:rsidRPr="006C29B9">
              <w:rPr>
                <w:rFonts w:ascii="Times New Roman" w:hAnsi="Times New Roman" w:cs="Times New Roman"/>
                <w:color w:val="000000"/>
                <w:spacing w:val="-15"/>
                <w:sz w:val="20"/>
                <w:szCs w:val="20"/>
              </w:rPr>
              <w:t>)</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Kumaş üzerine döner serigrafi 3</w:t>
            </w:r>
            <w:r w:rsidRPr="006C29B9">
              <w:rPr>
                <w:rFonts w:ascii="Times New Roman" w:hAnsi="Times New Roman" w:cs="Times New Roman"/>
                <w:color w:val="000000"/>
                <w:sz w:val="20"/>
                <w:szCs w:val="20"/>
              </w:rPr>
              <w:br/>
              <w:t>numaralı faaliyet kapsamındaır.</w:t>
            </w:r>
          </w:p>
        </w:tc>
      </w:tr>
      <w:tr w:rsidR="00070752" w:rsidRPr="006C29B9" w14:paraId="48A40BC8" w14:textId="77777777" w:rsidTr="00CA067F">
        <w:trPr>
          <w:trHeight w:hRule="exact" w:val="1150"/>
        </w:trPr>
        <w:tc>
          <w:tcPr>
            <w:tcW w:w="485" w:type="dxa"/>
          </w:tcPr>
          <w:p w14:paraId="4339E29B"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lastRenderedPageBreak/>
              <w:t>9</w:t>
            </w:r>
          </w:p>
        </w:tc>
        <w:tc>
          <w:tcPr>
            <w:tcW w:w="3043" w:type="dxa"/>
          </w:tcPr>
          <w:p w14:paraId="1EB71EDD" w14:textId="55DA2573" w:rsidR="00070752" w:rsidRPr="006C29B9" w:rsidRDefault="00070752" w:rsidP="00CA067F">
            <w:pPr>
              <w:shd w:val="clear" w:color="auto" w:fill="FFFFFF"/>
              <w:ind w:right="585"/>
              <w:rPr>
                <w:rFonts w:ascii="Times New Roman" w:hAnsi="Times New Roman" w:cs="Times New Roman"/>
                <w:sz w:val="20"/>
                <w:szCs w:val="20"/>
              </w:rPr>
            </w:pPr>
            <w:r w:rsidRPr="006C29B9">
              <w:rPr>
                <w:rFonts w:ascii="Times New Roman" w:hAnsi="Times New Roman" w:cs="Times New Roman"/>
                <w:color w:val="000000"/>
                <w:sz w:val="20"/>
                <w:szCs w:val="20"/>
              </w:rPr>
              <w:t>Sarma</w:t>
            </w:r>
            <w:r w:rsidR="00CA067F">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teli kaplama</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(&gt;5)</w:t>
            </w:r>
          </w:p>
        </w:tc>
        <w:tc>
          <w:tcPr>
            <w:tcW w:w="1306" w:type="dxa"/>
          </w:tcPr>
          <w:p w14:paraId="7227D3DB" w14:textId="77777777" w:rsidR="00070752" w:rsidRPr="006C29B9" w:rsidRDefault="00070752" w:rsidP="00C10647">
            <w:pPr>
              <w:shd w:val="clear" w:color="auto" w:fill="FFFFFF"/>
              <w:rPr>
                <w:rFonts w:ascii="Times New Roman" w:hAnsi="Times New Roman" w:cs="Times New Roman"/>
                <w:sz w:val="20"/>
                <w:szCs w:val="20"/>
              </w:rPr>
            </w:pPr>
          </w:p>
        </w:tc>
        <w:tc>
          <w:tcPr>
            <w:tcW w:w="1398" w:type="dxa"/>
          </w:tcPr>
          <w:p w14:paraId="7CF77503" w14:textId="77777777" w:rsidR="00070752" w:rsidRPr="006C29B9" w:rsidRDefault="00070752" w:rsidP="00C10647">
            <w:pPr>
              <w:shd w:val="clear" w:color="auto" w:fill="FFFFFF"/>
              <w:rPr>
                <w:rFonts w:ascii="Times New Roman" w:hAnsi="Times New Roman" w:cs="Times New Roman"/>
                <w:sz w:val="20"/>
                <w:szCs w:val="20"/>
              </w:rPr>
            </w:pPr>
          </w:p>
        </w:tc>
        <w:tc>
          <w:tcPr>
            <w:tcW w:w="2509" w:type="dxa"/>
            <w:gridSpan w:val="2"/>
          </w:tcPr>
          <w:p w14:paraId="3C50E90E" w14:textId="77777777" w:rsidR="00070752" w:rsidRPr="006C29B9" w:rsidRDefault="00070752" w:rsidP="00C10647">
            <w:pPr>
              <w:shd w:val="clear" w:color="auto" w:fill="FFFFFF"/>
              <w:rPr>
                <w:rFonts w:ascii="Times New Roman" w:hAnsi="Times New Roman" w:cs="Times New Roman"/>
                <w:sz w:val="20"/>
                <w:szCs w:val="20"/>
              </w:rPr>
            </w:pPr>
          </w:p>
        </w:tc>
        <w:tc>
          <w:tcPr>
            <w:tcW w:w="2602" w:type="dxa"/>
            <w:gridSpan w:val="2"/>
          </w:tcPr>
          <w:p w14:paraId="14151C15" w14:textId="34D9770D" w:rsidR="006C29B9" w:rsidRDefault="00070752" w:rsidP="00CA067F">
            <w:pPr>
              <w:shd w:val="clear" w:color="auto" w:fill="FFFFFF"/>
              <w:ind w:right="1603"/>
              <w:rPr>
                <w:rFonts w:ascii="Times New Roman" w:hAnsi="Times New Roman" w:cs="Times New Roman"/>
                <w:color w:val="000000"/>
                <w:sz w:val="20"/>
                <w:szCs w:val="20"/>
              </w:rPr>
            </w:pPr>
            <w:r w:rsidRPr="006C29B9">
              <w:rPr>
                <w:rFonts w:ascii="Times New Roman" w:hAnsi="Times New Roman" w:cs="Times New Roman"/>
                <w:color w:val="000000"/>
                <w:sz w:val="20"/>
                <w:szCs w:val="20"/>
              </w:rPr>
              <w:t>lOg/kg(</w:t>
            </w:r>
            <w:r w:rsidRPr="006C29B9">
              <w:rPr>
                <w:rFonts w:ascii="Times New Roman" w:hAnsi="Times New Roman" w:cs="Times New Roman"/>
                <w:color w:val="000000"/>
                <w:sz w:val="20"/>
                <w:szCs w:val="20"/>
                <w:vertAlign w:val="superscript"/>
              </w:rPr>
              <w:t>1</w:t>
            </w:r>
            <w:r w:rsidRPr="006C29B9">
              <w:rPr>
                <w:rFonts w:ascii="Times New Roman" w:hAnsi="Times New Roman" w:cs="Times New Roman"/>
                <w:color w:val="000000"/>
                <w:sz w:val="20"/>
                <w:szCs w:val="20"/>
              </w:rPr>
              <w:t>)</w:t>
            </w:r>
          </w:p>
          <w:p w14:paraId="09815333" w14:textId="77777777" w:rsidR="00CA067F" w:rsidRDefault="00CA067F" w:rsidP="00CA067F">
            <w:pPr>
              <w:shd w:val="clear" w:color="auto" w:fill="FFFFFF"/>
              <w:ind w:right="1603"/>
              <w:rPr>
                <w:rFonts w:ascii="Times New Roman" w:hAnsi="Times New Roman" w:cs="Times New Roman"/>
                <w:color w:val="000000"/>
                <w:sz w:val="20"/>
                <w:szCs w:val="20"/>
              </w:rPr>
            </w:pPr>
          </w:p>
          <w:p w14:paraId="07098665" w14:textId="3DA8A2FB" w:rsidR="00070752" w:rsidRPr="006C29B9" w:rsidRDefault="00070752" w:rsidP="00CA067F">
            <w:pPr>
              <w:shd w:val="clear" w:color="auto" w:fill="FFFFFF"/>
              <w:ind w:right="1603"/>
              <w:rPr>
                <w:rFonts w:ascii="Times New Roman" w:hAnsi="Times New Roman" w:cs="Times New Roman"/>
                <w:sz w:val="20"/>
                <w:szCs w:val="20"/>
              </w:rPr>
            </w:pPr>
            <w:r w:rsidRPr="006C29B9">
              <w:rPr>
                <w:rFonts w:ascii="Times New Roman" w:hAnsi="Times New Roman" w:cs="Times New Roman"/>
                <w:color w:val="000000"/>
                <w:sz w:val="20"/>
                <w:szCs w:val="20"/>
              </w:rPr>
              <w:t>5 g/kg (</w:t>
            </w:r>
            <w:r w:rsidRPr="006C29B9">
              <w:rPr>
                <w:rFonts w:ascii="Times New Roman" w:hAnsi="Times New Roman" w:cs="Times New Roman"/>
                <w:color w:val="000000"/>
                <w:sz w:val="20"/>
                <w:szCs w:val="20"/>
                <w:vertAlign w:val="superscript"/>
              </w:rPr>
              <w:t>2</w:t>
            </w:r>
            <w:r w:rsidRPr="006C29B9">
              <w:rPr>
                <w:rFonts w:ascii="Times New Roman" w:hAnsi="Times New Roman" w:cs="Times New Roman"/>
                <w:color w:val="000000"/>
                <w:sz w:val="20"/>
                <w:szCs w:val="20"/>
              </w:rPr>
              <w:t>)</w:t>
            </w:r>
          </w:p>
        </w:tc>
        <w:tc>
          <w:tcPr>
            <w:tcW w:w="3106" w:type="dxa"/>
          </w:tcPr>
          <w:p w14:paraId="13758F09" w14:textId="1E66A1F0" w:rsidR="00070752" w:rsidRPr="006C29B9" w:rsidRDefault="00070752" w:rsidP="00C10647">
            <w:pPr>
              <w:shd w:val="clear" w:color="auto" w:fill="FFFFFF"/>
              <w:tabs>
                <w:tab w:val="left" w:pos="230"/>
              </w:tabs>
              <w:ind w:firstLine="5"/>
              <w:rPr>
                <w:rFonts w:ascii="Times New Roman" w:hAnsi="Times New Roman" w:cs="Times New Roman"/>
                <w:sz w:val="20"/>
                <w:szCs w:val="20"/>
              </w:rPr>
            </w:pPr>
            <w:r w:rsidRPr="006C29B9">
              <w:rPr>
                <w:rFonts w:ascii="Times New Roman" w:hAnsi="Times New Roman" w:cs="Times New Roman"/>
                <w:color w:val="000000"/>
                <w:spacing w:val="-6"/>
                <w:sz w:val="20"/>
                <w:szCs w:val="20"/>
              </w:rPr>
              <w:t>(</w:t>
            </w:r>
            <w:r w:rsidRPr="006C29B9">
              <w:rPr>
                <w:rFonts w:ascii="Times New Roman" w:hAnsi="Times New Roman" w:cs="Times New Roman"/>
                <w:color w:val="000000"/>
                <w:spacing w:val="-6"/>
                <w:sz w:val="20"/>
                <w:szCs w:val="20"/>
                <w:vertAlign w:val="superscript"/>
              </w:rPr>
              <w:t>1</w:t>
            </w:r>
            <w:r w:rsidRPr="006C29B9">
              <w:rPr>
                <w:rFonts w:ascii="Times New Roman" w:hAnsi="Times New Roman" w:cs="Times New Roman"/>
                <w:color w:val="000000"/>
                <w:spacing w:val="-6"/>
                <w:sz w:val="20"/>
                <w:szCs w:val="20"/>
              </w:rPr>
              <w:t>)</w:t>
            </w:r>
            <w:r w:rsidRPr="006C29B9">
              <w:rPr>
                <w:rFonts w:ascii="Times New Roman" w:hAnsi="Times New Roman" w:cs="Times New Roman"/>
                <w:color w:val="000000"/>
                <w:sz w:val="20"/>
                <w:szCs w:val="20"/>
              </w:rPr>
              <w:tab/>
              <w:t>Telin ortalama çapının   &lt; 0,1 mm olduğu</w:t>
            </w:r>
            <w:r w:rsid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tesisler için geçerlidir.</w:t>
            </w:r>
          </w:p>
          <w:p w14:paraId="1FFD048B" w14:textId="77777777" w:rsidR="00070752" w:rsidRPr="006C29B9" w:rsidRDefault="00070752" w:rsidP="00C10647">
            <w:pPr>
              <w:shd w:val="clear" w:color="auto" w:fill="FFFFFF"/>
              <w:tabs>
                <w:tab w:val="left" w:pos="230"/>
              </w:tabs>
              <w:rPr>
                <w:rFonts w:ascii="Times New Roman" w:hAnsi="Times New Roman" w:cs="Times New Roman"/>
                <w:sz w:val="20"/>
                <w:szCs w:val="20"/>
              </w:rPr>
            </w:pPr>
            <w:r w:rsidRPr="006C29B9">
              <w:rPr>
                <w:rFonts w:ascii="Times New Roman" w:hAnsi="Times New Roman" w:cs="Times New Roman"/>
                <w:color w:val="000000"/>
                <w:spacing w:val="-6"/>
                <w:sz w:val="20"/>
                <w:szCs w:val="20"/>
              </w:rPr>
              <w:t>(</w:t>
            </w:r>
            <w:r w:rsidRPr="006C29B9">
              <w:rPr>
                <w:rFonts w:ascii="Times New Roman" w:hAnsi="Times New Roman" w:cs="Times New Roman"/>
                <w:color w:val="000000"/>
                <w:spacing w:val="-6"/>
                <w:sz w:val="20"/>
                <w:szCs w:val="20"/>
                <w:vertAlign w:val="superscript"/>
              </w:rPr>
              <w:t>2</w:t>
            </w:r>
            <w:r w:rsidRPr="006C29B9">
              <w:rPr>
                <w:rFonts w:ascii="Times New Roman" w:hAnsi="Times New Roman" w:cs="Times New Roman"/>
                <w:color w:val="000000"/>
                <w:spacing w:val="-6"/>
                <w:sz w:val="20"/>
                <w:szCs w:val="20"/>
              </w:rPr>
              <w:t>)</w:t>
            </w:r>
            <w:r w:rsidRPr="006C29B9">
              <w:rPr>
                <w:rFonts w:ascii="Times New Roman" w:hAnsi="Times New Roman" w:cs="Times New Roman"/>
                <w:color w:val="000000"/>
                <w:sz w:val="20"/>
                <w:szCs w:val="20"/>
              </w:rPr>
              <w:tab/>
              <w:t>Diğer tüm tesisler için geçerlidir.</w:t>
            </w:r>
          </w:p>
        </w:tc>
      </w:tr>
      <w:tr w:rsidR="00070752" w:rsidRPr="006C29B9" w14:paraId="4B09F814" w14:textId="77777777" w:rsidTr="00CA067F">
        <w:trPr>
          <w:trHeight w:hRule="exact" w:val="1827"/>
        </w:trPr>
        <w:tc>
          <w:tcPr>
            <w:tcW w:w="485" w:type="dxa"/>
          </w:tcPr>
          <w:p w14:paraId="5864D5D7"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10</w:t>
            </w:r>
          </w:p>
        </w:tc>
        <w:tc>
          <w:tcPr>
            <w:tcW w:w="3043" w:type="dxa"/>
          </w:tcPr>
          <w:p w14:paraId="2F6C7F4F"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Ahşap yüzey kaplama (&gt;15)</w:t>
            </w:r>
          </w:p>
        </w:tc>
        <w:tc>
          <w:tcPr>
            <w:tcW w:w="1306" w:type="dxa"/>
          </w:tcPr>
          <w:p w14:paraId="7CC0964F" w14:textId="77777777" w:rsidR="00CA067F" w:rsidRDefault="00070752" w:rsidP="00CA067F">
            <w:pPr>
              <w:shd w:val="clear" w:color="auto" w:fill="FFFFFF"/>
              <w:rPr>
                <w:rFonts w:ascii="Times New Roman" w:hAnsi="Times New Roman" w:cs="Times New Roman"/>
                <w:color w:val="000000"/>
                <w:spacing w:val="-3"/>
                <w:sz w:val="20"/>
                <w:szCs w:val="20"/>
              </w:rPr>
            </w:pPr>
            <w:r w:rsidRPr="006C29B9">
              <w:rPr>
                <w:rFonts w:ascii="Times New Roman" w:hAnsi="Times New Roman" w:cs="Times New Roman"/>
                <w:color w:val="000000"/>
                <w:spacing w:val="-3"/>
                <w:sz w:val="20"/>
                <w:szCs w:val="20"/>
              </w:rPr>
              <w:t>15—25</w:t>
            </w:r>
          </w:p>
          <w:p w14:paraId="705CCA3F" w14:textId="6D3DF3D8"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&gt;25</w:t>
            </w:r>
          </w:p>
        </w:tc>
        <w:tc>
          <w:tcPr>
            <w:tcW w:w="1398" w:type="dxa"/>
          </w:tcPr>
          <w:p w14:paraId="32C7B6D8" w14:textId="77777777"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w w:val="81"/>
                <w:sz w:val="20"/>
                <w:szCs w:val="20"/>
              </w:rPr>
              <w:t>100(</w:t>
            </w:r>
            <w:r w:rsidRPr="006C29B9">
              <w:rPr>
                <w:rFonts w:ascii="Times New Roman" w:hAnsi="Times New Roman" w:cs="Times New Roman"/>
                <w:color w:val="000000"/>
                <w:w w:val="81"/>
                <w:sz w:val="20"/>
                <w:szCs w:val="20"/>
                <w:vertAlign w:val="superscript"/>
              </w:rPr>
              <w:t>1</w:t>
            </w:r>
            <w:r w:rsidRPr="006C29B9">
              <w:rPr>
                <w:rFonts w:ascii="Times New Roman" w:hAnsi="Times New Roman" w:cs="Times New Roman"/>
                <w:color w:val="000000"/>
                <w:w w:val="81"/>
                <w:sz w:val="20"/>
                <w:szCs w:val="20"/>
              </w:rPr>
              <w:t>)</w:t>
            </w:r>
          </w:p>
          <w:p w14:paraId="32BE3BEF" w14:textId="77777777"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50/75 (</w:t>
            </w:r>
            <w:r w:rsidRPr="006C29B9">
              <w:rPr>
                <w:rFonts w:ascii="Times New Roman" w:hAnsi="Times New Roman" w:cs="Times New Roman"/>
                <w:color w:val="000000"/>
                <w:sz w:val="20"/>
                <w:szCs w:val="20"/>
                <w:vertAlign w:val="superscript"/>
              </w:rPr>
              <w:t>2</w:t>
            </w:r>
            <w:r w:rsidRPr="006C29B9">
              <w:rPr>
                <w:rFonts w:ascii="Times New Roman" w:hAnsi="Times New Roman" w:cs="Times New Roman"/>
                <w:color w:val="000000"/>
                <w:sz w:val="20"/>
                <w:szCs w:val="20"/>
              </w:rPr>
              <w:t>)</w:t>
            </w:r>
          </w:p>
        </w:tc>
        <w:tc>
          <w:tcPr>
            <w:tcW w:w="2509" w:type="dxa"/>
            <w:gridSpan w:val="2"/>
          </w:tcPr>
          <w:p w14:paraId="7C979698" w14:textId="77777777" w:rsidR="00CA067F" w:rsidRDefault="00070752" w:rsidP="00CA067F">
            <w:pPr>
              <w:shd w:val="clear" w:color="auto" w:fill="FFFFFF"/>
              <w:rPr>
                <w:rFonts w:ascii="Times New Roman" w:hAnsi="Times New Roman" w:cs="Times New Roman"/>
                <w:color w:val="000000"/>
                <w:sz w:val="20"/>
                <w:szCs w:val="20"/>
              </w:rPr>
            </w:pPr>
            <w:r w:rsidRPr="006C29B9">
              <w:rPr>
                <w:rFonts w:ascii="Times New Roman" w:hAnsi="Times New Roman" w:cs="Times New Roman"/>
                <w:color w:val="000000"/>
                <w:sz w:val="20"/>
                <w:szCs w:val="20"/>
              </w:rPr>
              <w:t>25</w:t>
            </w:r>
          </w:p>
          <w:p w14:paraId="470E13E5" w14:textId="54A2976A" w:rsidR="00070752" w:rsidRPr="006C29B9" w:rsidRDefault="00070752" w:rsidP="00CA067F">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20</w:t>
            </w:r>
          </w:p>
        </w:tc>
        <w:tc>
          <w:tcPr>
            <w:tcW w:w="2602" w:type="dxa"/>
            <w:gridSpan w:val="2"/>
          </w:tcPr>
          <w:p w14:paraId="021E0A64" w14:textId="77777777" w:rsidR="00070752" w:rsidRPr="006C29B9" w:rsidRDefault="00070752" w:rsidP="00C10647">
            <w:pPr>
              <w:shd w:val="clear" w:color="auto" w:fill="FFFFFF"/>
              <w:rPr>
                <w:rFonts w:ascii="Times New Roman" w:hAnsi="Times New Roman" w:cs="Times New Roman"/>
                <w:sz w:val="20"/>
                <w:szCs w:val="20"/>
              </w:rPr>
            </w:pPr>
          </w:p>
        </w:tc>
        <w:tc>
          <w:tcPr>
            <w:tcW w:w="3106" w:type="dxa"/>
          </w:tcPr>
          <w:p w14:paraId="55815BC5" w14:textId="7A78B664" w:rsidR="00070752" w:rsidRPr="006C29B9" w:rsidRDefault="00070752" w:rsidP="00CA067F">
            <w:pPr>
              <w:shd w:val="clear" w:color="auto" w:fill="FFFFFF"/>
              <w:tabs>
                <w:tab w:val="left" w:pos="226"/>
              </w:tabs>
              <w:ind w:right="53" w:firstLine="5"/>
              <w:jc w:val="both"/>
              <w:rPr>
                <w:rFonts w:ascii="Times New Roman" w:hAnsi="Times New Roman" w:cs="Times New Roman"/>
                <w:sz w:val="20"/>
                <w:szCs w:val="20"/>
              </w:rPr>
            </w:pPr>
            <w:r w:rsidRPr="006C29B9">
              <w:rPr>
                <w:rFonts w:ascii="Times New Roman" w:hAnsi="Times New Roman" w:cs="Times New Roman"/>
                <w:color w:val="000000"/>
                <w:spacing w:val="-4"/>
                <w:sz w:val="20"/>
                <w:szCs w:val="20"/>
              </w:rPr>
              <w:t>(</w:t>
            </w:r>
            <w:r w:rsidRPr="006C29B9">
              <w:rPr>
                <w:rFonts w:ascii="Times New Roman" w:hAnsi="Times New Roman" w:cs="Times New Roman"/>
                <w:color w:val="000000"/>
                <w:spacing w:val="-4"/>
                <w:sz w:val="20"/>
                <w:szCs w:val="20"/>
                <w:vertAlign w:val="superscript"/>
              </w:rPr>
              <w:t>1</w:t>
            </w:r>
            <w:r w:rsidRPr="006C29B9">
              <w:rPr>
                <w:rFonts w:ascii="Times New Roman" w:hAnsi="Times New Roman" w:cs="Times New Roman"/>
                <w:color w:val="000000"/>
                <w:spacing w:val="-4"/>
                <w:sz w:val="20"/>
                <w:szCs w:val="20"/>
              </w:rPr>
              <w:t>)</w:t>
            </w:r>
            <w:r w:rsidRPr="006C29B9">
              <w:rPr>
                <w:rFonts w:ascii="Times New Roman" w:hAnsi="Times New Roman" w:cs="Times New Roman"/>
                <w:color w:val="000000"/>
                <w:sz w:val="20"/>
                <w:szCs w:val="20"/>
              </w:rPr>
              <w:tab/>
              <w:t>Emisyon sınır değeri kapalı koşullarda</w:t>
            </w:r>
            <w:r w:rsidR="00CA067F">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yapılan kaplama ve kurutma işlemleri için</w:t>
            </w:r>
            <w:r w:rsidR="00CA067F">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geçerlidir.</w:t>
            </w:r>
          </w:p>
          <w:p w14:paraId="2BDE9055" w14:textId="77777777" w:rsidR="00CA067F" w:rsidRDefault="00CA067F" w:rsidP="00CA067F">
            <w:pPr>
              <w:shd w:val="clear" w:color="auto" w:fill="FFFFFF"/>
              <w:tabs>
                <w:tab w:val="left" w:pos="226"/>
              </w:tabs>
              <w:ind w:right="53" w:firstLine="5"/>
              <w:jc w:val="both"/>
              <w:rPr>
                <w:rFonts w:ascii="Times New Roman" w:hAnsi="Times New Roman" w:cs="Times New Roman"/>
                <w:color w:val="000000"/>
                <w:spacing w:val="-7"/>
                <w:sz w:val="20"/>
                <w:szCs w:val="20"/>
              </w:rPr>
            </w:pPr>
          </w:p>
          <w:p w14:paraId="5EAA6C4F" w14:textId="03FA1404" w:rsidR="00070752" w:rsidRPr="006C29B9" w:rsidRDefault="00070752" w:rsidP="00CA067F">
            <w:pPr>
              <w:shd w:val="clear" w:color="auto" w:fill="FFFFFF"/>
              <w:tabs>
                <w:tab w:val="left" w:pos="226"/>
              </w:tabs>
              <w:ind w:right="53" w:firstLine="5"/>
              <w:jc w:val="both"/>
              <w:rPr>
                <w:rFonts w:ascii="Times New Roman" w:hAnsi="Times New Roman" w:cs="Times New Roman"/>
                <w:sz w:val="20"/>
                <w:szCs w:val="20"/>
              </w:rPr>
            </w:pPr>
            <w:r w:rsidRPr="006C29B9">
              <w:rPr>
                <w:rFonts w:ascii="Times New Roman" w:hAnsi="Times New Roman" w:cs="Times New Roman"/>
                <w:color w:val="000000"/>
                <w:spacing w:val="-7"/>
                <w:sz w:val="20"/>
                <w:szCs w:val="20"/>
              </w:rPr>
              <w:t>(</w:t>
            </w:r>
            <w:r w:rsidRPr="006C29B9">
              <w:rPr>
                <w:rFonts w:ascii="Times New Roman" w:hAnsi="Times New Roman" w:cs="Times New Roman"/>
                <w:color w:val="000000"/>
                <w:spacing w:val="-7"/>
                <w:sz w:val="20"/>
                <w:szCs w:val="20"/>
                <w:vertAlign w:val="superscript"/>
              </w:rPr>
              <w:t>2</w:t>
            </w:r>
            <w:r w:rsidRPr="006C29B9">
              <w:rPr>
                <w:rFonts w:ascii="Times New Roman" w:hAnsi="Times New Roman" w:cs="Times New Roman"/>
                <w:color w:val="000000"/>
                <w:spacing w:val="-7"/>
                <w:sz w:val="20"/>
                <w:szCs w:val="20"/>
              </w:rPr>
              <w:t>)</w:t>
            </w:r>
            <w:r w:rsidRPr="006C29B9">
              <w:rPr>
                <w:rFonts w:ascii="Times New Roman" w:hAnsi="Times New Roman" w:cs="Times New Roman"/>
                <w:color w:val="000000"/>
                <w:sz w:val="20"/>
                <w:szCs w:val="20"/>
              </w:rPr>
              <w:tab/>
              <w:t>Birinci değer kurutma işlemleri, ikinci</w:t>
            </w:r>
            <w:r w:rsidR="006C29B9" w:rsidRP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değer kaplama işlemleri için geçerlidir.</w:t>
            </w:r>
          </w:p>
        </w:tc>
      </w:tr>
      <w:tr w:rsidR="00070752" w:rsidRPr="006C29B9" w14:paraId="1AB37C84" w14:textId="77777777" w:rsidTr="00CA067F">
        <w:trPr>
          <w:trHeight w:hRule="exact" w:val="2536"/>
        </w:trPr>
        <w:tc>
          <w:tcPr>
            <w:tcW w:w="485" w:type="dxa"/>
          </w:tcPr>
          <w:p w14:paraId="587EE7E3"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11</w:t>
            </w:r>
          </w:p>
        </w:tc>
        <w:tc>
          <w:tcPr>
            <w:tcW w:w="3043" w:type="dxa"/>
          </w:tcPr>
          <w:p w14:paraId="1792DA64"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Kuru temizleme</w:t>
            </w:r>
          </w:p>
        </w:tc>
        <w:tc>
          <w:tcPr>
            <w:tcW w:w="1306" w:type="dxa"/>
          </w:tcPr>
          <w:p w14:paraId="77D0E985" w14:textId="77777777" w:rsidR="00070752" w:rsidRPr="006C29B9" w:rsidRDefault="00070752" w:rsidP="00C10647">
            <w:pPr>
              <w:shd w:val="clear" w:color="auto" w:fill="FFFFFF"/>
              <w:rPr>
                <w:rFonts w:ascii="Times New Roman" w:hAnsi="Times New Roman" w:cs="Times New Roman"/>
                <w:sz w:val="20"/>
                <w:szCs w:val="20"/>
              </w:rPr>
            </w:pPr>
          </w:p>
        </w:tc>
        <w:tc>
          <w:tcPr>
            <w:tcW w:w="1398" w:type="dxa"/>
          </w:tcPr>
          <w:p w14:paraId="249B8030" w14:textId="77777777" w:rsidR="00070752" w:rsidRPr="006C29B9" w:rsidRDefault="00070752" w:rsidP="00C10647">
            <w:pPr>
              <w:shd w:val="clear" w:color="auto" w:fill="FFFFFF"/>
              <w:rPr>
                <w:rFonts w:ascii="Times New Roman" w:hAnsi="Times New Roman" w:cs="Times New Roman"/>
                <w:sz w:val="20"/>
                <w:szCs w:val="20"/>
              </w:rPr>
            </w:pPr>
          </w:p>
        </w:tc>
        <w:tc>
          <w:tcPr>
            <w:tcW w:w="2509" w:type="dxa"/>
            <w:gridSpan w:val="2"/>
          </w:tcPr>
          <w:p w14:paraId="7C91886D" w14:textId="77777777" w:rsidR="00070752" w:rsidRPr="006C29B9" w:rsidRDefault="00070752" w:rsidP="00C10647">
            <w:pPr>
              <w:shd w:val="clear" w:color="auto" w:fill="FFFFFF"/>
              <w:rPr>
                <w:rFonts w:ascii="Times New Roman" w:hAnsi="Times New Roman" w:cs="Times New Roman"/>
                <w:sz w:val="20"/>
                <w:szCs w:val="20"/>
              </w:rPr>
            </w:pPr>
          </w:p>
        </w:tc>
        <w:tc>
          <w:tcPr>
            <w:tcW w:w="2602" w:type="dxa"/>
            <w:gridSpan w:val="2"/>
          </w:tcPr>
          <w:p w14:paraId="762BB960" w14:textId="77777777" w:rsidR="00070752" w:rsidRPr="006C29B9" w:rsidRDefault="00070752" w:rsidP="00C10647">
            <w:pPr>
              <w:shd w:val="clear" w:color="auto" w:fill="FFFFFF"/>
              <w:rPr>
                <w:rFonts w:ascii="Times New Roman" w:hAnsi="Times New Roman" w:cs="Times New Roman"/>
                <w:sz w:val="20"/>
                <w:szCs w:val="20"/>
              </w:rPr>
            </w:pPr>
            <w:r w:rsidRPr="006C29B9">
              <w:rPr>
                <w:rFonts w:ascii="Times New Roman" w:hAnsi="Times New Roman" w:cs="Times New Roman"/>
                <w:color w:val="000000"/>
                <w:sz w:val="20"/>
                <w:szCs w:val="20"/>
              </w:rPr>
              <w:t>20g/kg(1) (</w:t>
            </w:r>
            <w:r w:rsidRPr="006C29B9">
              <w:rPr>
                <w:rFonts w:ascii="Times New Roman" w:hAnsi="Times New Roman" w:cs="Times New Roman"/>
                <w:color w:val="000000"/>
                <w:sz w:val="20"/>
                <w:szCs w:val="20"/>
                <w:vertAlign w:val="superscript"/>
              </w:rPr>
              <w:t>2</w:t>
            </w:r>
            <w:r w:rsidRPr="006C29B9">
              <w:rPr>
                <w:rFonts w:ascii="Times New Roman" w:hAnsi="Times New Roman" w:cs="Times New Roman"/>
                <w:color w:val="000000"/>
                <w:sz w:val="20"/>
                <w:szCs w:val="20"/>
              </w:rPr>
              <w:t>)</w:t>
            </w:r>
          </w:p>
        </w:tc>
        <w:tc>
          <w:tcPr>
            <w:tcW w:w="3106" w:type="dxa"/>
          </w:tcPr>
          <w:p w14:paraId="06739AC7" w14:textId="24E80537" w:rsidR="00070752" w:rsidRDefault="00070752" w:rsidP="00C10647">
            <w:pPr>
              <w:shd w:val="clear" w:color="auto" w:fill="FFFFFF"/>
              <w:tabs>
                <w:tab w:val="left" w:pos="226"/>
              </w:tabs>
              <w:ind w:firstLine="5"/>
              <w:rPr>
                <w:rFonts w:ascii="Times New Roman" w:hAnsi="Times New Roman" w:cs="Times New Roman"/>
                <w:color w:val="000000"/>
                <w:sz w:val="20"/>
                <w:szCs w:val="20"/>
              </w:rPr>
            </w:pPr>
            <w:r w:rsidRPr="006C29B9">
              <w:rPr>
                <w:rFonts w:ascii="Times New Roman" w:hAnsi="Times New Roman" w:cs="Times New Roman"/>
                <w:color w:val="000000"/>
                <w:spacing w:val="-4"/>
                <w:sz w:val="20"/>
                <w:szCs w:val="20"/>
              </w:rPr>
              <w:t>(</w:t>
            </w:r>
            <w:r w:rsidRPr="006C29B9">
              <w:rPr>
                <w:rFonts w:ascii="Times New Roman" w:hAnsi="Times New Roman" w:cs="Times New Roman"/>
                <w:color w:val="000000"/>
                <w:spacing w:val="-4"/>
                <w:sz w:val="20"/>
                <w:szCs w:val="20"/>
                <w:vertAlign w:val="superscript"/>
              </w:rPr>
              <w:t>1</w:t>
            </w:r>
            <w:r w:rsidRPr="006C29B9">
              <w:rPr>
                <w:rFonts w:ascii="Times New Roman" w:hAnsi="Times New Roman" w:cs="Times New Roman"/>
                <w:color w:val="000000"/>
                <w:spacing w:val="-4"/>
                <w:sz w:val="20"/>
                <w:szCs w:val="20"/>
              </w:rPr>
              <w:t>)</w:t>
            </w:r>
            <w:r w:rsidRPr="006C29B9">
              <w:rPr>
                <w:rFonts w:ascii="Times New Roman" w:hAnsi="Times New Roman" w:cs="Times New Roman"/>
                <w:color w:val="000000"/>
                <w:sz w:val="20"/>
                <w:szCs w:val="20"/>
              </w:rPr>
              <w:tab/>
              <w:t>Temizlenen ve kurutulan her kilogram</w:t>
            </w:r>
            <w:r w:rsidR="00CA067F">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ürüne uygulanan solvent kütlesi olarak ifade</w:t>
            </w:r>
            <w:r w:rsidR="00CA067F">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edilir.</w:t>
            </w:r>
          </w:p>
          <w:p w14:paraId="741CC2C1" w14:textId="77777777" w:rsidR="00CA067F" w:rsidRPr="006C29B9" w:rsidRDefault="00CA067F" w:rsidP="00C10647">
            <w:pPr>
              <w:shd w:val="clear" w:color="auto" w:fill="FFFFFF"/>
              <w:tabs>
                <w:tab w:val="left" w:pos="226"/>
              </w:tabs>
              <w:ind w:firstLine="5"/>
              <w:rPr>
                <w:rFonts w:ascii="Times New Roman" w:hAnsi="Times New Roman" w:cs="Times New Roman"/>
                <w:sz w:val="20"/>
                <w:szCs w:val="20"/>
              </w:rPr>
            </w:pPr>
          </w:p>
          <w:p w14:paraId="1C05845C" w14:textId="0365833F" w:rsidR="00070752" w:rsidRPr="006C29B9" w:rsidRDefault="00070752" w:rsidP="00CA067F">
            <w:pPr>
              <w:shd w:val="clear" w:color="auto" w:fill="FFFFFF"/>
              <w:tabs>
                <w:tab w:val="left" w:pos="226"/>
              </w:tabs>
              <w:ind w:firstLine="5"/>
              <w:jc w:val="both"/>
              <w:rPr>
                <w:rFonts w:ascii="Times New Roman" w:hAnsi="Times New Roman" w:cs="Times New Roman"/>
                <w:sz w:val="20"/>
                <w:szCs w:val="20"/>
              </w:rPr>
            </w:pPr>
            <w:r w:rsidRPr="006C29B9">
              <w:rPr>
                <w:rFonts w:ascii="Times New Roman" w:hAnsi="Times New Roman" w:cs="Times New Roman"/>
                <w:color w:val="000000"/>
                <w:spacing w:val="-7"/>
                <w:sz w:val="20"/>
                <w:szCs w:val="20"/>
              </w:rPr>
              <w:t>(</w:t>
            </w:r>
            <w:r w:rsidRPr="006C29B9">
              <w:rPr>
                <w:rFonts w:ascii="Times New Roman" w:hAnsi="Times New Roman" w:cs="Times New Roman"/>
                <w:color w:val="000000"/>
                <w:spacing w:val="-7"/>
                <w:sz w:val="20"/>
                <w:szCs w:val="20"/>
                <w:vertAlign w:val="superscript"/>
              </w:rPr>
              <w:t>2</w:t>
            </w:r>
            <w:r w:rsidRPr="006C29B9">
              <w:rPr>
                <w:rFonts w:ascii="Times New Roman" w:hAnsi="Times New Roman" w:cs="Times New Roman"/>
                <w:color w:val="000000"/>
                <w:spacing w:val="-7"/>
                <w:sz w:val="20"/>
                <w:szCs w:val="20"/>
              </w:rPr>
              <w:t>)</w:t>
            </w:r>
            <w:r w:rsidRPr="006C29B9">
              <w:rPr>
                <w:rFonts w:ascii="Times New Roman" w:hAnsi="Times New Roman" w:cs="Times New Roman"/>
                <w:color w:val="000000"/>
                <w:sz w:val="20"/>
                <w:szCs w:val="20"/>
              </w:rPr>
              <w:tab/>
            </w:r>
            <w:r w:rsidR="006C29B9" w:rsidRPr="006C29B9">
              <w:rPr>
                <w:rFonts w:ascii="Times New Roman" w:hAnsi="Times New Roman" w:cs="Times New Roman"/>
                <w:color w:val="000000"/>
                <w:sz w:val="20"/>
                <w:szCs w:val="20"/>
              </w:rPr>
              <w:t xml:space="preserve">Bölüm C </w:t>
            </w:r>
            <w:r w:rsidRPr="006C29B9">
              <w:rPr>
                <w:rFonts w:ascii="Times New Roman" w:hAnsi="Times New Roman" w:cs="Times New Roman"/>
                <w:color w:val="000000"/>
                <w:sz w:val="20"/>
                <w:szCs w:val="20"/>
              </w:rPr>
              <w:t>2</w:t>
            </w:r>
            <w:r w:rsidR="00CA067F">
              <w:rPr>
                <w:rFonts w:ascii="Times New Roman" w:hAnsi="Times New Roman" w:cs="Times New Roman"/>
                <w:color w:val="000000"/>
                <w:sz w:val="20"/>
                <w:szCs w:val="20"/>
              </w:rPr>
              <w:t xml:space="preserve"> nci </w:t>
            </w:r>
            <w:r w:rsidR="006C29B9" w:rsidRPr="006C29B9">
              <w:rPr>
                <w:rFonts w:ascii="Times New Roman" w:hAnsi="Times New Roman" w:cs="Times New Roman"/>
                <w:color w:val="000000"/>
                <w:sz w:val="20"/>
                <w:szCs w:val="20"/>
              </w:rPr>
              <w:t>madded</w:t>
            </w:r>
            <w:r w:rsidRPr="006C29B9">
              <w:rPr>
                <w:rFonts w:ascii="Times New Roman" w:hAnsi="Times New Roman" w:cs="Times New Roman"/>
                <w:color w:val="000000"/>
                <w:sz w:val="20"/>
                <w:szCs w:val="20"/>
              </w:rPr>
              <w:t>eki emisyon sınır değeri</w:t>
            </w:r>
            <w:r w:rsidR="006C29B9" w:rsidRPr="006C29B9">
              <w:rPr>
                <w:rFonts w:ascii="Times New Roman" w:hAnsi="Times New Roman" w:cs="Times New Roman"/>
                <w:color w:val="000000"/>
                <w:sz w:val="20"/>
                <w:szCs w:val="20"/>
              </w:rPr>
              <w:t xml:space="preserve"> </w:t>
            </w:r>
            <w:r w:rsidRPr="006C29B9">
              <w:rPr>
                <w:rFonts w:ascii="Times New Roman" w:hAnsi="Times New Roman" w:cs="Times New Roman"/>
                <w:color w:val="000000"/>
                <w:sz w:val="20"/>
                <w:szCs w:val="20"/>
              </w:rPr>
              <w:t>bu faaliyet için geçerli değildir.</w:t>
            </w:r>
          </w:p>
        </w:tc>
      </w:tr>
    </w:tbl>
    <w:p w14:paraId="72BC852E" w14:textId="77777777" w:rsidR="00070752" w:rsidRDefault="00070752" w:rsidP="00070752">
      <w:pPr>
        <w:spacing w:line="240" w:lineRule="auto"/>
        <w:rPr>
          <w:rFonts w:ascii="Times New Roman" w:hAnsi="Times New Roman" w:cs="Times New Roman"/>
          <w:sz w:val="24"/>
          <w:szCs w:val="24"/>
        </w:rPr>
      </w:pPr>
    </w:p>
    <w:p w14:paraId="454E1C83" w14:textId="77777777" w:rsidR="00070752" w:rsidRPr="00070752" w:rsidRDefault="00070752" w:rsidP="00070752">
      <w:pPr>
        <w:rPr>
          <w:rFonts w:ascii="Times New Roman" w:hAnsi="Times New Roman" w:cs="Times New Roman"/>
          <w:sz w:val="24"/>
          <w:szCs w:val="24"/>
        </w:rPr>
        <w:sectPr w:rsidR="00070752" w:rsidRPr="00070752">
          <w:type w:val="continuous"/>
          <w:pgSz w:w="16834" w:h="11909" w:orient="landscape"/>
          <w:pgMar w:top="1440" w:right="1194" w:bottom="720" w:left="1193" w:header="708" w:footer="708" w:gutter="0"/>
          <w:cols w:space="60"/>
          <w:noEndnote/>
        </w:sectPr>
      </w:pPr>
    </w:p>
    <w:p w14:paraId="60A8AF85" w14:textId="77777777" w:rsidR="00070752" w:rsidRPr="002E5F0F" w:rsidRDefault="00070752" w:rsidP="00070752">
      <w:pPr>
        <w:shd w:val="clear" w:color="auto" w:fill="FFFFFF"/>
        <w:spacing w:line="240" w:lineRule="auto"/>
        <w:rPr>
          <w:rFonts w:ascii="Times New Roman" w:hAnsi="Times New Roman" w:cs="Times New Roman"/>
          <w:sz w:val="24"/>
          <w:szCs w:val="24"/>
        </w:rPr>
        <w:sectPr w:rsidR="00070752" w:rsidRPr="002E5F0F">
          <w:pgSz w:w="16834" w:h="11909" w:orient="landscape"/>
          <w:pgMar w:top="1440" w:right="6245" w:bottom="720" w:left="1224" w:header="708" w:footer="708" w:gutter="0"/>
          <w:cols w:num="3" w:space="708" w:equalWidth="0">
            <w:col w:w="2001" w:space="1598"/>
            <w:col w:w="2472" w:space="2568"/>
            <w:col w:w="724"/>
          </w:cols>
          <w:noEndnote/>
        </w:sectPr>
      </w:pPr>
    </w:p>
    <w:tbl>
      <w:tblPr>
        <w:tblStyle w:val="TabloKlavuzu15"/>
        <w:tblW w:w="14444" w:type="dxa"/>
        <w:tblLayout w:type="fixed"/>
        <w:tblLook w:val="0000" w:firstRow="0" w:lastRow="0" w:firstColumn="0" w:lastColumn="0" w:noHBand="0" w:noVBand="0"/>
      </w:tblPr>
      <w:tblGrid>
        <w:gridCol w:w="485"/>
        <w:gridCol w:w="3043"/>
        <w:gridCol w:w="1306"/>
        <w:gridCol w:w="1301"/>
        <w:gridCol w:w="1303"/>
        <w:gridCol w:w="1303"/>
        <w:gridCol w:w="1301"/>
        <w:gridCol w:w="1301"/>
        <w:gridCol w:w="3101"/>
      </w:tblGrid>
      <w:tr w:rsidR="00070752" w:rsidRPr="000F22A4" w14:paraId="646775E2" w14:textId="77777777" w:rsidTr="00CA067F">
        <w:trPr>
          <w:trHeight w:hRule="exact" w:val="1420"/>
        </w:trPr>
        <w:tc>
          <w:tcPr>
            <w:tcW w:w="485" w:type="dxa"/>
          </w:tcPr>
          <w:p w14:paraId="42626AAA" w14:textId="77777777" w:rsidR="00070752" w:rsidRPr="000F22A4" w:rsidRDefault="00070752" w:rsidP="00C10647">
            <w:pPr>
              <w:shd w:val="clear" w:color="auto" w:fill="FFFFFF"/>
              <w:rPr>
                <w:rFonts w:ascii="Times New Roman" w:hAnsi="Times New Roman" w:cs="Times New Roman"/>
                <w:sz w:val="20"/>
                <w:szCs w:val="20"/>
              </w:rPr>
            </w:pPr>
          </w:p>
        </w:tc>
        <w:tc>
          <w:tcPr>
            <w:tcW w:w="3043" w:type="dxa"/>
            <w:vMerge w:val="restart"/>
          </w:tcPr>
          <w:p w14:paraId="54A2E46F" w14:textId="77777777" w:rsidR="00070752" w:rsidRPr="00CA067F" w:rsidRDefault="00070752" w:rsidP="00CA067F">
            <w:pPr>
              <w:shd w:val="clear" w:color="auto" w:fill="FFFFFF"/>
              <w:rPr>
                <w:rFonts w:ascii="Times New Roman" w:hAnsi="Times New Roman" w:cs="Times New Roman"/>
                <w:b/>
                <w:bCs/>
                <w:sz w:val="20"/>
                <w:szCs w:val="20"/>
              </w:rPr>
            </w:pPr>
            <w:r w:rsidRPr="00CA067F">
              <w:rPr>
                <w:rFonts w:ascii="Times New Roman" w:hAnsi="Times New Roman" w:cs="Times New Roman"/>
                <w:b/>
                <w:bCs/>
                <w:color w:val="000000"/>
                <w:spacing w:val="-6"/>
                <w:sz w:val="20"/>
                <w:szCs w:val="20"/>
              </w:rPr>
              <w:t>Faaliyet (ton/yıl solvent tüketim sınırı)</w:t>
            </w:r>
          </w:p>
        </w:tc>
        <w:tc>
          <w:tcPr>
            <w:tcW w:w="1306" w:type="dxa"/>
            <w:vMerge w:val="restart"/>
          </w:tcPr>
          <w:p w14:paraId="082246A7" w14:textId="77777777" w:rsidR="00070752" w:rsidRPr="00CA067F" w:rsidRDefault="00070752" w:rsidP="00C10647">
            <w:pPr>
              <w:shd w:val="clear" w:color="auto" w:fill="FFFFFF"/>
              <w:rPr>
                <w:rFonts w:ascii="Times New Roman" w:hAnsi="Times New Roman" w:cs="Times New Roman"/>
                <w:b/>
                <w:bCs/>
                <w:sz w:val="20"/>
                <w:szCs w:val="20"/>
              </w:rPr>
            </w:pPr>
            <w:r w:rsidRPr="00CA067F">
              <w:rPr>
                <w:rFonts w:ascii="Times New Roman" w:hAnsi="Times New Roman" w:cs="Times New Roman"/>
                <w:b/>
                <w:bCs/>
                <w:color w:val="000000"/>
                <w:spacing w:val="-6"/>
                <w:sz w:val="20"/>
                <w:szCs w:val="20"/>
              </w:rPr>
              <w:t xml:space="preserve">Sınır (ton/yıl solvent </w:t>
            </w:r>
            <w:r w:rsidRPr="00CA067F">
              <w:rPr>
                <w:rFonts w:ascii="Times New Roman" w:hAnsi="Times New Roman" w:cs="Times New Roman"/>
                <w:b/>
                <w:bCs/>
                <w:color w:val="000000"/>
                <w:sz w:val="20"/>
                <w:szCs w:val="20"/>
              </w:rPr>
              <w:t>tüketimi)</w:t>
            </w:r>
          </w:p>
        </w:tc>
        <w:tc>
          <w:tcPr>
            <w:tcW w:w="1301" w:type="dxa"/>
            <w:vMerge w:val="restart"/>
          </w:tcPr>
          <w:p w14:paraId="530DCF33" w14:textId="14386472" w:rsidR="00070752" w:rsidRPr="00CA067F" w:rsidRDefault="00070752" w:rsidP="00CA067F">
            <w:pPr>
              <w:shd w:val="clear" w:color="auto" w:fill="FFFFFF"/>
              <w:rPr>
                <w:rFonts w:ascii="Times New Roman" w:hAnsi="Times New Roman" w:cs="Times New Roman"/>
                <w:b/>
                <w:bCs/>
                <w:sz w:val="20"/>
                <w:szCs w:val="20"/>
              </w:rPr>
            </w:pPr>
            <w:r w:rsidRPr="00CA067F">
              <w:rPr>
                <w:rFonts w:ascii="Times New Roman" w:hAnsi="Times New Roman" w:cs="Times New Roman"/>
                <w:b/>
                <w:bCs/>
                <w:color w:val="000000"/>
                <w:sz w:val="20"/>
                <w:szCs w:val="20"/>
              </w:rPr>
              <w:t>Atık</w:t>
            </w:r>
            <w:r w:rsidR="00CA067F">
              <w:rPr>
                <w:rFonts w:ascii="Times New Roman" w:hAnsi="Times New Roman" w:cs="Times New Roman"/>
                <w:b/>
                <w:bCs/>
                <w:color w:val="000000"/>
                <w:sz w:val="20"/>
                <w:szCs w:val="20"/>
              </w:rPr>
              <w:t xml:space="preserve"> </w:t>
            </w:r>
            <w:r w:rsidRPr="00CA067F">
              <w:rPr>
                <w:rFonts w:ascii="Times New Roman" w:hAnsi="Times New Roman" w:cs="Times New Roman"/>
                <w:b/>
                <w:bCs/>
                <w:color w:val="000000"/>
                <w:sz w:val="20"/>
                <w:szCs w:val="20"/>
              </w:rPr>
              <w:t>gazlarda</w:t>
            </w:r>
            <w:r w:rsidR="00CA067F">
              <w:rPr>
                <w:rFonts w:ascii="Times New Roman" w:hAnsi="Times New Roman" w:cs="Times New Roman"/>
                <w:b/>
                <w:bCs/>
                <w:sz w:val="20"/>
                <w:szCs w:val="20"/>
              </w:rPr>
              <w:t xml:space="preserve"> </w:t>
            </w:r>
            <w:r w:rsidRPr="00CA067F">
              <w:rPr>
                <w:rFonts w:ascii="Times New Roman" w:hAnsi="Times New Roman" w:cs="Times New Roman"/>
                <w:b/>
                <w:bCs/>
                <w:color w:val="000000"/>
                <w:sz w:val="20"/>
                <w:szCs w:val="20"/>
              </w:rPr>
              <w:t>emisyon sınır</w:t>
            </w:r>
            <w:r w:rsidR="00CA067F">
              <w:rPr>
                <w:rFonts w:ascii="Times New Roman" w:hAnsi="Times New Roman" w:cs="Times New Roman"/>
                <w:b/>
                <w:bCs/>
                <w:sz w:val="20"/>
                <w:szCs w:val="20"/>
              </w:rPr>
              <w:t xml:space="preserve"> </w:t>
            </w:r>
            <w:r w:rsidRPr="00CA067F">
              <w:rPr>
                <w:rFonts w:ascii="Times New Roman" w:hAnsi="Times New Roman" w:cs="Times New Roman"/>
                <w:b/>
                <w:bCs/>
                <w:color w:val="000000"/>
                <w:spacing w:val="-7"/>
                <w:sz w:val="20"/>
                <w:szCs w:val="20"/>
              </w:rPr>
              <w:t>değerleri (mg</w:t>
            </w:r>
            <w:r w:rsidRPr="00CA067F">
              <w:rPr>
                <w:rFonts w:ascii="Times New Roman" w:hAnsi="Times New Roman" w:cs="Times New Roman"/>
                <w:b/>
                <w:bCs/>
                <w:color w:val="000000"/>
                <w:sz w:val="20"/>
                <w:szCs w:val="20"/>
              </w:rPr>
              <w:t>C/Nm</w:t>
            </w:r>
            <w:r w:rsidRPr="00CA067F">
              <w:rPr>
                <w:rFonts w:ascii="Times New Roman" w:hAnsi="Times New Roman" w:cs="Times New Roman"/>
                <w:b/>
                <w:bCs/>
                <w:color w:val="000000"/>
                <w:sz w:val="20"/>
                <w:szCs w:val="20"/>
                <w:vertAlign w:val="superscript"/>
              </w:rPr>
              <w:t>3</w:t>
            </w:r>
            <w:r w:rsidRPr="00CA067F">
              <w:rPr>
                <w:rFonts w:ascii="Times New Roman" w:hAnsi="Times New Roman" w:cs="Times New Roman"/>
                <w:b/>
                <w:bCs/>
                <w:color w:val="000000"/>
                <w:sz w:val="20"/>
                <w:szCs w:val="20"/>
              </w:rPr>
              <w:t>)</w:t>
            </w:r>
          </w:p>
        </w:tc>
        <w:tc>
          <w:tcPr>
            <w:tcW w:w="2606" w:type="dxa"/>
            <w:gridSpan w:val="2"/>
          </w:tcPr>
          <w:p w14:paraId="53D2B2A4" w14:textId="508423E1" w:rsidR="00070752" w:rsidRPr="00CA067F" w:rsidRDefault="00070752" w:rsidP="00C10647">
            <w:pPr>
              <w:shd w:val="clear" w:color="auto" w:fill="FFFFFF"/>
              <w:rPr>
                <w:rFonts w:ascii="Times New Roman" w:hAnsi="Times New Roman" w:cs="Times New Roman"/>
                <w:b/>
                <w:bCs/>
                <w:sz w:val="20"/>
                <w:szCs w:val="20"/>
              </w:rPr>
            </w:pPr>
            <w:r w:rsidRPr="00CA067F">
              <w:rPr>
                <w:rFonts w:ascii="Times New Roman" w:hAnsi="Times New Roman" w:cs="Times New Roman"/>
                <w:b/>
                <w:bCs/>
                <w:color w:val="000000"/>
                <w:spacing w:val="-9"/>
                <w:sz w:val="20"/>
                <w:szCs w:val="20"/>
              </w:rPr>
              <w:t>Kaçak</w:t>
            </w:r>
            <w:r w:rsidR="00CA067F">
              <w:rPr>
                <w:rFonts w:ascii="Times New Roman" w:hAnsi="Times New Roman" w:cs="Times New Roman"/>
                <w:b/>
                <w:bCs/>
                <w:color w:val="000000"/>
                <w:spacing w:val="-9"/>
                <w:sz w:val="20"/>
                <w:szCs w:val="20"/>
              </w:rPr>
              <w:t xml:space="preserve"> emisyon </w:t>
            </w:r>
            <w:r w:rsidRPr="00CA067F">
              <w:rPr>
                <w:rFonts w:ascii="Times New Roman" w:hAnsi="Times New Roman" w:cs="Times New Roman"/>
                <w:b/>
                <w:bCs/>
                <w:color w:val="000000"/>
                <w:spacing w:val="-9"/>
                <w:sz w:val="20"/>
                <w:szCs w:val="20"/>
              </w:rPr>
              <w:t xml:space="preserve">sınır değerleri (solvent </w:t>
            </w:r>
            <w:r w:rsidRPr="00CA067F">
              <w:rPr>
                <w:rFonts w:ascii="Times New Roman" w:hAnsi="Times New Roman" w:cs="Times New Roman"/>
                <w:b/>
                <w:bCs/>
                <w:color w:val="000000"/>
                <w:sz w:val="20"/>
                <w:szCs w:val="20"/>
              </w:rPr>
              <w:t>girdi yüzdesi)</w:t>
            </w:r>
          </w:p>
        </w:tc>
        <w:tc>
          <w:tcPr>
            <w:tcW w:w="2602" w:type="dxa"/>
            <w:gridSpan w:val="2"/>
          </w:tcPr>
          <w:p w14:paraId="551C129F" w14:textId="77777777" w:rsidR="00070752" w:rsidRPr="00CA067F" w:rsidRDefault="00070752" w:rsidP="00C10647">
            <w:pPr>
              <w:shd w:val="clear" w:color="auto" w:fill="FFFFFF"/>
              <w:jc w:val="center"/>
              <w:rPr>
                <w:rFonts w:ascii="Times New Roman" w:hAnsi="Times New Roman" w:cs="Times New Roman"/>
                <w:b/>
                <w:bCs/>
                <w:sz w:val="20"/>
                <w:szCs w:val="20"/>
              </w:rPr>
            </w:pPr>
            <w:r w:rsidRPr="00CA067F">
              <w:rPr>
                <w:rFonts w:ascii="Times New Roman" w:hAnsi="Times New Roman" w:cs="Times New Roman"/>
                <w:b/>
                <w:bCs/>
                <w:color w:val="000000"/>
                <w:spacing w:val="-8"/>
                <w:sz w:val="20"/>
                <w:szCs w:val="20"/>
              </w:rPr>
              <w:t>Toplam emisyon sınır değerleri</w:t>
            </w:r>
          </w:p>
        </w:tc>
        <w:tc>
          <w:tcPr>
            <w:tcW w:w="3101" w:type="dxa"/>
          </w:tcPr>
          <w:p w14:paraId="31033DD2" w14:textId="588C929C" w:rsidR="00070752" w:rsidRPr="00CA067F" w:rsidRDefault="00CA067F" w:rsidP="00C10647">
            <w:pPr>
              <w:shd w:val="clear" w:color="auto" w:fill="FFFFFF"/>
              <w:rPr>
                <w:rFonts w:ascii="Times New Roman" w:hAnsi="Times New Roman" w:cs="Times New Roman"/>
                <w:b/>
                <w:bCs/>
                <w:sz w:val="20"/>
                <w:szCs w:val="20"/>
              </w:rPr>
            </w:pPr>
            <w:r w:rsidRPr="001F2086">
              <w:rPr>
                <w:rFonts w:ascii="Times New Roman" w:hAnsi="Times New Roman" w:cs="Times New Roman"/>
                <w:b/>
                <w:bCs/>
                <w:color w:val="000000"/>
                <w:sz w:val="20"/>
                <w:szCs w:val="20"/>
              </w:rPr>
              <w:t>Özel hükümler</w:t>
            </w:r>
          </w:p>
        </w:tc>
      </w:tr>
      <w:tr w:rsidR="00CA067F" w:rsidRPr="000F22A4" w14:paraId="0B765E73" w14:textId="77777777" w:rsidTr="00CA067F">
        <w:trPr>
          <w:trHeight w:hRule="exact" w:val="420"/>
        </w:trPr>
        <w:tc>
          <w:tcPr>
            <w:tcW w:w="485" w:type="dxa"/>
          </w:tcPr>
          <w:p w14:paraId="70223BB6" w14:textId="77777777" w:rsidR="00CA067F" w:rsidRPr="000F22A4" w:rsidRDefault="00CA067F" w:rsidP="00C10647">
            <w:pPr>
              <w:shd w:val="clear" w:color="auto" w:fill="FFFFFF"/>
              <w:rPr>
                <w:rFonts w:ascii="Times New Roman" w:hAnsi="Times New Roman" w:cs="Times New Roman"/>
                <w:sz w:val="20"/>
                <w:szCs w:val="20"/>
              </w:rPr>
            </w:pPr>
          </w:p>
        </w:tc>
        <w:tc>
          <w:tcPr>
            <w:tcW w:w="3043" w:type="dxa"/>
          </w:tcPr>
          <w:p w14:paraId="6C59A26F" w14:textId="77777777" w:rsidR="00CA067F" w:rsidRPr="000F22A4" w:rsidRDefault="00CA067F" w:rsidP="00C10647">
            <w:pPr>
              <w:shd w:val="clear" w:color="auto" w:fill="FFFFFF"/>
              <w:rPr>
                <w:rFonts w:ascii="Times New Roman" w:hAnsi="Times New Roman" w:cs="Times New Roman"/>
                <w:sz w:val="20"/>
                <w:szCs w:val="20"/>
              </w:rPr>
            </w:pPr>
          </w:p>
          <w:p w14:paraId="45B97D20" w14:textId="77777777" w:rsidR="00CA067F" w:rsidRPr="000F22A4" w:rsidRDefault="00CA067F" w:rsidP="00C10647">
            <w:pPr>
              <w:shd w:val="clear" w:color="auto" w:fill="FFFFFF"/>
              <w:rPr>
                <w:rFonts w:ascii="Times New Roman" w:hAnsi="Times New Roman" w:cs="Times New Roman"/>
                <w:sz w:val="20"/>
                <w:szCs w:val="20"/>
              </w:rPr>
            </w:pPr>
          </w:p>
        </w:tc>
        <w:tc>
          <w:tcPr>
            <w:tcW w:w="1306" w:type="dxa"/>
          </w:tcPr>
          <w:p w14:paraId="780217C1" w14:textId="77777777" w:rsidR="00CA067F" w:rsidRPr="000F22A4" w:rsidRDefault="00CA067F" w:rsidP="00C10647">
            <w:pPr>
              <w:shd w:val="clear" w:color="auto" w:fill="FFFFFF"/>
              <w:rPr>
                <w:rFonts w:ascii="Times New Roman" w:hAnsi="Times New Roman" w:cs="Times New Roman"/>
                <w:sz w:val="20"/>
                <w:szCs w:val="20"/>
              </w:rPr>
            </w:pPr>
          </w:p>
          <w:p w14:paraId="03562CDF" w14:textId="77777777" w:rsidR="00CA067F" w:rsidRPr="000F22A4" w:rsidRDefault="00CA067F" w:rsidP="00C10647">
            <w:pPr>
              <w:shd w:val="clear" w:color="auto" w:fill="FFFFFF"/>
              <w:rPr>
                <w:rFonts w:ascii="Times New Roman" w:hAnsi="Times New Roman" w:cs="Times New Roman"/>
                <w:sz w:val="20"/>
                <w:szCs w:val="20"/>
              </w:rPr>
            </w:pPr>
          </w:p>
        </w:tc>
        <w:tc>
          <w:tcPr>
            <w:tcW w:w="1301" w:type="dxa"/>
          </w:tcPr>
          <w:p w14:paraId="1C040DE7" w14:textId="77777777" w:rsidR="00CA067F" w:rsidRPr="000F22A4" w:rsidRDefault="00CA067F" w:rsidP="00C10647">
            <w:pPr>
              <w:shd w:val="clear" w:color="auto" w:fill="FFFFFF"/>
              <w:rPr>
                <w:rFonts w:ascii="Times New Roman" w:hAnsi="Times New Roman" w:cs="Times New Roman"/>
                <w:sz w:val="20"/>
                <w:szCs w:val="20"/>
              </w:rPr>
            </w:pPr>
          </w:p>
          <w:p w14:paraId="629614CF" w14:textId="77777777" w:rsidR="00CA067F" w:rsidRPr="000F22A4" w:rsidRDefault="00CA067F" w:rsidP="00C10647">
            <w:pPr>
              <w:shd w:val="clear" w:color="auto" w:fill="FFFFFF"/>
              <w:rPr>
                <w:rFonts w:ascii="Times New Roman" w:hAnsi="Times New Roman" w:cs="Times New Roman"/>
                <w:sz w:val="20"/>
                <w:szCs w:val="20"/>
              </w:rPr>
            </w:pPr>
          </w:p>
        </w:tc>
        <w:tc>
          <w:tcPr>
            <w:tcW w:w="1303" w:type="dxa"/>
          </w:tcPr>
          <w:p w14:paraId="6B2B49CE" w14:textId="0C26BAD1" w:rsidR="00CA067F" w:rsidRPr="000F22A4" w:rsidRDefault="00CA067F" w:rsidP="00CA067F">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3"/>
                <w:sz w:val="20"/>
                <w:szCs w:val="20"/>
              </w:rPr>
              <w:t xml:space="preserve">Yeni tesisler                </w:t>
            </w:r>
          </w:p>
        </w:tc>
        <w:tc>
          <w:tcPr>
            <w:tcW w:w="1303" w:type="dxa"/>
          </w:tcPr>
          <w:p w14:paraId="32A92463" w14:textId="44D9A484" w:rsidR="00CA067F" w:rsidRPr="000F22A4" w:rsidRDefault="00CA067F" w:rsidP="00CA067F">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3"/>
                <w:sz w:val="20"/>
                <w:szCs w:val="20"/>
              </w:rPr>
              <w:t>Mevcut tesisler</w:t>
            </w:r>
          </w:p>
        </w:tc>
        <w:tc>
          <w:tcPr>
            <w:tcW w:w="1301" w:type="dxa"/>
          </w:tcPr>
          <w:p w14:paraId="0FC8DC56" w14:textId="7F303129" w:rsidR="00CA067F" w:rsidRPr="000F22A4" w:rsidRDefault="00CA067F" w:rsidP="00CA067F">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3"/>
                <w:sz w:val="20"/>
                <w:szCs w:val="20"/>
              </w:rPr>
              <w:t xml:space="preserve">Yeni tesisler                </w:t>
            </w:r>
          </w:p>
        </w:tc>
        <w:tc>
          <w:tcPr>
            <w:tcW w:w="1301" w:type="dxa"/>
          </w:tcPr>
          <w:p w14:paraId="1DE5C5FB" w14:textId="71730A4A" w:rsidR="00CA067F" w:rsidRPr="000F22A4" w:rsidRDefault="00CA067F" w:rsidP="00CA067F">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3"/>
                <w:sz w:val="20"/>
                <w:szCs w:val="20"/>
              </w:rPr>
              <w:t>Mevcut tesisler</w:t>
            </w:r>
          </w:p>
        </w:tc>
        <w:tc>
          <w:tcPr>
            <w:tcW w:w="3101" w:type="dxa"/>
          </w:tcPr>
          <w:p w14:paraId="12E8E3C3" w14:textId="77777777" w:rsidR="00CA067F" w:rsidRPr="000F22A4" w:rsidRDefault="00CA067F" w:rsidP="00C10647">
            <w:pPr>
              <w:shd w:val="clear" w:color="auto" w:fill="FFFFFF"/>
              <w:rPr>
                <w:rFonts w:ascii="Times New Roman" w:hAnsi="Times New Roman" w:cs="Times New Roman"/>
                <w:sz w:val="20"/>
                <w:szCs w:val="20"/>
              </w:rPr>
            </w:pPr>
          </w:p>
        </w:tc>
      </w:tr>
      <w:tr w:rsidR="00070752" w:rsidRPr="000F22A4" w14:paraId="347F10E0" w14:textId="77777777" w:rsidTr="00CA067F">
        <w:trPr>
          <w:trHeight w:hRule="exact" w:val="567"/>
        </w:trPr>
        <w:tc>
          <w:tcPr>
            <w:tcW w:w="485" w:type="dxa"/>
          </w:tcPr>
          <w:p w14:paraId="57121481"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12</w:t>
            </w:r>
          </w:p>
        </w:tc>
        <w:tc>
          <w:tcPr>
            <w:tcW w:w="3043" w:type="dxa"/>
          </w:tcPr>
          <w:p w14:paraId="6BA97193"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Ahşap emdirme(&gt;25)</w:t>
            </w:r>
          </w:p>
        </w:tc>
        <w:tc>
          <w:tcPr>
            <w:tcW w:w="1306" w:type="dxa"/>
          </w:tcPr>
          <w:p w14:paraId="5E771700" w14:textId="77777777" w:rsidR="00070752" w:rsidRPr="000F22A4" w:rsidRDefault="00070752" w:rsidP="00C10647">
            <w:pPr>
              <w:shd w:val="clear" w:color="auto" w:fill="FFFFFF"/>
              <w:rPr>
                <w:rFonts w:ascii="Times New Roman" w:hAnsi="Times New Roman" w:cs="Times New Roman"/>
                <w:sz w:val="20"/>
                <w:szCs w:val="20"/>
              </w:rPr>
            </w:pPr>
          </w:p>
        </w:tc>
        <w:tc>
          <w:tcPr>
            <w:tcW w:w="1301" w:type="dxa"/>
          </w:tcPr>
          <w:p w14:paraId="19BA4BEB" w14:textId="77777777" w:rsidR="00070752" w:rsidRPr="000F22A4" w:rsidRDefault="00070752" w:rsidP="00CA067F">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100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2606" w:type="dxa"/>
            <w:gridSpan w:val="2"/>
          </w:tcPr>
          <w:p w14:paraId="1AFF45F3"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45</w:t>
            </w:r>
          </w:p>
        </w:tc>
        <w:tc>
          <w:tcPr>
            <w:tcW w:w="2602" w:type="dxa"/>
            <w:gridSpan w:val="2"/>
          </w:tcPr>
          <w:p w14:paraId="4E2B2B02" w14:textId="77777777" w:rsidR="00070752" w:rsidRPr="000F22A4" w:rsidRDefault="00070752" w:rsidP="00CA067F">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11 kg/m</w:t>
            </w:r>
            <w:r w:rsidRPr="000F22A4">
              <w:rPr>
                <w:rFonts w:ascii="Times New Roman" w:hAnsi="Times New Roman" w:cs="Times New Roman"/>
                <w:color w:val="000000"/>
                <w:sz w:val="20"/>
                <w:szCs w:val="20"/>
                <w:vertAlign w:val="superscript"/>
              </w:rPr>
              <w:t>3</w:t>
            </w:r>
          </w:p>
        </w:tc>
        <w:tc>
          <w:tcPr>
            <w:tcW w:w="3101" w:type="dxa"/>
          </w:tcPr>
          <w:p w14:paraId="691DBA40" w14:textId="77777777" w:rsidR="00070752" w:rsidRPr="000F22A4" w:rsidRDefault="00070752" w:rsidP="00C10647">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z w:val="20"/>
                <w:szCs w:val="20"/>
              </w:rPr>
              <w:t>(</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 Emisyon sınır değeri kreozot emdirmesi için geçerli değildir.</w:t>
            </w:r>
          </w:p>
        </w:tc>
      </w:tr>
      <w:tr w:rsidR="00070752" w:rsidRPr="000F22A4" w14:paraId="0613BE56" w14:textId="77777777" w:rsidTr="006B7705">
        <w:trPr>
          <w:trHeight w:hRule="exact" w:val="1425"/>
        </w:trPr>
        <w:tc>
          <w:tcPr>
            <w:tcW w:w="485" w:type="dxa"/>
          </w:tcPr>
          <w:p w14:paraId="09B7433C"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13</w:t>
            </w:r>
          </w:p>
        </w:tc>
        <w:tc>
          <w:tcPr>
            <w:tcW w:w="3043" w:type="dxa"/>
          </w:tcPr>
          <w:p w14:paraId="569B10D0"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Deri kaplama (&gt;10)</w:t>
            </w:r>
          </w:p>
        </w:tc>
        <w:tc>
          <w:tcPr>
            <w:tcW w:w="1306" w:type="dxa"/>
          </w:tcPr>
          <w:p w14:paraId="15E0E85C" w14:textId="724CD775" w:rsidR="00070752" w:rsidRPr="00CA067F" w:rsidRDefault="00070752" w:rsidP="00CA067F">
            <w:pPr>
              <w:shd w:val="clear" w:color="auto" w:fill="FFFFFF"/>
              <w:jc w:val="center"/>
              <w:rPr>
                <w:rFonts w:ascii="Times New Roman" w:hAnsi="Times New Roman" w:cs="Times New Roman"/>
                <w:sz w:val="20"/>
                <w:szCs w:val="20"/>
              </w:rPr>
            </w:pPr>
            <w:r w:rsidRPr="00CA067F">
              <w:rPr>
                <w:rFonts w:ascii="Times New Roman" w:hAnsi="Times New Roman" w:cs="Times New Roman"/>
                <w:color w:val="000000"/>
                <w:sz w:val="20"/>
                <w:szCs w:val="20"/>
              </w:rPr>
              <w:t>10</w:t>
            </w:r>
            <w:r w:rsidR="00CA067F">
              <w:rPr>
                <w:rFonts w:ascii="Times New Roman" w:hAnsi="Times New Roman" w:cs="Times New Roman"/>
                <w:color w:val="000000"/>
                <w:sz w:val="20"/>
                <w:szCs w:val="20"/>
              </w:rPr>
              <w:t>-</w:t>
            </w:r>
            <w:r w:rsidRPr="00CA067F">
              <w:rPr>
                <w:rFonts w:ascii="Times New Roman" w:hAnsi="Times New Roman" w:cs="Times New Roman"/>
                <w:color w:val="000000"/>
                <w:sz w:val="20"/>
                <w:szCs w:val="20"/>
              </w:rPr>
              <w:t>25</w:t>
            </w:r>
          </w:p>
          <w:p w14:paraId="703EE15E" w14:textId="77777777" w:rsidR="00070752" w:rsidRPr="00CA067F" w:rsidRDefault="00070752" w:rsidP="00CA067F">
            <w:pPr>
              <w:shd w:val="clear" w:color="auto" w:fill="FFFFFF"/>
              <w:jc w:val="center"/>
              <w:rPr>
                <w:rFonts w:ascii="Times New Roman" w:hAnsi="Times New Roman" w:cs="Times New Roman"/>
                <w:sz w:val="20"/>
                <w:szCs w:val="20"/>
              </w:rPr>
            </w:pPr>
            <w:r w:rsidRPr="00CA067F">
              <w:rPr>
                <w:rFonts w:ascii="Times New Roman" w:hAnsi="Times New Roman" w:cs="Times New Roman"/>
                <w:color w:val="000000"/>
                <w:sz w:val="20"/>
                <w:szCs w:val="20"/>
              </w:rPr>
              <w:t>&gt;25</w:t>
            </w:r>
          </w:p>
          <w:p w14:paraId="3758CC15" w14:textId="5183A193" w:rsidR="00070752" w:rsidRPr="000F22A4" w:rsidRDefault="00070752" w:rsidP="00CA067F">
            <w:pPr>
              <w:shd w:val="clear" w:color="auto" w:fill="FFFFFF"/>
              <w:jc w:val="center"/>
              <w:rPr>
                <w:rFonts w:ascii="Times New Roman" w:hAnsi="Times New Roman" w:cs="Times New Roman"/>
                <w:sz w:val="20"/>
                <w:szCs w:val="20"/>
              </w:rPr>
            </w:pPr>
            <w:r w:rsidRPr="00CA067F">
              <w:rPr>
                <w:rFonts w:ascii="Times New Roman" w:hAnsi="Times New Roman" w:cs="Times New Roman"/>
                <w:color w:val="000000"/>
                <w:w w:val="88"/>
                <w:sz w:val="20"/>
                <w:szCs w:val="20"/>
              </w:rPr>
              <w:t>&gt;</w:t>
            </w:r>
            <w:r w:rsidR="00CA067F">
              <w:rPr>
                <w:rFonts w:ascii="Times New Roman" w:hAnsi="Times New Roman" w:cs="Times New Roman"/>
                <w:color w:val="000000"/>
                <w:w w:val="88"/>
                <w:sz w:val="20"/>
                <w:szCs w:val="20"/>
              </w:rPr>
              <w:t>10</w:t>
            </w:r>
            <w:r w:rsidRPr="00CA067F">
              <w:rPr>
                <w:rFonts w:ascii="Times New Roman" w:hAnsi="Times New Roman" w:cs="Times New Roman"/>
                <w:color w:val="000000"/>
                <w:w w:val="88"/>
                <w:sz w:val="20"/>
                <w:szCs w:val="20"/>
              </w:rPr>
              <w:t>(</w:t>
            </w:r>
            <w:r w:rsidRPr="00CA067F">
              <w:rPr>
                <w:rFonts w:ascii="Times New Roman" w:hAnsi="Times New Roman" w:cs="Times New Roman"/>
                <w:color w:val="000000"/>
                <w:w w:val="88"/>
                <w:sz w:val="20"/>
                <w:szCs w:val="20"/>
                <w:vertAlign w:val="superscript"/>
              </w:rPr>
              <w:t>1</w:t>
            </w:r>
            <w:r w:rsidRPr="00CA067F">
              <w:rPr>
                <w:rFonts w:ascii="Times New Roman" w:hAnsi="Times New Roman" w:cs="Times New Roman"/>
                <w:color w:val="000000"/>
                <w:w w:val="88"/>
                <w:sz w:val="20"/>
                <w:szCs w:val="20"/>
              </w:rPr>
              <w:t>)</w:t>
            </w:r>
          </w:p>
        </w:tc>
        <w:tc>
          <w:tcPr>
            <w:tcW w:w="1301" w:type="dxa"/>
          </w:tcPr>
          <w:p w14:paraId="649A220F" w14:textId="77777777" w:rsidR="00070752" w:rsidRPr="000F22A4" w:rsidRDefault="00070752" w:rsidP="00C10647">
            <w:pPr>
              <w:shd w:val="clear" w:color="auto" w:fill="FFFFFF"/>
              <w:rPr>
                <w:rFonts w:ascii="Times New Roman" w:hAnsi="Times New Roman" w:cs="Times New Roman"/>
                <w:sz w:val="20"/>
                <w:szCs w:val="20"/>
              </w:rPr>
            </w:pPr>
          </w:p>
        </w:tc>
        <w:tc>
          <w:tcPr>
            <w:tcW w:w="2606" w:type="dxa"/>
            <w:gridSpan w:val="2"/>
          </w:tcPr>
          <w:p w14:paraId="081990E3" w14:textId="77777777" w:rsidR="00070752" w:rsidRPr="000F22A4" w:rsidRDefault="00070752" w:rsidP="00C10647">
            <w:pPr>
              <w:shd w:val="clear" w:color="auto" w:fill="FFFFFF"/>
              <w:rPr>
                <w:rFonts w:ascii="Times New Roman" w:hAnsi="Times New Roman" w:cs="Times New Roman"/>
                <w:sz w:val="20"/>
                <w:szCs w:val="20"/>
              </w:rPr>
            </w:pPr>
          </w:p>
        </w:tc>
        <w:tc>
          <w:tcPr>
            <w:tcW w:w="2602" w:type="dxa"/>
            <w:gridSpan w:val="2"/>
          </w:tcPr>
          <w:p w14:paraId="57D81C78" w14:textId="77777777" w:rsidR="00070752" w:rsidRPr="000F22A4" w:rsidRDefault="00070752" w:rsidP="00CA067F">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85g/m</w:t>
            </w:r>
            <w:r w:rsidRPr="000F22A4">
              <w:rPr>
                <w:rFonts w:ascii="Times New Roman" w:hAnsi="Times New Roman" w:cs="Times New Roman"/>
                <w:color w:val="000000"/>
                <w:sz w:val="20"/>
                <w:szCs w:val="20"/>
                <w:vertAlign w:val="superscript"/>
              </w:rPr>
              <w:t>2</w:t>
            </w:r>
          </w:p>
          <w:p w14:paraId="18C916CA" w14:textId="77777777" w:rsidR="00070752" w:rsidRPr="000F22A4" w:rsidRDefault="00070752" w:rsidP="00CA067F">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75g/m</w:t>
            </w:r>
            <w:r w:rsidRPr="000F22A4">
              <w:rPr>
                <w:rFonts w:ascii="Times New Roman" w:hAnsi="Times New Roman" w:cs="Times New Roman"/>
                <w:color w:val="000000"/>
                <w:sz w:val="20"/>
                <w:szCs w:val="20"/>
                <w:vertAlign w:val="superscript"/>
              </w:rPr>
              <w:t>2</w:t>
            </w:r>
          </w:p>
          <w:p w14:paraId="757C0C23" w14:textId="77777777" w:rsidR="00070752" w:rsidRPr="000F22A4" w:rsidRDefault="00070752" w:rsidP="00CA067F">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150g/m</w:t>
            </w:r>
            <w:r w:rsidRPr="000F22A4">
              <w:rPr>
                <w:rFonts w:ascii="Times New Roman" w:hAnsi="Times New Roman" w:cs="Times New Roman"/>
                <w:color w:val="000000"/>
                <w:sz w:val="20"/>
                <w:szCs w:val="20"/>
                <w:vertAlign w:val="superscript"/>
              </w:rPr>
              <w:t>2</w:t>
            </w:r>
          </w:p>
        </w:tc>
        <w:tc>
          <w:tcPr>
            <w:tcW w:w="3101" w:type="dxa"/>
          </w:tcPr>
          <w:p w14:paraId="69AB44B4" w14:textId="1B9EFB97" w:rsidR="00070752" w:rsidRPr="000F22A4" w:rsidRDefault="00070752" w:rsidP="00C10647">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z w:val="20"/>
                <w:szCs w:val="20"/>
              </w:rPr>
              <w:t>Emisyon sınır ürün m</w:t>
            </w:r>
            <w:r w:rsidRPr="000F22A4">
              <w:rPr>
                <w:rFonts w:ascii="Times New Roman" w:hAnsi="Times New Roman" w:cs="Times New Roman"/>
                <w:color w:val="000000"/>
                <w:sz w:val="20"/>
                <w:szCs w:val="20"/>
                <w:vertAlign w:val="superscript"/>
              </w:rPr>
              <w:t>2</w:t>
            </w:r>
            <w:r w:rsidRPr="000F22A4">
              <w:rPr>
                <w:rFonts w:ascii="Times New Roman" w:hAnsi="Times New Roman" w:cs="Times New Roman"/>
                <w:color w:val="000000"/>
                <w:sz w:val="20"/>
                <w:szCs w:val="20"/>
              </w:rPr>
              <w:t xml:space="preserve"> yüzeyine uygulanan</w:t>
            </w:r>
            <w:r w:rsidR="006C29B9">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gram solvent olarak ifade edilir</w:t>
            </w:r>
          </w:p>
          <w:p w14:paraId="27FBE883" w14:textId="3D368190" w:rsidR="00070752" w:rsidRPr="000F22A4" w:rsidRDefault="00070752" w:rsidP="006C29B9">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pacing w:val="-2"/>
                <w:sz w:val="20"/>
                <w:szCs w:val="20"/>
              </w:rPr>
              <w:t>(</w:t>
            </w:r>
            <w:r w:rsidRPr="000F22A4">
              <w:rPr>
                <w:rFonts w:ascii="Times New Roman" w:hAnsi="Times New Roman" w:cs="Times New Roman"/>
                <w:color w:val="000000"/>
                <w:spacing w:val="-2"/>
                <w:sz w:val="20"/>
                <w:szCs w:val="20"/>
                <w:vertAlign w:val="superscript"/>
              </w:rPr>
              <w:t>1</w:t>
            </w:r>
            <w:r w:rsidRPr="000F22A4">
              <w:rPr>
                <w:rFonts w:ascii="Times New Roman" w:hAnsi="Times New Roman" w:cs="Times New Roman"/>
                <w:color w:val="000000"/>
                <w:spacing w:val="-2"/>
                <w:sz w:val="20"/>
                <w:szCs w:val="20"/>
              </w:rPr>
              <w:t>)Mefruşat ve özellikle çanta, kemer, cüzdan</w:t>
            </w:r>
            <w:r w:rsidR="006C29B9">
              <w:rPr>
                <w:rFonts w:ascii="Times New Roman" w:hAnsi="Times New Roman" w:cs="Times New Roman"/>
                <w:color w:val="000000"/>
                <w:spacing w:val="-2"/>
                <w:sz w:val="20"/>
                <w:szCs w:val="20"/>
              </w:rPr>
              <w:t xml:space="preserve"> </w:t>
            </w:r>
            <w:r w:rsidRPr="000F22A4">
              <w:rPr>
                <w:rFonts w:ascii="Times New Roman" w:hAnsi="Times New Roman" w:cs="Times New Roman"/>
                <w:color w:val="000000"/>
                <w:spacing w:val="-1"/>
                <w:sz w:val="20"/>
                <w:szCs w:val="20"/>
              </w:rPr>
              <w:t>gibi küçük tüketici ürünlerinde uygulanan deri</w:t>
            </w:r>
            <w:r w:rsidR="006C29B9">
              <w:rPr>
                <w:rFonts w:ascii="Times New Roman" w:hAnsi="Times New Roman" w:cs="Times New Roman"/>
                <w:color w:val="000000"/>
                <w:spacing w:val="-1"/>
                <w:sz w:val="20"/>
                <w:szCs w:val="20"/>
              </w:rPr>
              <w:t xml:space="preserve"> </w:t>
            </w:r>
            <w:r w:rsidRPr="000F22A4">
              <w:rPr>
                <w:rFonts w:ascii="Times New Roman" w:hAnsi="Times New Roman" w:cs="Times New Roman"/>
                <w:color w:val="000000"/>
                <w:sz w:val="20"/>
                <w:szCs w:val="20"/>
              </w:rPr>
              <w:t>kaplama</w:t>
            </w:r>
            <w:r w:rsidR="006B7705">
              <w:rPr>
                <w:rFonts w:ascii="Times New Roman" w:hAnsi="Times New Roman" w:cs="Times New Roman"/>
                <w:color w:val="000000"/>
                <w:sz w:val="20"/>
                <w:szCs w:val="20"/>
              </w:rPr>
              <w:t>.</w:t>
            </w:r>
          </w:p>
        </w:tc>
      </w:tr>
      <w:tr w:rsidR="00070752" w:rsidRPr="000F22A4" w14:paraId="37EE725A" w14:textId="77777777" w:rsidTr="006B7705">
        <w:trPr>
          <w:trHeight w:hRule="exact" w:val="991"/>
        </w:trPr>
        <w:tc>
          <w:tcPr>
            <w:tcW w:w="485" w:type="dxa"/>
          </w:tcPr>
          <w:p w14:paraId="3E79AD6D"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14</w:t>
            </w:r>
          </w:p>
        </w:tc>
        <w:tc>
          <w:tcPr>
            <w:tcW w:w="3043" w:type="dxa"/>
          </w:tcPr>
          <w:p w14:paraId="5CFF13AD"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Ayakkabı imalatı (&gt;5)</w:t>
            </w:r>
          </w:p>
        </w:tc>
        <w:tc>
          <w:tcPr>
            <w:tcW w:w="1306" w:type="dxa"/>
          </w:tcPr>
          <w:p w14:paraId="40A2AEF6" w14:textId="77777777" w:rsidR="00070752" w:rsidRPr="000F22A4" w:rsidRDefault="00070752" w:rsidP="00C10647">
            <w:pPr>
              <w:shd w:val="clear" w:color="auto" w:fill="FFFFFF"/>
              <w:rPr>
                <w:rFonts w:ascii="Times New Roman" w:hAnsi="Times New Roman" w:cs="Times New Roman"/>
                <w:sz w:val="20"/>
                <w:szCs w:val="20"/>
              </w:rPr>
            </w:pPr>
          </w:p>
        </w:tc>
        <w:tc>
          <w:tcPr>
            <w:tcW w:w="1301" w:type="dxa"/>
          </w:tcPr>
          <w:p w14:paraId="3C1EE869" w14:textId="77777777" w:rsidR="00070752" w:rsidRPr="000F22A4" w:rsidRDefault="00070752" w:rsidP="00C10647">
            <w:pPr>
              <w:shd w:val="clear" w:color="auto" w:fill="FFFFFF"/>
              <w:rPr>
                <w:rFonts w:ascii="Times New Roman" w:hAnsi="Times New Roman" w:cs="Times New Roman"/>
                <w:sz w:val="20"/>
                <w:szCs w:val="20"/>
              </w:rPr>
            </w:pPr>
          </w:p>
        </w:tc>
        <w:tc>
          <w:tcPr>
            <w:tcW w:w="2606" w:type="dxa"/>
            <w:gridSpan w:val="2"/>
          </w:tcPr>
          <w:p w14:paraId="08C6E435" w14:textId="77777777" w:rsidR="00070752" w:rsidRPr="000F22A4" w:rsidRDefault="00070752" w:rsidP="00C10647">
            <w:pPr>
              <w:shd w:val="clear" w:color="auto" w:fill="FFFFFF"/>
              <w:rPr>
                <w:rFonts w:ascii="Times New Roman" w:hAnsi="Times New Roman" w:cs="Times New Roman"/>
                <w:sz w:val="20"/>
                <w:szCs w:val="20"/>
              </w:rPr>
            </w:pPr>
          </w:p>
        </w:tc>
        <w:tc>
          <w:tcPr>
            <w:tcW w:w="2602" w:type="dxa"/>
            <w:gridSpan w:val="2"/>
          </w:tcPr>
          <w:p w14:paraId="512D737C" w14:textId="77777777" w:rsidR="00070752" w:rsidRPr="000F22A4" w:rsidRDefault="00070752" w:rsidP="006B7705">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Çift başına 25 g</w:t>
            </w:r>
          </w:p>
        </w:tc>
        <w:tc>
          <w:tcPr>
            <w:tcW w:w="3101" w:type="dxa"/>
          </w:tcPr>
          <w:p w14:paraId="57B438A8" w14:textId="77777777" w:rsidR="00070752" w:rsidRPr="000F22A4" w:rsidRDefault="00070752" w:rsidP="00C10647">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z w:val="20"/>
                <w:szCs w:val="20"/>
              </w:rPr>
              <w:t>Toplam emisyon sınır değeri üretilen her çift ayakkabıya uygulanan gram solvent olarak ifade edilir.</w:t>
            </w:r>
          </w:p>
        </w:tc>
      </w:tr>
      <w:tr w:rsidR="00070752" w:rsidRPr="000F22A4" w14:paraId="75E0FA1A" w14:textId="77777777" w:rsidTr="0082590D">
        <w:trPr>
          <w:trHeight w:hRule="exact" w:val="558"/>
        </w:trPr>
        <w:tc>
          <w:tcPr>
            <w:tcW w:w="485" w:type="dxa"/>
          </w:tcPr>
          <w:p w14:paraId="51A5C10F"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15</w:t>
            </w:r>
          </w:p>
        </w:tc>
        <w:tc>
          <w:tcPr>
            <w:tcW w:w="3043" w:type="dxa"/>
          </w:tcPr>
          <w:p w14:paraId="5EEC3889" w14:textId="77777777" w:rsidR="00070752" w:rsidRPr="000F22A4" w:rsidRDefault="00070752" w:rsidP="00C10647">
            <w:pPr>
              <w:shd w:val="clear" w:color="auto" w:fill="FFFFFF"/>
              <w:rPr>
                <w:rFonts w:ascii="Times New Roman" w:hAnsi="Times New Roman" w:cs="Times New Roman"/>
                <w:color w:val="000000"/>
                <w:spacing w:val="-1"/>
                <w:sz w:val="20"/>
                <w:szCs w:val="20"/>
              </w:rPr>
            </w:pPr>
            <w:r w:rsidRPr="000F22A4">
              <w:rPr>
                <w:rFonts w:ascii="Times New Roman" w:hAnsi="Times New Roman" w:cs="Times New Roman"/>
                <w:color w:val="000000"/>
                <w:spacing w:val="-1"/>
                <w:sz w:val="20"/>
                <w:szCs w:val="20"/>
              </w:rPr>
              <w:t>Ahşap ve plastik laminasyonu (&gt;5)</w:t>
            </w:r>
          </w:p>
        </w:tc>
        <w:tc>
          <w:tcPr>
            <w:tcW w:w="1306" w:type="dxa"/>
          </w:tcPr>
          <w:p w14:paraId="2741C2AD" w14:textId="77777777" w:rsidR="00070752" w:rsidRPr="000F22A4" w:rsidRDefault="00070752" w:rsidP="00C10647">
            <w:pPr>
              <w:shd w:val="clear" w:color="auto" w:fill="FFFFFF"/>
              <w:rPr>
                <w:rFonts w:ascii="Times New Roman" w:hAnsi="Times New Roman" w:cs="Times New Roman"/>
                <w:sz w:val="20"/>
                <w:szCs w:val="20"/>
              </w:rPr>
            </w:pPr>
          </w:p>
        </w:tc>
        <w:tc>
          <w:tcPr>
            <w:tcW w:w="1301" w:type="dxa"/>
          </w:tcPr>
          <w:p w14:paraId="20D637B3" w14:textId="77777777" w:rsidR="00070752" w:rsidRPr="000F22A4" w:rsidRDefault="00070752" w:rsidP="00C10647">
            <w:pPr>
              <w:shd w:val="clear" w:color="auto" w:fill="FFFFFF"/>
              <w:rPr>
                <w:rFonts w:ascii="Times New Roman" w:hAnsi="Times New Roman" w:cs="Times New Roman"/>
                <w:sz w:val="20"/>
                <w:szCs w:val="20"/>
              </w:rPr>
            </w:pPr>
          </w:p>
        </w:tc>
        <w:tc>
          <w:tcPr>
            <w:tcW w:w="2606" w:type="dxa"/>
            <w:gridSpan w:val="2"/>
          </w:tcPr>
          <w:p w14:paraId="55238121" w14:textId="77777777" w:rsidR="00070752" w:rsidRPr="000F22A4" w:rsidRDefault="00070752" w:rsidP="00C10647">
            <w:pPr>
              <w:shd w:val="clear" w:color="auto" w:fill="FFFFFF"/>
              <w:rPr>
                <w:rFonts w:ascii="Times New Roman" w:hAnsi="Times New Roman" w:cs="Times New Roman"/>
                <w:sz w:val="20"/>
                <w:szCs w:val="20"/>
              </w:rPr>
            </w:pPr>
          </w:p>
        </w:tc>
        <w:tc>
          <w:tcPr>
            <w:tcW w:w="2602" w:type="dxa"/>
            <w:gridSpan w:val="2"/>
          </w:tcPr>
          <w:p w14:paraId="4E1DA42E" w14:textId="77777777" w:rsidR="00070752" w:rsidRPr="000F22A4" w:rsidRDefault="00070752" w:rsidP="006B7705">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30g/m</w:t>
            </w:r>
            <w:r w:rsidRPr="000F22A4">
              <w:rPr>
                <w:rFonts w:ascii="Times New Roman" w:hAnsi="Times New Roman" w:cs="Times New Roman"/>
                <w:color w:val="000000"/>
                <w:sz w:val="20"/>
                <w:szCs w:val="20"/>
                <w:vertAlign w:val="superscript"/>
              </w:rPr>
              <w:t>2</w:t>
            </w:r>
          </w:p>
        </w:tc>
        <w:tc>
          <w:tcPr>
            <w:tcW w:w="3101" w:type="dxa"/>
          </w:tcPr>
          <w:p w14:paraId="623066B4" w14:textId="77777777" w:rsidR="00070752" w:rsidRPr="000F22A4" w:rsidRDefault="00070752" w:rsidP="00C10647">
            <w:pPr>
              <w:shd w:val="clear" w:color="auto" w:fill="FFFFFF"/>
              <w:rPr>
                <w:rFonts w:ascii="Times New Roman" w:hAnsi="Times New Roman" w:cs="Times New Roman"/>
                <w:sz w:val="20"/>
                <w:szCs w:val="20"/>
              </w:rPr>
            </w:pPr>
          </w:p>
        </w:tc>
      </w:tr>
      <w:tr w:rsidR="00070752" w:rsidRPr="000F22A4" w14:paraId="0E19B428" w14:textId="77777777" w:rsidTr="006B7705">
        <w:trPr>
          <w:trHeight w:hRule="exact" w:val="1281"/>
        </w:trPr>
        <w:tc>
          <w:tcPr>
            <w:tcW w:w="485" w:type="dxa"/>
          </w:tcPr>
          <w:p w14:paraId="52E7BB2B"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16</w:t>
            </w:r>
          </w:p>
        </w:tc>
        <w:tc>
          <w:tcPr>
            <w:tcW w:w="3043" w:type="dxa"/>
          </w:tcPr>
          <w:p w14:paraId="1F04470D"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Yapışkan kaplama (&gt;5)</w:t>
            </w:r>
          </w:p>
        </w:tc>
        <w:tc>
          <w:tcPr>
            <w:tcW w:w="1306" w:type="dxa"/>
          </w:tcPr>
          <w:p w14:paraId="4EE8C638" w14:textId="77777777" w:rsidR="006B7705" w:rsidRDefault="00070752" w:rsidP="006B7705">
            <w:pPr>
              <w:shd w:val="clear" w:color="auto" w:fill="FFFFFF"/>
              <w:jc w:val="center"/>
              <w:rPr>
                <w:rFonts w:ascii="Times New Roman" w:hAnsi="Times New Roman" w:cs="Times New Roman"/>
                <w:color w:val="000000"/>
                <w:sz w:val="20"/>
                <w:szCs w:val="20"/>
              </w:rPr>
            </w:pPr>
            <w:r w:rsidRPr="000F22A4">
              <w:rPr>
                <w:rFonts w:ascii="Times New Roman" w:hAnsi="Times New Roman" w:cs="Times New Roman"/>
                <w:color w:val="000000"/>
                <w:sz w:val="20"/>
                <w:szCs w:val="20"/>
              </w:rPr>
              <w:t>5</w:t>
            </w:r>
            <w:r w:rsidR="006B7705">
              <w:rPr>
                <w:rFonts w:ascii="Times New Roman" w:hAnsi="Times New Roman" w:cs="Times New Roman"/>
                <w:color w:val="000000"/>
                <w:sz w:val="20"/>
                <w:szCs w:val="20"/>
              </w:rPr>
              <w:t>-</w:t>
            </w:r>
            <w:r w:rsidRPr="000F22A4">
              <w:rPr>
                <w:rFonts w:ascii="Times New Roman" w:hAnsi="Times New Roman" w:cs="Times New Roman"/>
                <w:color w:val="000000"/>
                <w:sz w:val="20"/>
                <w:szCs w:val="20"/>
              </w:rPr>
              <w:t>15</w:t>
            </w:r>
          </w:p>
          <w:p w14:paraId="02267CD1" w14:textId="64C40460" w:rsidR="00070752" w:rsidRPr="000F22A4" w:rsidRDefault="00070752" w:rsidP="006B7705">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&gt; 15</w:t>
            </w:r>
          </w:p>
        </w:tc>
        <w:tc>
          <w:tcPr>
            <w:tcW w:w="1301" w:type="dxa"/>
          </w:tcPr>
          <w:p w14:paraId="182A915F" w14:textId="77777777" w:rsidR="006B7705" w:rsidRDefault="00070752" w:rsidP="006B7705">
            <w:pPr>
              <w:shd w:val="clear" w:color="auto" w:fill="FFFFFF"/>
              <w:jc w:val="center"/>
              <w:rPr>
                <w:rFonts w:ascii="Times New Roman" w:hAnsi="Times New Roman" w:cs="Times New Roman"/>
                <w:color w:val="000000"/>
                <w:spacing w:val="-8"/>
                <w:sz w:val="20"/>
                <w:szCs w:val="20"/>
              </w:rPr>
            </w:pPr>
            <w:r w:rsidRPr="000F22A4">
              <w:rPr>
                <w:rFonts w:ascii="Times New Roman" w:hAnsi="Times New Roman" w:cs="Times New Roman"/>
                <w:color w:val="000000"/>
                <w:spacing w:val="-8"/>
                <w:sz w:val="20"/>
                <w:szCs w:val="20"/>
              </w:rPr>
              <w:t>50 (</w:t>
            </w:r>
            <w:r w:rsidRPr="000F22A4">
              <w:rPr>
                <w:rFonts w:ascii="Times New Roman" w:hAnsi="Times New Roman" w:cs="Times New Roman"/>
                <w:color w:val="000000"/>
                <w:spacing w:val="-8"/>
                <w:sz w:val="20"/>
                <w:szCs w:val="20"/>
                <w:vertAlign w:val="superscript"/>
              </w:rPr>
              <w:t>1</w:t>
            </w:r>
            <w:r w:rsidRPr="000F22A4">
              <w:rPr>
                <w:rFonts w:ascii="Times New Roman" w:hAnsi="Times New Roman" w:cs="Times New Roman"/>
                <w:color w:val="000000"/>
                <w:spacing w:val="-8"/>
                <w:sz w:val="20"/>
                <w:szCs w:val="20"/>
              </w:rPr>
              <w:t>)</w:t>
            </w:r>
          </w:p>
          <w:p w14:paraId="198F0F28" w14:textId="21781E2E" w:rsidR="00070752" w:rsidRPr="000F22A4" w:rsidRDefault="00070752" w:rsidP="006B7705">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pacing w:val="-8"/>
                <w:sz w:val="20"/>
                <w:szCs w:val="20"/>
              </w:rPr>
              <w:t>50 (</w:t>
            </w:r>
            <w:r w:rsidRPr="000F22A4">
              <w:rPr>
                <w:rFonts w:ascii="Times New Roman" w:hAnsi="Times New Roman" w:cs="Times New Roman"/>
                <w:color w:val="000000"/>
                <w:spacing w:val="-8"/>
                <w:sz w:val="20"/>
                <w:szCs w:val="20"/>
                <w:vertAlign w:val="superscript"/>
              </w:rPr>
              <w:t>1</w:t>
            </w:r>
            <w:r w:rsidRPr="000F22A4">
              <w:rPr>
                <w:rFonts w:ascii="Times New Roman" w:hAnsi="Times New Roman" w:cs="Times New Roman"/>
                <w:color w:val="000000"/>
                <w:spacing w:val="-8"/>
                <w:sz w:val="20"/>
                <w:szCs w:val="20"/>
              </w:rPr>
              <w:t>)</w:t>
            </w:r>
          </w:p>
        </w:tc>
        <w:tc>
          <w:tcPr>
            <w:tcW w:w="2606" w:type="dxa"/>
            <w:gridSpan w:val="2"/>
          </w:tcPr>
          <w:p w14:paraId="0F776673" w14:textId="77777777" w:rsidR="006B7705" w:rsidRDefault="00070752" w:rsidP="006B7705">
            <w:pPr>
              <w:shd w:val="clear" w:color="auto" w:fill="FFFFFF"/>
              <w:jc w:val="center"/>
              <w:rPr>
                <w:rFonts w:ascii="Times New Roman" w:hAnsi="Times New Roman" w:cs="Times New Roman"/>
                <w:color w:val="000000"/>
                <w:spacing w:val="-10"/>
                <w:sz w:val="20"/>
                <w:szCs w:val="20"/>
              </w:rPr>
            </w:pPr>
            <w:r w:rsidRPr="000F22A4">
              <w:rPr>
                <w:rFonts w:ascii="Times New Roman" w:hAnsi="Times New Roman" w:cs="Times New Roman"/>
                <w:color w:val="000000"/>
                <w:spacing w:val="-10"/>
                <w:sz w:val="20"/>
                <w:szCs w:val="20"/>
              </w:rPr>
              <w:t>25</w:t>
            </w:r>
          </w:p>
          <w:p w14:paraId="204531F9" w14:textId="0A94F493" w:rsidR="00070752" w:rsidRPr="000F22A4" w:rsidRDefault="00070752" w:rsidP="006B7705">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pacing w:val="-9"/>
                <w:sz w:val="20"/>
                <w:szCs w:val="20"/>
              </w:rPr>
              <w:t>20</w:t>
            </w:r>
          </w:p>
        </w:tc>
        <w:tc>
          <w:tcPr>
            <w:tcW w:w="2602" w:type="dxa"/>
            <w:gridSpan w:val="2"/>
          </w:tcPr>
          <w:p w14:paraId="199AF008" w14:textId="77777777" w:rsidR="00070752" w:rsidRPr="000F22A4" w:rsidRDefault="00070752" w:rsidP="00C10647">
            <w:pPr>
              <w:shd w:val="clear" w:color="auto" w:fill="FFFFFF"/>
              <w:rPr>
                <w:rFonts w:ascii="Times New Roman" w:hAnsi="Times New Roman" w:cs="Times New Roman"/>
                <w:sz w:val="20"/>
                <w:szCs w:val="20"/>
              </w:rPr>
            </w:pPr>
          </w:p>
        </w:tc>
        <w:tc>
          <w:tcPr>
            <w:tcW w:w="3101" w:type="dxa"/>
          </w:tcPr>
          <w:p w14:paraId="67F71CD3" w14:textId="72A20258" w:rsidR="00070752" w:rsidRPr="000F22A4" w:rsidRDefault="00070752" w:rsidP="00C10647">
            <w:pPr>
              <w:shd w:val="clear" w:color="auto" w:fill="FFFFFF"/>
              <w:jc w:val="both"/>
              <w:rPr>
                <w:rFonts w:ascii="Times New Roman" w:hAnsi="Times New Roman" w:cs="Times New Roman"/>
                <w:sz w:val="20"/>
                <w:szCs w:val="20"/>
              </w:rPr>
            </w:pPr>
            <w:r w:rsidRPr="000F22A4">
              <w:rPr>
                <w:rFonts w:ascii="Times New Roman" w:hAnsi="Times New Roman" w:cs="Times New Roman"/>
                <w:color w:val="000000"/>
                <w:spacing w:val="-2"/>
                <w:sz w:val="20"/>
                <w:szCs w:val="20"/>
              </w:rPr>
              <w:t>(</w:t>
            </w:r>
            <w:r w:rsidRPr="000F22A4">
              <w:rPr>
                <w:rFonts w:ascii="Times New Roman" w:hAnsi="Times New Roman" w:cs="Times New Roman"/>
                <w:color w:val="000000"/>
                <w:spacing w:val="-2"/>
                <w:sz w:val="20"/>
                <w:szCs w:val="20"/>
                <w:vertAlign w:val="superscript"/>
              </w:rPr>
              <w:t>1</w:t>
            </w:r>
            <w:r w:rsidRPr="000F22A4">
              <w:rPr>
                <w:rFonts w:ascii="Times New Roman" w:hAnsi="Times New Roman" w:cs="Times New Roman"/>
                <w:color w:val="000000"/>
                <w:spacing w:val="-2"/>
                <w:sz w:val="20"/>
                <w:szCs w:val="20"/>
              </w:rPr>
              <w:t xml:space="preserve">)Kullanılan teknikler yeniden kazanılmış </w:t>
            </w:r>
            <w:r w:rsidRPr="000F22A4">
              <w:rPr>
                <w:rFonts w:ascii="Times New Roman" w:hAnsi="Times New Roman" w:cs="Times New Roman"/>
                <w:color w:val="000000"/>
                <w:sz w:val="20"/>
                <w:szCs w:val="20"/>
              </w:rPr>
              <w:t>solventin tekrar kullanılmasına olanak veriyorsa atık gaz emisyon sınır değeri 150 olacaktır.</w:t>
            </w:r>
          </w:p>
        </w:tc>
      </w:tr>
      <w:tr w:rsidR="00070752" w:rsidRPr="000F22A4" w14:paraId="32E18D4E" w14:textId="77777777" w:rsidTr="0082590D">
        <w:trPr>
          <w:trHeight w:hRule="exact" w:val="1150"/>
        </w:trPr>
        <w:tc>
          <w:tcPr>
            <w:tcW w:w="485" w:type="dxa"/>
          </w:tcPr>
          <w:p w14:paraId="0B210C6B"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17</w:t>
            </w:r>
          </w:p>
        </w:tc>
        <w:tc>
          <w:tcPr>
            <w:tcW w:w="3043" w:type="dxa"/>
          </w:tcPr>
          <w:p w14:paraId="0DE62CF5" w14:textId="77777777" w:rsidR="00070752" w:rsidRPr="000F22A4" w:rsidRDefault="00070752" w:rsidP="00C10647">
            <w:pPr>
              <w:shd w:val="clear" w:color="auto" w:fill="FFFFFF"/>
              <w:ind w:right="350"/>
              <w:rPr>
                <w:rFonts w:ascii="Times New Roman" w:hAnsi="Times New Roman" w:cs="Times New Roman"/>
                <w:sz w:val="20"/>
                <w:szCs w:val="20"/>
              </w:rPr>
            </w:pPr>
            <w:r w:rsidRPr="000F22A4">
              <w:rPr>
                <w:rFonts w:ascii="Times New Roman" w:hAnsi="Times New Roman" w:cs="Times New Roman"/>
                <w:color w:val="000000"/>
                <w:spacing w:val="-1"/>
                <w:sz w:val="20"/>
                <w:szCs w:val="20"/>
              </w:rPr>
              <w:t xml:space="preserve">Kaplama karışımı, cila, mürekkep ve </w:t>
            </w:r>
            <w:r w:rsidRPr="000F22A4">
              <w:rPr>
                <w:rFonts w:ascii="Times New Roman" w:hAnsi="Times New Roman" w:cs="Times New Roman"/>
                <w:color w:val="000000"/>
                <w:sz w:val="20"/>
                <w:szCs w:val="20"/>
              </w:rPr>
              <w:t>yapıştırıcı imalatı (&gt; 100)</w:t>
            </w:r>
          </w:p>
        </w:tc>
        <w:tc>
          <w:tcPr>
            <w:tcW w:w="1306" w:type="dxa"/>
          </w:tcPr>
          <w:p w14:paraId="62C6FAD8" w14:textId="06920D4F" w:rsidR="006B7705" w:rsidRDefault="00070752" w:rsidP="006B7705">
            <w:pPr>
              <w:shd w:val="clear" w:color="auto" w:fill="FFFFFF"/>
              <w:rPr>
                <w:rFonts w:ascii="Times New Roman" w:hAnsi="Times New Roman" w:cs="Times New Roman"/>
                <w:color w:val="000000"/>
                <w:sz w:val="20"/>
                <w:szCs w:val="20"/>
              </w:rPr>
            </w:pPr>
            <w:r w:rsidRPr="000F22A4">
              <w:rPr>
                <w:rFonts w:ascii="Times New Roman" w:hAnsi="Times New Roman" w:cs="Times New Roman"/>
                <w:color w:val="000000"/>
                <w:sz w:val="20"/>
                <w:szCs w:val="20"/>
              </w:rPr>
              <w:t>100—100</w:t>
            </w:r>
            <w:r w:rsidR="006B7705">
              <w:rPr>
                <w:rFonts w:ascii="Times New Roman" w:hAnsi="Times New Roman" w:cs="Times New Roman"/>
                <w:color w:val="000000"/>
                <w:sz w:val="20"/>
                <w:szCs w:val="20"/>
              </w:rPr>
              <w:t>0</w:t>
            </w:r>
          </w:p>
          <w:p w14:paraId="52575C70" w14:textId="71B815EE" w:rsidR="00070752" w:rsidRPr="000F22A4" w:rsidRDefault="00070752" w:rsidP="006B7705">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 xml:space="preserve"> &gt; 1000</w:t>
            </w:r>
          </w:p>
        </w:tc>
        <w:tc>
          <w:tcPr>
            <w:tcW w:w="1301" w:type="dxa"/>
          </w:tcPr>
          <w:p w14:paraId="461EAF41" w14:textId="77777777" w:rsidR="006B7705" w:rsidRDefault="00070752" w:rsidP="006B7705">
            <w:pPr>
              <w:shd w:val="clear" w:color="auto" w:fill="FFFFFF"/>
              <w:rPr>
                <w:rFonts w:ascii="Times New Roman" w:hAnsi="Times New Roman" w:cs="Times New Roman"/>
                <w:color w:val="000000"/>
                <w:spacing w:val="-10"/>
                <w:sz w:val="20"/>
                <w:szCs w:val="20"/>
              </w:rPr>
            </w:pPr>
            <w:r w:rsidRPr="000F22A4">
              <w:rPr>
                <w:rFonts w:ascii="Times New Roman" w:hAnsi="Times New Roman" w:cs="Times New Roman"/>
                <w:color w:val="000000"/>
                <w:spacing w:val="-10"/>
                <w:sz w:val="20"/>
                <w:szCs w:val="20"/>
              </w:rPr>
              <w:t>150</w:t>
            </w:r>
          </w:p>
          <w:p w14:paraId="7C821FAF" w14:textId="470C8387" w:rsidR="00070752" w:rsidRPr="000F22A4" w:rsidRDefault="00070752" w:rsidP="006B7705">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9"/>
                <w:sz w:val="20"/>
                <w:szCs w:val="20"/>
              </w:rPr>
              <w:t>150</w:t>
            </w:r>
          </w:p>
        </w:tc>
        <w:tc>
          <w:tcPr>
            <w:tcW w:w="2606" w:type="dxa"/>
            <w:gridSpan w:val="2"/>
          </w:tcPr>
          <w:p w14:paraId="02BF4025" w14:textId="77777777" w:rsidR="006B7705" w:rsidRDefault="00070752" w:rsidP="006B7705">
            <w:pPr>
              <w:shd w:val="clear" w:color="auto" w:fill="FFFFFF"/>
              <w:jc w:val="center"/>
              <w:rPr>
                <w:rFonts w:ascii="Times New Roman" w:hAnsi="Times New Roman" w:cs="Times New Roman"/>
                <w:color w:val="000000"/>
                <w:sz w:val="20"/>
                <w:szCs w:val="20"/>
              </w:rPr>
            </w:pPr>
            <w:r w:rsidRPr="000F22A4">
              <w:rPr>
                <w:rFonts w:ascii="Times New Roman" w:hAnsi="Times New Roman" w:cs="Times New Roman"/>
                <w:color w:val="000000"/>
                <w:sz w:val="20"/>
                <w:szCs w:val="20"/>
              </w:rPr>
              <w:t>5</w:t>
            </w:r>
          </w:p>
          <w:p w14:paraId="2706651A" w14:textId="12CDF867" w:rsidR="00070752" w:rsidRPr="000F22A4" w:rsidRDefault="00070752" w:rsidP="006B7705">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3</w:t>
            </w:r>
          </w:p>
        </w:tc>
        <w:tc>
          <w:tcPr>
            <w:tcW w:w="2602" w:type="dxa"/>
            <w:gridSpan w:val="2"/>
          </w:tcPr>
          <w:p w14:paraId="3B6158E8" w14:textId="77777777" w:rsidR="00070752" w:rsidRPr="000F22A4" w:rsidRDefault="00070752" w:rsidP="006B7705">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solvent girdisinin   % 5‘i solvent girdisi‘nin   % 3‘ü</w:t>
            </w:r>
          </w:p>
        </w:tc>
        <w:tc>
          <w:tcPr>
            <w:tcW w:w="3101" w:type="dxa"/>
          </w:tcPr>
          <w:p w14:paraId="209C9A8B" w14:textId="3D90D006" w:rsidR="00070752" w:rsidRPr="006C29B9" w:rsidRDefault="00070752" w:rsidP="00C10647">
            <w:pPr>
              <w:shd w:val="clear" w:color="auto" w:fill="FFFFFF"/>
              <w:ind w:firstLine="5"/>
              <w:jc w:val="both"/>
              <w:rPr>
                <w:rFonts w:ascii="Times New Roman" w:hAnsi="Times New Roman" w:cs="Times New Roman"/>
                <w:color w:val="000000"/>
                <w:spacing w:val="-1"/>
                <w:sz w:val="20"/>
                <w:szCs w:val="20"/>
              </w:rPr>
            </w:pPr>
            <w:r w:rsidRPr="000F22A4">
              <w:rPr>
                <w:rFonts w:ascii="Times New Roman" w:hAnsi="Times New Roman" w:cs="Times New Roman"/>
                <w:color w:val="000000"/>
                <w:spacing w:val="-1"/>
                <w:sz w:val="20"/>
                <w:szCs w:val="20"/>
              </w:rPr>
              <w:t xml:space="preserve">Kaçak </w:t>
            </w:r>
            <w:r w:rsidRPr="006C29B9">
              <w:rPr>
                <w:rFonts w:ascii="Times New Roman" w:hAnsi="Times New Roman" w:cs="Times New Roman"/>
                <w:color w:val="000000"/>
                <w:spacing w:val="-1"/>
                <w:sz w:val="20"/>
                <w:szCs w:val="20"/>
              </w:rPr>
              <w:t>emisyon</w:t>
            </w:r>
            <w:r w:rsidRPr="000F22A4">
              <w:rPr>
                <w:rFonts w:ascii="Times New Roman" w:hAnsi="Times New Roman" w:cs="Times New Roman"/>
                <w:color w:val="000000"/>
                <w:spacing w:val="-1"/>
                <w:sz w:val="20"/>
                <w:szCs w:val="20"/>
              </w:rPr>
              <w:t xml:space="preserve"> emisyon sınır değeri kapalı kapta </w:t>
            </w:r>
            <w:r w:rsidRPr="006C29B9">
              <w:rPr>
                <w:rFonts w:ascii="Times New Roman" w:hAnsi="Times New Roman" w:cs="Times New Roman"/>
                <w:color w:val="000000"/>
                <w:spacing w:val="-1"/>
                <w:sz w:val="20"/>
                <w:szCs w:val="20"/>
              </w:rPr>
              <w:t>kaplama karı</w:t>
            </w:r>
            <w:r w:rsidR="006B7705">
              <w:rPr>
                <w:rFonts w:ascii="Times New Roman" w:hAnsi="Times New Roman" w:cs="Times New Roman"/>
                <w:color w:val="000000"/>
                <w:spacing w:val="-1"/>
                <w:sz w:val="20"/>
                <w:szCs w:val="20"/>
              </w:rPr>
              <w:t>ş</w:t>
            </w:r>
            <w:r w:rsidRPr="006C29B9">
              <w:rPr>
                <w:rFonts w:ascii="Times New Roman" w:hAnsi="Times New Roman" w:cs="Times New Roman"/>
                <w:color w:val="000000"/>
                <w:spacing w:val="-1"/>
                <w:sz w:val="20"/>
                <w:szCs w:val="20"/>
              </w:rPr>
              <w:t>ımı olarak satılan solventleri kapsamaz</w:t>
            </w:r>
          </w:p>
        </w:tc>
      </w:tr>
      <w:tr w:rsidR="00070752" w:rsidRPr="000F22A4" w14:paraId="281DFC2A" w14:textId="77777777" w:rsidTr="006B7705">
        <w:trPr>
          <w:trHeight w:hRule="exact" w:val="2279"/>
        </w:trPr>
        <w:tc>
          <w:tcPr>
            <w:tcW w:w="485" w:type="dxa"/>
          </w:tcPr>
          <w:p w14:paraId="11F6B5C4"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lastRenderedPageBreak/>
              <w:t>18</w:t>
            </w:r>
          </w:p>
        </w:tc>
        <w:tc>
          <w:tcPr>
            <w:tcW w:w="3043" w:type="dxa"/>
          </w:tcPr>
          <w:p w14:paraId="40A7DE2B" w14:textId="77777777" w:rsidR="00070752" w:rsidRPr="000F22A4" w:rsidRDefault="00070752" w:rsidP="00C10647">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Kauçuk dönüştürme (&gt;15)</w:t>
            </w:r>
          </w:p>
        </w:tc>
        <w:tc>
          <w:tcPr>
            <w:tcW w:w="1306" w:type="dxa"/>
          </w:tcPr>
          <w:p w14:paraId="0302F9C8" w14:textId="77777777" w:rsidR="00070752" w:rsidRPr="000F22A4" w:rsidRDefault="00070752" w:rsidP="00C10647">
            <w:pPr>
              <w:shd w:val="clear" w:color="auto" w:fill="FFFFFF"/>
              <w:rPr>
                <w:rFonts w:ascii="Times New Roman" w:hAnsi="Times New Roman" w:cs="Times New Roman"/>
                <w:sz w:val="20"/>
                <w:szCs w:val="20"/>
              </w:rPr>
            </w:pPr>
          </w:p>
        </w:tc>
        <w:tc>
          <w:tcPr>
            <w:tcW w:w="1301" w:type="dxa"/>
          </w:tcPr>
          <w:p w14:paraId="24351F30"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20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2606" w:type="dxa"/>
            <w:gridSpan w:val="2"/>
          </w:tcPr>
          <w:p w14:paraId="24FA2A64" w14:textId="77777777" w:rsidR="00070752" w:rsidRPr="000F22A4" w:rsidRDefault="00070752" w:rsidP="00C10647">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25 (</w:t>
            </w:r>
            <w:r w:rsidRPr="000F22A4">
              <w:rPr>
                <w:rFonts w:ascii="Times New Roman" w:hAnsi="Times New Roman" w:cs="Times New Roman"/>
                <w:color w:val="000000"/>
                <w:sz w:val="20"/>
                <w:szCs w:val="20"/>
                <w:vertAlign w:val="superscript"/>
              </w:rPr>
              <w:t>2</w:t>
            </w:r>
            <w:r w:rsidRPr="000F22A4">
              <w:rPr>
                <w:rFonts w:ascii="Times New Roman" w:hAnsi="Times New Roman" w:cs="Times New Roman"/>
                <w:color w:val="000000"/>
                <w:sz w:val="20"/>
                <w:szCs w:val="20"/>
              </w:rPr>
              <w:t>)</w:t>
            </w:r>
          </w:p>
        </w:tc>
        <w:tc>
          <w:tcPr>
            <w:tcW w:w="2602" w:type="dxa"/>
            <w:gridSpan w:val="2"/>
          </w:tcPr>
          <w:p w14:paraId="2C39006B" w14:textId="77777777" w:rsidR="00070752" w:rsidRPr="000F22A4" w:rsidRDefault="00070752" w:rsidP="006B7705">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Solvent girdisinin % 25‘i</w:t>
            </w:r>
          </w:p>
        </w:tc>
        <w:tc>
          <w:tcPr>
            <w:tcW w:w="3101" w:type="dxa"/>
          </w:tcPr>
          <w:p w14:paraId="21D1C44B" w14:textId="40DF2776" w:rsidR="00070752" w:rsidRPr="000F22A4" w:rsidRDefault="00070752" w:rsidP="00C10647">
            <w:pPr>
              <w:shd w:val="clear" w:color="auto" w:fill="FFFFFF"/>
              <w:tabs>
                <w:tab w:val="left" w:pos="355"/>
              </w:tabs>
              <w:jc w:val="both"/>
              <w:rPr>
                <w:rFonts w:ascii="Times New Roman" w:hAnsi="Times New Roman" w:cs="Times New Roman"/>
                <w:sz w:val="20"/>
                <w:szCs w:val="20"/>
              </w:rPr>
            </w:pPr>
            <w:r w:rsidRPr="000F22A4">
              <w:rPr>
                <w:rFonts w:ascii="Times New Roman" w:hAnsi="Times New Roman" w:cs="Times New Roman"/>
                <w:color w:val="000000"/>
                <w:spacing w:val="-12"/>
                <w:sz w:val="20"/>
                <w:szCs w:val="20"/>
              </w:rPr>
              <w:t>(</w:t>
            </w:r>
            <w:r w:rsidRPr="000F22A4">
              <w:rPr>
                <w:rFonts w:ascii="Times New Roman" w:hAnsi="Times New Roman" w:cs="Times New Roman"/>
                <w:color w:val="000000"/>
                <w:spacing w:val="-12"/>
                <w:sz w:val="20"/>
                <w:szCs w:val="20"/>
                <w:vertAlign w:val="superscript"/>
              </w:rPr>
              <w:t>1</w:t>
            </w:r>
            <w:r w:rsidRPr="000F22A4">
              <w:rPr>
                <w:rFonts w:ascii="Times New Roman" w:hAnsi="Times New Roman" w:cs="Times New Roman"/>
                <w:color w:val="000000"/>
                <w:spacing w:val="-12"/>
                <w:sz w:val="20"/>
                <w:szCs w:val="20"/>
              </w:rPr>
              <w:t>)</w:t>
            </w:r>
            <w:r w:rsidRPr="000F22A4">
              <w:rPr>
                <w:rFonts w:ascii="Times New Roman" w:hAnsi="Times New Roman" w:cs="Times New Roman"/>
                <w:color w:val="000000"/>
                <w:sz w:val="20"/>
                <w:szCs w:val="20"/>
              </w:rPr>
              <w:tab/>
            </w:r>
            <w:r w:rsidRPr="000F22A4">
              <w:rPr>
                <w:rFonts w:ascii="Times New Roman" w:hAnsi="Times New Roman" w:cs="Times New Roman"/>
                <w:color w:val="000000"/>
                <w:spacing w:val="-1"/>
                <w:sz w:val="20"/>
                <w:szCs w:val="20"/>
              </w:rPr>
              <w:t>Kullanılan teknikler yeniden kazanıl</w:t>
            </w:r>
            <w:r w:rsidR="00795C7D">
              <w:rPr>
                <w:rFonts w:ascii="Times New Roman" w:hAnsi="Times New Roman" w:cs="Times New Roman"/>
                <w:color w:val="000000"/>
                <w:spacing w:val="-1"/>
                <w:sz w:val="20"/>
                <w:szCs w:val="20"/>
              </w:rPr>
              <w:t>mış</w:t>
            </w:r>
            <w:r>
              <w:rPr>
                <w:color w:val="000000"/>
                <w:spacing w:val="-1"/>
              </w:rPr>
              <w:t xml:space="preserve"> </w:t>
            </w:r>
            <w:r w:rsidRPr="000F22A4">
              <w:rPr>
                <w:rFonts w:ascii="Times New Roman" w:hAnsi="Times New Roman" w:cs="Times New Roman"/>
                <w:color w:val="000000"/>
                <w:sz w:val="20"/>
                <w:szCs w:val="20"/>
              </w:rPr>
              <w:t>solventin tekrar kullanılmasına olanak</w:t>
            </w:r>
            <w:r>
              <w:rPr>
                <w:color w:val="000000"/>
              </w:rPr>
              <w:t xml:space="preserve"> </w:t>
            </w:r>
            <w:r w:rsidRPr="000F22A4">
              <w:rPr>
                <w:rFonts w:ascii="Times New Roman" w:hAnsi="Times New Roman" w:cs="Times New Roman"/>
                <w:color w:val="000000"/>
                <w:sz w:val="20"/>
                <w:szCs w:val="20"/>
              </w:rPr>
              <w:t>veriyorsa atık gaz emisyon sınır değeri 150</w:t>
            </w:r>
            <w:r>
              <w:rPr>
                <w:color w:val="000000"/>
              </w:rPr>
              <w:t xml:space="preserve"> </w:t>
            </w:r>
            <w:r w:rsidRPr="000F22A4">
              <w:rPr>
                <w:rFonts w:ascii="Times New Roman" w:hAnsi="Times New Roman" w:cs="Times New Roman"/>
                <w:color w:val="000000"/>
                <w:sz w:val="20"/>
                <w:szCs w:val="20"/>
              </w:rPr>
              <w:t>olacaktır.</w:t>
            </w:r>
          </w:p>
          <w:p w14:paraId="0764264D" w14:textId="0F3ED3D0" w:rsidR="00070752" w:rsidRPr="000F22A4" w:rsidRDefault="00070752" w:rsidP="00C10647">
            <w:pPr>
              <w:shd w:val="clear" w:color="auto" w:fill="FFFFFF"/>
              <w:tabs>
                <w:tab w:val="left" w:pos="274"/>
              </w:tabs>
              <w:jc w:val="both"/>
              <w:rPr>
                <w:rFonts w:ascii="Times New Roman" w:hAnsi="Times New Roman" w:cs="Times New Roman"/>
                <w:sz w:val="20"/>
                <w:szCs w:val="20"/>
              </w:rPr>
            </w:pP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pacing w:val="-14"/>
                <w:sz w:val="20"/>
                <w:szCs w:val="20"/>
                <w:vertAlign w:val="superscript"/>
              </w:rPr>
              <w:t>2</w:t>
            </w: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z w:val="20"/>
                <w:szCs w:val="20"/>
              </w:rPr>
              <w:tab/>
              <w:t>Kaçak</w:t>
            </w:r>
            <w:r w:rsidR="006B7705">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emisyon sınır değeri kapalı</w:t>
            </w:r>
            <w:r>
              <w:rPr>
                <w:color w:val="000000"/>
              </w:rPr>
              <w:t xml:space="preserve"> </w:t>
            </w:r>
            <w:r w:rsidRPr="000F22A4">
              <w:rPr>
                <w:rFonts w:ascii="Times New Roman" w:hAnsi="Times New Roman" w:cs="Times New Roman"/>
                <w:color w:val="000000"/>
                <w:spacing w:val="-1"/>
                <w:sz w:val="20"/>
                <w:szCs w:val="20"/>
              </w:rPr>
              <w:t>kapta ürün veya kar</w:t>
            </w:r>
            <w:r w:rsidR="006B7705">
              <w:rPr>
                <w:rFonts w:ascii="Times New Roman" w:hAnsi="Times New Roman" w:cs="Times New Roman"/>
                <w:color w:val="000000"/>
                <w:spacing w:val="-1"/>
                <w:sz w:val="20"/>
                <w:szCs w:val="20"/>
              </w:rPr>
              <w:t>ış</w:t>
            </w:r>
            <w:r w:rsidRPr="000F22A4">
              <w:rPr>
                <w:rFonts w:ascii="Times New Roman" w:hAnsi="Times New Roman" w:cs="Times New Roman"/>
                <w:color w:val="000000"/>
                <w:spacing w:val="-1"/>
                <w:sz w:val="20"/>
                <w:szCs w:val="20"/>
              </w:rPr>
              <w:t>ım parçası olarak satılan</w:t>
            </w:r>
            <w:r>
              <w:rPr>
                <w:color w:val="000000"/>
                <w:spacing w:val="-1"/>
              </w:rPr>
              <w:t xml:space="preserve"> </w:t>
            </w:r>
            <w:r w:rsidRPr="000F22A4">
              <w:rPr>
                <w:rFonts w:ascii="Times New Roman" w:hAnsi="Times New Roman" w:cs="Times New Roman"/>
                <w:color w:val="000000"/>
                <w:sz w:val="20"/>
                <w:szCs w:val="20"/>
              </w:rPr>
              <w:t>solventleri kapsamaz.</w:t>
            </w:r>
          </w:p>
        </w:tc>
      </w:tr>
    </w:tbl>
    <w:p w14:paraId="215FA6D5" w14:textId="77777777" w:rsidR="00070752" w:rsidRPr="002E5F0F" w:rsidRDefault="00070752" w:rsidP="00070752">
      <w:pPr>
        <w:spacing w:line="240" w:lineRule="auto"/>
        <w:rPr>
          <w:rFonts w:ascii="Times New Roman" w:hAnsi="Times New Roman" w:cs="Times New Roman"/>
          <w:sz w:val="24"/>
          <w:szCs w:val="24"/>
        </w:rPr>
        <w:sectPr w:rsidR="00070752" w:rsidRPr="002E5F0F">
          <w:type w:val="continuous"/>
          <w:pgSz w:w="16834" w:h="11909" w:orient="landscape"/>
          <w:pgMar w:top="1440" w:right="1196" w:bottom="720" w:left="1196" w:header="708" w:footer="708" w:gutter="0"/>
          <w:cols w:space="60"/>
          <w:noEndnote/>
        </w:sectPr>
      </w:pPr>
    </w:p>
    <w:tbl>
      <w:tblPr>
        <w:tblStyle w:val="TabloKlavuzu15"/>
        <w:tblpPr w:leftFromText="141" w:rightFromText="141" w:vertAnchor="text" w:horzAnchor="margin" w:tblpY="-739"/>
        <w:tblW w:w="14549" w:type="dxa"/>
        <w:tblLayout w:type="fixed"/>
        <w:tblLook w:val="0000" w:firstRow="0" w:lastRow="0" w:firstColumn="0" w:lastColumn="0" w:noHBand="0" w:noVBand="0"/>
      </w:tblPr>
      <w:tblGrid>
        <w:gridCol w:w="488"/>
        <w:gridCol w:w="3065"/>
        <w:gridCol w:w="1829"/>
        <w:gridCol w:w="992"/>
        <w:gridCol w:w="1114"/>
        <w:gridCol w:w="1296"/>
        <w:gridCol w:w="1330"/>
        <w:gridCol w:w="1311"/>
        <w:gridCol w:w="3124"/>
      </w:tblGrid>
      <w:tr w:rsidR="00070752" w:rsidRPr="000F22A4" w14:paraId="4E6DECF6" w14:textId="77777777" w:rsidTr="00795C7D">
        <w:trPr>
          <w:trHeight w:hRule="exact" w:val="1847"/>
        </w:trPr>
        <w:tc>
          <w:tcPr>
            <w:tcW w:w="488" w:type="dxa"/>
          </w:tcPr>
          <w:p w14:paraId="6D900F78" w14:textId="77777777" w:rsidR="00070752" w:rsidRPr="00795C7D" w:rsidRDefault="00070752" w:rsidP="00070752">
            <w:pPr>
              <w:shd w:val="clear" w:color="auto" w:fill="FFFFFF"/>
              <w:rPr>
                <w:rFonts w:ascii="Times New Roman" w:hAnsi="Times New Roman" w:cs="Times New Roman"/>
                <w:b/>
                <w:bCs/>
                <w:sz w:val="20"/>
                <w:szCs w:val="20"/>
              </w:rPr>
            </w:pPr>
          </w:p>
        </w:tc>
        <w:tc>
          <w:tcPr>
            <w:tcW w:w="3065" w:type="dxa"/>
          </w:tcPr>
          <w:p w14:paraId="4AAE637B" w14:textId="77777777" w:rsidR="00070752" w:rsidRPr="00795C7D" w:rsidRDefault="00070752" w:rsidP="00070752">
            <w:pPr>
              <w:shd w:val="clear" w:color="auto" w:fill="FFFFFF"/>
              <w:jc w:val="center"/>
              <w:rPr>
                <w:rFonts w:ascii="Times New Roman" w:hAnsi="Times New Roman" w:cs="Times New Roman"/>
                <w:b/>
                <w:bCs/>
                <w:sz w:val="20"/>
                <w:szCs w:val="20"/>
              </w:rPr>
            </w:pPr>
            <w:r w:rsidRPr="00795C7D">
              <w:rPr>
                <w:rFonts w:ascii="Times New Roman" w:hAnsi="Times New Roman" w:cs="Times New Roman"/>
                <w:b/>
                <w:bCs/>
                <w:color w:val="000000"/>
                <w:spacing w:val="-1"/>
                <w:sz w:val="20"/>
                <w:szCs w:val="20"/>
              </w:rPr>
              <w:t>Faaliyet (ton/yıl solvent tüketimi)</w:t>
            </w:r>
          </w:p>
        </w:tc>
        <w:tc>
          <w:tcPr>
            <w:tcW w:w="1829" w:type="dxa"/>
          </w:tcPr>
          <w:p w14:paraId="1F2B4D50" w14:textId="77777777" w:rsidR="00070752" w:rsidRPr="00795C7D" w:rsidRDefault="00070752" w:rsidP="00070752">
            <w:pPr>
              <w:shd w:val="clear" w:color="auto" w:fill="FFFFFF"/>
              <w:rPr>
                <w:rFonts w:ascii="Times New Roman" w:hAnsi="Times New Roman" w:cs="Times New Roman"/>
                <w:b/>
                <w:bCs/>
                <w:sz w:val="20"/>
                <w:szCs w:val="20"/>
              </w:rPr>
            </w:pPr>
            <w:r w:rsidRPr="00795C7D">
              <w:rPr>
                <w:rFonts w:ascii="Times New Roman" w:hAnsi="Times New Roman" w:cs="Times New Roman"/>
                <w:b/>
                <w:bCs/>
                <w:color w:val="000000"/>
                <w:spacing w:val="-1"/>
                <w:sz w:val="20"/>
                <w:szCs w:val="20"/>
              </w:rPr>
              <w:t xml:space="preserve">Sınır (ton/yıl solvent </w:t>
            </w:r>
            <w:r w:rsidRPr="00795C7D">
              <w:rPr>
                <w:rFonts w:ascii="Times New Roman" w:hAnsi="Times New Roman" w:cs="Times New Roman"/>
                <w:b/>
                <w:bCs/>
                <w:color w:val="000000"/>
                <w:sz w:val="20"/>
                <w:szCs w:val="20"/>
              </w:rPr>
              <w:t>tüketimi)</w:t>
            </w:r>
          </w:p>
        </w:tc>
        <w:tc>
          <w:tcPr>
            <w:tcW w:w="992" w:type="dxa"/>
          </w:tcPr>
          <w:p w14:paraId="5B41B18E" w14:textId="52EF07F9" w:rsidR="00070752" w:rsidRPr="00795C7D" w:rsidRDefault="00070752" w:rsidP="00795C7D">
            <w:pPr>
              <w:shd w:val="clear" w:color="auto" w:fill="FFFFFF"/>
              <w:rPr>
                <w:rFonts w:ascii="Times New Roman" w:hAnsi="Times New Roman" w:cs="Times New Roman"/>
                <w:b/>
                <w:bCs/>
                <w:sz w:val="20"/>
                <w:szCs w:val="20"/>
              </w:rPr>
            </w:pPr>
            <w:r w:rsidRPr="00795C7D">
              <w:rPr>
                <w:rFonts w:ascii="Times New Roman" w:hAnsi="Times New Roman" w:cs="Times New Roman"/>
                <w:b/>
                <w:bCs/>
                <w:color w:val="000000"/>
                <w:sz w:val="20"/>
                <w:szCs w:val="20"/>
              </w:rPr>
              <w:t>Atık</w:t>
            </w:r>
            <w:r w:rsidR="00795C7D">
              <w:rPr>
                <w:rFonts w:ascii="Times New Roman" w:hAnsi="Times New Roman" w:cs="Times New Roman"/>
                <w:b/>
                <w:bCs/>
                <w:color w:val="000000"/>
                <w:sz w:val="20"/>
                <w:szCs w:val="20"/>
              </w:rPr>
              <w:t xml:space="preserve"> </w:t>
            </w:r>
            <w:r w:rsidRPr="00795C7D">
              <w:rPr>
                <w:rFonts w:ascii="Times New Roman" w:hAnsi="Times New Roman" w:cs="Times New Roman"/>
                <w:b/>
                <w:bCs/>
                <w:color w:val="000000"/>
                <w:sz w:val="20"/>
                <w:szCs w:val="20"/>
              </w:rPr>
              <w:t>gazlarda</w:t>
            </w:r>
          </w:p>
          <w:p w14:paraId="024576F9" w14:textId="77777777" w:rsidR="00070752" w:rsidRPr="00795C7D" w:rsidRDefault="00070752" w:rsidP="00795C7D">
            <w:pPr>
              <w:shd w:val="clear" w:color="auto" w:fill="FFFFFF"/>
              <w:rPr>
                <w:rFonts w:ascii="Times New Roman" w:hAnsi="Times New Roman" w:cs="Times New Roman"/>
                <w:b/>
                <w:bCs/>
                <w:sz w:val="20"/>
                <w:szCs w:val="20"/>
              </w:rPr>
            </w:pPr>
            <w:r w:rsidRPr="00795C7D">
              <w:rPr>
                <w:rFonts w:ascii="Times New Roman" w:hAnsi="Times New Roman" w:cs="Times New Roman"/>
                <w:b/>
                <w:bCs/>
                <w:color w:val="000000"/>
                <w:sz w:val="20"/>
                <w:szCs w:val="20"/>
              </w:rPr>
              <w:t>emisyon sınır</w:t>
            </w:r>
          </w:p>
          <w:p w14:paraId="3DF1CE87" w14:textId="77777777" w:rsidR="00070752" w:rsidRPr="00795C7D" w:rsidRDefault="00070752" w:rsidP="00795C7D">
            <w:pPr>
              <w:shd w:val="clear" w:color="auto" w:fill="FFFFFF"/>
              <w:rPr>
                <w:rFonts w:ascii="Times New Roman" w:hAnsi="Times New Roman" w:cs="Times New Roman"/>
                <w:b/>
                <w:bCs/>
                <w:sz w:val="20"/>
                <w:szCs w:val="20"/>
              </w:rPr>
            </w:pPr>
            <w:r w:rsidRPr="00795C7D">
              <w:rPr>
                <w:rFonts w:ascii="Times New Roman" w:hAnsi="Times New Roman" w:cs="Times New Roman"/>
                <w:b/>
                <w:bCs/>
                <w:color w:val="000000"/>
                <w:spacing w:val="-4"/>
                <w:sz w:val="20"/>
                <w:szCs w:val="20"/>
              </w:rPr>
              <w:t>değerleri   (mg</w:t>
            </w:r>
          </w:p>
          <w:p w14:paraId="008CE0FF" w14:textId="77777777" w:rsidR="00070752" w:rsidRPr="00795C7D" w:rsidRDefault="00070752" w:rsidP="00070752">
            <w:pPr>
              <w:shd w:val="clear" w:color="auto" w:fill="FFFFFF"/>
              <w:jc w:val="center"/>
              <w:rPr>
                <w:rFonts w:ascii="Times New Roman" w:hAnsi="Times New Roman" w:cs="Times New Roman"/>
                <w:b/>
                <w:bCs/>
                <w:sz w:val="20"/>
                <w:szCs w:val="20"/>
              </w:rPr>
            </w:pPr>
            <w:r w:rsidRPr="00795C7D">
              <w:rPr>
                <w:rFonts w:ascii="Times New Roman" w:hAnsi="Times New Roman" w:cs="Times New Roman"/>
                <w:b/>
                <w:bCs/>
                <w:color w:val="000000"/>
                <w:sz w:val="20"/>
                <w:szCs w:val="20"/>
              </w:rPr>
              <w:t>C/Nm</w:t>
            </w:r>
            <w:r w:rsidRPr="00795C7D">
              <w:rPr>
                <w:rFonts w:ascii="Times New Roman" w:hAnsi="Times New Roman" w:cs="Times New Roman"/>
                <w:b/>
                <w:bCs/>
                <w:color w:val="000000"/>
                <w:sz w:val="20"/>
                <w:szCs w:val="20"/>
                <w:vertAlign w:val="superscript"/>
              </w:rPr>
              <w:t>3</w:t>
            </w:r>
            <w:r w:rsidRPr="00795C7D">
              <w:rPr>
                <w:rFonts w:ascii="Times New Roman" w:hAnsi="Times New Roman" w:cs="Times New Roman"/>
                <w:b/>
                <w:bCs/>
                <w:color w:val="000000"/>
                <w:sz w:val="20"/>
                <w:szCs w:val="20"/>
              </w:rPr>
              <w:t>)</w:t>
            </w:r>
          </w:p>
        </w:tc>
        <w:tc>
          <w:tcPr>
            <w:tcW w:w="2410" w:type="dxa"/>
            <w:gridSpan w:val="2"/>
          </w:tcPr>
          <w:p w14:paraId="37A059D9" w14:textId="77777777" w:rsidR="00070752" w:rsidRPr="00795C7D" w:rsidRDefault="00070752" w:rsidP="00070752">
            <w:pPr>
              <w:shd w:val="clear" w:color="auto" w:fill="FFFFFF"/>
              <w:ind w:left="192" w:right="168"/>
              <w:rPr>
                <w:rFonts w:ascii="Times New Roman" w:hAnsi="Times New Roman" w:cs="Times New Roman"/>
                <w:b/>
                <w:bCs/>
                <w:sz w:val="20"/>
                <w:szCs w:val="20"/>
              </w:rPr>
            </w:pPr>
            <w:r w:rsidRPr="00795C7D">
              <w:rPr>
                <w:rFonts w:ascii="Times New Roman" w:hAnsi="Times New Roman" w:cs="Times New Roman"/>
                <w:b/>
                <w:bCs/>
                <w:color w:val="000000"/>
                <w:spacing w:val="-1"/>
                <w:sz w:val="20"/>
                <w:szCs w:val="20"/>
              </w:rPr>
              <w:t xml:space="preserve">Kaçak emisyon sınır değerleri </w:t>
            </w:r>
            <w:r w:rsidRPr="00795C7D">
              <w:rPr>
                <w:rFonts w:ascii="Times New Roman" w:hAnsi="Times New Roman" w:cs="Times New Roman"/>
                <w:b/>
                <w:bCs/>
                <w:color w:val="000000"/>
                <w:sz w:val="20"/>
                <w:szCs w:val="20"/>
              </w:rPr>
              <w:t>(solvent girdi yüzdesi)</w:t>
            </w:r>
          </w:p>
        </w:tc>
        <w:tc>
          <w:tcPr>
            <w:tcW w:w="2641" w:type="dxa"/>
            <w:gridSpan w:val="2"/>
          </w:tcPr>
          <w:p w14:paraId="1DA3B10D" w14:textId="77777777" w:rsidR="00070752" w:rsidRPr="00795C7D" w:rsidRDefault="00070752" w:rsidP="00070752">
            <w:pPr>
              <w:shd w:val="clear" w:color="auto" w:fill="FFFFFF"/>
              <w:jc w:val="center"/>
              <w:rPr>
                <w:rFonts w:ascii="Times New Roman" w:hAnsi="Times New Roman" w:cs="Times New Roman"/>
                <w:b/>
                <w:bCs/>
                <w:sz w:val="20"/>
                <w:szCs w:val="20"/>
              </w:rPr>
            </w:pPr>
            <w:r w:rsidRPr="00795C7D">
              <w:rPr>
                <w:rFonts w:ascii="Times New Roman" w:hAnsi="Times New Roman" w:cs="Times New Roman"/>
                <w:b/>
                <w:bCs/>
                <w:color w:val="000000"/>
                <w:spacing w:val="-1"/>
                <w:sz w:val="20"/>
                <w:szCs w:val="20"/>
              </w:rPr>
              <w:t>Toplam emisyon sınır değerleri</w:t>
            </w:r>
          </w:p>
        </w:tc>
        <w:tc>
          <w:tcPr>
            <w:tcW w:w="3124" w:type="dxa"/>
          </w:tcPr>
          <w:p w14:paraId="2BCC0F26" w14:textId="77777777" w:rsidR="00070752" w:rsidRPr="00795C7D" w:rsidRDefault="00070752" w:rsidP="00070752">
            <w:pPr>
              <w:shd w:val="clear" w:color="auto" w:fill="FFFFFF"/>
              <w:jc w:val="center"/>
              <w:rPr>
                <w:rFonts w:ascii="Times New Roman" w:hAnsi="Times New Roman" w:cs="Times New Roman"/>
                <w:b/>
                <w:bCs/>
                <w:sz w:val="20"/>
                <w:szCs w:val="20"/>
              </w:rPr>
            </w:pPr>
            <w:r w:rsidRPr="00795C7D">
              <w:rPr>
                <w:rFonts w:ascii="Times New Roman" w:hAnsi="Times New Roman" w:cs="Times New Roman"/>
                <w:b/>
                <w:bCs/>
                <w:color w:val="000000"/>
                <w:sz w:val="20"/>
                <w:szCs w:val="20"/>
              </w:rPr>
              <w:t>Özel hükümler</w:t>
            </w:r>
          </w:p>
        </w:tc>
      </w:tr>
      <w:tr w:rsidR="00070752" w:rsidRPr="000F22A4" w14:paraId="4E5BC1FB" w14:textId="77777777" w:rsidTr="00795C7D">
        <w:trPr>
          <w:trHeight w:hRule="exact" w:val="494"/>
        </w:trPr>
        <w:tc>
          <w:tcPr>
            <w:tcW w:w="488" w:type="dxa"/>
          </w:tcPr>
          <w:p w14:paraId="6A287022" w14:textId="77777777" w:rsidR="00070752" w:rsidRPr="000F22A4" w:rsidRDefault="00070752" w:rsidP="00070752">
            <w:pPr>
              <w:shd w:val="clear" w:color="auto" w:fill="FFFFFF"/>
              <w:rPr>
                <w:rFonts w:ascii="Times New Roman" w:hAnsi="Times New Roman" w:cs="Times New Roman"/>
                <w:sz w:val="20"/>
                <w:szCs w:val="20"/>
              </w:rPr>
            </w:pPr>
          </w:p>
        </w:tc>
        <w:tc>
          <w:tcPr>
            <w:tcW w:w="3065" w:type="dxa"/>
          </w:tcPr>
          <w:p w14:paraId="2C62AF3B" w14:textId="77777777" w:rsidR="00070752" w:rsidRPr="000F22A4" w:rsidRDefault="00070752" w:rsidP="00070752">
            <w:pPr>
              <w:shd w:val="clear" w:color="auto" w:fill="FFFFFF"/>
              <w:rPr>
                <w:rFonts w:ascii="Times New Roman" w:hAnsi="Times New Roman" w:cs="Times New Roman"/>
                <w:sz w:val="20"/>
                <w:szCs w:val="20"/>
              </w:rPr>
            </w:pPr>
          </w:p>
          <w:p w14:paraId="60E92CF8" w14:textId="77777777" w:rsidR="00070752" w:rsidRPr="000F22A4" w:rsidRDefault="00070752" w:rsidP="00070752">
            <w:pPr>
              <w:shd w:val="clear" w:color="auto" w:fill="FFFFFF"/>
              <w:rPr>
                <w:rFonts w:ascii="Times New Roman" w:hAnsi="Times New Roman" w:cs="Times New Roman"/>
                <w:sz w:val="20"/>
                <w:szCs w:val="20"/>
              </w:rPr>
            </w:pPr>
          </w:p>
        </w:tc>
        <w:tc>
          <w:tcPr>
            <w:tcW w:w="1829" w:type="dxa"/>
          </w:tcPr>
          <w:p w14:paraId="6C6F0B52" w14:textId="77777777" w:rsidR="00070752" w:rsidRPr="000F22A4" w:rsidRDefault="00070752" w:rsidP="00070752">
            <w:pPr>
              <w:shd w:val="clear" w:color="auto" w:fill="FFFFFF"/>
              <w:rPr>
                <w:rFonts w:ascii="Times New Roman" w:hAnsi="Times New Roman" w:cs="Times New Roman"/>
                <w:sz w:val="20"/>
                <w:szCs w:val="20"/>
              </w:rPr>
            </w:pPr>
          </w:p>
          <w:p w14:paraId="7B1231D6" w14:textId="77777777" w:rsidR="00070752" w:rsidRPr="000F22A4" w:rsidRDefault="00070752" w:rsidP="00070752">
            <w:pPr>
              <w:shd w:val="clear" w:color="auto" w:fill="FFFFFF"/>
              <w:rPr>
                <w:rFonts w:ascii="Times New Roman" w:hAnsi="Times New Roman" w:cs="Times New Roman"/>
                <w:sz w:val="20"/>
                <w:szCs w:val="20"/>
              </w:rPr>
            </w:pPr>
          </w:p>
        </w:tc>
        <w:tc>
          <w:tcPr>
            <w:tcW w:w="992" w:type="dxa"/>
          </w:tcPr>
          <w:p w14:paraId="040ED210" w14:textId="77777777" w:rsidR="00070752" w:rsidRPr="000F22A4" w:rsidRDefault="00070752" w:rsidP="00070752">
            <w:pPr>
              <w:shd w:val="clear" w:color="auto" w:fill="FFFFFF"/>
              <w:rPr>
                <w:rFonts w:ascii="Times New Roman" w:hAnsi="Times New Roman" w:cs="Times New Roman"/>
                <w:sz w:val="20"/>
                <w:szCs w:val="20"/>
              </w:rPr>
            </w:pPr>
          </w:p>
          <w:p w14:paraId="479D51E8" w14:textId="77777777" w:rsidR="00070752" w:rsidRPr="000F22A4" w:rsidRDefault="00070752" w:rsidP="00070752">
            <w:pPr>
              <w:shd w:val="clear" w:color="auto" w:fill="FFFFFF"/>
              <w:rPr>
                <w:rFonts w:ascii="Times New Roman" w:hAnsi="Times New Roman" w:cs="Times New Roman"/>
                <w:sz w:val="20"/>
                <w:szCs w:val="20"/>
              </w:rPr>
            </w:pPr>
          </w:p>
        </w:tc>
        <w:tc>
          <w:tcPr>
            <w:tcW w:w="1114" w:type="dxa"/>
          </w:tcPr>
          <w:p w14:paraId="795BFD8E" w14:textId="77777777" w:rsidR="00070752" w:rsidRPr="000F22A4" w:rsidRDefault="00070752" w:rsidP="00070752">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Yeni tesisler</w:t>
            </w:r>
          </w:p>
        </w:tc>
        <w:tc>
          <w:tcPr>
            <w:tcW w:w="1296" w:type="dxa"/>
          </w:tcPr>
          <w:p w14:paraId="591B2D57"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Mevcut tesisler</w:t>
            </w:r>
          </w:p>
        </w:tc>
        <w:tc>
          <w:tcPr>
            <w:tcW w:w="1330" w:type="dxa"/>
          </w:tcPr>
          <w:p w14:paraId="02A74D15" w14:textId="77777777" w:rsidR="00070752" w:rsidRPr="000F22A4" w:rsidRDefault="00070752" w:rsidP="00070752">
            <w:pPr>
              <w:shd w:val="clear" w:color="auto" w:fill="FFFFFF"/>
              <w:jc w:val="center"/>
              <w:rPr>
                <w:rFonts w:ascii="Times New Roman" w:hAnsi="Times New Roman" w:cs="Times New Roman"/>
                <w:sz w:val="20"/>
                <w:szCs w:val="20"/>
              </w:rPr>
            </w:pPr>
            <w:r w:rsidRPr="000F22A4">
              <w:rPr>
                <w:rFonts w:ascii="Times New Roman" w:hAnsi="Times New Roman" w:cs="Times New Roman"/>
                <w:color w:val="000000"/>
                <w:sz w:val="20"/>
                <w:szCs w:val="20"/>
              </w:rPr>
              <w:t>Yeni tesisler</w:t>
            </w:r>
          </w:p>
        </w:tc>
        <w:tc>
          <w:tcPr>
            <w:tcW w:w="1311" w:type="dxa"/>
          </w:tcPr>
          <w:p w14:paraId="6744D660"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Mevcut tesisler</w:t>
            </w:r>
          </w:p>
        </w:tc>
        <w:tc>
          <w:tcPr>
            <w:tcW w:w="3124" w:type="dxa"/>
          </w:tcPr>
          <w:p w14:paraId="56E1001C" w14:textId="77777777" w:rsidR="00070752" w:rsidRPr="000F22A4" w:rsidRDefault="00070752" w:rsidP="00070752">
            <w:pPr>
              <w:shd w:val="clear" w:color="auto" w:fill="FFFFFF"/>
              <w:rPr>
                <w:rFonts w:ascii="Times New Roman" w:hAnsi="Times New Roman" w:cs="Times New Roman"/>
                <w:sz w:val="20"/>
                <w:szCs w:val="20"/>
              </w:rPr>
            </w:pPr>
          </w:p>
          <w:p w14:paraId="10CE1DD9" w14:textId="77777777" w:rsidR="00070752" w:rsidRPr="000F22A4" w:rsidRDefault="00070752" w:rsidP="00070752">
            <w:pPr>
              <w:shd w:val="clear" w:color="auto" w:fill="FFFFFF"/>
              <w:rPr>
                <w:rFonts w:ascii="Times New Roman" w:hAnsi="Times New Roman" w:cs="Times New Roman"/>
                <w:sz w:val="20"/>
                <w:szCs w:val="20"/>
              </w:rPr>
            </w:pPr>
          </w:p>
        </w:tc>
      </w:tr>
      <w:tr w:rsidR="00070752" w:rsidRPr="000F22A4" w14:paraId="16CB771F" w14:textId="77777777" w:rsidTr="00795C7D">
        <w:trPr>
          <w:trHeight w:hRule="exact" w:val="3198"/>
        </w:trPr>
        <w:tc>
          <w:tcPr>
            <w:tcW w:w="488" w:type="dxa"/>
          </w:tcPr>
          <w:p w14:paraId="312DA435"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19</w:t>
            </w:r>
          </w:p>
        </w:tc>
        <w:tc>
          <w:tcPr>
            <w:tcW w:w="3065" w:type="dxa"/>
          </w:tcPr>
          <w:p w14:paraId="790B7B83" w14:textId="487FE181" w:rsidR="00070752" w:rsidRPr="000F22A4" w:rsidRDefault="00070752" w:rsidP="00795C7D">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
                <w:sz w:val="20"/>
                <w:szCs w:val="20"/>
              </w:rPr>
              <w:t>Bitkisel ve hayvansal yağ çıkarma ile bitkisel</w:t>
            </w:r>
            <w:r w:rsidR="00795C7D">
              <w:rPr>
                <w:rFonts w:ascii="Times New Roman" w:hAnsi="Times New Roman" w:cs="Times New Roman"/>
                <w:color w:val="000000"/>
                <w:spacing w:val="-1"/>
                <w:sz w:val="20"/>
                <w:szCs w:val="20"/>
              </w:rPr>
              <w:t xml:space="preserve"> </w:t>
            </w:r>
            <w:r w:rsidRPr="000F22A4">
              <w:rPr>
                <w:rFonts w:ascii="Times New Roman" w:hAnsi="Times New Roman" w:cs="Times New Roman"/>
                <w:color w:val="000000"/>
                <w:sz w:val="20"/>
                <w:szCs w:val="20"/>
              </w:rPr>
              <w:t>yağ rafinasyon faaliyetleri</w:t>
            </w:r>
            <w:r w:rsidR="00795C7D">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(&gt;10)</w:t>
            </w:r>
          </w:p>
        </w:tc>
        <w:tc>
          <w:tcPr>
            <w:tcW w:w="1829" w:type="dxa"/>
          </w:tcPr>
          <w:p w14:paraId="488E494D" w14:textId="77777777" w:rsidR="00070752" w:rsidRPr="000F22A4" w:rsidRDefault="00070752" w:rsidP="00070752">
            <w:pPr>
              <w:shd w:val="clear" w:color="auto" w:fill="FFFFFF"/>
              <w:rPr>
                <w:rFonts w:ascii="Times New Roman" w:hAnsi="Times New Roman" w:cs="Times New Roman"/>
                <w:sz w:val="20"/>
                <w:szCs w:val="20"/>
              </w:rPr>
            </w:pPr>
          </w:p>
        </w:tc>
        <w:tc>
          <w:tcPr>
            <w:tcW w:w="992" w:type="dxa"/>
          </w:tcPr>
          <w:p w14:paraId="159EDA6E" w14:textId="77777777" w:rsidR="00070752" w:rsidRPr="000F22A4" w:rsidRDefault="00070752" w:rsidP="00070752">
            <w:pPr>
              <w:shd w:val="clear" w:color="auto" w:fill="FFFFFF"/>
              <w:rPr>
                <w:rFonts w:ascii="Times New Roman" w:hAnsi="Times New Roman" w:cs="Times New Roman"/>
                <w:sz w:val="20"/>
                <w:szCs w:val="20"/>
              </w:rPr>
            </w:pPr>
          </w:p>
        </w:tc>
        <w:tc>
          <w:tcPr>
            <w:tcW w:w="2410" w:type="dxa"/>
            <w:gridSpan w:val="2"/>
          </w:tcPr>
          <w:p w14:paraId="0A2E5E12" w14:textId="77777777" w:rsidR="00070752" w:rsidRPr="000F22A4" w:rsidRDefault="00070752" w:rsidP="00070752">
            <w:pPr>
              <w:shd w:val="clear" w:color="auto" w:fill="FFFFFF"/>
              <w:rPr>
                <w:rFonts w:ascii="Times New Roman" w:hAnsi="Times New Roman" w:cs="Times New Roman"/>
                <w:sz w:val="20"/>
                <w:szCs w:val="20"/>
              </w:rPr>
            </w:pPr>
          </w:p>
        </w:tc>
        <w:tc>
          <w:tcPr>
            <w:tcW w:w="2641" w:type="dxa"/>
            <w:gridSpan w:val="2"/>
          </w:tcPr>
          <w:p w14:paraId="2FDB7D2E"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Hayvansal yağ: 1,5 kg/ton</w:t>
            </w:r>
          </w:p>
          <w:p w14:paraId="125E20BC"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Hintyağı: 3 kg/ton</w:t>
            </w:r>
          </w:p>
          <w:p w14:paraId="401A89AA"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Kolza tohumu: 1 kg/ton</w:t>
            </w:r>
          </w:p>
          <w:p w14:paraId="55200F88"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Ayçiçeği çekirdeği: 1 kg/ton</w:t>
            </w:r>
          </w:p>
          <w:p w14:paraId="4A00A6E7"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pacing w:val="-1"/>
                <w:sz w:val="20"/>
                <w:szCs w:val="20"/>
              </w:rPr>
              <w:t xml:space="preserve">Soya fasülyesi (normal ezme): 0,8 kg/ton Soya fasülyesi (beyaz gevrek): 1,2 kg/ton </w:t>
            </w:r>
            <w:r w:rsidRPr="000F22A4">
              <w:rPr>
                <w:rFonts w:ascii="Times New Roman" w:hAnsi="Times New Roman" w:cs="Times New Roman"/>
                <w:color w:val="000000"/>
                <w:sz w:val="20"/>
                <w:szCs w:val="20"/>
              </w:rPr>
              <w:t xml:space="preserve">Diğer tohumlar ve bitkisel maddeler: 3 kg/ton </w:t>
            </w:r>
            <w:r w:rsidRPr="000F22A4">
              <w:rPr>
                <w:rFonts w:ascii="Times New Roman" w:hAnsi="Times New Roman" w:cs="Times New Roman"/>
                <w:color w:val="000000"/>
                <w:spacing w:val="-11"/>
                <w:sz w:val="20"/>
                <w:szCs w:val="20"/>
              </w:rPr>
              <w:t>(</w:t>
            </w:r>
            <w:r w:rsidRPr="000F22A4">
              <w:rPr>
                <w:rFonts w:ascii="Times New Roman" w:hAnsi="Times New Roman" w:cs="Times New Roman"/>
                <w:color w:val="000000"/>
                <w:spacing w:val="-11"/>
                <w:sz w:val="20"/>
                <w:szCs w:val="20"/>
                <w:vertAlign w:val="superscript"/>
              </w:rPr>
              <w:t>1</w:t>
            </w:r>
            <w:r w:rsidRPr="000F22A4">
              <w:rPr>
                <w:rFonts w:ascii="Times New Roman" w:hAnsi="Times New Roman" w:cs="Times New Roman"/>
                <w:color w:val="000000"/>
                <w:spacing w:val="-11"/>
                <w:sz w:val="20"/>
                <w:szCs w:val="20"/>
              </w:rPr>
              <w:t xml:space="preserve">)    </w:t>
            </w:r>
            <w:r w:rsidRPr="000F22A4">
              <w:rPr>
                <w:rFonts w:ascii="Times New Roman" w:hAnsi="Times New Roman" w:cs="Times New Roman"/>
                <w:color w:val="000000"/>
                <w:spacing w:val="-2"/>
                <w:sz w:val="20"/>
                <w:szCs w:val="20"/>
              </w:rPr>
              <w:t>1,5  kg/ton (</w:t>
            </w:r>
            <w:r w:rsidRPr="000F22A4">
              <w:rPr>
                <w:rFonts w:ascii="Times New Roman" w:hAnsi="Times New Roman" w:cs="Times New Roman"/>
                <w:color w:val="000000"/>
                <w:spacing w:val="-2"/>
                <w:sz w:val="20"/>
                <w:szCs w:val="20"/>
                <w:vertAlign w:val="superscript"/>
              </w:rPr>
              <w:t>2</w:t>
            </w:r>
            <w:r w:rsidRPr="000F22A4">
              <w:rPr>
                <w:rFonts w:ascii="Times New Roman" w:hAnsi="Times New Roman" w:cs="Times New Roman"/>
                <w:color w:val="000000"/>
                <w:spacing w:val="-2"/>
                <w:sz w:val="20"/>
                <w:szCs w:val="20"/>
              </w:rPr>
              <w:t>) 4 kg/ton (</w:t>
            </w:r>
            <w:r w:rsidRPr="000F22A4">
              <w:rPr>
                <w:rFonts w:ascii="Times New Roman" w:hAnsi="Times New Roman" w:cs="Times New Roman"/>
                <w:color w:val="000000"/>
                <w:spacing w:val="-2"/>
                <w:sz w:val="20"/>
                <w:szCs w:val="20"/>
                <w:vertAlign w:val="superscript"/>
              </w:rPr>
              <w:t>3</w:t>
            </w:r>
            <w:r w:rsidRPr="000F22A4">
              <w:rPr>
                <w:rFonts w:ascii="Times New Roman" w:hAnsi="Times New Roman" w:cs="Times New Roman"/>
                <w:color w:val="000000"/>
                <w:spacing w:val="-2"/>
                <w:sz w:val="20"/>
                <w:szCs w:val="20"/>
              </w:rPr>
              <w:t>)</w:t>
            </w:r>
          </w:p>
        </w:tc>
        <w:tc>
          <w:tcPr>
            <w:tcW w:w="3124" w:type="dxa"/>
          </w:tcPr>
          <w:p w14:paraId="160FC53C" w14:textId="27243C1A" w:rsidR="00070752" w:rsidRPr="000F22A4" w:rsidRDefault="00070752" w:rsidP="00795C7D">
            <w:pPr>
              <w:shd w:val="clear" w:color="auto" w:fill="FFFFFF"/>
              <w:tabs>
                <w:tab w:val="left" w:pos="437"/>
              </w:tabs>
              <w:jc w:val="both"/>
              <w:rPr>
                <w:rFonts w:ascii="Times New Roman" w:hAnsi="Times New Roman" w:cs="Times New Roman"/>
                <w:sz w:val="20"/>
                <w:szCs w:val="20"/>
              </w:rPr>
            </w:pP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pacing w:val="-14"/>
                <w:sz w:val="20"/>
                <w:szCs w:val="20"/>
                <w:vertAlign w:val="superscript"/>
              </w:rPr>
              <w:t>1</w:t>
            </w: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z w:val="20"/>
                <w:szCs w:val="20"/>
              </w:rPr>
              <w:tab/>
            </w:r>
            <w:r w:rsidRPr="000F22A4">
              <w:rPr>
                <w:rFonts w:ascii="Times New Roman" w:hAnsi="Times New Roman" w:cs="Times New Roman"/>
                <w:color w:val="000000"/>
                <w:spacing w:val="-7"/>
                <w:sz w:val="20"/>
                <w:szCs w:val="20"/>
              </w:rPr>
              <w:t>Tekil     tohum     grupları     ve     diğer     bitkisel</w:t>
            </w:r>
            <w:r w:rsidR="003344B6">
              <w:rPr>
                <w:rFonts w:ascii="Times New Roman" w:hAnsi="Times New Roman" w:cs="Times New Roman"/>
                <w:color w:val="000000"/>
                <w:spacing w:val="-7"/>
                <w:sz w:val="20"/>
                <w:szCs w:val="20"/>
              </w:rPr>
              <w:t xml:space="preserve"> </w:t>
            </w:r>
            <w:r w:rsidRPr="000F22A4">
              <w:rPr>
                <w:rFonts w:ascii="Times New Roman" w:hAnsi="Times New Roman" w:cs="Times New Roman"/>
                <w:color w:val="000000"/>
                <w:spacing w:val="-6"/>
                <w:sz w:val="20"/>
                <w:szCs w:val="20"/>
              </w:rPr>
              <w:t>maddeleri    işleyen    tesisler    için    toplam    emisyon</w:t>
            </w:r>
            <w:r w:rsidRPr="000F22A4">
              <w:rPr>
                <w:rFonts w:ascii="Times New Roman" w:hAnsi="Times New Roman" w:cs="Times New Roman"/>
                <w:color w:val="000000"/>
                <w:spacing w:val="-6"/>
                <w:sz w:val="20"/>
                <w:szCs w:val="20"/>
              </w:rPr>
              <w:br/>
              <w:t>sınır   değerleri   yetkili   makam   tarafından   her   bir</w:t>
            </w:r>
            <w:r w:rsidR="003344B6">
              <w:rPr>
                <w:rFonts w:ascii="Times New Roman" w:hAnsi="Times New Roman" w:cs="Times New Roman"/>
                <w:color w:val="000000"/>
                <w:spacing w:val="-6"/>
                <w:sz w:val="20"/>
                <w:szCs w:val="20"/>
              </w:rPr>
              <w:t xml:space="preserve"> </w:t>
            </w:r>
            <w:r w:rsidRPr="000F22A4">
              <w:rPr>
                <w:rFonts w:ascii="Times New Roman" w:hAnsi="Times New Roman" w:cs="Times New Roman"/>
                <w:color w:val="000000"/>
                <w:spacing w:val="-8"/>
                <w:sz w:val="20"/>
                <w:szCs w:val="20"/>
              </w:rPr>
              <w:t>uygulama     için     elde     bulunan    en     iyi     teknikler</w:t>
            </w:r>
            <w:r w:rsidRPr="000F22A4">
              <w:rPr>
                <w:rFonts w:ascii="Times New Roman" w:hAnsi="Times New Roman" w:cs="Times New Roman"/>
                <w:color w:val="000000"/>
                <w:spacing w:val="-8"/>
                <w:sz w:val="20"/>
                <w:szCs w:val="20"/>
              </w:rPr>
              <w:br/>
            </w:r>
            <w:r w:rsidRPr="000F22A4">
              <w:rPr>
                <w:rFonts w:ascii="Times New Roman" w:hAnsi="Times New Roman" w:cs="Times New Roman"/>
                <w:color w:val="000000"/>
                <w:sz w:val="20"/>
                <w:szCs w:val="20"/>
              </w:rPr>
              <w:t>temelinde belirlenecektir.</w:t>
            </w:r>
          </w:p>
          <w:p w14:paraId="760E560D" w14:textId="73106A65" w:rsidR="00070752" w:rsidRPr="000F22A4" w:rsidRDefault="00070752" w:rsidP="00795C7D">
            <w:pPr>
              <w:shd w:val="clear" w:color="auto" w:fill="FFFFFF"/>
              <w:tabs>
                <w:tab w:val="left" w:pos="394"/>
              </w:tabs>
              <w:jc w:val="both"/>
              <w:rPr>
                <w:rFonts w:ascii="Times New Roman" w:hAnsi="Times New Roman" w:cs="Times New Roman"/>
                <w:sz w:val="20"/>
                <w:szCs w:val="20"/>
              </w:rPr>
            </w:pPr>
            <w:r w:rsidRPr="000F22A4">
              <w:rPr>
                <w:rFonts w:ascii="Times New Roman" w:hAnsi="Times New Roman" w:cs="Times New Roman"/>
                <w:color w:val="000000"/>
                <w:spacing w:val="-9"/>
                <w:sz w:val="20"/>
                <w:szCs w:val="20"/>
              </w:rPr>
              <w:t>(</w:t>
            </w:r>
            <w:r w:rsidRPr="000F22A4">
              <w:rPr>
                <w:rFonts w:ascii="Times New Roman" w:hAnsi="Times New Roman" w:cs="Times New Roman"/>
                <w:color w:val="000000"/>
                <w:spacing w:val="-9"/>
                <w:sz w:val="20"/>
                <w:szCs w:val="20"/>
                <w:vertAlign w:val="superscript"/>
              </w:rPr>
              <w:t>2</w:t>
            </w:r>
            <w:r w:rsidRPr="000F22A4">
              <w:rPr>
                <w:rFonts w:ascii="Times New Roman" w:hAnsi="Times New Roman" w:cs="Times New Roman"/>
                <w:color w:val="000000"/>
                <w:spacing w:val="-9"/>
                <w:sz w:val="20"/>
                <w:szCs w:val="20"/>
              </w:rPr>
              <w:t>)</w:t>
            </w:r>
            <w:r w:rsidRPr="000F22A4">
              <w:rPr>
                <w:rFonts w:ascii="Times New Roman" w:hAnsi="Times New Roman" w:cs="Times New Roman"/>
                <w:color w:val="000000"/>
                <w:sz w:val="20"/>
                <w:szCs w:val="20"/>
              </w:rPr>
              <w:tab/>
            </w:r>
            <w:r w:rsidRPr="000F22A4">
              <w:rPr>
                <w:rFonts w:ascii="Times New Roman" w:hAnsi="Times New Roman" w:cs="Times New Roman"/>
                <w:color w:val="000000"/>
                <w:spacing w:val="-2"/>
                <w:sz w:val="20"/>
                <w:szCs w:val="20"/>
              </w:rPr>
              <w:t>Sakızdan arındırma</w:t>
            </w:r>
            <w:r w:rsidR="00795C7D">
              <w:rPr>
                <w:rFonts w:ascii="Times New Roman" w:hAnsi="Times New Roman" w:cs="Times New Roman"/>
                <w:color w:val="000000"/>
                <w:spacing w:val="-2"/>
                <w:sz w:val="20"/>
                <w:szCs w:val="20"/>
              </w:rPr>
              <w:t xml:space="preserve"> </w:t>
            </w:r>
            <w:r w:rsidRPr="000F22A4">
              <w:rPr>
                <w:rFonts w:ascii="Times New Roman" w:hAnsi="Times New Roman" w:cs="Times New Roman"/>
                <w:color w:val="000000"/>
                <w:spacing w:val="-2"/>
                <w:sz w:val="20"/>
                <w:szCs w:val="20"/>
              </w:rPr>
              <w:t>(sakızı</w:t>
            </w:r>
            <w:r w:rsidR="00795C7D">
              <w:rPr>
                <w:rFonts w:ascii="Times New Roman" w:hAnsi="Times New Roman" w:cs="Times New Roman"/>
                <w:color w:val="000000"/>
                <w:spacing w:val="-2"/>
                <w:sz w:val="20"/>
                <w:szCs w:val="20"/>
              </w:rPr>
              <w:t xml:space="preserve">n </w:t>
            </w:r>
            <w:r w:rsidRPr="000F22A4">
              <w:rPr>
                <w:rFonts w:ascii="Times New Roman" w:hAnsi="Times New Roman" w:cs="Times New Roman"/>
                <w:color w:val="000000"/>
                <w:spacing w:val="-2"/>
                <w:sz w:val="20"/>
                <w:szCs w:val="20"/>
              </w:rPr>
              <w:t>yağdan</w:t>
            </w:r>
            <w:r w:rsidR="00795C7D">
              <w:rPr>
                <w:rFonts w:ascii="Times New Roman" w:hAnsi="Times New Roman" w:cs="Times New Roman"/>
                <w:color w:val="000000"/>
                <w:spacing w:val="-2"/>
                <w:sz w:val="20"/>
                <w:szCs w:val="20"/>
              </w:rPr>
              <w:t xml:space="preserve"> </w:t>
            </w:r>
            <w:r w:rsidRPr="000F22A4">
              <w:rPr>
                <w:rFonts w:ascii="Times New Roman" w:hAnsi="Times New Roman" w:cs="Times New Roman"/>
                <w:color w:val="000000"/>
                <w:sz w:val="20"/>
                <w:szCs w:val="20"/>
              </w:rPr>
              <w:t>ayrıştırılması)</w:t>
            </w:r>
            <w:r w:rsidR="00795C7D">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dışında</w:t>
            </w:r>
            <w:r w:rsidR="00795C7D">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tüm   parçalama</w:t>
            </w:r>
            <w:r w:rsidR="00795C7D">
              <w:rPr>
                <w:rFonts w:ascii="Times New Roman" w:hAnsi="Times New Roman" w:cs="Times New Roman"/>
                <w:color w:val="000000"/>
                <w:sz w:val="20"/>
                <w:szCs w:val="20"/>
              </w:rPr>
              <w:t xml:space="preserve"> </w:t>
            </w:r>
            <w:r w:rsidRPr="000F22A4">
              <w:rPr>
                <w:rFonts w:ascii="Times New Roman" w:hAnsi="Times New Roman" w:cs="Times New Roman"/>
                <w:color w:val="000000"/>
                <w:sz w:val="20"/>
                <w:szCs w:val="20"/>
              </w:rPr>
              <w:t>işlemleri</w:t>
            </w:r>
            <w:r w:rsidRPr="000F22A4">
              <w:rPr>
                <w:rFonts w:ascii="Times New Roman" w:hAnsi="Times New Roman" w:cs="Times New Roman"/>
                <w:color w:val="000000"/>
                <w:sz w:val="20"/>
                <w:szCs w:val="20"/>
              </w:rPr>
              <w:br/>
              <w:t>için geçerlidir.</w:t>
            </w:r>
          </w:p>
          <w:p w14:paraId="1F0826F6" w14:textId="77777777" w:rsidR="00070752" w:rsidRPr="000F22A4" w:rsidRDefault="00070752" w:rsidP="00795C7D">
            <w:pPr>
              <w:shd w:val="clear" w:color="auto" w:fill="FFFFFF"/>
              <w:tabs>
                <w:tab w:val="left" w:pos="346"/>
              </w:tabs>
              <w:jc w:val="both"/>
              <w:rPr>
                <w:rFonts w:ascii="Times New Roman" w:hAnsi="Times New Roman" w:cs="Times New Roman"/>
                <w:sz w:val="20"/>
                <w:szCs w:val="20"/>
              </w:rPr>
            </w:pPr>
            <w:r w:rsidRPr="000F22A4">
              <w:rPr>
                <w:rFonts w:ascii="Times New Roman" w:hAnsi="Times New Roman" w:cs="Times New Roman"/>
                <w:color w:val="000000"/>
                <w:spacing w:val="-11"/>
                <w:sz w:val="20"/>
                <w:szCs w:val="20"/>
              </w:rPr>
              <w:t>(</w:t>
            </w:r>
            <w:r w:rsidRPr="000F22A4">
              <w:rPr>
                <w:rFonts w:ascii="Times New Roman" w:hAnsi="Times New Roman" w:cs="Times New Roman"/>
                <w:color w:val="000000"/>
                <w:spacing w:val="-11"/>
                <w:sz w:val="20"/>
                <w:szCs w:val="20"/>
                <w:vertAlign w:val="superscript"/>
              </w:rPr>
              <w:t>3</w:t>
            </w:r>
            <w:r w:rsidRPr="000F22A4">
              <w:rPr>
                <w:rFonts w:ascii="Times New Roman" w:hAnsi="Times New Roman" w:cs="Times New Roman"/>
                <w:color w:val="000000"/>
                <w:spacing w:val="-11"/>
                <w:sz w:val="20"/>
                <w:szCs w:val="20"/>
              </w:rPr>
              <w:t>)</w:t>
            </w:r>
            <w:r w:rsidRPr="000F22A4">
              <w:rPr>
                <w:rFonts w:ascii="Times New Roman" w:hAnsi="Times New Roman" w:cs="Times New Roman"/>
                <w:color w:val="000000"/>
                <w:sz w:val="20"/>
                <w:szCs w:val="20"/>
              </w:rPr>
              <w:tab/>
              <w:t>Sakızdan arındırma için geçerlidir.</w:t>
            </w:r>
          </w:p>
        </w:tc>
      </w:tr>
      <w:tr w:rsidR="00070752" w:rsidRPr="000F22A4" w14:paraId="36AAEB12" w14:textId="77777777" w:rsidTr="00795C7D">
        <w:trPr>
          <w:trHeight w:hRule="exact" w:val="2960"/>
        </w:trPr>
        <w:tc>
          <w:tcPr>
            <w:tcW w:w="488" w:type="dxa"/>
          </w:tcPr>
          <w:p w14:paraId="16A5AC3E"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20</w:t>
            </w:r>
          </w:p>
        </w:tc>
        <w:tc>
          <w:tcPr>
            <w:tcW w:w="3065" w:type="dxa"/>
          </w:tcPr>
          <w:p w14:paraId="6CCD810A" w14:textId="77777777" w:rsidR="00070752" w:rsidRPr="000F22A4" w:rsidRDefault="00070752" w:rsidP="00070752">
            <w:pPr>
              <w:shd w:val="clear" w:color="auto" w:fill="FFFFFF"/>
              <w:rPr>
                <w:rFonts w:ascii="Times New Roman" w:hAnsi="Times New Roman" w:cs="Times New Roman"/>
                <w:sz w:val="20"/>
                <w:szCs w:val="20"/>
              </w:rPr>
            </w:pPr>
            <w:r w:rsidRPr="000F22A4">
              <w:rPr>
                <w:rFonts w:ascii="Times New Roman" w:hAnsi="Times New Roman" w:cs="Times New Roman"/>
                <w:color w:val="000000"/>
                <w:sz w:val="20"/>
                <w:szCs w:val="20"/>
              </w:rPr>
              <w:t>Farmasötik ürünler imalatı ( &gt;50)</w:t>
            </w:r>
          </w:p>
        </w:tc>
        <w:tc>
          <w:tcPr>
            <w:tcW w:w="1829" w:type="dxa"/>
          </w:tcPr>
          <w:p w14:paraId="22DC5784" w14:textId="77777777" w:rsidR="00070752" w:rsidRPr="000F22A4" w:rsidRDefault="00070752" w:rsidP="00070752">
            <w:pPr>
              <w:shd w:val="clear" w:color="auto" w:fill="FFFFFF"/>
              <w:rPr>
                <w:rFonts w:ascii="Times New Roman" w:hAnsi="Times New Roman" w:cs="Times New Roman"/>
                <w:sz w:val="20"/>
                <w:szCs w:val="20"/>
              </w:rPr>
            </w:pPr>
          </w:p>
        </w:tc>
        <w:tc>
          <w:tcPr>
            <w:tcW w:w="992" w:type="dxa"/>
          </w:tcPr>
          <w:p w14:paraId="7A163898" w14:textId="77777777" w:rsidR="00070752" w:rsidRPr="000F22A4" w:rsidRDefault="00070752" w:rsidP="00070752">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20 (</w:t>
            </w:r>
            <w:r w:rsidRPr="000F22A4">
              <w:rPr>
                <w:rFonts w:ascii="Times New Roman" w:hAnsi="Times New Roman" w:cs="Times New Roman"/>
                <w:color w:val="000000"/>
                <w:sz w:val="20"/>
                <w:szCs w:val="20"/>
                <w:vertAlign w:val="superscript"/>
              </w:rPr>
              <w:t>1</w:t>
            </w:r>
            <w:r w:rsidRPr="000F22A4">
              <w:rPr>
                <w:rFonts w:ascii="Times New Roman" w:hAnsi="Times New Roman" w:cs="Times New Roman"/>
                <w:color w:val="000000"/>
                <w:sz w:val="20"/>
                <w:szCs w:val="20"/>
              </w:rPr>
              <w:t>)</w:t>
            </w:r>
          </w:p>
        </w:tc>
        <w:tc>
          <w:tcPr>
            <w:tcW w:w="1114" w:type="dxa"/>
          </w:tcPr>
          <w:p w14:paraId="418610A9" w14:textId="77777777" w:rsidR="00070752" w:rsidRPr="000F22A4" w:rsidRDefault="00070752" w:rsidP="00070752">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pacing w:val="14"/>
                <w:sz w:val="20"/>
                <w:szCs w:val="20"/>
              </w:rPr>
              <w:t>5(</w:t>
            </w:r>
            <w:r w:rsidRPr="000F22A4">
              <w:rPr>
                <w:rFonts w:ascii="Times New Roman" w:hAnsi="Times New Roman" w:cs="Times New Roman"/>
                <w:color w:val="000000"/>
                <w:spacing w:val="14"/>
                <w:sz w:val="20"/>
                <w:szCs w:val="20"/>
                <w:vertAlign w:val="superscript"/>
              </w:rPr>
              <w:t>2</w:t>
            </w:r>
            <w:r w:rsidRPr="000F22A4">
              <w:rPr>
                <w:rFonts w:ascii="Times New Roman" w:hAnsi="Times New Roman" w:cs="Times New Roman"/>
                <w:color w:val="000000"/>
                <w:spacing w:val="14"/>
                <w:sz w:val="20"/>
                <w:szCs w:val="20"/>
              </w:rPr>
              <w:t>)</w:t>
            </w:r>
          </w:p>
        </w:tc>
        <w:tc>
          <w:tcPr>
            <w:tcW w:w="1296" w:type="dxa"/>
          </w:tcPr>
          <w:p w14:paraId="4F39FD88" w14:textId="77777777" w:rsidR="00070752" w:rsidRPr="000F22A4" w:rsidRDefault="00070752" w:rsidP="00070752">
            <w:pPr>
              <w:shd w:val="clear" w:color="auto" w:fill="FFFFFF"/>
              <w:jc w:val="right"/>
              <w:rPr>
                <w:rFonts w:ascii="Times New Roman" w:hAnsi="Times New Roman" w:cs="Times New Roman"/>
                <w:sz w:val="20"/>
                <w:szCs w:val="20"/>
              </w:rPr>
            </w:pPr>
            <w:r w:rsidRPr="000F22A4">
              <w:rPr>
                <w:rFonts w:ascii="Times New Roman" w:hAnsi="Times New Roman" w:cs="Times New Roman"/>
                <w:color w:val="000000"/>
                <w:sz w:val="20"/>
                <w:szCs w:val="20"/>
              </w:rPr>
              <w:t>15 (</w:t>
            </w:r>
            <w:r w:rsidRPr="000F22A4">
              <w:rPr>
                <w:rFonts w:ascii="Times New Roman" w:hAnsi="Times New Roman" w:cs="Times New Roman"/>
                <w:color w:val="000000"/>
                <w:sz w:val="20"/>
                <w:szCs w:val="20"/>
                <w:vertAlign w:val="superscript"/>
              </w:rPr>
              <w:t>2</w:t>
            </w:r>
            <w:r w:rsidRPr="000F22A4">
              <w:rPr>
                <w:rFonts w:ascii="Times New Roman" w:hAnsi="Times New Roman" w:cs="Times New Roman"/>
                <w:color w:val="000000"/>
                <w:sz w:val="20"/>
                <w:szCs w:val="20"/>
              </w:rPr>
              <w:t>)</w:t>
            </w:r>
          </w:p>
        </w:tc>
        <w:tc>
          <w:tcPr>
            <w:tcW w:w="1330" w:type="dxa"/>
          </w:tcPr>
          <w:p w14:paraId="7EC037F3" w14:textId="77777777" w:rsidR="00070752" w:rsidRPr="000F22A4" w:rsidRDefault="00070752" w:rsidP="00070752">
            <w:pPr>
              <w:shd w:val="clear" w:color="auto" w:fill="FFFFFF"/>
              <w:ind w:right="53"/>
              <w:rPr>
                <w:rFonts w:ascii="Times New Roman" w:hAnsi="Times New Roman" w:cs="Times New Roman"/>
                <w:sz w:val="20"/>
                <w:szCs w:val="20"/>
              </w:rPr>
            </w:pPr>
            <w:r w:rsidRPr="000F22A4">
              <w:rPr>
                <w:rFonts w:ascii="Times New Roman" w:hAnsi="Times New Roman" w:cs="Times New Roman"/>
                <w:color w:val="000000"/>
                <w:spacing w:val="-1"/>
                <w:sz w:val="20"/>
                <w:szCs w:val="20"/>
              </w:rPr>
              <w:t xml:space="preserve">Solvent girdisinin </w:t>
            </w:r>
            <w:r w:rsidRPr="000F22A4">
              <w:rPr>
                <w:rFonts w:ascii="Times New Roman" w:hAnsi="Times New Roman" w:cs="Times New Roman"/>
                <w:color w:val="000000"/>
                <w:sz w:val="20"/>
                <w:szCs w:val="20"/>
              </w:rPr>
              <w:t>% 5’i</w:t>
            </w:r>
          </w:p>
        </w:tc>
        <w:tc>
          <w:tcPr>
            <w:tcW w:w="1311" w:type="dxa"/>
          </w:tcPr>
          <w:p w14:paraId="2F2F548C" w14:textId="77777777" w:rsidR="00070752" w:rsidRPr="000F22A4" w:rsidRDefault="00070752" w:rsidP="00070752">
            <w:pPr>
              <w:shd w:val="clear" w:color="auto" w:fill="FFFFFF"/>
              <w:ind w:right="53"/>
              <w:rPr>
                <w:rFonts w:ascii="Times New Roman" w:hAnsi="Times New Roman" w:cs="Times New Roman"/>
                <w:sz w:val="20"/>
                <w:szCs w:val="20"/>
              </w:rPr>
            </w:pPr>
            <w:r w:rsidRPr="000F22A4">
              <w:rPr>
                <w:rFonts w:ascii="Times New Roman" w:hAnsi="Times New Roman" w:cs="Times New Roman"/>
                <w:color w:val="000000"/>
                <w:spacing w:val="-1"/>
                <w:sz w:val="20"/>
                <w:szCs w:val="20"/>
              </w:rPr>
              <w:t xml:space="preserve">Solvent girdisinin </w:t>
            </w:r>
            <w:r w:rsidRPr="000F22A4">
              <w:rPr>
                <w:rFonts w:ascii="Times New Roman" w:hAnsi="Times New Roman" w:cs="Times New Roman"/>
                <w:color w:val="000000"/>
                <w:sz w:val="20"/>
                <w:szCs w:val="20"/>
              </w:rPr>
              <w:t>% 15’i</w:t>
            </w:r>
          </w:p>
        </w:tc>
        <w:tc>
          <w:tcPr>
            <w:tcW w:w="3124" w:type="dxa"/>
          </w:tcPr>
          <w:p w14:paraId="45CB4EA8" w14:textId="3FC40292" w:rsidR="00070752" w:rsidRDefault="00070752" w:rsidP="00795C7D">
            <w:pPr>
              <w:shd w:val="clear" w:color="auto" w:fill="FFFFFF"/>
              <w:tabs>
                <w:tab w:val="left" w:pos="370"/>
              </w:tabs>
              <w:jc w:val="both"/>
              <w:rPr>
                <w:rFonts w:ascii="Times New Roman" w:hAnsi="Times New Roman" w:cs="Times New Roman"/>
                <w:color w:val="000000"/>
                <w:sz w:val="20"/>
                <w:szCs w:val="20"/>
              </w:rPr>
            </w:pP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pacing w:val="-14"/>
                <w:sz w:val="20"/>
                <w:szCs w:val="20"/>
                <w:vertAlign w:val="superscript"/>
              </w:rPr>
              <w:t>1</w:t>
            </w: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z w:val="20"/>
                <w:szCs w:val="20"/>
              </w:rPr>
              <w:tab/>
            </w:r>
            <w:r w:rsidRPr="000F22A4">
              <w:rPr>
                <w:rFonts w:ascii="Times New Roman" w:hAnsi="Times New Roman" w:cs="Times New Roman"/>
                <w:color w:val="000000"/>
                <w:spacing w:val="-6"/>
                <w:sz w:val="20"/>
                <w:szCs w:val="20"/>
              </w:rPr>
              <w:t>Kullanılan   teknikler   yeniden   kazanılmış</w:t>
            </w:r>
            <w:r w:rsidR="003344B6">
              <w:rPr>
                <w:rFonts w:ascii="Times New Roman" w:hAnsi="Times New Roman" w:cs="Times New Roman"/>
                <w:color w:val="000000"/>
                <w:spacing w:val="-6"/>
                <w:sz w:val="20"/>
                <w:szCs w:val="20"/>
              </w:rPr>
              <w:t xml:space="preserve"> </w:t>
            </w:r>
            <w:r w:rsidRPr="000F22A4">
              <w:rPr>
                <w:rFonts w:ascii="Times New Roman" w:hAnsi="Times New Roman" w:cs="Times New Roman"/>
                <w:color w:val="000000"/>
                <w:spacing w:val="-9"/>
                <w:sz w:val="20"/>
                <w:szCs w:val="20"/>
              </w:rPr>
              <w:t>solventin</w:t>
            </w:r>
            <w:r w:rsidR="00795C7D">
              <w:rPr>
                <w:rFonts w:ascii="Times New Roman" w:hAnsi="Times New Roman" w:cs="Times New Roman"/>
                <w:color w:val="000000"/>
                <w:spacing w:val="-9"/>
                <w:sz w:val="20"/>
                <w:szCs w:val="20"/>
              </w:rPr>
              <w:t xml:space="preserve"> </w:t>
            </w:r>
            <w:r w:rsidRPr="000F22A4">
              <w:rPr>
                <w:rFonts w:ascii="Times New Roman" w:hAnsi="Times New Roman" w:cs="Times New Roman"/>
                <w:color w:val="000000"/>
                <w:spacing w:val="-9"/>
                <w:sz w:val="20"/>
                <w:szCs w:val="20"/>
              </w:rPr>
              <w:t>tekrar</w:t>
            </w:r>
            <w:r w:rsidR="00795C7D">
              <w:rPr>
                <w:rFonts w:ascii="Times New Roman" w:hAnsi="Times New Roman" w:cs="Times New Roman"/>
                <w:color w:val="000000"/>
                <w:spacing w:val="-9"/>
                <w:sz w:val="20"/>
                <w:szCs w:val="20"/>
              </w:rPr>
              <w:t xml:space="preserve"> </w:t>
            </w:r>
            <w:r w:rsidRPr="000F22A4">
              <w:rPr>
                <w:rFonts w:ascii="Times New Roman" w:hAnsi="Times New Roman" w:cs="Times New Roman"/>
                <w:color w:val="000000"/>
                <w:spacing w:val="-9"/>
                <w:sz w:val="20"/>
                <w:szCs w:val="20"/>
              </w:rPr>
              <w:t>kullanılmasına</w:t>
            </w:r>
            <w:r w:rsidR="00795C7D">
              <w:rPr>
                <w:rFonts w:ascii="Times New Roman" w:hAnsi="Times New Roman" w:cs="Times New Roman"/>
                <w:color w:val="000000"/>
                <w:spacing w:val="-9"/>
                <w:sz w:val="20"/>
                <w:szCs w:val="20"/>
              </w:rPr>
              <w:t xml:space="preserve"> </w:t>
            </w:r>
            <w:r w:rsidRPr="000F22A4">
              <w:rPr>
                <w:rFonts w:ascii="Times New Roman" w:hAnsi="Times New Roman" w:cs="Times New Roman"/>
                <w:color w:val="000000"/>
                <w:spacing w:val="-9"/>
                <w:sz w:val="20"/>
                <w:szCs w:val="20"/>
              </w:rPr>
              <w:t>olanak</w:t>
            </w:r>
            <w:r w:rsidR="003344B6">
              <w:rPr>
                <w:rFonts w:ascii="Times New Roman" w:hAnsi="Times New Roman" w:cs="Times New Roman"/>
                <w:color w:val="000000"/>
                <w:spacing w:val="-9"/>
                <w:sz w:val="20"/>
                <w:szCs w:val="20"/>
              </w:rPr>
              <w:t xml:space="preserve"> </w:t>
            </w:r>
            <w:r w:rsidRPr="000F22A4">
              <w:rPr>
                <w:rFonts w:ascii="Times New Roman" w:hAnsi="Times New Roman" w:cs="Times New Roman"/>
                <w:color w:val="000000"/>
                <w:spacing w:val="-7"/>
                <w:sz w:val="20"/>
                <w:szCs w:val="20"/>
              </w:rPr>
              <w:t>veriyorsa</w:t>
            </w:r>
            <w:r w:rsidR="00795C7D">
              <w:rPr>
                <w:rFonts w:ascii="Times New Roman" w:hAnsi="Times New Roman" w:cs="Times New Roman"/>
                <w:color w:val="000000"/>
                <w:spacing w:val="-7"/>
                <w:sz w:val="20"/>
                <w:szCs w:val="20"/>
              </w:rPr>
              <w:t xml:space="preserve"> </w:t>
            </w:r>
            <w:r w:rsidRPr="000F22A4">
              <w:rPr>
                <w:rFonts w:ascii="Times New Roman" w:hAnsi="Times New Roman" w:cs="Times New Roman"/>
                <w:color w:val="000000"/>
                <w:spacing w:val="-7"/>
                <w:sz w:val="20"/>
                <w:szCs w:val="20"/>
              </w:rPr>
              <w:t>atık   gaz emisyon sınır</w:t>
            </w:r>
            <w:r w:rsidR="00795C7D">
              <w:rPr>
                <w:rFonts w:ascii="Times New Roman" w:hAnsi="Times New Roman" w:cs="Times New Roman"/>
                <w:color w:val="000000"/>
                <w:spacing w:val="-7"/>
                <w:sz w:val="20"/>
                <w:szCs w:val="20"/>
              </w:rPr>
              <w:t xml:space="preserve"> </w:t>
            </w:r>
            <w:r w:rsidRPr="000F22A4">
              <w:rPr>
                <w:rFonts w:ascii="Times New Roman" w:hAnsi="Times New Roman" w:cs="Times New Roman"/>
                <w:color w:val="000000"/>
                <w:spacing w:val="-7"/>
                <w:sz w:val="20"/>
                <w:szCs w:val="20"/>
              </w:rPr>
              <w:t>değeri 150</w:t>
            </w:r>
            <w:r w:rsidR="003344B6">
              <w:rPr>
                <w:rFonts w:ascii="Times New Roman" w:hAnsi="Times New Roman" w:cs="Times New Roman"/>
                <w:color w:val="000000"/>
                <w:spacing w:val="-7"/>
                <w:sz w:val="20"/>
                <w:szCs w:val="20"/>
              </w:rPr>
              <w:t xml:space="preserve"> </w:t>
            </w:r>
            <w:r w:rsidRPr="000F22A4">
              <w:rPr>
                <w:rFonts w:ascii="Times New Roman" w:hAnsi="Times New Roman" w:cs="Times New Roman"/>
                <w:color w:val="000000"/>
                <w:sz w:val="20"/>
                <w:szCs w:val="20"/>
              </w:rPr>
              <w:t>olacaktır.</w:t>
            </w:r>
          </w:p>
          <w:p w14:paraId="5DA37121" w14:textId="77777777" w:rsidR="00795C7D" w:rsidRPr="000F22A4" w:rsidRDefault="00795C7D" w:rsidP="00795C7D">
            <w:pPr>
              <w:shd w:val="clear" w:color="auto" w:fill="FFFFFF"/>
              <w:tabs>
                <w:tab w:val="left" w:pos="370"/>
              </w:tabs>
              <w:jc w:val="both"/>
              <w:rPr>
                <w:rFonts w:ascii="Times New Roman" w:hAnsi="Times New Roman" w:cs="Times New Roman"/>
                <w:sz w:val="20"/>
                <w:szCs w:val="20"/>
              </w:rPr>
            </w:pPr>
          </w:p>
          <w:p w14:paraId="23956E08" w14:textId="0DFF90D5" w:rsidR="00070752" w:rsidRPr="000F22A4" w:rsidRDefault="00070752" w:rsidP="00795C7D">
            <w:pPr>
              <w:shd w:val="clear" w:color="auto" w:fill="FFFFFF"/>
              <w:tabs>
                <w:tab w:val="left" w:pos="302"/>
              </w:tabs>
              <w:jc w:val="both"/>
              <w:rPr>
                <w:rFonts w:ascii="Times New Roman" w:hAnsi="Times New Roman" w:cs="Times New Roman"/>
                <w:sz w:val="20"/>
                <w:szCs w:val="20"/>
              </w:rPr>
            </w:pP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pacing w:val="-14"/>
                <w:sz w:val="20"/>
                <w:szCs w:val="20"/>
                <w:vertAlign w:val="superscript"/>
              </w:rPr>
              <w:t>2</w:t>
            </w:r>
            <w:r w:rsidRPr="000F22A4">
              <w:rPr>
                <w:rFonts w:ascii="Times New Roman" w:hAnsi="Times New Roman" w:cs="Times New Roman"/>
                <w:color w:val="000000"/>
                <w:spacing w:val="-14"/>
                <w:sz w:val="20"/>
                <w:szCs w:val="20"/>
              </w:rPr>
              <w:t>)</w:t>
            </w:r>
            <w:r w:rsidRPr="000F22A4">
              <w:rPr>
                <w:rFonts w:ascii="Times New Roman" w:hAnsi="Times New Roman" w:cs="Times New Roman"/>
                <w:color w:val="000000"/>
                <w:sz w:val="20"/>
                <w:szCs w:val="20"/>
              </w:rPr>
              <w:tab/>
            </w:r>
            <w:r w:rsidRPr="000F22A4">
              <w:rPr>
                <w:rFonts w:ascii="Times New Roman" w:hAnsi="Times New Roman" w:cs="Times New Roman"/>
                <w:color w:val="000000"/>
                <w:spacing w:val="-6"/>
                <w:sz w:val="20"/>
                <w:szCs w:val="20"/>
              </w:rPr>
              <w:t>Kaçak   emisyon   sınır   değeri   kapalı</w:t>
            </w:r>
            <w:r w:rsidR="00795C7D">
              <w:rPr>
                <w:rFonts w:ascii="Times New Roman" w:hAnsi="Times New Roman" w:cs="Times New Roman"/>
                <w:color w:val="000000"/>
                <w:spacing w:val="-6"/>
                <w:sz w:val="20"/>
                <w:szCs w:val="20"/>
              </w:rPr>
              <w:t xml:space="preserve"> </w:t>
            </w:r>
            <w:r w:rsidRPr="000F22A4">
              <w:rPr>
                <w:rFonts w:ascii="Times New Roman" w:hAnsi="Times New Roman" w:cs="Times New Roman"/>
                <w:color w:val="000000"/>
                <w:spacing w:val="-2"/>
                <w:sz w:val="20"/>
                <w:szCs w:val="20"/>
              </w:rPr>
              <w:t>kapta ürün veya karışım parçası olarak satılan</w:t>
            </w:r>
            <w:r w:rsidR="00795C7D">
              <w:rPr>
                <w:rFonts w:ascii="Times New Roman" w:hAnsi="Times New Roman" w:cs="Times New Roman"/>
                <w:color w:val="000000"/>
                <w:spacing w:val="-2"/>
                <w:sz w:val="20"/>
                <w:szCs w:val="20"/>
              </w:rPr>
              <w:t xml:space="preserve"> </w:t>
            </w:r>
            <w:r w:rsidRPr="000F22A4">
              <w:rPr>
                <w:rFonts w:ascii="Times New Roman" w:hAnsi="Times New Roman" w:cs="Times New Roman"/>
                <w:color w:val="000000"/>
                <w:sz w:val="20"/>
                <w:szCs w:val="20"/>
              </w:rPr>
              <w:t>solventleri kapsamaz.</w:t>
            </w:r>
          </w:p>
        </w:tc>
      </w:tr>
    </w:tbl>
    <w:p w14:paraId="5608D3ED" w14:textId="77777777" w:rsidR="00070752" w:rsidRPr="002E5F0F" w:rsidRDefault="00070752" w:rsidP="00070752">
      <w:pPr>
        <w:shd w:val="clear" w:color="auto" w:fill="FFFFFF"/>
        <w:spacing w:line="240" w:lineRule="auto"/>
        <w:rPr>
          <w:rFonts w:ascii="Times New Roman" w:hAnsi="Times New Roman" w:cs="Times New Roman"/>
          <w:sz w:val="24"/>
          <w:szCs w:val="24"/>
        </w:rPr>
        <w:sectPr w:rsidR="00070752" w:rsidRPr="002E5F0F">
          <w:pgSz w:w="16834" w:h="11909" w:orient="landscape"/>
          <w:pgMar w:top="1440" w:right="6245" w:bottom="720" w:left="1224" w:header="708" w:footer="708" w:gutter="0"/>
          <w:cols w:num="3" w:space="708" w:equalWidth="0">
            <w:col w:w="2001" w:space="1598"/>
            <w:col w:w="2472" w:space="2568"/>
            <w:col w:w="724"/>
          </w:cols>
          <w:noEndnote/>
        </w:sectPr>
      </w:pPr>
    </w:p>
    <w:p w14:paraId="00E28D08" w14:textId="53354D7C" w:rsidR="00070752" w:rsidRPr="002761CD" w:rsidRDefault="00BD739A" w:rsidP="002761CD">
      <w:pPr>
        <w:shd w:val="clear" w:color="auto" w:fill="FFFFFF"/>
        <w:spacing w:before="312" w:line="240" w:lineRule="auto"/>
        <w:ind w:left="34"/>
        <w:jc w:val="center"/>
        <w:rPr>
          <w:rFonts w:ascii="Times New Roman" w:hAnsi="Times New Roman" w:cs="Times New Roman"/>
          <w:i/>
          <w:iCs/>
          <w:color w:val="000000"/>
          <w:spacing w:val="-5"/>
          <w:sz w:val="24"/>
          <w:szCs w:val="24"/>
        </w:rPr>
      </w:pPr>
      <w:r>
        <w:rPr>
          <w:rFonts w:ascii="Times New Roman" w:hAnsi="Times New Roman" w:cs="Times New Roman"/>
          <w:i/>
          <w:iCs/>
          <w:color w:val="000000"/>
          <w:spacing w:val="-5"/>
          <w:sz w:val="24"/>
          <w:szCs w:val="24"/>
        </w:rPr>
        <w:lastRenderedPageBreak/>
        <w:t>Bölüm B-</w:t>
      </w:r>
      <w:r w:rsidR="00070752" w:rsidRPr="00880206">
        <w:rPr>
          <w:rFonts w:ascii="Times New Roman" w:hAnsi="Times New Roman" w:cs="Times New Roman"/>
          <w:i/>
          <w:iCs/>
          <w:color w:val="000000"/>
          <w:spacing w:val="-5"/>
          <w:sz w:val="24"/>
          <w:szCs w:val="24"/>
        </w:rPr>
        <w:t>Araç kaplama tesisleri için emisyon sınır değerleri</w:t>
      </w:r>
    </w:p>
    <w:p w14:paraId="0E492D66" w14:textId="4640D5B1" w:rsidR="00070752" w:rsidRPr="00880206" w:rsidRDefault="00070752" w:rsidP="00070752">
      <w:pPr>
        <w:shd w:val="clear" w:color="auto" w:fill="FFFFFF"/>
        <w:spacing w:before="413" w:line="240" w:lineRule="auto"/>
        <w:ind w:left="29"/>
        <w:rPr>
          <w:rFonts w:ascii="Times New Roman" w:hAnsi="Times New Roman" w:cs="Times New Roman"/>
          <w:sz w:val="24"/>
          <w:szCs w:val="24"/>
        </w:rPr>
      </w:pPr>
      <w:r w:rsidRPr="00880206">
        <w:rPr>
          <w:rFonts w:ascii="Times New Roman" w:hAnsi="Times New Roman" w:cs="Times New Roman"/>
          <w:color w:val="000000"/>
          <w:spacing w:val="-4"/>
          <w:sz w:val="24"/>
          <w:szCs w:val="24"/>
        </w:rPr>
        <w:t xml:space="preserve">1. Toplam emisyon sınır değerleri ürünün yüzeyinin metre kare olarak değeri ile araç gövdesine verilen organik solventin </w:t>
      </w:r>
      <w:r w:rsidRPr="00880206">
        <w:rPr>
          <w:rFonts w:ascii="Times New Roman" w:hAnsi="Times New Roman" w:cs="Times New Roman"/>
          <w:color w:val="000000"/>
          <w:sz w:val="24"/>
          <w:szCs w:val="24"/>
        </w:rPr>
        <w:t>kilogram olarak miktarı üzerinden gram olarak ifade edilir.</w:t>
      </w:r>
    </w:p>
    <w:p w14:paraId="285F4C18" w14:textId="21E69E9B" w:rsidR="00070752" w:rsidRPr="00880206" w:rsidRDefault="00070752" w:rsidP="00070752">
      <w:pPr>
        <w:shd w:val="clear" w:color="auto" w:fill="FFFFFF"/>
        <w:spacing w:before="408" w:line="240" w:lineRule="auto"/>
        <w:ind w:left="29" w:right="10"/>
        <w:jc w:val="both"/>
        <w:rPr>
          <w:rFonts w:ascii="Times New Roman" w:hAnsi="Times New Roman" w:cs="Times New Roman"/>
          <w:sz w:val="24"/>
          <w:szCs w:val="24"/>
        </w:rPr>
      </w:pPr>
      <w:r w:rsidRPr="00880206">
        <w:rPr>
          <w:rFonts w:ascii="Times New Roman" w:hAnsi="Times New Roman" w:cs="Times New Roman"/>
          <w:color w:val="000000"/>
          <w:sz w:val="24"/>
          <w:szCs w:val="24"/>
        </w:rPr>
        <w:t>2</w:t>
      </w:r>
      <w:r w:rsidR="002761CD">
        <w:rPr>
          <w:rFonts w:ascii="Times New Roman" w:hAnsi="Times New Roman" w:cs="Times New Roman"/>
          <w:color w:val="000000"/>
          <w:sz w:val="24"/>
          <w:szCs w:val="24"/>
        </w:rPr>
        <w:t xml:space="preserve">. </w:t>
      </w:r>
      <w:r w:rsidRPr="00880206">
        <w:rPr>
          <w:rFonts w:ascii="Times New Roman" w:hAnsi="Times New Roman" w:cs="Times New Roman"/>
          <w:color w:val="000000"/>
          <w:sz w:val="24"/>
          <w:szCs w:val="24"/>
        </w:rPr>
        <w:t>Ürünlerin yüzey alanı toplam elektroforetik kaplama alanı ile kaplama sürecinin daha sonraki aşamalarında ve ürünün üretilmesi sırasında kullanılan maddeler kullanılarak kaplanan kısımların alanı veya tesiste kaplanan ürünün toplam yüzey alanı üzerinden belirlenir.</w:t>
      </w:r>
    </w:p>
    <w:p w14:paraId="6AF6EFDF" w14:textId="77777777" w:rsidR="00070752" w:rsidRPr="00880206" w:rsidRDefault="00070752" w:rsidP="00795C7D">
      <w:pPr>
        <w:shd w:val="clear" w:color="auto" w:fill="FFFFFF"/>
        <w:spacing w:before="408" w:line="240" w:lineRule="auto"/>
        <w:ind w:left="34"/>
        <w:jc w:val="center"/>
        <w:rPr>
          <w:rFonts w:ascii="Times New Roman" w:hAnsi="Times New Roman" w:cs="Times New Roman"/>
          <w:sz w:val="24"/>
          <w:szCs w:val="24"/>
        </w:rPr>
      </w:pPr>
      <w:r w:rsidRPr="00880206">
        <w:rPr>
          <w:rFonts w:ascii="Times New Roman" w:hAnsi="Times New Roman" w:cs="Times New Roman"/>
          <w:color w:val="000000"/>
          <w:sz w:val="24"/>
          <w:szCs w:val="24"/>
        </w:rPr>
        <w:t>Elektroforetik kaplama alanı aşağıdaki formüle göre hesaplanır</w:t>
      </w:r>
    </w:p>
    <w:p w14:paraId="1E5D3A95" w14:textId="15BBEA83" w:rsidR="00070752" w:rsidRPr="00880206" w:rsidRDefault="003344B6" w:rsidP="00795C7D">
      <w:pPr>
        <w:shd w:val="clear" w:color="auto" w:fill="FFFFFF"/>
        <w:spacing w:before="192" w:line="240" w:lineRule="auto"/>
        <w:ind w:left="24"/>
        <w:jc w:val="center"/>
        <w:rPr>
          <w:rFonts w:ascii="Times New Roman" w:hAnsi="Times New Roman" w:cs="Times New Roman"/>
          <w:sz w:val="24"/>
          <w:szCs w:val="24"/>
        </w:rPr>
      </w:pPr>
      <w:r>
        <w:rPr>
          <w:rFonts w:ascii="Times New Roman" w:hAnsi="Times New Roman" w:cs="Times New Roman"/>
          <w:noProof/>
          <w:color w:val="000000"/>
          <w:spacing w:val="-1"/>
          <w:sz w:val="24"/>
          <w:szCs w:val="24"/>
          <w:lang w:eastAsia="tr-TR"/>
        </w:rPr>
        <mc:AlternateContent>
          <mc:Choice Requires="wps">
            <w:drawing>
              <wp:anchor distT="0" distB="0" distL="114300" distR="114300" simplePos="0" relativeHeight="251659264" behindDoc="0" locked="0" layoutInCell="1" allowOverlap="1" wp14:anchorId="65206779" wp14:editId="27A05CB0">
                <wp:simplePos x="0" y="0"/>
                <wp:positionH relativeFrom="column">
                  <wp:posOffset>1239519</wp:posOffset>
                </wp:positionH>
                <wp:positionV relativeFrom="paragraph">
                  <wp:posOffset>231139</wp:posOffset>
                </wp:positionV>
                <wp:extent cx="2771775" cy="0"/>
                <wp:effectExtent l="0" t="0" r="0" b="0"/>
                <wp:wrapNone/>
                <wp:docPr id="1" name="Düz Bağlayıcı 1"/>
                <wp:cNvGraphicFramePr/>
                <a:graphic xmlns:a="http://schemas.openxmlformats.org/drawingml/2006/main">
                  <a:graphicData uri="http://schemas.microsoft.com/office/word/2010/wordprocessingShape">
                    <wps:wsp>
                      <wps:cNvCnPr/>
                      <wps:spPr>
                        <a:xfrm>
                          <a:off x="0" y="0"/>
                          <a:ext cx="2771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F36A66" id="Düz Bağlayıcı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pt,18.2pt" to="315.8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" strokecolor="black [3200]" strokeweight=".5pt">
                <v:stroke joinstyle="miter"/>
              </v:line>
            </w:pict>
          </mc:Fallback>
        </mc:AlternateContent>
      </w:r>
      <w:r w:rsidR="00070752" w:rsidRPr="00880206">
        <w:rPr>
          <w:rFonts w:ascii="Times New Roman" w:hAnsi="Times New Roman" w:cs="Times New Roman"/>
          <w:color w:val="000000"/>
          <w:spacing w:val="-1"/>
          <w:sz w:val="24"/>
          <w:szCs w:val="24"/>
        </w:rPr>
        <w:t>2 x ürün kaportasının toplam ağırlığı</w:t>
      </w:r>
    </w:p>
    <w:p w14:paraId="799D2C09" w14:textId="3668B824" w:rsidR="00070752" w:rsidRPr="00880206" w:rsidRDefault="00070752" w:rsidP="00795C7D">
      <w:pPr>
        <w:shd w:val="clear" w:color="auto" w:fill="FFFFFF"/>
        <w:spacing w:before="77"/>
        <w:ind w:left="708" w:right="495"/>
        <w:jc w:val="center"/>
        <w:rPr>
          <w:rFonts w:ascii="Times New Roman" w:hAnsi="Times New Roman" w:cs="Times New Roman"/>
          <w:color w:val="000000"/>
          <w:spacing w:val="-1"/>
          <w:sz w:val="24"/>
          <w:szCs w:val="24"/>
        </w:rPr>
      </w:pPr>
      <w:r w:rsidRPr="00880206">
        <w:rPr>
          <w:rFonts w:ascii="Times New Roman" w:hAnsi="Times New Roman" w:cs="Times New Roman"/>
          <w:color w:val="000000"/>
          <w:spacing w:val="-1"/>
          <w:sz w:val="24"/>
          <w:szCs w:val="24"/>
        </w:rPr>
        <w:t>Metal plakanın ortalama kalınlığı * metal plakanın yoğunluğu</w:t>
      </w:r>
    </w:p>
    <w:p w14:paraId="6763D7AD" w14:textId="030EB685" w:rsidR="00070752" w:rsidRPr="00880206" w:rsidRDefault="00070752" w:rsidP="00795C7D">
      <w:pPr>
        <w:shd w:val="clear" w:color="auto" w:fill="FFFFFF"/>
        <w:spacing w:before="77" w:line="240" w:lineRule="auto"/>
        <w:ind w:left="29" w:right="212"/>
        <w:rPr>
          <w:rFonts w:ascii="Times New Roman" w:hAnsi="Times New Roman" w:cs="Times New Roman"/>
          <w:sz w:val="24"/>
          <w:szCs w:val="24"/>
        </w:rPr>
      </w:pPr>
      <w:r w:rsidRPr="00880206">
        <w:rPr>
          <w:rFonts w:ascii="Times New Roman" w:hAnsi="Times New Roman" w:cs="Times New Roman"/>
          <w:color w:val="000000"/>
          <w:sz w:val="24"/>
          <w:szCs w:val="24"/>
        </w:rPr>
        <w:t>Bu yöntem plakadan mamul diğer kısımların kaplanması için</w:t>
      </w:r>
      <w:r w:rsidR="00795C7D">
        <w:rPr>
          <w:rFonts w:ascii="Times New Roman" w:hAnsi="Times New Roman" w:cs="Times New Roman"/>
          <w:color w:val="000000"/>
          <w:sz w:val="24"/>
          <w:szCs w:val="24"/>
        </w:rPr>
        <w:t xml:space="preserve"> </w:t>
      </w:r>
      <w:r w:rsidR="003344B6">
        <w:rPr>
          <w:rFonts w:ascii="Times New Roman" w:hAnsi="Times New Roman" w:cs="Times New Roman"/>
          <w:color w:val="000000"/>
          <w:sz w:val="24"/>
          <w:szCs w:val="24"/>
        </w:rPr>
        <w:t>d</w:t>
      </w:r>
      <w:r w:rsidRPr="00880206">
        <w:rPr>
          <w:rFonts w:ascii="Times New Roman" w:hAnsi="Times New Roman" w:cs="Times New Roman"/>
          <w:color w:val="000000"/>
          <w:sz w:val="24"/>
          <w:szCs w:val="24"/>
        </w:rPr>
        <w:t>e kullanılacaktır.</w:t>
      </w:r>
    </w:p>
    <w:p w14:paraId="7C55E581" w14:textId="77777777" w:rsidR="00070752" w:rsidRPr="00880206" w:rsidRDefault="00070752" w:rsidP="005D0C9A">
      <w:pPr>
        <w:shd w:val="clear" w:color="auto" w:fill="FFFFFF"/>
        <w:spacing w:line="240" w:lineRule="auto"/>
        <w:ind w:left="29"/>
        <w:rPr>
          <w:rFonts w:ascii="Times New Roman" w:hAnsi="Times New Roman" w:cs="Times New Roman"/>
          <w:sz w:val="24"/>
          <w:szCs w:val="24"/>
        </w:rPr>
      </w:pPr>
      <w:r w:rsidRPr="00880206">
        <w:rPr>
          <w:rFonts w:ascii="Times New Roman" w:hAnsi="Times New Roman" w:cs="Times New Roman"/>
          <w:color w:val="000000"/>
          <w:spacing w:val="-1"/>
          <w:sz w:val="24"/>
          <w:szCs w:val="24"/>
        </w:rPr>
        <w:t xml:space="preserve">Bilgisayar yardımlı tasarım veya diğer eşdeğer yöntemler eklenen kısımların yüzey alanını veya tesiste kaplanan toplam yüzey </w:t>
      </w:r>
      <w:r w:rsidRPr="00880206">
        <w:rPr>
          <w:rFonts w:ascii="Times New Roman" w:hAnsi="Times New Roman" w:cs="Times New Roman"/>
          <w:color w:val="000000"/>
          <w:sz w:val="24"/>
          <w:szCs w:val="24"/>
        </w:rPr>
        <w:t>alanını hesaplamak için kullanılacaktır.</w:t>
      </w:r>
    </w:p>
    <w:p w14:paraId="2738C890" w14:textId="3A4AB427" w:rsidR="00070752" w:rsidRPr="00880206" w:rsidRDefault="00070752" w:rsidP="005D0C9A">
      <w:pPr>
        <w:shd w:val="clear" w:color="auto" w:fill="FFFFFF"/>
        <w:spacing w:line="240" w:lineRule="auto"/>
        <w:ind w:left="29" w:right="10"/>
        <w:jc w:val="both"/>
        <w:rPr>
          <w:rFonts w:ascii="Times New Roman" w:hAnsi="Times New Roman" w:cs="Times New Roman"/>
          <w:sz w:val="24"/>
          <w:szCs w:val="24"/>
        </w:rPr>
      </w:pPr>
      <w:r w:rsidRPr="00880206">
        <w:rPr>
          <w:rFonts w:ascii="Times New Roman" w:hAnsi="Times New Roman" w:cs="Times New Roman"/>
          <w:color w:val="000000"/>
          <w:sz w:val="24"/>
          <w:szCs w:val="24"/>
        </w:rPr>
        <w:t>3. Aşağıdaki tabloda yer alan toplam emisyon sınır değerleri elektroforetik kaplamadan son cilalama ile üst kaplama cilalamasıyla birlikte püskürtme kabinleri ve diğer sabit ekipman dahil işlem gereçlerinin üretim zamanında veya üretim zamanı dışında temizlenmesi için solvent kullanılması de geçerli olacaktır.</w:t>
      </w:r>
    </w:p>
    <w:tbl>
      <w:tblPr>
        <w:tblStyle w:val="TabloKlavuzu15"/>
        <w:tblW w:w="0" w:type="auto"/>
        <w:tblLayout w:type="fixed"/>
        <w:tblLook w:val="0000" w:firstRow="0" w:lastRow="0" w:firstColumn="0" w:lastColumn="0" w:noHBand="0" w:noVBand="0"/>
      </w:tblPr>
      <w:tblGrid>
        <w:gridCol w:w="2830"/>
        <w:gridCol w:w="2268"/>
        <w:gridCol w:w="1224"/>
        <w:gridCol w:w="1728"/>
      </w:tblGrid>
      <w:tr w:rsidR="00070752" w:rsidRPr="00795C7D" w14:paraId="0ECD8FBD" w14:textId="77777777" w:rsidTr="002761CD">
        <w:trPr>
          <w:trHeight w:hRule="exact" w:val="777"/>
        </w:trPr>
        <w:tc>
          <w:tcPr>
            <w:tcW w:w="2830" w:type="dxa"/>
          </w:tcPr>
          <w:p w14:paraId="4872FE40" w14:textId="77777777" w:rsidR="00070752" w:rsidRPr="00795C7D" w:rsidRDefault="00070752" w:rsidP="00C10647">
            <w:pPr>
              <w:shd w:val="clear" w:color="auto" w:fill="FFFFFF"/>
              <w:ind w:left="1094"/>
              <w:rPr>
                <w:rFonts w:ascii="Times New Roman" w:hAnsi="Times New Roman" w:cs="Times New Roman"/>
                <w:sz w:val="20"/>
                <w:szCs w:val="20"/>
              </w:rPr>
            </w:pPr>
            <w:r w:rsidRPr="00795C7D">
              <w:rPr>
                <w:rFonts w:ascii="Times New Roman" w:hAnsi="Times New Roman" w:cs="Times New Roman"/>
                <w:color w:val="000000"/>
                <w:sz w:val="20"/>
                <w:szCs w:val="20"/>
              </w:rPr>
              <w:t>Faaliyet</w:t>
            </w:r>
          </w:p>
        </w:tc>
        <w:tc>
          <w:tcPr>
            <w:tcW w:w="2268" w:type="dxa"/>
          </w:tcPr>
          <w:p w14:paraId="7E90B117" w14:textId="77777777" w:rsidR="00070752" w:rsidRPr="00795C7D" w:rsidRDefault="00070752"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z w:val="20"/>
                <w:szCs w:val="20"/>
              </w:rPr>
              <w:t>Üretim sının</w:t>
            </w:r>
          </w:p>
          <w:p w14:paraId="0FE6C960" w14:textId="77777777" w:rsidR="00070752" w:rsidRPr="00795C7D" w:rsidRDefault="00070752"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pacing w:val="-2"/>
                <w:sz w:val="20"/>
                <w:szCs w:val="20"/>
              </w:rPr>
              <w:t>(yıllık kaplanmış ürün</w:t>
            </w:r>
          </w:p>
          <w:p w14:paraId="23C831D5" w14:textId="77777777" w:rsidR="00070752" w:rsidRPr="00795C7D" w:rsidRDefault="00070752"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z w:val="20"/>
                <w:szCs w:val="20"/>
              </w:rPr>
              <w:t>üretimi)</w:t>
            </w:r>
          </w:p>
        </w:tc>
        <w:tc>
          <w:tcPr>
            <w:tcW w:w="2952" w:type="dxa"/>
            <w:gridSpan w:val="2"/>
          </w:tcPr>
          <w:p w14:paraId="522C7692" w14:textId="77777777" w:rsidR="00070752" w:rsidRPr="00795C7D" w:rsidRDefault="00070752" w:rsidP="00C10647">
            <w:pPr>
              <w:shd w:val="clear" w:color="auto" w:fill="FFFFFF"/>
              <w:ind w:left="600"/>
              <w:rPr>
                <w:rFonts w:ascii="Times New Roman" w:hAnsi="Times New Roman" w:cs="Times New Roman"/>
                <w:sz w:val="20"/>
                <w:szCs w:val="20"/>
              </w:rPr>
            </w:pPr>
            <w:r w:rsidRPr="00795C7D">
              <w:rPr>
                <w:rFonts w:ascii="Times New Roman" w:hAnsi="Times New Roman" w:cs="Times New Roman"/>
                <w:color w:val="000000"/>
                <w:sz w:val="20"/>
                <w:szCs w:val="20"/>
              </w:rPr>
              <w:t>Toplam emisyon sınır değeri</w:t>
            </w:r>
          </w:p>
        </w:tc>
      </w:tr>
      <w:tr w:rsidR="00070752" w:rsidRPr="00795C7D" w14:paraId="3E6B8394" w14:textId="77777777" w:rsidTr="002761CD">
        <w:trPr>
          <w:trHeight w:hRule="exact" w:val="282"/>
        </w:trPr>
        <w:tc>
          <w:tcPr>
            <w:tcW w:w="2830" w:type="dxa"/>
          </w:tcPr>
          <w:p w14:paraId="7F10112F" w14:textId="77777777" w:rsidR="00070752" w:rsidRPr="00795C7D" w:rsidRDefault="00070752" w:rsidP="00795C7D">
            <w:pPr>
              <w:shd w:val="clear" w:color="auto" w:fill="FFFFFF"/>
              <w:rPr>
                <w:rFonts w:ascii="Times New Roman" w:hAnsi="Times New Roman" w:cs="Times New Roman"/>
                <w:sz w:val="20"/>
                <w:szCs w:val="20"/>
              </w:rPr>
            </w:pPr>
            <w:r w:rsidRPr="00795C7D">
              <w:rPr>
                <w:rFonts w:ascii="Times New Roman" w:hAnsi="Times New Roman" w:cs="Times New Roman"/>
                <w:color w:val="000000"/>
                <w:sz w:val="20"/>
                <w:szCs w:val="20"/>
              </w:rPr>
              <w:t>(ton/yıl solvent tüketim sınırı)</w:t>
            </w:r>
          </w:p>
        </w:tc>
        <w:tc>
          <w:tcPr>
            <w:tcW w:w="2268" w:type="dxa"/>
          </w:tcPr>
          <w:p w14:paraId="26703BE0" w14:textId="77777777" w:rsidR="00070752" w:rsidRPr="00795C7D" w:rsidRDefault="00070752" w:rsidP="00C10647">
            <w:pPr>
              <w:shd w:val="clear" w:color="auto" w:fill="FFFFFF"/>
              <w:ind w:left="499"/>
              <w:rPr>
                <w:rFonts w:ascii="Times New Roman" w:hAnsi="Times New Roman" w:cs="Times New Roman"/>
                <w:sz w:val="20"/>
                <w:szCs w:val="20"/>
              </w:rPr>
            </w:pPr>
          </w:p>
          <w:p w14:paraId="3AB5C755" w14:textId="77777777" w:rsidR="00070752" w:rsidRPr="00795C7D" w:rsidRDefault="00070752" w:rsidP="00C10647">
            <w:pPr>
              <w:shd w:val="clear" w:color="auto" w:fill="FFFFFF"/>
              <w:ind w:left="499"/>
              <w:rPr>
                <w:rFonts w:ascii="Times New Roman" w:hAnsi="Times New Roman" w:cs="Times New Roman"/>
                <w:sz w:val="20"/>
                <w:szCs w:val="20"/>
              </w:rPr>
            </w:pPr>
          </w:p>
        </w:tc>
        <w:tc>
          <w:tcPr>
            <w:tcW w:w="1224" w:type="dxa"/>
          </w:tcPr>
          <w:p w14:paraId="6AACE23D" w14:textId="77777777" w:rsidR="00070752" w:rsidRPr="00795C7D" w:rsidRDefault="00070752" w:rsidP="002761CD">
            <w:pPr>
              <w:shd w:val="clear" w:color="auto" w:fill="FFFFFF"/>
              <w:rPr>
                <w:rFonts w:ascii="Times New Roman" w:hAnsi="Times New Roman" w:cs="Times New Roman"/>
                <w:sz w:val="20"/>
                <w:szCs w:val="20"/>
              </w:rPr>
            </w:pPr>
            <w:r w:rsidRPr="00795C7D">
              <w:rPr>
                <w:rFonts w:ascii="Times New Roman" w:hAnsi="Times New Roman" w:cs="Times New Roman"/>
                <w:color w:val="000000"/>
                <w:sz w:val="20"/>
                <w:szCs w:val="20"/>
              </w:rPr>
              <w:t>Yeni tesisler</w:t>
            </w:r>
          </w:p>
        </w:tc>
        <w:tc>
          <w:tcPr>
            <w:tcW w:w="1728" w:type="dxa"/>
          </w:tcPr>
          <w:p w14:paraId="0570409D" w14:textId="77777777" w:rsidR="00070752" w:rsidRPr="00795C7D" w:rsidRDefault="00070752" w:rsidP="00C10647">
            <w:pPr>
              <w:shd w:val="clear" w:color="auto" w:fill="FFFFFF"/>
              <w:ind w:left="259"/>
              <w:rPr>
                <w:rFonts w:ascii="Times New Roman" w:hAnsi="Times New Roman" w:cs="Times New Roman"/>
                <w:sz w:val="20"/>
                <w:szCs w:val="20"/>
              </w:rPr>
            </w:pPr>
            <w:r w:rsidRPr="00795C7D">
              <w:rPr>
                <w:rFonts w:ascii="Times New Roman" w:hAnsi="Times New Roman" w:cs="Times New Roman"/>
                <w:color w:val="000000"/>
                <w:sz w:val="20"/>
                <w:szCs w:val="20"/>
              </w:rPr>
              <w:t>Mevcut tesisler</w:t>
            </w:r>
          </w:p>
        </w:tc>
      </w:tr>
      <w:tr w:rsidR="002761CD" w:rsidRPr="00795C7D" w14:paraId="3D1B942A" w14:textId="77777777" w:rsidTr="002761CD">
        <w:trPr>
          <w:trHeight w:hRule="exact" w:val="990"/>
        </w:trPr>
        <w:tc>
          <w:tcPr>
            <w:tcW w:w="2830" w:type="dxa"/>
            <w:vMerge w:val="restart"/>
          </w:tcPr>
          <w:p w14:paraId="3DA3959D" w14:textId="77777777" w:rsidR="002761CD" w:rsidRPr="00795C7D" w:rsidRDefault="002761CD"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pacing w:val="-1"/>
                <w:sz w:val="20"/>
                <w:szCs w:val="20"/>
              </w:rPr>
              <w:t>Yeni otomobillerin kaplanması (&gt; 15)</w:t>
            </w:r>
          </w:p>
        </w:tc>
        <w:tc>
          <w:tcPr>
            <w:tcW w:w="2268" w:type="dxa"/>
          </w:tcPr>
          <w:p w14:paraId="47AF8180" w14:textId="636EAF76"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&gt; 5000</w:t>
            </w:r>
          </w:p>
        </w:tc>
        <w:tc>
          <w:tcPr>
            <w:tcW w:w="1224" w:type="dxa"/>
          </w:tcPr>
          <w:p w14:paraId="3307E0B2" w14:textId="77777777" w:rsidR="002761CD" w:rsidRPr="00795C7D" w:rsidRDefault="002761CD" w:rsidP="00C10647">
            <w:pPr>
              <w:shd w:val="clear" w:color="auto" w:fill="FFFFFF"/>
              <w:jc w:val="center"/>
              <w:rPr>
                <w:rFonts w:ascii="Times New Roman" w:hAnsi="Times New Roman" w:cs="Times New Roman"/>
                <w:sz w:val="20"/>
                <w:szCs w:val="20"/>
              </w:rPr>
            </w:pPr>
            <w:r w:rsidRPr="00795C7D">
              <w:rPr>
                <w:rFonts w:ascii="Times New Roman" w:hAnsi="Times New Roman" w:cs="Times New Roman"/>
                <w:color w:val="000000"/>
                <w:sz w:val="20"/>
                <w:szCs w:val="20"/>
              </w:rPr>
              <w:t>45  g/m</w:t>
            </w:r>
            <w:r w:rsidRPr="00795C7D">
              <w:rPr>
                <w:rFonts w:ascii="Times New Roman" w:hAnsi="Times New Roman" w:cs="Times New Roman"/>
                <w:color w:val="000000"/>
                <w:sz w:val="20"/>
                <w:szCs w:val="20"/>
                <w:vertAlign w:val="superscript"/>
              </w:rPr>
              <w:t>2</w:t>
            </w:r>
          </w:p>
          <w:p w14:paraId="5043D44B" w14:textId="77777777" w:rsidR="002761CD" w:rsidRPr="00795C7D" w:rsidRDefault="002761CD" w:rsidP="00C10647">
            <w:pPr>
              <w:shd w:val="clear" w:color="auto" w:fill="FFFFFF"/>
              <w:jc w:val="center"/>
              <w:rPr>
                <w:rFonts w:ascii="Times New Roman" w:hAnsi="Times New Roman" w:cs="Times New Roman"/>
                <w:sz w:val="20"/>
                <w:szCs w:val="20"/>
              </w:rPr>
            </w:pPr>
            <w:r w:rsidRPr="00795C7D">
              <w:rPr>
                <w:rFonts w:ascii="Times New Roman" w:hAnsi="Times New Roman" w:cs="Times New Roman"/>
                <w:color w:val="000000"/>
                <w:sz w:val="20"/>
                <w:szCs w:val="20"/>
              </w:rPr>
              <w:t>veya 1,3 kg/gövde</w:t>
            </w:r>
          </w:p>
          <w:p w14:paraId="553433F6" w14:textId="77777777" w:rsidR="002761CD" w:rsidRPr="00795C7D" w:rsidRDefault="002761CD" w:rsidP="00C10647">
            <w:pPr>
              <w:shd w:val="clear" w:color="auto" w:fill="FFFFFF"/>
              <w:jc w:val="center"/>
              <w:rPr>
                <w:rFonts w:ascii="Times New Roman" w:hAnsi="Times New Roman" w:cs="Times New Roman"/>
                <w:sz w:val="20"/>
                <w:szCs w:val="20"/>
              </w:rPr>
            </w:pPr>
            <w:r w:rsidRPr="00795C7D">
              <w:rPr>
                <w:rFonts w:ascii="Times New Roman" w:hAnsi="Times New Roman" w:cs="Times New Roman"/>
                <w:color w:val="000000"/>
                <w:sz w:val="20"/>
                <w:szCs w:val="20"/>
              </w:rPr>
              <w:t>+ 33  g/m</w:t>
            </w:r>
            <w:r w:rsidRPr="00795C7D">
              <w:rPr>
                <w:rFonts w:ascii="Times New Roman" w:hAnsi="Times New Roman" w:cs="Times New Roman"/>
                <w:color w:val="000000"/>
                <w:sz w:val="20"/>
                <w:szCs w:val="20"/>
                <w:vertAlign w:val="superscript"/>
              </w:rPr>
              <w:t>2</w:t>
            </w:r>
          </w:p>
        </w:tc>
        <w:tc>
          <w:tcPr>
            <w:tcW w:w="1728" w:type="dxa"/>
          </w:tcPr>
          <w:p w14:paraId="4EBA41BA" w14:textId="77777777" w:rsidR="002761CD" w:rsidRPr="00795C7D" w:rsidRDefault="002761CD" w:rsidP="00C10647">
            <w:pPr>
              <w:shd w:val="clear" w:color="auto" w:fill="FFFFFF"/>
              <w:ind w:right="38"/>
              <w:jc w:val="center"/>
              <w:rPr>
                <w:rFonts w:ascii="Times New Roman" w:hAnsi="Times New Roman" w:cs="Times New Roman"/>
                <w:sz w:val="20"/>
                <w:szCs w:val="20"/>
              </w:rPr>
            </w:pPr>
            <w:r w:rsidRPr="00795C7D">
              <w:rPr>
                <w:rFonts w:ascii="Times New Roman" w:hAnsi="Times New Roman" w:cs="Times New Roman"/>
                <w:color w:val="000000"/>
                <w:sz w:val="20"/>
                <w:szCs w:val="20"/>
              </w:rPr>
              <w:t>60 g/m</w:t>
            </w:r>
            <w:r w:rsidRPr="00795C7D">
              <w:rPr>
                <w:rFonts w:ascii="Times New Roman" w:hAnsi="Times New Roman" w:cs="Times New Roman"/>
                <w:color w:val="000000"/>
                <w:sz w:val="20"/>
                <w:szCs w:val="20"/>
                <w:vertAlign w:val="superscript"/>
              </w:rPr>
              <w:t>2</w:t>
            </w:r>
          </w:p>
          <w:p w14:paraId="5A7862D9" w14:textId="77777777" w:rsidR="002761CD" w:rsidRPr="00795C7D" w:rsidRDefault="002761CD" w:rsidP="00C10647">
            <w:pPr>
              <w:shd w:val="clear" w:color="auto" w:fill="FFFFFF"/>
              <w:ind w:right="38"/>
              <w:jc w:val="center"/>
              <w:rPr>
                <w:rFonts w:ascii="Times New Roman" w:hAnsi="Times New Roman" w:cs="Times New Roman"/>
                <w:sz w:val="20"/>
                <w:szCs w:val="20"/>
              </w:rPr>
            </w:pPr>
            <w:r w:rsidRPr="00795C7D">
              <w:rPr>
                <w:rFonts w:ascii="Times New Roman" w:hAnsi="Times New Roman" w:cs="Times New Roman"/>
                <w:color w:val="000000"/>
                <w:spacing w:val="-1"/>
                <w:sz w:val="20"/>
                <w:szCs w:val="20"/>
              </w:rPr>
              <w:t>veya 1,9 kg/gövde</w:t>
            </w:r>
          </w:p>
          <w:p w14:paraId="5774F659" w14:textId="77777777" w:rsidR="002761CD" w:rsidRPr="00795C7D" w:rsidRDefault="002761CD" w:rsidP="00C10647">
            <w:pPr>
              <w:shd w:val="clear" w:color="auto" w:fill="FFFFFF"/>
              <w:ind w:right="38"/>
              <w:jc w:val="center"/>
              <w:rPr>
                <w:rFonts w:ascii="Times New Roman" w:hAnsi="Times New Roman" w:cs="Times New Roman"/>
                <w:sz w:val="20"/>
                <w:szCs w:val="20"/>
              </w:rPr>
            </w:pPr>
            <w:r w:rsidRPr="00795C7D">
              <w:rPr>
                <w:rFonts w:ascii="Times New Roman" w:hAnsi="Times New Roman" w:cs="Times New Roman"/>
                <w:color w:val="000000"/>
                <w:sz w:val="20"/>
                <w:szCs w:val="20"/>
              </w:rPr>
              <w:t>+  41  g/m</w:t>
            </w:r>
            <w:r w:rsidRPr="00795C7D">
              <w:rPr>
                <w:rFonts w:ascii="Times New Roman" w:hAnsi="Times New Roman" w:cs="Times New Roman"/>
                <w:color w:val="000000"/>
                <w:sz w:val="20"/>
                <w:szCs w:val="20"/>
                <w:vertAlign w:val="superscript"/>
              </w:rPr>
              <w:t>2</w:t>
            </w:r>
          </w:p>
        </w:tc>
      </w:tr>
      <w:tr w:rsidR="002761CD" w:rsidRPr="00795C7D" w14:paraId="1E90C645" w14:textId="77777777" w:rsidTr="002761CD">
        <w:trPr>
          <w:trHeight w:hRule="exact" w:val="991"/>
        </w:trPr>
        <w:tc>
          <w:tcPr>
            <w:tcW w:w="2830" w:type="dxa"/>
            <w:vMerge/>
          </w:tcPr>
          <w:p w14:paraId="660FF54F" w14:textId="77777777" w:rsidR="002761CD" w:rsidRPr="00795C7D" w:rsidRDefault="002761CD" w:rsidP="00C10647">
            <w:pPr>
              <w:shd w:val="clear" w:color="auto" w:fill="FFFFFF"/>
              <w:rPr>
                <w:rFonts w:ascii="Times New Roman" w:hAnsi="Times New Roman" w:cs="Times New Roman"/>
                <w:sz w:val="20"/>
                <w:szCs w:val="20"/>
              </w:rPr>
            </w:pPr>
          </w:p>
        </w:tc>
        <w:tc>
          <w:tcPr>
            <w:tcW w:w="2268" w:type="dxa"/>
          </w:tcPr>
          <w:p w14:paraId="70FC4282" w14:textId="317A294F" w:rsidR="002761CD" w:rsidRDefault="002761CD" w:rsidP="00C10647">
            <w:pPr>
              <w:shd w:val="clear" w:color="auto" w:fill="FFFFFF"/>
              <w:ind w:right="34" w:firstLine="5"/>
              <w:jc w:val="center"/>
              <w:rPr>
                <w:rFonts w:ascii="Times New Roman" w:hAnsi="Times New Roman" w:cs="Times New Roman"/>
                <w:color w:val="000000"/>
                <w:spacing w:val="-1"/>
                <w:sz w:val="20"/>
                <w:szCs w:val="20"/>
              </w:rPr>
            </w:pPr>
            <w:r w:rsidRPr="00795C7D">
              <w:rPr>
                <w:rFonts w:ascii="Times New Roman" w:hAnsi="Times New Roman" w:cs="Times New Roman"/>
                <w:color w:val="000000"/>
                <w:spacing w:val="-1"/>
                <w:sz w:val="20"/>
                <w:szCs w:val="20"/>
              </w:rPr>
              <w:t xml:space="preserve">&lt;  </w:t>
            </w:r>
            <w:r>
              <w:rPr>
                <w:rFonts w:ascii="Times New Roman" w:hAnsi="Times New Roman" w:cs="Times New Roman"/>
                <w:color w:val="000000"/>
                <w:spacing w:val="-1"/>
                <w:sz w:val="20"/>
                <w:szCs w:val="20"/>
              </w:rPr>
              <w:t>50</w:t>
            </w:r>
            <w:r w:rsidRPr="00795C7D">
              <w:rPr>
                <w:rFonts w:ascii="Times New Roman" w:hAnsi="Times New Roman" w:cs="Times New Roman"/>
                <w:color w:val="000000"/>
                <w:spacing w:val="-1"/>
                <w:sz w:val="20"/>
                <w:szCs w:val="20"/>
              </w:rPr>
              <w:t>00 monokok veya</w:t>
            </w:r>
          </w:p>
          <w:p w14:paraId="0D42C0AD" w14:textId="368F7BEA" w:rsidR="002761CD" w:rsidRPr="00795C7D" w:rsidRDefault="002761CD" w:rsidP="00C10647">
            <w:pPr>
              <w:shd w:val="clear" w:color="auto" w:fill="FFFFFF"/>
              <w:ind w:right="34" w:firstLine="5"/>
              <w:jc w:val="center"/>
              <w:rPr>
                <w:rFonts w:ascii="Times New Roman" w:hAnsi="Times New Roman" w:cs="Times New Roman"/>
                <w:sz w:val="20"/>
                <w:szCs w:val="20"/>
              </w:rPr>
            </w:pPr>
            <w:r w:rsidRPr="00795C7D">
              <w:rPr>
                <w:rFonts w:ascii="Times New Roman" w:hAnsi="Times New Roman" w:cs="Times New Roman"/>
                <w:color w:val="000000"/>
                <w:sz w:val="20"/>
                <w:szCs w:val="20"/>
              </w:rPr>
              <w:t>&gt; 3500 şas</w:t>
            </w:r>
            <w:r>
              <w:rPr>
                <w:rFonts w:ascii="Times New Roman" w:hAnsi="Times New Roman" w:cs="Times New Roman"/>
                <w:color w:val="000000"/>
                <w:sz w:val="20"/>
                <w:szCs w:val="20"/>
              </w:rPr>
              <w:t>i</w:t>
            </w:r>
            <w:r w:rsidRPr="00795C7D">
              <w:rPr>
                <w:rFonts w:ascii="Times New Roman" w:hAnsi="Times New Roman" w:cs="Times New Roman"/>
                <w:color w:val="000000"/>
                <w:sz w:val="20"/>
                <w:szCs w:val="20"/>
              </w:rPr>
              <w:t>l</w:t>
            </w:r>
            <w:r>
              <w:rPr>
                <w:rFonts w:ascii="Times New Roman" w:hAnsi="Times New Roman" w:cs="Times New Roman"/>
                <w:color w:val="000000"/>
                <w:sz w:val="20"/>
                <w:szCs w:val="20"/>
              </w:rPr>
              <w:t>i</w:t>
            </w:r>
          </w:p>
        </w:tc>
        <w:tc>
          <w:tcPr>
            <w:tcW w:w="1224" w:type="dxa"/>
          </w:tcPr>
          <w:p w14:paraId="54E672AE" w14:textId="77777777" w:rsidR="002761CD" w:rsidRPr="00795C7D" w:rsidRDefault="002761CD" w:rsidP="00C10647">
            <w:pPr>
              <w:shd w:val="clear" w:color="auto" w:fill="FFFFFF"/>
              <w:jc w:val="center"/>
              <w:rPr>
                <w:rFonts w:ascii="Times New Roman" w:hAnsi="Times New Roman" w:cs="Times New Roman"/>
                <w:sz w:val="20"/>
                <w:szCs w:val="20"/>
              </w:rPr>
            </w:pPr>
            <w:r w:rsidRPr="00795C7D">
              <w:rPr>
                <w:rFonts w:ascii="Times New Roman" w:hAnsi="Times New Roman" w:cs="Times New Roman"/>
                <w:color w:val="000000"/>
                <w:sz w:val="20"/>
                <w:szCs w:val="20"/>
              </w:rPr>
              <w:t>90  g/m</w:t>
            </w:r>
            <w:r w:rsidRPr="00795C7D">
              <w:rPr>
                <w:rFonts w:ascii="Times New Roman" w:hAnsi="Times New Roman" w:cs="Times New Roman"/>
                <w:color w:val="000000"/>
                <w:sz w:val="20"/>
                <w:szCs w:val="20"/>
                <w:vertAlign w:val="superscript"/>
              </w:rPr>
              <w:t>2</w:t>
            </w:r>
          </w:p>
          <w:p w14:paraId="27CA6224" w14:textId="77777777" w:rsidR="002761CD" w:rsidRPr="00795C7D" w:rsidRDefault="002761CD" w:rsidP="00C10647">
            <w:pPr>
              <w:shd w:val="clear" w:color="auto" w:fill="FFFFFF"/>
              <w:jc w:val="center"/>
              <w:rPr>
                <w:rFonts w:ascii="Times New Roman" w:hAnsi="Times New Roman" w:cs="Times New Roman"/>
                <w:sz w:val="20"/>
                <w:szCs w:val="20"/>
              </w:rPr>
            </w:pPr>
            <w:r w:rsidRPr="00795C7D">
              <w:rPr>
                <w:rFonts w:ascii="Times New Roman" w:hAnsi="Times New Roman" w:cs="Times New Roman"/>
                <w:color w:val="000000"/>
                <w:sz w:val="20"/>
                <w:szCs w:val="20"/>
              </w:rPr>
              <w:t>veya 1,5 kg/gövde</w:t>
            </w:r>
          </w:p>
          <w:p w14:paraId="1A23CC42" w14:textId="77777777" w:rsidR="002761CD" w:rsidRPr="00795C7D" w:rsidRDefault="002761CD" w:rsidP="00C10647">
            <w:pPr>
              <w:shd w:val="clear" w:color="auto" w:fill="FFFFFF"/>
              <w:jc w:val="center"/>
              <w:rPr>
                <w:rFonts w:ascii="Times New Roman" w:hAnsi="Times New Roman" w:cs="Times New Roman"/>
                <w:sz w:val="20"/>
                <w:szCs w:val="20"/>
              </w:rPr>
            </w:pPr>
            <w:r w:rsidRPr="00795C7D">
              <w:rPr>
                <w:rFonts w:ascii="Times New Roman" w:hAnsi="Times New Roman" w:cs="Times New Roman"/>
                <w:color w:val="000000"/>
                <w:sz w:val="20"/>
                <w:szCs w:val="20"/>
              </w:rPr>
              <w:t>+ 70  g/m</w:t>
            </w:r>
            <w:r w:rsidRPr="00795C7D">
              <w:rPr>
                <w:rFonts w:ascii="Times New Roman" w:hAnsi="Times New Roman" w:cs="Times New Roman"/>
                <w:color w:val="000000"/>
                <w:sz w:val="20"/>
                <w:szCs w:val="20"/>
                <w:vertAlign w:val="superscript"/>
              </w:rPr>
              <w:t>2</w:t>
            </w:r>
          </w:p>
        </w:tc>
        <w:tc>
          <w:tcPr>
            <w:tcW w:w="1728" w:type="dxa"/>
          </w:tcPr>
          <w:p w14:paraId="6A5FB6E6" w14:textId="77777777" w:rsidR="002761CD" w:rsidRPr="00795C7D" w:rsidRDefault="002761CD" w:rsidP="00C10647">
            <w:pPr>
              <w:shd w:val="clear" w:color="auto" w:fill="FFFFFF"/>
              <w:ind w:right="38"/>
              <w:jc w:val="center"/>
              <w:rPr>
                <w:rFonts w:ascii="Times New Roman" w:hAnsi="Times New Roman" w:cs="Times New Roman"/>
                <w:sz w:val="20"/>
                <w:szCs w:val="20"/>
              </w:rPr>
            </w:pPr>
            <w:r w:rsidRPr="00795C7D">
              <w:rPr>
                <w:rFonts w:ascii="Times New Roman" w:hAnsi="Times New Roman" w:cs="Times New Roman"/>
                <w:color w:val="000000"/>
                <w:sz w:val="20"/>
                <w:szCs w:val="20"/>
              </w:rPr>
              <w:t>90 g/m</w:t>
            </w:r>
            <w:r w:rsidRPr="00795C7D">
              <w:rPr>
                <w:rFonts w:ascii="Times New Roman" w:hAnsi="Times New Roman" w:cs="Times New Roman"/>
                <w:color w:val="000000"/>
                <w:sz w:val="20"/>
                <w:szCs w:val="20"/>
                <w:vertAlign w:val="superscript"/>
              </w:rPr>
              <w:t>2</w:t>
            </w:r>
          </w:p>
          <w:p w14:paraId="74F874DC" w14:textId="77777777" w:rsidR="002761CD" w:rsidRPr="00795C7D" w:rsidRDefault="002761CD" w:rsidP="00C10647">
            <w:pPr>
              <w:shd w:val="clear" w:color="auto" w:fill="FFFFFF"/>
              <w:ind w:right="38"/>
              <w:jc w:val="center"/>
              <w:rPr>
                <w:rFonts w:ascii="Times New Roman" w:hAnsi="Times New Roman" w:cs="Times New Roman"/>
                <w:sz w:val="20"/>
                <w:szCs w:val="20"/>
              </w:rPr>
            </w:pPr>
            <w:r w:rsidRPr="00795C7D">
              <w:rPr>
                <w:rFonts w:ascii="Times New Roman" w:hAnsi="Times New Roman" w:cs="Times New Roman"/>
                <w:color w:val="000000"/>
                <w:spacing w:val="-1"/>
                <w:sz w:val="20"/>
                <w:szCs w:val="20"/>
              </w:rPr>
              <w:t>veya 1,5 kg/gövde</w:t>
            </w:r>
          </w:p>
          <w:p w14:paraId="7AA81DEB" w14:textId="77777777" w:rsidR="002761CD" w:rsidRPr="00795C7D" w:rsidRDefault="002761CD" w:rsidP="00C10647">
            <w:pPr>
              <w:shd w:val="clear" w:color="auto" w:fill="FFFFFF"/>
              <w:ind w:right="38"/>
              <w:jc w:val="center"/>
              <w:rPr>
                <w:rFonts w:ascii="Times New Roman" w:hAnsi="Times New Roman" w:cs="Times New Roman"/>
                <w:sz w:val="20"/>
                <w:szCs w:val="20"/>
              </w:rPr>
            </w:pPr>
            <w:r w:rsidRPr="00795C7D">
              <w:rPr>
                <w:rFonts w:ascii="Times New Roman" w:hAnsi="Times New Roman" w:cs="Times New Roman"/>
                <w:color w:val="000000"/>
                <w:sz w:val="20"/>
                <w:szCs w:val="20"/>
              </w:rPr>
              <w:t>+  70  g/m</w:t>
            </w:r>
            <w:r w:rsidRPr="00795C7D">
              <w:rPr>
                <w:rFonts w:ascii="Times New Roman" w:hAnsi="Times New Roman" w:cs="Times New Roman"/>
                <w:color w:val="000000"/>
                <w:sz w:val="20"/>
                <w:szCs w:val="20"/>
                <w:vertAlign w:val="superscript"/>
              </w:rPr>
              <w:t>2</w:t>
            </w:r>
          </w:p>
        </w:tc>
      </w:tr>
      <w:tr w:rsidR="002761CD" w:rsidRPr="00795C7D" w14:paraId="32B3C53A" w14:textId="77777777" w:rsidTr="002761CD">
        <w:trPr>
          <w:trHeight w:hRule="exact" w:val="565"/>
        </w:trPr>
        <w:tc>
          <w:tcPr>
            <w:tcW w:w="2830" w:type="dxa"/>
          </w:tcPr>
          <w:p w14:paraId="33130F52" w14:textId="77777777" w:rsidR="002761CD" w:rsidRPr="00795C7D" w:rsidRDefault="002761CD" w:rsidP="00C10647">
            <w:pPr>
              <w:shd w:val="clear" w:color="auto" w:fill="FFFFFF"/>
              <w:rPr>
                <w:rFonts w:ascii="Times New Roman" w:hAnsi="Times New Roman" w:cs="Times New Roman"/>
                <w:sz w:val="20"/>
                <w:szCs w:val="20"/>
              </w:rPr>
            </w:pPr>
          </w:p>
        </w:tc>
        <w:tc>
          <w:tcPr>
            <w:tcW w:w="2268" w:type="dxa"/>
          </w:tcPr>
          <w:p w14:paraId="7D3F96D9" w14:textId="77777777" w:rsidR="002761CD" w:rsidRPr="00795C7D" w:rsidRDefault="002761CD" w:rsidP="00C10647">
            <w:pPr>
              <w:shd w:val="clear" w:color="auto" w:fill="FFFFFF"/>
              <w:jc w:val="center"/>
              <w:rPr>
                <w:rFonts w:ascii="Times New Roman" w:hAnsi="Times New Roman" w:cs="Times New Roman"/>
                <w:sz w:val="20"/>
                <w:szCs w:val="20"/>
              </w:rPr>
            </w:pPr>
          </w:p>
        </w:tc>
        <w:tc>
          <w:tcPr>
            <w:tcW w:w="2952" w:type="dxa"/>
            <w:gridSpan w:val="2"/>
          </w:tcPr>
          <w:p w14:paraId="70E8EC07" w14:textId="1860EF80" w:rsidR="002761CD" w:rsidRPr="00795C7D" w:rsidRDefault="002761CD" w:rsidP="002761CD">
            <w:pPr>
              <w:shd w:val="clear" w:color="auto" w:fill="FFFFFF"/>
              <w:ind w:right="14"/>
              <w:jc w:val="center"/>
              <w:rPr>
                <w:rFonts w:ascii="Times New Roman" w:hAnsi="Times New Roman" w:cs="Times New Roman"/>
                <w:sz w:val="20"/>
                <w:szCs w:val="20"/>
              </w:rPr>
            </w:pPr>
            <w:r w:rsidRPr="00795C7D">
              <w:rPr>
                <w:rFonts w:ascii="Times New Roman" w:hAnsi="Times New Roman" w:cs="Times New Roman"/>
                <w:color w:val="000000"/>
                <w:sz w:val="20"/>
                <w:szCs w:val="20"/>
              </w:rPr>
              <w:t>Toplam emisyon</w:t>
            </w:r>
            <w:r>
              <w:rPr>
                <w:rFonts w:ascii="Times New Roman" w:hAnsi="Times New Roman" w:cs="Times New Roman"/>
                <w:color w:val="000000"/>
                <w:sz w:val="20"/>
                <w:szCs w:val="20"/>
              </w:rPr>
              <w:t xml:space="preserve"> </w:t>
            </w:r>
            <w:r w:rsidRPr="00795C7D">
              <w:rPr>
                <w:rFonts w:ascii="Times New Roman" w:hAnsi="Times New Roman" w:cs="Times New Roman"/>
                <w:color w:val="000000"/>
                <w:sz w:val="20"/>
                <w:szCs w:val="20"/>
              </w:rPr>
              <w:t>sınır değeri (g/m</w:t>
            </w:r>
            <w:r w:rsidRPr="00795C7D">
              <w:rPr>
                <w:rFonts w:ascii="Times New Roman" w:hAnsi="Times New Roman" w:cs="Times New Roman"/>
                <w:color w:val="000000"/>
                <w:sz w:val="20"/>
                <w:szCs w:val="20"/>
                <w:vertAlign w:val="superscript"/>
              </w:rPr>
              <w:t>2</w:t>
            </w:r>
            <w:r w:rsidRPr="00795C7D">
              <w:rPr>
                <w:rFonts w:ascii="Times New Roman" w:hAnsi="Times New Roman" w:cs="Times New Roman"/>
                <w:color w:val="000000"/>
                <w:sz w:val="20"/>
                <w:szCs w:val="20"/>
              </w:rPr>
              <w:t>)</w:t>
            </w:r>
          </w:p>
        </w:tc>
      </w:tr>
      <w:tr w:rsidR="002761CD" w:rsidRPr="00795C7D" w14:paraId="7B44C939" w14:textId="77777777" w:rsidTr="002761CD">
        <w:trPr>
          <w:trHeight w:hRule="exact" w:val="555"/>
        </w:trPr>
        <w:tc>
          <w:tcPr>
            <w:tcW w:w="2830" w:type="dxa"/>
            <w:vMerge w:val="restart"/>
          </w:tcPr>
          <w:p w14:paraId="35A1FF23" w14:textId="78E1A7E9" w:rsidR="002761CD" w:rsidRPr="00795C7D" w:rsidRDefault="002761CD"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pacing w:val="-1"/>
                <w:sz w:val="20"/>
                <w:szCs w:val="20"/>
              </w:rPr>
              <w:t>Yeni kamyon kabinlerinin kaplanması (&gt;</w:t>
            </w:r>
            <w:r>
              <w:rPr>
                <w:rFonts w:ascii="Times New Roman" w:hAnsi="Times New Roman" w:cs="Times New Roman"/>
                <w:color w:val="000000"/>
                <w:spacing w:val="-1"/>
                <w:sz w:val="20"/>
                <w:szCs w:val="20"/>
              </w:rPr>
              <w:t>15)</w:t>
            </w:r>
          </w:p>
        </w:tc>
        <w:tc>
          <w:tcPr>
            <w:tcW w:w="2268" w:type="dxa"/>
          </w:tcPr>
          <w:p w14:paraId="22C5BCFB" w14:textId="39918D09"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&lt; 5000</w:t>
            </w:r>
          </w:p>
        </w:tc>
        <w:tc>
          <w:tcPr>
            <w:tcW w:w="1224" w:type="dxa"/>
          </w:tcPr>
          <w:p w14:paraId="16EFA5CE" w14:textId="77777777" w:rsidR="002761CD" w:rsidRPr="00795C7D" w:rsidRDefault="002761CD" w:rsidP="00C10647">
            <w:pPr>
              <w:shd w:val="clear" w:color="auto" w:fill="FFFFFF"/>
              <w:ind w:right="24"/>
              <w:jc w:val="center"/>
              <w:rPr>
                <w:rFonts w:ascii="Times New Roman" w:hAnsi="Times New Roman" w:cs="Times New Roman"/>
                <w:sz w:val="20"/>
                <w:szCs w:val="20"/>
              </w:rPr>
            </w:pPr>
            <w:r w:rsidRPr="00795C7D">
              <w:rPr>
                <w:rFonts w:ascii="Times New Roman" w:hAnsi="Times New Roman" w:cs="Times New Roman"/>
                <w:color w:val="000000"/>
                <w:sz w:val="20"/>
                <w:szCs w:val="20"/>
              </w:rPr>
              <w:t>65</w:t>
            </w:r>
          </w:p>
        </w:tc>
        <w:tc>
          <w:tcPr>
            <w:tcW w:w="1728" w:type="dxa"/>
          </w:tcPr>
          <w:p w14:paraId="02B8814B" w14:textId="77777777" w:rsidR="002761CD" w:rsidRPr="00795C7D" w:rsidRDefault="002761CD" w:rsidP="00C10647">
            <w:pPr>
              <w:shd w:val="clear" w:color="auto" w:fill="FFFFFF"/>
              <w:ind w:right="53"/>
              <w:jc w:val="center"/>
              <w:rPr>
                <w:rFonts w:ascii="Times New Roman" w:hAnsi="Times New Roman" w:cs="Times New Roman"/>
                <w:sz w:val="20"/>
                <w:szCs w:val="20"/>
              </w:rPr>
            </w:pPr>
            <w:r w:rsidRPr="00795C7D">
              <w:rPr>
                <w:rFonts w:ascii="Times New Roman" w:hAnsi="Times New Roman" w:cs="Times New Roman"/>
                <w:color w:val="000000"/>
                <w:sz w:val="20"/>
                <w:szCs w:val="20"/>
              </w:rPr>
              <w:t>85</w:t>
            </w:r>
          </w:p>
        </w:tc>
      </w:tr>
      <w:tr w:rsidR="002761CD" w:rsidRPr="00795C7D" w14:paraId="4FB9156A" w14:textId="77777777" w:rsidTr="002761CD">
        <w:trPr>
          <w:trHeight w:hRule="exact" w:val="302"/>
        </w:trPr>
        <w:tc>
          <w:tcPr>
            <w:tcW w:w="2830" w:type="dxa"/>
            <w:vMerge/>
          </w:tcPr>
          <w:p w14:paraId="18E88BA5" w14:textId="77777777" w:rsidR="002761CD" w:rsidRPr="00795C7D" w:rsidRDefault="002761CD" w:rsidP="00C10647">
            <w:pPr>
              <w:shd w:val="clear" w:color="auto" w:fill="FFFFFF"/>
              <w:rPr>
                <w:rFonts w:ascii="Times New Roman" w:hAnsi="Times New Roman" w:cs="Times New Roman"/>
                <w:sz w:val="20"/>
                <w:szCs w:val="20"/>
              </w:rPr>
            </w:pPr>
          </w:p>
        </w:tc>
        <w:tc>
          <w:tcPr>
            <w:tcW w:w="2268" w:type="dxa"/>
          </w:tcPr>
          <w:p w14:paraId="2C41EDC4" w14:textId="1FDC619F"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&gt; 5000</w:t>
            </w:r>
          </w:p>
        </w:tc>
        <w:tc>
          <w:tcPr>
            <w:tcW w:w="1224" w:type="dxa"/>
          </w:tcPr>
          <w:p w14:paraId="784B5436" w14:textId="77777777" w:rsidR="002761CD" w:rsidRPr="00795C7D" w:rsidRDefault="002761CD" w:rsidP="00C10647">
            <w:pPr>
              <w:shd w:val="clear" w:color="auto" w:fill="FFFFFF"/>
              <w:ind w:right="24"/>
              <w:jc w:val="center"/>
              <w:rPr>
                <w:rFonts w:ascii="Times New Roman" w:hAnsi="Times New Roman" w:cs="Times New Roman"/>
                <w:sz w:val="20"/>
                <w:szCs w:val="20"/>
              </w:rPr>
            </w:pPr>
            <w:r w:rsidRPr="00795C7D">
              <w:rPr>
                <w:rFonts w:ascii="Times New Roman" w:hAnsi="Times New Roman" w:cs="Times New Roman"/>
                <w:color w:val="000000"/>
                <w:sz w:val="20"/>
                <w:szCs w:val="20"/>
              </w:rPr>
              <w:t>55</w:t>
            </w:r>
          </w:p>
        </w:tc>
        <w:tc>
          <w:tcPr>
            <w:tcW w:w="1728" w:type="dxa"/>
          </w:tcPr>
          <w:p w14:paraId="7CEA9DEA" w14:textId="77777777" w:rsidR="002761CD" w:rsidRPr="00795C7D" w:rsidRDefault="002761CD" w:rsidP="00C10647">
            <w:pPr>
              <w:shd w:val="clear" w:color="auto" w:fill="FFFFFF"/>
              <w:ind w:right="53"/>
              <w:jc w:val="center"/>
              <w:rPr>
                <w:rFonts w:ascii="Times New Roman" w:hAnsi="Times New Roman" w:cs="Times New Roman"/>
                <w:sz w:val="20"/>
                <w:szCs w:val="20"/>
              </w:rPr>
            </w:pPr>
            <w:r w:rsidRPr="00795C7D">
              <w:rPr>
                <w:rFonts w:ascii="Times New Roman" w:hAnsi="Times New Roman" w:cs="Times New Roman"/>
                <w:color w:val="000000"/>
                <w:sz w:val="20"/>
                <w:szCs w:val="20"/>
              </w:rPr>
              <w:t>75</w:t>
            </w:r>
          </w:p>
        </w:tc>
      </w:tr>
      <w:tr w:rsidR="002761CD" w:rsidRPr="00795C7D" w14:paraId="0EBCFE5B" w14:textId="77777777" w:rsidTr="002761CD">
        <w:trPr>
          <w:trHeight w:hRule="exact" w:val="681"/>
        </w:trPr>
        <w:tc>
          <w:tcPr>
            <w:tcW w:w="2830" w:type="dxa"/>
            <w:vMerge w:val="restart"/>
          </w:tcPr>
          <w:p w14:paraId="0A7763A5" w14:textId="44FA4838" w:rsidR="002761CD" w:rsidRPr="00795C7D" w:rsidRDefault="002761CD"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pacing w:val="-1"/>
                <w:sz w:val="20"/>
                <w:szCs w:val="20"/>
              </w:rPr>
              <w:t>Yeni kamyonet ve kamyonların kaplanması</w:t>
            </w:r>
            <w:r>
              <w:rPr>
                <w:rFonts w:ascii="Times New Roman" w:hAnsi="Times New Roman" w:cs="Times New Roman"/>
                <w:color w:val="000000"/>
                <w:spacing w:val="-1"/>
                <w:sz w:val="20"/>
                <w:szCs w:val="20"/>
              </w:rPr>
              <w:t xml:space="preserve"> </w:t>
            </w:r>
            <w:r w:rsidRPr="00795C7D">
              <w:rPr>
                <w:rFonts w:ascii="Times New Roman" w:hAnsi="Times New Roman" w:cs="Times New Roman"/>
                <w:color w:val="000000"/>
                <w:spacing w:val="-1"/>
                <w:sz w:val="20"/>
                <w:szCs w:val="20"/>
              </w:rPr>
              <w:t>(&gt;</w:t>
            </w:r>
            <w:r>
              <w:rPr>
                <w:rFonts w:ascii="Times New Roman" w:hAnsi="Times New Roman" w:cs="Times New Roman"/>
                <w:color w:val="000000"/>
                <w:spacing w:val="-1"/>
                <w:sz w:val="20"/>
                <w:szCs w:val="20"/>
              </w:rPr>
              <w:t>15)</w:t>
            </w:r>
          </w:p>
        </w:tc>
        <w:tc>
          <w:tcPr>
            <w:tcW w:w="2268" w:type="dxa"/>
          </w:tcPr>
          <w:p w14:paraId="21366625" w14:textId="734257F5"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&lt; 2</w:t>
            </w:r>
            <w:r>
              <w:rPr>
                <w:rFonts w:ascii="Times New Roman" w:hAnsi="Times New Roman" w:cs="Times New Roman"/>
                <w:color w:val="000000"/>
                <w:sz w:val="20"/>
                <w:szCs w:val="20"/>
              </w:rPr>
              <w:t>5</w:t>
            </w:r>
            <w:r w:rsidRPr="00795C7D">
              <w:rPr>
                <w:rFonts w:ascii="Times New Roman" w:hAnsi="Times New Roman" w:cs="Times New Roman"/>
                <w:color w:val="000000"/>
                <w:sz w:val="20"/>
                <w:szCs w:val="20"/>
              </w:rPr>
              <w:t>00</w:t>
            </w:r>
          </w:p>
        </w:tc>
        <w:tc>
          <w:tcPr>
            <w:tcW w:w="1224" w:type="dxa"/>
          </w:tcPr>
          <w:p w14:paraId="3EF94B92"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90</w:t>
            </w:r>
          </w:p>
        </w:tc>
        <w:tc>
          <w:tcPr>
            <w:tcW w:w="1728" w:type="dxa"/>
          </w:tcPr>
          <w:p w14:paraId="7CD4E75E" w14:textId="77777777" w:rsidR="002761CD" w:rsidRPr="00795C7D" w:rsidRDefault="002761CD" w:rsidP="00C10647">
            <w:pPr>
              <w:shd w:val="clear" w:color="auto" w:fill="FFFFFF"/>
              <w:ind w:right="48"/>
              <w:jc w:val="center"/>
              <w:rPr>
                <w:rFonts w:ascii="Times New Roman" w:hAnsi="Times New Roman" w:cs="Times New Roman"/>
                <w:sz w:val="20"/>
                <w:szCs w:val="20"/>
              </w:rPr>
            </w:pPr>
            <w:r w:rsidRPr="00795C7D">
              <w:rPr>
                <w:rFonts w:ascii="Times New Roman" w:hAnsi="Times New Roman" w:cs="Times New Roman"/>
                <w:color w:val="000000"/>
                <w:sz w:val="20"/>
                <w:szCs w:val="20"/>
              </w:rPr>
              <w:t>120</w:t>
            </w:r>
          </w:p>
        </w:tc>
      </w:tr>
      <w:tr w:rsidR="002761CD" w:rsidRPr="00795C7D" w14:paraId="4B29904E" w14:textId="77777777" w:rsidTr="002761CD">
        <w:trPr>
          <w:trHeight w:hRule="exact" w:val="307"/>
        </w:trPr>
        <w:tc>
          <w:tcPr>
            <w:tcW w:w="2830" w:type="dxa"/>
            <w:vMerge/>
          </w:tcPr>
          <w:p w14:paraId="0376B09E" w14:textId="77777777" w:rsidR="002761CD" w:rsidRPr="00795C7D" w:rsidRDefault="002761CD" w:rsidP="00C10647">
            <w:pPr>
              <w:shd w:val="clear" w:color="auto" w:fill="FFFFFF"/>
              <w:rPr>
                <w:rFonts w:ascii="Times New Roman" w:hAnsi="Times New Roman" w:cs="Times New Roman"/>
                <w:sz w:val="20"/>
                <w:szCs w:val="20"/>
              </w:rPr>
            </w:pPr>
          </w:p>
        </w:tc>
        <w:tc>
          <w:tcPr>
            <w:tcW w:w="2268" w:type="dxa"/>
          </w:tcPr>
          <w:p w14:paraId="7B6262C7"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&gt; 2 500</w:t>
            </w:r>
          </w:p>
        </w:tc>
        <w:tc>
          <w:tcPr>
            <w:tcW w:w="1224" w:type="dxa"/>
          </w:tcPr>
          <w:p w14:paraId="08747424"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70</w:t>
            </w:r>
          </w:p>
        </w:tc>
        <w:tc>
          <w:tcPr>
            <w:tcW w:w="1728" w:type="dxa"/>
          </w:tcPr>
          <w:p w14:paraId="769848B0" w14:textId="77777777" w:rsidR="002761CD" w:rsidRPr="00795C7D" w:rsidRDefault="002761CD" w:rsidP="00C10647">
            <w:pPr>
              <w:shd w:val="clear" w:color="auto" w:fill="FFFFFF"/>
              <w:ind w:right="48"/>
              <w:jc w:val="center"/>
              <w:rPr>
                <w:rFonts w:ascii="Times New Roman" w:hAnsi="Times New Roman" w:cs="Times New Roman"/>
                <w:sz w:val="20"/>
                <w:szCs w:val="20"/>
              </w:rPr>
            </w:pPr>
            <w:r w:rsidRPr="00795C7D">
              <w:rPr>
                <w:rFonts w:ascii="Times New Roman" w:hAnsi="Times New Roman" w:cs="Times New Roman"/>
                <w:color w:val="000000"/>
                <w:sz w:val="20"/>
                <w:szCs w:val="20"/>
              </w:rPr>
              <w:t>90</w:t>
            </w:r>
          </w:p>
        </w:tc>
      </w:tr>
      <w:tr w:rsidR="002761CD" w:rsidRPr="00795C7D" w14:paraId="72CBEB22" w14:textId="77777777" w:rsidTr="002761CD">
        <w:trPr>
          <w:trHeight w:hRule="exact" w:val="649"/>
        </w:trPr>
        <w:tc>
          <w:tcPr>
            <w:tcW w:w="2830" w:type="dxa"/>
            <w:vMerge w:val="restart"/>
          </w:tcPr>
          <w:p w14:paraId="7FF1DD32" w14:textId="77777777" w:rsidR="002761CD" w:rsidRDefault="002761CD" w:rsidP="00C10647">
            <w:pPr>
              <w:shd w:val="clear" w:color="auto" w:fill="FFFFFF"/>
              <w:rPr>
                <w:rFonts w:ascii="Times New Roman" w:hAnsi="Times New Roman" w:cs="Times New Roman"/>
                <w:color w:val="000000"/>
                <w:spacing w:val="-1"/>
                <w:sz w:val="20"/>
                <w:szCs w:val="20"/>
              </w:rPr>
            </w:pPr>
            <w:r w:rsidRPr="00795C7D">
              <w:rPr>
                <w:rFonts w:ascii="Times New Roman" w:hAnsi="Times New Roman" w:cs="Times New Roman"/>
                <w:color w:val="000000"/>
                <w:spacing w:val="-1"/>
                <w:sz w:val="20"/>
                <w:szCs w:val="20"/>
              </w:rPr>
              <w:t>Yeni otobüslerin kaplanması</w:t>
            </w:r>
          </w:p>
          <w:p w14:paraId="1491F0A8" w14:textId="5B34496E" w:rsidR="002761CD" w:rsidRPr="00795C7D" w:rsidRDefault="002761CD" w:rsidP="00C10647">
            <w:pPr>
              <w:shd w:val="clear" w:color="auto" w:fill="FFFFFF"/>
              <w:rPr>
                <w:rFonts w:ascii="Times New Roman" w:hAnsi="Times New Roman" w:cs="Times New Roman"/>
                <w:sz w:val="20"/>
                <w:szCs w:val="20"/>
              </w:rPr>
            </w:pPr>
            <w:r w:rsidRPr="00795C7D">
              <w:rPr>
                <w:rFonts w:ascii="Times New Roman" w:hAnsi="Times New Roman" w:cs="Times New Roman"/>
                <w:color w:val="000000"/>
                <w:spacing w:val="-1"/>
                <w:sz w:val="20"/>
                <w:szCs w:val="20"/>
              </w:rPr>
              <w:t>(&gt; 15)</w:t>
            </w:r>
          </w:p>
        </w:tc>
        <w:tc>
          <w:tcPr>
            <w:tcW w:w="2268" w:type="dxa"/>
          </w:tcPr>
          <w:p w14:paraId="3DCA1B39"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&lt; 2 000</w:t>
            </w:r>
          </w:p>
        </w:tc>
        <w:tc>
          <w:tcPr>
            <w:tcW w:w="1224" w:type="dxa"/>
          </w:tcPr>
          <w:p w14:paraId="0D832A69"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210</w:t>
            </w:r>
          </w:p>
        </w:tc>
        <w:tc>
          <w:tcPr>
            <w:tcW w:w="1728" w:type="dxa"/>
          </w:tcPr>
          <w:p w14:paraId="7BFEA34E" w14:textId="77777777" w:rsidR="002761CD" w:rsidRPr="00795C7D" w:rsidRDefault="002761CD" w:rsidP="00C10647">
            <w:pPr>
              <w:shd w:val="clear" w:color="auto" w:fill="FFFFFF"/>
              <w:ind w:right="48"/>
              <w:jc w:val="center"/>
              <w:rPr>
                <w:rFonts w:ascii="Times New Roman" w:hAnsi="Times New Roman" w:cs="Times New Roman"/>
                <w:sz w:val="20"/>
                <w:szCs w:val="20"/>
              </w:rPr>
            </w:pPr>
            <w:r w:rsidRPr="00795C7D">
              <w:rPr>
                <w:rFonts w:ascii="Times New Roman" w:hAnsi="Times New Roman" w:cs="Times New Roman"/>
                <w:color w:val="000000"/>
                <w:sz w:val="20"/>
                <w:szCs w:val="20"/>
              </w:rPr>
              <w:t>290</w:t>
            </w:r>
          </w:p>
        </w:tc>
      </w:tr>
      <w:tr w:rsidR="002761CD" w:rsidRPr="00795C7D" w14:paraId="69105AD7" w14:textId="77777777" w:rsidTr="002761CD">
        <w:trPr>
          <w:trHeight w:hRule="exact" w:val="355"/>
        </w:trPr>
        <w:tc>
          <w:tcPr>
            <w:tcW w:w="2830" w:type="dxa"/>
            <w:vMerge/>
          </w:tcPr>
          <w:p w14:paraId="140864AD" w14:textId="77777777" w:rsidR="002761CD" w:rsidRPr="00795C7D" w:rsidRDefault="002761CD" w:rsidP="00C10647">
            <w:pPr>
              <w:shd w:val="clear" w:color="auto" w:fill="FFFFFF"/>
              <w:rPr>
                <w:rFonts w:ascii="Times New Roman" w:hAnsi="Times New Roman" w:cs="Times New Roman"/>
                <w:sz w:val="20"/>
                <w:szCs w:val="20"/>
              </w:rPr>
            </w:pPr>
          </w:p>
        </w:tc>
        <w:tc>
          <w:tcPr>
            <w:tcW w:w="2268" w:type="dxa"/>
          </w:tcPr>
          <w:p w14:paraId="210AF4ED"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&gt; 2 000</w:t>
            </w:r>
          </w:p>
        </w:tc>
        <w:tc>
          <w:tcPr>
            <w:tcW w:w="1224" w:type="dxa"/>
          </w:tcPr>
          <w:p w14:paraId="3C62E4CA" w14:textId="77777777" w:rsidR="002761CD" w:rsidRPr="00795C7D" w:rsidRDefault="002761CD" w:rsidP="00C10647">
            <w:pPr>
              <w:shd w:val="clear" w:color="auto" w:fill="FFFFFF"/>
              <w:ind w:right="19"/>
              <w:jc w:val="center"/>
              <w:rPr>
                <w:rFonts w:ascii="Times New Roman" w:hAnsi="Times New Roman" w:cs="Times New Roman"/>
                <w:sz w:val="20"/>
                <w:szCs w:val="20"/>
              </w:rPr>
            </w:pPr>
            <w:r w:rsidRPr="00795C7D">
              <w:rPr>
                <w:rFonts w:ascii="Times New Roman" w:hAnsi="Times New Roman" w:cs="Times New Roman"/>
                <w:color w:val="000000"/>
                <w:sz w:val="20"/>
                <w:szCs w:val="20"/>
              </w:rPr>
              <w:t>150</w:t>
            </w:r>
          </w:p>
        </w:tc>
        <w:tc>
          <w:tcPr>
            <w:tcW w:w="1728" w:type="dxa"/>
          </w:tcPr>
          <w:p w14:paraId="38EFF82B" w14:textId="77777777" w:rsidR="002761CD" w:rsidRPr="00795C7D" w:rsidRDefault="002761CD" w:rsidP="00C10647">
            <w:pPr>
              <w:shd w:val="clear" w:color="auto" w:fill="FFFFFF"/>
              <w:ind w:right="53"/>
              <w:jc w:val="center"/>
              <w:rPr>
                <w:rFonts w:ascii="Times New Roman" w:hAnsi="Times New Roman" w:cs="Times New Roman"/>
                <w:sz w:val="20"/>
                <w:szCs w:val="20"/>
              </w:rPr>
            </w:pPr>
            <w:r w:rsidRPr="00795C7D">
              <w:rPr>
                <w:rFonts w:ascii="Times New Roman" w:hAnsi="Times New Roman" w:cs="Times New Roman"/>
                <w:color w:val="000000"/>
                <w:sz w:val="20"/>
                <w:szCs w:val="20"/>
              </w:rPr>
              <w:t>225</w:t>
            </w:r>
          </w:p>
        </w:tc>
      </w:tr>
    </w:tbl>
    <w:p w14:paraId="3379E66A" w14:textId="32EF7818" w:rsidR="00070752" w:rsidRPr="00880206" w:rsidRDefault="00070752" w:rsidP="005D0C9A">
      <w:pPr>
        <w:shd w:val="clear" w:color="auto" w:fill="FFFFFF"/>
        <w:spacing w:line="240" w:lineRule="auto"/>
        <w:ind w:left="29"/>
        <w:rPr>
          <w:rFonts w:ascii="Times New Roman" w:hAnsi="Times New Roman" w:cs="Times New Roman"/>
          <w:sz w:val="24"/>
          <w:szCs w:val="24"/>
        </w:rPr>
      </w:pPr>
      <w:r w:rsidRPr="00880206">
        <w:rPr>
          <w:rFonts w:ascii="Times New Roman" w:hAnsi="Times New Roman" w:cs="Times New Roman"/>
          <w:color w:val="000000"/>
          <w:sz w:val="24"/>
          <w:szCs w:val="24"/>
        </w:rPr>
        <w:t>4.  Yukarıdaki tablodaki solvent tüketim sınırlarının altında kalan araç kaplama tesisleri araç ince tesviye sektörü için getirilen koşullara uyacaklardır.</w:t>
      </w:r>
    </w:p>
    <w:p w14:paraId="21BA1DCE" w14:textId="77777777" w:rsidR="005D0C9A" w:rsidRDefault="005D0C9A" w:rsidP="00070752">
      <w:pPr>
        <w:shd w:val="clear" w:color="auto" w:fill="FFFFFF"/>
        <w:spacing w:before="552" w:line="240" w:lineRule="auto"/>
        <w:ind w:left="38"/>
        <w:jc w:val="center"/>
        <w:rPr>
          <w:rFonts w:ascii="Times New Roman" w:hAnsi="Times New Roman" w:cs="Times New Roman"/>
          <w:i/>
          <w:iCs/>
          <w:color w:val="000000"/>
          <w:spacing w:val="-6"/>
          <w:sz w:val="24"/>
          <w:szCs w:val="24"/>
        </w:rPr>
      </w:pPr>
    </w:p>
    <w:p w14:paraId="382D5596" w14:textId="66B405AA" w:rsidR="00070752" w:rsidRPr="005D0C9A" w:rsidRDefault="00BD739A" w:rsidP="005D0C9A">
      <w:pPr>
        <w:shd w:val="clear" w:color="auto" w:fill="FFFFFF"/>
        <w:spacing w:before="552" w:line="240" w:lineRule="auto"/>
        <w:ind w:left="38"/>
        <w:jc w:val="center"/>
        <w:rPr>
          <w:rFonts w:ascii="Times New Roman" w:hAnsi="Times New Roman" w:cs="Times New Roman"/>
          <w:b/>
          <w:bCs/>
          <w:i/>
          <w:iCs/>
          <w:color w:val="000000"/>
          <w:spacing w:val="-6"/>
          <w:sz w:val="24"/>
          <w:szCs w:val="24"/>
        </w:rPr>
      </w:pPr>
      <w:r w:rsidRPr="005D0C9A">
        <w:rPr>
          <w:rFonts w:ascii="Times New Roman" w:hAnsi="Times New Roman" w:cs="Times New Roman"/>
          <w:b/>
          <w:bCs/>
          <w:i/>
          <w:iCs/>
          <w:color w:val="000000"/>
          <w:spacing w:val="-6"/>
          <w:sz w:val="24"/>
          <w:szCs w:val="24"/>
        </w:rPr>
        <w:lastRenderedPageBreak/>
        <w:t>Bölüm C-</w:t>
      </w:r>
      <w:r w:rsidR="005D0C9A" w:rsidRPr="005D0C9A">
        <w:rPr>
          <w:rFonts w:ascii="Times New Roman" w:hAnsi="Times New Roman" w:cs="Times New Roman"/>
          <w:b/>
          <w:bCs/>
          <w:i/>
          <w:iCs/>
          <w:color w:val="000000"/>
          <w:spacing w:val="-6"/>
          <w:sz w:val="24"/>
          <w:szCs w:val="24"/>
        </w:rPr>
        <w:t xml:space="preserve"> </w:t>
      </w:r>
      <w:r w:rsidR="00070752" w:rsidRPr="005D0C9A">
        <w:rPr>
          <w:rFonts w:ascii="Times New Roman" w:hAnsi="Times New Roman" w:cs="Times New Roman"/>
          <w:b/>
          <w:bCs/>
          <w:i/>
          <w:iCs/>
          <w:color w:val="000000"/>
          <w:spacing w:val="-6"/>
          <w:sz w:val="24"/>
          <w:szCs w:val="24"/>
        </w:rPr>
        <w:t>Özel risk şartlı uçucu organik bileşiklerin emisyon sınır değerleri</w:t>
      </w:r>
    </w:p>
    <w:p w14:paraId="3E393C9A" w14:textId="5281014B" w:rsidR="00070752" w:rsidRPr="00880206" w:rsidRDefault="00070752" w:rsidP="00070752">
      <w:pPr>
        <w:shd w:val="clear" w:color="auto" w:fill="FFFFFF"/>
        <w:spacing w:before="413" w:line="240" w:lineRule="auto"/>
        <w:ind w:left="29"/>
        <w:jc w:val="both"/>
        <w:rPr>
          <w:rFonts w:ascii="Times New Roman" w:hAnsi="Times New Roman" w:cs="Times New Roman"/>
          <w:sz w:val="24"/>
          <w:szCs w:val="24"/>
        </w:rPr>
      </w:pPr>
      <w:r w:rsidRPr="00880206">
        <w:rPr>
          <w:rFonts w:ascii="Times New Roman" w:hAnsi="Times New Roman" w:cs="Times New Roman"/>
          <w:color w:val="000000"/>
          <w:sz w:val="24"/>
          <w:szCs w:val="24"/>
        </w:rPr>
        <w:t xml:space="preserve">1. </w:t>
      </w:r>
      <w:r w:rsidRPr="003344B6">
        <w:rPr>
          <w:rFonts w:ascii="Times New Roman" w:hAnsi="Times New Roman" w:cs="Times New Roman"/>
          <w:color w:val="000000"/>
          <w:spacing w:val="-1"/>
          <w:sz w:val="24"/>
          <w:szCs w:val="24"/>
        </w:rPr>
        <w:t>E</w:t>
      </w:r>
      <w:r w:rsidR="00BC55E6" w:rsidRPr="003344B6">
        <w:rPr>
          <w:rFonts w:ascii="Times New Roman" w:hAnsi="Times New Roman" w:cs="Times New Roman"/>
          <w:color w:val="000000"/>
          <w:spacing w:val="-1"/>
          <w:sz w:val="24"/>
          <w:szCs w:val="24"/>
        </w:rPr>
        <w:t>k 11 tehlikeli maddelerin ikamesi</w:t>
      </w:r>
      <w:r w:rsidR="00BC55E6" w:rsidRPr="003344B6">
        <w:rPr>
          <w:rFonts w:ascii="Times New Roman" w:hAnsi="Times New Roman" w:cs="Times New Roman"/>
          <w:color w:val="000000"/>
          <w:sz w:val="24"/>
          <w:szCs w:val="24"/>
        </w:rPr>
        <w:t xml:space="preserve"> </w:t>
      </w:r>
      <w:r w:rsidR="003344B6" w:rsidRPr="003344B6">
        <w:rPr>
          <w:rFonts w:ascii="Times New Roman" w:hAnsi="Times New Roman" w:cs="Times New Roman"/>
          <w:color w:val="000000"/>
          <w:sz w:val="24"/>
          <w:szCs w:val="24"/>
        </w:rPr>
        <w:t>h</w:t>
      </w:r>
      <w:r w:rsidRPr="003344B6">
        <w:rPr>
          <w:rFonts w:ascii="Times New Roman" w:hAnsi="Times New Roman" w:cs="Times New Roman"/>
          <w:color w:val="000000"/>
          <w:sz w:val="24"/>
          <w:szCs w:val="24"/>
        </w:rPr>
        <w:t>ükmünde belirtilen uçucu organik bileşikler için emisyonlar bu maddede yer verilen</w:t>
      </w:r>
      <w:r w:rsidRPr="00880206">
        <w:rPr>
          <w:rFonts w:ascii="Times New Roman" w:hAnsi="Times New Roman" w:cs="Times New Roman"/>
          <w:color w:val="000000"/>
          <w:sz w:val="24"/>
          <w:szCs w:val="24"/>
        </w:rPr>
        <w:t xml:space="preserve"> ibarelerle ilgili bileşiklerin </w:t>
      </w:r>
      <w:r w:rsidRPr="00880206">
        <w:rPr>
          <w:rFonts w:ascii="Times New Roman" w:hAnsi="Times New Roman" w:cs="Times New Roman"/>
          <w:color w:val="000000"/>
          <w:spacing w:val="-7"/>
          <w:sz w:val="24"/>
          <w:szCs w:val="24"/>
        </w:rPr>
        <w:t>toplamının kütle akışının 10 g/h değerine eşit veya bu değerden daha yüksek olduğu hallerde 2 mg/Nm</w:t>
      </w:r>
      <w:r w:rsidRPr="00880206">
        <w:rPr>
          <w:rFonts w:ascii="Times New Roman" w:hAnsi="Times New Roman" w:cs="Times New Roman"/>
          <w:color w:val="000000"/>
          <w:sz w:val="24"/>
          <w:szCs w:val="24"/>
          <w:vertAlign w:val="superscript"/>
        </w:rPr>
        <w:t>3</w:t>
      </w:r>
      <w:r w:rsidRPr="00880206">
        <w:rPr>
          <w:rFonts w:ascii="Times New Roman" w:hAnsi="Times New Roman" w:cs="Times New Roman"/>
          <w:color w:val="000000"/>
          <w:sz w:val="24"/>
          <w:szCs w:val="24"/>
        </w:rPr>
        <w:t xml:space="preserve"> emisyon sınır </w:t>
      </w:r>
      <w:r w:rsidRPr="00880206">
        <w:rPr>
          <w:rFonts w:ascii="Times New Roman" w:hAnsi="Times New Roman" w:cs="Times New Roman"/>
          <w:color w:val="000000"/>
          <w:spacing w:val="-1"/>
          <w:sz w:val="24"/>
          <w:szCs w:val="24"/>
        </w:rPr>
        <w:t xml:space="preserve">değerine uyulması gerekir. Emisyon sınır değeri tekil bileşiklerin </w:t>
      </w:r>
      <w:r w:rsidR="00BD3D64">
        <w:rPr>
          <w:rFonts w:ascii="Times New Roman" w:hAnsi="Times New Roman" w:cs="Times New Roman"/>
          <w:color w:val="000000"/>
          <w:spacing w:val="-1"/>
          <w:sz w:val="24"/>
          <w:szCs w:val="24"/>
        </w:rPr>
        <w:t>kütle</w:t>
      </w:r>
      <w:r w:rsidRPr="00880206">
        <w:rPr>
          <w:rFonts w:ascii="Times New Roman" w:hAnsi="Times New Roman" w:cs="Times New Roman"/>
          <w:color w:val="000000"/>
          <w:spacing w:val="-1"/>
          <w:sz w:val="24"/>
          <w:szCs w:val="24"/>
        </w:rPr>
        <w:t xml:space="preserve"> toplamı anlamına gelmektedir.</w:t>
      </w:r>
    </w:p>
    <w:p w14:paraId="34D6A302" w14:textId="77777777" w:rsidR="00070752" w:rsidRPr="00880206" w:rsidRDefault="00070752" w:rsidP="00070752">
      <w:pPr>
        <w:shd w:val="clear" w:color="auto" w:fill="FFFFFF"/>
        <w:spacing w:before="413" w:line="240" w:lineRule="auto"/>
        <w:ind w:left="29"/>
        <w:jc w:val="both"/>
        <w:rPr>
          <w:rFonts w:ascii="Times New Roman" w:hAnsi="Times New Roman" w:cs="Times New Roman"/>
          <w:sz w:val="24"/>
          <w:szCs w:val="24"/>
        </w:rPr>
        <w:sectPr w:rsidR="00070752" w:rsidRPr="00880206" w:rsidSect="00070752">
          <w:pgSz w:w="11909" w:h="16834" w:orient="landscape"/>
          <w:pgMar w:top="1052" w:right="1901" w:bottom="360" w:left="1858" w:header="708" w:footer="708" w:gutter="0"/>
          <w:cols w:space="60"/>
          <w:noEndnote/>
        </w:sectPr>
      </w:pPr>
    </w:p>
    <w:p w14:paraId="29384D02" w14:textId="12CD3B6A" w:rsidR="00070752" w:rsidRPr="00880206" w:rsidRDefault="00070752" w:rsidP="005D0C9A">
      <w:pPr>
        <w:shd w:val="clear" w:color="auto" w:fill="FFFFFF"/>
        <w:spacing w:line="240" w:lineRule="auto"/>
        <w:ind w:left="29" w:right="1258"/>
        <w:jc w:val="both"/>
        <w:rPr>
          <w:rFonts w:ascii="Times New Roman" w:hAnsi="Times New Roman" w:cs="Times New Roman"/>
          <w:sz w:val="24"/>
          <w:szCs w:val="24"/>
        </w:rPr>
      </w:pPr>
      <w:r w:rsidRPr="00880206">
        <w:rPr>
          <w:rFonts w:ascii="Times New Roman" w:hAnsi="Times New Roman" w:cs="Times New Roman"/>
          <w:color w:val="000000"/>
          <w:sz w:val="24"/>
          <w:szCs w:val="24"/>
        </w:rPr>
        <w:t xml:space="preserve">2. H341 veya H351 tehlike ibarelerini taşıması gereken halojenize uçucu organik bileşik emisyonların için H341 veya H351 </w:t>
      </w:r>
      <w:r w:rsidRPr="00880206">
        <w:rPr>
          <w:rFonts w:ascii="Times New Roman" w:hAnsi="Times New Roman" w:cs="Times New Roman"/>
          <w:color w:val="000000"/>
          <w:spacing w:val="-4"/>
          <w:sz w:val="24"/>
          <w:szCs w:val="24"/>
        </w:rPr>
        <w:t xml:space="preserve">tehlike ibareleriyle ilgili bileşiklerin toplamının </w:t>
      </w:r>
      <w:r w:rsidR="00BD3D64">
        <w:rPr>
          <w:rFonts w:ascii="Times New Roman" w:hAnsi="Times New Roman" w:cs="Times New Roman"/>
          <w:color w:val="000000"/>
          <w:spacing w:val="-1"/>
          <w:sz w:val="24"/>
          <w:szCs w:val="24"/>
        </w:rPr>
        <w:t>kütle</w:t>
      </w:r>
      <w:r w:rsidR="00BD3D64" w:rsidRPr="00880206">
        <w:rPr>
          <w:rFonts w:ascii="Times New Roman" w:hAnsi="Times New Roman" w:cs="Times New Roman"/>
          <w:color w:val="000000"/>
          <w:spacing w:val="-1"/>
          <w:sz w:val="24"/>
          <w:szCs w:val="24"/>
        </w:rPr>
        <w:t xml:space="preserve"> </w:t>
      </w:r>
      <w:r w:rsidRPr="00880206">
        <w:rPr>
          <w:rFonts w:ascii="Times New Roman" w:hAnsi="Times New Roman" w:cs="Times New Roman"/>
          <w:color w:val="000000"/>
          <w:spacing w:val="-4"/>
          <w:sz w:val="24"/>
          <w:szCs w:val="24"/>
        </w:rPr>
        <w:t>akışı 100 g/h değerine eşitse veya bu değerden yüksekse 20 mg/Nm</w:t>
      </w:r>
      <w:r w:rsidRPr="00880206">
        <w:rPr>
          <w:rFonts w:ascii="Times New Roman" w:hAnsi="Times New Roman" w:cs="Times New Roman"/>
          <w:color w:val="000000"/>
          <w:sz w:val="24"/>
          <w:szCs w:val="24"/>
          <w:vertAlign w:val="superscript"/>
        </w:rPr>
        <w:t xml:space="preserve">3 </w:t>
      </w:r>
      <w:r w:rsidRPr="00880206">
        <w:rPr>
          <w:rFonts w:ascii="Times New Roman" w:hAnsi="Times New Roman" w:cs="Times New Roman"/>
          <w:color w:val="000000"/>
          <w:sz w:val="24"/>
          <w:szCs w:val="24"/>
        </w:rPr>
        <w:t xml:space="preserve">emisyon sınır değerine uyulması gerekir. Emisyon sınır değeri tekil bileşiklerin </w:t>
      </w:r>
      <w:r w:rsidR="00BD3D64">
        <w:rPr>
          <w:rFonts w:ascii="Times New Roman" w:hAnsi="Times New Roman" w:cs="Times New Roman"/>
          <w:color w:val="000000"/>
          <w:spacing w:val="-1"/>
          <w:sz w:val="24"/>
          <w:szCs w:val="24"/>
        </w:rPr>
        <w:t>kütle</w:t>
      </w:r>
      <w:r w:rsidR="00BD3D64" w:rsidRPr="00880206">
        <w:rPr>
          <w:rFonts w:ascii="Times New Roman" w:hAnsi="Times New Roman" w:cs="Times New Roman"/>
          <w:color w:val="000000"/>
          <w:spacing w:val="-1"/>
          <w:sz w:val="24"/>
          <w:szCs w:val="24"/>
        </w:rPr>
        <w:t xml:space="preserve"> </w:t>
      </w:r>
      <w:r w:rsidRPr="00880206">
        <w:rPr>
          <w:rFonts w:ascii="Times New Roman" w:hAnsi="Times New Roman" w:cs="Times New Roman"/>
          <w:color w:val="000000"/>
          <w:sz w:val="24"/>
          <w:szCs w:val="24"/>
        </w:rPr>
        <w:t>toplamı anlamına gelmektedir.</w:t>
      </w:r>
    </w:p>
    <w:p w14:paraId="418FA6E3" w14:textId="09B53A28" w:rsidR="00070752" w:rsidRPr="005D0C9A" w:rsidRDefault="00BD739A" w:rsidP="005D0C9A">
      <w:pPr>
        <w:shd w:val="clear" w:color="auto" w:fill="FFFFFF"/>
        <w:spacing w:before="442" w:line="240" w:lineRule="auto"/>
        <w:ind w:right="1224"/>
        <w:jc w:val="center"/>
        <w:rPr>
          <w:rFonts w:ascii="Times New Roman" w:hAnsi="Times New Roman" w:cs="Times New Roman"/>
          <w:b/>
          <w:bCs/>
          <w:sz w:val="24"/>
          <w:szCs w:val="24"/>
        </w:rPr>
      </w:pPr>
      <w:r w:rsidRPr="005D0C9A">
        <w:rPr>
          <w:rFonts w:ascii="Times New Roman" w:hAnsi="Times New Roman" w:cs="Times New Roman"/>
          <w:b/>
          <w:bCs/>
          <w:i/>
          <w:iCs/>
          <w:color w:val="000000"/>
          <w:spacing w:val="-8"/>
          <w:sz w:val="24"/>
          <w:szCs w:val="24"/>
        </w:rPr>
        <w:t>Bölüm D-</w:t>
      </w:r>
      <w:r w:rsidR="005D0C9A" w:rsidRPr="005D0C9A">
        <w:rPr>
          <w:rFonts w:ascii="Times New Roman" w:hAnsi="Times New Roman" w:cs="Times New Roman"/>
          <w:b/>
          <w:bCs/>
          <w:i/>
          <w:iCs/>
          <w:color w:val="000000"/>
          <w:spacing w:val="-8"/>
          <w:sz w:val="24"/>
          <w:szCs w:val="24"/>
        </w:rPr>
        <w:t xml:space="preserve"> </w:t>
      </w:r>
      <w:r w:rsidR="00070752" w:rsidRPr="005D0C9A">
        <w:rPr>
          <w:rFonts w:ascii="Times New Roman" w:hAnsi="Times New Roman" w:cs="Times New Roman"/>
          <w:b/>
          <w:bCs/>
          <w:i/>
          <w:iCs/>
          <w:color w:val="000000"/>
          <w:spacing w:val="-8"/>
          <w:sz w:val="24"/>
          <w:szCs w:val="24"/>
        </w:rPr>
        <w:t>Azaltma planı</w:t>
      </w:r>
    </w:p>
    <w:p w14:paraId="3F021A9F" w14:textId="5537C859" w:rsidR="00070752" w:rsidRPr="00880206" w:rsidRDefault="00070752" w:rsidP="005D0C9A">
      <w:pPr>
        <w:shd w:val="clear" w:color="auto" w:fill="FFFFFF"/>
        <w:spacing w:line="240" w:lineRule="auto"/>
        <w:ind w:left="48" w:right="468"/>
        <w:rPr>
          <w:rFonts w:ascii="Times New Roman" w:hAnsi="Times New Roman" w:cs="Times New Roman"/>
          <w:sz w:val="24"/>
          <w:szCs w:val="24"/>
        </w:rPr>
      </w:pPr>
      <w:r w:rsidRPr="00880206">
        <w:rPr>
          <w:rFonts w:ascii="Times New Roman" w:hAnsi="Times New Roman" w:cs="Times New Roman"/>
          <w:color w:val="000000"/>
          <w:spacing w:val="-1"/>
          <w:sz w:val="24"/>
          <w:szCs w:val="24"/>
        </w:rPr>
        <w:t>1</w:t>
      </w:r>
      <w:r w:rsidR="005D0C9A">
        <w:rPr>
          <w:rFonts w:ascii="Times New Roman" w:hAnsi="Times New Roman" w:cs="Times New Roman"/>
          <w:color w:val="000000"/>
          <w:spacing w:val="-1"/>
          <w:sz w:val="24"/>
          <w:szCs w:val="24"/>
        </w:rPr>
        <w:t>.</w:t>
      </w:r>
      <w:r w:rsidRPr="00880206">
        <w:rPr>
          <w:rFonts w:ascii="Times New Roman" w:hAnsi="Times New Roman" w:cs="Times New Roman"/>
          <w:color w:val="000000"/>
          <w:spacing w:val="-1"/>
          <w:sz w:val="24"/>
          <w:szCs w:val="24"/>
        </w:rPr>
        <w:t>İşletmeci tesisi için tasarlanmış olmak üzere herhangi bir azaltma planını benimseyebilir.</w:t>
      </w:r>
    </w:p>
    <w:p w14:paraId="4EC41C87" w14:textId="2A07B52B" w:rsidR="00070752" w:rsidRPr="00880206" w:rsidRDefault="00070752" w:rsidP="005D0C9A">
      <w:pPr>
        <w:shd w:val="clear" w:color="auto" w:fill="FFFFFF"/>
        <w:spacing w:line="240" w:lineRule="auto"/>
        <w:ind w:left="29" w:right="468"/>
        <w:jc w:val="both"/>
        <w:rPr>
          <w:rFonts w:ascii="Times New Roman" w:hAnsi="Times New Roman" w:cs="Times New Roman"/>
          <w:sz w:val="24"/>
          <w:szCs w:val="24"/>
        </w:rPr>
      </w:pPr>
      <w:r w:rsidRPr="00880206">
        <w:rPr>
          <w:rFonts w:ascii="Times New Roman" w:hAnsi="Times New Roman" w:cs="Times New Roman"/>
          <w:color w:val="000000"/>
          <w:sz w:val="24"/>
          <w:szCs w:val="24"/>
        </w:rPr>
        <w:t>2</w:t>
      </w:r>
      <w:r w:rsidR="005D0C9A">
        <w:rPr>
          <w:rFonts w:ascii="Times New Roman" w:hAnsi="Times New Roman" w:cs="Times New Roman"/>
          <w:color w:val="000000"/>
          <w:sz w:val="24"/>
          <w:szCs w:val="24"/>
        </w:rPr>
        <w:t>.</w:t>
      </w:r>
      <w:r w:rsidRPr="00880206">
        <w:rPr>
          <w:rFonts w:ascii="Times New Roman" w:hAnsi="Times New Roman" w:cs="Times New Roman"/>
          <w:color w:val="000000"/>
          <w:sz w:val="24"/>
          <w:szCs w:val="24"/>
        </w:rPr>
        <w:t xml:space="preserve"> Kaplama malzemeleri, cilalar, yapıştırıcılar veya mürekkeplerin tatbik edilmesinde aşağıdaki plan uygulanabilir Bu yöntemin uygun olmaması halinde </w:t>
      </w:r>
      <w:r w:rsidR="00BD3D64">
        <w:rPr>
          <w:rFonts w:ascii="Times New Roman" w:hAnsi="Times New Roman" w:cs="Times New Roman"/>
          <w:color w:val="000000"/>
          <w:sz w:val="24"/>
          <w:szCs w:val="24"/>
        </w:rPr>
        <w:t>Bakanlık</w:t>
      </w:r>
      <w:r w:rsidRPr="00880206">
        <w:rPr>
          <w:rFonts w:ascii="Times New Roman" w:hAnsi="Times New Roman" w:cs="Times New Roman"/>
          <w:color w:val="000000"/>
          <w:sz w:val="24"/>
          <w:szCs w:val="24"/>
        </w:rPr>
        <w:t xml:space="preserve"> işletmeciye </w:t>
      </w:r>
      <w:r w:rsidR="00BD3D64">
        <w:rPr>
          <w:rFonts w:ascii="Times New Roman" w:hAnsi="Times New Roman" w:cs="Times New Roman"/>
          <w:color w:val="000000"/>
          <w:sz w:val="24"/>
          <w:szCs w:val="24"/>
        </w:rPr>
        <w:t>Bölüm A ve B’d</w:t>
      </w:r>
      <w:r w:rsidRPr="00880206">
        <w:rPr>
          <w:rFonts w:ascii="Times New Roman" w:hAnsi="Times New Roman" w:cs="Times New Roman"/>
          <w:color w:val="000000"/>
          <w:sz w:val="24"/>
          <w:szCs w:val="24"/>
        </w:rPr>
        <w:t xml:space="preserve">e yer alan emisyon sınır değerlerine uyulması halinde elde edilecek olan emisyon azaltmasına eşdeğer azaltma elde edecek alternatif azaltma planı uygulaması için izin verebilir Plan oluşturulurken </w:t>
      </w:r>
      <w:r w:rsidRPr="00880206">
        <w:rPr>
          <w:rFonts w:ascii="Times New Roman" w:hAnsi="Times New Roman" w:cs="Times New Roman"/>
          <w:b/>
          <w:bCs/>
          <w:color w:val="000000"/>
          <w:sz w:val="24"/>
          <w:szCs w:val="24"/>
        </w:rPr>
        <w:t>ş</w:t>
      </w:r>
      <w:r w:rsidRPr="00880206">
        <w:rPr>
          <w:rFonts w:ascii="Times New Roman" w:hAnsi="Times New Roman" w:cs="Times New Roman"/>
          <w:color w:val="000000"/>
          <w:sz w:val="24"/>
          <w:szCs w:val="24"/>
        </w:rPr>
        <w:t>u hususlar gözönünde tutulmuş olmalıdır</w:t>
      </w:r>
      <w:r w:rsidR="005D0C9A">
        <w:rPr>
          <w:rFonts w:ascii="Times New Roman" w:hAnsi="Times New Roman" w:cs="Times New Roman"/>
          <w:color w:val="000000"/>
          <w:sz w:val="24"/>
          <w:szCs w:val="24"/>
        </w:rPr>
        <w:t>.</w:t>
      </w:r>
    </w:p>
    <w:p w14:paraId="54874DEB" w14:textId="061BAAC3" w:rsidR="00070752" w:rsidRPr="00880206" w:rsidRDefault="00070752" w:rsidP="005D0C9A">
      <w:pPr>
        <w:shd w:val="clear" w:color="auto" w:fill="FFFFFF"/>
        <w:tabs>
          <w:tab w:val="left" w:pos="610"/>
        </w:tabs>
        <w:spacing w:line="240" w:lineRule="auto"/>
        <w:ind w:left="29" w:right="468"/>
        <w:rPr>
          <w:rFonts w:ascii="Times New Roman" w:hAnsi="Times New Roman" w:cs="Times New Roman"/>
          <w:sz w:val="24"/>
          <w:szCs w:val="24"/>
        </w:rPr>
      </w:pPr>
      <w:r w:rsidRPr="00880206">
        <w:rPr>
          <w:rFonts w:ascii="Times New Roman" w:hAnsi="Times New Roman" w:cs="Times New Roman"/>
          <w:color w:val="000000"/>
          <w:spacing w:val="-11"/>
          <w:sz w:val="24"/>
          <w:szCs w:val="24"/>
        </w:rPr>
        <w:t>(a)</w:t>
      </w:r>
      <w:r w:rsidR="005D0C9A">
        <w:rPr>
          <w:rFonts w:ascii="Times New Roman" w:hAnsi="Times New Roman" w:cs="Times New Roman"/>
          <w:color w:val="000000"/>
          <w:spacing w:val="-11"/>
          <w:sz w:val="24"/>
          <w:szCs w:val="24"/>
        </w:rPr>
        <w:t xml:space="preserve"> </w:t>
      </w:r>
      <w:r w:rsidRPr="00880206">
        <w:rPr>
          <w:rFonts w:ascii="Times New Roman" w:hAnsi="Times New Roman" w:cs="Times New Roman"/>
          <w:color w:val="000000"/>
          <w:spacing w:val="-2"/>
          <w:sz w:val="24"/>
          <w:szCs w:val="24"/>
        </w:rPr>
        <w:t xml:space="preserve">Az solvent içeren veya hiç solvent içermeyen ikame maddeler halen geliştirme aşamasında ise işletmeciye emisyon </w:t>
      </w:r>
      <w:r w:rsidRPr="00880206">
        <w:rPr>
          <w:rFonts w:ascii="Times New Roman" w:hAnsi="Times New Roman" w:cs="Times New Roman"/>
          <w:color w:val="000000"/>
          <w:sz w:val="24"/>
          <w:szCs w:val="24"/>
        </w:rPr>
        <w:t>azaltma planlarını hayata geçirebilmesi için süre uzatma verilecektir,</w:t>
      </w:r>
    </w:p>
    <w:p w14:paraId="65C51945" w14:textId="6E72B6B4" w:rsidR="00070752" w:rsidRPr="00880206" w:rsidRDefault="00070752" w:rsidP="005D0C9A">
      <w:pPr>
        <w:shd w:val="clear" w:color="auto" w:fill="FFFFFF"/>
        <w:tabs>
          <w:tab w:val="left" w:pos="610"/>
        </w:tabs>
        <w:spacing w:line="240" w:lineRule="auto"/>
        <w:ind w:left="29" w:right="468"/>
        <w:rPr>
          <w:rFonts w:ascii="Times New Roman" w:hAnsi="Times New Roman" w:cs="Times New Roman"/>
          <w:sz w:val="24"/>
          <w:szCs w:val="24"/>
        </w:rPr>
      </w:pPr>
      <w:r w:rsidRPr="00880206">
        <w:rPr>
          <w:rFonts w:ascii="Times New Roman" w:hAnsi="Times New Roman" w:cs="Times New Roman"/>
          <w:color w:val="000000"/>
          <w:spacing w:val="-10"/>
          <w:sz w:val="24"/>
          <w:szCs w:val="24"/>
        </w:rPr>
        <w:t>(b)</w:t>
      </w:r>
      <w:r w:rsidR="005D0C9A">
        <w:rPr>
          <w:rFonts w:ascii="Times New Roman" w:hAnsi="Times New Roman" w:cs="Times New Roman"/>
          <w:color w:val="000000"/>
          <w:spacing w:val="-10"/>
          <w:sz w:val="24"/>
          <w:szCs w:val="24"/>
        </w:rPr>
        <w:t xml:space="preserve"> </w:t>
      </w:r>
      <w:r w:rsidRPr="00880206">
        <w:rPr>
          <w:rFonts w:ascii="Times New Roman" w:hAnsi="Times New Roman" w:cs="Times New Roman"/>
          <w:color w:val="000000"/>
          <w:spacing w:val="-1"/>
          <w:sz w:val="24"/>
          <w:szCs w:val="24"/>
        </w:rPr>
        <w:t xml:space="preserve">Emisyon azaltma için referans noktaları herhangi bir azaltma girişiminde bulunulmasaydı ortaya çıkacak olan emisyonlara </w:t>
      </w:r>
      <w:r w:rsidRPr="00880206">
        <w:rPr>
          <w:rFonts w:ascii="Times New Roman" w:hAnsi="Times New Roman" w:cs="Times New Roman"/>
          <w:color w:val="000000"/>
          <w:sz w:val="24"/>
          <w:szCs w:val="24"/>
        </w:rPr>
        <w:t>mümkün olduğunca yakın olmalıdır.</w:t>
      </w:r>
    </w:p>
    <w:p w14:paraId="5567514B" w14:textId="6A48CE35" w:rsidR="00070752" w:rsidRPr="00880206" w:rsidRDefault="00070752" w:rsidP="005D0C9A">
      <w:pPr>
        <w:shd w:val="clear" w:color="auto" w:fill="FFFFFF"/>
        <w:spacing w:line="240" w:lineRule="auto"/>
        <w:ind w:left="29" w:right="468"/>
        <w:rPr>
          <w:rFonts w:ascii="Times New Roman" w:hAnsi="Times New Roman" w:cs="Times New Roman"/>
          <w:sz w:val="24"/>
          <w:szCs w:val="24"/>
        </w:rPr>
      </w:pPr>
      <w:r w:rsidRPr="00880206">
        <w:rPr>
          <w:rFonts w:ascii="Times New Roman" w:hAnsi="Times New Roman" w:cs="Times New Roman"/>
          <w:color w:val="000000"/>
          <w:spacing w:val="-3"/>
          <w:sz w:val="24"/>
          <w:szCs w:val="24"/>
        </w:rPr>
        <w:t>3. Ürünün durağan katı içeriğe sahip olduğu varsayılan tesisler için aşağıdaki plan uygulanacaktır:</w:t>
      </w:r>
    </w:p>
    <w:p w14:paraId="77A6934B" w14:textId="3DA242F0" w:rsidR="00070752" w:rsidRPr="00880206" w:rsidRDefault="00070752" w:rsidP="005D0C9A">
      <w:pPr>
        <w:shd w:val="clear" w:color="auto" w:fill="FFFFFF"/>
        <w:spacing w:line="240" w:lineRule="auto"/>
        <w:ind w:left="34" w:right="468"/>
        <w:rPr>
          <w:rFonts w:ascii="Times New Roman" w:hAnsi="Times New Roman" w:cs="Times New Roman"/>
          <w:sz w:val="24"/>
          <w:szCs w:val="24"/>
        </w:rPr>
      </w:pPr>
      <w:r w:rsidRPr="00880206">
        <w:rPr>
          <w:rFonts w:ascii="Times New Roman" w:hAnsi="Times New Roman" w:cs="Times New Roman"/>
          <w:color w:val="000000"/>
          <w:spacing w:val="-1"/>
          <w:sz w:val="24"/>
          <w:szCs w:val="24"/>
        </w:rPr>
        <w:t>(a) Yıllık referans emisyon şöyle hesaplanır</w:t>
      </w:r>
      <w:r w:rsidR="005D0C9A">
        <w:rPr>
          <w:rFonts w:ascii="Times New Roman" w:hAnsi="Times New Roman" w:cs="Times New Roman"/>
          <w:color w:val="000000"/>
          <w:spacing w:val="-1"/>
          <w:sz w:val="24"/>
          <w:szCs w:val="24"/>
        </w:rPr>
        <w:t>:</w:t>
      </w:r>
    </w:p>
    <w:p w14:paraId="4C6D9769" w14:textId="77777777" w:rsidR="00070752" w:rsidRPr="00880206" w:rsidRDefault="00070752" w:rsidP="005D0C9A">
      <w:pPr>
        <w:shd w:val="clear" w:color="auto" w:fill="FFFFFF"/>
        <w:spacing w:line="240" w:lineRule="auto"/>
        <w:ind w:left="29" w:right="468"/>
        <w:jc w:val="both"/>
        <w:rPr>
          <w:rFonts w:ascii="Times New Roman" w:hAnsi="Times New Roman" w:cs="Times New Roman"/>
          <w:sz w:val="24"/>
          <w:szCs w:val="24"/>
        </w:rPr>
      </w:pPr>
      <w:r w:rsidRPr="00880206">
        <w:rPr>
          <w:rFonts w:ascii="Times New Roman" w:hAnsi="Times New Roman" w:cs="Times New Roman"/>
          <w:color w:val="000000"/>
          <w:spacing w:val="-1"/>
          <w:sz w:val="24"/>
          <w:szCs w:val="24"/>
        </w:rPr>
        <w:t xml:space="preserve">(i) Bir yılda tüketilen kaplama malzemesi ve/veya mürekkep, cila veya yapıştırıcılar içinde katı maddelerin miktarı belirlenir. Katı maddeler kaplama malzemeleri, mürekkepler, cilalar ve yapıştırıcılarda bulunup su veya uçucu organik bileşikler </w:t>
      </w:r>
      <w:r w:rsidRPr="00880206">
        <w:rPr>
          <w:rFonts w:ascii="Times New Roman" w:hAnsi="Times New Roman" w:cs="Times New Roman"/>
          <w:color w:val="000000"/>
          <w:sz w:val="24"/>
          <w:szCs w:val="24"/>
        </w:rPr>
        <w:t>buharlaştırıldığında katı hal alan materyallerdir.</w:t>
      </w:r>
    </w:p>
    <w:p w14:paraId="23567807" w14:textId="35838050" w:rsidR="00070752" w:rsidRPr="00880206" w:rsidRDefault="00070752" w:rsidP="005D0C9A">
      <w:pPr>
        <w:shd w:val="clear" w:color="auto" w:fill="FFFFFF"/>
        <w:spacing w:line="240" w:lineRule="auto"/>
        <w:ind w:left="29" w:right="468"/>
        <w:jc w:val="both"/>
        <w:rPr>
          <w:rFonts w:ascii="Times New Roman" w:hAnsi="Times New Roman" w:cs="Times New Roman"/>
          <w:sz w:val="24"/>
          <w:szCs w:val="24"/>
        </w:rPr>
      </w:pPr>
      <w:r w:rsidRPr="00880206">
        <w:rPr>
          <w:rFonts w:ascii="Times New Roman" w:hAnsi="Times New Roman" w:cs="Times New Roman"/>
          <w:color w:val="000000"/>
          <w:sz w:val="24"/>
          <w:szCs w:val="24"/>
        </w:rPr>
        <w:t xml:space="preserve">(ii) Yıllık referans emisyonlar (i) hükmünde belirtilen kütlenin aşağıdaki tabloda yer alan uygun faktörle çarpılması sonucunda </w:t>
      </w:r>
      <w:r w:rsidRPr="00880206">
        <w:rPr>
          <w:rFonts w:ascii="Times New Roman" w:hAnsi="Times New Roman" w:cs="Times New Roman"/>
          <w:color w:val="000000"/>
          <w:spacing w:val="-1"/>
          <w:sz w:val="24"/>
          <w:szCs w:val="24"/>
        </w:rPr>
        <w:t xml:space="preserve">elde edilir. </w:t>
      </w:r>
      <w:r w:rsidR="00BD3D64">
        <w:rPr>
          <w:rFonts w:ascii="Times New Roman" w:hAnsi="Times New Roman" w:cs="Times New Roman"/>
          <w:color w:val="000000"/>
          <w:spacing w:val="-1"/>
          <w:sz w:val="24"/>
          <w:szCs w:val="24"/>
        </w:rPr>
        <w:t xml:space="preserve">Bakanlık </w:t>
      </w:r>
      <w:r w:rsidRPr="00880206">
        <w:rPr>
          <w:rFonts w:ascii="Times New Roman" w:hAnsi="Times New Roman" w:cs="Times New Roman"/>
          <w:color w:val="000000"/>
          <w:spacing w:val="-1"/>
          <w:sz w:val="24"/>
          <w:szCs w:val="24"/>
        </w:rPr>
        <w:t xml:space="preserve">bu faktörlerde katı madde kullanımında belgelenmiş verimlilik artışını yansıtacak şekilde </w:t>
      </w:r>
      <w:r w:rsidRPr="00880206">
        <w:rPr>
          <w:rFonts w:ascii="Times New Roman" w:hAnsi="Times New Roman" w:cs="Times New Roman"/>
          <w:color w:val="000000"/>
          <w:sz w:val="24"/>
          <w:szCs w:val="24"/>
        </w:rPr>
        <w:t>tesisler için ayarlamalar yapabilirler.</w:t>
      </w:r>
    </w:p>
    <w:tbl>
      <w:tblPr>
        <w:tblStyle w:val="TabloKlavuzu15"/>
        <w:tblW w:w="0" w:type="auto"/>
        <w:tblLayout w:type="fixed"/>
        <w:tblLook w:val="0000" w:firstRow="0" w:lastRow="0" w:firstColumn="0" w:lastColumn="0" w:noHBand="0" w:noVBand="0"/>
      </w:tblPr>
      <w:tblGrid>
        <w:gridCol w:w="6091"/>
        <w:gridCol w:w="2551"/>
      </w:tblGrid>
      <w:tr w:rsidR="00070752" w:rsidRPr="00880206" w14:paraId="6DEB051E" w14:textId="77777777" w:rsidTr="005D0C9A">
        <w:trPr>
          <w:trHeight w:hRule="exact" w:val="617"/>
        </w:trPr>
        <w:tc>
          <w:tcPr>
            <w:tcW w:w="6091" w:type="dxa"/>
          </w:tcPr>
          <w:p w14:paraId="1BFC3075" w14:textId="77777777" w:rsidR="00070752" w:rsidRPr="00880206" w:rsidRDefault="00070752" w:rsidP="00C10647">
            <w:pPr>
              <w:shd w:val="clear" w:color="auto" w:fill="FFFFFF"/>
              <w:ind w:left="2472"/>
              <w:rPr>
                <w:rFonts w:ascii="Times New Roman" w:hAnsi="Times New Roman" w:cs="Times New Roman"/>
                <w:sz w:val="24"/>
                <w:szCs w:val="24"/>
              </w:rPr>
            </w:pPr>
            <w:r w:rsidRPr="00880206">
              <w:rPr>
                <w:rFonts w:ascii="Times New Roman" w:hAnsi="Times New Roman" w:cs="Times New Roman"/>
                <w:color w:val="000000"/>
                <w:sz w:val="24"/>
                <w:szCs w:val="24"/>
              </w:rPr>
              <w:t>Faaliyet</w:t>
            </w:r>
          </w:p>
        </w:tc>
        <w:tc>
          <w:tcPr>
            <w:tcW w:w="2551" w:type="dxa"/>
          </w:tcPr>
          <w:p w14:paraId="34DBC395" w14:textId="77777777" w:rsidR="00070752" w:rsidRPr="00880206" w:rsidRDefault="00070752" w:rsidP="00C10647">
            <w:pPr>
              <w:shd w:val="clear" w:color="auto" w:fill="FFFFFF"/>
              <w:ind w:right="413"/>
              <w:jc w:val="center"/>
              <w:rPr>
                <w:rFonts w:ascii="Times New Roman" w:hAnsi="Times New Roman" w:cs="Times New Roman"/>
                <w:sz w:val="24"/>
                <w:szCs w:val="24"/>
              </w:rPr>
            </w:pPr>
            <w:r w:rsidRPr="00880206">
              <w:rPr>
                <w:rFonts w:ascii="Times New Roman" w:hAnsi="Times New Roman" w:cs="Times New Roman"/>
                <w:color w:val="000000"/>
                <w:sz w:val="24"/>
                <w:szCs w:val="24"/>
              </w:rPr>
              <w:t>(a) (ii) kullanımı için çarpım faktörü</w:t>
            </w:r>
          </w:p>
        </w:tc>
      </w:tr>
      <w:tr w:rsidR="00070752" w:rsidRPr="00880206" w14:paraId="56A6B4EC" w14:textId="77777777" w:rsidTr="005D0C9A">
        <w:trPr>
          <w:trHeight w:hRule="exact" w:val="1136"/>
        </w:trPr>
        <w:tc>
          <w:tcPr>
            <w:tcW w:w="6091" w:type="dxa"/>
          </w:tcPr>
          <w:p w14:paraId="6C302F81" w14:textId="77777777" w:rsidR="00070752" w:rsidRPr="00880206" w:rsidRDefault="00070752" w:rsidP="00C10647">
            <w:pPr>
              <w:shd w:val="clear" w:color="auto" w:fill="FFFFFF"/>
              <w:ind w:right="62"/>
              <w:rPr>
                <w:rFonts w:ascii="Times New Roman" w:hAnsi="Times New Roman" w:cs="Times New Roman"/>
                <w:sz w:val="24"/>
                <w:szCs w:val="24"/>
              </w:rPr>
            </w:pPr>
            <w:r w:rsidRPr="00880206">
              <w:rPr>
                <w:rFonts w:ascii="Times New Roman" w:hAnsi="Times New Roman" w:cs="Times New Roman"/>
                <w:color w:val="000000"/>
                <w:sz w:val="24"/>
                <w:szCs w:val="24"/>
              </w:rPr>
              <w:t xml:space="preserve">Tifdruk; fleksografi; basım faaliyetinin parçası olarak laminasyon, basım faaliyetinin </w:t>
            </w:r>
            <w:r w:rsidRPr="00880206">
              <w:rPr>
                <w:rFonts w:ascii="Times New Roman" w:hAnsi="Times New Roman" w:cs="Times New Roman"/>
                <w:color w:val="000000"/>
                <w:spacing w:val="-3"/>
                <w:sz w:val="24"/>
                <w:szCs w:val="24"/>
              </w:rPr>
              <w:t xml:space="preserve">parçası olarak cilalama, ahşap kaplama, kumaş, tabaka veya kâğıt kaplama, yapıştırıcı </w:t>
            </w:r>
            <w:r w:rsidRPr="00880206">
              <w:rPr>
                <w:rFonts w:ascii="Times New Roman" w:hAnsi="Times New Roman" w:cs="Times New Roman"/>
                <w:color w:val="000000"/>
                <w:sz w:val="24"/>
                <w:szCs w:val="24"/>
              </w:rPr>
              <w:t>kaplama</w:t>
            </w:r>
          </w:p>
        </w:tc>
        <w:tc>
          <w:tcPr>
            <w:tcW w:w="2551" w:type="dxa"/>
          </w:tcPr>
          <w:p w14:paraId="0F9B5F61" w14:textId="77777777" w:rsidR="00070752" w:rsidRPr="00880206" w:rsidRDefault="00070752" w:rsidP="00C10647">
            <w:pPr>
              <w:shd w:val="clear" w:color="auto" w:fill="FFFFFF"/>
              <w:ind w:right="43"/>
              <w:jc w:val="center"/>
              <w:rPr>
                <w:rFonts w:ascii="Times New Roman" w:hAnsi="Times New Roman" w:cs="Times New Roman"/>
                <w:sz w:val="24"/>
                <w:szCs w:val="24"/>
              </w:rPr>
            </w:pPr>
            <w:r w:rsidRPr="00880206">
              <w:rPr>
                <w:rFonts w:ascii="Times New Roman" w:hAnsi="Times New Roman" w:cs="Times New Roman"/>
                <w:color w:val="000000"/>
                <w:sz w:val="24"/>
                <w:szCs w:val="24"/>
              </w:rPr>
              <w:t>4</w:t>
            </w:r>
          </w:p>
        </w:tc>
      </w:tr>
      <w:tr w:rsidR="00070752" w:rsidRPr="00880206" w14:paraId="0A1DD4FB" w14:textId="77777777" w:rsidTr="005D0C9A">
        <w:trPr>
          <w:trHeight w:hRule="exact" w:val="307"/>
        </w:trPr>
        <w:tc>
          <w:tcPr>
            <w:tcW w:w="6091" w:type="dxa"/>
          </w:tcPr>
          <w:p w14:paraId="5477B3C6" w14:textId="77777777" w:rsidR="00070752" w:rsidRPr="00880206" w:rsidRDefault="00070752" w:rsidP="00C10647">
            <w:pPr>
              <w:shd w:val="clear" w:color="auto" w:fill="FFFFFF"/>
              <w:rPr>
                <w:rFonts w:ascii="Times New Roman" w:hAnsi="Times New Roman" w:cs="Times New Roman"/>
                <w:sz w:val="24"/>
                <w:szCs w:val="24"/>
              </w:rPr>
            </w:pPr>
            <w:r w:rsidRPr="00880206">
              <w:rPr>
                <w:rFonts w:ascii="Times New Roman" w:hAnsi="Times New Roman" w:cs="Times New Roman"/>
                <w:color w:val="000000"/>
                <w:sz w:val="24"/>
                <w:szCs w:val="24"/>
              </w:rPr>
              <w:t>Bobin kaplama, araç ince tesviyesi</w:t>
            </w:r>
          </w:p>
        </w:tc>
        <w:tc>
          <w:tcPr>
            <w:tcW w:w="2551" w:type="dxa"/>
          </w:tcPr>
          <w:p w14:paraId="0F389E4E" w14:textId="77777777" w:rsidR="00070752" w:rsidRPr="00880206" w:rsidRDefault="00070752" w:rsidP="00C10647">
            <w:pPr>
              <w:shd w:val="clear" w:color="auto" w:fill="FFFFFF"/>
              <w:ind w:right="53"/>
              <w:jc w:val="center"/>
              <w:rPr>
                <w:rFonts w:ascii="Times New Roman" w:hAnsi="Times New Roman" w:cs="Times New Roman"/>
                <w:sz w:val="24"/>
                <w:szCs w:val="24"/>
              </w:rPr>
            </w:pPr>
            <w:r w:rsidRPr="00880206">
              <w:rPr>
                <w:rFonts w:ascii="Times New Roman" w:hAnsi="Times New Roman" w:cs="Times New Roman"/>
                <w:color w:val="000000"/>
                <w:sz w:val="24"/>
                <w:szCs w:val="24"/>
              </w:rPr>
              <w:t>3</w:t>
            </w:r>
          </w:p>
        </w:tc>
      </w:tr>
      <w:tr w:rsidR="00070752" w:rsidRPr="00880206" w14:paraId="50475AE0" w14:textId="77777777" w:rsidTr="005D0C9A">
        <w:trPr>
          <w:trHeight w:hRule="exact" w:val="307"/>
        </w:trPr>
        <w:tc>
          <w:tcPr>
            <w:tcW w:w="6091" w:type="dxa"/>
          </w:tcPr>
          <w:p w14:paraId="35804EF7" w14:textId="77777777" w:rsidR="00070752" w:rsidRPr="00880206" w:rsidRDefault="00070752" w:rsidP="00C10647">
            <w:pPr>
              <w:shd w:val="clear" w:color="auto" w:fill="FFFFFF"/>
              <w:rPr>
                <w:rFonts w:ascii="Times New Roman" w:hAnsi="Times New Roman" w:cs="Times New Roman"/>
                <w:sz w:val="24"/>
                <w:szCs w:val="24"/>
              </w:rPr>
            </w:pPr>
            <w:r w:rsidRPr="00880206">
              <w:rPr>
                <w:rFonts w:ascii="Times New Roman" w:hAnsi="Times New Roman" w:cs="Times New Roman"/>
                <w:color w:val="000000"/>
                <w:spacing w:val="-2"/>
                <w:sz w:val="24"/>
                <w:szCs w:val="24"/>
              </w:rPr>
              <w:t>Gıda ile temas eden malzemelerin kaplanması, atmosfer dıŞı kaplama</w:t>
            </w:r>
          </w:p>
        </w:tc>
        <w:tc>
          <w:tcPr>
            <w:tcW w:w="2551" w:type="dxa"/>
          </w:tcPr>
          <w:p w14:paraId="166232E6" w14:textId="77777777" w:rsidR="00070752" w:rsidRPr="00880206" w:rsidRDefault="00070752" w:rsidP="00C10647">
            <w:pPr>
              <w:shd w:val="clear" w:color="auto" w:fill="FFFFFF"/>
              <w:ind w:right="53"/>
              <w:jc w:val="center"/>
              <w:rPr>
                <w:rFonts w:ascii="Times New Roman" w:hAnsi="Times New Roman" w:cs="Times New Roman"/>
                <w:sz w:val="24"/>
                <w:szCs w:val="24"/>
              </w:rPr>
            </w:pPr>
            <w:r w:rsidRPr="00880206">
              <w:rPr>
                <w:rFonts w:ascii="Times New Roman" w:hAnsi="Times New Roman" w:cs="Times New Roman"/>
                <w:color w:val="000000"/>
                <w:sz w:val="24"/>
                <w:szCs w:val="24"/>
              </w:rPr>
              <w:t>2,33</w:t>
            </w:r>
          </w:p>
        </w:tc>
      </w:tr>
      <w:tr w:rsidR="00070752" w:rsidRPr="00880206" w14:paraId="18D89493" w14:textId="77777777" w:rsidTr="005D0C9A">
        <w:trPr>
          <w:trHeight w:hRule="exact" w:val="355"/>
        </w:trPr>
        <w:tc>
          <w:tcPr>
            <w:tcW w:w="6091" w:type="dxa"/>
          </w:tcPr>
          <w:p w14:paraId="5C761B7D" w14:textId="77777777" w:rsidR="00070752" w:rsidRPr="00880206" w:rsidRDefault="00070752" w:rsidP="00C10647">
            <w:pPr>
              <w:shd w:val="clear" w:color="auto" w:fill="FFFFFF"/>
              <w:rPr>
                <w:rFonts w:ascii="Times New Roman" w:hAnsi="Times New Roman" w:cs="Times New Roman"/>
                <w:sz w:val="24"/>
                <w:szCs w:val="24"/>
              </w:rPr>
            </w:pPr>
            <w:r w:rsidRPr="00880206">
              <w:rPr>
                <w:rFonts w:ascii="Times New Roman" w:hAnsi="Times New Roman" w:cs="Times New Roman"/>
                <w:color w:val="000000"/>
                <w:sz w:val="24"/>
                <w:szCs w:val="24"/>
              </w:rPr>
              <w:t>Diğer kaplamalar ve döner serigrafi</w:t>
            </w:r>
          </w:p>
        </w:tc>
        <w:tc>
          <w:tcPr>
            <w:tcW w:w="2551" w:type="dxa"/>
          </w:tcPr>
          <w:p w14:paraId="3A097BA1" w14:textId="77777777" w:rsidR="00070752" w:rsidRPr="00880206" w:rsidRDefault="00070752" w:rsidP="00C10647">
            <w:pPr>
              <w:shd w:val="clear" w:color="auto" w:fill="FFFFFF"/>
              <w:ind w:right="53"/>
              <w:jc w:val="center"/>
              <w:rPr>
                <w:rFonts w:ascii="Times New Roman" w:hAnsi="Times New Roman" w:cs="Times New Roman"/>
                <w:sz w:val="24"/>
                <w:szCs w:val="24"/>
              </w:rPr>
            </w:pPr>
            <w:r w:rsidRPr="00880206">
              <w:rPr>
                <w:rFonts w:ascii="Times New Roman" w:hAnsi="Times New Roman" w:cs="Times New Roman"/>
                <w:color w:val="000000"/>
                <w:sz w:val="24"/>
                <w:szCs w:val="24"/>
              </w:rPr>
              <w:t>1,5</w:t>
            </w:r>
          </w:p>
        </w:tc>
      </w:tr>
    </w:tbl>
    <w:p w14:paraId="3180C1F9" w14:textId="77777777" w:rsidR="005D0C9A" w:rsidRDefault="005D0C9A" w:rsidP="005D0C9A">
      <w:pPr>
        <w:shd w:val="clear" w:color="auto" w:fill="FFFFFF"/>
        <w:tabs>
          <w:tab w:val="left" w:pos="610"/>
        </w:tabs>
        <w:spacing w:line="240" w:lineRule="auto"/>
        <w:ind w:left="29"/>
        <w:rPr>
          <w:rFonts w:ascii="Times New Roman" w:hAnsi="Times New Roman" w:cs="Times New Roman"/>
          <w:color w:val="000000"/>
          <w:spacing w:val="-10"/>
          <w:sz w:val="24"/>
          <w:szCs w:val="24"/>
        </w:rPr>
      </w:pPr>
    </w:p>
    <w:p w14:paraId="47C89103" w14:textId="54969FE4" w:rsidR="00070752" w:rsidRPr="00880206" w:rsidRDefault="00070752" w:rsidP="005D0C9A">
      <w:pPr>
        <w:shd w:val="clear" w:color="auto" w:fill="FFFFFF"/>
        <w:tabs>
          <w:tab w:val="left" w:pos="610"/>
        </w:tabs>
        <w:spacing w:line="240" w:lineRule="auto"/>
        <w:ind w:left="29" w:right="468"/>
        <w:rPr>
          <w:rFonts w:ascii="Times New Roman" w:hAnsi="Times New Roman" w:cs="Times New Roman"/>
          <w:sz w:val="24"/>
          <w:szCs w:val="24"/>
        </w:rPr>
      </w:pPr>
      <w:r w:rsidRPr="00880206">
        <w:rPr>
          <w:rFonts w:ascii="Times New Roman" w:hAnsi="Times New Roman" w:cs="Times New Roman"/>
          <w:color w:val="000000"/>
          <w:spacing w:val="-10"/>
          <w:sz w:val="24"/>
          <w:szCs w:val="24"/>
        </w:rPr>
        <w:lastRenderedPageBreak/>
        <w:t>(b)</w:t>
      </w:r>
      <w:r w:rsidRPr="00880206">
        <w:rPr>
          <w:rFonts w:ascii="Times New Roman" w:hAnsi="Times New Roman" w:cs="Times New Roman"/>
          <w:color w:val="000000"/>
          <w:sz w:val="24"/>
          <w:szCs w:val="24"/>
        </w:rPr>
        <w:tab/>
      </w:r>
      <w:r w:rsidRPr="00880206">
        <w:rPr>
          <w:rFonts w:ascii="Times New Roman" w:hAnsi="Times New Roman" w:cs="Times New Roman"/>
          <w:color w:val="000000"/>
          <w:spacing w:val="-2"/>
          <w:sz w:val="24"/>
          <w:szCs w:val="24"/>
        </w:rPr>
        <w:t>Hedef emisyon yıllık referans emisyonun aşağıdaki değerlerle çarpılması sonucunda elde edilen referans emisyona eşittir:</w:t>
      </w:r>
    </w:p>
    <w:p w14:paraId="746FF01C" w14:textId="3A10FB05" w:rsidR="00070752" w:rsidRPr="00880206" w:rsidRDefault="00070752" w:rsidP="005D0C9A">
      <w:pPr>
        <w:shd w:val="clear" w:color="auto" w:fill="FFFFFF"/>
        <w:spacing w:line="240" w:lineRule="auto"/>
        <w:ind w:left="29" w:right="468"/>
        <w:rPr>
          <w:rFonts w:ascii="Times New Roman" w:hAnsi="Times New Roman" w:cs="Times New Roman"/>
          <w:sz w:val="24"/>
          <w:szCs w:val="24"/>
        </w:rPr>
      </w:pPr>
      <w:r w:rsidRPr="00880206">
        <w:rPr>
          <w:rFonts w:ascii="Times New Roman" w:hAnsi="Times New Roman" w:cs="Times New Roman"/>
          <w:color w:val="000000"/>
          <w:spacing w:val="-2"/>
          <w:sz w:val="24"/>
          <w:szCs w:val="24"/>
        </w:rPr>
        <w:t xml:space="preserve">(i)       </w:t>
      </w:r>
      <w:r w:rsidR="00BD3D64">
        <w:rPr>
          <w:rFonts w:ascii="Times New Roman" w:hAnsi="Times New Roman" w:cs="Times New Roman"/>
          <w:color w:val="000000"/>
          <w:spacing w:val="-2"/>
          <w:sz w:val="24"/>
          <w:szCs w:val="24"/>
        </w:rPr>
        <w:t>Bölüm A</w:t>
      </w:r>
      <w:r w:rsidRPr="00880206">
        <w:rPr>
          <w:rFonts w:ascii="Times New Roman" w:hAnsi="Times New Roman" w:cs="Times New Roman"/>
          <w:color w:val="000000"/>
          <w:spacing w:val="-2"/>
          <w:sz w:val="24"/>
          <w:szCs w:val="24"/>
        </w:rPr>
        <w:t>‘d</w:t>
      </w:r>
      <w:r w:rsidR="00BD3D64">
        <w:rPr>
          <w:rFonts w:ascii="Times New Roman" w:hAnsi="Times New Roman" w:cs="Times New Roman"/>
          <w:color w:val="000000"/>
          <w:spacing w:val="-2"/>
          <w:sz w:val="24"/>
          <w:szCs w:val="24"/>
        </w:rPr>
        <w:t>a</w:t>
      </w:r>
      <w:r w:rsidRPr="00880206">
        <w:rPr>
          <w:rFonts w:ascii="Times New Roman" w:hAnsi="Times New Roman" w:cs="Times New Roman"/>
          <w:color w:val="000000"/>
          <w:spacing w:val="-2"/>
          <w:sz w:val="24"/>
          <w:szCs w:val="24"/>
        </w:rPr>
        <w:t xml:space="preserve">ki </w:t>
      </w:r>
      <w:r w:rsidR="00BD3D64" w:rsidRPr="00880206">
        <w:rPr>
          <w:rFonts w:ascii="Times New Roman" w:hAnsi="Times New Roman" w:cs="Times New Roman"/>
          <w:color w:val="000000"/>
          <w:spacing w:val="-2"/>
          <w:sz w:val="24"/>
          <w:szCs w:val="24"/>
        </w:rPr>
        <w:t xml:space="preserve">6. unsur kapsamında bulunan ve </w:t>
      </w:r>
      <w:r w:rsidRPr="00880206">
        <w:rPr>
          <w:rFonts w:ascii="Times New Roman" w:hAnsi="Times New Roman" w:cs="Times New Roman"/>
          <w:color w:val="000000"/>
          <w:spacing w:val="-2"/>
          <w:sz w:val="24"/>
          <w:szCs w:val="24"/>
        </w:rPr>
        <w:t xml:space="preserve">8 ve 10.   unsur türlerinin alt sınırlarına tabi tesisler için (kaçak emisyon </w:t>
      </w:r>
      <w:r w:rsidRPr="00880206">
        <w:rPr>
          <w:rFonts w:ascii="Times New Roman" w:hAnsi="Times New Roman" w:cs="Times New Roman"/>
          <w:color w:val="000000"/>
          <w:sz w:val="24"/>
          <w:szCs w:val="24"/>
        </w:rPr>
        <w:t>sınır değeri +15)</w:t>
      </w:r>
    </w:p>
    <w:p w14:paraId="055B6214" w14:textId="77777777" w:rsidR="00070752" w:rsidRPr="00880206" w:rsidRDefault="00070752" w:rsidP="005D0C9A">
      <w:pPr>
        <w:shd w:val="clear" w:color="auto" w:fill="FFFFFF"/>
        <w:spacing w:line="240" w:lineRule="auto"/>
        <w:ind w:left="29" w:right="468"/>
        <w:rPr>
          <w:rFonts w:ascii="Times New Roman" w:hAnsi="Times New Roman" w:cs="Times New Roman"/>
          <w:sz w:val="24"/>
          <w:szCs w:val="24"/>
        </w:rPr>
      </w:pPr>
      <w:r w:rsidRPr="00880206">
        <w:rPr>
          <w:rFonts w:ascii="Times New Roman" w:hAnsi="Times New Roman" w:cs="Times New Roman"/>
          <w:color w:val="000000"/>
          <w:spacing w:val="-3"/>
          <w:sz w:val="24"/>
          <w:szCs w:val="24"/>
        </w:rPr>
        <w:t>(ii)       Diğer tüm tesisler için (kaçak emisyon emisyon sınır değeri + 5)</w:t>
      </w:r>
    </w:p>
    <w:p w14:paraId="1DCE4F24" w14:textId="5B213329" w:rsidR="00070752" w:rsidRPr="00880206" w:rsidRDefault="00070752" w:rsidP="005D0C9A">
      <w:pPr>
        <w:shd w:val="clear" w:color="auto" w:fill="FFFFFF"/>
        <w:tabs>
          <w:tab w:val="left" w:pos="619"/>
        </w:tabs>
        <w:spacing w:line="240" w:lineRule="auto"/>
        <w:ind w:left="34" w:right="468"/>
        <w:rPr>
          <w:rFonts w:ascii="Times New Roman" w:hAnsi="Times New Roman" w:cs="Times New Roman"/>
          <w:sz w:val="24"/>
          <w:szCs w:val="24"/>
        </w:rPr>
        <w:sectPr w:rsidR="00070752" w:rsidRPr="00880206">
          <w:type w:val="continuous"/>
          <w:pgSz w:w="11909" w:h="16834" w:orient="landscape"/>
          <w:pgMar w:top="1160" w:right="667" w:bottom="360" w:left="1843" w:header="708" w:footer="708" w:gutter="0"/>
          <w:cols w:space="60"/>
          <w:noEndnote/>
        </w:sectPr>
      </w:pPr>
      <w:r w:rsidRPr="00880206">
        <w:rPr>
          <w:rFonts w:ascii="Times New Roman" w:hAnsi="Times New Roman" w:cs="Times New Roman"/>
          <w:color w:val="000000"/>
          <w:spacing w:val="-14"/>
          <w:sz w:val="24"/>
          <w:szCs w:val="24"/>
        </w:rPr>
        <w:t>(c)</w:t>
      </w:r>
      <w:r w:rsidRPr="00880206">
        <w:rPr>
          <w:rFonts w:ascii="Times New Roman" w:hAnsi="Times New Roman" w:cs="Times New Roman"/>
          <w:color w:val="000000"/>
          <w:sz w:val="24"/>
          <w:szCs w:val="24"/>
        </w:rPr>
        <w:tab/>
      </w:r>
      <w:r w:rsidRPr="00880206">
        <w:rPr>
          <w:rFonts w:ascii="Times New Roman" w:hAnsi="Times New Roman" w:cs="Times New Roman"/>
          <w:color w:val="000000"/>
          <w:spacing w:val="-1"/>
          <w:sz w:val="24"/>
          <w:szCs w:val="24"/>
        </w:rPr>
        <w:t xml:space="preserve">Solvent yönetimi planınca elde edilen </w:t>
      </w:r>
      <w:r w:rsidR="00BD3D64">
        <w:rPr>
          <w:rFonts w:ascii="Times New Roman" w:hAnsi="Times New Roman" w:cs="Times New Roman"/>
          <w:color w:val="000000"/>
          <w:spacing w:val="-1"/>
          <w:sz w:val="24"/>
          <w:szCs w:val="24"/>
        </w:rPr>
        <w:t>gerçek</w:t>
      </w:r>
      <w:r w:rsidRPr="00880206">
        <w:rPr>
          <w:rFonts w:ascii="Times New Roman" w:hAnsi="Times New Roman" w:cs="Times New Roman"/>
          <w:color w:val="000000"/>
          <w:spacing w:val="-1"/>
          <w:sz w:val="24"/>
          <w:szCs w:val="24"/>
        </w:rPr>
        <w:t xml:space="preserve"> solvent emisyonu hedef emisyona eşit veya daha düşükse uyum sağlanmış </w:t>
      </w:r>
      <w:r w:rsidRPr="00880206">
        <w:rPr>
          <w:rFonts w:ascii="Times New Roman" w:hAnsi="Times New Roman" w:cs="Times New Roman"/>
          <w:color w:val="000000"/>
          <w:sz w:val="24"/>
          <w:szCs w:val="24"/>
        </w:rPr>
        <w:t>kabul edilir</w:t>
      </w:r>
      <w:r w:rsidRPr="00880206">
        <w:rPr>
          <w:rFonts w:ascii="Times New Roman" w:hAnsi="Times New Roman" w:cs="Times New Roman"/>
          <w:sz w:val="24"/>
          <w:szCs w:val="24"/>
        </w:rPr>
        <w:t>.</w:t>
      </w:r>
    </w:p>
    <w:p w14:paraId="4C06508E" w14:textId="21257F5A" w:rsidR="00070752" w:rsidRPr="005D0C9A" w:rsidRDefault="00BD739A" w:rsidP="00441241">
      <w:pPr>
        <w:shd w:val="clear" w:color="auto" w:fill="FFFFFF"/>
        <w:spacing w:before="326" w:line="240" w:lineRule="auto"/>
        <w:ind w:left="14"/>
        <w:jc w:val="center"/>
        <w:rPr>
          <w:rFonts w:ascii="Times New Roman" w:hAnsi="Times New Roman" w:cs="Times New Roman"/>
          <w:b/>
          <w:bCs/>
          <w:i/>
          <w:iCs/>
          <w:color w:val="000000"/>
          <w:spacing w:val="-6"/>
          <w:sz w:val="24"/>
          <w:szCs w:val="24"/>
        </w:rPr>
      </w:pPr>
      <w:r w:rsidRPr="005D0C9A">
        <w:rPr>
          <w:rFonts w:ascii="Times New Roman" w:hAnsi="Times New Roman" w:cs="Times New Roman"/>
          <w:b/>
          <w:bCs/>
          <w:i/>
          <w:iCs/>
          <w:color w:val="000000"/>
          <w:spacing w:val="-6"/>
          <w:sz w:val="24"/>
          <w:szCs w:val="24"/>
        </w:rPr>
        <w:lastRenderedPageBreak/>
        <w:t>Bölüm E-</w:t>
      </w:r>
      <w:r w:rsidR="005D0C9A" w:rsidRPr="005D0C9A">
        <w:rPr>
          <w:rFonts w:ascii="Times New Roman" w:hAnsi="Times New Roman" w:cs="Times New Roman"/>
          <w:b/>
          <w:bCs/>
          <w:i/>
          <w:iCs/>
          <w:color w:val="000000"/>
          <w:spacing w:val="-6"/>
          <w:sz w:val="24"/>
          <w:szCs w:val="24"/>
        </w:rPr>
        <w:t xml:space="preserve"> </w:t>
      </w:r>
      <w:r w:rsidR="00070752" w:rsidRPr="005D0C9A">
        <w:rPr>
          <w:rFonts w:ascii="Times New Roman" w:hAnsi="Times New Roman" w:cs="Times New Roman"/>
          <w:b/>
          <w:bCs/>
          <w:i/>
          <w:iCs/>
          <w:color w:val="000000"/>
          <w:spacing w:val="-6"/>
          <w:sz w:val="24"/>
          <w:szCs w:val="24"/>
        </w:rPr>
        <w:t>Emisyonların  izlenmesi</w:t>
      </w:r>
    </w:p>
    <w:p w14:paraId="294D31CD" w14:textId="77777777" w:rsidR="00070752" w:rsidRPr="00880206" w:rsidRDefault="00070752" w:rsidP="005D0C9A">
      <w:pPr>
        <w:shd w:val="clear" w:color="auto" w:fill="FFFFFF"/>
        <w:spacing w:line="240" w:lineRule="auto"/>
        <w:ind w:right="154"/>
        <w:rPr>
          <w:rFonts w:ascii="Times New Roman" w:hAnsi="Times New Roman" w:cs="Times New Roman"/>
          <w:sz w:val="24"/>
          <w:szCs w:val="24"/>
        </w:rPr>
      </w:pPr>
      <w:r w:rsidRPr="00880206">
        <w:rPr>
          <w:rFonts w:ascii="Times New Roman" w:hAnsi="Times New Roman" w:cs="Times New Roman"/>
          <w:color w:val="000000"/>
          <w:spacing w:val="-3"/>
          <w:sz w:val="24"/>
          <w:szCs w:val="24"/>
        </w:rPr>
        <w:t xml:space="preserve">1.       Azaltma ekipmanının bağlı olduğu ve son boşaltım noktasında ortalama 10 kg/h üzerinde toplam organik karbon salan </w:t>
      </w:r>
      <w:r w:rsidRPr="00880206">
        <w:rPr>
          <w:rFonts w:ascii="Times New Roman" w:hAnsi="Times New Roman" w:cs="Times New Roman"/>
          <w:color w:val="000000"/>
          <w:sz w:val="24"/>
          <w:szCs w:val="24"/>
        </w:rPr>
        <w:t>kanallar uygunluk için sürekli olarak izlenmelidir.</w:t>
      </w:r>
    </w:p>
    <w:p w14:paraId="117C53A0" w14:textId="77777777" w:rsidR="00070752" w:rsidRPr="00880206" w:rsidRDefault="00070752" w:rsidP="005D0C9A">
      <w:pPr>
        <w:shd w:val="clear" w:color="auto" w:fill="FFFFFF"/>
        <w:spacing w:line="240" w:lineRule="auto"/>
        <w:ind w:right="154"/>
        <w:rPr>
          <w:rFonts w:ascii="Times New Roman" w:hAnsi="Times New Roman" w:cs="Times New Roman"/>
          <w:sz w:val="24"/>
          <w:szCs w:val="24"/>
        </w:rPr>
      </w:pPr>
      <w:r w:rsidRPr="00880206">
        <w:rPr>
          <w:rFonts w:ascii="Times New Roman" w:hAnsi="Times New Roman" w:cs="Times New Roman"/>
          <w:color w:val="000000"/>
          <w:spacing w:val="-3"/>
          <w:sz w:val="24"/>
          <w:szCs w:val="24"/>
        </w:rPr>
        <w:t xml:space="preserve">2.       Diğer durumlarda üye devletler sürekli veya periyodik ölçümler gerçekleştirilmesini sağlamalıdır. Periyodik ölçüm için </w:t>
      </w:r>
      <w:r w:rsidRPr="00880206">
        <w:rPr>
          <w:rFonts w:ascii="Times New Roman" w:hAnsi="Times New Roman" w:cs="Times New Roman"/>
          <w:color w:val="000000"/>
          <w:sz w:val="24"/>
          <w:szCs w:val="24"/>
        </w:rPr>
        <w:t>her bir ölçüm işleminde en az üç ölçüm değeri elde edilmelidir.</w:t>
      </w:r>
    </w:p>
    <w:p w14:paraId="69A0E5E8" w14:textId="77777777" w:rsidR="00070752" w:rsidRPr="00880206" w:rsidRDefault="00070752" w:rsidP="005D0C9A">
      <w:pPr>
        <w:shd w:val="clear" w:color="auto" w:fill="FFFFFF"/>
        <w:spacing w:line="240" w:lineRule="auto"/>
        <w:ind w:right="461"/>
        <w:rPr>
          <w:rFonts w:ascii="Times New Roman" w:hAnsi="Times New Roman" w:cs="Times New Roman"/>
          <w:sz w:val="24"/>
          <w:szCs w:val="24"/>
        </w:rPr>
      </w:pPr>
      <w:r w:rsidRPr="00880206">
        <w:rPr>
          <w:rFonts w:ascii="Times New Roman" w:hAnsi="Times New Roman" w:cs="Times New Roman"/>
          <w:color w:val="000000"/>
          <w:spacing w:val="-3"/>
          <w:sz w:val="24"/>
          <w:szCs w:val="24"/>
        </w:rPr>
        <w:t xml:space="preserve">3.       Boru çıkışı azaltma ekipmanının bu tebliğ hükümlerine uygun olması gerekmeyen hallerde ölçüm yapılması da </w:t>
      </w:r>
      <w:r w:rsidRPr="00880206">
        <w:rPr>
          <w:rFonts w:ascii="Times New Roman" w:hAnsi="Times New Roman" w:cs="Times New Roman"/>
          <w:color w:val="000000"/>
          <w:sz w:val="24"/>
          <w:szCs w:val="24"/>
        </w:rPr>
        <w:t>gerekmemektedir.</w:t>
      </w:r>
    </w:p>
    <w:p w14:paraId="2480B888" w14:textId="5B43717F" w:rsidR="00070752" w:rsidRPr="005D0C9A" w:rsidRDefault="00BD739A" w:rsidP="005D0C9A">
      <w:pPr>
        <w:shd w:val="clear" w:color="auto" w:fill="FFFFFF"/>
        <w:spacing w:before="451" w:line="240" w:lineRule="auto"/>
        <w:ind w:left="14"/>
        <w:jc w:val="center"/>
        <w:rPr>
          <w:rFonts w:ascii="Times New Roman" w:hAnsi="Times New Roman" w:cs="Times New Roman"/>
          <w:b/>
          <w:bCs/>
          <w:i/>
          <w:iCs/>
          <w:color w:val="000000"/>
          <w:spacing w:val="-6"/>
          <w:sz w:val="24"/>
          <w:szCs w:val="24"/>
        </w:rPr>
      </w:pPr>
      <w:r w:rsidRPr="005D0C9A">
        <w:rPr>
          <w:rFonts w:ascii="Times New Roman" w:hAnsi="Times New Roman" w:cs="Times New Roman"/>
          <w:b/>
          <w:bCs/>
          <w:i/>
          <w:iCs/>
          <w:color w:val="000000"/>
          <w:spacing w:val="-6"/>
          <w:sz w:val="24"/>
          <w:szCs w:val="24"/>
        </w:rPr>
        <w:t>Bölüm F-</w:t>
      </w:r>
      <w:r w:rsidR="005D0C9A">
        <w:rPr>
          <w:rFonts w:ascii="Times New Roman" w:hAnsi="Times New Roman" w:cs="Times New Roman"/>
          <w:b/>
          <w:bCs/>
          <w:i/>
          <w:iCs/>
          <w:color w:val="000000"/>
          <w:spacing w:val="-6"/>
          <w:sz w:val="24"/>
          <w:szCs w:val="24"/>
        </w:rPr>
        <w:t xml:space="preserve"> </w:t>
      </w:r>
      <w:r w:rsidR="00070752" w:rsidRPr="005D0C9A">
        <w:rPr>
          <w:rFonts w:ascii="Times New Roman" w:hAnsi="Times New Roman" w:cs="Times New Roman"/>
          <w:b/>
          <w:bCs/>
          <w:i/>
          <w:iCs/>
          <w:color w:val="000000"/>
          <w:spacing w:val="-6"/>
          <w:sz w:val="24"/>
          <w:szCs w:val="24"/>
        </w:rPr>
        <w:t>Solvent yönetim planı</w:t>
      </w:r>
    </w:p>
    <w:p w14:paraId="79341172" w14:textId="77777777" w:rsidR="00070752" w:rsidRPr="00441241" w:rsidRDefault="00070752" w:rsidP="00441241">
      <w:pPr>
        <w:numPr>
          <w:ilvl w:val="0"/>
          <w:numId w:val="329"/>
        </w:numPr>
        <w:tabs>
          <w:tab w:val="clear" w:pos="720"/>
        </w:tabs>
        <w:spacing w:after="0" w:line="240" w:lineRule="auto"/>
        <w:ind w:left="360"/>
        <w:rPr>
          <w:rFonts w:ascii="Times New Roman" w:hAnsi="Times New Roman" w:cs="Times New Roman"/>
          <w:sz w:val="24"/>
          <w:szCs w:val="24"/>
        </w:rPr>
      </w:pPr>
      <w:r w:rsidRPr="00441241">
        <w:rPr>
          <w:rFonts w:ascii="Times New Roman" w:hAnsi="Times New Roman" w:cs="Times New Roman"/>
          <w:sz w:val="24"/>
          <w:szCs w:val="24"/>
          <w:u w:val="single"/>
        </w:rPr>
        <w:t>Temel esaslar</w:t>
      </w:r>
      <w:r w:rsidRPr="00441241">
        <w:rPr>
          <w:rFonts w:ascii="Times New Roman" w:hAnsi="Times New Roman" w:cs="Times New Roman"/>
          <w:sz w:val="24"/>
          <w:szCs w:val="24"/>
        </w:rPr>
        <w:br/>
        <w:t>Solvent yönetim planı aşağıdakiler için kullanılmalıdır:</w:t>
      </w:r>
    </w:p>
    <w:p w14:paraId="5D8E2CA9" w14:textId="77777777" w:rsidR="00070752" w:rsidRPr="00441241" w:rsidRDefault="00070752" w:rsidP="00441241">
      <w:pPr>
        <w:spacing w:line="240" w:lineRule="auto"/>
        <w:ind w:left="360"/>
        <w:rPr>
          <w:rFonts w:ascii="Times New Roman" w:hAnsi="Times New Roman" w:cs="Times New Roman"/>
          <w:sz w:val="24"/>
          <w:szCs w:val="24"/>
        </w:rPr>
      </w:pPr>
      <w:r w:rsidRPr="00441241">
        <w:rPr>
          <w:rFonts w:ascii="Times New Roman" w:hAnsi="Times New Roman" w:cs="Times New Roman"/>
          <w:sz w:val="24"/>
          <w:szCs w:val="24"/>
        </w:rPr>
        <w:t>(a) Solvent Yönetim Planı uygunluğun onaylanması</w:t>
      </w:r>
      <w:r w:rsidRPr="00441241">
        <w:rPr>
          <w:rFonts w:ascii="Times New Roman" w:hAnsi="Times New Roman" w:cs="Times New Roman"/>
          <w:sz w:val="24"/>
          <w:szCs w:val="24"/>
          <w:highlight w:val="yellow"/>
        </w:rPr>
        <w:br/>
      </w:r>
      <w:r w:rsidRPr="00441241">
        <w:rPr>
          <w:rFonts w:ascii="Times New Roman" w:hAnsi="Times New Roman" w:cs="Times New Roman"/>
          <w:sz w:val="24"/>
          <w:szCs w:val="24"/>
        </w:rPr>
        <w:t>(b) gelecekteki azaltma seçeneklerinin belirlenmesi</w:t>
      </w:r>
    </w:p>
    <w:p w14:paraId="32543F1D" w14:textId="77777777" w:rsidR="00070752" w:rsidRPr="00441241" w:rsidRDefault="00070752" w:rsidP="00441241">
      <w:pPr>
        <w:numPr>
          <w:ilvl w:val="0"/>
          <w:numId w:val="329"/>
        </w:numPr>
        <w:tabs>
          <w:tab w:val="clear" w:pos="720"/>
          <w:tab w:val="num" w:pos="0"/>
          <w:tab w:val="left" w:pos="426"/>
        </w:tabs>
        <w:spacing w:after="0" w:line="240" w:lineRule="auto"/>
        <w:ind w:left="0" w:firstLine="0"/>
        <w:rPr>
          <w:rFonts w:ascii="Times New Roman" w:hAnsi="Times New Roman" w:cs="Times New Roman"/>
          <w:sz w:val="24"/>
          <w:szCs w:val="24"/>
        </w:rPr>
      </w:pPr>
      <w:r w:rsidRPr="00441241">
        <w:rPr>
          <w:rFonts w:ascii="Times New Roman" w:hAnsi="Times New Roman" w:cs="Times New Roman"/>
          <w:sz w:val="24"/>
          <w:szCs w:val="24"/>
          <w:u w:val="single"/>
        </w:rPr>
        <w:t xml:space="preserve">Tanımlar </w:t>
      </w:r>
      <w:r w:rsidRPr="00441241">
        <w:rPr>
          <w:rFonts w:ascii="Times New Roman" w:hAnsi="Times New Roman" w:cs="Times New Roman"/>
          <w:sz w:val="24"/>
          <w:szCs w:val="24"/>
        </w:rPr>
        <w:br/>
        <w:t>Aşağıda belirtilen tanımlar kütle bilançosu uygulaması için bir çerçeve oluşturur.</w:t>
      </w:r>
      <w:r w:rsidRPr="00441241">
        <w:rPr>
          <w:rFonts w:ascii="Times New Roman" w:hAnsi="Times New Roman" w:cs="Times New Roman"/>
          <w:sz w:val="24"/>
          <w:szCs w:val="24"/>
        </w:rPr>
        <w:br/>
        <w:t>2.1 Organik solventlerin girdisi (I):</w:t>
      </w:r>
      <w:r w:rsidRPr="00441241">
        <w:rPr>
          <w:rFonts w:ascii="Times New Roman" w:hAnsi="Times New Roman" w:cs="Times New Roman"/>
          <w:sz w:val="24"/>
          <w:szCs w:val="24"/>
        </w:rPr>
        <w:br/>
        <w:t xml:space="preserve">I1: Organik solventlerin miktarı veya kütle bilançosunun hesaplandığı zaman süresince proses içinde solvent girdisi olarak kullanılan satın alınan karışımlar içindeki miktarları </w:t>
      </w:r>
      <w:r w:rsidRPr="00441241">
        <w:rPr>
          <w:rFonts w:ascii="Times New Roman" w:hAnsi="Times New Roman" w:cs="Times New Roman"/>
          <w:sz w:val="24"/>
          <w:szCs w:val="24"/>
        </w:rPr>
        <w:br/>
        <w:t>I2: Organik solventlerin miktarı veya proses içinde solvent girdisi olarak geri kazanılan ve yeniden kullanılan karışımların miktarı. Geri kazanılan solventin faaliyeti gerçekleştirmek için kullanıldığı her seferde sayımı yapılır.</w:t>
      </w:r>
      <w:r w:rsidRPr="00441241">
        <w:rPr>
          <w:rFonts w:ascii="Times New Roman" w:hAnsi="Times New Roman" w:cs="Times New Roman"/>
          <w:sz w:val="24"/>
          <w:szCs w:val="24"/>
        </w:rPr>
        <w:br/>
        <w:t>2.2 Organik solventlerin çıktısı (O):</w:t>
      </w:r>
      <w:r w:rsidRPr="00441241">
        <w:rPr>
          <w:rFonts w:ascii="Times New Roman" w:hAnsi="Times New Roman" w:cs="Times New Roman"/>
          <w:sz w:val="24"/>
          <w:szCs w:val="24"/>
        </w:rPr>
        <w:br/>
        <w:t>O1: Atık gazlardaki emisyonlar.</w:t>
      </w:r>
      <w:r w:rsidRPr="00441241">
        <w:rPr>
          <w:rFonts w:ascii="Times New Roman" w:hAnsi="Times New Roman" w:cs="Times New Roman"/>
          <w:sz w:val="24"/>
          <w:szCs w:val="24"/>
        </w:rPr>
        <w:br/>
        <w:t>O1 = O1.1 + O1.2</w:t>
      </w:r>
      <w:r w:rsidRPr="00441241">
        <w:rPr>
          <w:rFonts w:ascii="Times New Roman" w:hAnsi="Times New Roman" w:cs="Times New Roman"/>
          <w:sz w:val="24"/>
          <w:szCs w:val="24"/>
        </w:rPr>
        <w:br/>
        <w:t xml:space="preserve">O1.1: Bir atık gaz azaltma teknolojisi tarafından temizlenen yakalanan atık gazların emisyonları </w:t>
      </w:r>
      <w:r w:rsidRPr="00441241">
        <w:rPr>
          <w:rFonts w:ascii="Times New Roman" w:hAnsi="Times New Roman" w:cs="Times New Roman"/>
          <w:sz w:val="24"/>
          <w:szCs w:val="24"/>
        </w:rPr>
        <w:br/>
        <w:t xml:space="preserve">O1.2: Bir atık gaz azaltma teknolojisi tarafından temizlenmeyen yakalanan atık gazların emisyonları </w:t>
      </w:r>
      <w:r w:rsidRPr="00441241">
        <w:rPr>
          <w:rFonts w:ascii="Times New Roman" w:hAnsi="Times New Roman" w:cs="Times New Roman"/>
          <w:sz w:val="24"/>
          <w:szCs w:val="24"/>
        </w:rPr>
        <w:br/>
        <w:t xml:space="preserve">O2:  Suda kaybolan organik solventler, O5 hesaplanırken atık su arıtımını göz önüne alarak. </w:t>
      </w:r>
      <w:r w:rsidRPr="00441241">
        <w:rPr>
          <w:rFonts w:ascii="Times New Roman" w:hAnsi="Times New Roman" w:cs="Times New Roman"/>
          <w:sz w:val="24"/>
          <w:szCs w:val="24"/>
        </w:rPr>
        <w:br/>
        <w:t xml:space="preserve">O3: İşlem çıktıları olan ürünlerdeki kirlilik veya artık olarak kalan organik solventlerin </w:t>
      </w:r>
    </w:p>
    <w:p w14:paraId="346F010F" w14:textId="22B3DE26" w:rsidR="00070752" w:rsidRPr="00441241" w:rsidRDefault="00070752" w:rsidP="00441241">
      <w:pPr>
        <w:tabs>
          <w:tab w:val="left" w:pos="284"/>
        </w:tabs>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 miktar.</w:t>
      </w:r>
      <w:r w:rsidRPr="00441241">
        <w:rPr>
          <w:rFonts w:ascii="Times New Roman" w:hAnsi="Times New Roman" w:cs="Times New Roman"/>
          <w:sz w:val="24"/>
          <w:szCs w:val="24"/>
        </w:rPr>
        <w:br/>
        <w:t xml:space="preserve">O4: Organik solventlerin havaya salınan yakalanmayan emisyonları. Bu, havanın dış çevreye pencerelerden, kapılardan, havalandırmalardan ve benzeri açıklıklardan çıktığı, yerlerin genel olarak havalandırılmasını kapsar. </w:t>
      </w:r>
      <w:r w:rsidRPr="00441241">
        <w:rPr>
          <w:rFonts w:ascii="Times New Roman" w:hAnsi="Times New Roman" w:cs="Times New Roman"/>
          <w:sz w:val="24"/>
          <w:szCs w:val="24"/>
        </w:rPr>
        <w:br/>
        <w:t>O5: Kimyasal veya fiziksel reaksiyonlar sebebiyle kaybolan organik solventler ve/veya</w:t>
      </w:r>
      <w:r w:rsidR="005D0C9A" w:rsidRPr="00441241">
        <w:rPr>
          <w:rFonts w:ascii="Times New Roman" w:hAnsi="Times New Roman" w:cs="Times New Roman"/>
          <w:sz w:val="24"/>
          <w:szCs w:val="24"/>
        </w:rPr>
        <w:t xml:space="preserve"> </w:t>
      </w:r>
      <w:r w:rsidRPr="00441241">
        <w:rPr>
          <w:rFonts w:ascii="Times New Roman" w:hAnsi="Times New Roman" w:cs="Times New Roman"/>
          <w:sz w:val="24"/>
          <w:szCs w:val="24"/>
        </w:rPr>
        <w:t>organik bileşikler (O6, O7 veya O8 kapsamında sayılmadıkları takdirde, örneğin, atık yakımı ile, diğer atık gaz veya atık su arıtması ile yok edilenler veya örneğin adsorpsiyon ile tutulanlar)</w:t>
      </w:r>
    </w:p>
    <w:p w14:paraId="71630FE6" w14:textId="77777777" w:rsidR="00441241" w:rsidRPr="00441241" w:rsidRDefault="00070752" w:rsidP="00441241">
      <w:pPr>
        <w:tabs>
          <w:tab w:val="left" w:pos="284"/>
        </w:tabs>
        <w:spacing w:line="240" w:lineRule="auto"/>
        <w:rPr>
          <w:rFonts w:ascii="Times New Roman" w:hAnsi="Times New Roman" w:cs="Times New Roman"/>
          <w:sz w:val="24"/>
          <w:szCs w:val="24"/>
          <w:u w:val="single"/>
        </w:rPr>
      </w:pPr>
      <w:r w:rsidRPr="00441241">
        <w:rPr>
          <w:rFonts w:ascii="Times New Roman" w:hAnsi="Times New Roman" w:cs="Times New Roman"/>
          <w:sz w:val="24"/>
          <w:szCs w:val="24"/>
        </w:rPr>
        <w:t xml:space="preserve">O6: Toplanmış atık içinde tutulan organik solventler. </w:t>
      </w:r>
      <w:r w:rsidRPr="00441241">
        <w:rPr>
          <w:rFonts w:ascii="Times New Roman" w:hAnsi="Times New Roman" w:cs="Times New Roman"/>
          <w:sz w:val="24"/>
          <w:szCs w:val="24"/>
        </w:rPr>
        <w:br/>
        <w:t>O7: Ticari değeri olan bir ürün olarak satılan veya satılması düşünülen organik solventler veya karışımlar içindeki organik solventler.</w:t>
      </w:r>
      <w:r w:rsidRPr="00441241">
        <w:rPr>
          <w:rFonts w:ascii="Times New Roman" w:hAnsi="Times New Roman" w:cs="Times New Roman"/>
          <w:sz w:val="24"/>
          <w:szCs w:val="24"/>
        </w:rPr>
        <w:br/>
        <w:t>O8: Proses için bir girdi olarak değil, yeniden kullanılmak üzere geri kazanılan karışımlar içindeki organik solventler, O7 kapsamında sayılmadıkları sürece.</w:t>
      </w:r>
      <w:r w:rsidRPr="00441241">
        <w:rPr>
          <w:rFonts w:ascii="Times New Roman" w:hAnsi="Times New Roman" w:cs="Times New Roman"/>
          <w:sz w:val="24"/>
          <w:szCs w:val="24"/>
        </w:rPr>
        <w:br/>
        <w:t>O9: Diğer yollarla salınan organik solventler.</w:t>
      </w:r>
      <w:r w:rsidRPr="00441241">
        <w:rPr>
          <w:rFonts w:ascii="Times New Roman" w:hAnsi="Times New Roman" w:cs="Times New Roman"/>
          <w:sz w:val="24"/>
          <w:szCs w:val="24"/>
        </w:rPr>
        <w:br/>
      </w:r>
    </w:p>
    <w:p w14:paraId="0896C46F" w14:textId="25180F57" w:rsidR="00070752" w:rsidRPr="00441241" w:rsidRDefault="00070752" w:rsidP="00441241">
      <w:pPr>
        <w:tabs>
          <w:tab w:val="left" w:pos="284"/>
        </w:tabs>
        <w:spacing w:line="240" w:lineRule="auto"/>
        <w:rPr>
          <w:rFonts w:ascii="Times New Roman" w:hAnsi="Times New Roman" w:cs="Times New Roman"/>
          <w:sz w:val="24"/>
          <w:szCs w:val="24"/>
        </w:rPr>
      </w:pPr>
      <w:r w:rsidRPr="00441241">
        <w:rPr>
          <w:rFonts w:ascii="Times New Roman" w:hAnsi="Times New Roman" w:cs="Times New Roman"/>
          <w:sz w:val="24"/>
          <w:szCs w:val="24"/>
          <w:u w:val="single"/>
        </w:rPr>
        <w:t xml:space="preserve">Uygunluğun onaylanması için solvent yönetim planı kullanımı </w:t>
      </w:r>
    </w:p>
    <w:p w14:paraId="1AFA823C" w14:textId="77777777" w:rsidR="00070752" w:rsidRPr="00441241" w:rsidRDefault="00070752" w:rsidP="00441241">
      <w:pPr>
        <w:tabs>
          <w:tab w:val="left" w:pos="284"/>
        </w:tabs>
        <w:spacing w:line="240" w:lineRule="auto"/>
        <w:rPr>
          <w:rFonts w:ascii="Times New Roman" w:hAnsi="Times New Roman" w:cs="Times New Roman"/>
          <w:sz w:val="24"/>
          <w:szCs w:val="24"/>
        </w:rPr>
      </w:pPr>
      <w:r w:rsidRPr="00441241">
        <w:rPr>
          <w:rFonts w:ascii="Times New Roman" w:hAnsi="Times New Roman" w:cs="Times New Roman"/>
          <w:sz w:val="24"/>
          <w:szCs w:val="24"/>
        </w:rPr>
        <w:t>Solvent yönetim planının kullanımı aşağıda belirtildiği üzere onaylanacak olan özel gereklilikler ile belirlenecektir:</w:t>
      </w:r>
    </w:p>
    <w:p w14:paraId="1762FC36" w14:textId="77777777" w:rsidR="00070752" w:rsidRPr="00441241" w:rsidRDefault="00070752" w:rsidP="00441241">
      <w:pPr>
        <w:tabs>
          <w:tab w:val="left" w:pos="284"/>
        </w:tabs>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3.1 Yıllık solvent tüketiminin belirlenmesi </w:t>
      </w:r>
    </w:p>
    <w:p w14:paraId="4B7250E0" w14:textId="77777777" w:rsidR="00070752" w:rsidRPr="00441241" w:rsidRDefault="00070752" w:rsidP="00441241">
      <w:pPr>
        <w:tabs>
          <w:tab w:val="left" w:pos="284"/>
        </w:tabs>
        <w:spacing w:line="240" w:lineRule="auto"/>
        <w:rPr>
          <w:rFonts w:ascii="Times New Roman" w:hAnsi="Times New Roman" w:cs="Times New Roman"/>
          <w:sz w:val="24"/>
          <w:szCs w:val="24"/>
        </w:rPr>
      </w:pPr>
      <w:r w:rsidRPr="00441241">
        <w:rPr>
          <w:rFonts w:ascii="Times New Roman" w:hAnsi="Times New Roman" w:cs="Times New Roman"/>
          <w:sz w:val="24"/>
          <w:szCs w:val="24"/>
        </w:rPr>
        <w:t>Tüketim C aşağıdaki denkleme göre hesaplanmalıdır:</w:t>
      </w:r>
    </w:p>
    <w:p w14:paraId="7B95701F" w14:textId="77777777" w:rsidR="00070752" w:rsidRPr="00441241" w:rsidRDefault="00070752" w:rsidP="00441241">
      <w:pPr>
        <w:tabs>
          <w:tab w:val="left" w:pos="284"/>
        </w:tabs>
        <w:spacing w:line="240" w:lineRule="auto"/>
        <w:rPr>
          <w:rFonts w:ascii="Times New Roman" w:hAnsi="Times New Roman" w:cs="Times New Roman"/>
          <w:sz w:val="24"/>
          <w:szCs w:val="24"/>
        </w:rPr>
      </w:pPr>
      <w:r w:rsidRPr="00441241">
        <w:rPr>
          <w:rFonts w:ascii="Times New Roman" w:hAnsi="Times New Roman" w:cs="Times New Roman"/>
          <w:sz w:val="24"/>
          <w:szCs w:val="24"/>
        </w:rPr>
        <w:t>C = I1 – O8</w:t>
      </w:r>
    </w:p>
    <w:p w14:paraId="2EFB51CB"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3.2 Total emisyonların belirlenmesi</w:t>
      </w:r>
    </w:p>
    <w:p w14:paraId="7A7DAE63" w14:textId="77777777" w:rsidR="00070752" w:rsidRPr="00441241" w:rsidRDefault="00880206"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Emisyon</w:t>
      </w:r>
      <w:r w:rsidR="00070752" w:rsidRPr="00441241">
        <w:rPr>
          <w:rFonts w:ascii="Times New Roman" w:hAnsi="Times New Roman" w:cs="Times New Roman"/>
          <w:sz w:val="24"/>
          <w:szCs w:val="24"/>
        </w:rPr>
        <w:t xml:space="preserve"> azaltma şeması hedef emisyonları veya spesifik bir total emisyon sınır değerine uygunluğun onayı için aşağıdaki denklemlere göre E emisyonları hesaplanır:</w:t>
      </w:r>
    </w:p>
    <w:p w14:paraId="4297FD68"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a) E = F + O1 kaçak emisyonların hesaplanması </w:t>
      </w:r>
    </w:p>
    <w:p w14:paraId="5BE158EB"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b) E = F + O1.1 kaçak emisyonların hesaplanması</w:t>
      </w:r>
    </w:p>
    <w:p w14:paraId="6F1D1CEA" w14:textId="77777777" w:rsidR="00070752" w:rsidRPr="00441241" w:rsidRDefault="00880206" w:rsidP="00441241">
      <w:pPr>
        <w:spacing w:line="240" w:lineRule="auto"/>
        <w:jc w:val="both"/>
        <w:rPr>
          <w:rFonts w:ascii="Times New Roman" w:hAnsi="Times New Roman" w:cs="Times New Roman"/>
          <w:sz w:val="24"/>
          <w:szCs w:val="24"/>
        </w:rPr>
      </w:pPr>
      <w:r w:rsidRPr="00441241">
        <w:rPr>
          <w:rFonts w:ascii="Times New Roman" w:hAnsi="Times New Roman" w:cs="Times New Roman"/>
          <w:sz w:val="24"/>
          <w:szCs w:val="24"/>
        </w:rPr>
        <w:t>U</w:t>
      </w:r>
      <w:r w:rsidR="00070752" w:rsidRPr="00441241">
        <w:rPr>
          <w:rFonts w:ascii="Times New Roman" w:hAnsi="Times New Roman" w:cs="Times New Roman"/>
          <w:sz w:val="24"/>
          <w:szCs w:val="24"/>
        </w:rPr>
        <w:t xml:space="preserve">ygunluğun değerlendirilmesi için tüm ilgili faaliyetlerden total emisyonları tespit etmek amacıyla solvent yönetim planı yıllık olarak yapılmalıdır, sonra bu rakam her bir faaliyet için ayrı ayrı olarak gereklilikleri karşılansaydı ortaya çıkacak olan total emisyonlar ile karşılaştırılır. </w:t>
      </w:r>
    </w:p>
    <w:p w14:paraId="4AEB2C47"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3.3 Kaçak emisyonların tespiti </w:t>
      </w:r>
    </w:p>
    <w:p w14:paraId="3B0E6F98"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Kaçak emisyon sınır değeri, aşağıdaki denkleme göre hesaplanması gereken girdi I’in (her bir ilgili faaliyet için verilen) bir oranı olarak belirtilir: </w:t>
      </w:r>
    </w:p>
    <w:p w14:paraId="33DBDEDB"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I = I1 + I2</w:t>
      </w:r>
    </w:p>
    <w:p w14:paraId="150139B9"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3.3.1 Metodoloji</w:t>
      </w:r>
    </w:p>
    <w:p w14:paraId="6B103097"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Kaçak emisyonlar doğrudan veya dolaylı bir metot yardımıyla hesaplanır.</w:t>
      </w:r>
    </w:p>
    <w:p w14:paraId="67250E82"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3.3.1.1 Dolaylı metot</w:t>
      </w:r>
    </w:p>
    <w:p w14:paraId="13AA8299"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a) Yakalanmayan temizlenmeyen atık gazlar kaçak gaz olarak sınıflandırılmadıysa:</w:t>
      </w:r>
    </w:p>
    <w:p w14:paraId="0F60D43E"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F = I1 - O1 - O5 - O6 - O7 - O8 </w:t>
      </w:r>
    </w:p>
    <w:p w14:paraId="10BB0BE5"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b Yakalanmayan arıtılmayan atık gazlar kaçak gaz olarak sınıflandırıldıysa:</w:t>
      </w:r>
      <w:r w:rsidRPr="00441241">
        <w:rPr>
          <w:rFonts w:ascii="Times New Roman" w:hAnsi="Times New Roman" w:cs="Times New Roman"/>
          <w:sz w:val="24"/>
          <w:szCs w:val="24"/>
        </w:rPr>
        <w:br/>
        <w:t xml:space="preserve">F = I1 - O1.1 - O5 - O6 - O7 - O8 </w:t>
      </w:r>
    </w:p>
    <w:p w14:paraId="72C3FA99"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3.3.1.2 Doğrudan metot</w:t>
      </w:r>
    </w:p>
    <w:p w14:paraId="6371B871"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a) Yakalanan arıtılmayan atık gazlar kaçak gaz olarak sınıflandırılmadıysa:</w:t>
      </w:r>
    </w:p>
    <w:p w14:paraId="1CBDA071"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F = O2 + O3 + O4 + O9 </w:t>
      </w:r>
    </w:p>
    <w:p w14:paraId="31C0DD47"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b) Yakalanan arıtılmayan atık gazlar kaçak gaz olarak sınıflandırıldıysa </w:t>
      </w:r>
      <w:r w:rsidRPr="00441241">
        <w:rPr>
          <w:rFonts w:ascii="Times New Roman" w:hAnsi="Times New Roman" w:cs="Times New Roman"/>
          <w:sz w:val="24"/>
          <w:szCs w:val="24"/>
        </w:rPr>
        <w:br/>
        <w:t xml:space="preserve">F = O1.2 + O2 + O3 + O4 + O9 </w:t>
      </w:r>
    </w:p>
    <w:p w14:paraId="4EF5B88B"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Bu miktar miktarların doğrudan ölçümü ile belirlenebilir. Alternatif olarak diğer yöntemlerle buna eşdeğer bir hesaplama yapılabilir, örneğin işlemin yakalama verimliliği kullanılarak. </w:t>
      </w:r>
    </w:p>
    <w:p w14:paraId="43B59ED6" w14:textId="77777777" w:rsidR="00070752" w:rsidRPr="00441241"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3.3.2 Sıklık</w:t>
      </w:r>
    </w:p>
    <w:p w14:paraId="6DC6AE91" w14:textId="0215249D" w:rsidR="00070752" w:rsidRPr="00CA5B94" w:rsidRDefault="00070752" w:rsidP="00441241">
      <w:pPr>
        <w:spacing w:line="240" w:lineRule="auto"/>
        <w:rPr>
          <w:rFonts w:ascii="Times New Roman" w:hAnsi="Times New Roman" w:cs="Times New Roman"/>
          <w:sz w:val="24"/>
          <w:szCs w:val="24"/>
        </w:rPr>
      </w:pPr>
      <w:r w:rsidRPr="00441241">
        <w:rPr>
          <w:rFonts w:ascii="Times New Roman" w:hAnsi="Times New Roman" w:cs="Times New Roman"/>
          <w:sz w:val="24"/>
          <w:szCs w:val="24"/>
        </w:rPr>
        <w:t xml:space="preserve">Kaçak emisyonların belirlenmesi bir dizi kısa fakat kapsamlı ölçümlerle yapılabilir ve ekipman modifiye edilmediyse tekrar yapılmasına gerek yoktur. </w:t>
      </w:r>
    </w:p>
    <w:sectPr w:rsidR="00070752" w:rsidRPr="00CA5B94" w:rsidSect="000707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703BE" w14:textId="77777777" w:rsidR="00383FF1" w:rsidRDefault="00383FF1" w:rsidP="00801FFF">
      <w:pPr>
        <w:spacing w:after="0" w:line="240" w:lineRule="auto"/>
      </w:pPr>
      <w:r>
        <w:separator/>
      </w:r>
    </w:p>
  </w:endnote>
  <w:endnote w:type="continuationSeparator" w:id="0">
    <w:p w14:paraId="42FAEB67" w14:textId="77777777" w:rsidR="00383FF1" w:rsidRDefault="00383FF1" w:rsidP="00801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Franklin Gothic Heavy">
    <w:panose1 w:val="020B0903020102020204"/>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 w:name="Impact">
    <w:panose1 w:val="020B0806030902050204"/>
    <w:charset w:val="A2"/>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A2"/>
    <w:family w:val="roman"/>
    <w:pitch w:val="variable"/>
    <w:sig w:usb0="00000287" w:usb1="00000000" w:usb2="00000000" w:usb3="00000000" w:csb0="0000009F" w:csb1="00000000"/>
  </w:font>
  <w:font w:name="Sylfaen">
    <w:panose1 w:val="010A0502050306030303"/>
    <w:charset w:val="A2"/>
    <w:family w:val="roman"/>
    <w:pitch w:val="variable"/>
    <w:sig w:usb0="04000687" w:usb1="000000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Palatino Linotype">
    <w:panose1 w:val="02040502050505030304"/>
    <w:charset w:val="A2"/>
    <w:family w:val="roman"/>
    <w:pitch w:val="variable"/>
    <w:sig w:usb0="E0000287" w:usb1="40000013" w:usb2="00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Corbel">
    <w:panose1 w:val="020B0503020204020204"/>
    <w:charset w:val="A2"/>
    <w:family w:val="swiss"/>
    <w:pitch w:val="variable"/>
    <w:sig w:usb0="A00002EF" w:usb1="4000A44B" w:usb2="00000000" w:usb3="00000000" w:csb0="0000019F" w:csb1="00000000"/>
  </w:font>
  <w:font w:name="Franklin Gothic Medium">
    <w:panose1 w:val="020B0603020102020204"/>
    <w:charset w:val="A2"/>
    <w:family w:val="swiss"/>
    <w:pitch w:val="variable"/>
    <w:sig w:usb0="00000287" w:usb1="00000000" w:usb2="00000000" w:usb3="00000000" w:csb0="0000009F" w:csb1="00000000"/>
  </w:font>
  <w:font w:name="Constantia">
    <w:panose1 w:val="02030602050306030303"/>
    <w:charset w:val="A2"/>
    <w:family w:val="roman"/>
    <w:pitch w:val="variable"/>
    <w:sig w:usb0="A00002EF" w:usb1="4000204B" w:usb2="00000000" w:usb3="00000000" w:csb0="0000019F" w:csb1="00000000"/>
  </w:font>
  <w:font w:name="Century Gothic">
    <w:panose1 w:val="020B0502020202020204"/>
    <w:charset w:val="A2"/>
    <w:family w:val="swiss"/>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Segoe UI">
    <w:panose1 w:val="020B0502040204020203"/>
    <w:charset w:val="A2"/>
    <w:family w:val="swiss"/>
    <w:pitch w:val="variable"/>
    <w:sig w:usb0="E4002EFF" w:usb1="C000E47F" w:usb2="00000009" w:usb3="00000000" w:csb0="000001FF" w:csb1="00000000"/>
  </w:font>
  <w:font w:name="MinionPro-Bold">
    <w:altName w:val="Cambria"/>
    <w:panose1 w:val="00000000000000000000"/>
    <w:charset w:val="00"/>
    <w:family w:val="roman"/>
    <w:notTrueType/>
    <w:pitch w:val="default"/>
  </w:font>
  <w:font w:name="Calibri Light">
    <w:panose1 w:val="020F0302020204030204"/>
    <w:charset w:val="A2"/>
    <w:family w:val="swiss"/>
    <w:pitch w:val="variable"/>
    <w:sig w:usb0="E0002AFF" w:usb1="C000247B" w:usb2="00000009" w:usb3="00000000" w:csb0="000001FF" w:csb1="00000000"/>
  </w:font>
  <w:font w:name="TimesNewRomanPSMT">
    <w:altName w:val="MS Mincho"/>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Futura Book">
    <w:altName w:val="Arial Narrow"/>
    <w:panose1 w:val="00000000000000000000"/>
    <w:charset w:val="00"/>
    <w:family w:val="swiss"/>
    <w:notTrueType/>
    <w:pitch w:val="default"/>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Garamond">
    <w:panose1 w:val="02020404030301010803"/>
    <w:charset w:val="A2"/>
    <w:family w:val="roman"/>
    <w:pitch w:val="variable"/>
    <w:sig w:usb0="00000287" w:usb1="00000000" w:usb2="00000000" w:usb3="00000000" w:csb0="0000009F" w:csb1="00000000"/>
  </w:font>
  <w:font w:name="TimesNewRomanPS-BoldItalicMT">
    <w:altName w:val="Times New Roman"/>
    <w:charset w:val="00"/>
    <w:family w:val="roman"/>
    <w:pitch w:val="variable"/>
  </w:font>
  <w:font w:name="PF DinDisplay Pro">
    <w:altName w:val="Times New Roman"/>
    <w:charset w:val="CC"/>
    <w:family w:val="auto"/>
    <w:pitch w:val="variable"/>
    <w:sig w:usb0="A00002BF" w:usb1="5000E0FB"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Microsoft Uighur">
    <w:panose1 w:val="02000000000000000000"/>
    <w:charset w:val="00"/>
    <w:family w:val="auto"/>
    <w:pitch w:val="variable"/>
    <w:sig w:usb0="80002023" w:usb1="80000002" w:usb2="00000008" w:usb3="00000000" w:csb0="0000004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69AAE" w14:textId="77777777" w:rsidR="00383FF1" w:rsidRDefault="00383FF1" w:rsidP="00801FFF">
      <w:pPr>
        <w:spacing w:after="0" w:line="240" w:lineRule="auto"/>
      </w:pPr>
      <w:r>
        <w:separator/>
      </w:r>
    </w:p>
  </w:footnote>
  <w:footnote w:type="continuationSeparator" w:id="0">
    <w:p w14:paraId="7F29DA12" w14:textId="77777777" w:rsidR="00383FF1" w:rsidRDefault="00383FF1" w:rsidP="00801FFF">
      <w:pPr>
        <w:spacing w:after="0" w:line="240" w:lineRule="auto"/>
      </w:pPr>
      <w:r>
        <w:continuationSeparator/>
      </w:r>
    </w:p>
  </w:footnote>
  <w:footnote w:id="1">
    <w:p w14:paraId="10E2CF70" w14:textId="77777777" w:rsidR="00D16060" w:rsidRPr="00CB6494" w:rsidRDefault="00D16060" w:rsidP="00CB6494">
      <w:pPr>
        <w:pStyle w:val="DipnotMetni"/>
        <w:jc w:val="both"/>
        <w:rPr>
          <w:rFonts w:ascii="Times New Roman" w:hAnsi="Times New Roman" w:cs="Times New Roman"/>
        </w:rPr>
      </w:pPr>
      <w:r w:rsidRPr="00CB6494">
        <w:rPr>
          <w:rStyle w:val="DipnotBavurusu"/>
          <w:rFonts w:ascii="Times New Roman" w:hAnsi="Times New Roman" w:cs="Times New Roman"/>
        </w:rPr>
        <w:footnoteRef/>
      </w:r>
      <w:r w:rsidRPr="00CB6494">
        <w:rPr>
          <w:rFonts w:ascii="Times New Roman" w:hAnsi="Times New Roman" w:cs="Times New Roman"/>
        </w:rPr>
        <w:t xml:space="preserve"> Ahşap Panel Sektörü için: Fiberglas filtreler ve gravimetri ile yapılan filtrasyon yoluyla ölçülen tüm askıda katı maddelerin kütle konsantrasyonu.</w:t>
      </w:r>
    </w:p>
  </w:footnote>
  <w:footnote w:id="2">
    <w:p w14:paraId="683CAF9C" w14:textId="77777777" w:rsidR="00D16060" w:rsidRPr="00CB6494" w:rsidRDefault="00D16060" w:rsidP="00CB6494">
      <w:pPr>
        <w:pStyle w:val="DipnotMetni"/>
        <w:jc w:val="both"/>
        <w:rPr>
          <w:rFonts w:ascii="Times New Roman" w:hAnsi="Times New Roman" w:cs="Times New Roman"/>
        </w:rPr>
      </w:pPr>
      <w:r w:rsidRPr="00CB6494">
        <w:rPr>
          <w:rStyle w:val="DipnotBavurusu"/>
          <w:rFonts w:ascii="Times New Roman" w:hAnsi="Times New Roman" w:cs="Times New Roman"/>
        </w:rPr>
        <w:footnoteRef/>
      </w:r>
      <w:r w:rsidRPr="00CB6494">
        <w:rPr>
          <w:rFonts w:ascii="Times New Roman" w:hAnsi="Times New Roman" w:cs="Times New Roman"/>
        </w:rPr>
        <w:t xml:space="preserve"> Tekstil Sektörü için: Cam fiber filtreler ve gravimetri ile filtrasyon yoluyla ölçülen, tüm askıda katı maddelerin (suda) kütle konsantrasyonu.</w:t>
      </w:r>
    </w:p>
  </w:footnote>
  <w:footnote w:id="3">
    <w:p w14:paraId="7B29EF27" w14:textId="77777777" w:rsidR="00D16060" w:rsidRPr="00CB6494" w:rsidRDefault="00D16060" w:rsidP="00CB6494">
      <w:pPr>
        <w:pStyle w:val="DipnotMetni"/>
        <w:jc w:val="both"/>
        <w:rPr>
          <w:rFonts w:ascii="Times New Roman" w:hAnsi="Times New Roman" w:cs="Times New Roman"/>
        </w:rPr>
      </w:pPr>
      <w:r w:rsidRPr="00CB6494">
        <w:rPr>
          <w:rStyle w:val="DipnotBavurusu"/>
          <w:rFonts w:ascii="Times New Roman" w:hAnsi="Times New Roman" w:cs="Times New Roman"/>
        </w:rPr>
        <w:footnoteRef/>
      </w:r>
      <w:r w:rsidRPr="00CB6494">
        <w:rPr>
          <w:rFonts w:ascii="Times New Roman" w:hAnsi="Times New Roman" w:cs="Times New Roman"/>
        </w:rPr>
        <w:t xml:space="preserve"> Kimya Sektöründe Atık Su/Atık Gaz Arıtma/Yönetim Sistemleri için: Cam fiber filtreler ve gravimetri ile filtrasyon yoluyla ölçülen, tüm askıda katı maddelerin kütle konsantrasyonu.</w:t>
      </w:r>
    </w:p>
  </w:footnote>
  <w:footnote w:id="4">
    <w:p w14:paraId="12C89233" w14:textId="77777777" w:rsidR="00D16060" w:rsidRPr="00CB6494" w:rsidRDefault="00D16060" w:rsidP="00CB6494">
      <w:pPr>
        <w:pStyle w:val="DipnotMetni"/>
        <w:jc w:val="both"/>
        <w:rPr>
          <w:rFonts w:ascii="Times New Roman" w:hAnsi="Times New Roman" w:cs="Times New Roman"/>
        </w:rPr>
      </w:pPr>
      <w:r w:rsidRPr="00CB6494">
        <w:rPr>
          <w:rStyle w:val="DipnotBavurusu"/>
          <w:rFonts w:ascii="Times New Roman" w:hAnsi="Times New Roman" w:cs="Times New Roman"/>
        </w:rPr>
        <w:footnoteRef/>
      </w:r>
      <w:r w:rsidRPr="00CB6494">
        <w:rPr>
          <w:rFonts w:ascii="Times New Roman" w:hAnsi="Times New Roman" w:cs="Times New Roman"/>
        </w:rPr>
        <w:t xml:space="preserve"> Ahşap ve Ahşap Ürünlerinin Kimyasallarla Korunması Dahil, Organik Solvent Kullanılan Yüzey İşleme Sektörü için: Cam fiber filtreler ve gravimetri ile filtrasyon yoluyla ölçülen, tüm askıda katı maddelerin (suda) kütle konsantrasyonu.</w:t>
      </w:r>
    </w:p>
  </w:footnote>
  <w:footnote w:id="5">
    <w:p w14:paraId="339D58B7" w14:textId="77777777" w:rsidR="00D16060" w:rsidRPr="00CB6494" w:rsidRDefault="00D16060" w:rsidP="00CB6494">
      <w:pPr>
        <w:pStyle w:val="DipnotMetni"/>
        <w:jc w:val="both"/>
        <w:rPr>
          <w:rFonts w:ascii="Times New Roman" w:hAnsi="Times New Roman" w:cs="Times New Roman"/>
        </w:rPr>
      </w:pPr>
      <w:r w:rsidRPr="00CB6494">
        <w:rPr>
          <w:rStyle w:val="DipnotBavurusu"/>
          <w:rFonts w:ascii="Times New Roman" w:hAnsi="Times New Roman" w:cs="Times New Roman"/>
        </w:rPr>
        <w:footnoteRef/>
      </w:r>
      <w:r w:rsidRPr="00CB6494">
        <w:rPr>
          <w:rFonts w:ascii="Times New Roman" w:hAnsi="Times New Roman" w:cs="Times New Roman"/>
        </w:rPr>
        <w:t xml:space="preserve"> Gıda, İçecek ve Süt Ürünleri Sektörleri için: Cam fiber filtreler ve gravimetri ile filtrasyon yoluyla ölçülen, tüm askıda katı maddelerin (suda) kütle konsantrasyonu.</w:t>
      </w:r>
    </w:p>
  </w:footnote>
  <w:footnote w:id="6">
    <w:p w14:paraId="36612213" w14:textId="77777777" w:rsidR="00D16060" w:rsidRPr="00CB6494" w:rsidRDefault="00D16060" w:rsidP="00CB6494">
      <w:pPr>
        <w:pStyle w:val="DipnotMetni"/>
        <w:jc w:val="both"/>
        <w:rPr>
          <w:rFonts w:ascii="Times New Roman" w:hAnsi="Times New Roman" w:cs="Times New Roman"/>
        </w:rPr>
      </w:pPr>
      <w:r w:rsidRPr="00CB6494">
        <w:rPr>
          <w:rStyle w:val="DipnotBavurusu"/>
          <w:rFonts w:ascii="Times New Roman" w:hAnsi="Times New Roman" w:cs="Times New Roman"/>
        </w:rPr>
        <w:footnoteRef/>
      </w:r>
      <w:r w:rsidRPr="00CB6494">
        <w:rPr>
          <w:rFonts w:ascii="Times New Roman" w:hAnsi="Times New Roman" w:cs="Times New Roman"/>
        </w:rPr>
        <w:t xml:space="preserve"> Mezbahalar, Hayvansal Yan Ürünler ve/veya Yenebilir Ortak Ürünler Sektörleri için: Fiberglas filtreler ve gravimetri ile yapılan filtrasyon yoluyla ölçülen tüm askıda katı maddelerin kütle konsantrasyonu.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8FE8934"/>
    <w:lvl w:ilvl="0">
      <w:start w:val="1"/>
      <w:numFmt w:val="decimal"/>
      <w:pStyle w:val="ListeNumaras5"/>
      <w:lvlText w:val="%1."/>
      <w:lvlJc w:val="left"/>
      <w:pPr>
        <w:tabs>
          <w:tab w:val="num" w:pos="2267"/>
        </w:tabs>
        <w:ind w:left="2267" w:hanging="360"/>
      </w:pPr>
    </w:lvl>
  </w:abstractNum>
  <w:abstractNum w:abstractNumId="1" w15:restartNumberingAfterBreak="0">
    <w:nsid w:val="FFFFFF7D"/>
    <w:multiLevelType w:val="singleLevel"/>
    <w:tmpl w:val="266411F0"/>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0EBC8F96"/>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8FE4BF7A"/>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7B42F18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32256C"/>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DEB27E"/>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86E2BE"/>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28901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06BEFD10"/>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E02142"/>
    <w:lvl w:ilvl="0">
      <w:start w:val="1"/>
      <w:numFmt w:val="decimal"/>
      <w:lvlText w:val="/%1"/>
      <w:lvlJc w:val="left"/>
      <w:pPr>
        <w:tabs>
          <w:tab w:val="num" w:pos="360"/>
        </w:tabs>
        <w:ind w:left="360" w:hanging="360"/>
      </w:pPr>
      <w:rPr>
        <w:rFonts w:hint="default"/>
        <w:color w:val="auto"/>
        <w:sz w:val="24"/>
      </w:rPr>
    </w:lvl>
    <w:lvl w:ilvl="1">
      <w:start w:val="1"/>
      <w:numFmt w:val="decimal"/>
      <w:lvlText w:val="/%2"/>
      <w:lvlJc w:val="left"/>
      <w:pPr>
        <w:tabs>
          <w:tab w:val="num" w:pos="720"/>
        </w:tabs>
        <w:ind w:left="720" w:hanging="360"/>
      </w:pPr>
      <w:rPr>
        <w:rFonts w:hint="default"/>
      </w:rPr>
    </w:lvl>
    <w:lvl w:ilvl="2">
      <w:start w:val="1"/>
      <w:numFmt w:val="lowerRoman"/>
      <w:lvlRestart w:val="0"/>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pStyle w:val="StyleHeading5Left0Firstline0"/>
      <w:lvlText w:val="/%5"/>
      <w:lvlJc w:val="left"/>
      <w:pPr>
        <w:tabs>
          <w:tab w:val="num" w:pos="1440"/>
        </w:tabs>
        <w:ind w:left="2016" w:hanging="576"/>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0000201"/>
    <w:multiLevelType w:val="multilevel"/>
    <w:tmpl w:val="00000200"/>
    <w:styleLink w:val="01FirstBullets1"/>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2" w15:restartNumberingAfterBreak="0">
    <w:nsid w:val="00000205"/>
    <w:multiLevelType w:val="multilevel"/>
    <w:tmpl w:val="00000204"/>
    <w:styleLink w:val="02SecondBullets1"/>
    <w:lvl w:ilvl="0">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1">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2">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3">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4">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5">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6">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7">
      <w:start w:val="1"/>
      <w:numFmt w:val="decimal"/>
      <w:lvlText w:val="9.%1"/>
      <w:lvlJc w:val="left"/>
      <w:rPr>
        <w:rFonts w:ascii="Arial" w:hAnsi="Arial" w:cs="Arial"/>
        <w:b/>
        <w:bCs/>
        <w:i w:val="0"/>
        <w:iCs w:val="0"/>
        <w:smallCaps w:val="0"/>
        <w:strike w:val="0"/>
        <w:color w:val="000000"/>
        <w:spacing w:val="0"/>
        <w:w w:val="100"/>
        <w:position w:val="0"/>
        <w:sz w:val="27"/>
        <w:szCs w:val="27"/>
        <w:u w:val="none"/>
      </w:rPr>
    </w:lvl>
    <w:lvl w:ilvl="8">
      <w:start w:val="1"/>
      <w:numFmt w:val="decimal"/>
      <w:lvlText w:val="9.%1"/>
      <w:lvlJc w:val="left"/>
      <w:rPr>
        <w:rFonts w:ascii="Arial" w:hAnsi="Arial" w:cs="Arial"/>
        <w:b/>
        <w:bCs/>
        <w:i w:val="0"/>
        <w:iCs w:val="0"/>
        <w:smallCaps w:val="0"/>
        <w:strike w:val="0"/>
        <w:color w:val="000000"/>
        <w:spacing w:val="0"/>
        <w:w w:val="100"/>
        <w:position w:val="0"/>
        <w:sz w:val="27"/>
        <w:szCs w:val="27"/>
        <w:u w:val="none"/>
      </w:rPr>
    </w:lvl>
  </w:abstractNum>
  <w:abstractNum w:abstractNumId="13" w15:restartNumberingAfterBreak="0">
    <w:nsid w:val="0000020B"/>
    <w:multiLevelType w:val="multilevel"/>
    <w:tmpl w:val="0000020A"/>
    <w:styleLink w:val="03ThirdBullet1"/>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4" w15:restartNumberingAfterBreak="0">
    <w:nsid w:val="0000020D"/>
    <w:multiLevelType w:val="multilevel"/>
    <w:tmpl w:val="0000020C"/>
    <w:styleLink w:val="1111111"/>
    <w:lvl w:ilvl="0">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5" w15:restartNumberingAfterBreak="0">
    <w:nsid w:val="00000211"/>
    <w:multiLevelType w:val="multilevel"/>
    <w:tmpl w:val="00000210"/>
    <w:styleLink w:val="Letterlist1"/>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6" w15:restartNumberingAfterBreak="0">
    <w:nsid w:val="00000231"/>
    <w:multiLevelType w:val="multilevel"/>
    <w:tmpl w:val="00000230"/>
    <w:styleLink w:val="01FirstBullets2"/>
    <w:lvl w:ilvl="0">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1">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2">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3">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4">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5">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6">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7">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8">
      <w:start w:val="24"/>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abstractNum>
  <w:abstractNum w:abstractNumId="17" w15:restartNumberingAfterBreak="0">
    <w:nsid w:val="00000233"/>
    <w:multiLevelType w:val="multilevel"/>
    <w:tmpl w:val="00000232"/>
    <w:styleLink w:val="02SecondBullets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8" w15:restartNumberingAfterBreak="0">
    <w:nsid w:val="00000235"/>
    <w:multiLevelType w:val="multilevel"/>
    <w:tmpl w:val="00000234"/>
    <w:styleLink w:val="03ThirdBullet2"/>
    <w:lvl w:ilvl="0">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9" w15:restartNumberingAfterBreak="0">
    <w:nsid w:val="00000237"/>
    <w:multiLevelType w:val="multilevel"/>
    <w:tmpl w:val="00000236"/>
    <w:styleLink w:val="111111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0" w15:restartNumberingAfterBreak="0">
    <w:nsid w:val="0000023B"/>
    <w:multiLevelType w:val="multilevel"/>
    <w:tmpl w:val="0000023A"/>
    <w:styleLink w:val="Letterlist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1" w15:restartNumberingAfterBreak="0">
    <w:nsid w:val="0000023D"/>
    <w:multiLevelType w:val="multilevel"/>
    <w:tmpl w:val="0000023C"/>
    <w:styleLink w:val="StyleNumbered1"/>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2" w15:restartNumberingAfterBreak="0">
    <w:nsid w:val="00000259"/>
    <w:multiLevelType w:val="multilevel"/>
    <w:tmpl w:val="00000258"/>
    <w:styleLink w:val="Numberlist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3" w15:restartNumberingAfterBreak="0">
    <w:nsid w:val="00000265"/>
    <w:multiLevelType w:val="multilevel"/>
    <w:tmpl w:val="00000264"/>
    <w:styleLink w:val="StyleNumbered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4" w15:restartNumberingAfterBreak="0">
    <w:nsid w:val="00281BE4"/>
    <w:multiLevelType w:val="multilevel"/>
    <w:tmpl w:val="3B0803D6"/>
    <w:styleLink w:val="GeerliListe154"/>
    <w:lvl w:ilvl="0">
      <w:start w:val="1"/>
      <w:numFmt w:val="decimal"/>
      <w:lvlText w:val="1.%1"/>
      <w:lvlJc w:val="left"/>
      <w:pPr>
        <w:ind w:left="432" w:hanging="432"/>
      </w:pPr>
      <w:rPr>
        <w:rFonts w:hint="default"/>
      </w:rPr>
    </w:lvl>
    <w:lvl w:ilvl="1">
      <w:start w:val="1"/>
      <w:numFmt w:val="none"/>
      <w:lvlText w:val="1.1.12"/>
      <w:lvlJc w:val="left"/>
      <w:pPr>
        <w:ind w:left="666" w:hanging="576"/>
      </w:pPr>
      <w:rPr>
        <w:rFonts w:hint="default"/>
      </w:rPr>
    </w:lvl>
    <w:lvl w:ilvl="2">
      <w:start w:val="1"/>
      <w:numFmt w:val="decimal"/>
      <w:lvlText w:val="%1.1%2.1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008818E9"/>
    <w:multiLevelType w:val="hybridMultilevel"/>
    <w:tmpl w:val="B17431B6"/>
    <w:lvl w:ilvl="0" w:tplc="94342790">
      <w:start w:val="1"/>
      <w:numFmt w:val="decimal"/>
      <w:lvlText w:val="%1."/>
      <w:lvlJc w:val="left"/>
      <w:pPr>
        <w:ind w:left="564" w:hanging="360"/>
      </w:pPr>
      <w:rPr>
        <w:rFonts w:ascii="Times New Roman" w:eastAsia="Times New Roman" w:hAnsi="Times New Roman" w:cs="Times New Roman" w:hint="default"/>
        <w:spacing w:val="0"/>
        <w:w w:val="99"/>
        <w:sz w:val="20"/>
        <w:szCs w:val="20"/>
        <w:lang w:val="en-US" w:eastAsia="en-US" w:bidi="ar-SA"/>
      </w:rPr>
    </w:lvl>
    <w:lvl w:ilvl="1" w:tplc="1A4EA712">
      <w:numFmt w:val="bullet"/>
      <w:lvlText w:val="•"/>
      <w:lvlJc w:val="left"/>
      <w:pPr>
        <w:ind w:left="857" w:hanging="360"/>
      </w:pPr>
      <w:rPr>
        <w:rFonts w:hint="default"/>
        <w:lang w:val="en-US" w:eastAsia="en-US" w:bidi="ar-SA"/>
      </w:rPr>
    </w:lvl>
    <w:lvl w:ilvl="2" w:tplc="DC0EBED2">
      <w:numFmt w:val="bullet"/>
      <w:lvlText w:val="•"/>
      <w:lvlJc w:val="left"/>
      <w:pPr>
        <w:ind w:left="1154" w:hanging="360"/>
      </w:pPr>
      <w:rPr>
        <w:rFonts w:hint="default"/>
        <w:lang w:val="en-US" w:eastAsia="en-US" w:bidi="ar-SA"/>
      </w:rPr>
    </w:lvl>
    <w:lvl w:ilvl="3" w:tplc="1FE032C8">
      <w:numFmt w:val="bullet"/>
      <w:lvlText w:val="•"/>
      <w:lvlJc w:val="left"/>
      <w:pPr>
        <w:ind w:left="1451" w:hanging="360"/>
      </w:pPr>
      <w:rPr>
        <w:rFonts w:hint="default"/>
        <w:lang w:val="en-US" w:eastAsia="en-US" w:bidi="ar-SA"/>
      </w:rPr>
    </w:lvl>
    <w:lvl w:ilvl="4" w:tplc="A29A5734">
      <w:numFmt w:val="bullet"/>
      <w:lvlText w:val="•"/>
      <w:lvlJc w:val="left"/>
      <w:pPr>
        <w:ind w:left="1748" w:hanging="360"/>
      </w:pPr>
      <w:rPr>
        <w:rFonts w:hint="default"/>
        <w:lang w:val="en-US" w:eastAsia="en-US" w:bidi="ar-SA"/>
      </w:rPr>
    </w:lvl>
    <w:lvl w:ilvl="5" w:tplc="CA5844F2">
      <w:numFmt w:val="bullet"/>
      <w:lvlText w:val="•"/>
      <w:lvlJc w:val="left"/>
      <w:pPr>
        <w:ind w:left="2045" w:hanging="360"/>
      </w:pPr>
      <w:rPr>
        <w:rFonts w:hint="default"/>
        <w:lang w:val="en-US" w:eastAsia="en-US" w:bidi="ar-SA"/>
      </w:rPr>
    </w:lvl>
    <w:lvl w:ilvl="6" w:tplc="525638A0">
      <w:numFmt w:val="bullet"/>
      <w:lvlText w:val="•"/>
      <w:lvlJc w:val="left"/>
      <w:pPr>
        <w:ind w:left="2342" w:hanging="360"/>
      </w:pPr>
      <w:rPr>
        <w:rFonts w:hint="default"/>
        <w:lang w:val="en-US" w:eastAsia="en-US" w:bidi="ar-SA"/>
      </w:rPr>
    </w:lvl>
    <w:lvl w:ilvl="7" w:tplc="9EA25778">
      <w:numFmt w:val="bullet"/>
      <w:lvlText w:val="•"/>
      <w:lvlJc w:val="left"/>
      <w:pPr>
        <w:ind w:left="2639" w:hanging="360"/>
      </w:pPr>
      <w:rPr>
        <w:rFonts w:hint="default"/>
        <w:lang w:val="en-US" w:eastAsia="en-US" w:bidi="ar-SA"/>
      </w:rPr>
    </w:lvl>
    <w:lvl w:ilvl="8" w:tplc="33468258">
      <w:numFmt w:val="bullet"/>
      <w:lvlText w:val="•"/>
      <w:lvlJc w:val="left"/>
      <w:pPr>
        <w:ind w:left="2936" w:hanging="360"/>
      </w:pPr>
      <w:rPr>
        <w:rFonts w:hint="default"/>
        <w:lang w:val="en-US" w:eastAsia="en-US" w:bidi="ar-SA"/>
      </w:rPr>
    </w:lvl>
  </w:abstractNum>
  <w:abstractNum w:abstractNumId="26" w15:restartNumberingAfterBreak="0">
    <w:nsid w:val="01931978"/>
    <w:multiLevelType w:val="multilevel"/>
    <w:tmpl w:val="7F86DD86"/>
    <w:styleLink w:val="GeerliListe191"/>
    <w:lvl w:ilvl="0">
      <w:start w:val="1"/>
      <w:numFmt w:val="decimal"/>
      <w:lvlText w:val="1.%1"/>
      <w:lvlJc w:val="left"/>
      <w:pPr>
        <w:ind w:left="432" w:hanging="432"/>
      </w:pPr>
      <w:rPr>
        <w:rFonts w:hint="default"/>
      </w:rPr>
    </w:lvl>
    <w:lvl w:ilvl="1">
      <w:start w:val="1"/>
      <w:numFmt w:val="none"/>
      <w:lvlText w:val="1.1.1"/>
      <w:lvlJc w:val="left"/>
      <w:pPr>
        <w:ind w:left="666" w:hanging="576"/>
      </w:pPr>
      <w:rPr>
        <w:rFonts w:hint="default"/>
      </w:rPr>
    </w:lvl>
    <w:lvl w:ilvl="2">
      <w:start w:val="1"/>
      <w:numFmt w:val="decimal"/>
      <w:lvlText w:val="%1.1%2.1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01EF55A4"/>
    <w:multiLevelType w:val="hybridMultilevel"/>
    <w:tmpl w:val="572A5054"/>
    <w:lvl w:ilvl="0" w:tplc="BA8E7FFC">
      <w:start w:val="1"/>
      <w:numFmt w:val="lowerRoman"/>
      <w:lvlText w:val="%1."/>
      <w:lvlJc w:val="left"/>
      <w:pPr>
        <w:ind w:left="366" w:hanging="163"/>
      </w:pPr>
      <w:rPr>
        <w:rFonts w:ascii="Times New Roman" w:eastAsia="Times New Roman" w:hAnsi="Times New Roman" w:cs="Times New Roman" w:hint="default"/>
        <w:spacing w:val="-1"/>
        <w:w w:val="99"/>
        <w:sz w:val="20"/>
        <w:szCs w:val="20"/>
        <w:lang w:val="en-US" w:eastAsia="en-US" w:bidi="ar-SA"/>
      </w:rPr>
    </w:lvl>
    <w:lvl w:ilvl="1" w:tplc="738E973E">
      <w:numFmt w:val="bullet"/>
      <w:lvlText w:val="•"/>
      <w:lvlJc w:val="left"/>
      <w:pPr>
        <w:ind w:left="710" w:hanging="163"/>
      </w:pPr>
      <w:rPr>
        <w:rFonts w:hint="default"/>
        <w:lang w:val="en-US" w:eastAsia="en-US" w:bidi="ar-SA"/>
      </w:rPr>
    </w:lvl>
    <w:lvl w:ilvl="2" w:tplc="97C03A06">
      <w:numFmt w:val="bullet"/>
      <w:lvlText w:val="•"/>
      <w:lvlJc w:val="left"/>
      <w:pPr>
        <w:ind w:left="1060" w:hanging="163"/>
      </w:pPr>
      <w:rPr>
        <w:rFonts w:hint="default"/>
        <w:lang w:val="en-US" w:eastAsia="en-US" w:bidi="ar-SA"/>
      </w:rPr>
    </w:lvl>
    <w:lvl w:ilvl="3" w:tplc="712C10AC">
      <w:numFmt w:val="bullet"/>
      <w:lvlText w:val="•"/>
      <w:lvlJc w:val="left"/>
      <w:pPr>
        <w:ind w:left="1410" w:hanging="163"/>
      </w:pPr>
      <w:rPr>
        <w:rFonts w:hint="default"/>
        <w:lang w:val="en-US" w:eastAsia="en-US" w:bidi="ar-SA"/>
      </w:rPr>
    </w:lvl>
    <w:lvl w:ilvl="4" w:tplc="145A1ECE">
      <w:numFmt w:val="bullet"/>
      <w:lvlText w:val="•"/>
      <w:lvlJc w:val="left"/>
      <w:pPr>
        <w:ind w:left="1760" w:hanging="163"/>
      </w:pPr>
      <w:rPr>
        <w:rFonts w:hint="default"/>
        <w:lang w:val="en-US" w:eastAsia="en-US" w:bidi="ar-SA"/>
      </w:rPr>
    </w:lvl>
    <w:lvl w:ilvl="5" w:tplc="45567674">
      <w:numFmt w:val="bullet"/>
      <w:lvlText w:val="•"/>
      <w:lvlJc w:val="left"/>
      <w:pPr>
        <w:ind w:left="2111" w:hanging="163"/>
      </w:pPr>
      <w:rPr>
        <w:rFonts w:hint="default"/>
        <w:lang w:val="en-US" w:eastAsia="en-US" w:bidi="ar-SA"/>
      </w:rPr>
    </w:lvl>
    <w:lvl w:ilvl="6" w:tplc="D5EC633C">
      <w:numFmt w:val="bullet"/>
      <w:lvlText w:val="•"/>
      <w:lvlJc w:val="left"/>
      <w:pPr>
        <w:ind w:left="2461" w:hanging="163"/>
      </w:pPr>
      <w:rPr>
        <w:rFonts w:hint="default"/>
        <w:lang w:val="en-US" w:eastAsia="en-US" w:bidi="ar-SA"/>
      </w:rPr>
    </w:lvl>
    <w:lvl w:ilvl="7" w:tplc="5A0E4540">
      <w:numFmt w:val="bullet"/>
      <w:lvlText w:val="•"/>
      <w:lvlJc w:val="left"/>
      <w:pPr>
        <w:ind w:left="2811" w:hanging="163"/>
      </w:pPr>
      <w:rPr>
        <w:rFonts w:hint="default"/>
        <w:lang w:val="en-US" w:eastAsia="en-US" w:bidi="ar-SA"/>
      </w:rPr>
    </w:lvl>
    <w:lvl w:ilvl="8" w:tplc="02B886AA">
      <w:numFmt w:val="bullet"/>
      <w:lvlText w:val="•"/>
      <w:lvlJc w:val="left"/>
      <w:pPr>
        <w:ind w:left="3161" w:hanging="163"/>
      </w:pPr>
      <w:rPr>
        <w:rFonts w:hint="default"/>
        <w:lang w:val="en-US" w:eastAsia="en-US" w:bidi="ar-SA"/>
      </w:rPr>
    </w:lvl>
  </w:abstractNum>
  <w:abstractNum w:abstractNumId="28" w15:restartNumberingAfterBreak="0">
    <w:nsid w:val="029D02E4"/>
    <w:multiLevelType w:val="hybridMultilevel"/>
    <w:tmpl w:val="8C203DB2"/>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DD0C9B5C">
      <w:start w:val="1"/>
      <mc:AlternateContent>
        <mc:Choice Requires="w14">
          <w:numFmt w:val="custom" w:format="a, ç, ĝ, ..."/>
        </mc:Choice>
        <mc:Fallback>
          <w:numFmt w:val="decimal"/>
        </mc:Fallback>
      </mc:AlternateContent>
      <w:lvlText w:val="%2."/>
      <w:lvlJc w:val="left"/>
      <w:pPr>
        <w:ind w:left="1440" w:hanging="360"/>
      </w:pPr>
      <w:rPr>
        <w:rFonts w:ascii="Times New Roman" w:hAnsi="Times New Roman" w:hint="default"/>
        <w:b w:val="0"/>
        <w:i w:val="0"/>
        <w:sz w:val="22"/>
      </w:rPr>
    </w:lvl>
    <w:lvl w:ilvl="2" w:tplc="329C02F2">
      <w:start w:val="1"/>
      <w:numFmt w:val="decimal"/>
      <w:lvlText w:val="%3)"/>
      <w:lvlJc w:val="left"/>
      <w:pPr>
        <w:ind w:left="2535" w:hanging="55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2EF4129"/>
    <w:multiLevelType w:val="multilevel"/>
    <w:tmpl w:val="267A69F2"/>
    <w:styleLink w:val="GeerliListe1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03047083"/>
    <w:multiLevelType w:val="hybridMultilevel"/>
    <w:tmpl w:val="3564C6C0"/>
    <w:lvl w:ilvl="0" w:tplc="C69008A6">
      <w:numFmt w:val="bullet"/>
      <w:lvlText w:val="-"/>
      <w:lvlJc w:val="left"/>
      <w:pPr>
        <w:ind w:left="279" w:hanging="195"/>
      </w:pPr>
      <w:rPr>
        <w:rFonts w:ascii="Times New Roman" w:eastAsia="Times New Roman" w:hAnsi="Times New Roman" w:cs="Times New Roman" w:hint="default"/>
        <w:w w:val="99"/>
        <w:sz w:val="20"/>
        <w:szCs w:val="20"/>
        <w:lang w:val="en-US" w:eastAsia="en-US" w:bidi="ar-SA"/>
      </w:rPr>
    </w:lvl>
    <w:lvl w:ilvl="1" w:tplc="08CE08FC">
      <w:numFmt w:val="bullet"/>
      <w:lvlText w:val="•"/>
      <w:lvlJc w:val="left"/>
      <w:pPr>
        <w:ind w:left="761" w:hanging="195"/>
      </w:pPr>
      <w:rPr>
        <w:rFonts w:hint="default"/>
        <w:lang w:val="en-US" w:eastAsia="en-US" w:bidi="ar-SA"/>
      </w:rPr>
    </w:lvl>
    <w:lvl w:ilvl="2" w:tplc="01A46C5C">
      <w:numFmt w:val="bullet"/>
      <w:lvlText w:val="•"/>
      <w:lvlJc w:val="left"/>
      <w:pPr>
        <w:ind w:left="1242" w:hanging="195"/>
      </w:pPr>
      <w:rPr>
        <w:rFonts w:hint="default"/>
        <w:lang w:val="en-US" w:eastAsia="en-US" w:bidi="ar-SA"/>
      </w:rPr>
    </w:lvl>
    <w:lvl w:ilvl="3" w:tplc="9914F8DA">
      <w:numFmt w:val="bullet"/>
      <w:lvlText w:val="•"/>
      <w:lvlJc w:val="left"/>
      <w:pPr>
        <w:ind w:left="1723" w:hanging="195"/>
      </w:pPr>
      <w:rPr>
        <w:rFonts w:hint="default"/>
        <w:lang w:val="en-US" w:eastAsia="en-US" w:bidi="ar-SA"/>
      </w:rPr>
    </w:lvl>
    <w:lvl w:ilvl="4" w:tplc="7B2CC1AC">
      <w:numFmt w:val="bullet"/>
      <w:lvlText w:val="•"/>
      <w:lvlJc w:val="left"/>
      <w:pPr>
        <w:ind w:left="2205" w:hanging="195"/>
      </w:pPr>
      <w:rPr>
        <w:rFonts w:hint="default"/>
        <w:lang w:val="en-US" w:eastAsia="en-US" w:bidi="ar-SA"/>
      </w:rPr>
    </w:lvl>
    <w:lvl w:ilvl="5" w:tplc="6FD23406">
      <w:numFmt w:val="bullet"/>
      <w:lvlText w:val="•"/>
      <w:lvlJc w:val="left"/>
      <w:pPr>
        <w:ind w:left="2686" w:hanging="195"/>
      </w:pPr>
      <w:rPr>
        <w:rFonts w:hint="default"/>
        <w:lang w:val="en-US" w:eastAsia="en-US" w:bidi="ar-SA"/>
      </w:rPr>
    </w:lvl>
    <w:lvl w:ilvl="6" w:tplc="51CA29F8">
      <w:numFmt w:val="bullet"/>
      <w:lvlText w:val="•"/>
      <w:lvlJc w:val="left"/>
      <w:pPr>
        <w:ind w:left="3167" w:hanging="195"/>
      </w:pPr>
      <w:rPr>
        <w:rFonts w:hint="default"/>
        <w:lang w:val="en-US" w:eastAsia="en-US" w:bidi="ar-SA"/>
      </w:rPr>
    </w:lvl>
    <w:lvl w:ilvl="7" w:tplc="7B528378">
      <w:numFmt w:val="bullet"/>
      <w:lvlText w:val="•"/>
      <w:lvlJc w:val="left"/>
      <w:pPr>
        <w:ind w:left="3649" w:hanging="195"/>
      </w:pPr>
      <w:rPr>
        <w:rFonts w:hint="default"/>
        <w:lang w:val="en-US" w:eastAsia="en-US" w:bidi="ar-SA"/>
      </w:rPr>
    </w:lvl>
    <w:lvl w:ilvl="8" w:tplc="F9C23AEA">
      <w:numFmt w:val="bullet"/>
      <w:lvlText w:val="•"/>
      <w:lvlJc w:val="left"/>
      <w:pPr>
        <w:ind w:left="4130" w:hanging="195"/>
      </w:pPr>
      <w:rPr>
        <w:rFonts w:hint="default"/>
        <w:lang w:val="en-US" w:eastAsia="en-US" w:bidi="ar-SA"/>
      </w:rPr>
    </w:lvl>
  </w:abstractNum>
  <w:abstractNum w:abstractNumId="31" w15:restartNumberingAfterBreak="0">
    <w:nsid w:val="032A0A1E"/>
    <w:multiLevelType w:val="multilevel"/>
    <w:tmpl w:val="044E9140"/>
    <w:styleLink w:val="GeerliListe124"/>
    <w:lvl w:ilvl="0">
      <w:start w:val="1"/>
      <w:numFmt w:val="decimal"/>
      <w:lvlText w:val="1.%1"/>
      <w:lvlJc w:val="left"/>
      <w:pPr>
        <w:ind w:left="432" w:hanging="432"/>
      </w:pPr>
      <w:rPr>
        <w:rFonts w:hint="default"/>
      </w:rPr>
    </w:lvl>
    <w:lvl w:ilvl="1">
      <w:start w:val="1"/>
      <w:numFmt w:val="none"/>
      <w:lvlText w:val="2.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03D65124"/>
    <w:multiLevelType w:val="hybridMultilevel"/>
    <w:tmpl w:val="51F8FFFA"/>
    <w:lvl w:ilvl="0" w:tplc="A2786A0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04391C51"/>
    <w:multiLevelType w:val="multilevel"/>
    <w:tmpl w:val="13F4BA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052E5C54"/>
    <w:multiLevelType w:val="multilevel"/>
    <w:tmpl w:val="389E8C58"/>
    <w:styleLink w:val="Letterlist"/>
    <w:lvl w:ilvl="0">
      <w:start w:val="1"/>
      <w:numFmt w:val="lowerLetter"/>
      <w:lvlText w:val="%1."/>
      <w:lvlJc w:val="left"/>
      <w:pPr>
        <w:tabs>
          <w:tab w:val="num" w:pos="567"/>
        </w:tabs>
        <w:ind w:left="567" w:hanging="567"/>
      </w:pPr>
      <w:rPr>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054733E6"/>
    <w:multiLevelType w:val="multilevel"/>
    <w:tmpl w:val="18F25B9C"/>
    <w:styleLink w:val="GeerliListe12"/>
    <w:lvl w:ilvl="0">
      <w:start w:val="1"/>
      <w:numFmt w:val="upperRoman"/>
      <w:lvlText w:val="%1."/>
      <w:lvlJc w:val="left"/>
      <w:pPr>
        <w:ind w:left="740" w:hanging="360"/>
      </w:pPr>
      <w:rPr>
        <w:rFonts w:hint="default"/>
      </w:r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36" w15:restartNumberingAfterBreak="0">
    <w:nsid w:val="05EE22BB"/>
    <w:multiLevelType w:val="hybridMultilevel"/>
    <w:tmpl w:val="1E90CFF6"/>
    <w:lvl w:ilvl="0" w:tplc="428C5B2C">
      <w:start w:val="1"/>
      <w:numFmt w:val="upperRoman"/>
      <w:pStyle w:val="Latinnumaralandrma"/>
      <w:lvlText w:val="%1."/>
      <w:lvlJc w:val="righ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7" w15:restartNumberingAfterBreak="0">
    <w:nsid w:val="068E37E6"/>
    <w:multiLevelType w:val="hybridMultilevel"/>
    <w:tmpl w:val="4CC22ED2"/>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8" w15:restartNumberingAfterBreak="0">
    <w:nsid w:val="06D3740F"/>
    <w:multiLevelType w:val="hybridMultilevel"/>
    <w:tmpl w:val="540E0960"/>
    <w:lvl w:ilvl="0" w:tplc="B9A8E7DC">
      <w:start w:val="1"/>
      <w:numFmt w:val="decimal"/>
      <w:lvlText w:val="(%1)"/>
      <w:lvlJc w:val="left"/>
      <w:pPr>
        <w:ind w:left="283" w:hanging="261"/>
      </w:pPr>
      <w:rPr>
        <w:rFonts w:ascii="Times New Roman" w:eastAsia="Times New Roman" w:hAnsi="Times New Roman" w:cs="Times New Roman" w:hint="default"/>
        <w:spacing w:val="-12"/>
        <w:w w:val="100"/>
        <w:sz w:val="18"/>
        <w:szCs w:val="18"/>
        <w:lang w:val="en-US" w:eastAsia="en-US" w:bidi="ar-SA"/>
      </w:rPr>
    </w:lvl>
    <w:lvl w:ilvl="1" w:tplc="8BDC1FE4">
      <w:numFmt w:val="bullet"/>
      <w:lvlText w:val="•"/>
      <w:lvlJc w:val="left"/>
      <w:pPr>
        <w:ind w:left="1073" w:hanging="261"/>
      </w:pPr>
      <w:rPr>
        <w:rFonts w:hint="default"/>
        <w:lang w:val="en-US" w:eastAsia="en-US" w:bidi="ar-SA"/>
      </w:rPr>
    </w:lvl>
    <w:lvl w:ilvl="2" w:tplc="CA2EEB86">
      <w:numFmt w:val="bullet"/>
      <w:lvlText w:val="•"/>
      <w:lvlJc w:val="left"/>
      <w:pPr>
        <w:ind w:left="1866" w:hanging="261"/>
      </w:pPr>
      <w:rPr>
        <w:rFonts w:hint="default"/>
        <w:lang w:val="en-US" w:eastAsia="en-US" w:bidi="ar-SA"/>
      </w:rPr>
    </w:lvl>
    <w:lvl w:ilvl="3" w:tplc="0B8AE9AE">
      <w:numFmt w:val="bullet"/>
      <w:lvlText w:val="•"/>
      <w:lvlJc w:val="left"/>
      <w:pPr>
        <w:ind w:left="2659" w:hanging="261"/>
      </w:pPr>
      <w:rPr>
        <w:rFonts w:hint="default"/>
        <w:lang w:val="en-US" w:eastAsia="en-US" w:bidi="ar-SA"/>
      </w:rPr>
    </w:lvl>
    <w:lvl w:ilvl="4" w:tplc="5E94BB0E">
      <w:numFmt w:val="bullet"/>
      <w:lvlText w:val="•"/>
      <w:lvlJc w:val="left"/>
      <w:pPr>
        <w:ind w:left="3452" w:hanging="261"/>
      </w:pPr>
      <w:rPr>
        <w:rFonts w:hint="default"/>
        <w:lang w:val="en-US" w:eastAsia="en-US" w:bidi="ar-SA"/>
      </w:rPr>
    </w:lvl>
    <w:lvl w:ilvl="5" w:tplc="90FA40BC">
      <w:numFmt w:val="bullet"/>
      <w:lvlText w:val="•"/>
      <w:lvlJc w:val="left"/>
      <w:pPr>
        <w:ind w:left="4246" w:hanging="261"/>
      </w:pPr>
      <w:rPr>
        <w:rFonts w:hint="default"/>
        <w:lang w:val="en-US" w:eastAsia="en-US" w:bidi="ar-SA"/>
      </w:rPr>
    </w:lvl>
    <w:lvl w:ilvl="6" w:tplc="BC7A21A2">
      <w:numFmt w:val="bullet"/>
      <w:lvlText w:val="•"/>
      <w:lvlJc w:val="left"/>
      <w:pPr>
        <w:ind w:left="5039" w:hanging="261"/>
      </w:pPr>
      <w:rPr>
        <w:rFonts w:hint="default"/>
        <w:lang w:val="en-US" w:eastAsia="en-US" w:bidi="ar-SA"/>
      </w:rPr>
    </w:lvl>
    <w:lvl w:ilvl="7" w:tplc="AC188074">
      <w:numFmt w:val="bullet"/>
      <w:lvlText w:val="•"/>
      <w:lvlJc w:val="left"/>
      <w:pPr>
        <w:ind w:left="5832" w:hanging="261"/>
      </w:pPr>
      <w:rPr>
        <w:rFonts w:hint="default"/>
        <w:lang w:val="en-US" w:eastAsia="en-US" w:bidi="ar-SA"/>
      </w:rPr>
    </w:lvl>
    <w:lvl w:ilvl="8" w:tplc="6C1E3F1C">
      <w:numFmt w:val="bullet"/>
      <w:lvlText w:val="•"/>
      <w:lvlJc w:val="left"/>
      <w:pPr>
        <w:ind w:left="6625" w:hanging="261"/>
      </w:pPr>
      <w:rPr>
        <w:rFonts w:hint="default"/>
        <w:lang w:val="en-US" w:eastAsia="en-US" w:bidi="ar-SA"/>
      </w:rPr>
    </w:lvl>
  </w:abstractNum>
  <w:abstractNum w:abstractNumId="39" w15:restartNumberingAfterBreak="0">
    <w:nsid w:val="07514BBB"/>
    <w:multiLevelType w:val="hybridMultilevel"/>
    <w:tmpl w:val="EFE844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7B01633"/>
    <w:multiLevelType w:val="multilevel"/>
    <w:tmpl w:val="145C55A8"/>
    <w:styleLink w:val="GeerliListe4"/>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088922E5"/>
    <w:multiLevelType w:val="multilevel"/>
    <w:tmpl w:val="71AAFE58"/>
    <w:lvl w:ilvl="0">
      <w:start w:val="1"/>
      <w:numFmt w:val="decimal"/>
      <w:lvlText w:val="%1"/>
      <w:lvlJc w:val="left"/>
      <w:pPr>
        <w:ind w:left="540" w:hanging="540"/>
      </w:pPr>
      <w:rPr>
        <w:rFonts w:hint="default"/>
      </w:rPr>
    </w:lvl>
    <w:lvl w:ilvl="1">
      <w:start w:val="1"/>
      <w:numFmt w:val="decimal"/>
      <w:lvlText w:val="%1.%2"/>
      <w:lvlJc w:val="left"/>
      <w:pPr>
        <w:ind w:left="585" w:hanging="540"/>
      </w:pPr>
      <w:rPr>
        <w:rFonts w:hint="default"/>
      </w:rPr>
    </w:lvl>
    <w:lvl w:ilvl="2">
      <w:start w:val="1"/>
      <w:numFmt w:val="none"/>
      <w:lvlText w:val="1.1.16"/>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42" w15:restartNumberingAfterBreak="0">
    <w:nsid w:val="09F534BA"/>
    <w:multiLevelType w:val="hybridMultilevel"/>
    <w:tmpl w:val="20D28508"/>
    <w:lvl w:ilvl="0" w:tplc="8E302A2C">
      <w:numFmt w:val="bullet"/>
      <w:lvlText w:val="-"/>
      <w:lvlJc w:val="left"/>
      <w:pPr>
        <w:ind w:left="107" w:hanging="245"/>
      </w:pPr>
      <w:rPr>
        <w:rFonts w:ascii="Times New Roman" w:eastAsia="Times New Roman" w:hAnsi="Times New Roman" w:cs="Times New Roman" w:hint="default"/>
        <w:w w:val="99"/>
        <w:sz w:val="20"/>
        <w:szCs w:val="20"/>
        <w:lang w:val="en-US" w:eastAsia="en-US" w:bidi="ar-SA"/>
      </w:rPr>
    </w:lvl>
    <w:lvl w:ilvl="1" w:tplc="37785256">
      <w:numFmt w:val="bullet"/>
      <w:lvlText w:val="•"/>
      <w:lvlJc w:val="left"/>
      <w:pPr>
        <w:ind w:left="398" w:hanging="245"/>
      </w:pPr>
      <w:rPr>
        <w:rFonts w:hint="default"/>
        <w:lang w:val="en-US" w:eastAsia="en-US" w:bidi="ar-SA"/>
      </w:rPr>
    </w:lvl>
    <w:lvl w:ilvl="2" w:tplc="0B8448E6">
      <w:numFmt w:val="bullet"/>
      <w:lvlText w:val="•"/>
      <w:lvlJc w:val="left"/>
      <w:pPr>
        <w:ind w:left="696" w:hanging="245"/>
      </w:pPr>
      <w:rPr>
        <w:rFonts w:hint="default"/>
        <w:lang w:val="en-US" w:eastAsia="en-US" w:bidi="ar-SA"/>
      </w:rPr>
    </w:lvl>
    <w:lvl w:ilvl="3" w:tplc="292E3166">
      <w:numFmt w:val="bullet"/>
      <w:lvlText w:val="•"/>
      <w:lvlJc w:val="left"/>
      <w:pPr>
        <w:ind w:left="994" w:hanging="245"/>
      </w:pPr>
      <w:rPr>
        <w:rFonts w:hint="default"/>
        <w:lang w:val="en-US" w:eastAsia="en-US" w:bidi="ar-SA"/>
      </w:rPr>
    </w:lvl>
    <w:lvl w:ilvl="4" w:tplc="8FC61448">
      <w:numFmt w:val="bullet"/>
      <w:lvlText w:val="•"/>
      <w:lvlJc w:val="left"/>
      <w:pPr>
        <w:ind w:left="1292" w:hanging="245"/>
      </w:pPr>
      <w:rPr>
        <w:rFonts w:hint="default"/>
        <w:lang w:val="en-US" w:eastAsia="en-US" w:bidi="ar-SA"/>
      </w:rPr>
    </w:lvl>
    <w:lvl w:ilvl="5" w:tplc="66D2E6C0">
      <w:numFmt w:val="bullet"/>
      <w:lvlText w:val="•"/>
      <w:lvlJc w:val="left"/>
      <w:pPr>
        <w:ind w:left="1591" w:hanging="245"/>
      </w:pPr>
      <w:rPr>
        <w:rFonts w:hint="default"/>
        <w:lang w:val="en-US" w:eastAsia="en-US" w:bidi="ar-SA"/>
      </w:rPr>
    </w:lvl>
    <w:lvl w:ilvl="6" w:tplc="F1EC7164">
      <w:numFmt w:val="bullet"/>
      <w:lvlText w:val="•"/>
      <w:lvlJc w:val="left"/>
      <w:pPr>
        <w:ind w:left="1889" w:hanging="245"/>
      </w:pPr>
      <w:rPr>
        <w:rFonts w:hint="default"/>
        <w:lang w:val="en-US" w:eastAsia="en-US" w:bidi="ar-SA"/>
      </w:rPr>
    </w:lvl>
    <w:lvl w:ilvl="7" w:tplc="91501C44">
      <w:numFmt w:val="bullet"/>
      <w:lvlText w:val="•"/>
      <w:lvlJc w:val="left"/>
      <w:pPr>
        <w:ind w:left="2187" w:hanging="245"/>
      </w:pPr>
      <w:rPr>
        <w:rFonts w:hint="default"/>
        <w:lang w:val="en-US" w:eastAsia="en-US" w:bidi="ar-SA"/>
      </w:rPr>
    </w:lvl>
    <w:lvl w:ilvl="8" w:tplc="ADF4DCBC">
      <w:numFmt w:val="bullet"/>
      <w:lvlText w:val="•"/>
      <w:lvlJc w:val="left"/>
      <w:pPr>
        <w:ind w:left="2485" w:hanging="245"/>
      </w:pPr>
      <w:rPr>
        <w:rFonts w:hint="default"/>
        <w:lang w:val="en-US" w:eastAsia="en-US" w:bidi="ar-SA"/>
      </w:rPr>
    </w:lvl>
  </w:abstractNum>
  <w:abstractNum w:abstractNumId="43" w15:restartNumberingAfterBreak="0">
    <w:nsid w:val="0AA457C5"/>
    <w:multiLevelType w:val="hybridMultilevel"/>
    <w:tmpl w:val="ACF26230"/>
    <w:lvl w:ilvl="0" w:tplc="11C28294">
      <w:numFmt w:val="bullet"/>
      <w:lvlText w:val="-"/>
      <w:lvlJc w:val="left"/>
      <w:pPr>
        <w:ind w:left="225" w:hanging="118"/>
      </w:pPr>
      <w:rPr>
        <w:rFonts w:ascii="Times New Roman" w:eastAsia="Times New Roman" w:hAnsi="Times New Roman" w:cs="Times New Roman" w:hint="default"/>
        <w:w w:val="100"/>
        <w:sz w:val="20"/>
        <w:szCs w:val="20"/>
        <w:lang w:val="en-US" w:eastAsia="en-US" w:bidi="ar-SA"/>
      </w:rPr>
    </w:lvl>
    <w:lvl w:ilvl="1" w:tplc="C5D2BE90">
      <w:numFmt w:val="bullet"/>
      <w:lvlText w:val="•"/>
      <w:lvlJc w:val="left"/>
      <w:pPr>
        <w:ind w:left="641" w:hanging="118"/>
      </w:pPr>
      <w:rPr>
        <w:rFonts w:hint="default"/>
        <w:lang w:val="en-US" w:eastAsia="en-US" w:bidi="ar-SA"/>
      </w:rPr>
    </w:lvl>
    <w:lvl w:ilvl="2" w:tplc="4DFE7BAE">
      <w:numFmt w:val="bullet"/>
      <w:lvlText w:val="•"/>
      <w:lvlJc w:val="left"/>
      <w:pPr>
        <w:ind w:left="1063" w:hanging="118"/>
      </w:pPr>
      <w:rPr>
        <w:rFonts w:hint="default"/>
        <w:lang w:val="en-US" w:eastAsia="en-US" w:bidi="ar-SA"/>
      </w:rPr>
    </w:lvl>
    <w:lvl w:ilvl="3" w:tplc="43B01048">
      <w:numFmt w:val="bullet"/>
      <w:lvlText w:val="•"/>
      <w:lvlJc w:val="left"/>
      <w:pPr>
        <w:ind w:left="1485" w:hanging="118"/>
      </w:pPr>
      <w:rPr>
        <w:rFonts w:hint="default"/>
        <w:lang w:val="en-US" w:eastAsia="en-US" w:bidi="ar-SA"/>
      </w:rPr>
    </w:lvl>
    <w:lvl w:ilvl="4" w:tplc="F9D8A01E">
      <w:numFmt w:val="bullet"/>
      <w:lvlText w:val="•"/>
      <w:lvlJc w:val="left"/>
      <w:pPr>
        <w:ind w:left="1907" w:hanging="118"/>
      </w:pPr>
      <w:rPr>
        <w:rFonts w:hint="default"/>
        <w:lang w:val="en-US" w:eastAsia="en-US" w:bidi="ar-SA"/>
      </w:rPr>
    </w:lvl>
    <w:lvl w:ilvl="5" w:tplc="05306684">
      <w:numFmt w:val="bullet"/>
      <w:lvlText w:val="•"/>
      <w:lvlJc w:val="left"/>
      <w:pPr>
        <w:ind w:left="2329" w:hanging="118"/>
      </w:pPr>
      <w:rPr>
        <w:rFonts w:hint="default"/>
        <w:lang w:val="en-US" w:eastAsia="en-US" w:bidi="ar-SA"/>
      </w:rPr>
    </w:lvl>
    <w:lvl w:ilvl="6" w:tplc="63763EDE">
      <w:numFmt w:val="bullet"/>
      <w:lvlText w:val="•"/>
      <w:lvlJc w:val="left"/>
      <w:pPr>
        <w:ind w:left="2751" w:hanging="118"/>
      </w:pPr>
      <w:rPr>
        <w:rFonts w:hint="default"/>
        <w:lang w:val="en-US" w:eastAsia="en-US" w:bidi="ar-SA"/>
      </w:rPr>
    </w:lvl>
    <w:lvl w:ilvl="7" w:tplc="172E87BA">
      <w:numFmt w:val="bullet"/>
      <w:lvlText w:val="•"/>
      <w:lvlJc w:val="left"/>
      <w:pPr>
        <w:ind w:left="3173" w:hanging="118"/>
      </w:pPr>
      <w:rPr>
        <w:rFonts w:hint="default"/>
        <w:lang w:val="en-US" w:eastAsia="en-US" w:bidi="ar-SA"/>
      </w:rPr>
    </w:lvl>
    <w:lvl w:ilvl="8" w:tplc="6D8E8414">
      <w:numFmt w:val="bullet"/>
      <w:lvlText w:val="•"/>
      <w:lvlJc w:val="left"/>
      <w:pPr>
        <w:ind w:left="3595" w:hanging="118"/>
      </w:pPr>
      <w:rPr>
        <w:rFonts w:hint="default"/>
        <w:lang w:val="en-US" w:eastAsia="en-US" w:bidi="ar-SA"/>
      </w:rPr>
    </w:lvl>
  </w:abstractNum>
  <w:abstractNum w:abstractNumId="44" w15:restartNumberingAfterBreak="0">
    <w:nsid w:val="0AB9059D"/>
    <w:multiLevelType w:val="multilevel"/>
    <w:tmpl w:val="F348D1E8"/>
    <w:styleLink w:val="GeerliListe10"/>
    <w:lvl w:ilvl="0">
      <w:start w:val="1"/>
      <w:numFmt w:val="upperRoman"/>
      <w:lvlText w:val="%1."/>
      <w:lvlJc w:val="righ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0AF86B02"/>
    <w:multiLevelType w:val="hybridMultilevel"/>
    <w:tmpl w:val="150834A6"/>
    <w:lvl w:ilvl="0" w:tplc="2A625DD4">
      <w:numFmt w:val="bullet"/>
      <w:lvlText w:val="-"/>
      <w:lvlJc w:val="left"/>
      <w:pPr>
        <w:ind w:left="108" w:hanging="116"/>
      </w:pPr>
      <w:rPr>
        <w:rFonts w:ascii="Times New Roman" w:eastAsia="Times New Roman" w:hAnsi="Times New Roman" w:cs="Times New Roman" w:hint="default"/>
        <w:w w:val="99"/>
        <w:sz w:val="20"/>
        <w:szCs w:val="20"/>
        <w:lang w:val="en-US" w:eastAsia="en-US" w:bidi="ar-SA"/>
      </w:rPr>
    </w:lvl>
    <w:lvl w:ilvl="1" w:tplc="1976168A">
      <w:numFmt w:val="bullet"/>
      <w:lvlText w:val="•"/>
      <w:lvlJc w:val="left"/>
      <w:pPr>
        <w:ind w:left="630" w:hanging="116"/>
      </w:pPr>
      <w:rPr>
        <w:rFonts w:hint="default"/>
        <w:lang w:val="en-US" w:eastAsia="en-US" w:bidi="ar-SA"/>
      </w:rPr>
    </w:lvl>
    <w:lvl w:ilvl="2" w:tplc="17BA9C5E">
      <w:numFmt w:val="bullet"/>
      <w:lvlText w:val="•"/>
      <w:lvlJc w:val="left"/>
      <w:pPr>
        <w:ind w:left="1161" w:hanging="116"/>
      </w:pPr>
      <w:rPr>
        <w:rFonts w:hint="default"/>
        <w:lang w:val="en-US" w:eastAsia="en-US" w:bidi="ar-SA"/>
      </w:rPr>
    </w:lvl>
    <w:lvl w:ilvl="3" w:tplc="44327E54">
      <w:numFmt w:val="bullet"/>
      <w:lvlText w:val="•"/>
      <w:lvlJc w:val="left"/>
      <w:pPr>
        <w:ind w:left="1691" w:hanging="116"/>
      </w:pPr>
      <w:rPr>
        <w:rFonts w:hint="default"/>
        <w:lang w:val="en-US" w:eastAsia="en-US" w:bidi="ar-SA"/>
      </w:rPr>
    </w:lvl>
    <w:lvl w:ilvl="4" w:tplc="C98C72AC">
      <w:numFmt w:val="bullet"/>
      <w:lvlText w:val="•"/>
      <w:lvlJc w:val="left"/>
      <w:pPr>
        <w:ind w:left="2222" w:hanging="116"/>
      </w:pPr>
      <w:rPr>
        <w:rFonts w:hint="default"/>
        <w:lang w:val="en-US" w:eastAsia="en-US" w:bidi="ar-SA"/>
      </w:rPr>
    </w:lvl>
    <w:lvl w:ilvl="5" w:tplc="8EC82E2A">
      <w:numFmt w:val="bullet"/>
      <w:lvlText w:val="•"/>
      <w:lvlJc w:val="left"/>
      <w:pPr>
        <w:ind w:left="2752" w:hanging="116"/>
      </w:pPr>
      <w:rPr>
        <w:rFonts w:hint="default"/>
        <w:lang w:val="en-US" w:eastAsia="en-US" w:bidi="ar-SA"/>
      </w:rPr>
    </w:lvl>
    <w:lvl w:ilvl="6" w:tplc="5D64353C">
      <w:numFmt w:val="bullet"/>
      <w:lvlText w:val="•"/>
      <w:lvlJc w:val="left"/>
      <w:pPr>
        <w:ind w:left="3283" w:hanging="116"/>
      </w:pPr>
      <w:rPr>
        <w:rFonts w:hint="default"/>
        <w:lang w:val="en-US" w:eastAsia="en-US" w:bidi="ar-SA"/>
      </w:rPr>
    </w:lvl>
    <w:lvl w:ilvl="7" w:tplc="94E814F4">
      <w:numFmt w:val="bullet"/>
      <w:lvlText w:val="•"/>
      <w:lvlJc w:val="left"/>
      <w:pPr>
        <w:ind w:left="3813" w:hanging="116"/>
      </w:pPr>
      <w:rPr>
        <w:rFonts w:hint="default"/>
        <w:lang w:val="en-US" w:eastAsia="en-US" w:bidi="ar-SA"/>
      </w:rPr>
    </w:lvl>
    <w:lvl w:ilvl="8" w:tplc="1EE24944">
      <w:numFmt w:val="bullet"/>
      <w:lvlText w:val="•"/>
      <w:lvlJc w:val="left"/>
      <w:pPr>
        <w:ind w:left="4344" w:hanging="116"/>
      </w:pPr>
      <w:rPr>
        <w:rFonts w:hint="default"/>
        <w:lang w:val="en-US" w:eastAsia="en-US" w:bidi="ar-SA"/>
      </w:rPr>
    </w:lvl>
  </w:abstractNum>
  <w:abstractNum w:abstractNumId="46" w15:restartNumberingAfterBreak="0">
    <w:nsid w:val="0B2A09E9"/>
    <w:multiLevelType w:val="multilevel"/>
    <w:tmpl w:val="6706E80C"/>
    <w:styleLink w:val="GeerliListe5"/>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0BC23BDE"/>
    <w:multiLevelType w:val="hybridMultilevel"/>
    <w:tmpl w:val="FFF4D612"/>
    <w:lvl w:ilvl="0" w:tplc="89BC8CC2">
      <w:start w:val="1"/>
      <w:numFmt w:val="decimal"/>
      <w:lvlText w:val="(%1)"/>
      <w:lvlJc w:val="left"/>
      <w:pPr>
        <w:ind w:left="107" w:hanging="236"/>
      </w:pPr>
      <w:rPr>
        <w:rFonts w:ascii="Times New Roman" w:eastAsia="Times New Roman" w:hAnsi="Times New Roman" w:cs="Times New Roman" w:hint="default"/>
        <w:w w:val="100"/>
        <w:sz w:val="18"/>
        <w:szCs w:val="18"/>
        <w:lang w:val="en-US" w:eastAsia="en-US" w:bidi="ar-SA"/>
      </w:rPr>
    </w:lvl>
    <w:lvl w:ilvl="1" w:tplc="78C8F908">
      <w:numFmt w:val="bullet"/>
      <w:lvlText w:val="•"/>
      <w:lvlJc w:val="left"/>
      <w:pPr>
        <w:ind w:left="941" w:hanging="236"/>
      </w:pPr>
      <w:rPr>
        <w:rFonts w:hint="default"/>
        <w:lang w:val="en-US" w:eastAsia="en-US" w:bidi="ar-SA"/>
      </w:rPr>
    </w:lvl>
    <w:lvl w:ilvl="2" w:tplc="43FEB386">
      <w:numFmt w:val="bullet"/>
      <w:lvlText w:val="•"/>
      <w:lvlJc w:val="left"/>
      <w:pPr>
        <w:ind w:left="1782" w:hanging="236"/>
      </w:pPr>
      <w:rPr>
        <w:rFonts w:hint="default"/>
        <w:lang w:val="en-US" w:eastAsia="en-US" w:bidi="ar-SA"/>
      </w:rPr>
    </w:lvl>
    <w:lvl w:ilvl="3" w:tplc="B916313C">
      <w:numFmt w:val="bullet"/>
      <w:lvlText w:val="•"/>
      <w:lvlJc w:val="left"/>
      <w:pPr>
        <w:ind w:left="2624" w:hanging="236"/>
      </w:pPr>
      <w:rPr>
        <w:rFonts w:hint="default"/>
        <w:lang w:val="en-US" w:eastAsia="en-US" w:bidi="ar-SA"/>
      </w:rPr>
    </w:lvl>
    <w:lvl w:ilvl="4" w:tplc="59708672">
      <w:numFmt w:val="bullet"/>
      <w:lvlText w:val="•"/>
      <w:lvlJc w:val="left"/>
      <w:pPr>
        <w:ind w:left="3465" w:hanging="236"/>
      </w:pPr>
      <w:rPr>
        <w:rFonts w:hint="default"/>
        <w:lang w:val="en-US" w:eastAsia="en-US" w:bidi="ar-SA"/>
      </w:rPr>
    </w:lvl>
    <w:lvl w:ilvl="5" w:tplc="2ADE14E6">
      <w:numFmt w:val="bullet"/>
      <w:lvlText w:val="•"/>
      <w:lvlJc w:val="left"/>
      <w:pPr>
        <w:ind w:left="4307" w:hanging="236"/>
      </w:pPr>
      <w:rPr>
        <w:rFonts w:hint="default"/>
        <w:lang w:val="en-US" w:eastAsia="en-US" w:bidi="ar-SA"/>
      </w:rPr>
    </w:lvl>
    <w:lvl w:ilvl="6" w:tplc="FC947332">
      <w:numFmt w:val="bullet"/>
      <w:lvlText w:val="•"/>
      <w:lvlJc w:val="left"/>
      <w:pPr>
        <w:ind w:left="5148" w:hanging="236"/>
      </w:pPr>
      <w:rPr>
        <w:rFonts w:hint="default"/>
        <w:lang w:val="en-US" w:eastAsia="en-US" w:bidi="ar-SA"/>
      </w:rPr>
    </w:lvl>
    <w:lvl w:ilvl="7" w:tplc="CF0A486C">
      <w:numFmt w:val="bullet"/>
      <w:lvlText w:val="•"/>
      <w:lvlJc w:val="left"/>
      <w:pPr>
        <w:ind w:left="5989" w:hanging="236"/>
      </w:pPr>
      <w:rPr>
        <w:rFonts w:hint="default"/>
        <w:lang w:val="en-US" w:eastAsia="en-US" w:bidi="ar-SA"/>
      </w:rPr>
    </w:lvl>
    <w:lvl w:ilvl="8" w:tplc="BC522734">
      <w:numFmt w:val="bullet"/>
      <w:lvlText w:val="•"/>
      <w:lvlJc w:val="left"/>
      <w:pPr>
        <w:ind w:left="6831" w:hanging="236"/>
      </w:pPr>
      <w:rPr>
        <w:rFonts w:hint="default"/>
        <w:lang w:val="en-US" w:eastAsia="en-US" w:bidi="ar-SA"/>
      </w:rPr>
    </w:lvl>
  </w:abstractNum>
  <w:abstractNum w:abstractNumId="48" w15:restartNumberingAfterBreak="0">
    <w:nsid w:val="0C222326"/>
    <w:multiLevelType w:val="multilevel"/>
    <w:tmpl w:val="ADAA0526"/>
    <w:styleLink w:val="GeerliListe17"/>
    <w:lvl w:ilvl="0">
      <w:start w:val="1"/>
      <w:numFmt w:val="lowerRoman"/>
      <w:lvlText w:val="%1."/>
      <w:lvlJc w:val="right"/>
      <w:pPr>
        <w:ind w:left="901" w:hanging="360"/>
      </w:pPr>
    </w:lvl>
    <w:lvl w:ilvl="1">
      <w:start w:val="1"/>
      <w:numFmt w:val="lowerLetter"/>
      <w:lvlText w:val="%2."/>
      <w:lvlJc w:val="left"/>
      <w:pPr>
        <w:ind w:left="1621" w:hanging="360"/>
      </w:pPr>
    </w:lvl>
    <w:lvl w:ilvl="2">
      <w:start w:val="1"/>
      <w:numFmt w:val="lowerRoman"/>
      <w:lvlText w:val="%3."/>
      <w:lvlJc w:val="right"/>
      <w:pPr>
        <w:ind w:left="2341" w:hanging="180"/>
      </w:pPr>
    </w:lvl>
    <w:lvl w:ilvl="3">
      <w:start w:val="1"/>
      <w:numFmt w:val="decimal"/>
      <w:lvlText w:val="%4."/>
      <w:lvlJc w:val="left"/>
      <w:pPr>
        <w:ind w:left="3061" w:hanging="360"/>
      </w:pPr>
    </w:lvl>
    <w:lvl w:ilvl="4">
      <w:start w:val="1"/>
      <w:numFmt w:val="lowerLetter"/>
      <w:lvlText w:val="%5."/>
      <w:lvlJc w:val="left"/>
      <w:pPr>
        <w:ind w:left="3781" w:hanging="360"/>
      </w:pPr>
    </w:lvl>
    <w:lvl w:ilvl="5">
      <w:start w:val="1"/>
      <w:numFmt w:val="lowerRoman"/>
      <w:lvlText w:val="%6."/>
      <w:lvlJc w:val="right"/>
      <w:pPr>
        <w:ind w:left="4501" w:hanging="180"/>
      </w:pPr>
    </w:lvl>
    <w:lvl w:ilvl="6">
      <w:start w:val="1"/>
      <w:numFmt w:val="decimal"/>
      <w:lvlText w:val="%7."/>
      <w:lvlJc w:val="left"/>
      <w:pPr>
        <w:ind w:left="5221" w:hanging="360"/>
      </w:pPr>
    </w:lvl>
    <w:lvl w:ilvl="7">
      <w:start w:val="1"/>
      <w:numFmt w:val="lowerLetter"/>
      <w:lvlText w:val="%8."/>
      <w:lvlJc w:val="left"/>
      <w:pPr>
        <w:ind w:left="5941" w:hanging="360"/>
      </w:pPr>
    </w:lvl>
    <w:lvl w:ilvl="8">
      <w:start w:val="1"/>
      <w:numFmt w:val="lowerRoman"/>
      <w:lvlText w:val="%9."/>
      <w:lvlJc w:val="right"/>
      <w:pPr>
        <w:ind w:left="6661" w:hanging="180"/>
      </w:pPr>
    </w:lvl>
  </w:abstractNum>
  <w:abstractNum w:abstractNumId="49" w15:restartNumberingAfterBreak="0">
    <w:nsid w:val="0C8F69CE"/>
    <w:multiLevelType w:val="multilevel"/>
    <w:tmpl w:val="A08A37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0C971C33"/>
    <w:multiLevelType w:val="hybridMultilevel"/>
    <w:tmpl w:val="18E2E090"/>
    <w:lvl w:ilvl="0" w:tplc="8F3A0D32">
      <w:start w:val="1"/>
      <w:numFmt w:val="decimal"/>
      <w:lvlText w:val="%1."/>
      <w:lvlJc w:val="left"/>
      <w:pPr>
        <w:ind w:left="561" w:hanging="360"/>
      </w:pPr>
      <w:rPr>
        <w:rFonts w:ascii="Times New Roman" w:eastAsia="Times New Roman" w:hAnsi="Times New Roman" w:cs="Times New Roman" w:hint="default"/>
        <w:spacing w:val="0"/>
        <w:w w:val="99"/>
        <w:sz w:val="20"/>
        <w:szCs w:val="20"/>
        <w:lang w:val="en-US" w:eastAsia="en-US" w:bidi="ar-SA"/>
      </w:rPr>
    </w:lvl>
    <w:lvl w:ilvl="1" w:tplc="B45A6672">
      <w:numFmt w:val="bullet"/>
      <w:lvlText w:val="•"/>
      <w:lvlJc w:val="left"/>
      <w:pPr>
        <w:ind w:left="885" w:hanging="360"/>
      </w:pPr>
      <w:rPr>
        <w:rFonts w:hint="default"/>
        <w:lang w:val="en-US" w:eastAsia="en-US" w:bidi="ar-SA"/>
      </w:rPr>
    </w:lvl>
    <w:lvl w:ilvl="2" w:tplc="AF061BFC">
      <w:numFmt w:val="bullet"/>
      <w:lvlText w:val="•"/>
      <w:lvlJc w:val="left"/>
      <w:pPr>
        <w:ind w:left="1210" w:hanging="360"/>
      </w:pPr>
      <w:rPr>
        <w:rFonts w:hint="default"/>
        <w:lang w:val="en-US" w:eastAsia="en-US" w:bidi="ar-SA"/>
      </w:rPr>
    </w:lvl>
    <w:lvl w:ilvl="3" w:tplc="1730DD2C">
      <w:numFmt w:val="bullet"/>
      <w:lvlText w:val="•"/>
      <w:lvlJc w:val="left"/>
      <w:pPr>
        <w:ind w:left="1536" w:hanging="360"/>
      </w:pPr>
      <w:rPr>
        <w:rFonts w:hint="default"/>
        <w:lang w:val="en-US" w:eastAsia="en-US" w:bidi="ar-SA"/>
      </w:rPr>
    </w:lvl>
    <w:lvl w:ilvl="4" w:tplc="73BC91C6">
      <w:numFmt w:val="bullet"/>
      <w:lvlText w:val="•"/>
      <w:lvlJc w:val="left"/>
      <w:pPr>
        <w:ind w:left="1861" w:hanging="360"/>
      </w:pPr>
      <w:rPr>
        <w:rFonts w:hint="default"/>
        <w:lang w:val="en-US" w:eastAsia="en-US" w:bidi="ar-SA"/>
      </w:rPr>
    </w:lvl>
    <w:lvl w:ilvl="5" w:tplc="E07443B6">
      <w:numFmt w:val="bullet"/>
      <w:lvlText w:val="•"/>
      <w:lvlJc w:val="left"/>
      <w:pPr>
        <w:ind w:left="2187" w:hanging="360"/>
      </w:pPr>
      <w:rPr>
        <w:rFonts w:hint="default"/>
        <w:lang w:val="en-US" w:eastAsia="en-US" w:bidi="ar-SA"/>
      </w:rPr>
    </w:lvl>
    <w:lvl w:ilvl="6" w:tplc="0A3863A8">
      <w:numFmt w:val="bullet"/>
      <w:lvlText w:val="•"/>
      <w:lvlJc w:val="left"/>
      <w:pPr>
        <w:ind w:left="2512" w:hanging="360"/>
      </w:pPr>
      <w:rPr>
        <w:rFonts w:hint="default"/>
        <w:lang w:val="en-US" w:eastAsia="en-US" w:bidi="ar-SA"/>
      </w:rPr>
    </w:lvl>
    <w:lvl w:ilvl="7" w:tplc="7E786316">
      <w:numFmt w:val="bullet"/>
      <w:lvlText w:val="•"/>
      <w:lvlJc w:val="left"/>
      <w:pPr>
        <w:ind w:left="2837" w:hanging="360"/>
      </w:pPr>
      <w:rPr>
        <w:rFonts w:hint="default"/>
        <w:lang w:val="en-US" w:eastAsia="en-US" w:bidi="ar-SA"/>
      </w:rPr>
    </w:lvl>
    <w:lvl w:ilvl="8" w:tplc="CCEC1522">
      <w:numFmt w:val="bullet"/>
      <w:lvlText w:val="•"/>
      <w:lvlJc w:val="left"/>
      <w:pPr>
        <w:ind w:left="3163" w:hanging="360"/>
      </w:pPr>
      <w:rPr>
        <w:rFonts w:hint="default"/>
        <w:lang w:val="en-US" w:eastAsia="en-US" w:bidi="ar-SA"/>
      </w:rPr>
    </w:lvl>
  </w:abstractNum>
  <w:abstractNum w:abstractNumId="51" w15:restartNumberingAfterBreak="0">
    <w:nsid w:val="0CCE6FAF"/>
    <w:multiLevelType w:val="hybridMultilevel"/>
    <w:tmpl w:val="DC6C9680"/>
    <w:lvl w:ilvl="0" w:tplc="23445AE0">
      <w:start w:val="1"/>
      <w:numFmt w:val="lowerRoman"/>
      <w:lvlText w:val="%1."/>
      <w:lvlJc w:val="left"/>
      <w:pPr>
        <w:ind w:left="378" w:hanging="166"/>
      </w:pPr>
      <w:rPr>
        <w:rFonts w:ascii="Times New Roman" w:eastAsia="Times New Roman" w:hAnsi="Times New Roman" w:cs="Times New Roman" w:hint="default"/>
        <w:w w:val="99"/>
        <w:sz w:val="20"/>
        <w:szCs w:val="20"/>
        <w:lang w:val="en-US" w:eastAsia="en-US" w:bidi="ar-SA"/>
      </w:rPr>
    </w:lvl>
    <w:lvl w:ilvl="1" w:tplc="D58879E4">
      <w:numFmt w:val="bullet"/>
      <w:lvlText w:val="•"/>
      <w:lvlJc w:val="left"/>
      <w:pPr>
        <w:ind w:left="728" w:hanging="166"/>
      </w:pPr>
      <w:rPr>
        <w:rFonts w:hint="default"/>
        <w:lang w:val="en-US" w:eastAsia="en-US" w:bidi="ar-SA"/>
      </w:rPr>
    </w:lvl>
    <w:lvl w:ilvl="2" w:tplc="B00675FE">
      <w:numFmt w:val="bullet"/>
      <w:lvlText w:val="•"/>
      <w:lvlJc w:val="left"/>
      <w:pPr>
        <w:ind w:left="1076" w:hanging="166"/>
      </w:pPr>
      <w:rPr>
        <w:rFonts w:hint="default"/>
        <w:lang w:val="en-US" w:eastAsia="en-US" w:bidi="ar-SA"/>
      </w:rPr>
    </w:lvl>
    <w:lvl w:ilvl="3" w:tplc="F216D274">
      <w:numFmt w:val="bullet"/>
      <w:lvlText w:val="•"/>
      <w:lvlJc w:val="left"/>
      <w:pPr>
        <w:ind w:left="1424" w:hanging="166"/>
      </w:pPr>
      <w:rPr>
        <w:rFonts w:hint="default"/>
        <w:lang w:val="en-US" w:eastAsia="en-US" w:bidi="ar-SA"/>
      </w:rPr>
    </w:lvl>
    <w:lvl w:ilvl="4" w:tplc="58AC347E">
      <w:numFmt w:val="bullet"/>
      <w:lvlText w:val="•"/>
      <w:lvlJc w:val="left"/>
      <w:pPr>
        <w:ind w:left="1772" w:hanging="166"/>
      </w:pPr>
      <w:rPr>
        <w:rFonts w:hint="default"/>
        <w:lang w:val="en-US" w:eastAsia="en-US" w:bidi="ar-SA"/>
      </w:rPr>
    </w:lvl>
    <w:lvl w:ilvl="5" w:tplc="3A2E8872">
      <w:numFmt w:val="bullet"/>
      <w:lvlText w:val="•"/>
      <w:lvlJc w:val="left"/>
      <w:pPr>
        <w:ind w:left="2121" w:hanging="166"/>
      </w:pPr>
      <w:rPr>
        <w:rFonts w:hint="default"/>
        <w:lang w:val="en-US" w:eastAsia="en-US" w:bidi="ar-SA"/>
      </w:rPr>
    </w:lvl>
    <w:lvl w:ilvl="6" w:tplc="25BCE438">
      <w:numFmt w:val="bullet"/>
      <w:lvlText w:val="•"/>
      <w:lvlJc w:val="left"/>
      <w:pPr>
        <w:ind w:left="2469" w:hanging="166"/>
      </w:pPr>
      <w:rPr>
        <w:rFonts w:hint="default"/>
        <w:lang w:val="en-US" w:eastAsia="en-US" w:bidi="ar-SA"/>
      </w:rPr>
    </w:lvl>
    <w:lvl w:ilvl="7" w:tplc="EF8A3EB4">
      <w:numFmt w:val="bullet"/>
      <w:lvlText w:val="•"/>
      <w:lvlJc w:val="left"/>
      <w:pPr>
        <w:ind w:left="2817" w:hanging="166"/>
      </w:pPr>
      <w:rPr>
        <w:rFonts w:hint="default"/>
        <w:lang w:val="en-US" w:eastAsia="en-US" w:bidi="ar-SA"/>
      </w:rPr>
    </w:lvl>
    <w:lvl w:ilvl="8" w:tplc="D9789064">
      <w:numFmt w:val="bullet"/>
      <w:lvlText w:val="•"/>
      <w:lvlJc w:val="left"/>
      <w:pPr>
        <w:ind w:left="3165" w:hanging="166"/>
      </w:pPr>
      <w:rPr>
        <w:rFonts w:hint="default"/>
        <w:lang w:val="en-US" w:eastAsia="en-US" w:bidi="ar-SA"/>
      </w:rPr>
    </w:lvl>
  </w:abstractNum>
  <w:abstractNum w:abstractNumId="52" w15:restartNumberingAfterBreak="0">
    <w:nsid w:val="0CFB1C73"/>
    <w:multiLevelType w:val="hybridMultilevel"/>
    <w:tmpl w:val="3D0EAFAE"/>
    <w:lvl w:ilvl="0" w:tplc="1430D1CE">
      <w:numFmt w:val="bullet"/>
      <w:lvlText w:val="-"/>
      <w:lvlJc w:val="left"/>
      <w:pPr>
        <w:ind w:left="223" w:hanging="116"/>
      </w:pPr>
      <w:rPr>
        <w:rFonts w:ascii="Times New Roman" w:eastAsia="Times New Roman" w:hAnsi="Times New Roman" w:cs="Times New Roman" w:hint="default"/>
        <w:w w:val="99"/>
        <w:sz w:val="20"/>
        <w:szCs w:val="20"/>
        <w:lang w:val="en-US" w:eastAsia="en-US" w:bidi="ar-SA"/>
      </w:rPr>
    </w:lvl>
    <w:lvl w:ilvl="1" w:tplc="74488D02">
      <w:numFmt w:val="bullet"/>
      <w:lvlText w:val="•"/>
      <w:lvlJc w:val="left"/>
      <w:pPr>
        <w:ind w:left="510" w:hanging="116"/>
      </w:pPr>
      <w:rPr>
        <w:rFonts w:hint="default"/>
        <w:lang w:val="en-US" w:eastAsia="en-US" w:bidi="ar-SA"/>
      </w:rPr>
    </w:lvl>
    <w:lvl w:ilvl="2" w:tplc="2C2292A8">
      <w:numFmt w:val="bullet"/>
      <w:lvlText w:val="•"/>
      <w:lvlJc w:val="left"/>
      <w:pPr>
        <w:ind w:left="801" w:hanging="116"/>
      </w:pPr>
      <w:rPr>
        <w:rFonts w:hint="default"/>
        <w:lang w:val="en-US" w:eastAsia="en-US" w:bidi="ar-SA"/>
      </w:rPr>
    </w:lvl>
    <w:lvl w:ilvl="3" w:tplc="DAE63F28">
      <w:numFmt w:val="bullet"/>
      <w:lvlText w:val="•"/>
      <w:lvlJc w:val="left"/>
      <w:pPr>
        <w:ind w:left="1092" w:hanging="116"/>
      </w:pPr>
      <w:rPr>
        <w:rFonts w:hint="default"/>
        <w:lang w:val="en-US" w:eastAsia="en-US" w:bidi="ar-SA"/>
      </w:rPr>
    </w:lvl>
    <w:lvl w:ilvl="4" w:tplc="46127D20">
      <w:numFmt w:val="bullet"/>
      <w:lvlText w:val="•"/>
      <w:lvlJc w:val="left"/>
      <w:pPr>
        <w:ind w:left="1382" w:hanging="116"/>
      </w:pPr>
      <w:rPr>
        <w:rFonts w:hint="default"/>
        <w:lang w:val="en-US" w:eastAsia="en-US" w:bidi="ar-SA"/>
      </w:rPr>
    </w:lvl>
    <w:lvl w:ilvl="5" w:tplc="D87E0426">
      <w:numFmt w:val="bullet"/>
      <w:lvlText w:val="•"/>
      <w:lvlJc w:val="left"/>
      <w:pPr>
        <w:ind w:left="1673" w:hanging="116"/>
      </w:pPr>
      <w:rPr>
        <w:rFonts w:hint="default"/>
        <w:lang w:val="en-US" w:eastAsia="en-US" w:bidi="ar-SA"/>
      </w:rPr>
    </w:lvl>
    <w:lvl w:ilvl="6" w:tplc="83420690">
      <w:numFmt w:val="bullet"/>
      <w:lvlText w:val="•"/>
      <w:lvlJc w:val="left"/>
      <w:pPr>
        <w:ind w:left="1964" w:hanging="116"/>
      </w:pPr>
      <w:rPr>
        <w:rFonts w:hint="default"/>
        <w:lang w:val="en-US" w:eastAsia="en-US" w:bidi="ar-SA"/>
      </w:rPr>
    </w:lvl>
    <w:lvl w:ilvl="7" w:tplc="13609D28">
      <w:numFmt w:val="bullet"/>
      <w:lvlText w:val="•"/>
      <w:lvlJc w:val="left"/>
      <w:pPr>
        <w:ind w:left="2254" w:hanging="116"/>
      </w:pPr>
      <w:rPr>
        <w:rFonts w:hint="default"/>
        <w:lang w:val="en-US" w:eastAsia="en-US" w:bidi="ar-SA"/>
      </w:rPr>
    </w:lvl>
    <w:lvl w:ilvl="8" w:tplc="AAAE8A6E">
      <w:numFmt w:val="bullet"/>
      <w:lvlText w:val="•"/>
      <w:lvlJc w:val="left"/>
      <w:pPr>
        <w:ind w:left="2545" w:hanging="116"/>
      </w:pPr>
      <w:rPr>
        <w:rFonts w:hint="default"/>
        <w:lang w:val="en-US" w:eastAsia="en-US" w:bidi="ar-SA"/>
      </w:rPr>
    </w:lvl>
  </w:abstractNum>
  <w:abstractNum w:abstractNumId="53" w15:restartNumberingAfterBreak="0">
    <w:nsid w:val="0D2E589C"/>
    <w:multiLevelType w:val="multilevel"/>
    <w:tmpl w:val="41D84C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0DA366DA"/>
    <w:multiLevelType w:val="multilevel"/>
    <w:tmpl w:val="ACDA9428"/>
    <w:styleLink w:val="GeerliListe44"/>
    <w:lvl w:ilvl="0">
      <w:start w:val="1"/>
      <w:numFmt w:val="decimal"/>
      <w:lvlText w:val="%1"/>
      <w:lvlJc w:val="left"/>
      <w:pPr>
        <w:ind w:left="432" w:hanging="432"/>
      </w:pPr>
      <w:rPr>
        <w:rFonts w:hint="default"/>
      </w:rPr>
    </w:lvl>
    <w:lvl w:ilvl="1">
      <w:start w:val="1"/>
      <w:numFmt w:val="none"/>
      <w:lvlText w:val="2.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0EBC0171"/>
    <w:multiLevelType w:val="multilevel"/>
    <w:tmpl w:val="AE20B5D4"/>
    <w:styleLink w:val="GeerliListe115"/>
    <w:lvl w:ilvl="0">
      <w:start w:val="1"/>
      <w:numFmt w:val="decimal"/>
      <w:lvlText w:val="%1."/>
      <w:lvlJc w:val="left"/>
      <w:pPr>
        <w:ind w:left="434" w:hanging="360"/>
      </w:pPr>
      <w:rPr>
        <w:rFonts w:hint="default"/>
      </w:rPr>
    </w:lvl>
    <w:lvl w:ilvl="1">
      <w:start w:val="1"/>
      <w:numFmt w:val="decimal"/>
      <w:isLgl/>
      <w:lvlText w:val="2.%2"/>
      <w:lvlJc w:val="left"/>
      <w:pPr>
        <w:ind w:left="434" w:hanging="360"/>
      </w:pPr>
      <w:rPr>
        <w:rFonts w:hint="default"/>
      </w:rPr>
    </w:lvl>
    <w:lvl w:ilvl="2">
      <w:start w:val="1"/>
      <w:numFmt w:val="none"/>
      <w:isLgl/>
      <w:lvlText w:val="2.9.2"/>
      <w:lvlJc w:val="left"/>
      <w:pPr>
        <w:ind w:left="794" w:hanging="720"/>
      </w:pPr>
      <w:rPr>
        <w:rFonts w:hint="default"/>
      </w:rPr>
    </w:lvl>
    <w:lvl w:ilvl="3">
      <w:start w:val="1"/>
      <w:numFmt w:val="decimal"/>
      <w:isLgl/>
      <w:lvlText w:val="%1.%2.%3.%4"/>
      <w:lvlJc w:val="left"/>
      <w:pPr>
        <w:ind w:left="794" w:hanging="720"/>
      </w:pPr>
      <w:rPr>
        <w:rFonts w:hint="default"/>
      </w:rPr>
    </w:lvl>
    <w:lvl w:ilvl="4">
      <w:start w:val="1"/>
      <w:numFmt w:val="decimal"/>
      <w:isLgl/>
      <w:lvlText w:val="%1.%2.%3.%4.%5"/>
      <w:lvlJc w:val="left"/>
      <w:pPr>
        <w:ind w:left="1154" w:hanging="1080"/>
      </w:pPr>
      <w:rPr>
        <w:rFonts w:hint="default"/>
      </w:rPr>
    </w:lvl>
    <w:lvl w:ilvl="5">
      <w:start w:val="1"/>
      <w:numFmt w:val="decimal"/>
      <w:isLgl/>
      <w:lvlText w:val="%1.%2.%3.%4.%5.%6"/>
      <w:lvlJc w:val="left"/>
      <w:pPr>
        <w:ind w:left="1154" w:hanging="1080"/>
      </w:pPr>
      <w:rPr>
        <w:rFonts w:hint="default"/>
      </w:rPr>
    </w:lvl>
    <w:lvl w:ilvl="6">
      <w:start w:val="1"/>
      <w:numFmt w:val="decimal"/>
      <w:isLgl/>
      <w:lvlText w:val="%1.%2.%3.%4.%5.%6.%7"/>
      <w:lvlJc w:val="left"/>
      <w:pPr>
        <w:ind w:left="1514" w:hanging="1440"/>
      </w:pPr>
      <w:rPr>
        <w:rFonts w:hint="default"/>
      </w:rPr>
    </w:lvl>
    <w:lvl w:ilvl="7">
      <w:start w:val="1"/>
      <w:numFmt w:val="decimal"/>
      <w:isLgl/>
      <w:lvlText w:val="%1.%2.%3.%4.%5.%6.%7.%8"/>
      <w:lvlJc w:val="left"/>
      <w:pPr>
        <w:ind w:left="1514" w:hanging="1440"/>
      </w:pPr>
      <w:rPr>
        <w:rFonts w:hint="default"/>
      </w:rPr>
    </w:lvl>
    <w:lvl w:ilvl="8">
      <w:start w:val="1"/>
      <w:numFmt w:val="decimal"/>
      <w:isLgl/>
      <w:lvlText w:val="%1.%2.%3.%4.%5.%6.%7.%8.%9"/>
      <w:lvlJc w:val="left"/>
      <w:pPr>
        <w:ind w:left="1874" w:hanging="1800"/>
      </w:pPr>
      <w:rPr>
        <w:rFonts w:hint="default"/>
      </w:rPr>
    </w:lvl>
  </w:abstractNum>
  <w:abstractNum w:abstractNumId="56" w15:restartNumberingAfterBreak="0">
    <w:nsid w:val="0EC54E56"/>
    <w:multiLevelType w:val="hybridMultilevel"/>
    <w:tmpl w:val="A9B2AF52"/>
    <w:lvl w:ilvl="0" w:tplc="A8D8E698">
      <w:start w:val="1"/>
      <w:numFmt w:val="decimal"/>
      <w:lvlText w:val="%1."/>
      <w:lvlJc w:val="left"/>
      <w:pPr>
        <w:tabs>
          <w:tab w:val="num" w:pos="720"/>
        </w:tabs>
        <w:ind w:left="720" w:hanging="360"/>
      </w:pPr>
      <w:rPr>
        <w:rFonts w:hint="default"/>
        <w:b w:val="0"/>
        <w:i w:val="0"/>
        <w:color w:val="auto"/>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 w15:restartNumberingAfterBreak="0">
    <w:nsid w:val="10012FCE"/>
    <w:multiLevelType w:val="multilevel"/>
    <w:tmpl w:val="9D2875D4"/>
    <w:styleLink w:val="GeerliListe6"/>
    <w:lvl w:ilvl="0">
      <w:start w:val="1"/>
      <w:numFmt w:val="lowerRoman"/>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12310DBA"/>
    <w:multiLevelType w:val="hybridMultilevel"/>
    <w:tmpl w:val="F718F560"/>
    <w:lvl w:ilvl="0" w:tplc="ECF62CF8">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13600081"/>
    <w:multiLevelType w:val="multilevel"/>
    <w:tmpl w:val="345E4F4A"/>
    <w:styleLink w:val="GeerliListe74"/>
    <w:lvl w:ilvl="0">
      <w:start w:val="1"/>
      <w:numFmt w:val="decimal"/>
      <w:lvlText w:val="%1."/>
      <w:lvlJc w:val="left"/>
      <w:pPr>
        <w:ind w:left="434" w:hanging="360"/>
      </w:pPr>
      <w:rPr>
        <w:rFonts w:hint="default"/>
      </w:rPr>
    </w:lvl>
    <w:lvl w:ilvl="1">
      <w:start w:val="1"/>
      <w:numFmt w:val="decimal"/>
      <w:isLgl/>
      <w:lvlText w:val="%1.%2"/>
      <w:lvlJc w:val="left"/>
      <w:pPr>
        <w:ind w:left="434" w:hanging="360"/>
      </w:pPr>
      <w:rPr>
        <w:rFonts w:hint="default"/>
      </w:rPr>
    </w:lvl>
    <w:lvl w:ilvl="2">
      <w:start w:val="1"/>
      <w:numFmt w:val="decimal"/>
      <w:isLgl/>
      <w:lvlText w:val="%1.%2.%3"/>
      <w:lvlJc w:val="left"/>
      <w:pPr>
        <w:ind w:left="794" w:hanging="720"/>
      </w:pPr>
      <w:rPr>
        <w:rFonts w:hint="default"/>
      </w:rPr>
    </w:lvl>
    <w:lvl w:ilvl="3">
      <w:start w:val="1"/>
      <w:numFmt w:val="decimal"/>
      <w:isLgl/>
      <w:lvlText w:val="%1.%2.%3.%4"/>
      <w:lvlJc w:val="left"/>
      <w:pPr>
        <w:ind w:left="794" w:hanging="720"/>
      </w:pPr>
      <w:rPr>
        <w:rFonts w:hint="default"/>
      </w:rPr>
    </w:lvl>
    <w:lvl w:ilvl="4">
      <w:start w:val="1"/>
      <w:numFmt w:val="decimal"/>
      <w:isLgl/>
      <w:lvlText w:val="%1.%2.%3.%4.%5"/>
      <w:lvlJc w:val="left"/>
      <w:pPr>
        <w:ind w:left="1154" w:hanging="1080"/>
      </w:pPr>
      <w:rPr>
        <w:rFonts w:hint="default"/>
      </w:rPr>
    </w:lvl>
    <w:lvl w:ilvl="5">
      <w:start w:val="1"/>
      <w:numFmt w:val="decimal"/>
      <w:isLgl/>
      <w:lvlText w:val="%1.%2.%3.%4.%5.%6"/>
      <w:lvlJc w:val="left"/>
      <w:pPr>
        <w:ind w:left="1154" w:hanging="1080"/>
      </w:pPr>
      <w:rPr>
        <w:rFonts w:hint="default"/>
      </w:rPr>
    </w:lvl>
    <w:lvl w:ilvl="6">
      <w:start w:val="1"/>
      <w:numFmt w:val="decimal"/>
      <w:isLgl/>
      <w:lvlText w:val="%1.%2.%3.%4.%5.%6.%7"/>
      <w:lvlJc w:val="left"/>
      <w:pPr>
        <w:ind w:left="1514" w:hanging="1440"/>
      </w:pPr>
      <w:rPr>
        <w:rFonts w:hint="default"/>
      </w:rPr>
    </w:lvl>
    <w:lvl w:ilvl="7">
      <w:start w:val="1"/>
      <w:numFmt w:val="decimal"/>
      <w:isLgl/>
      <w:lvlText w:val="%1.%2.%3.%4.%5.%6.%7.%8"/>
      <w:lvlJc w:val="left"/>
      <w:pPr>
        <w:ind w:left="1514" w:hanging="1440"/>
      </w:pPr>
      <w:rPr>
        <w:rFonts w:hint="default"/>
      </w:rPr>
    </w:lvl>
    <w:lvl w:ilvl="8">
      <w:start w:val="1"/>
      <w:numFmt w:val="decimal"/>
      <w:isLgl/>
      <w:lvlText w:val="%1.%2.%3.%4.%5.%6.%7.%8.%9"/>
      <w:lvlJc w:val="left"/>
      <w:pPr>
        <w:ind w:left="1874" w:hanging="1800"/>
      </w:pPr>
      <w:rPr>
        <w:rFonts w:hint="default"/>
      </w:rPr>
    </w:lvl>
  </w:abstractNum>
  <w:abstractNum w:abstractNumId="60" w15:restartNumberingAfterBreak="0">
    <w:nsid w:val="13746A53"/>
    <w:multiLevelType w:val="hybridMultilevel"/>
    <w:tmpl w:val="61E63A9C"/>
    <w:lvl w:ilvl="0" w:tplc="283029D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1" w15:restartNumberingAfterBreak="0">
    <w:nsid w:val="13973EEF"/>
    <w:multiLevelType w:val="hybridMultilevel"/>
    <w:tmpl w:val="7A5CBEE4"/>
    <w:lvl w:ilvl="0" w:tplc="FFFFFFFF">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2" w15:restartNumberingAfterBreak="0">
    <w:nsid w:val="15F75DAD"/>
    <w:multiLevelType w:val="multilevel"/>
    <w:tmpl w:val="1F66F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6CC4F0A"/>
    <w:multiLevelType w:val="hybridMultilevel"/>
    <w:tmpl w:val="CE2AC6D4"/>
    <w:lvl w:ilvl="0" w:tplc="23445AE0">
      <w:start w:val="1"/>
      <w:numFmt w:val="lowerRoman"/>
      <w:lvlText w:val="%1."/>
      <w:lvlJc w:val="left"/>
      <w:pPr>
        <w:ind w:left="378" w:hanging="166"/>
      </w:pPr>
      <w:rPr>
        <w:rFonts w:ascii="Times New Roman" w:eastAsia="Times New Roman" w:hAnsi="Times New Roman" w:cs="Times New Roman" w:hint="default"/>
        <w:w w:val="99"/>
        <w:sz w:val="20"/>
        <w:szCs w:val="20"/>
        <w:lang w:val="en-US" w:eastAsia="en-US" w:bidi="ar-SA"/>
      </w:rPr>
    </w:lvl>
    <w:lvl w:ilvl="1" w:tplc="D58879E4">
      <w:numFmt w:val="bullet"/>
      <w:lvlText w:val="•"/>
      <w:lvlJc w:val="left"/>
      <w:pPr>
        <w:ind w:left="728" w:hanging="166"/>
      </w:pPr>
      <w:rPr>
        <w:rFonts w:hint="default"/>
        <w:lang w:val="en-US" w:eastAsia="en-US" w:bidi="ar-SA"/>
      </w:rPr>
    </w:lvl>
    <w:lvl w:ilvl="2" w:tplc="B00675FE">
      <w:numFmt w:val="bullet"/>
      <w:lvlText w:val="•"/>
      <w:lvlJc w:val="left"/>
      <w:pPr>
        <w:ind w:left="1076" w:hanging="166"/>
      </w:pPr>
      <w:rPr>
        <w:rFonts w:hint="default"/>
        <w:lang w:val="en-US" w:eastAsia="en-US" w:bidi="ar-SA"/>
      </w:rPr>
    </w:lvl>
    <w:lvl w:ilvl="3" w:tplc="F216D274">
      <w:numFmt w:val="bullet"/>
      <w:lvlText w:val="•"/>
      <w:lvlJc w:val="left"/>
      <w:pPr>
        <w:ind w:left="1424" w:hanging="166"/>
      </w:pPr>
      <w:rPr>
        <w:rFonts w:hint="default"/>
        <w:lang w:val="en-US" w:eastAsia="en-US" w:bidi="ar-SA"/>
      </w:rPr>
    </w:lvl>
    <w:lvl w:ilvl="4" w:tplc="58AC347E">
      <w:numFmt w:val="bullet"/>
      <w:lvlText w:val="•"/>
      <w:lvlJc w:val="left"/>
      <w:pPr>
        <w:ind w:left="1772" w:hanging="166"/>
      </w:pPr>
      <w:rPr>
        <w:rFonts w:hint="default"/>
        <w:lang w:val="en-US" w:eastAsia="en-US" w:bidi="ar-SA"/>
      </w:rPr>
    </w:lvl>
    <w:lvl w:ilvl="5" w:tplc="3A2E8872">
      <w:numFmt w:val="bullet"/>
      <w:lvlText w:val="•"/>
      <w:lvlJc w:val="left"/>
      <w:pPr>
        <w:ind w:left="2121" w:hanging="166"/>
      </w:pPr>
      <w:rPr>
        <w:rFonts w:hint="default"/>
        <w:lang w:val="en-US" w:eastAsia="en-US" w:bidi="ar-SA"/>
      </w:rPr>
    </w:lvl>
    <w:lvl w:ilvl="6" w:tplc="25BCE438">
      <w:numFmt w:val="bullet"/>
      <w:lvlText w:val="•"/>
      <w:lvlJc w:val="left"/>
      <w:pPr>
        <w:ind w:left="2469" w:hanging="166"/>
      </w:pPr>
      <w:rPr>
        <w:rFonts w:hint="default"/>
        <w:lang w:val="en-US" w:eastAsia="en-US" w:bidi="ar-SA"/>
      </w:rPr>
    </w:lvl>
    <w:lvl w:ilvl="7" w:tplc="EF8A3EB4">
      <w:numFmt w:val="bullet"/>
      <w:lvlText w:val="•"/>
      <w:lvlJc w:val="left"/>
      <w:pPr>
        <w:ind w:left="2817" w:hanging="166"/>
      </w:pPr>
      <w:rPr>
        <w:rFonts w:hint="default"/>
        <w:lang w:val="en-US" w:eastAsia="en-US" w:bidi="ar-SA"/>
      </w:rPr>
    </w:lvl>
    <w:lvl w:ilvl="8" w:tplc="D9789064">
      <w:numFmt w:val="bullet"/>
      <w:lvlText w:val="•"/>
      <w:lvlJc w:val="left"/>
      <w:pPr>
        <w:ind w:left="3165" w:hanging="166"/>
      </w:pPr>
      <w:rPr>
        <w:rFonts w:hint="default"/>
        <w:lang w:val="en-US" w:eastAsia="en-US" w:bidi="ar-SA"/>
      </w:rPr>
    </w:lvl>
  </w:abstractNum>
  <w:abstractNum w:abstractNumId="64" w15:restartNumberingAfterBreak="0">
    <w:nsid w:val="16DE07EA"/>
    <w:multiLevelType w:val="hybridMultilevel"/>
    <w:tmpl w:val="965E20A2"/>
    <w:lvl w:ilvl="0" w:tplc="C0FAD9C2">
      <w:start w:val="1"/>
      <w:numFmt w:val="lowerRoman"/>
      <w:lvlText w:val="%1."/>
      <w:lvlJc w:val="left"/>
      <w:pPr>
        <w:ind w:left="1083" w:hanging="360"/>
      </w:pPr>
      <w:rPr>
        <w:rFonts w:hint="default"/>
      </w:rPr>
    </w:lvl>
    <w:lvl w:ilvl="1" w:tplc="041F0019" w:tentative="1">
      <w:start w:val="1"/>
      <w:numFmt w:val="lowerLetter"/>
      <w:lvlText w:val="%2."/>
      <w:lvlJc w:val="left"/>
      <w:pPr>
        <w:ind w:left="1803" w:hanging="360"/>
      </w:pPr>
    </w:lvl>
    <w:lvl w:ilvl="2" w:tplc="041F001B" w:tentative="1">
      <w:start w:val="1"/>
      <w:numFmt w:val="lowerRoman"/>
      <w:lvlText w:val="%3."/>
      <w:lvlJc w:val="right"/>
      <w:pPr>
        <w:ind w:left="2523" w:hanging="180"/>
      </w:pPr>
    </w:lvl>
    <w:lvl w:ilvl="3" w:tplc="041F000F" w:tentative="1">
      <w:start w:val="1"/>
      <w:numFmt w:val="decimal"/>
      <w:lvlText w:val="%4."/>
      <w:lvlJc w:val="left"/>
      <w:pPr>
        <w:ind w:left="3243" w:hanging="360"/>
      </w:pPr>
    </w:lvl>
    <w:lvl w:ilvl="4" w:tplc="041F0019" w:tentative="1">
      <w:start w:val="1"/>
      <w:numFmt w:val="lowerLetter"/>
      <w:lvlText w:val="%5."/>
      <w:lvlJc w:val="left"/>
      <w:pPr>
        <w:ind w:left="3963" w:hanging="360"/>
      </w:pPr>
    </w:lvl>
    <w:lvl w:ilvl="5" w:tplc="041F001B" w:tentative="1">
      <w:start w:val="1"/>
      <w:numFmt w:val="lowerRoman"/>
      <w:lvlText w:val="%6."/>
      <w:lvlJc w:val="right"/>
      <w:pPr>
        <w:ind w:left="4683" w:hanging="180"/>
      </w:pPr>
    </w:lvl>
    <w:lvl w:ilvl="6" w:tplc="041F000F" w:tentative="1">
      <w:start w:val="1"/>
      <w:numFmt w:val="decimal"/>
      <w:lvlText w:val="%7."/>
      <w:lvlJc w:val="left"/>
      <w:pPr>
        <w:ind w:left="5403" w:hanging="360"/>
      </w:pPr>
    </w:lvl>
    <w:lvl w:ilvl="7" w:tplc="041F0019" w:tentative="1">
      <w:start w:val="1"/>
      <w:numFmt w:val="lowerLetter"/>
      <w:lvlText w:val="%8."/>
      <w:lvlJc w:val="left"/>
      <w:pPr>
        <w:ind w:left="6123" w:hanging="360"/>
      </w:pPr>
    </w:lvl>
    <w:lvl w:ilvl="8" w:tplc="041F001B" w:tentative="1">
      <w:start w:val="1"/>
      <w:numFmt w:val="lowerRoman"/>
      <w:lvlText w:val="%9."/>
      <w:lvlJc w:val="right"/>
      <w:pPr>
        <w:ind w:left="6843" w:hanging="180"/>
      </w:pPr>
    </w:lvl>
  </w:abstractNum>
  <w:abstractNum w:abstractNumId="65" w15:restartNumberingAfterBreak="0">
    <w:nsid w:val="17763E18"/>
    <w:multiLevelType w:val="hybridMultilevel"/>
    <w:tmpl w:val="7C4E3E92"/>
    <w:lvl w:ilvl="0" w:tplc="ECE22618">
      <w:numFmt w:val="bullet"/>
      <w:pStyle w:val="Table-"/>
      <w:lvlText w:val="-"/>
      <w:lvlJc w:val="left"/>
      <w:pPr>
        <w:ind w:left="382"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7A552FD"/>
    <w:multiLevelType w:val="hybridMultilevel"/>
    <w:tmpl w:val="EC6CA048"/>
    <w:lvl w:ilvl="0" w:tplc="3F5AD572">
      <w:start w:val="1"/>
      <w:numFmt w:val="decimal"/>
      <w:lvlText w:val="(%1)"/>
      <w:lvlJc w:val="left"/>
      <w:pPr>
        <w:ind w:left="283" w:hanging="228"/>
      </w:pPr>
      <w:rPr>
        <w:rFonts w:ascii="Times New Roman" w:eastAsia="Times New Roman" w:hAnsi="Times New Roman" w:cs="Times New Roman" w:hint="default"/>
        <w:w w:val="100"/>
        <w:sz w:val="18"/>
        <w:szCs w:val="18"/>
        <w:lang w:val="en-US" w:eastAsia="en-US" w:bidi="ar-SA"/>
      </w:rPr>
    </w:lvl>
    <w:lvl w:ilvl="1" w:tplc="0B2E5724">
      <w:numFmt w:val="bullet"/>
      <w:lvlText w:val="•"/>
      <w:lvlJc w:val="left"/>
      <w:pPr>
        <w:ind w:left="1067" w:hanging="228"/>
      </w:pPr>
      <w:rPr>
        <w:rFonts w:hint="default"/>
        <w:lang w:val="en-US" w:eastAsia="en-US" w:bidi="ar-SA"/>
      </w:rPr>
    </w:lvl>
    <w:lvl w:ilvl="2" w:tplc="80D25DFE">
      <w:numFmt w:val="bullet"/>
      <w:lvlText w:val="•"/>
      <w:lvlJc w:val="left"/>
      <w:pPr>
        <w:ind w:left="1855" w:hanging="228"/>
      </w:pPr>
      <w:rPr>
        <w:rFonts w:hint="default"/>
        <w:lang w:val="en-US" w:eastAsia="en-US" w:bidi="ar-SA"/>
      </w:rPr>
    </w:lvl>
    <w:lvl w:ilvl="3" w:tplc="49824E8A">
      <w:numFmt w:val="bullet"/>
      <w:lvlText w:val="•"/>
      <w:lvlJc w:val="left"/>
      <w:pPr>
        <w:ind w:left="2642" w:hanging="228"/>
      </w:pPr>
      <w:rPr>
        <w:rFonts w:hint="default"/>
        <w:lang w:val="en-US" w:eastAsia="en-US" w:bidi="ar-SA"/>
      </w:rPr>
    </w:lvl>
    <w:lvl w:ilvl="4" w:tplc="8BB4084C">
      <w:numFmt w:val="bullet"/>
      <w:lvlText w:val="•"/>
      <w:lvlJc w:val="left"/>
      <w:pPr>
        <w:ind w:left="3430" w:hanging="228"/>
      </w:pPr>
      <w:rPr>
        <w:rFonts w:hint="default"/>
        <w:lang w:val="en-US" w:eastAsia="en-US" w:bidi="ar-SA"/>
      </w:rPr>
    </w:lvl>
    <w:lvl w:ilvl="5" w:tplc="BE320212">
      <w:numFmt w:val="bullet"/>
      <w:lvlText w:val="•"/>
      <w:lvlJc w:val="left"/>
      <w:pPr>
        <w:ind w:left="4218" w:hanging="228"/>
      </w:pPr>
      <w:rPr>
        <w:rFonts w:hint="default"/>
        <w:lang w:val="en-US" w:eastAsia="en-US" w:bidi="ar-SA"/>
      </w:rPr>
    </w:lvl>
    <w:lvl w:ilvl="6" w:tplc="ECCE2324">
      <w:numFmt w:val="bullet"/>
      <w:lvlText w:val="•"/>
      <w:lvlJc w:val="left"/>
      <w:pPr>
        <w:ind w:left="5005" w:hanging="228"/>
      </w:pPr>
      <w:rPr>
        <w:rFonts w:hint="default"/>
        <w:lang w:val="en-US" w:eastAsia="en-US" w:bidi="ar-SA"/>
      </w:rPr>
    </w:lvl>
    <w:lvl w:ilvl="7" w:tplc="668447BC">
      <w:numFmt w:val="bullet"/>
      <w:lvlText w:val="•"/>
      <w:lvlJc w:val="left"/>
      <w:pPr>
        <w:ind w:left="5793" w:hanging="228"/>
      </w:pPr>
      <w:rPr>
        <w:rFonts w:hint="default"/>
        <w:lang w:val="en-US" w:eastAsia="en-US" w:bidi="ar-SA"/>
      </w:rPr>
    </w:lvl>
    <w:lvl w:ilvl="8" w:tplc="8DA2FE6C">
      <w:numFmt w:val="bullet"/>
      <w:lvlText w:val="•"/>
      <w:lvlJc w:val="left"/>
      <w:pPr>
        <w:ind w:left="6580" w:hanging="228"/>
      </w:pPr>
      <w:rPr>
        <w:rFonts w:hint="default"/>
        <w:lang w:val="en-US" w:eastAsia="en-US" w:bidi="ar-SA"/>
      </w:rPr>
    </w:lvl>
  </w:abstractNum>
  <w:abstractNum w:abstractNumId="67" w15:restartNumberingAfterBreak="0">
    <w:nsid w:val="190453C2"/>
    <w:multiLevelType w:val="hybridMultilevel"/>
    <w:tmpl w:val="2310902E"/>
    <w:lvl w:ilvl="0" w:tplc="B720FA98">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15:restartNumberingAfterBreak="0">
    <w:nsid w:val="19406C58"/>
    <w:multiLevelType w:val="hybridMultilevel"/>
    <w:tmpl w:val="0F92D352"/>
    <w:lvl w:ilvl="0" w:tplc="AE4C2B42">
      <w:start w:val="7"/>
      <w:numFmt w:val="bullet"/>
      <w:lvlText w:val="-"/>
      <w:lvlJc w:val="left"/>
      <w:pPr>
        <w:ind w:left="434" w:hanging="360"/>
      </w:pPr>
      <w:rPr>
        <w:rFonts w:ascii="Times New Roman" w:eastAsia="Times New Roman" w:hAnsi="Times New Roman" w:cs="Times New Roman" w:hint="default"/>
      </w:rPr>
    </w:lvl>
    <w:lvl w:ilvl="1" w:tplc="041F0003" w:tentative="1">
      <w:start w:val="1"/>
      <w:numFmt w:val="bullet"/>
      <w:lvlText w:val="o"/>
      <w:lvlJc w:val="left"/>
      <w:pPr>
        <w:ind w:left="1154" w:hanging="360"/>
      </w:pPr>
      <w:rPr>
        <w:rFonts w:ascii="Courier New" w:hAnsi="Courier New" w:cs="Courier New" w:hint="default"/>
      </w:rPr>
    </w:lvl>
    <w:lvl w:ilvl="2" w:tplc="041F0005" w:tentative="1">
      <w:start w:val="1"/>
      <w:numFmt w:val="bullet"/>
      <w:lvlText w:val=""/>
      <w:lvlJc w:val="left"/>
      <w:pPr>
        <w:ind w:left="1874" w:hanging="360"/>
      </w:pPr>
      <w:rPr>
        <w:rFonts w:ascii="Wingdings" w:hAnsi="Wingdings" w:hint="default"/>
      </w:rPr>
    </w:lvl>
    <w:lvl w:ilvl="3" w:tplc="041F0001" w:tentative="1">
      <w:start w:val="1"/>
      <w:numFmt w:val="bullet"/>
      <w:lvlText w:val=""/>
      <w:lvlJc w:val="left"/>
      <w:pPr>
        <w:ind w:left="2594" w:hanging="360"/>
      </w:pPr>
      <w:rPr>
        <w:rFonts w:ascii="Symbol" w:hAnsi="Symbol" w:hint="default"/>
      </w:rPr>
    </w:lvl>
    <w:lvl w:ilvl="4" w:tplc="041F0003" w:tentative="1">
      <w:start w:val="1"/>
      <w:numFmt w:val="bullet"/>
      <w:lvlText w:val="o"/>
      <w:lvlJc w:val="left"/>
      <w:pPr>
        <w:ind w:left="3314" w:hanging="360"/>
      </w:pPr>
      <w:rPr>
        <w:rFonts w:ascii="Courier New" w:hAnsi="Courier New" w:cs="Courier New" w:hint="default"/>
      </w:rPr>
    </w:lvl>
    <w:lvl w:ilvl="5" w:tplc="041F0005" w:tentative="1">
      <w:start w:val="1"/>
      <w:numFmt w:val="bullet"/>
      <w:lvlText w:val=""/>
      <w:lvlJc w:val="left"/>
      <w:pPr>
        <w:ind w:left="4034" w:hanging="360"/>
      </w:pPr>
      <w:rPr>
        <w:rFonts w:ascii="Wingdings" w:hAnsi="Wingdings" w:hint="default"/>
      </w:rPr>
    </w:lvl>
    <w:lvl w:ilvl="6" w:tplc="041F0001" w:tentative="1">
      <w:start w:val="1"/>
      <w:numFmt w:val="bullet"/>
      <w:lvlText w:val=""/>
      <w:lvlJc w:val="left"/>
      <w:pPr>
        <w:ind w:left="4754" w:hanging="360"/>
      </w:pPr>
      <w:rPr>
        <w:rFonts w:ascii="Symbol" w:hAnsi="Symbol" w:hint="default"/>
      </w:rPr>
    </w:lvl>
    <w:lvl w:ilvl="7" w:tplc="041F0003" w:tentative="1">
      <w:start w:val="1"/>
      <w:numFmt w:val="bullet"/>
      <w:lvlText w:val="o"/>
      <w:lvlJc w:val="left"/>
      <w:pPr>
        <w:ind w:left="5474" w:hanging="360"/>
      </w:pPr>
      <w:rPr>
        <w:rFonts w:ascii="Courier New" w:hAnsi="Courier New" w:cs="Courier New" w:hint="default"/>
      </w:rPr>
    </w:lvl>
    <w:lvl w:ilvl="8" w:tplc="041F0005" w:tentative="1">
      <w:start w:val="1"/>
      <w:numFmt w:val="bullet"/>
      <w:lvlText w:val=""/>
      <w:lvlJc w:val="left"/>
      <w:pPr>
        <w:ind w:left="6194" w:hanging="360"/>
      </w:pPr>
      <w:rPr>
        <w:rFonts w:ascii="Wingdings" w:hAnsi="Wingdings" w:hint="default"/>
      </w:rPr>
    </w:lvl>
  </w:abstractNum>
  <w:abstractNum w:abstractNumId="69" w15:restartNumberingAfterBreak="0">
    <w:nsid w:val="19836C63"/>
    <w:multiLevelType w:val="hybridMultilevel"/>
    <w:tmpl w:val="DB666944"/>
    <w:lvl w:ilvl="0" w:tplc="A80C6652">
      <w:numFmt w:val="bullet"/>
      <w:lvlText w:val=""/>
      <w:lvlJc w:val="left"/>
      <w:pPr>
        <w:ind w:left="467" w:hanging="360"/>
      </w:pPr>
      <w:rPr>
        <w:rFonts w:ascii="Symbol" w:eastAsia="Symbol" w:hAnsi="Symbol" w:cs="Symbol" w:hint="default"/>
        <w:w w:val="100"/>
        <w:sz w:val="20"/>
        <w:szCs w:val="20"/>
        <w:lang w:val="en-US" w:eastAsia="en-US" w:bidi="ar-SA"/>
      </w:rPr>
    </w:lvl>
    <w:lvl w:ilvl="1" w:tplc="BB428C96">
      <w:numFmt w:val="bullet"/>
      <w:lvlText w:val="•"/>
      <w:lvlJc w:val="left"/>
      <w:pPr>
        <w:ind w:left="901" w:hanging="360"/>
      </w:pPr>
      <w:rPr>
        <w:rFonts w:hint="default"/>
        <w:lang w:val="en-US" w:eastAsia="en-US" w:bidi="ar-SA"/>
      </w:rPr>
    </w:lvl>
    <w:lvl w:ilvl="2" w:tplc="F04A084C">
      <w:numFmt w:val="bullet"/>
      <w:lvlText w:val="•"/>
      <w:lvlJc w:val="left"/>
      <w:pPr>
        <w:ind w:left="1343" w:hanging="360"/>
      </w:pPr>
      <w:rPr>
        <w:rFonts w:hint="default"/>
        <w:lang w:val="en-US" w:eastAsia="en-US" w:bidi="ar-SA"/>
      </w:rPr>
    </w:lvl>
    <w:lvl w:ilvl="3" w:tplc="98EE6694">
      <w:numFmt w:val="bullet"/>
      <w:lvlText w:val="•"/>
      <w:lvlJc w:val="left"/>
      <w:pPr>
        <w:ind w:left="1785" w:hanging="360"/>
      </w:pPr>
      <w:rPr>
        <w:rFonts w:hint="default"/>
        <w:lang w:val="en-US" w:eastAsia="en-US" w:bidi="ar-SA"/>
      </w:rPr>
    </w:lvl>
    <w:lvl w:ilvl="4" w:tplc="CDE69064">
      <w:numFmt w:val="bullet"/>
      <w:lvlText w:val="•"/>
      <w:lvlJc w:val="left"/>
      <w:pPr>
        <w:ind w:left="2226" w:hanging="360"/>
      </w:pPr>
      <w:rPr>
        <w:rFonts w:hint="default"/>
        <w:lang w:val="en-US" w:eastAsia="en-US" w:bidi="ar-SA"/>
      </w:rPr>
    </w:lvl>
    <w:lvl w:ilvl="5" w:tplc="BCB0331A">
      <w:numFmt w:val="bullet"/>
      <w:lvlText w:val="•"/>
      <w:lvlJc w:val="left"/>
      <w:pPr>
        <w:ind w:left="2668" w:hanging="360"/>
      </w:pPr>
      <w:rPr>
        <w:rFonts w:hint="default"/>
        <w:lang w:val="en-US" w:eastAsia="en-US" w:bidi="ar-SA"/>
      </w:rPr>
    </w:lvl>
    <w:lvl w:ilvl="6" w:tplc="CC24FA48">
      <w:numFmt w:val="bullet"/>
      <w:lvlText w:val="•"/>
      <w:lvlJc w:val="left"/>
      <w:pPr>
        <w:ind w:left="3110" w:hanging="360"/>
      </w:pPr>
      <w:rPr>
        <w:rFonts w:hint="default"/>
        <w:lang w:val="en-US" w:eastAsia="en-US" w:bidi="ar-SA"/>
      </w:rPr>
    </w:lvl>
    <w:lvl w:ilvl="7" w:tplc="2ACE9DAC">
      <w:numFmt w:val="bullet"/>
      <w:lvlText w:val="•"/>
      <w:lvlJc w:val="left"/>
      <w:pPr>
        <w:ind w:left="3551" w:hanging="360"/>
      </w:pPr>
      <w:rPr>
        <w:rFonts w:hint="default"/>
        <w:lang w:val="en-US" w:eastAsia="en-US" w:bidi="ar-SA"/>
      </w:rPr>
    </w:lvl>
    <w:lvl w:ilvl="8" w:tplc="7FA2FC72">
      <w:numFmt w:val="bullet"/>
      <w:lvlText w:val="•"/>
      <w:lvlJc w:val="left"/>
      <w:pPr>
        <w:ind w:left="3993" w:hanging="360"/>
      </w:pPr>
      <w:rPr>
        <w:rFonts w:hint="default"/>
        <w:lang w:val="en-US" w:eastAsia="en-US" w:bidi="ar-SA"/>
      </w:rPr>
    </w:lvl>
  </w:abstractNum>
  <w:abstractNum w:abstractNumId="70" w15:restartNumberingAfterBreak="0">
    <w:nsid w:val="19A86DEE"/>
    <w:multiLevelType w:val="hybridMultilevel"/>
    <w:tmpl w:val="C60EAD2C"/>
    <w:lvl w:ilvl="0" w:tplc="6CD0E5A4">
      <w:start w:val="1"/>
      <w:numFmt w:val="lowerLetter"/>
      <w:lvlText w:val="(%1)"/>
      <w:lvlJc w:val="left"/>
      <w:pPr>
        <w:ind w:left="1440" w:hanging="360"/>
      </w:pPr>
      <w:rPr>
        <w:rFonts w:ascii="Times New Roman" w:eastAsia="Times New Roman" w:hAnsi="Times New Roman" w:cs="Times New Roman" w:hint="default"/>
        <w:b w:val="0"/>
        <w:bCs w:val="0"/>
        <w:i w:val="0"/>
        <w:iCs w:val="0"/>
        <w:w w:val="100"/>
        <w:sz w:val="22"/>
        <w:szCs w:val="22"/>
        <w:lang w:val="en-US"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15:restartNumberingAfterBreak="0">
    <w:nsid w:val="19F44CF2"/>
    <w:multiLevelType w:val="multilevel"/>
    <w:tmpl w:val="720CAABC"/>
    <w:styleLink w:val="GeerliListe9"/>
    <w:lvl w:ilvl="0">
      <w:start w:val="1"/>
      <w:numFmt w:val="lowerRoman"/>
      <w:lvlText w:val="%1."/>
      <w:lvlJc w:val="righ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72" w15:restartNumberingAfterBreak="0">
    <w:nsid w:val="1A30571C"/>
    <w:multiLevelType w:val="multilevel"/>
    <w:tmpl w:val="200AA58E"/>
    <w:styleLink w:val="GeerliListe181"/>
    <w:lvl w:ilvl="0">
      <w:start w:val="1"/>
      <w:numFmt w:val="decimal"/>
      <w:lvlText w:val="%1"/>
      <w:lvlJc w:val="left"/>
      <w:pPr>
        <w:ind w:left="540" w:hanging="540"/>
      </w:pPr>
      <w:rPr>
        <w:rFonts w:hint="default"/>
      </w:rPr>
    </w:lvl>
    <w:lvl w:ilvl="1">
      <w:start w:val="1"/>
      <w:numFmt w:val="decimal"/>
      <w:lvlText w:val="%1.%2"/>
      <w:lvlJc w:val="left"/>
      <w:pPr>
        <w:ind w:left="585" w:hanging="540"/>
      </w:pPr>
      <w:rPr>
        <w:rFonts w:hint="default"/>
      </w:rPr>
    </w:lvl>
    <w:lvl w:ilvl="2">
      <w:start w:val="1"/>
      <w:numFmt w:val="decimal"/>
      <w:lvlText w:val="%1.%2.14"/>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73" w15:restartNumberingAfterBreak="0">
    <w:nsid w:val="1B0D7354"/>
    <w:multiLevelType w:val="multilevel"/>
    <w:tmpl w:val="145C55A8"/>
    <w:styleLink w:val="GeerliListe2"/>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1B251FF4"/>
    <w:multiLevelType w:val="hybridMultilevel"/>
    <w:tmpl w:val="10667722"/>
    <w:lvl w:ilvl="0" w:tplc="95464BA8">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5" w15:restartNumberingAfterBreak="0">
    <w:nsid w:val="1B4A1975"/>
    <w:multiLevelType w:val="multilevel"/>
    <w:tmpl w:val="C310BD6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1B4D1474"/>
    <w:multiLevelType w:val="hybridMultilevel"/>
    <w:tmpl w:val="A502F16E"/>
    <w:lvl w:ilvl="0" w:tplc="A266C696">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7" w15:restartNumberingAfterBreak="0">
    <w:nsid w:val="1BB75F93"/>
    <w:multiLevelType w:val="multilevel"/>
    <w:tmpl w:val="C9BA9D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1C872CA0"/>
    <w:multiLevelType w:val="multilevel"/>
    <w:tmpl w:val="A0FEB108"/>
    <w:numStyleLink w:val="01FirstBullets"/>
  </w:abstractNum>
  <w:abstractNum w:abstractNumId="79" w15:restartNumberingAfterBreak="0">
    <w:nsid w:val="1D2D7298"/>
    <w:multiLevelType w:val="multilevel"/>
    <w:tmpl w:val="93CC68F2"/>
    <w:lvl w:ilvl="0">
      <w:start w:val="1"/>
      <w:numFmt w:val="decimal"/>
      <w:lvlText w:val="/%1"/>
      <w:lvlJc w:val="left"/>
      <w:pPr>
        <w:tabs>
          <w:tab w:val="num" w:pos="-1440"/>
        </w:tabs>
        <w:ind w:left="-1440" w:firstLine="0"/>
      </w:pPr>
      <w:rPr>
        <w:rFonts w:hint="default"/>
        <w:color w:val="auto"/>
        <w:sz w:val="24"/>
      </w:rPr>
    </w:lvl>
    <w:lvl w:ilvl="1">
      <w:start w:val="1"/>
      <w:numFmt w:val="decimal"/>
      <w:lvlText w:val="/%2"/>
      <w:lvlJc w:val="left"/>
      <w:pPr>
        <w:tabs>
          <w:tab w:val="num" w:pos="-720"/>
        </w:tabs>
        <w:ind w:left="-720" w:hanging="360"/>
      </w:pPr>
      <w:rPr>
        <w:rFonts w:hint="default"/>
      </w:rPr>
    </w:lvl>
    <w:lvl w:ilvl="2">
      <w:start w:val="1"/>
      <w:numFmt w:val="lowerLetter"/>
      <w:lvlRestart w:val="0"/>
      <w:lvlText w:val="%3)"/>
      <w:lvlJc w:val="left"/>
      <w:pPr>
        <w:tabs>
          <w:tab w:val="num" w:pos="-360"/>
        </w:tabs>
        <w:ind w:left="-360" w:hanging="360"/>
      </w:pPr>
      <w:rPr>
        <w:rFonts w:hint="default"/>
      </w:rPr>
    </w:lvl>
    <w:lvl w:ilvl="3">
      <w:start w:val="1"/>
      <w:numFmt w:val="decimal"/>
      <w:lvlText w:val="(%4)"/>
      <w:lvlJc w:val="left"/>
      <w:pPr>
        <w:tabs>
          <w:tab w:val="num" w:pos="0"/>
        </w:tabs>
        <w:ind w:left="0" w:hanging="360"/>
      </w:pPr>
      <w:rPr>
        <w:rFonts w:hint="default"/>
      </w:rPr>
    </w:lvl>
    <w:lvl w:ilvl="4">
      <w:start w:val="1"/>
      <w:numFmt w:val="decimal"/>
      <w:pStyle w:val="StyleHeading5Before0ptAfter6pt"/>
      <w:lvlText w:val="/%5"/>
      <w:lvlJc w:val="left"/>
      <w:pPr>
        <w:tabs>
          <w:tab w:val="num" w:pos="0"/>
        </w:tabs>
        <w:ind w:left="397" w:hanging="397"/>
      </w:pPr>
      <w:rPr>
        <w:rFonts w:hint="default"/>
      </w:rPr>
    </w:lvl>
    <w:lvl w:ilvl="5">
      <w:start w:val="1"/>
      <w:numFmt w:val="lowerLetter"/>
      <w:lvlText w:val="(%6)"/>
      <w:lvlJc w:val="left"/>
      <w:pPr>
        <w:tabs>
          <w:tab w:val="num" w:pos="720"/>
        </w:tabs>
        <w:ind w:left="720" w:hanging="360"/>
      </w:pPr>
      <w:rPr>
        <w:rFonts w:hint="default"/>
      </w:rPr>
    </w:lvl>
    <w:lvl w:ilvl="6">
      <w:start w:val="1"/>
      <w:numFmt w:val="decimal"/>
      <w:lvlText w:val="%7."/>
      <w:lvlJc w:val="left"/>
      <w:pPr>
        <w:tabs>
          <w:tab w:val="num" w:pos="1080"/>
        </w:tabs>
        <w:ind w:left="1080" w:hanging="360"/>
      </w:pPr>
      <w:rPr>
        <w:rFonts w:hint="default"/>
      </w:rPr>
    </w:lvl>
    <w:lvl w:ilvl="7">
      <w:start w:val="1"/>
      <w:numFmt w:val="lowerLetter"/>
      <w:lvlText w:val="%8."/>
      <w:lvlJc w:val="left"/>
      <w:pPr>
        <w:tabs>
          <w:tab w:val="num" w:pos="1440"/>
        </w:tabs>
        <w:ind w:left="1440" w:hanging="360"/>
      </w:pPr>
      <w:rPr>
        <w:rFonts w:hint="default"/>
      </w:rPr>
    </w:lvl>
    <w:lvl w:ilvl="8">
      <w:start w:val="1"/>
      <w:numFmt w:val="lowerRoman"/>
      <w:lvlText w:val="%9."/>
      <w:lvlJc w:val="left"/>
      <w:pPr>
        <w:tabs>
          <w:tab w:val="num" w:pos="1800"/>
        </w:tabs>
        <w:ind w:left="1800" w:hanging="360"/>
      </w:pPr>
      <w:rPr>
        <w:rFonts w:hint="default"/>
      </w:rPr>
    </w:lvl>
  </w:abstractNum>
  <w:abstractNum w:abstractNumId="80" w15:restartNumberingAfterBreak="0">
    <w:nsid w:val="1D445F80"/>
    <w:multiLevelType w:val="hybridMultilevel"/>
    <w:tmpl w:val="91B07AA0"/>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1DBF6676"/>
    <w:multiLevelType w:val="hybridMultilevel"/>
    <w:tmpl w:val="F718F560"/>
    <w:lvl w:ilvl="0" w:tplc="FFFFFFFF">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1DFA3856"/>
    <w:multiLevelType w:val="hybridMultilevel"/>
    <w:tmpl w:val="FD3A5A12"/>
    <w:lvl w:ilvl="0" w:tplc="FFFFFFFF">
      <w:start w:val="1"/>
      <w:numFmt w:val="lowerLetter"/>
      <w:lvlText w:val="(%1)"/>
      <w:lvlJc w:val="left"/>
      <w:pPr>
        <w:ind w:left="144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1E5E3604"/>
    <w:multiLevelType w:val="hybridMultilevel"/>
    <w:tmpl w:val="D2D26806"/>
    <w:lvl w:ilvl="0" w:tplc="AEDA96A4">
      <w:start w:val="1"/>
      <w:numFmt w:val="decimal"/>
      <w:lvlText w:val="(%1)"/>
      <w:lvlJc w:val="left"/>
      <w:pPr>
        <w:ind w:left="376" w:hanging="228"/>
      </w:pPr>
      <w:rPr>
        <w:rFonts w:ascii="Times New Roman" w:eastAsia="Times New Roman" w:hAnsi="Times New Roman" w:cs="Times New Roman" w:hint="default"/>
        <w:w w:val="100"/>
        <w:sz w:val="18"/>
        <w:szCs w:val="18"/>
        <w:lang w:val="en-US" w:eastAsia="en-US" w:bidi="ar-SA"/>
      </w:rPr>
    </w:lvl>
    <w:lvl w:ilvl="1" w:tplc="905ED616">
      <w:numFmt w:val="bullet"/>
      <w:lvlText w:val="•"/>
      <w:lvlJc w:val="left"/>
      <w:pPr>
        <w:ind w:left="1170" w:hanging="228"/>
      </w:pPr>
      <w:rPr>
        <w:rFonts w:hint="default"/>
        <w:lang w:val="en-US" w:eastAsia="en-US" w:bidi="ar-SA"/>
      </w:rPr>
    </w:lvl>
    <w:lvl w:ilvl="2" w:tplc="C85C07BC">
      <w:numFmt w:val="bullet"/>
      <w:lvlText w:val="•"/>
      <w:lvlJc w:val="left"/>
      <w:pPr>
        <w:ind w:left="1961" w:hanging="228"/>
      </w:pPr>
      <w:rPr>
        <w:rFonts w:hint="default"/>
        <w:lang w:val="en-US" w:eastAsia="en-US" w:bidi="ar-SA"/>
      </w:rPr>
    </w:lvl>
    <w:lvl w:ilvl="3" w:tplc="14C62D4C">
      <w:numFmt w:val="bullet"/>
      <w:lvlText w:val="•"/>
      <w:lvlJc w:val="left"/>
      <w:pPr>
        <w:ind w:left="2752" w:hanging="228"/>
      </w:pPr>
      <w:rPr>
        <w:rFonts w:hint="default"/>
        <w:lang w:val="en-US" w:eastAsia="en-US" w:bidi="ar-SA"/>
      </w:rPr>
    </w:lvl>
    <w:lvl w:ilvl="4" w:tplc="43E03A32">
      <w:numFmt w:val="bullet"/>
      <w:lvlText w:val="•"/>
      <w:lvlJc w:val="left"/>
      <w:pPr>
        <w:ind w:left="3542" w:hanging="228"/>
      </w:pPr>
      <w:rPr>
        <w:rFonts w:hint="default"/>
        <w:lang w:val="en-US" w:eastAsia="en-US" w:bidi="ar-SA"/>
      </w:rPr>
    </w:lvl>
    <w:lvl w:ilvl="5" w:tplc="12E6626E">
      <w:numFmt w:val="bullet"/>
      <w:lvlText w:val="•"/>
      <w:lvlJc w:val="left"/>
      <w:pPr>
        <w:ind w:left="4333" w:hanging="228"/>
      </w:pPr>
      <w:rPr>
        <w:rFonts w:hint="default"/>
        <w:lang w:val="en-US" w:eastAsia="en-US" w:bidi="ar-SA"/>
      </w:rPr>
    </w:lvl>
    <w:lvl w:ilvl="6" w:tplc="71764DCE">
      <w:numFmt w:val="bullet"/>
      <w:lvlText w:val="•"/>
      <w:lvlJc w:val="left"/>
      <w:pPr>
        <w:ind w:left="5124" w:hanging="228"/>
      </w:pPr>
      <w:rPr>
        <w:rFonts w:hint="default"/>
        <w:lang w:val="en-US" w:eastAsia="en-US" w:bidi="ar-SA"/>
      </w:rPr>
    </w:lvl>
    <w:lvl w:ilvl="7" w:tplc="60F87398">
      <w:numFmt w:val="bullet"/>
      <w:lvlText w:val="•"/>
      <w:lvlJc w:val="left"/>
      <w:pPr>
        <w:ind w:left="5914" w:hanging="228"/>
      </w:pPr>
      <w:rPr>
        <w:rFonts w:hint="default"/>
        <w:lang w:val="en-US" w:eastAsia="en-US" w:bidi="ar-SA"/>
      </w:rPr>
    </w:lvl>
    <w:lvl w:ilvl="8" w:tplc="20A266D4">
      <w:numFmt w:val="bullet"/>
      <w:lvlText w:val="•"/>
      <w:lvlJc w:val="left"/>
      <w:pPr>
        <w:ind w:left="6705" w:hanging="228"/>
      </w:pPr>
      <w:rPr>
        <w:rFonts w:hint="default"/>
        <w:lang w:val="en-US" w:eastAsia="en-US" w:bidi="ar-SA"/>
      </w:rPr>
    </w:lvl>
  </w:abstractNum>
  <w:abstractNum w:abstractNumId="84" w15:restartNumberingAfterBreak="0">
    <w:nsid w:val="1E5E4378"/>
    <w:multiLevelType w:val="multilevel"/>
    <w:tmpl w:val="A0FEB108"/>
    <w:styleLink w:val="01FirstBullets"/>
    <w:lvl w:ilvl="0">
      <w:start w:val="1"/>
      <w:numFmt w:val="bullet"/>
      <w:pStyle w:val="TableBullets"/>
      <w:lvlText w:val=""/>
      <w:lvlJc w:val="left"/>
      <w:pPr>
        <w:tabs>
          <w:tab w:val="num" w:pos="851"/>
        </w:tabs>
        <w:ind w:left="851" w:hanging="567"/>
      </w:pPr>
      <w:rPr>
        <w:rFonts w:ascii="Symbol" w:hAnsi="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1F0659BB"/>
    <w:multiLevelType w:val="hybridMultilevel"/>
    <w:tmpl w:val="0C9AAF72"/>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6" w15:restartNumberingAfterBreak="0">
    <w:nsid w:val="202F57E6"/>
    <w:multiLevelType w:val="hybridMultilevel"/>
    <w:tmpl w:val="B308D83A"/>
    <w:lvl w:ilvl="0" w:tplc="F5EE673A">
      <w:start w:val="1"/>
      <w:numFmt w:val="decimal"/>
      <w:lvlText w:val="(%1)"/>
      <w:lvlJc w:val="left"/>
      <w:pPr>
        <w:ind w:left="333" w:hanging="226"/>
      </w:pPr>
      <w:rPr>
        <w:rFonts w:ascii="Times New Roman" w:eastAsia="Times New Roman" w:hAnsi="Times New Roman" w:cs="Times New Roman" w:hint="default"/>
        <w:spacing w:val="-4"/>
        <w:w w:val="99"/>
        <w:sz w:val="18"/>
        <w:szCs w:val="18"/>
        <w:lang w:val="en-US" w:eastAsia="en-US" w:bidi="ar-SA"/>
      </w:rPr>
    </w:lvl>
    <w:lvl w:ilvl="1" w:tplc="81262E8E">
      <w:numFmt w:val="bullet"/>
      <w:lvlText w:val="•"/>
      <w:lvlJc w:val="left"/>
      <w:pPr>
        <w:ind w:left="1155" w:hanging="226"/>
      </w:pPr>
      <w:rPr>
        <w:rFonts w:hint="default"/>
        <w:lang w:val="en-US" w:eastAsia="en-US" w:bidi="ar-SA"/>
      </w:rPr>
    </w:lvl>
    <w:lvl w:ilvl="2" w:tplc="731456AC">
      <w:numFmt w:val="bullet"/>
      <w:lvlText w:val="•"/>
      <w:lvlJc w:val="left"/>
      <w:pPr>
        <w:ind w:left="1971" w:hanging="226"/>
      </w:pPr>
      <w:rPr>
        <w:rFonts w:hint="default"/>
        <w:lang w:val="en-US" w:eastAsia="en-US" w:bidi="ar-SA"/>
      </w:rPr>
    </w:lvl>
    <w:lvl w:ilvl="3" w:tplc="69069A86">
      <w:numFmt w:val="bullet"/>
      <w:lvlText w:val="•"/>
      <w:lvlJc w:val="left"/>
      <w:pPr>
        <w:ind w:left="2787" w:hanging="226"/>
      </w:pPr>
      <w:rPr>
        <w:rFonts w:hint="default"/>
        <w:lang w:val="en-US" w:eastAsia="en-US" w:bidi="ar-SA"/>
      </w:rPr>
    </w:lvl>
    <w:lvl w:ilvl="4" w:tplc="79508E50">
      <w:numFmt w:val="bullet"/>
      <w:lvlText w:val="•"/>
      <w:lvlJc w:val="left"/>
      <w:pPr>
        <w:ind w:left="3603" w:hanging="226"/>
      </w:pPr>
      <w:rPr>
        <w:rFonts w:hint="default"/>
        <w:lang w:val="en-US" w:eastAsia="en-US" w:bidi="ar-SA"/>
      </w:rPr>
    </w:lvl>
    <w:lvl w:ilvl="5" w:tplc="4052E000">
      <w:numFmt w:val="bullet"/>
      <w:lvlText w:val="•"/>
      <w:lvlJc w:val="left"/>
      <w:pPr>
        <w:ind w:left="4419" w:hanging="226"/>
      </w:pPr>
      <w:rPr>
        <w:rFonts w:hint="default"/>
        <w:lang w:val="en-US" w:eastAsia="en-US" w:bidi="ar-SA"/>
      </w:rPr>
    </w:lvl>
    <w:lvl w:ilvl="6" w:tplc="E3920D0E">
      <w:numFmt w:val="bullet"/>
      <w:lvlText w:val="•"/>
      <w:lvlJc w:val="left"/>
      <w:pPr>
        <w:ind w:left="5234" w:hanging="226"/>
      </w:pPr>
      <w:rPr>
        <w:rFonts w:hint="default"/>
        <w:lang w:val="en-US" w:eastAsia="en-US" w:bidi="ar-SA"/>
      </w:rPr>
    </w:lvl>
    <w:lvl w:ilvl="7" w:tplc="3180890A">
      <w:numFmt w:val="bullet"/>
      <w:lvlText w:val="•"/>
      <w:lvlJc w:val="left"/>
      <w:pPr>
        <w:ind w:left="6050" w:hanging="226"/>
      </w:pPr>
      <w:rPr>
        <w:rFonts w:hint="default"/>
        <w:lang w:val="en-US" w:eastAsia="en-US" w:bidi="ar-SA"/>
      </w:rPr>
    </w:lvl>
    <w:lvl w:ilvl="8" w:tplc="E0F6DAEC">
      <w:numFmt w:val="bullet"/>
      <w:lvlText w:val="•"/>
      <w:lvlJc w:val="left"/>
      <w:pPr>
        <w:ind w:left="6866" w:hanging="226"/>
      </w:pPr>
      <w:rPr>
        <w:rFonts w:hint="default"/>
        <w:lang w:val="en-US" w:eastAsia="en-US" w:bidi="ar-SA"/>
      </w:rPr>
    </w:lvl>
  </w:abstractNum>
  <w:abstractNum w:abstractNumId="87" w15:restartNumberingAfterBreak="0">
    <w:nsid w:val="20A1052B"/>
    <w:multiLevelType w:val="multilevel"/>
    <w:tmpl w:val="72360236"/>
    <w:lvl w:ilvl="0">
      <w:start w:val="1"/>
      <w:numFmt w:val="decimal"/>
      <w:lvlText w:val="%1."/>
      <w:lvlJc w:val="left"/>
      <w:pPr>
        <w:tabs>
          <w:tab w:val="num" w:pos="720"/>
        </w:tabs>
        <w:ind w:left="360" w:hanging="360"/>
      </w:pPr>
      <w:rPr>
        <w:rFonts w:hint="default"/>
      </w:rPr>
    </w:lvl>
    <w:lvl w:ilvl="1">
      <w:start w:val="1"/>
      <w:numFmt w:val="decimal"/>
      <w:pStyle w:val="TOC232"/>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8" w15:restartNumberingAfterBreak="0">
    <w:nsid w:val="20E64C24"/>
    <w:multiLevelType w:val="multilevel"/>
    <w:tmpl w:val="9118B67A"/>
    <w:styleLink w:val="GeerliListe172"/>
    <w:lvl w:ilvl="0">
      <w:start w:val="1"/>
      <w:numFmt w:val="decimal"/>
      <w:lvlText w:val="%1"/>
      <w:lvlJc w:val="left"/>
      <w:pPr>
        <w:ind w:left="540" w:hanging="540"/>
      </w:pPr>
      <w:rPr>
        <w:rFonts w:hint="default"/>
      </w:rPr>
    </w:lvl>
    <w:lvl w:ilvl="1">
      <w:start w:val="1"/>
      <w:numFmt w:val="decimal"/>
      <w:lvlText w:val="%1.%2"/>
      <w:lvlJc w:val="left"/>
      <w:pPr>
        <w:ind w:left="585" w:hanging="540"/>
      </w:pPr>
      <w:rPr>
        <w:rFonts w:hint="default"/>
      </w:rPr>
    </w:lvl>
    <w:lvl w:ilvl="2">
      <w:start w:val="1"/>
      <w:numFmt w:val="decimal"/>
      <w:lvlText w:val="%1.%2.1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89" w15:restartNumberingAfterBreak="0">
    <w:nsid w:val="21811B1D"/>
    <w:multiLevelType w:val="hybridMultilevel"/>
    <w:tmpl w:val="BDFC14D0"/>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0" w15:restartNumberingAfterBreak="0">
    <w:nsid w:val="21CA748C"/>
    <w:multiLevelType w:val="hybridMultilevel"/>
    <w:tmpl w:val="018EE138"/>
    <w:lvl w:ilvl="0" w:tplc="B1E425A6">
      <w:start w:val="1"/>
      <w:numFmt w:val="decimal"/>
      <w:lvlText w:val="(%1)"/>
      <w:lvlJc w:val="left"/>
      <w:pPr>
        <w:ind w:left="322" w:hanging="226"/>
      </w:pPr>
      <w:rPr>
        <w:rFonts w:ascii="Times New Roman" w:eastAsia="Times New Roman" w:hAnsi="Times New Roman" w:cs="Times New Roman" w:hint="default"/>
        <w:spacing w:val="-2"/>
        <w:w w:val="100"/>
        <w:sz w:val="18"/>
        <w:szCs w:val="18"/>
        <w:lang w:val="en-US" w:eastAsia="en-US" w:bidi="ar-SA"/>
      </w:rPr>
    </w:lvl>
    <w:lvl w:ilvl="1" w:tplc="D2FE1C38">
      <w:numFmt w:val="bullet"/>
      <w:lvlText w:val="•"/>
      <w:lvlJc w:val="left"/>
      <w:pPr>
        <w:ind w:left="1148" w:hanging="226"/>
      </w:pPr>
      <w:rPr>
        <w:rFonts w:hint="default"/>
        <w:lang w:val="en-US" w:eastAsia="en-US" w:bidi="ar-SA"/>
      </w:rPr>
    </w:lvl>
    <w:lvl w:ilvl="2" w:tplc="E05016B6">
      <w:numFmt w:val="bullet"/>
      <w:lvlText w:val="•"/>
      <w:lvlJc w:val="left"/>
      <w:pPr>
        <w:ind w:left="1976" w:hanging="226"/>
      </w:pPr>
      <w:rPr>
        <w:rFonts w:hint="default"/>
        <w:lang w:val="en-US" w:eastAsia="en-US" w:bidi="ar-SA"/>
      </w:rPr>
    </w:lvl>
    <w:lvl w:ilvl="3" w:tplc="A1328B92">
      <w:numFmt w:val="bullet"/>
      <w:lvlText w:val="•"/>
      <w:lvlJc w:val="left"/>
      <w:pPr>
        <w:ind w:left="2804" w:hanging="226"/>
      </w:pPr>
      <w:rPr>
        <w:rFonts w:hint="default"/>
        <w:lang w:val="en-US" w:eastAsia="en-US" w:bidi="ar-SA"/>
      </w:rPr>
    </w:lvl>
    <w:lvl w:ilvl="4" w:tplc="D6A29B64">
      <w:numFmt w:val="bullet"/>
      <w:lvlText w:val="•"/>
      <w:lvlJc w:val="left"/>
      <w:pPr>
        <w:ind w:left="3632" w:hanging="226"/>
      </w:pPr>
      <w:rPr>
        <w:rFonts w:hint="default"/>
        <w:lang w:val="en-US" w:eastAsia="en-US" w:bidi="ar-SA"/>
      </w:rPr>
    </w:lvl>
    <w:lvl w:ilvl="5" w:tplc="E926EA6A">
      <w:numFmt w:val="bullet"/>
      <w:lvlText w:val="•"/>
      <w:lvlJc w:val="left"/>
      <w:pPr>
        <w:ind w:left="4461" w:hanging="226"/>
      </w:pPr>
      <w:rPr>
        <w:rFonts w:hint="default"/>
        <w:lang w:val="en-US" w:eastAsia="en-US" w:bidi="ar-SA"/>
      </w:rPr>
    </w:lvl>
    <w:lvl w:ilvl="6" w:tplc="9CAC120A">
      <w:numFmt w:val="bullet"/>
      <w:lvlText w:val="•"/>
      <w:lvlJc w:val="left"/>
      <w:pPr>
        <w:ind w:left="5289" w:hanging="226"/>
      </w:pPr>
      <w:rPr>
        <w:rFonts w:hint="default"/>
        <w:lang w:val="en-US" w:eastAsia="en-US" w:bidi="ar-SA"/>
      </w:rPr>
    </w:lvl>
    <w:lvl w:ilvl="7" w:tplc="828A748E">
      <w:numFmt w:val="bullet"/>
      <w:lvlText w:val="•"/>
      <w:lvlJc w:val="left"/>
      <w:pPr>
        <w:ind w:left="6117" w:hanging="226"/>
      </w:pPr>
      <w:rPr>
        <w:rFonts w:hint="default"/>
        <w:lang w:val="en-US" w:eastAsia="en-US" w:bidi="ar-SA"/>
      </w:rPr>
    </w:lvl>
    <w:lvl w:ilvl="8" w:tplc="DFD44670">
      <w:numFmt w:val="bullet"/>
      <w:lvlText w:val="•"/>
      <w:lvlJc w:val="left"/>
      <w:pPr>
        <w:ind w:left="6945" w:hanging="226"/>
      </w:pPr>
      <w:rPr>
        <w:rFonts w:hint="default"/>
        <w:lang w:val="en-US" w:eastAsia="en-US" w:bidi="ar-SA"/>
      </w:rPr>
    </w:lvl>
  </w:abstractNum>
  <w:abstractNum w:abstractNumId="91" w15:restartNumberingAfterBreak="0">
    <w:nsid w:val="22A26768"/>
    <w:multiLevelType w:val="hybridMultilevel"/>
    <w:tmpl w:val="F1AAB3E0"/>
    <w:lvl w:ilvl="0" w:tplc="2E7475D6">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2" w15:restartNumberingAfterBreak="0">
    <w:nsid w:val="24673180"/>
    <w:multiLevelType w:val="hybridMultilevel"/>
    <w:tmpl w:val="DD70B516"/>
    <w:lvl w:ilvl="0" w:tplc="8458915E">
      <w:start w:val="1"/>
      <w:numFmt w:val="lowerRoman"/>
      <w:lvlText w:val="%1."/>
      <w:lvlJc w:val="left"/>
      <w:pPr>
        <w:ind w:left="1080" w:hanging="72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3" w15:restartNumberingAfterBreak="0">
    <w:nsid w:val="24A2118F"/>
    <w:multiLevelType w:val="hybridMultilevel"/>
    <w:tmpl w:val="FD3A5A12"/>
    <w:lvl w:ilvl="0" w:tplc="FFFFFFFF">
      <w:start w:val="1"/>
      <w:numFmt w:val="lowerLetter"/>
      <w:lvlText w:val="(%1)"/>
      <w:lvlJc w:val="left"/>
      <w:pPr>
        <w:ind w:left="144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4" w15:restartNumberingAfterBreak="0">
    <w:nsid w:val="25933B05"/>
    <w:multiLevelType w:val="hybridMultilevel"/>
    <w:tmpl w:val="DAEC4318"/>
    <w:lvl w:ilvl="0" w:tplc="FFFFFFFF">
      <w:start w:val="1"/>
      <w:numFmt w:val="upperRoman"/>
      <w:lvlText w:val="%1."/>
      <w:lvlJc w:val="left"/>
      <w:pPr>
        <w:ind w:left="720" w:hanging="72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25B01C6E"/>
    <w:multiLevelType w:val="hybridMultilevel"/>
    <w:tmpl w:val="E430AB2C"/>
    <w:lvl w:ilvl="0" w:tplc="25269210">
      <w:start w:val="1"/>
      <w:numFmt w:val="decimal"/>
      <w:lvlText w:val="%1."/>
      <w:lvlJc w:val="left"/>
      <w:pPr>
        <w:ind w:left="434" w:hanging="360"/>
      </w:pPr>
      <w:rPr>
        <w:rFonts w:hint="default"/>
      </w:rPr>
    </w:lvl>
    <w:lvl w:ilvl="1" w:tplc="041F0019">
      <w:start w:val="1"/>
      <w:numFmt w:val="lowerLetter"/>
      <w:lvlText w:val="%2."/>
      <w:lvlJc w:val="left"/>
      <w:pPr>
        <w:ind w:left="1154" w:hanging="360"/>
      </w:pPr>
    </w:lvl>
    <w:lvl w:ilvl="2" w:tplc="041F001B">
      <w:start w:val="1"/>
      <w:numFmt w:val="lowerRoman"/>
      <w:lvlText w:val="%3."/>
      <w:lvlJc w:val="right"/>
      <w:pPr>
        <w:ind w:left="1874" w:hanging="180"/>
      </w:pPr>
    </w:lvl>
    <w:lvl w:ilvl="3" w:tplc="041F000F" w:tentative="1">
      <w:start w:val="1"/>
      <w:numFmt w:val="decimal"/>
      <w:lvlText w:val="%4."/>
      <w:lvlJc w:val="left"/>
      <w:pPr>
        <w:ind w:left="2594" w:hanging="360"/>
      </w:pPr>
    </w:lvl>
    <w:lvl w:ilvl="4" w:tplc="041F0019" w:tentative="1">
      <w:start w:val="1"/>
      <w:numFmt w:val="lowerLetter"/>
      <w:lvlText w:val="%5."/>
      <w:lvlJc w:val="left"/>
      <w:pPr>
        <w:ind w:left="3314" w:hanging="360"/>
      </w:pPr>
    </w:lvl>
    <w:lvl w:ilvl="5" w:tplc="041F001B" w:tentative="1">
      <w:start w:val="1"/>
      <w:numFmt w:val="lowerRoman"/>
      <w:lvlText w:val="%6."/>
      <w:lvlJc w:val="right"/>
      <w:pPr>
        <w:ind w:left="4034" w:hanging="180"/>
      </w:pPr>
    </w:lvl>
    <w:lvl w:ilvl="6" w:tplc="041F000F" w:tentative="1">
      <w:start w:val="1"/>
      <w:numFmt w:val="decimal"/>
      <w:lvlText w:val="%7."/>
      <w:lvlJc w:val="left"/>
      <w:pPr>
        <w:ind w:left="4754" w:hanging="360"/>
      </w:pPr>
    </w:lvl>
    <w:lvl w:ilvl="7" w:tplc="041F0019" w:tentative="1">
      <w:start w:val="1"/>
      <w:numFmt w:val="lowerLetter"/>
      <w:lvlText w:val="%8."/>
      <w:lvlJc w:val="left"/>
      <w:pPr>
        <w:ind w:left="5474" w:hanging="360"/>
      </w:pPr>
    </w:lvl>
    <w:lvl w:ilvl="8" w:tplc="041F001B" w:tentative="1">
      <w:start w:val="1"/>
      <w:numFmt w:val="lowerRoman"/>
      <w:lvlText w:val="%9."/>
      <w:lvlJc w:val="right"/>
      <w:pPr>
        <w:ind w:left="6194" w:hanging="180"/>
      </w:pPr>
    </w:lvl>
  </w:abstractNum>
  <w:abstractNum w:abstractNumId="96" w15:restartNumberingAfterBreak="0">
    <w:nsid w:val="26250E26"/>
    <w:multiLevelType w:val="hybridMultilevel"/>
    <w:tmpl w:val="1A8A8598"/>
    <w:lvl w:ilvl="0" w:tplc="25AECC9E">
      <w:numFmt w:val="bullet"/>
      <w:lvlText w:val="-"/>
      <w:lvlJc w:val="left"/>
      <w:pPr>
        <w:ind w:left="283" w:hanging="116"/>
      </w:pPr>
      <w:rPr>
        <w:rFonts w:ascii="Times New Roman" w:eastAsia="Times New Roman" w:hAnsi="Times New Roman" w:cs="Times New Roman" w:hint="default"/>
        <w:w w:val="99"/>
        <w:sz w:val="20"/>
        <w:szCs w:val="20"/>
        <w:lang w:val="en-US" w:eastAsia="en-US" w:bidi="ar-SA"/>
      </w:rPr>
    </w:lvl>
    <w:lvl w:ilvl="1" w:tplc="651C74F2">
      <w:numFmt w:val="bullet"/>
      <w:lvlText w:val="•"/>
      <w:lvlJc w:val="left"/>
      <w:pPr>
        <w:ind w:left="733" w:hanging="116"/>
      </w:pPr>
      <w:rPr>
        <w:rFonts w:hint="default"/>
        <w:lang w:val="en-US" w:eastAsia="en-US" w:bidi="ar-SA"/>
      </w:rPr>
    </w:lvl>
    <w:lvl w:ilvl="2" w:tplc="FE5471E8">
      <w:numFmt w:val="bullet"/>
      <w:lvlText w:val="•"/>
      <w:lvlJc w:val="left"/>
      <w:pPr>
        <w:ind w:left="1187" w:hanging="116"/>
      </w:pPr>
      <w:rPr>
        <w:rFonts w:hint="default"/>
        <w:lang w:val="en-US" w:eastAsia="en-US" w:bidi="ar-SA"/>
      </w:rPr>
    </w:lvl>
    <w:lvl w:ilvl="3" w:tplc="5F861D94">
      <w:numFmt w:val="bullet"/>
      <w:lvlText w:val="•"/>
      <w:lvlJc w:val="left"/>
      <w:pPr>
        <w:ind w:left="1640" w:hanging="116"/>
      </w:pPr>
      <w:rPr>
        <w:rFonts w:hint="default"/>
        <w:lang w:val="en-US" w:eastAsia="en-US" w:bidi="ar-SA"/>
      </w:rPr>
    </w:lvl>
    <w:lvl w:ilvl="4" w:tplc="1DDCCF88">
      <w:numFmt w:val="bullet"/>
      <w:lvlText w:val="•"/>
      <w:lvlJc w:val="left"/>
      <w:pPr>
        <w:ind w:left="2094" w:hanging="116"/>
      </w:pPr>
      <w:rPr>
        <w:rFonts w:hint="default"/>
        <w:lang w:val="en-US" w:eastAsia="en-US" w:bidi="ar-SA"/>
      </w:rPr>
    </w:lvl>
    <w:lvl w:ilvl="5" w:tplc="44DCF820">
      <w:numFmt w:val="bullet"/>
      <w:lvlText w:val="•"/>
      <w:lvlJc w:val="left"/>
      <w:pPr>
        <w:ind w:left="2547" w:hanging="116"/>
      </w:pPr>
      <w:rPr>
        <w:rFonts w:hint="default"/>
        <w:lang w:val="en-US" w:eastAsia="en-US" w:bidi="ar-SA"/>
      </w:rPr>
    </w:lvl>
    <w:lvl w:ilvl="6" w:tplc="7DAE0A6C">
      <w:numFmt w:val="bullet"/>
      <w:lvlText w:val="•"/>
      <w:lvlJc w:val="left"/>
      <w:pPr>
        <w:ind w:left="3001" w:hanging="116"/>
      </w:pPr>
      <w:rPr>
        <w:rFonts w:hint="default"/>
        <w:lang w:val="en-US" w:eastAsia="en-US" w:bidi="ar-SA"/>
      </w:rPr>
    </w:lvl>
    <w:lvl w:ilvl="7" w:tplc="53D2F18C">
      <w:numFmt w:val="bullet"/>
      <w:lvlText w:val="•"/>
      <w:lvlJc w:val="left"/>
      <w:pPr>
        <w:ind w:left="3454" w:hanging="116"/>
      </w:pPr>
      <w:rPr>
        <w:rFonts w:hint="default"/>
        <w:lang w:val="en-US" w:eastAsia="en-US" w:bidi="ar-SA"/>
      </w:rPr>
    </w:lvl>
    <w:lvl w:ilvl="8" w:tplc="26503CDE">
      <w:numFmt w:val="bullet"/>
      <w:lvlText w:val="•"/>
      <w:lvlJc w:val="left"/>
      <w:pPr>
        <w:ind w:left="3908" w:hanging="116"/>
      </w:pPr>
      <w:rPr>
        <w:rFonts w:hint="default"/>
        <w:lang w:val="en-US" w:eastAsia="en-US" w:bidi="ar-SA"/>
      </w:rPr>
    </w:lvl>
  </w:abstractNum>
  <w:abstractNum w:abstractNumId="97" w15:restartNumberingAfterBreak="0">
    <w:nsid w:val="274121BD"/>
    <w:multiLevelType w:val="hybridMultilevel"/>
    <w:tmpl w:val="E0629A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8434619"/>
    <w:multiLevelType w:val="hybridMultilevel"/>
    <w:tmpl w:val="F8A09C36"/>
    <w:lvl w:ilvl="0" w:tplc="BEEC03E6">
      <w:start w:val="1"/>
      <w:numFmt w:val="lowerRoman"/>
      <w:lvlText w:val="%1."/>
      <w:lvlJc w:val="left"/>
      <w:pPr>
        <w:ind w:left="308" w:hanging="156"/>
      </w:pPr>
      <w:rPr>
        <w:rFonts w:ascii="Times New Roman" w:eastAsia="Times New Roman" w:hAnsi="Times New Roman" w:cs="Times New Roman" w:hint="default"/>
        <w:spacing w:val="-1"/>
        <w:w w:val="99"/>
        <w:sz w:val="20"/>
        <w:szCs w:val="20"/>
        <w:lang w:val="en-US" w:eastAsia="en-US" w:bidi="ar-SA"/>
      </w:rPr>
    </w:lvl>
    <w:lvl w:ilvl="1" w:tplc="F476130E">
      <w:numFmt w:val="bullet"/>
      <w:lvlText w:val="•"/>
      <w:lvlJc w:val="left"/>
      <w:pPr>
        <w:ind w:left="656" w:hanging="156"/>
      </w:pPr>
      <w:rPr>
        <w:rFonts w:hint="default"/>
        <w:lang w:val="en-US" w:eastAsia="en-US" w:bidi="ar-SA"/>
      </w:rPr>
    </w:lvl>
    <w:lvl w:ilvl="2" w:tplc="67603DD6">
      <w:numFmt w:val="bullet"/>
      <w:lvlText w:val="•"/>
      <w:lvlJc w:val="left"/>
      <w:pPr>
        <w:ind w:left="1012" w:hanging="156"/>
      </w:pPr>
      <w:rPr>
        <w:rFonts w:hint="default"/>
        <w:lang w:val="en-US" w:eastAsia="en-US" w:bidi="ar-SA"/>
      </w:rPr>
    </w:lvl>
    <w:lvl w:ilvl="3" w:tplc="CC7E904C">
      <w:numFmt w:val="bullet"/>
      <w:lvlText w:val="•"/>
      <w:lvlJc w:val="left"/>
      <w:pPr>
        <w:ind w:left="1368" w:hanging="156"/>
      </w:pPr>
      <w:rPr>
        <w:rFonts w:hint="default"/>
        <w:lang w:val="en-US" w:eastAsia="en-US" w:bidi="ar-SA"/>
      </w:rPr>
    </w:lvl>
    <w:lvl w:ilvl="4" w:tplc="53C89536">
      <w:numFmt w:val="bullet"/>
      <w:lvlText w:val="•"/>
      <w:lvlJc w:val="left"/>
      <w:pPr>
        <w:ind w:left="1724" w:hanging="156"/>
      </w:pPr>
      <w:rPr>
        <w:rFonts w:hint="default"/>
        <w:lang w:val="en-US" w:eastAsia="en-US" w:bidi="ar-SA"/>
      </w:rPr>
    </w:lvl>
    <w:lvl w:ilvl="5" w:tplc="9C84F0E8">
      <w:numFmt w:val="bullet"/>
      <w:lvlText w:val="•"/>
      <w:lvlJc w:val="left"/>
      <w:pPr>
        <w:ind w:left="2081" w:hanging="156"/>
      </w:pPr>
      <w:rPr>
        <w:rFonts w:hint="default"/>
        <w:lang w:val="en-US" w:eastAsia="en-US" w:bidi="ar-SA"/>
      </w:rPr>
    </w:lvl>
    <w:lvl w:ilvl="6" w:tplc="89144B62">
      <w:numFmt w:val="bullet"/>
      <w:lvlText w:val="•"/>
      <w:lvlJc w:val="left"/>
      <w:pPr>
        <w:ind w:left="2437" w:hanging="156"/>
      </w:pPr>
      <w:rPr>
        <w:rFonts w:hint="default"/>
        <w:lang w:val="en-US" w:eastAsia="en-US" w:bidi="ar-SA"/>
      </w:rPr>
    </w:lvl>
    <w:lvl w:ilvl="7" w:tplc="5E58D860">
      <w:numFmt w:val="bullet"/>
      <w:lvlText w:val="•"/>
      <w:lvlJc w:val="left"/>
      <w:pPr>
        <w:ind w:left="2793" w:hanging="156"/>
      </w:pPr>
      <w:rPr>
        <w:rFonts w:hint="default"/>
        <w:lang w:val="en-US" w:eastAsia="en-US" w:bidi="ar-SA"/>
      </w:rPr>
    </w:lvl>
    <w:lvl w:ilvl="8" w:tplc="7AACBCF8">
      <w:numFmt w:val="bullet"/>
      <w:lvlText w:val="•"/>
      <w:lvlJc w:val="left"/>
      <w:pPr>
        <w:ind w:left="3149" w:hanging="156"/>
      </w:pPr>
      <w:rPr>
        <w:rFonts w:hint="default"/>
        <w:lang w:val="en-US" w:eastAsia="en-US" w:bidi="ar-SA"/>
      </w:rPr>
    </w:lvl>
  </w:abstractNum>
  <w:abstractNum w:abstractNumId="99" w15:restartNumberingAfterBreak="0">
    <w:nsid w:val="286E4BC7"/>
    <w:multiLevelType w:val="hybridMultilevel"/>
    <w:tmpl w:val="8B722F5E"/>
    <w:lvl w:ilvl="0" w:tplc="01047084">
      <w:numFmt w:val="bullet"/>
      <w:lvlText w:val="-"/>
      <w:lvlJc w:val="left"/>
      <w:pPr>
        <w:ind w:left="107" w:hanging="152"/>
      </w:pPr>
      <w:rPr>
        <w:rFonts w:ascii="Times New Roman" w:eastAsia="Times New Roman" w:hAnsi="Times New Roman" w:cs="Times New Roman" w:hint="default"/>
        <w:w w:val="100"/>
        <w:sz w:val="20"/>
        <w:szCs w:val="20"/>
        <w:lang w:val="en-US" w:eastAsia="en-US" w:bidi="ar-SA"/>
      </w:rPr>
    </w:lvl>
    <w:lvl w:ilvl="1" w:tplc="0C44D102">
      <w:numFmt w:val="bullet"/>
      <w:lvlText w:val="•"/>
      <w:lvlJc w:val="left"/>
      <w:pPr>
        <w:ind w:left="565" w:hanging="152"/>
      </w:pPr>
      <w:rPr>
        <w:rFonts w:hint="default"/>
        <w:lang w:val="en-US" w:eastAsia="en-US" w:bidi="ar-SA"/>
      </w:rPr>
    </w:lvl>
    <w:lvl w:ilvl="2" w:tplc="FAB804BA">
      <w:numFmt w:val="bullet"/>
      <w:lvlText w:val="•"/>
      <w:lvlJc w:val="left"/>
      <w:pPr>
        <w:ind w:left="1030" w:hanging="152"/>
      </w:pPr>
      <w:rPr>
        <w:rFonts w:hint="default"/>
        <w:lang w:val="en-US" w:eastAsia="en-US" w:bidi="ar-SA"/>
      </w:rPr>
    </w:lvl>
    <w:lvl w:ilvl="3" w:tplc="CBE837B2">
      <w:numFmt w:val="bullet"/>
      <w:lvlText w:val="•"/>
      <w:lvlJc w:val="left"/>
      <w:pPr>
        <w:ind w:left="1496" w:hanging="152"/>
      </w:pPr>
      <w:rPr>
        <w:rFonts w:hint="default"/>
        <w:lang w:val="en-US" w:eastAsia="en-US" w:bidi="ar-SA"/>
      </w:rPr>
    </w:lvl>
    <w:lvl w:ilvl="4" w:tplc="19D6B002">
      <w:numFmt w:val="bullet"/>
      <w:lvlText w:val="•"/>
      <w:lvlJc w:val="left"/>
      <w:pPr>
        <w:ind w:left="1961" w:hanging="152"/>
      </w:pPr>
      <w:rPr>
        <w:rFonts w:hint="default"/>
        <w:lang w:val="en-US" w:eastAsia="en-US" w:bidi="ar-SA"/>
      </w:rPr>
    </w:lvl>
    <w:lvl w:ilvl="5" w:tplc="BADC21A0">
      <w:numFmt w:val="bullet"/>
      <w:lvlText w:val="•"/>
      <w:lvlJc w:val="left"/>
      <w:pPr>
        <w:ind w:left="2427" w:hanging="152"/>
      </w:pPr>
      <w:rPr>
        <w:rFonts w:hint="default"/>
        <w:lang w:val="en-US" w:eastAsia="en-US" w:bidi="ar-SA"/>
      </w:rPr>
    </w:lvl>
    <w:lvl w:ilvl="6" w:tplc="6F9E5D9C">
      <w:numFmt w:val="bullet"/>
      <w:lvlText w:val="•"/>
      <w:lvlJc w:val="left"/>
      <w:pPr>
        <w:ind w:left="2892" w:hanging="152"/>
      </w:pPr>
      <w:rPr>
        <w:rFonts w:hint="default"/>
        <w:lang w:val="en-US" w:eastAsia="en-US" w:bidi="ar-SA"/>
      </w:rPr>
    </w:lvl>
    <w:lvl w:ilvl="7" w:tplc="B424693A">
      <w:numFmt w:val="bullet"/>
      <w:lvlText w:val="•"/>
      <w:lvlJc w:val="left"/>
      <w:pPr>
        <w:ind w:left="3357" w:hanging="152"/>
      </w:pPr>
      <w:rPr>
        <w:rFonts w:hint="default"/>
        <w:lang w:val="en-US" w:eastAsia="en-US" w:bidi="ar-SA"/>
      </w:rPr>
    </w:lvl>
    <w:lvl w:ilvl="8" w:tplc="4BC09C72">
      <w:numFmt w:val="bullet"/>
      <w:lvlText w:val="•"/>
      <w:lvlJc w:val="left"/>
      <w:pPr>
        <w:ind w:left="3823" w:hanging="152"/>
      </w:pPr>
      <w:rPr>
        <w:rFonts w:hint="default"/>
        <w:lang w:val="en-US" w:eastAsia="en-US" w:bidi="ar-SA"/>
      </w:rPr>
    </w:lvl>
  </w:abstractNum>
  <w:abstractNum w:abstractNumId="100" w15:restartNumberingAfterBreak="0">
    <w:nsid w:val="289221EA"/>
    <w:multiLevelType w:val="multilevel"/>
    <w:tmpl w:val="2D08E898"/>
    <w:styleLink w:val="GeerliListe114"/>
    <w:lvl w:ilvl="0">
      <w:start w:val="1"/>
      <w:numFmt w:val="decimal"/>
      <w:lvlText w:val="%1"/>
      <w:lvlJc w:val="left"/>
      <w:pPr>
        <w:ind w:left="432" w:hanging="432"/>
      </w:pPr>
      <w:rPr>
        <w:rFonts w:hint="default"/>
      </w:rPr>
    </w:lvl>
    <w:lvl w:ilvl="1">
      <w:start w:val="1"/>
      <w:numFmt w:val="decimal"/>
      <w:lvlText w:val="%1.%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1" w15:restartNumberingAfterBreak="0">
    <w:nsid w:val="29096F91"/>
    <w:multiLevelType w:val="hybridMultilevel"/>
    <w:tmpl w:val="FC9C7EA4"/>
    <w:lvl w:ilvl="0" w:tplc="C0FAD9C2">
      <w:start w:val="1"/>
      <w:numFmt w:val="lowerRoman"/>
      <w:lvlText w:val="%1."/>
      <w:lvlJc w:val="left"/>
      <w:pPr>
        <w:ind w:left="901" w:hanging="360"/>
      </w:pPr>
      <w:rPr>
        <w:rFonts w:hint="default"/>
      </w:rPr>
    </w:lvl>
    <w:lvl w:ilvl="1" w:tplc="041F0019" w:tentative="1">
      <w:start w:val="1"/>
      <w:numFmt w:val="lowerLetter"/>
      <w:lvlText w:val="%2."/>
      <w:lvlJc w:val="left"/>
      <w:pPr>
        <w:ind w:left="1621" w:hanging="360"/>
      </w:pPr>
    </w:lvl>
    <w:lvl w:ilvl="2" w:tplc="041F001B" w:tentative="1">
      <w:start w:val="1"/>
      <w:numFmt w:val="lowerRoman"/>
      <w:lvlText w:val="%3."/>
      <w:lvlJc w:val="right"/>
      <w:pPr>
        <w:ind w:left="2341" w:hanging="180"/>
      </w:pPr>
    </w:lvl>
    <w:lvl w:ilvl="3" w:tplc="041F000F" w:tentative="1">
      <w:start w:val="1"/>
      <w:numFmt w:val="decimal"/>
      <w:lvlText w:val="%4."/>
      <w:lvlJc w:val="left"/>
      <w:pPr>
        <w:ind w:left="3061" w:hanging="360"/>
      </w:pPr>
    </w:lvl>
    <w:lvl w:ilvl="4" w:tplc="041F0019" w:tentative="1">
      <w:start w:val="1"/>
      <w:numFmt w:val="lowerLetter"/>
      <w:lvlText w:val="%5."/>
      <w:lvlJc w:val="left"/>
      <w:pPr>
        <w:ind w:left="3781" w:hanging="360"/>
      </w:pPr>
    </w:lvl>
    <w:lvl w:ilvl="5" w:tplc="041F001B" w:tentative="1">
      <w:start w:val="1"/>
      <w:numFmt w:val="lowerRoman"/>
      <w:lvlText w:val="%6."/>
      <w:lvlJc w:val="right"/>
      <w:pPr>
        <w:ind w:left="4501" w:hanging="180"/>
      </w:pPr>
    </w:lvl>
    <w:lvl w:ilvl="6" w:tplc="041F000F" w:tentative="1">
      <w:start w:val="1"/>
      <w:numFmt w:val="decimal"/>
      <w:lvlText w:val="%7."/>
      <w:lvlJc w:val="left"/>
      <w:pPr>
        <w:ind w:left="5221" w:hanging="360"/>
      </w:pPr>
    </w:lvl>
    <w:lvl w:ilvl="7" w:tplc="041F0019" w:tentative="1">
      <w:start w:val="1"/>
      <w:numFmt w:val="lowerLetter"/>
      <w:lvlText w:val="%8."/>
      <w:lvlJc w:val="left"/>
      <w:pPr>
        <w:ind w:left="5941" w:hanging="360"/>
      </w:pPr>
    </w:lvl>
    <w:lvl w:ilvl="8" w:tplc="041F001B" w:tentative="1">
      <w:start w:val="1"/>
      <w:numFmt w:val="lowerRoman"/>
      <w:lvlText w:val="%9."/>
      <w:lvlJc w:val="right"/>
      <w:pPr>
        <w:ind w:left="6661" w:hanging="180"/>
      </w:pPr>
    </w:lvl>
  </w:abstractNum>
  <w:abstractNum w:abstractNumId="102" w15:restartNumberingAfterBreak="0">
    <w:nsid w:val="29E90572"/>
    <w:multiLevelType w:val="hybridMultilevel"/>
    <w:tmpl w:val="127A307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3" w15:restartNumberingAfterBreak="0">
    <w:nsid w:val="29EE3937"/>
    <w:multiLevelType w:val="hybridMultilevel"/>
    <w:tmpl w:val="44AE3C42"/>
    <w:lvl w:ilvl="0" w:tplc="09DCBCF2">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4" w15:restartNumberingAfterBreak="0">
    <w:nsid w:val="2AD13EEC"/>
    <w:multiLevelType w:val="hybridMultilevel"/>
    <w:tmpl w:val="6A14E9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5" w15:restartNumberingAfterBreak="0">
    <w:nsid w:val="2BB922B6"/>
    <w:multiLevelType w:val="multilevel"/>
    <w:tmpl w:val="D024B152"/>
    <w:lvl w:ilvl="0">
      <w:start w:val="1"/>
      <w:numFmt w:val="lowerRoman"/>
      <w:lvlText w:val="%1."/>
      <w:lvlJc w:val="left"/>
      <w:pPr>
        <w:ind w:left="360" w:hanging="360"/>
      </w:pPr>
      <w:rPr>
        <w:rFonts w:ascii="Times New Roman" w:eastAsia="Times New Roman" w:hAnsi="Times New Roman" w:cs="Times New Roman" w:hint="default"/>
        <w:b w:val="0"/>
        <w:bCs w:val="0"/>
        <w:i w:val="0"/>
        <w:iCs w:val="0"/>
        <w:spacing w:val="-1"/>
        <w:w w:val="99"/>
        <w:sz w:val="24"/>
        <w:szCs w:val="24"/>
        <w:lang w:val="en-GB" w:eastAsia="en-US" w:bidi="ar-SA"/>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6" w15:restartNumberingAfterBreak="0">
    <w:nsid w:val="2CDF2E40"/>
    <w:multiLevelType w:val="hybridMultilevel"/>
    <w:tmpl w:val="AC1ADB04"/>
    <w:lvl w:ilvl="0" w:tplc="5FAEF6D4">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7" w15:restartNumberingAfterBreak="0">
    <w:nsid w:val="2CEB6DAC"/>
    <w:multiLevelType w:val="multilevel"/>
    <w:tmpl w:val="D024B152"/>
    <w:lvl w:ilvl="0">
      <w:start w:val="1"/>
      <w:numFmt w:val="lowerRoman"/>
      <w:lvlText w:val="%1."/>
      <w:lvlJc w:val="left"/>
      <w:pPr>
        <w:ind w:left="360" w:hanging="360"/>
      </w:pPr>
      <w:rPr>
        <w:rFonts w:ascii="Times New Roman" w:eastAsia="Times New Roman" w:hAnsi="Times New Roman" w:cs="Times New Roman" w:hint="default"/>
        <w:b w:val="0"/>
        <w:bCs w:val="0"/>
        <w:i w:val="0"/>
        <w:iCs w:val="0"/>
        <w:spacing w:val="-1"/>
        <w:w w:val="99"/>
        <w:sz w:val="24"/>
        <w:szCs w:val="24"/>
        <w:lang w:val="en-GB" w:eastAsia="en-US" w:bidi="ar-SA"/>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8" w15:restartNumberingAfterBreak="0">
    <w:nsid w:val="2D9B5C36"/>
    <w:multiLevelType w:val="hybridMultilevel"/>
    <w:tmpl w:val="BC6863EA"/>
    <w:lvl w:ilvl="0" w:tplc="70AE267C">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2FD2581A"/>
    <w:multiLevelType w:val="hybridMultilevel"/>
    <w:tmpl w:val="4D482F86"/>
    <w:lvl w:ilvl="0" w:tplc="AA60D5C0">
      <w:start w:val="1"/>
      <w:numFmt w:val="decimal"/>
      <w:lvlText w:val="(%1)"/>
      <w:lvlJc w:val="left"/>
      <w:pPr>
        <w:ind w:left="333" w:hanging="226"/>
      </w:pPr>
      <w:rPr>
        <w:rFonts w:ascii="Times New Roman" w:eastAsia="Times New Roman" w:hAnsi="Times New Roman" w:cs="Times New Roman" w:hint="default"/>
        <w:spacing w:val="-4"/>
        <w:w w:val="99"/>
        <w:sz w:val="18"/>
        <w:szCs w:val="18"/>
        <w:lang w:val="en-US" w:eastAsia="en-US" w:bidi="ar-SA"/>
      </w:rPr>
    </w:lvl>
    <w:lvl w:ilvl="1" w:tplc="B872A2EE">
      <w:numFmt w:val="bullet"/>
      <w:lvlText w:val="•"/>
      <w:lvlJc w:val="left"/>
      <w:pPr>
        <w:ind w:left="1152" w:hanging="226"/>
      </w:pPr>
      <w:rPr>
        <w:rFonts w:hint="default"/>
        <w:lang w:val="en-US" w:eastAsia="en-US" w:bidi="ar-SA"/>
      </w:rPr>
    </w:lvl>
    <w:lvl w:ilvl="2" w:tplc="28188802">
      <w:numFmt w:val="bullet"/>
      <w:lvlText w:val="•"/>
      <w:lvlJc w:val="left"/>
      <w:pPr>
        <w:ind w:left="1964" w:hanging="226"/>
      </w:pPr>
      <w:rPr>
        <w:rFonts w:hint="default"/>
        <w:lang w:val="en-US" w:eastAsia="en-US" w:bidi="ar-SA"/>
      </w:rPr>
    </w:lvl>
    <w:lvl w:ilvl="3" w:tplc="584CCDD4">
      <w:numFmt w:val="bullet"/>
      <w:lvlText w:val="•"/>
      <w:lvlJc w:val="left"/>
      <w:pPr>
        <w:ind w:left="2776" w:hanging="226"/>
      </w:pPr>
      <w:rPr>
        <w:rFonts w:hint="default"/>
        <w:lang w:val="en-US" w:eastAsia="en-US" w:bidi="ar-SA"/>
      </w:rPr>
    </w:lvl>
    <w:lvl w:ilvl="4" w:tplc="F98625A4">
      <w:numFmt w:val="bullet"/>
      <w:lvlText w:val="•"/>
      <w:lvlJc w:val="left"/>
      <w:pPr>
        <w:ind w:left="3589" w:hanging="226"/>
      </w:pPr>
      <w:rPr>
        <w:rFonts w:hint="default"/>
        <w:lang w:val="en-US" w:eastAsia="en-US" w:bidi="ar-SA"/>
      </w:rPr>
    </w:lvl>
    <w:lvl w:ilvl="5" w:tplc="8F181CE6">
      <w:numFmt w:val="bullet"/>
      <w:lvlText w:val="•"/>
      <w:lvlJc w:val="left"/>
      <w:pPr>
        <w:ind w:left="4401" w:hanging="226"/>
      </w:pPr>
      <w:rPr>
        <w:rFonts w:hint="default"/>
        <w:lang w:val="en-US" w:eastAsia="en-US" w:bidi="ar-SA"/>
      </w:rPr>
    </w:lvl>
    <w:lvl w:ilvl="6" w:tplc="0E2C295E">
      <w:numFmt w:val="bullet"/>
      <w:lvlText w:val="•"/>
      <w:lvlJc w:val="left"/>
      <w:pPr>
        <w:ind w:left="5213" w:hanging="226"/>
      </w:pPr>
      <w:rPr>
        <w:rFonts w:hint="default"/>
        <w:lang w:val="en-US" w:eastAsia="en-US" w:bidi="ar-SA"/>
      </w:rPr>
    </w:lvl>
    <w:lvl w:ilvl="7" w:tplc="3DD0DD6A">
      <w:numFmt w:val="bullet"/>
      <w:lvlText w:val="•"/>
      <w:lvlJc w:val="left"/>
      <w:pPr>
        <w:ind w:left="6026" w:hanging="226"/>
      </w:pPr>
      <w:rPr>
        <w:rFonts w:hint="default"/>
        <w:lang w:val="en-US" w:eastAsia="en-US" w:bidi="ar-SA"/>
      </w:rPr>
    </w:lvl>
    <w:lvl w:ilvl="8" w:tplc="C93C9238">
      <w:numFmt w:val="bullet"/>
      <w:lvlText w:val="•"/>
      <w:lvlJc w:val="left"/>
      <w:pPr>
        <w:ind w:left="6838" w:hanging="226"/>
      </w:pPr>
      <w:rPr>
        <w:rFonts w:hint="default"/>
        <w:lang w:val="en-US" w:eastAsia="en-US" w:bidi="ar-SA"/>
      </w:rPr>
    </w:lvl>
  </w:abstractNum>
  <w:abstractNum w:abstractNumId="110" w15:restartNumberingAfterBreak="0">
    <w:nsid w:val="30847221"/>
    <w:multiLevelType w:val="hybridMultilevel"/>
    <w:tmpl w:val="6BDA243E"/>
    <w:lvl w:ilvl="0" w:tplc="D03ADEE6">
      <w:start w:val="5"/>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1" w15:restartNumberingAfterBreak="0">
    <w:nsid w:val="315E2800"/>
    <w:multiLevelType w:val="hybridMultilevel"/>
    <w:tmpl w:val="9CFC11A0"/>
    <w:lvl w:ilvl="0" w:tplc="4BF43534">
      <w:numFmt w:val="bullet"/>
      <w:lvlText w:val="-"/>
      <w:lvlJc w:val="left"/>
      <w:pPr>
        <w:ind w:left="107" w:hanging="118"/>
      </w:pPr>
      <w:rPr>
        <w:rFonts w:ascii="Times New Roman" w:eastAsia="Times New Roman" w:hAnsi="Times New Roman" w:cs="Times New Roman" w:hint="default"/>
        <w:w w:val="100"/>
        <w:sz w:val="20"/>
        <w:szCs w:val="20"/>
        <w:lang w:val="en-US" w:eastAsia="en-US" w:bidi="ar-SA"/>
      </w:rPr>
    </w:lvl>
    <w:lvl w:ilvl="1" w:tplc="8C88C154">
      <w:numFmt w:val="bullet"/>
      <w:lvlText w:val="•"/>
      <w:lvlJc w:val="left"/>
      <w:pPr>
        <w:ind w:left="521" w:hanging="118"/>
      </w:pPr>
      <w:rPr>
        <w:rFonts w:hint="default"/>
        <w:lang w:val="en-US" w:eastAsia="en-US" w:bidi="ar-SA"/>
      </w:rPr>
    </w:lvl>
    <w:lvl w:ilvl="2" w:tplc="4ABA4760">
      <w:numFmt w:val="bullet"/>
      <w:lvlText w:val="•"/>
      <w:lvlJc w:val="left"/>
      <w:pPr>
        <w:ind w:left="943" w:hanging="118"/>
      </w:pPr>
      <w:rPr>
        <w:rFonts w:hint="default"/>
        <w:lang w:val="en-US" w:eastAsia="en-US" w:bidi="ar-SA"/>
      </w:rPr>
    </w:lvl>
    <w:lvl w:ilvl="3" w:tplc="8FF06E82">
      <w:numFmt w:val="bullet"/>
      <w:lvlText w:val="•"/>
      <w:lvlJc w:val="left"/>
      <w:pPr>
        <w:ind w:left="1365" w:hanging="118"/>
      </w:pPr>
      <w:rPr>
        <w:rFonts w:hint="default"/>
        <w:lang w:val="en-US" w:eastAsia="en-US" w:bidi="ar-SA"/>
      </w:rPr>
    </w:lvl>
    <w:lvl w:ilvl="4" w:tplc="0B423B94">
      <w:numFmt w:val="bullet"/>
      <w:lvlText w:val="•"/>
      <w:lvlJc w:val="left"/>
      <w:pPr>
        <w:ind w:left="1787" w:hanging="118"/>
      </w:pPr>
      <w:rPr>
        <w:rFonts w:hint="default"/>
        <w:lang w:val="en-US" w:eastAsia="en-US" w:bidi="ar-SA"/>
      </w:rPr>
    </w:lvl>
    <w:lvl w:ilvl="5" w:tplc="20048CDC">
      <w:numFmt w:val="bullet"/>
      <w:lvlText w:val="•"/>
      <w:lvlJc w:val="left"/>
      <w:pPr>
        <w:ind w:left="2209" w:hanging="118"/>
      </w:pPr>
      <w:rPr>
        <w:rFonts w:hint="default"/>
        <w:lang w:val="en-US" w:eastAsia="en-US" w:bidi="ar-SA"/>
      </w:rPr>
    </w:lvl>
    <w:lvl w:ilvl="6" w:tplc="4D229F44">
      <w:numFmt w:val="bullet"/>
      <w:lvlText w:val="•"/>
      <w:lvlJc w:val="left"/>
      <w:pPr>
        <w:ind w:left="2630" w:hanging="118"/>
      </w:pPr>
      <w:rPr>
        <w:rFonts w:hint="default"/>
        <w:lang w:val="en-US" w:eastAsia="en-US" w:bidi="ar-SA"/>
      </w:rPr>
    </w:lvl>
    <w:lvl w:ilvl="7" w:tplc="86D40F5E">
      <w:numFmt w:val="bullet"/>
      <w:lvlText w:val="•"/>
      <w:lvlJc w:val="left"/>
      <w:pPr>
        <w:ind w:left="3052" w:hanging="118"/>
      </w:pPr>
      <w:rPr>
        <w:rFonts w:hint="default"/>
        <w:lang w:val="en-US" w:eastAsia="en-US" w:bidi="ar-SA"/>
      </w:rPr>
    </w:lvl>
    <w:lvl w:ilvl="8" w:tplc="E67A8B48">
      <w:numFmt w:val="bullet"/>
      <w:lvlText w:val="•"/>
      <w:lvlJc w:val="left"/>
      <w:pPr>
        <w:ind w:left="3474" w:hanging="118"/>
      </w:pPr>
      <w:rPr>
        <w:rFonts w:hint="default"/>
        <w:lang w:val="en-US" w:eastAsia="en-US" w:bidi="ar-SA"/>
      </w:rPr>
    </w:lvl>
  </w:abstractNum>
  <w:abstractNum w:abstractNumId="112" w15:restartNumberingAfterBreak="0">
    <w:nsid w:val="318D1C72"/>
    <w:multiLevelType w:val="multilevel"/>
    <w:tmpl w:val="59743C70"/>
    <w:styleLink w:val="GeerliListe144"/>
    <w:lvl w:ilvl="0">
      <w:start w:val="1"/>
      <w:numFmt w:val="decimal"/>
      <w:lvlText w:val="1.%1"/>
      <w:lvlJc w:val="left"/>
      <w:pPr>
        <w:ind w:left="432" w:hanging="432"/>
      </w:pPr>
      <w:rPr>
        <w:rFonts w:hint="default"/>
      </w:rPr>
    </w:lvl>
    <w:lvl w:ilvl="1">
      <w:start w:val="1"/>
      <w:numFmt w:val="none"/>
      <w:lvlText w:val="2.2"/>
      <w:lvlJc w:val="left"/>
      <w:pPr>
        <w:ind w:left="666" w:hanging="576"/>
      </w:pPr>
      <w:rPr>
        <w:rFonts w:hint="default"/>
      </w:rPr>
    </w:lvl>
    <w:lvl w:ilvl="2">
      <w:start w:val="1"/>
      <w:numFmt w:val="decimal"/>
      <w:lvlText w:val="%1.1%2.1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3" w15:restartNumberingAfterBreak="0">
    <w:nsid w:val="319C6297"/>
    <w:multiLevelType w:val="multilevel"/>
    <w:tmpl w:val="7CDC9E6A"/>
    <w:styleLink w:val="GeerliListe94"/>
    <w:lvl w:ilvl="0">
      <w:start w:val="1"/>
      <w:numFmt w:val="decimal"/>
      <w:lvlText w:val="%1."/>
      <w:lvlJc w:val="left"/>
      <w:pPr>
        <w:ind w:left="434" w:hanging="360"/>
      </w:pPr>
      <w:rPr>
        <w:rFonts w:hint="default"/>
      </w:rPr>
    </w:lvl>
    <w:lvl w:ilvl="1">
      <w:start w:val="1"/>
      <w:numFmt w:val="decimal"/>
      <w:isLgl/>
      <w:lvlText w:val="2.%2"/>
      <w:lvlJc w:val="left"/>
      <w:pPr>
        <w:ind w:left="434" w:hanging="360"/>
      </w:pPr>
      <w:rPr>
        <w:rFonts w:hint="default"/>
      </w:rPr>
    </w:lvl>
    <w:lvl w:ilvl="2">
      <w:start w:val="1"/>
      <w:numFmt w:val="decimal"/>
      <w:isLgl/>
      <w:lvlText w:val="2.%2.%3"/>
      <w:lvlJc w:val="left"/>
      <w:pPr>
        <w:ind w:left="794" w:hanging="720"/>
      </w:pPr>
      <w:rPr>
        <w:rFonts w:hint="default"/>
      </w:rPr>
    </w:lvl>
    <w:lvl w:ilvl="3">
      <w:start w:val="1"/>
      <w:numFmt w:val="decimal"/>
      <w:isLgl/>
      <w:lvlText w:val="%1.%2.%3.%4"/>
      <w:lvlJc w:val="left"/>
      <w:pPr>
        <w:ind w:left="794" w:hanging="720"/>
      </w:pPr>
      <w:rPr>
        <w:rFonts w:hint="default"/>
      </w:rPr>
    </w:lvl>
    <w:lvl w:ilvl="4">
      <w:start w:val="1"/>
      <w:numFmt w:val="decimal"/>
      <w:isLgl/>
      <w:lvlText w:val="%1.%2.%3.%4.%5"/>
      <w:lvlJc w:val="left"/>
      <w:pPr>
        <w:ind w:left="1154" w:hanging="1080"/>
      </w:pPr>
      <w:rPr>
        <w:rFonts w:hint="default"/>
      </w:rPr>
    </w:lvl>
    <w:lvl w:ilvl="5">
      <w:start w:val="1"/>
      <w:numFmt w:val="decimal"/>
      <w:isLgl/>
      <w:lvlText w:val="%1.%2.%3.%4.%5.%6"/>
      <w:lvlJc w:val="left"/>
      <w:pPr>
        <w:ind w:left="1154" w:hanging="1080"/>
      </w:pPr>
      <w:rPr>
        <w:rFonts w:hint="default"/>
      </w:rPr>
    </w:lvl>
    <w:lvl w:ilvl="6">
      <w:start w:val="1"/>
      <w:numFmt w:val="decimal"/>
      <w:isLgl/>
      <w:lvlText w:val="%1.%2.%3.%4.%5.%6.%7"/>
      <w:lvlJc w:val="left"/>
      <w:pPr>
        <w:ind w:left="1514" w:hanging="1440"/>
      </w:pPr>
      <w:rPr>
        <w:rFonts w:hint="default"/>
      </w:rPr>
    </w:lvl>
    <w:lvl w:ilvl="7">
      <w:start w:val="1"/>
      <w:numFmt w:val="decimal"/>
      <w:isLgl/>
      <w:lvlText w:val="%1.%2.%3.%4.%5.%6.%7.%8"/>
      <w:lvlJc w:val="left"/>
      <w:pPr>
        <w:ind w:left="1514" w:hanging="1440"/>
      </w:pPr>
      <w:rPr>
        <w:rFonts w:hint="default"/>
      </w:rPr>
    </w:lvl>
    <w:lvl w:ilvl="8">
      <w:start w:val="1"/>
      <w:numFmt w:val="decimal"/>
      <w:isLgl/>
      <w:lvlText w:val="%1.%2.%3.%4.%5.%6.%7.%8.%9"/>
      <w:lvlJc w:val="left"/>
      <w:pPr>
        <w:ind w:left="1874" w:hanging="1800"/>
      </w:pPr>
      <w:rPr>
        <w:rFonts w:hint="default"/>
      </w:rPr>
    </w:lvl>
  </w:abstractNum>
  <w:abstractNum w:abstractNumId="114" w15:restartNumberingAfterBreak="0">
    <w:nsid w:val="31A37E3F"/>
    <w:multiLevelType w:val="hybridMultilevel"/>
    <w:tmpl w:val="F2CAC630"/>
    <w:lvl w:ilvl="0" w:tplc="1CA2D5D0">
      <w:start w:val="1"/>
      <w:numFmt w:val="decimal"/>
      <w:lvlText w:val="(%1)"/>
      <w:lvlJc w:val="left"/>
      <w:pPr>
        <w:ind w:left="107" w:hanging="236"/>
      </w:pPr>
      <w:rPr>
        <w:rFonts w:ascii="Times New Roman" w:eastAsia="Times New Roman" w:hAnsi="Times New Roman" w:cs="Times New Roman" w:hint="default"/>
        <w:w w:val="100"/>
        <w:sz w:val="18"/>
        <w:szCs w:val="18"/>
        <w:lang w:val="en-US" w:eastAsia="en-US" w:bidi="ar-SA"/>
      </w:rPr>
    </w:lvl>
    <w:lvl w:ilvl="1" w:tplc="3106168E">
      <w:numFmt w:val="bullet"/>
      <w:lvlText w:val="•"/>
      <w:lvlJc w:val="left"/>
      <w:pPr>
        <w:ind w:left="941" w:hanging="236"/>
      </w:pPr>
      <w:rPr>
        <w:rFonts w:hint="default"/>
        <w:lang w:val="en-US" w:eastAsia="en-US" w:bidi="ar-SA"/>
      </w:rPr>
    </w:lvl>
    <w:lvl w:ilvl="2" w:tplc="9D0A2F7A">
      <w:numFmt w:val="bullet"/>
      <w:lvlText w:val="•"/>
      <w:lvlJc w:val="left"/>
      <w:pPr>
        <w:ind w:left="1782" w:hanging="236"/>
      </w:pPr>
      <w:rPr>
        <w:rFonts w:hint="default"/>
        <w:lang w:val="en-US" w:eastAsia="en-US" w:bidi="ar-SA"/>
      </w:rPr>
    </w:lvl>
    <w:lvl w:ilvl="3" w:tplc="EBC206E0">
      <w:numFmt w:val="bullet"/>
      <w:lvlText w:val="•"/>
      <w:lvlJc w:val="left"/>
      <w:pPr>
        <w:ind w:left="2623" w:hanging="236"/>
      </w:pPr>
      <w:rPr>
        <w:rFonts w:hint="default"/>
        <w:lang w:val="en-US" w:eastAsia="en-US" w:bidi="ar-SA"/>
      </w:rPr>
    </w:lvl>
    <w:lvl w:ilvl="4" w:tplc="3B4E8392">
      <w:numFmt w:val="bullet"/>
      <w:lvlText w:val="•"/>
      <w:lvlJc w:val="left"/>
      <w:pPr>
        <w:ind w:left="3465" w:hanging="236"/>
      </w:pPr>
      <w:rPr>
        <w:rFonts w:hint="default"/>
        <w:lang w:val="en-US" w:eastAsia="en-US" w:bidi="ar-SA"/>
      </w:rPr>
    </w:lvl>
    <w:lvl w:ilvl="5" w:tplc="17EC1D50">
      <w:numFmt w:val="bullet"/>
      <w:lvlText w:val="•"/>
      <w:lvlJc w:val="left"/>
      <w:pPr>
        <w:ind w:left="4306" w:hanging="236"/>
      </w:pPr>
      <w:rPr>
        <w:rFonts w:hint="default"/>
        <w:lang w:val="en-US" w:eastAsia="en-US" w:bidi="ar-SA"/>
      </w:rPr>
    </w:lvl>
    <w:lvl w:ilvl="6" w:tplc="0FD6009C">
      <w:numFmt w:val="bullet"/>
      <w:lvlText w:val="•"/>
      <w:lvlJc w:val="left"/>
      <w:pPr>
        <w:ind w:left="5147" w:hanging="236"/>
      </w:pPr>
      <w:rPr>
        <w:rFonts w:hint="default"/>
        <w:lang w:val="en-US" w:eastAsia="en-US" w:bidi="ar-SA"/>
      </w:rPr>
    </w:lvl>
    <w:lvl w:ilvl="7" w:tplc="DA8CEEF6">
      <w:numFmt w:val="bullet"/>
      <w:lvlText w:val="•"/>
      <w:lvlJc w:val="left"/>
      <w:pPr>
        <w:ind w:left="5989" w:hanging="236"/>
      </w:pPr>
      <w:rPr>
        <w:rFonts w:hint="default"/>
        <w:lang w:val="en-US" w:eastAsia="en-US" w:bidi="ar-SA"/>
      </w:rPr>
    </w:lvl>
    <w:lvl w:ilvl="8" w:tplc="F9028D54">
      <w:numFmt w:val="bullet"/>
      <w:lvlText w:val="•"/>
      <w:lvlJc w:val="left"/>
      <w:pPr>
        <w:ind w:left="6830" w:hanging="236"/>
      </w:pPr>
      <w:rPr>
        <w:rFonts w:hint="default"/>
        <w:lang w:val="en-US" w:eastAsia="en-US" w:bidi="ar-SA"/>
      </w:rPr>
    </w:lvl>
  </w:abstractNum>
  <w:abstractNum w:abstractNumId="115" w15:restartNumberingAfterBreak="0">
    <w:nsid w:val="31D8767E"/>
    <w:multiLevelType w:val="hybridMultilevel"/>
    <w:tmpl w:val="3D203D46"/>
    <w:lvl w:ilvl="0" w:tplc="7E587F86">
      <w:numFmt w:val="bullet"/>
      <w:lvlText w:val="-"/>
      <w:lvlJc w:val="left"/>
      <w:pPr>
        <w:ind w:left="223" w:hanging="116"/>
      </w:pPr>
      <w:rPr>
        <w:rFonts w:ascii="Times New Roman" w:eastAsia="Times New Roman" w:hAnsi="Times New Roman" w:cs="Times New Roman" w:hint="default"/>
        <w:w w:val="99"/>
        <w:sz w:val="20"/>
        <w:szCs w:val="20"/>
        <w:lang w:val="en-US" w:eastAsia="en-US" w:bidi="ar-SA"/>
      </w:rPr>
    </w:lvl>
    <w:lvl w:ilvl="1" w:tplc="A120DEAE">
      <w:numFmt w:val="bullet"/>
      <w:lvlText w:val="•"/>
      <w:lvlJc w:val="left"/>
      <w:pPr>
        <w:ind w:left="556" w:hanging="116"/>
      </w:pPr>
      <w:rPr>
        <w:rFonts w:hint="default"/>
        <w:lang w:val="en-US" w:eastAsia="en-US" w:bidi="ar-SA"/>
      </w:rPr>
    </w:lvl>
    <w:lvl w:ilvl="2" w:tplc="4C605906">
      <w:numFmt w:val="bullet"/>
      <w:lvlText w:val="•"/>
      <w:lvlJc w:val="left"/>
      <w:pPr>
        <w:ind w:left="893" w:hanging="116"/>
      </w:pPr>
      <w:rPr>
        <w:rFonts w:hint="default"/>
        <w:lang w:val="en-US" w:eastAsia="en-US" w:bidi="ar-SA"/>
      </w:rPr>
    </w:lvl>
    <w:lvl w:ilvl="3" w:tplc="975408A0">
      <w:numFmt w:val="bullet"/>
      <w:lvlText w:val="•"/>
      <w:lvlJc w:val="left"/>
      <w:pPr>
        <w:ind w:left="1230" w:hanging="116"/>
      </w:pPr>
      <w:rPr>
        <w:rFonts w:hint="default"/>
        <w:lang w:val="en-US" w:eastAsia="en-US" w:bidi="ar-SA"/>
      </w:rPr>
    </w:lvl>
    <w:lvl w:ilvl="4" w:tplc="4E92A356">
      <w:numFmt w:val="bullet"/>
      <w:lvlText w:val="•"/>
      <w:lvlJc w:val="left"/>
      <w:pPr>
        <w:ind w:left="1567" w:hanging="116"/>
      </w:pPr>
      <w:rPr>
        <w:rFonts w:hint="default"/>
        <w:lang w:val="en-US" w:eastAsia="en-US" w:bidi="ar-SA"/>
      </w:rPr>
    </w:lvl>
    <w:lvl w:ilvl="5" w:tplc="9CB0AEA8">
      <w:numFmt w:val="bullet"/>
      <w:lvlText w:val="•"/>
      <w:lvlJc w:val="left"/>
      <w:pPr>
        <w:ind w:left="1904" w:hanging="116"/>
      </w:pPr>
      <w:rPr>
        <w:rFonts w:hint="default"/>
        <w:lang w:val="en-US" w:eastAsia="en-US" w:bidi="ar-SA"/>
      </w:rPr>
    </w:lvl>
    <w:lvl w:ilvl="6" w:tplc="EEE8F086">
      <w:numFmt w:val="bullet"/>
      <w:lvlText w:val="•"/>
      <w:lvlJc w:val="left"/>
      <w:pPr>
        <w:ind w:left="2240" w:hanging="116"/>
      </w:pPr>
      <w:rPr>
        <w:rFonts w:hint="default"/>
        <w:lang w:val="en-US" w:eastAsia="en-US" w:bidi="ar-SA"/>
      </w:rPr>
    </w:lvl>
    <w:lvl w:ilvl="7" w:tplc="D334FC48">
      <w:numFmt w:val="bullet"/>
      <w:lvlText w:val="•"/>
      <w:lvlJc w:val="left"/>
      <w:pPr>
        <w:ind w:left="2577" w:hanging="116"/>
      </w:pPr>
      <w:rPr>
        <w:rFonts w:hint="default"/>
        <w:lang w:val="en-US" w:eastAsia="en-US" w:bidi="ar-SA"/>
      </w:rPr>
    </w:lvl>
    <w:lvl w:ilvl="8" w:tplc="0AFEFB6C">
      <w:numFmt w:val="bullet"/>
      <w:lvlText w:val="•"/>
      <w:lvlJc w:val="left"/>
      <w:pPr>
        <w:ind w:left="2914" w:hanging="116"/>
      </w:pPr>
      <w:rPr>
        <w:rFonts w:hint="default"/>
        <w:lang w:val="en-US" w:eastAsia="en-US" w:bidi="ar-SA"/>
      </w:rPr>
    </w:lvl>
  </w:abstractNum>
  <w:abstractNum w:abstractNumId="116" w15:restartNumberingAfterBreak="0">
    <w:nsid w:val="31EF51F1"/>
    <w:multiLevelType w:val="hybridMultilevel"/>
    <w:tmpl w:val="94806D10"/>
    <w:lvl w:ilvl="0" w:tplc="578E56F2">
      <w:start w:val="20"/>
      <w:numFmt w:val="bullet"/>
      <w:pStyle w:val="TextBullet"/>
      <w:lvlText w:val="-"/>
      <w:lvlJc w:val="left"/>
      <w:pPr>
        <w:ind w:left="717"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7" w15:restartNumberingAfterBreak="0">
    <w:nsid w:val="32AF2C11"/>
    <w:multiLevelType w:val="hybridMultilevel"/>
    <w:tmpl w:val="718A2256"/>
    <w:lvl w:ilvl="0" w:tplc="5734E522">
      <w:start w:val="1"/>
      <w:numFmt w:val="decimal"/>
      <w:lvlText w:val="(%1)"/>
      <w:lvlJc w:val="left"/>
      <w:pPr>
        <w:ind w:left="341" w:hanging="226"/>
      </w:pPr>
      <w:rPr>
        <w:rFonts w:ascii="Times New Roman" w:eastAsia="Times New Roman" w:hAnsi="Times New Roman" w:cs="Times New Roman" w:hint="default"/>
        <w:spacing w:val="-2"/>
        <w:w w:val="100"/>
        <w:sz w:val="18"/>
        <w:szCs w:val="18"/>
        <w:lang w:val="en-US" w:eastAsia="en-US" w:bidi="ar-SA"/>
      </w:rPr>
    </w:lvl>
    <w:lvl w:ilvl="1" w:tplc="D5AE2946">
      <w:numFmt w:val="bullet"/>
      <w:lvlText w:val="•"/>
      <w:lvlJc w:val="left"/>
      <w:pPr>
        <w:ind w:left="1169" w:hanging="226"/>
      </w:pPr>
      <w:rPr>
        <w:rFonts w:hint="default"/>
        <w:lang w:val="en-US" w:eastAsia="en-US" w:bidi="ar-SA"/>
      </w:rPr>
    </w:lvl>
    <w:lvl w:ilvl="2" w:tplc="B1302098">
      <w:numFmt w:val="bullet"/>
      <w:lvlText w:val="•"/>
      <w:lvlJc w:val="left"/>
      <w:pPr>
        <w:ind w:left="1998" w:hanging="226"/>
      </w:pPr>
      <w:rPr>
        <w:rFonts w:hint="default"/>
        <w:lang w:val="en-US" w:eastAsia="en-US" w:bidi="ar-SA"/>
      </w:rPr>
    </w:lvl>
    <w:lvl w:ilvl="3" w:tplc="E57EB234">
      <w:numFmt w:val="bullet"/>
      <w:lvlText w:val="•"/>
      <w:lvlJc w:val="left"/>
      <w:pPr>
        <w:ind w:left="2827" w:hanging="226"/>
      </w:pPr>
      <w:rPr>
        <w:rFonts w:hint="default"/>
        <w:lang w:val="en-US" w:eastAsia="en-US" w:bidi="ar-SA"/>
      </w:rPr>
    </w:lvl>
    <w:lvl w:ilvl="4" w:tplc="0AC81AB8">
      <w:numFmt w:val="bullet"/>
      <w:lvlText w:val="•"/>
      <w:lvlJc w:val="left"/>
      <w:pPr>
        <w:ind w:left="3656" w:hanging="226"/>
      </w:pPr>
      <w:rPr>
        <w:rFonts w:hint="default"/>
        <w:lang w:val="en-US" w:eastAsia="en-US" w:bidi="ar-SA"/>
      </w:rPr>
    </w:lvl>
    <w:lvl w:ilvl="5" w:tplc="893AF748">
      <w:numFmt w:val="bullet"/>
      <w:lvlText w:val="•"/>
      <w:lvlJc w:val="left"/>
      <w:pPr>
        <w:ind w:left="4486" w:hanging="226"/>
      </w:pPr>
      <w:rPr>
        <w:rFonts w:hint="default"/>
        <w:lang w:val="en-US" w:eastAsia="en-US" w:bidi="ar-SA"/>
      </w:rPr>
    </w:lvl>
    <w:lvl w:ilvl="6" w:tplc="3DAEB25C">
      <w:numFmt w:val="bullet"/>
      <w:lvlText w:val="•"/>
      <w:lvlJc w:val="left"/>
      <w:pPr>
        <w:ind w:left="5315" w:hanging="226"/>
      </w:pPr>
      <w:rPr>
        <w:rFonts w:hint="default"/>
        <w:lang w:val="en-US" w:eastAsia="en-US" w:bidi="ar-SA"/>
      </w:rPr>
    </w:lvl>
    <w:lvl w:ilvl="7" w:tplc="156C5136">
      <w:numFmt w:val="bullet"/>
      <w:lvlText w:val="•"/>
      <w:lvlJc w:val="left"/>
      <w:pPr>
        <w:ind w:left="6144" w:hanging="226"/>
      </w:pPr>
      <w:rPr>
        <w:rFonts w:hint="default"/>
        <w:lang w:val="en-US" w:eastAsia="en-US" w:bidi="ar-SA"/>
      </w:rPr>
    </w:lvl>
    <w:lvl w:ilvl="8" w:tplc="D4321FE0">
      <w:numFmt w:val="bullet"/>
      <w:lvlText w:val="•"/>
      <w:lvlJc w:val="left"/>
      <w:pPr>
        <w:ind w:left="6973" w:hanging="226"/>
      </w:pPr>
      <w:rPr>
        <w:rFonts w:hint="default"/>
        <w:lang w:val="en-US" w:eastAsia="en-US" w:bidi="ar-SA"/>
      </w:rPr>
    </w:lvl>
  </w:abstractNum>
  <w:abstractNum w:abstractNumId="118" w15:restartNumberingAfterBreak="0">
    <w:nsid w:val="32D96A45"/>
    <w:multiLevelType w:val="multilevel"/>
    <w:tmpl w:val="259A0F0E"/>
    <w:styleLink w:val="GeerliListe134"/>
    <w:lvl w:ilvl="0">
      <w:start w:val="1"/>
      <w:numFmt w:val="decimal"/>
      <w:lvlText w:val="1.%1"/>
      <w:lvlJc w:val="left"/>
      <w:pPr>
        <w:ind w:left="432" w:hanging="432"/>
      </w:pPr>
      <w:rPr>
        <w:rFonts w:hint="default"/>
      </w:rPr>
    </w:lvl>
    <w:lvl w:ilvl="1">
      <w:start w:val="1"/>
      <w:numFmt w:val="none"/>
      <w:lvlText w:val="2.2"/>
      <w:lvlJc w:val="left"/>
      <w:pPr>
        <w:ind w:left="666" w:hanging="576"/>
      </w:pPr>
      <w:rPr>
        <w:rFonts w:hint="default"/>
      </w:rPr>
    </w:lvl>
    <w:lvl w:ilvl="2">
      <w:start w:val="1"/>
      <w:numFmt w:val="decimal"/>
      <w:lvlText w:val="%1.1%2.11.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9" w15:restartNumberingAfterBreak="0">
    <w:nsid w:val="32E41CAC"/>
    <w:multiLevelType w:val="hybridMultilevel"/>
    <w:tmpl w:val="6BA646DE"/>
    <w:lvl w:ilvl="0" w:tplc="6DB886B8">
      <w:start w:val="1"/>
      <w:numFmt w:val="lowerRoman"/>
      <w:lvlText w:val="%1."/>
      <w:lvlJc w:val="left"/>
      <w:pPr>
        <w:ind w:left="262" w:hanging="156"/>
      </w:pPr>
      <w:rPr>
        <w:rFonts w:ascii="Times New Roman" w:eastAsia="Times New Roman" w:hAnsi="Times New Roman" w:cs="Times New Roman" w:hint="default"/>
        <w:spacing w:val="-1"/>
        <w:w w:val="99"/>
        <w:sz w:val="20"/>
        <w:szCs w:val="20"/>
        <w:lang w:val="en-US" w:eastAsia="en-US" w:bidi="ar-SA"/>
      </w:rPr>
    </w:lvl>
    <w:lvl w:ilvl="1" w:tplc="B4A4A7A6">
      <w:numFmt w:val="bullet"/>
      <w:lvlText w:val="•"/>
      <w:lvlJc w:val="left"/>
      <w:pPr>
        <w:ind w:left="620" w:hanging="156"/>
      </w:pPr>
      <w:rPr>
        <w:rFonts w:hint="default"/>
        <w:lang w:val="en-US" w:eastAsia="en-US" w:bidi="ar-SA"/>
      </w:rPr>
    </w:lvl>
    <w:lvl w:ilvl="2" w:tplc="2F6C8D5C">
      <w:numFmt w:val="bullet"/>
      <w:lvlText w:val="•"/>
      <w:lvlJc w:val="left"/>
      <w:pPr>
        <w:ind w:left="980" w:hanging="156"/>
      </w:pPr>
      <w:rPr>
        <w:rFonts w:hint="default"/>
        <w:lang w:val="en-US" w:eastAsia="en-US" w:bidi="ar-SA"/>
      </w:rPr>
    </w:lvl>
    <w:lvl w:ilvl="3" w:tplc="9292725C">
      <w:numFmt w:val="bullet"/>
      <w:lvlText w:val="•"/>
      <w:lvlJc w:val="left"/>
      <w:pPr>
        <w:ind w:left="1340" w:hanging="156"/>
      </w:pPr>
      <w:rPr>
        <w:rFonts w:hint="default"/>
        <w:lang w:val="en-US" w:eastAsia="en-US" w:bidi="ar-SA"/>
      </w:rPr>
    </w:lvl>
    <w:lvl w:ilvl="4" w:tplc="C6A2B384">
      <w:numFmt w:val="bullet"/>
      <w:lvlText w:val="•"/>
      <w:lvlJc w:val="left"/>
      <w:pPr>
        <w:ind w:left="1700" w:hanging="156"/>
      </w:pPr>
      <w:rPr>
        <w:rFonts w:hint="default"/>
        <w:lang w:val="en-US" w:eastAsia="en-US" w:bidi="ar-SA"/>
      </w:rPr>
    </w:lvl>
    <w:lvl w:ilvl="5" w:tplc="7D5CDA98">
      <w:numFmt w:val="bullet"/>
      <w:lvlText w:val="•"/>
      <w:lvlJc w:val="left"/>
      <w:pPr>
        <w:ind w:left="2061" w:hanging="156"/>
      </w:pPr>
      <w:rPr>
        <w:rFonts w:hint="default"/>
        <w:lang w:val="en-US" w:eastAsia="en-US" w:bidi="ar-SA"/>
      </w:rPr>
    </w:lvl>
    <w:lvl w:ilvl="6" w:tplc="8AFC4EE8">
      <w:numFmt w:val="bullet"/>
      <w:lvlText w:val="•"/>
      <w:lvlJc w:val="left"/>
      <w:pPr>
        <w:ind w:left="2421" w:hanging="156"/>
      </w:pPr>
      <w:rPr>
        <w:rFonts w:hint="default"/>
        <w:lang w:val="en-US" w:eastAsia="en-US" w:bidi="ar-SA"/>
      </w:rPr>
    </w:lvl>
    <w:lvl w:ilvl="7" w:tplc="92204F22">
      <w:numFmt w:val="bullet"/>
      <w:lvlText w:val="•"/>
      <w:lvlJc w:val="left"/>
      <w:pPr>
        <w:ind w:left="2781" w:hanging="156"/>
      </w:pPr>
      <w:rPr>
        <w:rFonts w:hint="default"/>
        <w:lang w:val="en-US" w:eastAsia="en-US" w:bidi="ar-SA"/>
      </w:rPr>
    </w:lvl>
    <w:lvl w:ilvl="8" w:tplc="259407B2">
      <w:numFmt w:val="bullet"/>
      <w:lvlText w:val="•"/>
      <w:lvlJc w:val="left"/>
      <w:pPr>
        <w:ind w:left="3141" w:hanging="156"/>
      </w:pPr>
      <w:rPr>
        <w:rFonts w:hint="default"/>
        <w:lang w:val="en-US" w:eastAsia="en-US" w:bidi="ar-SA"/>
      </w:rPr>
    </w:lvl>
  </w:abstractNum>
  <w:abstractNum w:abstractNumId="120" w15:restartNumberingAfterBreak="0">
    <w:nsid w:val="33307EA8"/>
    <w:multiLevelType w:val="hybridMultilevel"/>
    <w:tmpl w:val="B2A01410"/>
    <w:lvl w:ilvl="0" w:tplc="F1944A84">
      <w:start w:val="1"/>
      <w:numFmt w:val="decimal"/>
      <w:lvlText w:val="%1."/>
      <w:lvlJc w:val="left"/>
      <w:pPr>
        <w:ind w:left="827" w:hanging="360"/>
      </w:pPr>
      <w:rPr>
        <w:rFonts w:ascii="Times New Roman" w:eastAsia="Times New Roman" w:hAnsi="Times New Roman" w:cs="Times New Roman" w:hint="default"/>
        <w:spacing w:val="0"/>
        <w:w w:val="99"/>
        <w:sz w:val="20"/>
        <w:szCs w:val="20"/>
        <w:lang w:val="en-US" w:eastAsia="en-US" w:bidi="ar-SA"/>
      </w:rPr>
    </w:lvl>
    <w:lvl w:ilvl="1" w:tplc="1C9CF2AC">
      <w:numFmt w:val="bullet"/>
      <w:lvlText w:val="•"/>
      <w:lvlJc w:val="left"/>
      <w:pPr>
        <w:ind w:left="1278" w:hanging="360"/>
      </w:pPr>
      <w:rPr>
        <w:rFonts w:hint="default"/>
        <w:lang w:val="en-US" w:eastAsia="en-US" w:bidi="ar-SA"/>
      </w:rPr>
    </w:lvl>
    <w:lvl w:ilvl="2" w:tplc="4DD09AFA">
      <w:numFmt w:val="bullet"/>
      <w:lvlText w:val="•"/>
      <w:lvlJc w:val="left"/>
      <w:pPr>
        <w:ind w:left="1737" w:hanging="360"/>
      </w:pPr>
      <w:rPr>
        <w:rFonts w:hint="default"/>
        <w:lang w:val="en-US" w:eastAsia="en-US" w:bidi="ar-SA"/>
      </w:rPr>
    </w:lvl>
    <w:lvl w:ilvl="3" w:tplc="05BE8C1E">
      <w:numFmt w:val="bullet"/>
      <w:lvlText w:val="•"/>
      <w:lvlJc w:val="left"/>
      <w:pPr>
        <w:ind w:left="2195" w:hanging="360"/>
      </w:pPr>
      <w:rPr>
        <w:rFonts w:hint="default"/>
        <w:lang w:val="en-US" w:eastAsia="en-US" w:bidi="ar-SA"/>
      </w:rPr>
    </w:lvl>
    <w:lvl w:ilvl="4" w:tplc="FBE8B3DA">
      <w:numFmt w:val="bullet"/>
      <w:lvlText w:val="•"/>
      <w:lvlJc w:val="left"/>
      <w:pPr>
        <w:ind w:left="2654" w:hanging="360"/>
      </w:pPr>
      <w:rPr>
        <w:rFonts w:hint="default"/>
        <w:lang w:val="en-US" w:eastAsia="en-US" w:bidi="ar-SA"/>
      </w:rPr>
    </w:lvl>
    <w:lvl w:ilvl="5" w:tplc="6A2A2BAA">
      <w:numFmt w:val="bullet"/>
      <w:lvlText w:val="•"/>
      <w:lvlJc w:val="left"/>
      <w:pPr>
        <w:ind w:left="3113" w:hanging="360"/>
      </w:pPr>
      <w:rPr>
        <w:rFonts w:hint="default"/>
        <w:lang w:val="en-US" w:eastAsia="en-US" w:bidi="ar-SA"/>
      </w:rPr>
    </w:lvl>
    <w:lvl w:ilvl="6" w:tplc="9A8086A8">
      <w:numFmt w:val="bullet"/>
      <w:lvlText w:val="•"/>
      <w:lvlJc w:val="left"/>
      <w:pPr>
        <w:ind w:left="3571" w:hanging="360"/>
      </w:pPr>
      <w:rPr>
        <w:rFonts w:hint="default"/>
        <w:lang w:val="en-US" w:eastAsia="en-US" w:bidi="ar-SA"/>
      </w:rPr>
    </w:lvl>
    <w:lvl w:ilvl="7" w:tplc="467687FA">
      <w:numFmt w:val="bullet"/>
      <w:lvlText w:val="•"/>
      <w:lvlJc w:val="left"/>
      <w:pPr>
        <w:ind w:left="4030" w:hanging="360"/>
      </w:pPr>
      <w:rPr>
        <w:rFonts w:hint="default"/>
        <w:lang w:val="en-US" w:eastAsia="en-US" w:bidi="ar-SA"/>
      </w:rPr>
    </w:lvl>
    <w:lvl w:ilvl="8" w:tplc="F37A13AA">
      <w:numFmt w:val="bullet"/>
      <w:lvlText w:val="•"/>
      <w:lvlJc w:val="left"/>
      <w:pPr>
        <w:ind w:left="4488" w:hanging="360"/>
      </w:pPr>
      <w:rPr>
        <w:rFonts w:hint="default"/>
        <w:lang w:val="en-US" w:eastAsia="en-US" w:bidi="ar-SA"/>
      </w:rPr>
    </w:lvl>
  </w:abstractNum>
  <w:abstractNum w:abstractNumId="121" w15:restartNumberingAfterBreak="0">
    <w:nsid w:val="335C0385"/>
    <w:multiLevelType w:val="hybridMultilevel"/>
    <w:tmpl w:val="60D2AE22"/>
    <w:lvl w:ilvl="0" w:tplc="55B6B46A">
      <w:start w:val="1"/>
      <w:numFmt w:val="decimal"/>
      <w:lvlText w:val="(%1)"/>
      <w:lvlJc w:val="left"/>
      <w:pPr>
        <w:ind w:left="334" w:hanging="231"/>
      </w:pPr>
      <w:rPr>
        <w:rFonts w:ascii="Times New Roman" w:eastAsia="Times New Roman" w:hAnsi="Times New Roman" w:cs="Times New Roman" w:hint="default"/>
        <w:w w:val="100"/>
        <w:sz w:val="18"/>
        <w:szCs w:val="18"/>
        <w:lang w:val="en-US" w:eastAsia="en-US" w:bidi="ar-SA"/>
      </w:rPr>
    </w:lvl>
    <w:lvl w:ilvl="1" w:tplc="BB680BBC">
      <w:numFmt w:val="bullet"/>
      <w:lvlText w:val="•"/>
      <w:lvlJc w:val="left"/>
      <w:pPr>
        <w:ind w:left="1150" w:hanging="231"/>
      </w:pPr>
      <w:rPr>
        <w:rFonts w:hint="default"/>
        <w:lang w:val="en-US" w:eastAsia="en-US" w:bidi="ar-SA"/>
      </w:rPr>
    </w:lvl>
    <w:lvl w:ilvl="2" w:tplc="9F40F1D8">
      <w:numFmt w:val="bullet"/>
      <w:lvlText w:val="•"/>
      <w:lvlJc w:val="left"/>
      <w:pPr>
        <w:ind w:left="1960" w:hanging="231"/>
      </w:pPr>
      <w:rPr>
        <w:rFonts w:hint="default"/>
        <w:lang w:val="en-US" w:eastAsia="en-US" w:bidi="ar-SA"/>
      </w:rPr>
    </w:lvl>
    <w:lvl w:ilvl="3" w:tplc="7EC25726">
      <w:numFmt w:val="bullet"/>
      <w:lvlText w:val="•"/>
      <w:lvlJc w:val="left"/>
      <w:pPr>
        <w:ind w:left="2770" w:hanging="231"/>
      </w:pPr>
      <w:rPr>
        <w:rFonts w:hint="default"/>
        <w:lang w:val="en-US" w:eastAsia="en-US" w:bidi="ar-SA"/>
      </w:rPr>
    </w:lvl>
    <w:lvl w:ilvl="4" w:tplc="ADBE0512">
      <w:numFmt w:val="bullet"/>
      <w:lvlText w:val="•"/>
      <w:lvlJc w:val="left"/>
      <w:pPr>
        <w:ind w:left="3581" w:hanging="231"/>
      </w:pPr>
      <w:rPr>
        <w:rFonts w:hint="default"/>
        <w:lang w:val="en-US" w:eastAsia="en-US" w:bidi="ar-SA"/>
      </w:rPr>
    </w:lvl>
    <w:lvl w:ilvl="5" w:tplc="E36E8F10">
      <w:numFmt w:val="bullet"/>
      <w:lvlText w:val="•"/>
      <w:lvlJc w:val="left"/>
      <w:pPr>
        <w:ind w:left="4391" w:hanging="231"/>
      </w:pPr>
      <w:rPr>
        <w:rFonts w:hint="default"/>
        <w:lang w:val="en-US" w:eastAsia="en-US" w:bidi="ar-SA"/>
      </w:rPr>
    </w:lvl>
    <w:lvl w:ilvl="6" w:tplc="E2DCB8C0">
      <w:numFmt w:val="bullet"/>
      <w:lvlText w:val="•"/>
      <w:lvlJc w:val="left"/>
      <w:pPr>
        <w:ind w:left="5201" w:hanging="231"/>
      </w:pPr>
      <w:rPr>
        <w:rFonts w:hint="default"/>
        <w:lang w:val="en-US" w:eastAsia="en-US" w:bidi="ar-SA"/>
      </w:rPr>
    </w:lvl>
    <w:lvl w:ilvl="7" w:tplc="0DF28330">
      <w:numFmt w:val="bullet"/>
      <w:lvlText w:val="•"/>
      <w:lvlJc w:val="left"/>
      <w:pPr>
        <w:ind w:left="6012" w:hanging="231"/>
      </w:pPr>
      <w:rPr>
        <w:rFonts w:hint="default"/>
        <w:lang w:val="en-US" w:eastAsia="en-US" w:bidi="ar-SA"/>
      </w:rPr>
    </w:lvl>
    <w:lvl w:ilvl="8" w:tplc="62E43990">
      <w:numFmt w:val="bullet"/>
      <w:lvlText w:val="•"/>
      <w:lvlJc w:val="left"/>
      <w:pPr>
        <w:ind w:left="6822" w:hanging="231"/>
      </w:pPr>
      <w:rPr>
        <w:rFonts w:hint="default"/>
        <w:lang w:val="en-US" w:eastAsia="en-US" w:bidi="ar-SA"/>
      </w:rPr>
    </w:lvl>
  </w:abstractNum>
  <w:abstractNum w:abstractNumId="122" w15:restartNumberingAfterBreak="0">
    <w:nsid w:val="344A345D"/>
    <w:multiLevelType w:val="hybridMultilevel"/>
    <w:tmpl w:val="FD3A5A12"/>
    <w:lvl w:ilvl="0" w:tplc="FFFFFFFF">
      <w:start w:val="1"/>
      <w:numFmt w:val="lowerLetter"/>
      <w:lvlText w:val="(%1)"/>
      <w:lvlJc w:val="left"/>
      <w:pPr>
        <w:ind w:left="1440" w:hanging="360"/>
      </w:pPr>
      <w:rPr>
        <w:rFonts w:ascii="Times New Roman" w:eastAsia="Times New Roman" w:hAnsi="Times New Roman" w:cs="Times New Roman" w:hint="default"/>
        <w:spacing w:val="-2"/>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3" w15:restartNumberingAfterBreak="0">
    <w:nsid w:val="354E2C77"/>
    <w:multiLevelType w:val="multilevel"/>
    <w:tmpl w:val="3478267A"/>
    <w:styleLink w:val="03ThirdBullet"/>
    <w:lvl w:ilvl="0">
      <w:start w:val="1"/>
      <w:numFmt w:val="bullet"/>
      <w:lvlText w:val="▪"/>
      <w:lvlJc w:val="left"/>
      <w:pPr>
        <w:tabs>
          <w:tab w:val="num" w:pos="1701"/>
        </w:tabs>
        <w:ind w:left="1701" w:hanging="567"/>
      </w:pPr>
      <w:rPr>
        <w:rFonts w:ascii="Courier New" w:hAnsi="Courier New" w:hint="default"/>
        <w:sz w:val="22"/>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Wingdings" w:hAnsi="Wingdings"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124" w15:restartNumberingAfterBreak="0">
    <w:nsid w:val="3587341B"/>
    <w:multiLevelType w:val="hybridMultilevel"/>
    <w:tmpl w:val="699CF5F4"/>
    <w:lvl w:ilvl="0" w:tplc="9684CA40">
      <w:numFmt w:val="bullet"/>
      <w:lvlText w:val="-"/>
      <w:lvlJc w:val="left"/>
      <w:pPr>
        <w:ind w:left="107" w:hanging="236"/>
      </w:pPr>
      <w:rPr>
        <w:rFonts w:ascii="Times New Roman" w:eastAsia="Times New Roman" w:hAnsi="Times New Roman" w:cs="Times New Roman" w:hint="default"/>
        <w:w w:val="99"/>
        <w:sz w:val="20"/>
        <w:szCs w:val="20"/>
        <w:lang w:val="en-US" w:eastAsia="en-US" w:bidi="ar-SA"/>
      </w:rPr>
    </w:lvl>
    <w:lvl w:ilvl="1" w:tplc="9A482984">
      <w:numFmt w:val="bullet"/>
      <w:lvlText w:val="•"/>
      <w:lvlJc w:val="left"/>
      <w:pPr>
        <w:ind w:left="626" w:hanging="236"/>
      </w:pPr>
      <w:rPr>
        <w:rFonts w:hint="default"/>
        <w:lang w:val="en-US" w:eastAsia="en-US" w:bidi="ar-SA"/>
      </w:rPr>
    </w:lvl>
    <w:lvl w:ilvl="2" w:tplc="F9D2B40E">
      <w:numFmt w:val="bullet"/>
      <w:lvlText w:val="•"/>
      <w:lvlJc w:val="left"/>
      <w:pPr>
        <w:ind w:left="1152" w:hanging="236"/>
      </w:pPr>
      <w:rPr>
        <w:rFonts w:hint="default"/>
        <w:lang w:val="en-US" w:eastAsia="en-US" w:bidi="ar-SA"/>
      </w:rPr>
    </w:lvl>
    <w:lvl w:ilvl="3" w:tplc="0DF4BE56">
      <w:numFmt w:val="bullet"/>
      <w:lvlText w:val="•"/>
      <w:lvlJc w:val="left"/>
      <w:pPr>
        <w:ind w:left="1678" w:hanging="236"/>
      </w:pPr>
      <w:rPr>
        <w:rFonts w:hint="default"/>
        <w:lang w:val="en-US" w:eastAsia="en-US" w:bidi="ar-SA"/>
      </w:rPr>
    </w:lvl>
    <w:lvl w:ilvl="4" w:tplc="99689F98">
      <w:numFmt w:val="bullet"/>
      <w:lvlText w:val="•"/>
      <w:lvlJc w:val="left"/>
      <w:pPr>
        <w:ind w:left="2204" w:hanging="236"/>
      </w:pPr>
      <w:rPr>
        <w:rFonts w:hint="default"/>
        <w:lang w:val="en-US" w:eastAsia="en-US" w:bidi="ar-SA"/>
      </w:rPr>
    </w:lvl>
    <w:lvl w:ilvl="5" w:tplc="0D223CCE">
      <w:numFmt w:val="bullet"/>
      <w:lvlText w:val="•"/>
      <w:lvlJc w:val="left"/>
      <w:pPr>
        <w:ind w:left="2730" w:hanging="236"/>
      </w:pPr>
      <w:rPr>
        <w:rFonts w:hint="default"/>
        <w:lang w:val="en-US" w:eastAsia="en-US" w:bidi="ar-SA"/>
      </w:rPr>
    </w:lvl>
    <w:lvl w:ilvl="6" w:tplc="2808094A">
      <w:numFmt w:val="bullet"/>
      <w:lvlText w:val="•"/>
      <w:lvlJc w:val="left"/>
      <w:pPr>
        <w:ind w:left="3256" w:hanging="236"/>
      </w:pPr>
      <w:rPr>
        <w:rFonts w:hint="default"/>
        <w:lang w:val="en-US" w:eastAsia="en-US" w:bidi="ar-SA"/>
      </w:rPr>
    </w:lvl>
    <w:lvl w:ilvl="7" w:tplc="CC383F54">
      <w:numFmt w:val="bullet"/>
      <w:lvlText w:val="•"/>
      <w:lvlJc w:val="left"/>
      <w:pPr>
        <w:ind w:left="3782" w:hanging="236"/>
      </w:pPr>
      <w:rPr>
        <w:rFonts w:hint="default"/>
        <w:lang w:val="en-US" w:eastAsia="en-US" w:bidi="ar-SA"/>
      </w:rPr>
    </w:lvl>
    <w:lvl w:ilvl="8" w:tplc="F99A2B2E">
      <w:numFmt w:val="bullet"/>
      <w:lvlText w:val="•"/>
      <w:lvlJc w:val="left"/>
      <w:pPr>
        <w:ind w:left="4308" w:hanging="236"/>
      </w:pPr>
      <w:rPr>
        <w:rFonts w:hint="default"/>
        <w:lang w:val="en-US" w:eastAsia="en-US" w:bidi="ar-SA"/>
      </w:rPr>
    </w:lvl>
  </w:abstractNum>
  <w:abstractNum w:abstractNumId="125" w15:restartNumberingAfterBreak="0">
    <w:nsid w:val="35C5122A"/>
    <w:multiLevelType w:val="hybridMultilevel"/>
    <w:tmpl w:val="12DCF65E"/>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6" w15:restartNumberingAfterBreak="0">
    <w:nsid w:val="364C337F"/>
    <w:multiLevelType w:val="multilevel"/>
    <w:tmpl w:val="9C22580E"/>
    <w:styleLink w:val="GeerliListe1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37476547"/>
    <w:multiLevelType w:val="multilevel"/>
    <w:tmpl w:val="22A22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38170ABC"/>
    <w:multiLevelType w:val="multilevel"/>
    <w:tmpl w:val="0D02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A383DDE"/>
    <w:multiLevelType w:val="hybridMultilevel"/>
    <w:tmpl w:val="58CCFCF8"/>
    <w:lvl w:ilvl="0" w:tplc="3A5654BA">
      <w:start w:val="1"/>
      <w:numFmt w:val="lowerLetter"/>
      <w:lvlText w:val="(%1)"/>
      <w:lvlJc w:val="left"/>
      <w:pPr>
        <w:ind w:left="720" w:hanging="360"/>
      </w:pPr>
      <w:rPr>
        <w:rFonts w:ascii="Times New Roman" w:eastAsia="Times New Roman" w:hAnsi="Times New Roman" w:cs="Times New Roman" w:hint="default"/>
        <w:w w:val="99"/>
        <w:sz w:val="24"/>
        <w:szCs w:val="24"/>
        <w:lang w:val="en-US"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0" w15:restartNumberingAfterBreak="0">
    <w:nsid w:val="3A4A6B66"/>
    <w:multiLevelType w:val="multilevel"/>
    <w:tmpl w:val="F140A994"/>
    <w:styleLink w:val="GeerliListe34"/>
    <w:lvl w:ilvl="0">
      <w:start w:val="1"/>
      <w:numFmt w:val="decimal"/>
      <w:lvlText w:val="%1"/>
      <w:lvlJc w:val="left"/>
      <w:pPr>
        <w:ind w:left="432" w:hanging="432"/>
      </w:pPr>
      <w:rPr>
        <w:rFonts w:hint="default"/>
      </w:rPr>
    </w:lvl>
    <w:lvl w:ilvl="1">
      <w:start w:val="1"/>
      <w:numFmt w:val="none"/>
      <w:lvlText w:val="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1" w15:restartNumberingAfterBreak="0">
    <w:nsid w:val="3AB041C3"/>
    <w:multiLevelType w:val="hybridMultilevel"/>
    <w:tmpl w:val="3E30412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2" w15:restartNumberingAfterBreak="0">
    <w:nsid w:val="3AC55157"/>
    <w:multiLevelType w:val="multilevel"/>
    <w:tmpl w:val="A726D596"/>
    <w:styleLink w:val="GeerliListe7"/>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3B3E0CAF"/>
    <w:multiLevelType w:val="hybridMultilevel"/>
    <w:tmpl w:val="B110221E"/>
    <w:lvl w:ilvl="0" w:tplc="5B067AFE">
      <w:numFmt w:val="bullet"/>
      <w:lvlText w:val=""/>
      <w:lvlJc w:val="left"/>
      <w:pPr>
        <w:ind w:left="418" w:hanging="360"/>
      </w:pPr>
      <w:rPr>
        <w:rFonts w:ascii="Symbol" w:eastAsia="Symbol" w:hAnsi="Symbol" w:cs="Symbol" w:hint="default"/>
        <w:w w:val="100"/>
        <w:sz w:val="20"/>
        <w:szCs w:val="20"/>
        <w:lang w:val="en-US" w:eastAsia="en-US" w:bidi="ar-SA"/>
      </w:rPr>
    </w:lvl>
    <w:lvl w:ilvl="1" w:tplc="C42432C2">
      <w:numFmt w:val="bullet"/>
      <w:lvlText w:val="•"/>
      <w:lvlJc w:val="left"/>
      <w:pPr>
        <w:ind w:left="1035" w:hanging="360"/>
      </w:pPr>
      <w:rPr>
        <w:rFonts w:hint="default"/>
        <w:lang w:val="en-US" w:eastAsia="en-US" w:bidi="ar-SA"/>
      </w:rPr>
    </w:lvl>
    <w:lvl w:ilvl="2" w:tplc="BD249C56">
      <w:numFmt w:val="bullet"/>
      <w:lvlText w:val="•"/>
      <w:lvlJc w:val="left"/>
      <w:pPr>
        <w:ind w:left="1651" w:hanging="360"/>
      </w:pPr>
      <w:rPr>
        <w:rFonts w:hint="default"/>
        <w:lang w:val="en-US" w:eastAsia="en-US" w:bidi="ar-SA"/>
      </w:rPr>
    </w:lvl>
    <w:lvl w:ilvl="3" w:tplc="1A245F94">
      <w:numFmt w:val="bullet"/>
      <w:lvlText w:val="•"/>
      <w:lvlJc w:val="left"/>
      <w:pPr>
        <w:ind w:left="2266" w:hanging="360"/>
      </w:pPr>
      <w:rPr>
        <w:rFonts w:hint="default"/>
        <w:lang w:val="en-US" w:eastAsia="en-US" w:bidi="ar-SA"/>
      </w:rPr>
    </w:lvl>
    <w:lvl w:ilvl="4" w:tplc="2E4C5DC8">
      <w:numFmt w:val="bullet"/>
      <w:lvlText w:val="•"/>
      <w:lvlJc w:val="left"/>
      <w:pPr>
        <w:ind w:left="2882" w:hanging="360"/>
      </w:pPr>
      <w:rPr>
        <w:rFonts w:hint="default"/>
        <w:lang w:val="en-US" w:eastAsia="en-US" w:bidi="ar-SA"/>
      </w:rPr>
    </w:lvl>
    <w:lvl w:ilvl="5" w:tplc="1626057C">
      <w:numFmt w:val="bullet"/>
      <w:lvlText w:val="•"/>
      <w:lvlJc w:val="left"/>
      <w:pPr>
        <w:ind w:left="3498" w:hanging="360"/>
      </w:pPr>
      <w:rPr>
        <w:rFonts w:hint="default"/>
        <w:lang w:val="en-US" w:eastAsia="en-US" w:bidi="ar-SA"/>
      </w:rPr>
    </w:lvl>
    <w:lvl w:ilvl="6" w:tplc="BB44B112">
      <w:numFmt w:val="bullet"/>
      <w:lvlText w:val="•"/>
      <w:lvlJc w:val="left"/>
      <w:pPr>
        <w:ind w:left="4113" w:hanging="360"/>
      </w:pPr>
      <w:rPr>
        <w:rFonts w:hint="default"/>
        <w:lang w:val="en-US" w:eastAsia="en-US" w:bidi="ar-SA"/>
      </w:rPr>
    </w:lvl>
    <w:lvl w:ilvl="7" w:tplc="9904A8D2">
      <w:numFmt w:val="bullet"/>
      <w:lvlText w:val="•"/>
      <w:lvlJc w:val="left"/>
      <w:pPr>
        <w:ind w:left="4729" w:hanging="360"/>
      </w:pPr>
      <w:rPr>
        <w:rFonts w:hint="default"/>
        <w:lang w:val="en-US" w:eastAsia="en-US" w:bidi="ar-SA"/>
      </w:rPr>
    </w:lvl>
    <w:lvl w:ilvl="8" w:tplc="0FE63216">
      <w:numFmt w:val="bullet"/>
      <w:lvlText w:val="•"/>
      <w:lvlJc w:val="left"/>
      <w:pPr>
        <w:ind w:left="5344" w:hanging="360"/>
      </w:pPr>
      <w:rPr>
        <w:rFonts w:hint="default"/>
        <w:lang w:val="en-US" w:eastAsia="en-US" w:bidi="ar-SA"/>
      </w:rPr>
    </w:lvl>
  </w:abstractNum>
  <w:abstractNum w:abstractNumId="134" w15:restartNumberingAfterBreak="0">
    <w:nsid w:val="3C345A5C"/>
    <w:multiLevelType w:val="hybridMultilevel"/>
    <w:tmpl w:val="9CEA28A8"/>
    <w:lvl w:ilvl="0" w:tplc="08D08126">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5" w15:restartNumberingAfterBreak="0">
    <w:nsid w:val="3C7940AE"/>
    <w:multiLevelType w:val="hybridMultilevel"/>
    <w:tmpl w:val="2FEA7EAC"/>
    <w:lvl w:ilvl="0" w:tplc="A14A1E12">
      <w:numFmt w:val="bullet"/>
      <w:lvlText w:val="-"/>
      <w:lvlJc w:val="left"/>
      <w:pPr>
        <w:ind w:left="279" w:hanging="137"/>
      </w:pPr>
      <w:rPr>
        <w:rFonts w:ascii="Times New Roman" w:eastAsia="Times New Roman" w:hAnsi="Times New Roman" w:cs="Times New Roman" w:hint="default"/>
        <w:w w:val="99"/>
        <w:sz w:val="20"/>
        <w:szCs w:val="20"/>
        <w:lang w:val="en-US" w:eastAsia="en-US" w:bidi="ar-SA"/>
      </w:rPr>
    </w:lvl>
    <w:lvl w:ilvl="1" w:tplc="FC1673F6">
      <w:numFmt w:val="bullet"/>
      <w:lvlText w:val="•"/>
      <w:lvlJc w:val="left"/>
      <w:pPr>
        <w:ind w:left="761" w:hanging="137"/>
      </w:pPr>
      <w:rPr>
        <w:rFonts w:hint="default"/>
        <w:lang w:val="en-US" w:eastAsia="en-US" w:bidi="ar-SA"/>
      </w:rPr>
    </w:lvl>
    <w:lvl w:ilvl="2" w:tplc="23D89EC0">
      <w:numFmt w:val="bullet"/>
      <w:lvlText w:val="•"/>
      <w:lvlJc w:val="left"/>
      <w:pPr>
        <w:ind w:left="1242" w:hanging="137"/>
      </w:pPr>
      <w:rPr>
        <w:rFonts w:hint="default"/>
        <w:lang w:val="en-US" w:eastAsia="en-US" w:bidi="ar-SA"/>
      </w:rPr>
    </w:lvl>
    <w:lvl w:ilvl="3" w:tplc="9710B98C">
      <w:numFmt w:val="bullet"/>
      <w:lvlText w:val="•"/>
      <w:lvlJc w:val="left"/>
      <w:pPr>
        <w:ind w:left="1723" w:hanging="137"/>
      </w:pPr>
      <w:rPr>
        <w:rFonts w:hint="default"/>
        <w:lang w:val="en-US" w:eastAsia="en-US" w:bidi="ar-SA"/>
      </w:rPr>
    </w:lvl>
    <w:lvl w:ilvl="4" w:tplc="E1728A9E">
      <w:numFmt w:val="bullet"/>
      <w:lvlText w:val="•"/>
      <w:lvlJc w:val="left"/>
      <w:pPr>
        <w:ind w:left="2205" w:hanging="137"/>
      </w:pPr>
      <w:rPr>
        <w:rFonts w:hint="default"/>
        <w:lang w:val="en-US" w:eastAsia="en-US" w:bidi="ar-SA"/>
      </w:rPr>
    </w:lvl>
    <w:lvl w:ilvl="5" w:tplc="33D8774E">
      <w:numFmt w:val="bullet"/>
      <w:lvlText w:val="•"/>
      <w:lvlJc w:val="left"/>
      <w:pPr>
        <w:ind w:left="2686" w:hanging="137"/>
      </w:pPr>
      <w:rPr>
        <w:rFonts w:hint="default"/>
        <w:lang w:val="en-US" w:eastAsia="en-US" w:bidi="ar-SA"/>
      </w:rPr>
    </w:lvl>
    <w:lvl w:ilvl="6" w:tplc="904ACB8E">
      <w:numFmt w:val="bullet"/>
      <w:lvlText w:val="•"/>
      <w:lvlJc w:val="left"/>
      <w:pPr>
        <w:ind w:left="3167" w:hanging="137"/>
      </w:pPr>
      <w:rPr>
        <w:rFonts w:hint="default"/>
        <w:lang w:val="en-US" w:eastAsia="en-US" w:bidi="ar-SA"/>
      </w:rPr>
    </w:lvl>
    <w:lvl w:ilvl="7" w:tplc="BC9E7886">
      <w:numFmt w:val="bullet"/>
      <w:lvlText w:val="•"/>
      <w:lvlJc w:val="left"/>
      <w:pPr>
        <w:ind w:left="3649" w:hanging="137"/>
      </w:pPr>
      <w:rPr>
        <w:rFonts w:hint="default"/>
        <w:lang w:val="en-US" w:eastAsia="en-US" w:bidi="ar-SA"/>
      </w:rPr>
    </w:lvl>
    <w:lvl w:ilvl="8" w:tplc="1FE888E8">
      <w:numFmt w:val="bullet"/>
      <w:lvlText w:val="•"/>
      <w:lvlJc w:val="left"/>
      <w:pPr>
        <w:ind w:left="4130" w:hanging="137"/>
      </w:pPr>
      <w:rPr>
        <w:rFonts w:hint="default"/>
        <w:lang w:val="en-US" w:eastAsia="en-US" w:bidi="ar-SA"/>
      </w:rPr>
    </w:lvl>
  </w:abstractNum>
  <w:abstractNum w:abstractNumId="136" w15:restartNumberingAfterBreak="0">
    <w:nsid w:val="3C8453BC"/>
    <w:multiLevelType w:val="hybridMultilevel"/>
    <w:tmpl w:val="E0629A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3CDC7CE4"/>
    <w:multiLevelType w:val="multilevel"/>
    <w:tmpl w:val="145C55A8"/>
    <w:styleLink w:val="GeerliListe3"/>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3D3B4194"/>
    <w:multiLevelType w:val="hybridMultilevel"/>
    <w:tmpl w:val="1A185408"/>
    <w:lvl w:ilvl="0" w:tplc="C99AD500">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9" w15:restartNumberingAfterBreak="0">
    <w:nsid w:val="3D7567EF"/>
    <w:multiLevelType w:val="multilevel"/>
    <w:tmpl w:val="A76ECF8A"/>
    <w:styleLink w:val="GeerliListe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3FCF3A5A"/>
    <w:multiLevelType w:val="hybridMultilevel"/>
    <w:tmpl w:val="59962E02"/>
    <w:lvl w:ilvl="0" w:tplc="FFFFFFFF">
      <w:start w:val="1"/>
      <w:numFmt w:val="lowerLetter"/>
      <w:lvlText w:val="(%1)"/>
      <w:lvlJc w:val="left"/>
      <w:pPr>
        <w:ind w:left="1440" w:hanging="360"/>
      </w:pPr>
      <w:rPr>
        <w:rFonts w:hint="default"/>
      </w:rPr>
    </w:lvl>
    <w:lvl w:ilvl="1" w:tplc="44D624B2">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1" w15:restartNumberingAfterBreak="0">
    <w:nsid w:val="42452554"/>
    <w:multiLevelType w:val="hybridMultilevel"/>
    <w:tmpl w:val="83BC4832"/>
    <w:lvl w:ilvl="0" w:tplc="6FDA57DE">
      <w:start w:val="1"/>
      <w:numFmt w:val="decimal"/>
      <w:lvlText w:val="(%1)"/>
      <w:lvlJc w:val="left"/>
      <w:pPr>
        <w:ind w:left="333" w:hanging="226"/>
      </w:pPr>
      <w:rPr>
        <w:rFonts w:ascii="Times New Roman" w:eastAsia="Times New Roman" w:hAnsi="Times New Roman" w:cs="Times New Roman" w:hint="default"/>
        <w:spacing w:val="-2"/>
        <w:w w:val="100"/>
        <w:sz w:val="18"/>
        <w:szCs w:val="18"/>
        <w:lang w:val="en-US" w:eastAsia="en-US" w:bidi="ar-SA"/>
      </w:rPr>
    </w:lvl>
    <w:lvl w:ilvl="1" w:tplc="6FA486DA">
      <w:numFmt w:val="bullet"/>
      <w:lvlText w:val="•"/>
      <w:lvlJc w:val="left"/>
      <w:pPr>
        <w:ind w:left="1166" w:hanging="226"/>
      </w:pPr>
      <w:rPr>
        <w:rFonts w:hint="default"/>
        <w:lang w:val="en-US" w:eastAsia="en-US" w:bidi="ar-SA"/>
      </w:rPr>
    </w:lvl>
    <w:lvl w:ilvl="2" w:tplc="CC764AA8">
      <w:numFmt w:val="bullet"/>
      <w:lvlText w:val="•"/>
      <w:lvlJc w:val="left"/>
      <w:pPr>
        <w:ind w:left="1992" w:hanging="226"/>
      </w:pPr>
      <w:rPr>
        <w:rFonts w:hint="default"/>
        <w:lang w:val="en-US" w:eastAsia="en-US" w:bidi="ar-SA"/>
      </w:rPr>
    </w:lvl>
    <w:lvl w:ilvl="3" w:tplc="7FA6A94E">
      <w:numFmt w:val="bullet"/>
      <w:lvlText w:val="•"/>
      <w:lvlJc w:val="left"/>
      <w:pPr>
        <w:ind w:left="2818" w:hanging="226"/>
      </w:pPr>
      <w:rPr>
        <w:rFonts w:hint="default"/>
        <w:lang w:val="en-US" w:eastAsia="en-US" w:bidi="ar-SA"/>
      </w:rPr>
    </w:lvl>
    <w:lvl w:ilvl="4" w:tplc="862CE476">
      <w:numFmt w:val="bullet"/>
      <w:lvlText w:val="•"/>
      <w:lvlJc w:val="left"/>
      <w:pPr>
        <w:ind w:left="3644" w:hanging="226"/>
      </w:pPr>
      <w:rPr>
        <w:rFonts w:hint="default"/>
        <w:lang w:val="en-US" w:eastAsia="en-US" w:bidi="ar-SA"/>
      </w:rPr>
    </w:lvl>
    <w:lvl w:ilvl="5" w:tplc="21144382">
      <w:numFmt w:val="bullet"/>
      <w:lvlText w:val="•"/>
      <w:lvlJc w:val="left"/>
      <w:pPr>
        <w:ind w:left="4470" w:hanging="226"/>
      </w:pPr>
      <w:rPr>
        <w:rFonts w:hint="default"/>
        <w:lang w:val="en-US" w:eastAsia="en-US" w:bidi="ar-SA"/>
      </w:rPr>
    </w:lvl>
    <w:lvl w:ilvl="6" w:tplc="2DD00276">
      <w:numFmt w:val="bullet"/>
      <w:lvlText w:val="•"/>
      <w:lvlJc w:val="left"/>
      <w:pPr>
        <w:ind w:left="5296" w:hanging="226"/>
      </w:pPr>
      <w:rPr>
        <w:rFonts w:hint="default"/>
        <w:lang w:val="en-US" w:eastAsia="en-US" w:bidi="ar-SA"/>
      </w:rPr>
    </w:lvl>
    <w:lvl w:ilvl="7" w:tplc="B5C49F6A">
      <w:numFmt w:val="bullet"/>
      <w:lvlText w:val="•"/>
      <w:lvlJc w:val="left"/>
      <w:pPr>
        <w:ind w:left="6122" w:hanging="226"/>
      </w:pPr>
      <w:rPr>
        <w:rFonts w:hint="default"/>
        <w:lang w:val="en-US" w:eastAsia="en-US" w:bidi="ar-SA"/>
      </w:rPr>
    </w:lvl>
    <w:lvl w:ilvl="8" w:tplc="1FCC457A">
      <w:numFmt w:val="bullet"/>
      <w:lvlText w:val="•"/>
      <w:lvlJc w:val="left"/>
      <w:pPr>
        <w:ind w:left="6948" w:hanging="226"/>
      </w:pPr>
      <w:rPr>
        <w:rFonts w:hint="default"/>
        <w:lang w:val="en-US" w:eastAsia="en-US" w:bidi="ar-SA"/>
      </w:rPr>
    </w:lvl>
  </w:abstractNum>
  <w:abstractNum w:abstractNumId="142" w15:restartNumberingAfterBreak="0">
    <w:nsid w:val="42A4463A"/>
    <w:multiLevelType w:val="hybridMultilevel"/>
    <w:tmpl w:val="3E304126"/>
    <w:lvl w:ilvl="0" w:tplc="B3F653DA">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3" w15:restartNumberingAfterBreak="0">
    <w:nsid w:val="4434405E"/>
    <w:multiLevelType w:val="multilevel"/>
    <w:tmpl w:val="499C594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44A10A86"/>
    <w:multiLevelType w:val="multilevel"/>
    <w:tmpl w:val="9D46070A"/>
    <w:styleLink w:val="GeerliListe11"/>
    <w:lvl w:ilvl="0">
      <w:start w:val="1"/>
      <w:numFmt w:val="upperRoman"/>
      <w:lvlText w:val="%1."/>
      <w:lvlJc w:val="righ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145" w15:restartNumberingAfterBreak="0">
    <w:nsid w:val="45255AEF"/>
    <w:multiLevelType w:val="multilevel"/>
    <w:tmpl w:val="8BE2F340"/>
    <w:lvl w:ilvl="0">
      <w:start w:val="1"/>
      <w:numFmt w:val="lowerRoman"/>
      <w:lvlText w:val="(%1)"/>
      <w:lvlJc w:val="left"/>
      <w:pPr>
        <w:ind w:left="360" w:hanging="360"/>
      </w:pPr>
      <w:rPr>
        <w:rFonts w:hint="default"/>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6" w15:restartNumberingAfterBreak="0">
    <w:nsid w:val="470D1234"/>
    <w:multiLevelType w:val="multilevel"/>
    <w:tmpl w:val="133EB4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7" w15:restartNumberingAfterBreak="0">
    <w:nsid w:val="47124E11"/>
    <w:multiLevelType w:val="hybridMultilevel"/>
    <w:tmpl w:val="5AD2B836"/>
    <w:lvl w:ilvl="0" w:tplc="FFFFFFFF">
      <w:start w:val="1"/>
      <w:numFmt w:val="none"/>
      <w:pStyle w:val="NormalItem"/>
      <w:lvlText w:val=""/>
      <w:legacy w:legacy="1" w:legacySpace="0" w:legacyIndent="397"/>
      <w:lvlJc w:val="left"/>
      <w:pPr>
        <w:ind w:left="397" w:hanging="397"/>
      </w:pPr>
      <w:rPr>
        <w:rFonts w:ascii="Wingdings" w:hAnsi="Wingdings" w:hint="default"/>
        <w:sz w:val="14"/>
      </w:rPr>
    </w:lvl>
    <w:lvl w:ilvl="1" w:tplc="FFFFFFFF">
      <w:start w:val="1"/>
      <w:numFmt w:val="lowerLetter"/>
      <w:lvlText w:val="%2."/>
      <w:lvlJc w:val="left"/>
      <w:pPr>
        <w:tabs>
          <w:tab w:val="num" w:pos="-715"/>
        </w:tabs>
        <w:ind w:left="-715" w:hanging="360"/>
      </w:pPr>
    </w:lvl>
    <w:lvl w:ilvl="2" w:tplc="FFFFFFFF">
      <w:start w:val="1"/>
      <w:numFmt w:val="lowerRoman"/>
      <w:lvlText w:val="%3."/>
      <w:lvlJc w:val="right"/>
      <w:pPr>
        <w:tabs>
          <w:tab w:val="num" w:pos="5"/>
        </w:tabs>
        <w:ind w:left="5" w:hanging="180"/>
      </w:pPr>
    </w:lvl>
    <w:lvl w:ilvl="3" w:tplc="FFFFFFFF">
      <w:start w:val="1"/>
      <w:numFmt w:val="decimal"/>
      <w:lvlText w:val="%4."/>
      <w:lvlJc w:val="left"/>
      <w:pPr>
        <w:tabs>
          <w:tab w:val="num" w:pos="725"/>
        </w:tabs>
        <w:ind w:left="725" w:hanging="360"/>
      </w:pPr>
    </w:lvl>
    <w:lvl w:ilvl="4" w:tplc="FFFFFFFF">
      <w:start w:val="1"/>
      <w:numFmt w:val="lowerLetter"/>
      <w:lvlText w:val="%5."/>
      <w:lvlJc w:val="left"/>
      <w:pPr>
        <w:tabs>
          <w:tab w:val="num" w:pos="1445"/>
        </w:tabs>
        <w:ind w:left="1445" w:hanging="360"/>
      </w:pPr>
    </w:lvl>
    <w:lvl w:ilvl="5" w:tplc="FFFFFFFF" w:tentative="1">
      <w:start w:val="1"/>
      <w:numFmt w:val="lowerRoman"/>
      <w:lvlText w:val="%6."/>
      <w:lvlJc w:val="right"/>
      <w:pPr>
        <w:tabs>
          <w:tab w:val="num" w:pos="2165"/>
        </w:tabs>
        <w:ind w:left="2165" w:hanging="180"/>
      </w:pPr>
    </w:lvl>
    <w:lvl w:ilvl="6" w:tplc="FFFFFFFF" w:tentative="1">
      <w:start w:val="1"/>
      <w:numFmt w:val="decimal"/>
      <w:lvlText w:val="%7."/>
      <w:lvlJc w:val="left"/>
      <w:pPr>
        <w:tabs>
          <w:tab w:val="num" w:pos="2885"/>
        </w:tabs>
        <w:ind w:left="2885" w:hanging="360"/>
      </w:pPr>
    </w:lvl>
    <w:lvl w:ilvl="7" w:tplc="FFFFFFFF" w:tentative="1">
      <w:start w:val="1"/>
      <w:numFmt w:val="lowerLetter"/>
      <w:lvlText w:val="%8."/>
      <w:lvlJc w:val="left"/>
      <w:pPr>
        <w:tabs>
          <w:tab w:val="num" w:pos="3605"/>
        </w:tabs>
        <w:ind w:left="3605" w:hanging="360"/>
      </w:pPr>
    </w:lvl>
    <w:lvl w:ilvl="8" w:tplc="FFFFFFFF" w:tentative="1">
      <w:start w:val="1"/>
      <w:numFmt w:val="lowerRoman"/>
      <w:lvlText w:val="%9."/>
      <w:lvlJc w:val="right"/>
      <w:pPr>
        <w:tabs>
          <w:tab w:val="num" w:pos="4325"/>
        </w:tabs>
        <w:ind w:left="4325" w:hanging="180"/>
      </w:pPr>
    </w:lvl>
  </w:abstractNum>
  <w:abstractNum w:abstractNumId="148" w15:restartNumberingAfterBreak="0">
    <w:nsid w:val="475E2D89"/>
    <w:multiLevelType w:val="multilevel"/>
    <w:tmpl w:val="315CDF3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9" w15:restartNumberingAfterBreak="0">
    <w:nsid w:val="47A6756F"/>
    <w:multiLevelType w:val="multilevel"/>
    <w:tmpl w:val="F8FA37D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0" w15:restartNumberingAfterBreak="0">
    <w:nsid w:val="495868B1"/>
    <w:multiLevelType w:val="hybridMultilevel"/>
    <w:tmpl w:val="3B580E6A"/>
    <w:lvl w:ilvl="0" w:tplc="D646CBF8">
      <w:start w:val="1"/>
      <w:numFmt w:val="decimal"/>
      <w:lvlText w:val="%1."/>
      <w:lvlJc w:val="left"/>
      <w:pPr>
        <w:ind w:left="4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1" w15:restartNumberingAfterBreak="0">
    <w:nsid w:val="495C0FBC"/>
    <w:multiLevelType w:val="multilevel"/>
    <w:tmpl w:val="7CDC9E6A"/>
    <w:styleLink w:val="GeerliListe104"/>
    <w:lvl w:ilvl="0">
      <w:start w:val="1"/>
      <w:numFmt w:val="decimal"/>
      <w:lvlText w:val="%1."/>
      <w:lvlJc w:val="left"/>
      <w:pPr>
        <w:ind w:left="434" w:hanging="360"/>
      </w:pPr>
      <w:rPr>
        <w:rFonts w:hint="default"/>
      </w:rPr>
    </w:lvl>
    <w:lvl w:ilvl="1">
      <w:start w:val="1"/>
      <w:numFmt w:val="decimal"/>
      <w:isLgl/>
      <w:lvlText w:val="2.%2"/>
      <w:lvlJc w:val="left"/>
      <w:pPr>
        <w:ind w:left="434" w:hanging="360"/>
      </w:pPr>
      <w:rPr>
        <w:rFonts w:hint="default"/>
      </w:rPr>
    </w:lvl>
    <w:lvl w:ilvl="2">
      <w:start w:val="1"/>
      <w:numFmt w:val="decimal"/>
      <w:isLgl/>
      <w:lvlText w:val="2.%2.%3"/>
      <w:lvlJc w:val="left"/>
      <w:pPr>
        <w:ind w:left="794" w:hanging="720"/>
      </w:pPr>
      <w:rPr>
        <w:rFonts w:hint="default"/>
      </w:rPr>
    </w:lvl>
    <w:lvl w:ilvl="3">
      <w:start w:val="1"/>
      <w:numFmt w:val="decimal"/>
      <w:isLgl/>
      <w:lvlText w:val="%1.%2.%3.%4"/>
      <w:lvlJc w:val="left"/>
      <w:pPr>
        <w:ind w:left="794" w:hanging="720"/>
      </w:pPr>
      <w:rPr>
        <w:rFonts w:hint="default"/>
      </w:rPr>
    </w:lvl>
    <w:lvl w:ilvl="4">
      <w:start w:val="1"/>
      <w:numFmt w:val="decimal"/>
      <w:isLgl/>
      <w:lvlText w:val="%1.%2.%3.%4.%5"/>
      <w:lvlJc w:val="left"/>
      <w:pPr>
        <w:ind w:left="1154" w:hanging="1080"/>
      </w:pPr>
      <w:rPr>
        <w:rFonts w:hint="default"/>
      </w:rPr>
    </w:lvl>
    <w:lvl w:ilvl="5">
      <w:start w:val="1"/>
      <w:numFmt w:val="decimal"/>
      <w:isLgl/>
      <w:lvlText w:val="%1.%2.%3.%4.%5.%6"/>
      <w:lvlJc w:val="left"/>
      <w:pPr>
        <w:ind w:left="1154" w:hanging="1080"/>
      </w:pPr>
      <w:rPr>
        <w:rFonts w:hint="default"/>
      </w:rPr>
    </w:lvl>
    <w:lvl w:ilvl="6">
      <w:start w:val="1"/>
      <w:numFmt w:val="decimal"/>
      <w:isLgl/>
      <w:lvlText w:val="%1.%2.%3.%4.%5.%6.%7"/>
      <w:lvlJc w:val="left"/>
      <w:pPr>
        <w:ind w:left="1514" w:hanging="1440"/>
      </w:pPr>
      <w:rPr>
        <w:rFonts w:hint="default"/>
      </w:rPr>
    </w:lvl>
    <w:lvl w:ilvl="7">
      <w:start w:val="1"/>
      <w:numFmt w:val="decimal"/>
      <w:isLgl/>
      <w:lvlText w:val="%1.%2.%3.%4.%5.%6.%7.%8"/>
      <w:lvlJc w:val="left"/>
      <w:pPr>
        <w:ind w:left="1514" w:hanging="1440"/>
      </w:pPr>
      <w:rPr>
        <w:rFonts w:hint="default"/>
      </w:rPr>
    </w:lvl>
    <w:lvl w:ilvl="8">
      <w:start w:val="1"/>
      <w:numFmt w:val="decimal"/>
      <w:isLgl/>
      <w:lvlText w:val="%1.%2.%3.%4.%5.%6.%7.%8.%9"/>
      <w:lvlJc w:val="left"/>
      <w:pPr>
        <w:ind w:left="1874" w:hanging="1800"/>
      </w:pPr>
      <w:rPr>
        <w:rFonts w:hint="default"/>
      </w:rPr>
    </w:lvl>
  </w:abstractNum>
  <w:abstractNum w:abstractNumId="152" w15:restartNumberingAfterBreak="0">
    <w:nsid w:val="499512F3"/>
    <w:multiLevelType w:val="multilevel"/>
    <w:tmpl w:val="64DE07C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49C439A7"/>
    <w:multiLevelType w:val="hybridMultilevel"/>
    <w:tmpl w:val="FDECF388"/>
    <w:lvl w:ilvl="0" w:tplc="BC162382">
      <w:numFmt w:val="bullet"/>
      <w:lvlText w:val="-"/>
      <w:lvlJc w:val="left"/>
      <w:pPr>
        <w:ind w:left="199" w:hanging="120"/>
      </w:pPr>
      <w:rPr>
        <w:rFonts w:ascii="Times New Roman" w:eastAsia="Times New Roman" w:hAnsi="Times New Roman" w:cs="Times New Roman" w:hint="default"/>
        <w:w w:val="99"/>
        <w:sz w:val="20"/>
        <w:szCs w:val="20"/>
        <w:lang w:val="en-US" w:eastAsia="en-US" w:bidi="ar-SA"/>
      </w:rPr>
    </w:lvl>
    <w:lvl w:ilvl="1" w:tplc="7582596A">
      <w:numFmt w:val="bullet"/>
      <w:lvlText w:val="•"/>
      <w:lvlJc w:val="left"/>
      <w:pPr>
        <w:ind w:left="619" w:hanging="120"/>
      </w:pPr>
      <w:rPr>
        <w:rFonts w:hint="default"/>
        <w:lang w:val="en-US" w:eastAsia="en-US" w:bidi="ar-SA"/>
      </w:rPr>
    </w:lvl>
    <w:lvl w:ilvl="2" w:tplc="C256D0E2">
      <w:numFmt w:val="bullet"/>
      <w:lvlText w:val="•"/>
      <w:lvlJc w:val="left"/>
      <w:pPr>
        <w:ind w:left="1038" w:hanging="120"/>
      </w:pPr>
      <w:rPr>
        <w:rFonts w:hint="default"/>
        <w:lang w:val="en-US" w:eastAsia="en-US" w:bidi="ar-SA"/>
      </w:rPr>
    </w:lvl>
    <w:lvl w:ilvl="3" w:tplc="25688CC2">
      <w:numFmt w:val="bullet"/>
      <w:lvlText w:val="•"/>
      <w:lvlJc w:val="left"/>
      <w:pPr>
        <w:ind w:left="1457" w:hanging="120"/>
      </w:pPr>
      <w:rPr>
        <w:rFonts w:hint="default"/>
        <w:lang w:val="en-US" w:eastAsia="en-US" w:bidi="ar-SA"/>
      </w:rPr>
    </w:lvl>
    <w:lvl w:ilvl="4" w:tplc="6BF4005A">
      <w:numFmt w:val="bullet"/>
      <w:lvlText w:val="•"/>
      <w:lvlJc w:val="left"/>
      <w:pPr>
        <w:ind w:left="1876" w:hanging="120"/>
      </w:pPr>
      <w:rPr>
        <w:rFonts w:hint="default"/>
        <w:lang w:val="en-US" w:eastAsia="en-US" w:bidi="ar-SA"/>
      </w:rPr>
    </w:lvl>
    <w:lvl w:ilvl="5" w:tplc="C674FF36">
      <w:numFmt w:val="bullet"/>
      <w:lvlText w:val="•"/>
      <w:lvlJc w:val="left"/>
      <w:pPr>
        <w:ind w:left="2295" w:hanging="120"/>
      </w:pPr>
      <w:rPr>
        <w:rFonts w:hint="default"/>
        <w:lang w:val="en-US" w:eastAsia="en-US" w:bidi="ar-SA"/>
      </w:rPr>
    </w:lvl>
    <w:lvl w:ilvl="6" w:tplc="5D10BEB0">
      <w:numFmt w:val="bullet"/>
      <w:lvlText w:val="•"/>
      <w:lvlJc w:val="left"/>
      <w:pPr>
        <w:ind w:left="2714" w:hanging="120"/>
      </w:pPr>
      <w:rPr>
        <w:rFonts w:hint="default"/>
        <w:lang w:val="en-US" w:eastAsia="en-US" w:bidi="ar-SA"/>
      </w:rPr>
    </w:lvl>
    <w:lvl w:ilvl="7" w:tplc="04C696D2">
      <w:numFmt w:val="bullet"/>
      <w:lvlText w:val="•"/>
      <w:lvlJc w:val="left"/>
      <w:pPr>
        <w:ind w:left="3133" w:hanging="120"/>
      </w:pPr>
      <w:rPr>
        <w:rFonts w:hint="default"/>
        <w:lang w:val="en-US" w:eastAsia="en-US" w:bidi="ar-SA"/>
      </w:rPr>
    </w:lvl>
    <w:lvl w:ilvl="8" w:tplc="7FCADC6E">
      <w:numFmt w:val="bullet"/>
      <w:lvlText w:val="•"/>
      <w:lvlJc w:val="left"/>
      <w:pPr>
        <w:ind w:left="3552" w:hanging="120"/>
      </w:pPr>
      <w:rPr>
        <w:rFonts w:hint="default"/>
        <w:lang w:val="en-US" w:eastAsia="en-US" w:bidi="ar-SA"/>
      </w:rPr>
    </w:lvl>
  </w:abstractNum>
  <w:abstractNum w:abstractNumId="154" w15:restartNumberingAfterBreak="0">
    <w:nsid w:val="4B6F1496"/>
    <w:multiLevelType w:val="multilevel"/>
    <w:tmpl w:val="0B76FBF8"/>
    <w:styleLink w:val="GeerliListe8"/>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4BBF2372"/>
    <w:multiLevelType w:val="multilevel"/>
    <w:tmpl w:val="F492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CAC1B50"/>
    <w:multiLevelType w:val="hybridMultilevel"/>
    <w:tmpl w:val="0E52B53E"/>
    <w:lvl w:ilvl="0" w:tplc="84C603BC">
      <w:numFmt w:val="bullet"/>
      <w:lvlText w:val=""/>
      <w:lvlJc w:val="left"/>
      <w:pPr>
        <w:ind w:left="283" w:hanging="285"/>
      </w:pPr>
      <w:rPr>
        <w:rFonts w:ascii="Symbol" w:eastAsia="Symbol" w:hAnsi="Symbol" w:cs="Symbol" w:hint="default"/>
        <w:w w:val="100"/>
        <w:sz w:val="20"/>
        <w:szCs w:val="20"/>
        <w:lang w:val="en-US" w:eastAsia="en-US" w:bidi="ar-SA"/>
      </w:rPr>
    </w:lvl>
    <w:lvl w:ilvl="1" w:tplc="7B9C6B66">
      <w:numFmt w:val="bullet"/>
      <w:lvlText w:val="•"/>
      <w:lvlJc w:val="left"/>
      <w:pPr>
        <w:ind w:left="605" w:hanging="285"/>
      </w:pPr>
      <w:rPr>
        <w:rFonts w:hint="default"/>
        <w:lang w:val="en-US" w:eastAsia="en-US" w:bidi="ar-SA"/>
      </w:rPr>
    </w:lvl>
    <w:lvl w:ilvl="2" w:tplc="A5DC8DF8">
      <w:numFmt w:val="bullet"/>
      <w:lvlText w:val="•"/>
      <w:lvlJc w:val="left"/>
      <w:pPr>
        <w:ind w:left="930" w:hanging="285"/>
      </w:pPr>
      <w:rPr>
        <w:rFonts w:hint="default"/>
        <w:lang w:val="en-US" w:eastAsia="en-US" w:bidi="ar-SA"/>
      </w:rPr>
    </w:lvl>
    <w:lvl w:ilvl="3" w:tplc="E0B07DD4">
      <w:numFmt w:val="bullet"/>
      <w:lvlText w:val="•"/>
      <w:lvlJc w:val="left"/>
      <w:pPr>
        <w:ind w:left="1255" w:hanging="285"/>
      </w:pPr>
      <w:rPr>
        <w:rFonts w:hint="default"/>
        <w:lang w:val="en-US" w:eastAsia="en-US" w:bidi="ar-SA"/>
      </w:rPr>
    </w:lvl>
    <w:lvl w:ilvl="4" w:tplc="9BBC0E62">
      <w:numFmt w:val="bullet"/>
      <w:lvlText w:val="•"/>
      <w:lvlJc w:val="left"/>
      <w:pPr>
        <w:ind w:left="1580" w:hanging="285"/>
      </w:pPr>
      <w:rPr>
        <w:rFonts w:hint="default"/>
        <w:lang w:val="en-US" w:eastAsia="en-US" w:bidi="ar-SA"/>
      </w:rPr>
    </w:lvl>
    <w:lvl w:ilvl="5" w:tplc="2E5E3FC4">
      <w:numFmt w:val="bullet"/>
      <w:lvlText w:val="•"/>
      <w:lvlJc w:val="left"/>
      <w:pPr>
        <w:ind w:left="1906" w:hanging="285"/>
      </w:pPr>
      <w:rPr>
        <w:rFonts w:hint="default"/>
        <w:lang w:val="en-US" w:eastAsia="en-US" w:bidi="ar-SA"/>
      </w:rPr>
    </w:lvl>
    <w:lvl w:ilvl="6" w:tplc="96F00FE8">
      <w:numFmt w:val="bullet"/>
      <w:lvlText w:val="•"/>
      <w:lvlJc w:val="left"/>
      <w:pPr>
        <w:ind w:left="2231" w:hanging="285"/>
      </w:pPr>
      <w:rPr>
        <w:rFonts w:hint="default"/>
        <w:lang w:val="en-US" w:eastAsia="en-US" w:bidi="ar-SA"/>
      </w:rPr>
    </w:lvl>
    <w:lvl w:ilvl="7" w:tplc="A4C0D4C8">
      <w:numFmt w:val="bullet"/>
      <w:lvlText w:val="•"/>
      <w:lvlJc w:val="left"/>
      <w:pPr>
        <w:ind w:left="2556" w:hanging="285"/>
      </w:pPr>
      <w:rPr>
        <w:rFonts w:hint="default"/>
        <w:lang w:val="en-US" w:eastAsia="en-US" w:bidi="ar-SA"/>
      </w:rPr>
    </w:lvl>
    <w:lvl w:ilvl="8" w:tplc="B3E4E4AE">
      <w:numFmt w:val="bullet"/>
      <w:lvlText w:val="•"/>
      <w:lvlJc w:val="left"/>
      <w:pPr>
        <w:ind w:left="2881" w:hanging="285"/>
      </w:pPr>
      <w:rPr>
        <w:rFonts w:hint="default"/>
        <w:lang w:val="en-US" w:eastAsia="en-US" w:bidi="ar-SA"/>
      </w:rPr>
    </w:lvl>
  </w:abstractNum>
  <w:abstractNum w:abstractNumId="157" w15:restartNumberingAfterBreak="0">
    <w:nsid w:val="4D102B16"/>
    <w:multiLevelType w:val="hybridMultilevel"/>
    <w:tmpl w:val="2C24C16E"/>
    <w:lvl w:ilvl="0" w:tplc="94724A8C">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8" w15:restartNumberingAfterBreak="0">
    <w:nsid w:val="4DE51630"/>
    <w:multiLevelType w:val="multilevel"/>
    <w:tmpl w:val="5706FA48"/>
    <w:styleLink w:val="Numberlist"/>
    <w:lvl w:ilvl="0">
      <w:start w:val="1"/>
      <w:numFmt w:val="decimal"/>
      <w:lvlText w:val="%1."/>
      <w:lvlJc w:val="left"/>
      <w:pPr>
        <w:tabs>
          <w:tab w:val="num" w:pos="567"/>
        </w:tabs>
        <w:ind w:left="567" w:hanging="567"/>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4E8760B7"/>
    <w:multiLevelType w:val="multilevel"/>
    <w:tmpl w:val="5DCE2432"/>
    <w:styleLink w:val="StyleNumbered"/>
    <w:lvl w:ilvl="0">
      <w:start w:val="1"/>
      <w:numFmt w:val="lowerLetter"/>
      <w:lvlText w:val="(%1)"/>
      <w:lvlJc w:val="left"/>
      <w:pPr>
        <w:tabs>
          <w:tab w:val="num" w:pos="567"/>
        </w:tabs>
        <w:ind w:left="567" w:hanging="567"/>
      </w:pPr>
      <w:rPr>
        <w:rFonts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0" w15:restartNumberingAfterBreak="0">
    <w:nsid w:val="4FDF6101"/>
    <w:multiLevelType w:val="hybridMultilevel"/>
    <w:tmpl w:val="627CBD48"/>
    <w:lvl w:ilvl="0" w:tplc="9BE076B8">
      <w:start w:val="1"/>
      <w:numFmt w:val="decimal"/>
      <w:lvlText w:val="%1."/>
      <w:lvlJc w:val="left"/>
      <w:pPr>
        <w:ind w:left="609" w:hanging="425"/>
      </w:pPr>
      <w:rPr>
        <w:rFonts w:ascii="Times New Roman" w:eastAsia="Times New Roman" w:hAnsi="Times New Roman" w:cs="Times New Roman" w:hint="default"/>
        <w:spacing w:val="0"/>
        <w:w w:val="99"/>
        <w:sz w:val="20"/>
        <w:szCs w:val="20"/>
        <w:lang w:val="en-US" w:eastAsia="en-US" w:bidi="ar-SA"/>
      </w:rPr>
    </w:lvl>
    <w:lvl w:ilvl="1" w:tplc="D1A64706">
      <w:numFmt w:val="bullet"/>
      <w:lvlText w:val="•"/>
      <w:lvlJc w:val="left"/>
      <w:pPr>
        <w:ind w:left="850" w:hanging="425"/>
      </w:pPr>
      <w:rPr>
        <w:rFonts w:hint="default"/>
        <w:lang w:val="en-US" w:eastAsia="en-US" w:bidi="ar-SA"/>
      </w:rPr>
    </w:lvl>
    <w:lvl w:ilvl="2" w:tplc="1194BAD0">
      <w:numFmt w:val="bullet"/>
      <w:lvlText w:val="•"/>
      <w:lvlJc w:val="left"/>
      <w:pPr>
        <w:ind w:left="1101" w:hanging="425"/>
      </w:pPr>
      <w:rPr>
        <w:rFonts w:hint="default"/>
        <w:lang w:val="en-US" w:eastAsia="en-US" w:bidi="ar-SA"/>
      </w:rPr>
    </w:lvl>
    <w:lvl w:ilvl="3" w:tplc="70C0FCCA">
      <w:numFmt w:val="bullet"/>
      <w:lvlText w:val="•"/>
      <w:lvlJc w:val="left"/>
      <w:pPr>
        <w:ind w:left="1351" w:hanging="425"/>
      </w:pPr>
      <w:rPr>
        <w:rFonts w:hint="default"/>
        <w:lang w:val="en-US" w:eastAsia="en-US" w:bidi="ar-SA"/>
      </w:rPr>
    </w:lvl>
    <w:lvl w:ilvl="4" w:tplc="5E40514A">
      <w:numFmt w:val="bullet"/>
      <w:lvlText w:val="•"/>
      <w:lvlJc w:val="left"/>
      <w:pPr>
        <w:ind w:left="1602" w:hanging="425"/>
      </w:pPr>
      <w:rPr>
        <w:rFonts w:hint="default"/>
        <w:lang w:val="en-US" w:eastAsia="en-US" w:bidi="ar-SA"/>
      </w:rPr>
    </w:lvl>
    <w:lvl w:ilvl="5" w:tplc="E7B25178">
      <w:numFmt w:val="bullet"/>
      <w:lvlText w:val="•"/>
      <w:lvlJc w:val="left"/>
      <w:pPr>
        <w:ind w:left="1853" w:hanging="425"/>
      </w:pPr>
      <w:rPr>
        <w:rFonts w:hint="default"/>
        <w:lang w:val="en-US" w:eastAsia="en-US" w:bidi="ar-SA"/>
      </w:rPr>
    </w:lvl>
    <w:lvl w:ilvl="6" w:tplc="E99A5688">
      <w:numFmt w:val="bullet"/>
      <w:lvlText w:val="•"/>
      <w:lvlJc w:val="left"/>
      <w:pPr>
        <w:ind w:left="2103" w:hanging="425"/>
      </w:pPr>
      <w:rPr>
        <w:rFonts w:hint="default"/>
        <w:lang w:val="en-US" w:eastAsia="en-US" w:bidi="ar-SA"/>
      </w:rPr>
    </w:lvl>
    <w:lvl w:ilvl="7" w:tplc="30F0BBC0">
      <w:numFmt w:val="bullet"/>
      <w:lvlText w:val="•"/>
      <w:lvlJc w:val="left"/>
      <w:pPr>
        <w:ind w:left="2354" w:hanging="425"/>
      </w:pPr>
      <w:rPr>
        <w:rFonts w:hint="default"/>
        <w:lang w:val="en-US" w:eastAsia="en-US" w:bidi="ar-SA"/>
      </w:rPr>
    </w:lvl>
    <w:lvl w:ilvl="8" w:tplc="3F925460">
      <w:numFmt w:val="bullet"/>
      <w:lvlText w:val="•"/>
      <w:lvlJc w:val="left"/>
      <w:pPr>
        <w:ind w:left="2604" w:hanging="425"/>
      </w:pPr>
      <w:rPr>
        <w:rFonts w:hint="default"/>
        <w:lang w:val="en-US" w:eastAsia="en-US" w:bidi="ar-SA"/>
      </w:rPr>
    </w:lvl>
  </w:abstractNum>
  <w:abstractNum w:abstractNumId="161" w15:restartNumberingAfterBreak="0">
    <w:nsid w:val="510B4C40"/>
    <w:multiLevelType w:val="hybridMultilevel"/>
    <w:tmpl w:val="7CF65240"/>
    <w:lvl w:ilvl="0" w:tplc="0409001B">
      <w:start w:val="1"/>
      <w:numFmt w:val="lowerRoman"/>
      <w:lvlText w:val="%1."/>
      <w:lvlJc w:val="righ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2" w15:restartNumberingAfterBreak="0">
    <w:nsid w:val="512C3FF0"/>
    <w:multiLevelType w:val="hybridMultilevel"/>
    <w:tmpl w:val="10667722"/>
    <w:lvl w:ilvl="0" w:tplc="95464BA8">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3" w15:restartNumberingAfterBreak="0">
    <w:nsid w:val="513650A8"/>
    <w:multiLevelType w:val="hybridMultilevel"/>
    <w:tmpl w:val="1F4ADF0E"/>
    <w:lvl w:ilvl="0" w:tplc="3B2668D4">
      <w:start w:val="3"/>
      <w:numFmt w:val="lowerLetter"/>
      <w:lvlText w:val="(%1)"/>
      <w:lvlJc w:val="left"/>
      <w:pPr>
        <w:ind w:left="720" w:hanging="360"/>
      </w:pPr>
      <w:rPr>
        <w:rFonts w:ascii="Times New Roman" w:eastAsia="Times New Roman" w:hAnsi="Times New Roman" w:cs="Times New Roman" w:hint="default"/>
        <w:w w:val="99"/>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4" w15:restartNumberingAfterBreak="0">
    <w:nsid w:val="520553BD"/>
    <w:multiLevelType w:val="hybridMultilevel"/>
    <w:tmpl w:val="A29E03FA"/>
    <w:lvl w:ilvl="0" w:tplc="48DA2F7A">
      <w:start w:val="1"/>
      <w:numFmt w:val="decimal"/>
      <w:lvlText w:val="(%1)"/>
      <w:lvlJc w:val="left"/>
      <w:pPr>
        <w:ind w:left="226" w:hanging="226"/>
      </w:pPr>
      <w:rPr>
        <w:rFonts w:ascii="Times New Roman" w:eastAsia="Times New Roman" w:hAnsi="Times New Roman" w:cs="Times New Roman" w:hint="default"/>
        <w:spacing w:val="-4"/>
        <w:w w:val="99"/>
        <w:sz w:val="18"/>
        <w:szCs w:val="18"/>
        <w:lang w:val="en-US" w:eastAsia="en-US" w:bidi="ar-SA"/>
      </w:rPr>
    </w:lvl>
    <w:lvl w:ilvl="1" w:tplc="E792874C">
      <w:numFmt w:val="bullet"/>
      <w:lvlText w:val="•"/>
      <w:lvlJc w:val="left"/>
      <w:pPr>
        <w:ind w:left="976" w:hanging="226"/>
      </w:pPr>
      <w:rPr>
        <w:rFonts w:hint="default"/>
        <w:lang w:val="en-US" w:eastAsia="en-US" w:bidi="ar-SA"/>
      </w:rPr>
    </w:lvl>
    <w:lvl w:ilvl="2" w:tplc="D9CC014E">
      <w:numFmt w:val="bullet"/>
      <w:lvlText w:val="•"/>
      <w:lvlJc w:val="left"/>
      <w:pPr>
        <w:ind w:left="1719" w:hanging="226"/>
      </w:pPr>
      <w:rPr>
        <w:rFonts w:hint="default"/>
        <w:lang w:val="en-US" w:eastAsia="en-US" w:bidi="ar-SA"/>
      </w:rPr>
    </w:lvl>
    <w:lvl w:ilvl="3" w:tplc="67B89182">
      <w:numFmt w:val="bullet"/>
      <w:lvlText w:val="•"/>
      <w:lvlJc w:val="left"/>
      <w:pPr>
        <w:ind w:left="2462" w:hanging="226"/>
      </w:pPr>
      <w:rPr>
        <w:rFonts w:hint="default"/>
        <w:lang w:val="en-US" w:eastAsia="en-US" w:bidi="ar-SA"/>
      </w:rPr>
    </w:lvl>
    <w:lvl w:ilvl="4" w:tplc="A9F47D2E">
      <w:numFmt w:val="bullet"/>
      <w:lvlText w:val="•"/>
      <w:lvlJc w:val="left"/>
      <w:pPr>
        <w:ind w:left="3205" w:hanging="226"/>
      </w:pPr>
      <w:rPr>
        <w:rFonts w:hint="default"/>
        <w:lang w:val="en-US" w:eastAsia="en-US" w:bidi="ar-SA"/>
      </w:rPr>
    </w:lvl>
    <w:lvl w:ilvl="5" w:tplc="E08AC106">
      <w:numFmt w:val="bullet"/>
      <w:lvlText w:val="•"/>
      <w:lvlJc w:val="left"/>
      <w:pPr>
        <w:ind w:left="3948" w:hanging="226"/>
      </w:pPr>
      <w:rPr>
        <w:rFonts w:hint="default"/>
        <w:lang w:val="en-US" w:eastAsia="en-US" w:bidi="ar-SA"/>
      </w:rPr>
    </w:lvl>
    <w:lvl w:ilvl="6" w:tplc="837A7504">
      <w:numFmt w:val="bullet"/>
      <w:lvlText w:val="•"/>
      <w:lvlJc w:val="left"/>
      <w:pPr>
        <w:ind w:left="4691" w:hanging="226"/>
      </w:pPr>
      <w:rPr>
        <w:rFonts w:hint="default"/>
        <w:lang w:val="en-US" w:eastAsia="en-US" w:bidi="ar-SA"/>
      </w:rPr>
    </w:lvl>
    <w:lvl w:ilvl="7" w:tplc="AB72D706">
      <w:numFmt w:val="bullet"/>
      <w:lvlText w:val="•"/>
      <w:lvlJc w:val="left"/>
      <w:pPr>
        <w:ind w:left="5435" w:hanging="226"/>
      </w:pPr>
      <w:rPr>
        <w:rFonts w:hint="default"/>
        <w:lang w:val="en-US" w:eastAsia="en-US" w:bidi="ar-SA"/>
      </w:rPr>
    </w:lvl>
    <w:lvl w:ilvl="8" w:tplc="92C058CC">
      <w:numFmt w:val="bullet"/>
      <w:lvlText w:val="•"/>
      <w:lvlJc w:val="left"/>
      <w:pPr>
        <w:ind w:left="6178" w:hanging="226"/>
      </w:pPr>
      <w:rPr>
        <w:rFonts w:hint="default"/>
        <w:lang w:val="en-US" w:eastAsia="en-US" w:bidi="ar-SA"/>
      </w:rPr>
    </w:lvl>
  </w:abstractNum>
  <w:abstractNum w:abstractNumId="165" w15:restartNumberingAfterBreak="0">
    <w:nsid w:val="52292CAC"/>
    <w:multiLevelType w:val="hybridMultilevel"/>
    <w:tmpl w:val="F5D8FBBE"/>
    <w:lvl w:ilvl="0" w:tplc="61C66436">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6" w15:restartNumberingAfterBreak="0">
    <w:nsid w:val="5233423F"/>
    <w:multiLevelType w:val="hybridMultilevel"/>
    <w:tmpl w:val="5F70DF4C"/>
    <w:lvl w:ilvl="0" w:tplc="9A4AA640">
      <w:numFmt w:val="bullet"/>
      <w:lvlText w:val="-"/>
      <w:lvlJc w:val="left"/>
      <w:pPr>
        <w:ind w:left="199" w:hanging="125"/>
      </w:pPr>
      <w:rPr>
        <w:rFonts w:ascii="Times New Roman" w:eastAsia="Times New Roman" w:hAnsi="Times New Roman" w:cs="Times New Roman" w:hint="default"/>
        <w:w w:val="99"/>
        <w:sz w:val="20"/>
        <w:szCs w:val="20"/>
        <w:lang w:val="en-US" w:eastAsia="en-US" w:bidi="ar-SA"/>
      </w:rPr>
    </w:lvl>
    <w:lvl w:ilvl="1" w:tplc="67B4EC20">
      <w:numFmt w:val="bullet"/>
      <w:lvlText w:val="•"/>
      <w:lvlJc w:val="left"/>
      <w:pPr>
        <w:ind w:left="619" w:hanging="125"/>
      </w:pPr>
      <w:rPr>
        <w:rFonts w:hint="default"/>
        <w:lang w:val="en-US" w:eastAsia="en-US" w:bidi="ar-SA"/>
      </w:rPr>
    </w:lvl>
    <w:lvl w:ilvl="2" w:tplc="13F88A24">
      <w:numFmt w:val="bullet"/>
      <w:lvlText w:val="•"/>
      <w:lvlJc w:val="left"/>
      <w:pPr>
        <w:ind w:left="1038" w:hanging="125"/>
      </w:pPr>
      <w:rPr>
        <w:rFonts w:hint="default"/>
        <w:lang w:val="en-US" w:eastAsia="en-US" w:bidi="ar-SA"/>
      </w:rPr>
    </w:lvl>
    <w:lvl w:ilvl="3" w:tplc="112C1B44">
      <w:numFmt w:val="bullet"/>
      <w:lvlText w:val="•"/>
      <w:lvlJc w:val="left"/>
      <w:pPr>
        <w:ind w:left="1457" w:hanging="125"/>
      </w:pPr>
      <w:rPr>
        <w:rFonts w:hint="default"/>
        <w:lang w:val="en-US" w:eastAsia="en-US" w:bidi="ar-SA"/>
      </w:rPr>
    </w:lvl>
    <w:lvl w:ilvl="4" w:tplc="894A53F6">
      <w:numFmt w:val="bullet"/>
      <w:lvlText w:val="•"/>
      <w:lvlJc w:val="left"/>
      <w:pPr>
        <w:ind w:left="1876" w:hanging="125"/>
      </w:pPr>
      <w:rPr>
        <w:rFonts w:hint="default"/>
        <w:lang w:val="en-US" w:eastAsia="en-US" w:bidi="ar-SA"/>
      </w:rPr>
    </w:lvl>
    <w:lvl w:ilvl="5" w:tplc="9BB84966">
      <w:numFmt w:val="bullet"/>
      <w:lvlText w:val="•"/>
      <w:lvlJc w:val="left"/>
      <w:pPr>
        <w:ind w:left="2295" w:hanging="125"/>
      </w:pPr>
      <w:rPr>
        <w:rFonts w:hint="default"/>
        <w:lang w:val="en-US" w:eastAsia="en-US" w:bidi="ar-SA"/>
      </w:rPr>
    </w:lvl>
    <w:lvl w:ilvl="6" w:tplc="5F1C3940">
      <w:numFmt w:val="bullet"/>
      <w:lvlText w:val="•"/>
      <w:lvlJc w:val="left"/>
      <w:pPr>
        <w:ind w:left="2714" w:hanging="125"/>
      </w:pPr>
      <w:rPr>
        <w:rFonts w:hint="default"/>
        <w:lang w:val="en-US" w:eastAsia="en-US" w:bidi="ar-SA"/>
      </w:rPr>
    </w:lvl>
    <w:lvl w:ilvl="7" w:tplc="A49465D8">
      <w:numFmt w:val="bullet"/>
      <w:lvlText w:val="•"/>
      <w:lvlJc w:val="left"/>
      <w:pPr>
        <w:ind w:left="3133" w:hanging="125"/>
      </w:pPr>
      <w:rPr>
        <w:rFonts w:hint="default"/>
        <w:lang w:val="en-US" w:eastAsia="en-US" w:bidi="ar-SA"/>
      </w:rPr>
    </w:lvl>
    <w:lvl w:ilvl="8" w:tplc="8CCA8B3C">
      <w:numFmt w:val="bullet"/>
      <w:lvlText w:val="•"/>
      <w:lvlJc w:val="left"/>
      <w:pPr>
        <w:ind w:left="3552" w:hanging="125"/>
      </w:pPr>
      <w:rPr>
        <w:rFonts w:hint="default"/>
        <w:lang w:val="en-US" w:eastAsia="en-US" w:bidi="ar-SA"/>
      </w:rPr>
    </w:lvl>
  </w:abstractNum>
  <w:abstractNum w:abstractNumId="167" w15:restartNumberingAfterBreak="0">
    <w:nsid w:val="52BE7BC1"/>
    <w:multiLevelType w:val="multilevel"/>
    <w:tmpl w:val="7362F5A4"/>
    <w:styleLink w:val="GeerliListe20"/>
    <w:lvl w:ilvl="0">
      <w:start w:val="1"/>
      <w:numFmt w:val="decimal"/>
      <w:lvlText w:val="%1"/>
      <w:lvlJc w:val="left"/>
      <w:pPr>
        <w:ind w:left="540" w:hanging="540"/>
      </w:pPr>
      <w:rPr>
        <w:rFonts w:hint="default"/>
      </w:rPr>
    </w:lvl>
    <w:lvl w:ilvl="1">
      <w:start w:val="1"/>
      <w:numFmt w:val="decimal"/>
      <w:lvlText w:val="%1.%2"/>
      <w:lvlJc w:val="left"/>
      <w:pPr>
        <w:ind w:left="585" w:hanging="540"/>
      </w:pPr>
      <w:rPr>
        <w:rFonts w:hint="default"/>
      </w:rPr>
    </w:lvl>
    <w:lvl w:ilvl="2">
      <w:start w:val="1"/>
      <w:numFmt w:val="decimal"/>
      <w:lvlText w:val="%1.%2.15"/>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68" w15:restartNumberingAfterBreak="0">
    <w:nsid w:val="532A496F"/>
    <w:multiLevelType w:val="hybridMultilevel"/>
    <w:tmpl w:val="61E63A9C"/>
    <w:lvl w:ilvl="0" w:tplc="283029D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9" w15:restartNumberingAfterBreak="0">
    <w:nsid w:val="535945CE"/>
    <w:multiLevelType w:val="multilevel"/>
    <w:tmpl w:val="72F6AEC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0" w15:restartNumberingAfterBreak="0">
    <w:nsid w:val="561E7570"/>
    <w:multiLevelType w:val="hybridMultilevel"/>
    <w:tmpl w:val="5AB0AC58"/>
    <w:lvl w:ilvl="0" w:tplc="79CCFED2">
      <w:numFmt w:val="bullet"/>
      <w:lvlText w:val="-"/>
      <w:lvlJc w:val="left"/>
      <w:pPr>
        <w:ind w:left="107" w:hanging="169"/>
      </w:pPr>
      <w:rPr>
        <w:rFonts w:ascii="Times New Roman" w:eastAsia="Times New Roman" w:hAnsi="Times New Roman" w:cs="Times New Roman" w:hint="default"/>
        <w:w w:val="99"/>
        <w:sz w:val="20"/>
        <w:szCs w:val="20"/>
        <w:lang w:val="en-US" w:eastAsia="en-US" w:bidi="ar-SA"/>
      </w:rPr>
    </w:lvl>
    <w:lvl w:ilvl="1" w:tplc="847C2F5C">
      <w:numFmt w:val="bullet"/>
      <w:lvlText w:val="•"/>
      <w:lvlJc w:val="left"/>
      <w:pPr>
        <w:ind w:left="398" w:hanging="169"/>
      </w:pPr>
      <w:rPr>
        <w:rFonts w:hint="default"/>
        <w:lang w:val="en-US" w:eastAsia="en-US" w:bidi="ar-SA"/>
      </w:rPr>
    </w:lvl>
    <w:lvl w:ilvl="2" w:tplc="358CB37C">
      <w:numFmt w:val="bullet"/>
      <w:lvlText w:val="•"/>
      <w:lvlJc w:val="left"/>
      <w:pPr>
        <w:ind w:left="696" w:hanging="169"/>
      </w:pPr>
      <w:rPr>
        <w:rFonts w:hint="default"/>
        <w:lang w:val="en-US" w:eastAsia="en-US" w:bidi="ar-SA"/>
      </w:rPr>
    </w:lvl>
    <w:lvl w:ilvl="3" w:tplc="4EF226EA">
      <w:numFmt w:val="bullet"/>
      <w:lvlText w:val="•"/>
      <w:lvlJc w:val="left"/>
      <w:pPr>
        <w:ind w:left="994" w:hanging="169"/>
      </w:pPr>
      <w:rPr>
        <w:rFonts w:hint="default"/>
        <w:lang w:val="en-US" w:eastAsia="en-US" w:bidi="ar-SA"/>
      </w:rPr>
    </w:lvl>
    <w:lvl w:ilvl="4" w:tplc="3A3A21FA">
      <w:numFmt w:val="bullet"/>
      <w:lvlText w:val="•"/>
      <w:lvlJc w:val="left"/>
      <w:pPr>
        <w:ind w:left="1292" w:hanging="169"/>
      </w:pPr>
      <w:rPr>
        <w:rFonts w:hint="default"/>
        <w:lang w:val="en-US" w:eastAsia="en-US" w:bidi="ar-SA"/>
      </w:rPr>
    </w:lvl>
    <w:lvl w:ilvl="5" w:tplc="FF8AFF28">
      <w:numFmt w:val="bullet"/>
      <w:lvlText w:val="•"/>
      <w:lvlJc w:val="left"/>
      <w:pPr>
        <w:ind w:left="1591" w:hanging="169"/>
      </w:pPr>
      <w:rPr>
        <w:rFonts w:hint="default"/>
        <w:lang w:val="en-US" w:eastAsia="en-US" w:bidi="ar-SA"/>
      </w:rPr>
    </w:lvl>
    <w:lvl w:ilvl="6" w:tplc="2C9606A8">
      <w:numFmt w:val="bullet"/>
      <w:lvlText w:val="•"/>
      <w:lvlJc w:val="left"/>
      <w:pPr>
        <w:ind w:left="1889" w:hanging="169"/>
      </w:pPr>
      <w:rPr>
        <w:rFonts w:hint="default"/>
        <w:lang w:val="en-US" w:eastAsia="en-US" w:bidi="ar-SA"/>
      </w:rPr>
    </w:lvl>
    <w:lvl w:ilvl="7" w:tplc="99E2DA72">
      <w:numFmt w:val="bullet"/>
      <w:lvlText w:val="•"/>
      <w:lvlJc w:val="left"/>
      <w:pPr>
        <w:ind w:left="2187" w:hanging="169"/>
      </w:pPr>
      <w:rPr>
        <w:rFonts w:hint="default"/>
        <w:lang w:val="en-US" w:eastAsia="en-US" w:bidi="ar-SA"/>
      </w:rPr>
    </w:lvl>
    <w:lvl w:ilvl="8" w:tplc="F1C24028">
      <w:numFmt w:val="bullet"/>
      <w:lvlText w:val="•"/>
      <w:lvlJc w:val="left"/>
      <w:pPr>
        <w:ind w:left="2485" w:hanging="169"/>
      </w:pPr>
      <w:rPr>
        <w:rFonts w:hint="default"/>
        <w:lang w:val="en-US" w:eastAsia="en-US" w:bidi="ar-SA"/>
      </w:rPr>
    </w:lvl>
  </w:abstractNum>
  <w:abstractNum w:abstractNumId="171" w15:restartNumberingAfterBreak="0">
    <w:nsid w:val="571C05A2"/>
    <w:multiLevelType w:val="hybridMultilevel"/>
    <w:tmpl w:val="4CE66D9E"/>
    <w:lvl w:ilvl="0" w:tplc="23BAEB38">
      <w:start w:val="1"/>
      <w:numFmt w:val="lowerRoman"/>
      <w:pStyle w:val="BulletList"/>
      <w:lvlText w:val="%1."/>
      <w:lvlJc w:val="right"/>
      <w:pPr>
        <w:ind w:left="1287" w:hanging="360"/>
      </w:pPr>
      <w:rPr>
        <w:rFonts w:hint="default"/>
      </w:r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72" w15:restartNumberingAfterBreak="0">
    <w:nsid w:val="5756351A"/>
    <w:multiLevelType w:val="hybridMultilevel"/>
    <w:tmpl w:val="1B749220"/>
    <w:lvl w:ilvl="0" w:tplc="4FCCA8B8">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3" w15:restartNumberingAfterBreak="0">
    <w:nsid w:val="579D79C2"/>
    <w:multiLevelType w:val="hybridMultilevel"/>
    <w:tmpl w:val="23689284"/>
    <w:lvl w:ilvl="0" w:tplc="041F0019">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4" w15:restartNumberingAfterBreak="0">
    <w:nsid w:val="57EE044D"/>
    <w:multiLevelType w:val="hybridMultilevel"/>
    <w:tmpl w:val="E04C5A46"/>
    <w:lvl w:ilvl="0" w:tplc="610EDF9C">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5838199D"/>
    <w:multiLevelType w:val="hybridMultilevel"/>
    <w:tmpl w:val="B28AC5AE"/>
    <w:lvl w:ilvl="0" w:tplc="1FA2E95A">
      <w:start w:val="1"/>
      <w:numFmt w:val="lowerRoman"/>
      <w:lvlText w:val="(%1)"/>
      <w:lvlJc w:val="left"/>
      <w:pPr>
        <w:ind w:left="144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6" w15:restartNumberingAfterBreak="0">
    <w:nsid w:val="58544717"/>
    <w:multiLevelType w:val="hybridMultilevel"/>
    <w:tmpl w:val="713C6E8C"/>
    <w:lvl w:ilvl="0" w:tplc="6534DFCA">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7" w15:restartNumberingAfterBreak="0">
    <w:nsid w:val="58CD040C"/>
    <w:multiLevelType w:val="singleLevel"/>
    <w:tmpl w:val="C95A1B0C"/>
    <w:lvl w:ilvl="0">
      <w:start w:val="1"/>
      <w:numFmt w:val="decimal"/>
      <w:lvlText w:val="%1"/>
      <w:legacy w:legacy="1" w:legacySpace="0" w:legacyIndent="542"/>
      <w:lvlJc w:val="left"/>
      <w:rPr>
        <w:rFonts w:ascii="Times New Roman" w:hAnsi="Times New Roman" w:cs="Times New Roman" w:hint="default"/>
      </w:rPr>
    </w:lvl>
  </w:abstractNum>
  <w:abstractNum w:abstractNumId="178" w15:restartNumberingAfterBreak="0">
    <w:nsid w:val="594F7C5E"/>
    <w:multiLevelType w:val="hybridMultilevel"/>
    <w:tmpl w:val="0ED426FA"/>
    <w:lvl w:ilvl="0" w:tplc="A1F6FBD8">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9" w15:restartNumberingAfterBreak="0">
    <w:nsid w:val="5963742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0" w15:restartNumberingAfterBreak="0">
    <w:nsid w:val="59EB5A3A"/>
    <w:multiLevelType w:val="hybridMultilevel"/>
    <w:tmpl w:val="4D529EC6"/>
    <w:lvl w:ilvl="0" w:tplc="4EF22DA4">
      <w:numFmt w:val="bullet"/>
      <w:lvlText w:val="-"/>
      <w:lvlJc w:val="left"/>
      <w:pPr>
        <w:ind w:left="110" w:hanging="116"/>
      </w:pPr>
      <w:rPr>
        <w:rFonts w:ascii="Times New Roman" w:eastAsia="Times New Roman" w:hAnsi="Times New Roman" w:cs="Times New Roman" w:hint="default"/>
        <w:w w:val="99"/>
        <w:sz w:val="20"/>
        <w:szCs w:val="20"/>
        <w:lang w:val="en-US" w:eastAsia="en-US" w:bidi="ar-SA"/>
      </w:rPr>
    </w:lvl>
    <w:lvl w:ilvl="1" w:tplc="688AEC8C">
      <w:numFmt w:val="bullet"/>
      <w:lvlText w:val="•"/>
      <w:lvlJc w:val="left"/>
      <w:pPr>
        <w:ind w:left="418" w:hanging="116"/>
      </w:pPr>
      <w:rPr>
        <w:rFonts w:hint="default"/>
        <w:lang w:val="en-US" w:eastAsia="en-US" w:bidi="ar-SA"/>
      </w:rPr>
    </w:lvl>
    <w:lvl w:ilvl="2" w:tplc="65169DE2">
      <w:numFmt w:val="bullet"/>
      <w:lvlText w:val="•"/>
      <w:lvlJc w:val="left"/>
      <w:pPr>
        <w:ind w:left="717" w:hanging="116"/>
      </w:pPr>
      <w:rPr>
        <w:rFonts w:hint="default"/>
        <w:lang w:val="en-US" w:eastAsia="en-US" w:bidi="ar-SA"/>
      </w:rPr>
    </w:lvl>
    <w:lvl w:ilvl="3" w:tplc="8174D36A">
      <w:numFmt w:val="bullet"/>
      <w:lvlText w:val="•"/>
      <w:lvlJc w:val="left"/>
      <w:pPr>
        <w:ind w:left="1015" w:hanging="116"/>
      </w:pPr>
      <w:rPr>
        <w:rFonts w:hint="default"/>
        <w:lang w:val="en-US" w:eastAsia="en-US" w:bidi="ar-SA"/>
      </w:rPr>
    </w:lvl>
    <w:lvl w:ilvl="4" w:tplc="3DFEB248">
      <w:numFmt w:val="bullet"/>
      <w:lvlText w:val="•"/>
      <w:lvlJc w:val="left"/>
      <w:pPr>
        <w:ind w:left="1314" w:hanging="116"/>
      </w:pPr>
      <w:rPr>
        <w:rFonts w:hint="default"/>
        <w:lang w:val="en-US" w:eastAsia="en-US" w:bidi="ar-SA"/>
      </w:rPr>
    </w:lvl>
    <w:lvl w:ilvl="5" w:tplc="21AAD36E">
      <w:numFmt w:val="bullet"/>
      <w:lvlText w:val="•"/>
      <w:lvlJc w:val="left"/>
      <w:pPr>
        <w:ind w:left="1612" w:hanging="116"/>
      </w:pPr>
      <w:rPr>
        <w:rFonts w:hint="default"/>
        <w:lang w:val="en-US" w:eastAsia="en-US" w:bidi="ar-SA"/>
      </w:rPr>
    </w:lvl>
    <w:lvl w:ilvl="6" w:tplc="B98CAF1A">
      <w:numFmt w:val="bullet"/>
      <w:lvlText w:val="•"/>
      <w:lvlJc w:val="left"/>
      <w:pPr>
        <w:ind w:left="1911" w:hanging="116"/>
      </w:pPr>
      <w:rPr>
        <w:rFonts w:hint="default"/>
        <w:lang w:val="en-US" w:eastAsia="en-US" w:bidi="ar-SA"/>
      </w:rPr>
    </w:lvl>
    <w:lvl w:ilvl="7" w:tplc="124E7826">
      <w:numFmt w:val="bullet"/>
      <w:lvlText w:val="•"/>
      <w:lvlJc w:val="left"/>
      <w:pPr>
        <w:ind w:left="2209" w:hanging="116"/>
      </w:pPr>
      <w:rPr>
        <w:rFonts w:hint="default"/>
        <w:lang w:val="en-US" w:eastAsia="en-US" w:bidi="ar-SA"/>
      </w:rPr>
    </w:lvl>
    <w:lvl w:ilvl="8" w:tplc="E5F2F87E">
      <w:numFmt w:val="bullet"/>
      <w:lvlText w:val="•"/>
      <w:lvlJc w:val="left"/>
      <w:pPr>
        <w:ind w:left="2508" w:hanging="116"/>
      </w:pPr>
      <w:rPr>
        <w:rFonts w:hint="default"/>
        <w:lang w:val="en-US" w:eastAsia="en-US" w:bidi="ar-SA"/>
      </w:rPr>
    </w:lvl>
  </w:abstractNum>
  <w:abstractNum w:abstractNumId="181" w15:restartNumberingAfterBreak="0">
    <w:nsid w:val="5B855078"/>
    <w:multiLevelType w:val="multilevel"/>
    <w:tmpl w:val="D024B152"/>
    <w:lvl w:ilvl="0">
      <w:start w:val="1"/>
      <w:numFmt w:val="lowerRoman"/>
      <w:lvlText w:val="%1."/>
      <w:lvlJc w:val="left"/>
      <w:pPr>
        <w:ind w:left="360" w:hanging="360"/>
      </w:pPr>
      <w:rPr>
        <w:rFonts w:ascii="Times New Roman" w:eastAsia="Times New Roman" w:hAnsi="Times New Roman" w:cs="Times New Roman" w:hint="default"/>
        <w:b w:val="0"/>
        <w:bCs w:val="0"/>
        <w:i w:val="0"/>
        <w:iCs w:val="0"/>
        <w:spacing w:val="-1"/>
        <w:w w:val="99"/>
        <w:sz w:val="24"/>
        <w:szCs w:val="24"/>
        <w:lang w:val="en-GB" w:eastAsia="en-US" w:bidi="ar-SA"/>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2" w15:restartNumberingAfterBreak="0">
    <w:nsid w:val="5BB91AD2"/>
    <w:multiLevelType w:val="multilevel"/>
    <w:tmpl w:val="1E10B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CF9004D"/>
    <w:multiLevelType w:val="multilevel"/>
    <w:tmpl w:val="94224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4" w15:restartNumberingAfterBreak="0">
    <w:nsid w:val="5D0B4707"/>
    <w:multiLevelType w:val="hybridMultilevel"/>
    <w:tmpl w:val="3E304522"/>
    <w:lvl w:ilvl="0" w:tplc="BA8E7FFC">
      <w:start w:val="1"/>
      <w:numFmt w:val="lowerRoman"/>
      <w:lvlText w:val="%1."/>
      <w:lvlJc w:val="left"/>
      <w:pPr>
        <w:ind w:left="366" w:hanging="163"/>
      </w:pPr>
      <w:rPr>
        <w:rFonts w:ascii="Times New Roman" w:eastAsia="Times New Roman" w:hAnsi="Times New Roman" w:cs="Times New Roman" w:hint="default"/>
        <w:spacing w:val="-1"/>
        <w:w w:val="99"/>
        <w:sz w:val="20"/>
        <w:szCs w:val="20"/>
        <w:lang w:val="en-US" w:eastAsia="en-US" w:bidi="ar-SA"/>
      </w:rPr>
    </w:lvl>
    <w:lvl w:ilvl="1" w:tplc="738E973E">
      <w:numFmt w:val="bullet"/>
      <w:lvlText w:val="•"/>
      <w:lvlJc w:val="left"/>
      <w:pPr>
        <w:ind w:left="710" w:hanging="163"/>
      </w:pPr>
      <w:rPr>
        <w:rFonts w:hint="default"/>
        <w:lang w:val="en-US" w:eastAsia="en-US" w:bidi="ar-SA"/>
      </w:rPr>
    </w:lvl>
    <w:lvl w:ilvl="2" w:tplc="97C03A06">
      <w:numFmt w:val="bullet"/>
      <w:lvlText w:val="•"/>
      <w:lvlJc w:val="left"/>
      <w:pPr>
        <w:ind w:left="1060" w:hanging="163"/>
      </w:pPr>
      <w:rPr>
        <w:rFonts w:hint="default"/>
        <w:lang w:val="en-US" w:eastAsia="en-US" w:bidi="ar-SA"/>
      </w:rPr>
    </w:lvl>
    <w:lvl w:ilvl="3" w:tplc="712C10AC">
      <w:numFmt w:val="bullet"/>
      <w:lvlText w:val="•"/>
      <w:lvlJc w:val="left"/>
      <w:pPr>
        <w:ind w:left="1410" w:hanging="163"/>
      </w:pPr>
      <w:rPr>
        <w:rFonts w:hint="default"/>
        <w:lang w:val="en-US" w:eastAsia="en-US" w:bidi="ar-SA"/>
      </w:rPr>
    </w:lvl>
    <w:lvl w:ilvl="4" w:tplc="145A1ECE">
      <w:numFmt w:val="bullet"/>
      <w:lvlText w:val="•"/>
      <w:lvlJc w:val="left"/>
      <w:pPr>
        <w:ind w:left="1760" w:hanging="163"/>
      </w:pPr>
      <w:rPr>
        <w:rFonts w:hint="default"/>
        <w:lang w:val="en-US" w:eastAsia="en-US" w:bidi="ar-SA"/>
      </w:rPr>
    </w:lvl>
    <w:lvl w:ilvl="5" w:tplc="45567674">
      <w:numFmt w:val="bullet"/>
      <w:lvlText w:val="•"/>
      <w:lvlJc w:val="left"/>
      <w:pPr>
        <w:ind w:left="2111" w:hanging="163"/>
      </w:pPr>
      <w:rPr>
        <w:rFonts w:hint="default"/>
        <w:lang w:val="en-US" w:eastAsia="en-US" w:bidi="ar-SA"/>
      </w:rPr>
    </w:lvl>
    <w:lvl w:ilvl="6" w:tplc="D5EC633C">
      <w:numFmt w:val="bullet"/>
      <w:lvlText w:val="•"/>
      <w:lvlJc w:val="left"/>
      <w:pPr>
        <w:ind w:left="2461" w:hanging="163"/>
      </w:pPr>
      <w:rPr>
        <w:rFonts w:hint="default"/>
        <w:lang w:val="en-US" w:eastAsia="en-US" w:bidi="ar-SA"/>
      </w:rPr>
    </w:lvl>
    <w:lvl w:ilvl="7" w:tplc="5A0E4540">
      <w:numFmt w:val="bullet"/>
      <w:lvlText w:val="•"/>
      <w:lvlJc w:val="left"/>
      <w:pPr>
        <w:ind w:left="2811" w:hanging="163"/>
      </w:pPr>
      <w:rPr>
        <w:rFonts w:hint="default"/>
        <w:lang w:val="en-US" w:eastAsia="en-US" w:bidi="ar-SA"/>
      </w:rPr>
    </w:lvl>
    <w:lvl w:ilvl="8" w:tplc="02B886AA">
      <w:numFmt w:val="bullet"/>
      <w:lvlText w:val="•"/>
      <w:lvlJc w:val="left"/>
      <w:pPr>
        <w:ind w:left="3161" w:hanging="163"/>
      </w:pPr>
      <w:rPr>
        <w:rFonts w:hint="default"/>
        <w:lang w:val="en-US" w:eastAsia="en-US" w:bidi="ar-SA"/>
      </w:rPr>
    </w:lvl>
  </w:abstractNum>
  <w:abstractNum w:abstractNumId="185" w15:restartNumberingAfterBreak="0">
    <w:nsid w:val="5DEC7B8A"/>
    <w:multiLevelType w:val="hybridMultilevel"/>
    <w:tmpl w:val="627A581A"/>
    <w:lvl w:ilvl="0" w:tplc="A5C2AA74">
      <w:start w:val="1"/>
      <w:numFmt w:val="decimal"/>
      <w:pStyle w:val="Annexes"/>
      <w:lvlText w:val="Anne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5EF93DE8"/>
    <w:multiLevelType w:val="hybridMultilevel"/>
    <w:tmpl w:val="3E12991C"/>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5FED491F"/>
    <w:multiLevelType w:val="hybridMultilevel"/>
    <w:tmpl w:val="DFA8EF08"/>
    <w:lvl w:ilvl="0" w:tplc="A30EEA52">
      <w:numFmt w:val="bullet"/>
      <w:lvlText w:val="-"/>
      <w:lvlJc w:val="left"/>
      <w:pPr>
        <w:ind w:left="223" w:hanging="116"/>
      </w:pPr>
      <w:rPr>
        <w:rFonts w:ascii="Times New Roman" w:eastAsia="Times New Roman" w:hAnsi="Times New Roman" w:cs="Times New Roman" w:hint="default"/>
        <w:w w:val="99"/>
        <w:sz w:val="20"/>
        <w:szCs w:val="20"/>
        <w:lang w:val="en-US" w:eastAsia="en-US" w:bidi="ar-SA"/>
      </w:rPr>
    </w:lvl>
    <w:lvl w:ilvl="1" w:tplc="0428F376">
      <w:numFmt w:val="bullet"/>
      <w:lvlText w:val="•"/>
      <w:lvlJc w:val="left"/>
      <w:pPr>
        <w:ind w:left="579" w:hanging="116"/>
      </w:pPr>
      <w:rPr>
        <w:rFonts w:hint="default"/>
        <w:lang w:val="en-US" w:eastAsia="en-US" w:bidi="ar-SA"/>
      </w:rPr>
    </w:lvl>
    <w:lvl w:ilvl="2" w:tplc="86CA752C">
      <w:numFmt w:val="bullet"/>
      <w:lvlText w:val="•"/>
      <w:lvlJc w:val="left"/>
      <w:pPr>
        <w:ind w:left="938" w:hanging="116"/>
      </w:pPr>
      <w:rPr>
        <w:rFonts w:hint="default"/>
        <w:lang w:val="en-US" w:eastAsia="en-US" w:bidi="ar-SA"/>
      </w:rPr>
    </w:lvl>
    <w:lvl w:ilvl="3" w:tplc="966AD52C">
      <w:numFmt w:val="bullet"/>
      <w:lvlText w:val="•"/>
      <w:lvlJc w:val="left"/>
      <w:pPr>
        <w:ind w:left="1298" w:hanging="116"/>
      </w:pPr>
      <w:rPr>
        <w:rFonts w:hint="default"/>
        <w:lang w:val="en-US" w:eastAsia="en-US" w:bidi="ar-SA"/>
      </w:rPr>
    </w:lvl>
    <w:lvl w:ilvl="4" w:tplc="B4D005A6">
      <w:numFmt w:val="bullet"/>
      <w:lvlText w:val="•"/>
      <w:lvlJc w:val="left"/>
      <w:pPr>
        <w:ind w:left="1657" w:hanging="116"/>
      </w:pPr>
      <w:rPr>
        <w:rFonts w:hint="default"/>
        <w:lang w:val="en-US" w:eastAsia="en-US" w:bidi="ar-SA"/>
      </w:rPr>
    </w:lvl>
    <w:lvl w:ilvl="5" w:tplc="2F426DE4">
      <w:numFmt w:val="bullet"/>
      <w:lvlText w:val="•"/>
      <w:lvlJc w:val="left"/>
      <w:pPr>
        <w:ind w:left="2017" w:hanging="116"/>
      </w:pPr>
      <w:rPr>
        <w:rFonts w:hint="default"/>
        <w:lang w:val="en-US" w:eastAsia="en-US" w:bidi="ar-SA"/>
      </w:rPr>
    </w:lvl>
    <w:lvl w:ilvl="6" w:tplc="2432E68C">
      <w:numFmt w:val="bullet"/>
      <w:lvlText w:val="•"/>
      <w:lvlJc w:val="left"/>
      <w:pPr>
        <w:ind w:left="2376" w:hanging="116"/>
      </w:pPr>
      <w:rPr>
        <w:rFonts w:hint="default"/>
        <w:lang w:val="en-US" w:eastAsia="en-US" w:bidi="ar-SA"/>
      </w:rPr>
    </w:lvl>
    <w:lvl w:ilvl="7" w:tplc="0F488460">
      <w:numFmt w:val="bullet"/>
      <w:lvlText w:val="•"/>
      <w:lvlJc w:val="left"/>
      <w:pPr>
        <w:ind w:left="2735" w:hanging="116"/>
      </w:pPr>
      <w:rPr>
        <w:rFonts w:hint="default"/>
        <w:lang w:val="en-US" w:eastAsia="en-US" w:bidi="ar-SA"/>
      </w:rPr>
    </w:lvl>
    <w:lvl w:ilvl="8" w:tplc="C80E7414">
      <w:numFmt w:val="bullet"/>
      <w:lvlText w:val="•"/>
      <w:lvlJc w:val="left"/>
      <w:pPr>
        <w:ind w:left="3095" w:hanging="116"/>
      </w:pPr>
      <w:rPr>
        <w:rFonts w:hint="default"/>
        <w:lang w:val="en-US" w:eastAsia="en-US" w:bidi="ar-SA"/>
      </w:rPr>
    </w:lvl>
  </w:abstractNum>
  <w:abstractNum w:abstractNumId="188" w15:restartNumberingAfterBreak="0">
    <w:nsid w:val="6022334C"/>
    <w:multiLevelType w:val="hybridMultilevel"/>
    <w:tmpl w:val="852EC8BE"/>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60560747"/>
    <w:multiLevelType w:val="multilevel"/>
    <w:tmpl w:val="200AA58E"/>
    <w:lvl w:ilvl="0">
      <w:start w:val="1"/>
      <w:numFmt w:val="decimal"/>
      <w:lvlText w:val="%1"/>
      <w:lvlJc w:val="left"/>
      <w:pPr>
        <w:ind w:left="540" w:hanging="540"/>
      </w:pPr>
      <w:rPr>
        <w:rFonts w:hint="default"/>
      </w:rPr>
    </w:lvl>
    <w:lvl w:ilvl="1">
      <w:start w:val="1"/>
      <w:numFmt w:val="decimal"/>
      <w:lvlText w:val="%1.%2"/>
      <w:lvlJc w:val="left"/>
      <w:pPr>
        <w:ind w:left="585" w:hanging="540"/>
      </w:pPr>
      <w:rPr>
        <w:rFonts w:hint="default"/>
      </w:rPr>
    </w:lvl>
    <w:lvl w:ilvl="2">
      <w:start w:val="1"/>
      <w:numFmt w:val="decimal"/>
      <w:lvlText w:val="%1.%2.14"/>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90" w15:restartNumberingAfterBreak="0">
    <w:nsid w:val="60A55567"/>
    <w:multiLevelType w:val="hybridMultilevel"/>
    <w:tmpl w:val="2E3C287E"/>
    <w:lvl w:ilvl="0" w:tplc="0D141974">
      <w:start w:val="1"/>
      <w:numFmt w:val="decimal"/>
      <w:lvlText w:val="(%1)"/>
      <w:lvlJc w:val="left"/>
      <w:pPr>
        <w:ind w:left="397" w:hanging="236"/>
      </w:pPr>
      <w:rPr>
        <w:rFonts w:ascii="Times New Roman" w:eastAsia="Times New Roman" w:hAnsi="Times New Roman" w:cs="Times New Roman" w:hint="default"/>
        <w:w w:val="100"/>
        <w:sz w:val="18"/>
        <w:szCs w:val="18"/>
        <w:lang w:val="en-US" w:eastAsia="en-US" w:bidi="ar-SA"/>
      </w:rPr>
    </w:lvl>
    <w:lvl w:ilvl="1" w:tplc="E6DACB8E">
      <w:numFmt w:val="bullet"/>
      <w:lvlText w:val="•"/>
      <w:lvlJc w:val="left"/>
      <w:pPr>
        <w:ind w:left="1232" w:hanging="236"/>
      </w:pPr>
      <w:rPr>
        <w:rFonts w:hint="default"/>
        <w:lang w:val="en-US" w:eastAsia="en-US" w:bidi="ar-SA"/>
      </w:rPr>
    </w:lvl>
    <w:lvl w:ilvl="2" w:tplc="A9D8635A">
      <w:numFmt w:val="bullet"/>
      <w:lvlText w:val="•"/>
      <w:lvlJc w:val="left"/>
      <w:pPr>
        <w:ind w:left="2064" w:hanging="236"/>
      </w:pPr>
      <w:rPr>
        <w:rFonts w:hint="default"/>
        <w:lang w:val="en-US" w:eastAsia="en-US" w:bidi="ar-SA"/>
      </w:rPr>
    </w:lvl>
    <w:lvl w:ilvl="3" w:tplc="D9DEAA42">
      <w:numFmt w:val="bullet"/>
      <w:lvlText w:val="•"/>
      <w:lvlJc w:val="left"/>
      <w:pPr>
        <w:ind w:left="2896" w:hanging="236"/>
      </w:pPr>
      <w:rPr>
        <w:rFonts w:hint="default"/>
        <w:lang w:val="en-US" w:eastAsia="en-US" w:bidi="ar-SA"/>
      </w:rPr>
    </w:lvl>
    <w:lvl w:ilvl="4" w:tplc="3E165E94">
      <w:numFmt w:val="bullet"/>
      <w:lvlText w:val="•"/>
      <w:lvlJc w:val="left"/>
      <w:pPr>
        <w:ind w:left="3728" w:hanging="236"/>
      </w:pPr>
      <w:rPr>
        <w:rFonts w:hint="default"/>
        <w:lang w:val="en-US" w:eastAsia="en-US" w:bidi="ar-SA"/>
      </w:rPr>
    </w:lvl>
    <w:lvl w:ilvl="5" w:tplc="B486FC44">
      <w:numFmt w:val="bullet"/>
      <w:lvlText w:val="•"/>
      <w:lvlJc w:val="left"/>
      <w:pPr>
        <w:ind w:left="4560" w:hanging="236"/>
      </w:pPr>
      <w:rPr>
        <w:rFonts w:hint="default"/>
        <w:lang w:val="en-US" w:eastAsia="en-US" w:bidi="ar-SA"/>
      </w:rPr>
    </w:lvl>
    <w:lvl w:ilvl="6" w:tplc="4DBCA9B4">
      <w:numFmt w:val="bullet"/>
      <w:lvlText w:val="•"/>
      <w:lvlJc w:val="left"/>
      <w:pPr>
        <w:ind w:left="5392" w:hanging="236"/>
      </w:pPr>
      <w:rPr>
        <w:rFonts w:hint="default"/>
        <w:lang w:val="en-US" w:eastAsia="en-US" w:bidi="ar-SA"/>
      </w:rPr>
    </w:lvl>
    <w:lvl w:ilvl="7" w:tplc="E098E38C">
      <w:numFmt w:val="bullet"/>
      <w:lvlText w:val="•"/>
      <w:lvlJc w:val="left"/>
      <w:pPr>
        <w:ind w:left="6224" w:hanging="236"/>
      </w:pPr>
      <w:rPr>
        <w:rFonts w:hint="default"/>
        <w:lang w:val="en-US" w:eastAsia="en-US" w:bidi="ar-SA"/>
      </w:rPr>
    </w:lvl>
    <w:lvl w:ilvl="8" w:tplc="31E44F48">
      <w:numFmt w:val="bullet"/>
      <w:lvlText w:val="•"/>
      <w:lvlJc w:val="left"/>
      <w:pPr>
        <w:ind w:left="7056" w:hanging="236"/>
      </w:pPr>
      <w:rPr>
        <w:rFonts w:hint="default"/>
        <w:lang w:val="en-US" w:eastAsia="en-US" w:bidi="ar-SA"/>
      </w:rPr>
    </w:lvl>
  </w:abstractNum>
  <w:abstractNum w:abstractNumId="191" w15:restartNumberingAfterBreak="0">
    <w:nsid w:val="60A56279"/>
    <w:multiLevelType w:val="hybridMultilevel"/>
    <w:tmpl w:val="6C3A4C5C"/>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14F6126"/>
    <w:multiLevelType w:val="hybridMultilevel"/>
    <w:tmpl w:val="226E4E1E"/>
    <w:lvl w:ilvl="0" w:tplc="3DFC7CD2">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3" w15:restartNumberingAfterBreak="0">
    <w:nsid w:val="62117EA7"/>
    <w:multiLevelType w:val="multilevel"/>
    <w:tmpl w:val="C22E0BA6"/>
    <w:styleLink w:val="GeerliListe164"/>
    <w:lvl w:ilvl="0">
      <w:start w:val="1"/>
      <w:numFmt w:val="decimal"/>
      <w:lvlText w:val="%1"/>
      <w:lvlJc w:val="left"/>
      <w:pPr>
        <w:ind w:left="540" w:hanging="540"/>
      </w:pPr>
      <w:rPr>
        <w:rFonts w:hint="default"/>
      </w:rPr>
    </w:lvl>
    <w:lvl w:ilvl="1">
      <w:start w:val="1"/>
      <w:numFmt w:val="decimal"/>
      <w:lvlText w:val="%1.%2"/>
      <w:lvlJc w:val="left"/>
      <w:pPr>
        <w:ind w:left="585" w:hanging="54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94" w15:restartNumberingAfterBreak="0">
    <w:nsid w:val="62617D33"/>
    <w:multiLevelType w:val="hybridMultilevel"/>
    <w:tmpl w:val="ADDA1074"/>
    <w:lvl w:ilvl="0" w:tplc="5CE64E74">
      <w:numFmt w:val="decimal"/>
      <w:lvlText w:val="%1."/>
      <w:lvlJc w:val="left"/>
      <w:pPr>
        <w:ind w:left="43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5" w15:restartNumberingAfterBreak="0">
    <w:nsid w:val="629D6055"/>
    <w:multiLevelType w:val="hybridMultilevel"/>
    <w:tmpl w:val="B036A978"/>
    <w:lvl w:ilvl="0" w:tplc="23E42CF6">
      <w:start w:val="1"/>
      <w:numFmt w:val="decimal"/>
      <w:lvlText w:val="%1."/>
      <w:lvlJc w:val="left"/>
      <w:pPr>
        <w:ind w:left="284" w:hanging="201"/>
      </w:pPr>
      <w:rPr>
        <w:rFonts w:ascii="Times New Roman" w:eastAsia="Times New Roman" w:hAnsi="Times New Roman" w:cs="Times New Roman" w:hint="default"/>
        <w:spacing w:val="0"/>
        <w:w w:val="99"/>
        <w:sz w:val="20"/>
        <w:szCs w:val="20"/>
        <w:lang w:val="en-US" w:eastAsia="en-US" w:bidi="ar-SA"/>
      </w:rPr>
    </w:lvl>
    <w:lvl w:ilvl="1" w:tplc="58424964">
      <w:numFmt w:val="bullet"/>
      <w:lvlText w:val="•"/>
      <w:lvlJc w:val="left"/>
      <w:pPr>
        <w:ind w:left="691" w:hanging="201"/>
      </w:pPr>
      <w:rPr>
        <w:rFonts w:hint="default"/>
        <w:lang w:val="en-US" w:eastAsia="en-US" w:bidi="ar-SA"/>
      </w:rPr>
    </w:lvl>
    <w:lvl w:ilvl="2" w:tplc="DF544606">
      <w:numFmt w:val="bullet"/>
      <w:lvlText w:val="•"/>
      <w:lvlJc w:val="left"/>
      <w:pPr>
        <w:ind w:left="1102" w:hanging="201"/>
      </w:pPr>
      <w:rPr>
        <w:rFonts w:hint="default"/>
        <w:lang w:val="en-US" w:eastAsia="en-US" w:bidi="ar-SA"/>
      </w:rPr>
    </w:lvl>
    <w:lvl w:ilvl="3" w:tplc="A09C2DC4">
      <w:numFmt w:val="bullet"/>
      <w:lvlText w:val="•"/>
      <w:lvlJc w:val="left"/>
      <w:pPr>
        <w:ind w:left="1513" w:hanging="201"/>
      </w:pPr>
      <w:rPr>
        <w:rFonts w:hint="default"/>
        <w:lang w:val="en-US" w:eastAsia="en-US" w:bidi="ar-SA"/>
      </w:rPr>
    </w:lvl>
    <w:lvl w:ilvl="4" w:tplc="17D8FC82">
      <w:numFmt w:val="bullet"/>
      <w:lvlText w:val="•"/>
      <w:lvlJc w:val="left"/>
      <w:pPr>
        <w:ind w:left="1924" w:hanging="201"/>
      </w:pPr>
      <w:rPr>
        <w:rFonts w:hint="default"/>
        <w:lang w:val="en-US" w:eastAsia="en-US" w:bidi="ar-SA"/>
      </w:rPr>
    </w:lvl>
    <w:lvl w:ilvl="5" w:tplc="ACEC47C6">
      <w:numFmt w:val="bullet"/>
      <w:lvlText w:val="•"/>
      <w:lvlJc w:val="left"/>
      <w:pPr>
        <w:ind w:left="2335" w:hanging="201"/>
      </w:pPr>
      <w:rPr>
        <w:rFonts w:hint="default"/>
        <w:lang w:val="en-US" w:eastAsia="en-US" w:bidi="ar-SA"/>
      </w:rPr>
    </w:lvl>
    <w:lvl w:ilvl="6" w:tplc="0BFAED2A">
      <w:numFmt w:val="bullet"/>
      <w:lvlText w:val="•"/>
      <w:lvlJc w:val="left"/>
      <w:pPr>
        <w:ind w:left="2746" w:hanging="201"/>
      </w:pPr>
      <w:rPr>
        <w:rFonts w:hint="default"/>
        <w:lang w:val="en-US" w:eastAsia="en-US" w:bidi="ar-SA"/>
      </w:rPr>
    </w:lvl>
    <w:lvl w:ilvl="7" w:tplc="FA2C336C">
      <w:numFmt w:val="bullet"/>
      <w:lvlText w:val="•"/>
      <w:lvlJc w:val="left"/>
      <w:pPr>
        <w:ind w:left="3157" w:hanging="201"/>
      </w:pPr>
      <w:rPr>
        <w:rFonts w:hint="default"/>
        <w:lang w:val="en-US" w:eastAsia="en-US" w:bidi="ar-SA"/>
      </w:rPr>
    </w:lvl>
    <w:lvl w:ilvl="8" w:tplc="17D25CF2">
      <w:numFmt w:val="bullet"/>
      <w:lvlText w:val="•"/>
      <w:lvlJc w:val="left"/>
      <w:pPr>
        <w:ind w:left="3568" w:hanging="201"/>
      </w:pPr>
      <w:rPr>
        <w:rFonts w:hint="default"/>
        <w:lang w:val="en-US" w:eastAsia="en-US" w:bidi="ar-SA"/>
      </w:rPr>
    </w:lvl>
  </w:abstractNum>
  <w:abstractNum w:abstractNumId="196" w15:restartNumberingAfterBreak="0">
    <w:nsid w:val="63A61EB0"/>
    <w:multiLevelType w:val="hybridMultilevel"/>
    <w:tmpl w:val="B8A07670"/>
    <w:lvl w:ilvl="0" w:tplc="3F4A88AC">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7" w15:restartNumberingAfterBreak="0">
    <w:nsid w:val="64057019"/>
    <w:multiLevelType w:val="multilevel"/>
    <w:tmpl w:val="45D46908"/>
    <w:styleLink w:val="GeerliListe54"/>
    <w:lvl w:ilvl="0">
      <w:start w:val="1"/>
      <w:numFmt w:val="decimal"/>
      <w:lvlText w:val="%1"/>
      <w:lvlJc w:val="left"/>
      <w:pPr>
        <w:ind w:left="432" w:hanging="432"/>
      </w:pPr>
      <w:rPr>
        <w:rFonts w:hint="default"/>
      </w:rPr>
    </w:lvl>
    <w:lvl w:ilvl="1">
      <w:start w:val="1"/>
      <w:numFmt w:val="none"/>
      <w:lvlText w:val="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8" w15:restartNumberingAfterBreak="0">
    <w:nsid w:val="64456847"/>
    <w:multiLevelType w:val="multilevel"/>
    <w:tmpl w:val="795C43D2"/>
    <w:styleLink w:val="GeerliListe84"/>
    <w:lvl w:ilvl="0">
      <w:start w:val="1"/>
      <w:numFmt w:val="decimal"/>
      <w:lvlText w:val="%1."/>
      <w:lvlJc w:val="left"/>
      <w:pPr>
        <w:ind w:left="434" w:hanging="360"/>
      </w:pPr>
      <w:rPr>
        <w:rFonts w:hint="default"/>
      </w:rPr>
    </w:lvl>
    <w:lvl w:ilvl="1">
      <w:start w:val="1"/>
      <w:numFmt w:val="decimal"/>
      <w:isLgl/>
      <w:lvlText w:val="2.%2"/>
      <w:lvlJc w:val="left"/>
      <w:pPr>
        <w:ind w:left="434" w:hanging="360"/>
      </w:pPr>
      <w:rPr>
        <w:rFonts w:hint="default"/>
      </w:rPr>
    </w:lvl>
    <w:lvl w:ilvl="2">
      <w:start w:val="1"/>
      <w:numFmt w:val="decimal"/>
      <w:isLgl/>
      <w:lvlText w:val="%1.%2.%3"/>
      <w:lvlJc w:val="left"/>
      <w:pPr>
        <w:ind w:left="794" w:hanging="720"/>
      </w:pPr>
      <w:rPr>
        <w:rFonts w:hint="default"/>
      </w:rPr>
    </w:lvl>
    <w:lvl w:ilvl="3">
      <w:start w:val="1"/>
      <w:numFmt w:val="decimal"/>
      <w:isLgl/>
      <w:lvlText w:val="%1.%2.%3.%4"/>
      <w:lvlJc w:val="left"/>
      <w:pPr>
        <w:ind w:left="794" w:hanging="720"/>
      </w:pPr>
      <w:rPr>
        <w:rFonts w:hint="default"/>
      </w:rPr>
    </w:lvl>
    <w:lvl w:ilvl="4">
      <w:start w:val="1"/>
      <w:numFmt w:val="decimal"/>
      <w:isLgl/>
      <w:lvlText w:val="%1.%2.%3.%4.%5"/>
      <w:lvlJc w:val="left"/>
      <w:pPr>
        <w:ind w:left="1154" w:hanging="1080"/>
      </w:pPr>
      <w:rPr>
        <w:rFonts w:hint="default"/>
      </w:rPr>
    </w:lvl>
    <w:lvl w:ilvl="5">
      <w:start w:val="1"/>
      <w:numFmt w:val="decimal"/>
      <w:isLgl/>
      <w:lvlText w:val="%1.%2.%3.%4.%5.%6"/>
      <w:lvlJc w:val="left"/>
      <w:pPr>
        <w:ind w:left="1154" w:hanging="1080"/>
      </w:pPr>
      <w:rPr>
        <w:rFonts w:hint="default"/>
      </w:rPr>
    </w:lvl>
    <w:lvl w:ilvl="6">
      <w:start w:val="1"/>
      <w:numFmt w:val="decimal"/>
      <w:isLgl/>
      <w:lvlText w:val="%1.%2.%3.%4.%5.%6.%7"/>
      <w:lvlJc w:val="left"/>
      <w:pPr>
        <w:ind w:left="1514" w:hanging="1440"/>
      </w:pPr>
      <w:rPr>
        <w:rFonts w:hint="default"/>
      </w:rPr>
    </w:lvl>
    <w:lvl w:ilvl="7">
      <w:start w:val="1"/>
      <w:numFmt w:val="decimal"/>
      <w:isLgl/>
      <w:lvlText w:val="%1.%2.%3.%4.%5.%6.%7.%8"/>
      <w:lvlJc w:val="left"/>
      <w:pPr>
        <w:ind w:left="1514" w:hanging="1440"/>
      </w:pPr>
      <w:rPr>
        <w:rFonts w:hint="default"/>
      </w:rPr>
    </w:lvl>
    <w:lvl w:ilvl="8">
      <w:start w:val="1"/>
      <w:numFmt w:val="decimal"/>
      <w:isLgl/>
      <w:lvlText w:val="%1.%2.%3.%4.%5.%6.%7.%8.%9"/>
      <w:lvlJc w:val="left"/>
      <w:pPr>
        <w:ind w:left="1874" w:hanging="1800"/>
      </w:pPr>
      <w:rPr>
        <w:rFonts w:hint="default"/>
      </w:rPr>
    </w:lvl>
  </w:abstractNum>
  <w:abstractNum w:abstractNumId="199" w15:restartNumberingAfterBreak="0">
    <w:nsid w:val="646C5DEC"/>
    <w:multiLevelType w:val="hybridMultilevel"/>
    <w:tmpl w:val="B86807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57505FF"/>
    <w:multiLevelType w:val="hybridMultilevel"/>
    <w:tmpl w:val="8D520B1A"/>
    <w:lvl w:ilvl="0" w:tplc="C066B338">
      <w:start w:val="1"/>
      <w:numFmt w:val="decimal"/>
      <w:lvlText w:val="%1."/>
      <w:lvlJc w:val="left"/>
      <w:pPr>
        <w:ind w:left="307" w:hanging="199"/>
      </w:pPr>
      <w:rPr>
        <w:rFonts w:ascii="Times New Roman" w:eastAsia="Times New Roman" w:hAnsi="Times New Roman" w:cs="Times New Roman" w:hint="default"/>
        <w:spacing w:val="0"/>
        <w:w w:val="99"/>
        <w:sz w:val="20"/>
        <w:szCs w:val="20"/>
        <w:lang w:val="en-US" w:eastAsia="en-US" w:bidi="ar-SA"/>
      </w:rPr>
    </w:lvl>
    <w:lvl w:ilvl="1" w:tplc="E26616FC">
      <w:numFmt w:val="bullet"/>
      <w:lvlText w:val="•"/>
      <w:lvlJc w:val="left"/>
      <w:pPr>
        <w:ind w:left="495" w:hanging="199"/>
      </w:pPr>
      <w:rPr>
        <w:rFonts w:hint="default"/>
        <w:lang w:val="en-US" w:eastAsia="en-US" w:bidi="ar-SA"/>
      </w:rPr>
    </w:lvl>
    <w:lvl w:ilvl="2" w:tplc="3968C448">
      <w:numFmt w:val="bullet"/>
      <w:lvlText w:val="•"/>
      <w:lvlJc w:val="left"/>
      <w:pPr>
        <w:ind w:left="690" w:hanging="199"/>
      </w:pPr>
      <w:rPr>
        <w:rFonts w:hint="default"/>
        <w:lang w:val="en-US" w:eastAsia="en-US" w:bidi="ar-SA"/>
      </w:rPr>
    </w:lvl>
    <w:lvl w:ilvl="3" w:tplc="78D87BD8">
      <w:numFmt w:val="bullet"/>
      <w:lvlText w:val="•"/>
      <w:lvlJc w:val="left"/>
      <w:pPr>
        <w:ind w:left="885" w:hanging="199"/>
      </w:pPr>
      <w:rPr>
        <w:rFonts w:hint="default"/>
        <w:lang w:val="en-US" w:eastAsia="en-US" w:bidi="ar-SA"/>
      </w:rPr>
    </w:lvl>
    <w:lvl w:ilvl="4" w:tplc="6F0A48D4">
      <w:numFmt w:val="bullet"/>
      <w:lvlText w:val="•"/>
      <w:lvlJc w:val="left"/>
      <w:pPr>
        <w:ind w:left="1081" w:hanging="199"/>
      </w:pPr>
      <w:rPr>
        <w:rFonts w:hint="default"/>
        <w:lang w:val="en-US" w:eastAsia="en-US" w:bidi="ar-SA"/>
      </w:rPr>
    </w:lvl>
    <w:lvl w:ilvl="5" w:tplc="5B5A0766">
      <w:numFmt w:val="bullet"/>
      <w:lvlText w:val="•"/>
      <w:lvlJc w:val="left"/>
      <w:pPr>
        <w:ind w:left="1276" w:hanging="199"/>
      </w:pPr>
      <w:rPr>
        <w:rFonts w:hint="default"/>
        <w:lang w:val="en-US" w:eastAsia="en-US" w:bidi="ar-SA"/>
      </w:rPr>
    </w:lvl>
    <w:lvl w:ilvl="6" w:tplc="1082CA68">
      <w:numFmt w:val="bullet"/>
      <w:lvlText w:val="•"/>
      <w:lvlJc w:val="left"/>
      <w:pPr>
        <w:ind w:left="1471" w:hanging="199"/>
      </w:pPr>
      <w:rPr>
        <w:rFonts w:hint="default"/>
        <w:lang w:val="en-US" w:eastAsia="en-US" w:bidi="ar-SA"/>
      </w:rPr>
    </w:lvl>
    <w:lvl w:ilvl="7" w:tplc="8C9A57AC">
      <w:numFmt w:val="bullet"/>
      <w:lvlText w:val="•"/>
      <w:lvlJc w:val="left"/>
      <w:pPr>
        <w:ind w:left="1667" w:hanging="199"/>
      </w:pPr>
      <w:rPr>
        <w:rFonts w:hint="default"/>
        <w:lang w:val="en-US" w:eastAsia="en-US" w:bidi="ar-SA"/>
      </w:rPr>
    </w:lvl>
    <w:lvl w:ilvl="8" w:tplc="D35C22E0">
      <w:numFmt w:val="bullet"/>
      <w:lvlText w:val="•"/>
      <w:lvlJc w:val="left"/>
      <w:pPr>
        <w:ind w:left="1862" w:hanging="199"/>
      </w:pPr>
      <w:rPr>
        <w:rFonts w:hint="default"/>
        <w:lang w:val="en-US" w:eastAsia="en-US" w:bidi="ar-SA"/>
      </w:rPr>
    </w:lvl>
  </w:abstractNum>
  <w:abstractNum w:abstractNumId="201" w15:restartNumberingAfterBreak="0">
    <w:nsid w:val="657C0D69"/>
    <w:multiLevelType w:val="hybridMultilevel"/>
    <w:tmpl w:val="93DCFC10"/>
    <w:lvl w:ilvl="0" w:tplc="08090003">
      <w:start w:val="1"/>
      <w:numFmt w:val="bullet"/>
      <w:pStyle w:val="Bullet1"/>
      <w:lvlText w:val=""/>
      <w:lvlJc w:val="left"/>
      <w:pPr>
        <w:tabs>
          <w:tab w:val="num" w:pos="720"/>
        </w:tabs>
        <w:ind w:left="720" w:hanging="360"/>
      </w:pPr>
      <w:rPr>
        <w:rFonts w:ascii="Symbol" w:hAnsi="Symbol" w:hint="default"/>
      </w:rPr>
    </w:lvl>
    <w:lvl w:ilvl="1" w:tplc="08090003">
      <w:start w:val="1"/>
      <w:numFmt w:val="bullet"/>
      <w:pStyle w:val="Bullet2"/>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65D60CDF"/>
    <w:multiLevelType w:val="multilevel"/>
    <w:tmpl w:val="4888ECE6"/>
    <w:styleLink w:val="GeerliListe1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68501E57"/>
    <w:multiLevelType w:val="multilevel"/>
    <w:tmpl w:val="0F327766"/>
    <w:styleLink w:val="GeerliListe24"/>
    <w:lvl w:ilvl="0">
      <w:start w:val="1"/>
      <w:numFmt w:val="decimal"/>
      <w:lvlText w:val="%1"/>
      <w:lvlJc w:val="left"/>
      <w:pPr>
        <w:ind w:left="432" w:hanging="432"/>
      </w:pPr>
      <w:rPr>
        <w:rFonts w:hint="default"/>
      </w:rPr>
    </w:lvl>
    <w:lvl w:ilvl="1">
      <w:start w:val="1"/>
      <w:numFmt w:val="decimal"/>
      <w:lvlText w:val="1.%1.%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4" w15:restartNumberingAfterBreak="0">
    <w:nsid w:val="68763783"/>
    <w:multiLevelType w:val="hybridMultilevel"/>
    <w:tmpl w:val="C0A86A58"/>
    <w:lvl w:ilvl="0" w:tplc="5FB63ACC">
      <w:start w:val="1"/>
      <w:numFmt w:val="lowerLetter"/>
      <w:lvlText w:val="(%1)"/>
      <w:lvlJc w:val="left"/>
      <w:pPr>
        <w:ind w:left="427" w:hanging="360"/>
      </w:pPr>
      <w:rPr>
        <w:rFonts w:ascii="Times New Roman" w:eastAsia="Times New Roman" w:hAnsi="Times New Roman" w:cs="Times New Roman" w:hint="default"/>
        <w:w w:val="99"/>
        <w:sz w:val="20"/>
        <w:szCs w:val="20"/>
        <w:lang w:val="en-US" w:eastAsia="en-US" w:bidi="ar-SA"/>
      </w:rPr>
    </w:lvl>
    <w:lvl w:ilvl="1" w:tplc="32A0AB70">
      <w:numFmt w:val="bullet"/>
      <w:lvlText w:val="•"/>
      <w:lvlJc w:val="left"/>
      <w:pPr>
        <w:ind w:left="646" w:hanging="360"/>
      </w:pPr>
      <w:rPr>
        <w:rFonts w:hint="default"/>
        <w:lang w:val="en-US" w:eastAsia="en-US" w:bidi="ar-SA"/>
      </w:rPr>
    </w:lvl>
    <w:lvl w:ilvl="2" w:tplc="53405924">
      <w:numFmt w:val="bullet"/>
      <w:lvlText w:val="•"/>
      <w:lvlJc w:val="left"/>
      <w:pPr>
        <w:ind w:left="872" w:hanging="360"/>
      </w:pPr>
      <w:rPr>
        <w:rFonts w:hint="default"/>
        <w:lang w:val="en-US" w:eastAsia="en-US" w:bidi="ar-SA"/>
      </w:rPr>
    </w:lvl>
    <w:lvl w:ilvl="3" w:tplc="454CF7FE">
      <w:numFmt w:val="bullet"/>
      <w:lvlText w:val="•"/>
      <w:lvlJc w:val="left"/>
      <w:pPr>
        <w:ind w:left="1098" w:hanging="360"/>
      </w:pPr>
      <w:rPr>
        <w:rFonts w:hint="default"/>
        <w:lang w:val="en-US" w:eastAsia="en-US" w:bidi="ar-SA"/>
      </w:rPr>
    </w:lvl>
    <w:lvl w:ilvl="4" w:tplc="805CE5FA">
      <w:numFmt w:val="bullet"/>
      <w:lvlText w:val="•"/>
      <w:lvlJc w:val="left"/>
      <w:pPr>
        <w:ind w:left="1324" w:hanging="360"/>
      </w:pPr>
      <w:rPr>
        <w:rFonts w:hint="default"/>
        <w:lang w:val="en-US" w:eastAsia="en-US" w:bidi="ar-SA"/>
      </w:rPr>
    </w:lvl>
    <w:lvl w:ilvl="5" w:tplc="3C527510">
      <w:numFmt w:val="bullet"/>
      <w:lvlText w:val="•"/>
      <w:lvlJc w:val="left"/>
      <w:pPr>
        <w:ind w:left="1550" w:hanging="360"/>
      </w:pPr>
      <w:rPr>
        <w:rFonts w:hint="default"/>
        <w:lang w:val="en-US" w:eastAsia="en-US" w:bidi="ar-SA"/>
      </w:rPr>
    </w:lvl>
    <w:lvl w:ilvl="6" w:tplc="5EE850F0">
      <w:numFmt w:val="bullet"/>
      <w:lvlText w:val="•"/>
      <w:lvlJc w:val="left"/>
      <w:pPr>
        <w:ind w:left="1776" w:hanging="360"/>
      </w:pPr>
      <w:rPr>
        <w:rFonts w:hint="default"/>
        <w:lang w:val="en-US" w:eastAsia="en-US" w:bidi="ar-SA"/>
      </w:rPr>
    </w:lvl>
    <w:lvl w:ilvl="7" w:tplc="9684B904">
      <w:numFmt w:val="bullet"/>
      <w:lvlText w:val="•"/>
      <w:lvlJc w:val="left"/>
      <w:pPr>
        <w:ind w:left="2002" w:hanging="360"/>
      </w:pPr>
      <w:rPr>
        <w:rFonts w:hint="default"/>
        <w:lang w:val="en-US" w:eastAsia="en-US" w:bidi="ar-SA"/>
      </w:rPr>
    </w:lvl>
    <w:lvl w:ilvl="8" w:tplc="797629DE">
      <w:numFmt w:val="bullet"/>
      <w:lvlText w:val="•"/>
      <w:lvlJc w:val="left"/>
      <w:pPr>
        <w:ind w:left="2228" w:hanging="360"/>
      </w:pPr>
      <w:rPr>
        <w:rFonts w:hint="default"/>
        <w:lang w:val="en-US" w:eastAsia="en-US" w:bidi="ar-SA"/>
      </w:rPr>
    </w:lvl>
  </w:abstractNum>
  <w:abstractNum w:abstractNumId="205" w15:restartNumberingAfterBreak="0">
    <w:nsid w:val="69A64642"/>
    <w:multiLevelType w:val="hybridMultilevel"/>
    <w:tmpl w:val="BA3C14BE"/>
    <w:lvl w:ilvl="0" w:tplc="3114305A">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6" w15:restartNumberingAfterBreak="0">
    <w:nsid w:val="69CB69A3"/>
    <w:multiLevelType w:val="hybridMultilevel"/>
    <w:tmpl w:val="70669326"/>
    <w:lvl w:ilvl="0" w:tplc="DD0C9B5C">
      <w:start w:val="1"/>
      <mc:AlternateContent>
        <mc:Choice Requires="w14">
          <w:numFmt w:val="custom" w:format="a, ç, ĝ, ..."/>
        </mc:Choice>
        <mc:Fallback>
          <w:numFmt w:val="decimal"/>
        </mc:Fallback>
      </mc:AlternateContent>
      <w:lvlText w:val="%1."/>
      <w:lvlJc w:val="left"/>
      <w:pPr>
        <w:ind w:left="1440" w:hanging="360"/>
      </w:pPr>
      <w:rPr>
        <w:rFonts w:ascii="Times New Roman" w:hAnsi="Times New Roman" w:hint="default"/>
        <w:b w:val="0"/>
        <w:i w:val="0"/>
        <w:sz w:val="22"/>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7" w15:restartNumberingAfterBreak="0">
    <w:nsid w:val="69DA2959"/>
    <w:multiLevelType w:val="hybridMultilevel"/>
    <w:tmpl w:val="EB70E08A"/>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6A6B4A58"/>
    <w:multiLevelType w:val="hybridMultilevel"/>
    <w:tmpl w:val="B4828086"/>
    <w:lvl w:ilvl="0" w:tplc="9EEA009E">
      <w:start w:val="1"/>
      <w:numFmt w:val="lowerLetter"/>
      <w:lvlText w:val="%1)"/>
      <w:lvlJc w:val="left"/>
      <w:pPr>
        <w:ind w:left="107" w:hanging="233"/>
      </w:pPr>
      <w:rPr>
        <w:rFonts w:ascii="Times New Roman" w:eastAsia="Times New Roman" w:hAnsi="Times New Roman" w:cs="Times New Roman" w:hint="default"/>
        <w:w w:val="100"/>
        <w:sz w:val="20"/>
        <w:szCs w:val="20"/>
        <w:lang w:val="en-US" w:eastAsia="en-US" w:bidi="ar-SA"/>
      </w:rPr>
    </w:lvl>
    <w:lvl w:ilvl="1" w:tplc="20F851FA">
      <w:numFmt w:val="bullet"/>
      <w:lvlText w:val="•"/>
      <w:lvlJc w:val="left"/>
      <w:pPr>
        <w:ind w:left="514" w:hanging="233"/>
      </w:pPr>
      <w:rPr>
        <w:rFonts w:hint="default"/>
        <w:lang w:val="en-US" w:eastAsia="en-US" w:bidi="ar-SA"/>
      </w:rPr>
    </w:lvl>
    <w:lvl w:ilvl="2" w:tplc="7B1E8B64">
      <w:numFmt w:val="bullet"/>
      <w:lvlText w:val="•"/>
      <w:lvlJc w:val="left"/>
      <w:pPr>
        <w:ind w:left="928" w:hanging="233"/>
      </w:pPr>
      <w:rPr>
        <w:rFonts w:hint="default"/>
        <w:lang w:val="en-US" w:eastAsia="en-US" w:bidi="ar-SA"/>
      </w:rPr>
    </w:lvl>
    <w:lvl w:ilvl="3" w:tplc="1344663E">
      <w:numFmt w:val="bullet"/>
      <w:lvlText w:val="•"/>
      <w:lvlJc w:val="left"/>
      <w:pPr>
        <w:ind w:left="1342" w:hanging="233"/>
      </w:pPr>
      <w:rPr>
        <w:rFonts w:hint="default"/>
        <w:lang w:val="en-US" w:eastAsia="en-US" w:bidi="ar-SA"/>
      </w:rPr>
    </w:lvl>
    <w:lvl w:ilvl="4" w:tplc="D57C8A8A">
      <w:numFmt w:val="bullet"/>
      <w:lvlText w:val="•"/>
      <w:lvlJc w:val="left"/>
      <w:pPr>
        <w:ind w:left="1757" w:hanging="233"/>
      </w:pPr>
      <w:rPr>
        <w:rFonts w:hint="default"/>
        <w:lang w:val="en-US" w:eastAsia="en-US" w:bidi="ar-SA"/>
      </w:rPr>
    </w:lvl>
    <w:lvl w:ilvl="5" w:tplc="50089408">
      <w:numFmt w:val="bullet"/>
      <w:lvlText w:val="•"/>
      <w:lvlJc w:val="left"/>
      <w:pPr>
        <w:ind w:left="2171" w:hanging="233"/>
      </w:pPr>
      <w:rPr>
        <w:rFonts w:hint="default"/>
        <w:lang w:val="en-US" w:eastAsia="en-US" w:bidi="ar-SA"/>
      </w:rPr>
    </w:lvl>
    <w:lvl w:ilvl="6" w:tplc="8D2415F6">
      <w:numFmt w:val="bullet"/>
      <w:lvlText w:val="•"/>
      <w:lvlJc w:val="left"/>
      <w:pPr>
        <w:ind w:left="2585" w:hanging="233"/>
      </w:pPr>
      <w:rPr>
        <w:rFonts w:hint="default"/>
        <w:lang w:val="en-US" w:eastAsia="en-US" w:bidi="ar-SA"/>
      </w:rPr>
    </w:lvl>
    <w:lvl w:ilvl="7" w:tplc="DBA4B6BC">
      <w:numFmt w:val="bullet"/>
      <w:lvlText w:val="•"/>
      <w:lvlJc w:val="left"/>
      <w:pPr>
        <w:ind w:left="3000" w:hanging="233"/>
      </w:pPr>
      <w:rPr>
        <w:rFonts w:hint="default"/>
        <w:lang w:val="en-US" w:eastAsia="en-US" w:bidi="ar-SA"/>
      </w:rPr>
    </w:lvl>
    <w:lvl w:ilvl="8" w:tplc="C21AE278">
      <w:numFmt w:val="bullet"/>
      <w:lvlText w:val="•"/>
      <w:lvlJc w:val="left"/>
      <w:pPr>
        <w:ind w:left="3414" w:hanging="233"/>
      </w:pPr>
      <w:rPr>
        <w:rFonts w:hint="default"/>
        <w:lang w:val="en-US" w:eastAsia="en-US" w:bidi="ar-SA"/>
      </w:rPr>
    </w:lvl>
  </w:abstractNum>
  <w:abstractNum w:abstractNumId="209" w15:restartNumberingAfterBreak="0">
    <w:nsid w:val="6B7701F6"/>
    <w:multiLevelType w:val="hybridMultilevel"/>
    <w:tmpl w:val="3CB2FBDA"/>
    <w:lvl w:ilvl="0" w:tplc="041F001B">
      <w:start w:val="1"/>
      <w:numFmt w:val="lowerRoman"/>
      <w:lvlText w:val="%1."/>
      <w:lvlJc w:val="right"/>
      <w:pPr>
        <w:ind w:left="496" w:hanging="226"/>
      </w:pPr>
      <w:rPr>
        <w:rFonts w:hint="default"/>
        <w:spacing w:val="-4"/>
        <w:w w:val="99"/>
        <w:sz w:val="18"/>
        <w:szCs w:val="18"/>
        <w:lang w:val="en-US" w:eastAsia="en-US" w:bidi="ar-SA"/>
      </w:rPr>
    </w:lvl>
    <w:lvl w:ilvl="1" w:tplc="B872A2EE">
      <w:numFmt w:val="bullet"/>
      <w:lvlText w:val="•"/>
      <w:lvlJc w:val="left"/>
      <w:pPr>
        <w:ind w:left="1152" w:hanging="226"/>
      </w:pPr>
      <w:rPr>
        <w:rFonts w:hint="default"/>
        <w:lang w:val="en-US" w:eastAsia="en-US" w:bidi="ar-SA"/>
      </w:rPr>
    </w:lvl>
    <w:lvl w:ilvl="2" w:tplc="28188802">
      <w:numFmt w:val="bullet"/>
      <w:lvlText w:val="•"/>
      <w:lvlJc w:val="left"/>
      <w:pPr>
        <w:ind w:left="1964" w:hanging="226"/>
      </w:pPr>
      <w:rPr>
        <w:rFonts w:hint="default"/>
        <w:lang w:val="en-US" w:eastAsia="en-US" w:bidi="ar-SA"/>
      </w:rPr>
    </w:lvl>
    <w:lvl w:ilvl="3" w:tplc="584CCDD4">
      <w:numFmt w:val="bullet"/>
      <w:lvlText w:val="•"/>
      <w:lvlJc w:val="left"/>
      <w:pPr>
        <w:ind w:left="2776" w:hanging="226"/>
      </w:pPr>
      <w:rPr>
        <w:rFonts w:hint="default"/>
        <w:lang w:val="en-US" w:eastAsia="en-US" w:bidi="ar-SA"/>
      </w:rPr>
    </w:lvl>
    <w:lvl w:ilvl="4" w:tplc="F98625A4">
      <w:numFmt w:val="bullet"/>
      <w:lvlText w:val="•"/>
      <w:lvlJc w:val="left"/>
      <w:pPr>
        <w:ind w:left="3589" w:hanging="226"/>
      </w:pPr>
      <w:rPr>
        <w:rFonts w:hint="default"/>
        <w:lang w:val="en-US" w:eastAsia="en-US" w:bidi="ar-SA"/>
      </w:rPr>
    </w:lvl>
    <w:lvl w:ilvl="5" w:tplc="8F181CE6">
      <w:numFmt w:val="bullet"/>
      <w:lvlText w:val="•"/>
      <w:lvlJc w:val="left"/>
      <w:pPr>
        <w:ind w:left="4401" w:hanging="226"/>
      </w:pPr>
      <w:rPr>
        <w:rFonts w:hint="default"/>
        <w:lang w:val="en-US" w:eastAsia="en-US" w:bidi="ar-SA"/>
      </w:rPr>
    </w:lvl>
    <w:lvl w:ilvl="6" w:tplc="0E2C295E">
      <w:numFmt w:val="bullet"/>
      <w:lvlText w:val="•"/>
      <w:lvlJc w:val="left"/>
      <w:pPr>
        <w:ind w:left="5213" w:hanging="226"/>
      </w:pPr>
      <w:rPr>
        <w:rFonts w:hint="default"/>
        <w:lang w:val="en-US" w:eastAsia="en-US" w:bidi="ar-SA"/>
      </w:rPr>
    </w:lvl>
    <w:lvl w:ilvl="7" w:tplc="3DD0DD6A">
      <w:numFmt w:val="bullet"/>
      <w:lvlText w:val="•"/>
      <w:lvlJc w:val="left"/>
      <w:pPr>
        <w:ind w:left="6026" w:hanging="226"/>
      </w:pPr>
      <w:rPr>
        <w:rFonts w:hint="default"/>
        <w:lang w:val="en-US" w:eastAsia="en-US" w:bidi="ar-SA"/>
      </w:rPr>
    </w:lvl>
    <w:lvl w:ilvl="8" w:tplc="C93C9238">
      <w:numFmt w:val="bullet"/>
      <w:lvlText w:val="•"/>
      <w:lvlJc w:val="left"/>
      <w:pPr>
        <w:ind w:left="6838" w:hanging="226"/>
      </w:pPr>
      <w:rPr>
        <w:rFonts w:hint="default"/>
        <w:lang w:val="en-US" w:eastAsia="en-US" w:bidi="ar-SA"/>
      </w:rPr>
    </w:lvl>
  </w:abstractNum>
  <w:abstractNum w:abstractNumId="210" w15:restartNumberingAfterBreak="0">
    <w:nsid w:val="6BCD7272"/>
    <w:multiLevelType w:val="hybridMultilevel"/>
    <w:tmpl w:val="0FC6609E"/>
    <w:lvl w:ilvl="0" w:tplc="BEEC03E6">
      <w:start w:val="1"/>
      <w:numFmt w:val="lowerRoman"/>
      <w:lvlText w:val="%1."/>
      <w:lvlJc w:val="left"/>
      <w:pPr>
        <w:ind w:left="308" w:hanging="156"/>
      </w:pPr>
      <w:rPr>
        <w:rFonts w:ascii="Times New Roman" w:eastAsia="Times New Roman" w:hAnsi="Times New Roman" w:cs="Times New Roman" w:hint="default"/>
        <w:spacing w:val="-1"/>
        <w:w w:val="99"/>
        <w:sz w:val="20"/>
        <w:szCs w:val="20"/>
        <w:lang w:val="en-US" w:eastAsia="en-US" w:bidi="ar-SA"/>
      </w:rPr>
    </w:lvl>
    <w:lvl w:ilvl="1" w:tplc="F476130E">
      <w:numFmt w:val="bullet"/>
      <w:lvlText w:val="•"/>
      <w:lvlJc w:val="left"/>
      <w:pPr>
        <w:ind w:left="656" w:hanging="156"/>
      </w:pPr>
      <w:rPr>
        <w:rFonts w:hint="default"/>
        <w:lang w:val="en-US" w:eastAsia="en-US" w:bidi="ar-SA"/>
      </w:rPr>
    </w:lvl>
    <w:lvl w:ilvl="2" w:tplc="67603DD6">
      <w:numFmt w:val="bullet"/>
      <w:lvlText w:val="•"/>
      <w:lvlJc w:val="left"/>
      <w:pPr>
        <w:ind w:left="1012" w:hanging="156"/>
      </w:pPr>
      <w:rPr>
        <w:rFonts w:hint="default"/>
        <w:lang w:val="en-US" w:eastAsia="en-US" w:bidi="ar-SA"/>
      </w:rPr>
    </w:lvl>
    <w:lvl w:ilvl="3" w:tplc="CC7E904C">
      <w:numFmt w:val="bullet"/>
      <w:lvlText w:val="•"/>
      <w:lvlJc w:val="left"/>
      <w:pPr>
        <w:ind w:left="1368" w:hanging="156"/>
      </w:pPr>
      <w:rPr>
        <w:rFonts w:hint="default"/>
        <w:lang w:val="en-US" w:eastAsia="en-US" w:bidi="ar-SA"/>
      </w:rPr>
    </w:lvl>
    <w:lvl w:ilvl="4" w:tplc="53C89536">
      <w:numFmt w:val="bullet"/>
      <w:lvlText w:val="•"/>
      <w:lvlJc w:val="left"/>
      <w:pPr>
        <w:ind w:left="1724" w:hanging="156"/>
      </w:pPr>
      <w:rPr>
        <w:rFonts w:hint="default"/>
        <w:lang w:val="en-US" w:eastAsia="en-US" w:bidi="ar-SA"/>
      </w:rPr>
    </w:lvl>
    <w:lvl w:ilvl="5" w:tplc="9C84F0E8">
      <w:numFmt w:val="bullet"/>
      <w:lvlText w:val="•"/>
      <w:lvlJc w:val="left"/>
      <w:pPr>
        <w:ind w:left="2081" w:hanging="156"/>
      </w:pPr>
      <w:rPr>
        <w:rFonts w:hint="default"/>
        <w:lang w:val="en-US" w:eastAsia="en-US" w:bidi="ar-SA"/>
      </w:rPr>
    </w:lvl>
    <w:lvl w:ilvl="6" w:tplc="89144B62">
      <w:numFmt w:val="bullet"/>
      <w:lvlText w:val="•"/>
      <w:lvlJc w:val="left"/>
      <w:pPr>
        <w:ind w:left="2437" w:hanging="156"/>
      </w:pPr>
      <w:rPr>
        <w:rFonts w:hint="default"/>
        <w:lang w:val="en-US" w:eastAsia="en-US" w:bidi="ar-SA"/>
      </w:rPr>
    </w:lvl>
    <w:lvl w:ilvl="7" w:tplc="5E58D860">
      <w:numFmt w:val="bullet"/>
      <w:lvlText w:val="•"/>
      <w:lvlJc w:val="left"/>
      <w:pPr>
        <w:ind w:left="2793" w:hanging="156"/>
      </w:pPr>
      <w:rPr>
        <w:rFonts w:hint="default"/>
        <w:lang w:val="en-US" w:eastAsia="en-US" w:bidi="ar-SA"/>
      </w:rPr>
    </w:lvl>
    <w:lvl w:ilvl="8" w:tplc="7AACBCF8">
      <w:numFmt w:val="bullet"/>
      <w:lvlText w:val="•"/>
      <w:lvlJc w:val="left"/>
      <w:pPr>
        <w:ind w:left="3149" w:hanging="156"/>
      </w:pPr>
      <w:rPr>
        <w:rFonts w:hint="default"/>
        <w:lang w:val="en-US" w:eastAsia="en-US" w:bidi="ar-SA"/>
      </w:rPr>
    </w:lvl>
  </w:abstractNum>
  <w:abstractNum w:abstractNumId="211" w15:restartNumberingAfterBreak="0">
    <w:nsid w:val="6D22058E"/>
    <w:multiLevelType w:val="hybridMultilevel"/>
    <w:tmpl w:val="82DEEAD2"/>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2" w15:restartNumberingAfterBreak="0">
    <w:nsid w:val="6DE70D95"/>
    <w:multiLevelType w:val="hybridMultilevel"/>
    <w:tmpl w:val="9FB67BB0"/>
    <w:lvl w:ilvl="0" w:tplc="ACFCCBB4">
      <w:numFmt w:val="bullet"/>
      <w:lvlText w:val="-"/>
      <w:lvlJc w:val="left"/>
      <w:pPr>
        <w:ind w:left="107" w:hanging="135"/>
      </w:pPr>
      <w:rPr>
        <w:rFonts w:ascii="Times New Roman" w:eastAsia="Times New Roman" w:hAnsi="Times New Roman" w:cs="Times New Roman" w:hint="default"/>
        <w:w w:val="99"/>
        <w:sz w:val="20"/>
        <w:szCs w:val="20"/>
        <w:lang w:val="en-US" w:eastAsia="en-US" w:bidi="ar-SA"/>
      </w:rPr>
    </w:lvl>
    <w:lvl w:ilvl="1" w:tplc="3522C406">
      <w:numFmt w:val="bullet"/>
      <w:lvlText w:val="•"/>
      <w:lvlJc w:val="left"/>
      <w:pPr>
        <w:ind w:left="659" w:hanging="135"/>
      </w:pPr>
      <w:rPr>
        <w:rFonts w:hint="default"/>
        <w:lang w:val="en-US" w:eastAsia="en-US" w:bidi="ar-SA"/>
      </w:rPr>
    </w:lvl>
    <w:lvl w:ilvl="2" w:tplc="A518F800">
      <w:numFmt w:val="bullet"/>
      <w:lvlText w:val="•"/>
      <w:lvlJc w:val="left"/>
      <w:pPr>
        <w:ind w:left="1219" w:hanging="135"/>
      </w:pPr>
      <w:rPr>
        <w:rFonts w:hint="default"/>
        <w:lang w:val="en-US" w:eastAsia="en-US" w:bidi="ar-SA"/>
      </w:rPr>
    </w:lvl>
    <w:lvl w:ilvl="3" w:tplc="D9A09284">
      <w:numFmt w:val="bullet"/>
      <w:lvlText w:val="•"/>
      <w:lvlJc w:val="left"/>
      <w:pPr>
        <w:ind w:left="1779" w:hanging="135"/>
      </w:pPr>
      <w:rPr>
        <w:rFonts w:hint="default"/>
        <w:lang w:val="en-US" w:eastAsia="en-US" w:bidi="ar-SA"/>
      </w:rPr>
    </w:lvl>
    <w:lvl w:ilvl="4" w:tplc="7BDE6D74">
      <w:numFmt w:val="bullet"/>
      <w:lvlText w:val="•"/>
      <w:lvlJc w:val="left"/>
      <w:pPr>
        <w:ind w:left="2339" w:hanging="135"/>
      </w:pPr>
      <w:rPr>
        <w:rFonts w:hint="default"/>
        <w:lang w:val="en-US" w:eastAsia="en-US" w:bidi="ar-SA"/>
      </w:rPr>
    </w:lvl>
    <w:lvl w:ilvl="5" w:tplc="78FCE9C0">
      <w:numFmt w:val="bullet"/>
      <w:lvlText w:val="•"/>
      <w:lvlJc w:val="left"/>
      <w:pPr>
        <w:ind w:left="2899" w:hanging="135"/>
      </w:pPr>
      <w:rPr>
        <w:rFonts w:hint="default"/>
        <w:lang w:val="en-US" w:eastAsia="en-US" w:bidi="ar-SA"/>
      </w:rPr>
    </w:lvl>
    <w:lvl w:ilvl="6" w:tplc="18FCC3C4">
      <w:numFmt w:val="bullet"/>
      <w:lvlText w:val="•"/>
      <w:lvlJc w:val="left"/>
      <w:pPr>
        <w:ind w:left="3458" w:hanging="135"/>
      </w:pPr>
      <w:rPr>
        <w:rFonts w:hint="default"/>
        <w:lang w:val="en-US" w:eastAsia="en-US" w:bidi="ar-SA"/>
      </w:rPr>
    </w:lvl>
    <w:lvl w:ilvl="7" w:tplc="BED0C1B2">
      <w:numFmt w:val="bullet"/>
      <w:lvlText w:val="•"/>
      <w:lvlJc w:val="left"/>
      <w:pPr>
        <w:ind w:left="4018" w:hanging="135"/>
      </w:pPr>
      <w:rPr>
        <w:rFonts w:hint="default"/>
        <w:lang w:val="en-US" w:eastAsia="en-US" w:bidi="ar-SA"/>
      </w:rPr>
    </w:lvl>
    <w:lvl w:ilvl="8" w:tplc="4AA4C356">
      <w:numFmt w:val="bullet"/>
      <w:lvlText w:val="•"/>
      <w:lvlJc w:val="left"/>
      <w:pPr>
        <w:ind w:left="4578" w:hanging="135"/>
      </w:pPr>
      <w:rPr>
        <w:rFonts w:hint="default"/>
        <w:lang w:val="en-US" w:eastAsia="en-US" w:bidi="ar-SA"/>
      </w:rPr>
    </w:lvl>
  </w:abstractNum>
  <w:abstractNum w:abstractNumId="213" w15:restartNumberingAfterBreak="0">
    <w:nsid w:val="6E0F07C6"/>
    <w:multiLevelType w:val="hybridMultilevel"/>
    <w:tmpl w:val="D3C24258"/>
    <w:lvl w:ilvl="0" w:tplc="041F001B">
      <w:start w:val="1"/>
      <w:numFmt w:val="lowerRoman"/>
      <w:lvlText w:val="%1."/>
      <w:lvlJc w:val="right"/>
      <w:pPr>
        <w:ind w:left="720" w:hanging="360"/>
      </w:pPr>
    </w:lvl>
    <w:lvl w:ilvl="1" w:tplc="041F0019" w:tentative="1">
      <w:start w:val="1"/>
      <w:numFmt w:val="lowerLetter"/>
      <w:lvlText w:val="%2."/>
      <w:lvlJc w:val="left"/>
      <w:pPr>
        <w:ind w:left="1936" w:hanging="360"/>
      </w:pPr>
    </w:lvl>
    <w:lvl w:ilvl="2" w:tplc="041F001B" w:tentative="1">
      <w:start w:val="1"/>
      <w:numFmt w:val="lowerRoman"/>
      <w:lvlText w:val="%3."/>
      <w:lvlJc w:val="right"/>
      <w:pPr>
        <w:ind w:left="2656" w:hanging="180"/>
      </w:pPr>
    </w:lvl>
    <w:lvl w:ilvl="3" w:tplc="041F000F" w:tentative="1">
      <w:start w:val="1"/>
      <w:numFmt w:val="decimal"/>
      <w:lvlText w:val="%4."/>
      <w:lvlJc w:val="left"/>
      <w:pPr>
        <w:ind w:left="3376" w:hanging="360"/>
      </w:pPr>
    </w:lvl>
    <w:lvl w:ilvl="4" w:tplc="041F0019" w:tentative="1">
      <w:start w:val="1"/>
      <w:numFmt w:val="lowerLetter"/>
      <w:lvlText w:val="%5."/>
      <w:lvlJc w:val="left"/>
      <w:pPr>
        <w:ind w:left="4096" w:hanging="360"/>
      </w:pPr>
    </w:lvl>
    <w:lvl w:ilvl="5" w:tplc="041F001B" w:tentative="1">
      <w:start w:val="1"/>
      <w:numFmt w:val="lowerRoman"/>
      <w:lvlText w:val="%6."/>
      <w:lvlJc w:val="right"/>
      <w:pPr>
        <w:ind w:left="4816" w:hanging="180"/>
      </w:pPr>
    </w:lvl>
    <w:lvl w:ilvl="6" w:tplc="041F000F" w:tentative="1">
      <w:start w:val="1"/>
      <w:numFmt w:val="decimal"/>
      <w:lvlText w:val="%7."/>
      <w:lvlJc w:val="left"/>
      <w:pPr>
        <w:ind w:left="5536" w:hanging="360"/>
      </w:pPr>
    </w:lvl>
    <w:lvl w:ilvl="7" w:tplc="041F0019" w:tentative="1">
      <w:start w:val="1"/>
      <w:numFmt w:val="lowerLetter"/>
      <w:lvlText w:val="%8."/>
      <w:lvlJc w:val="left"/>
      <w:pPr>
        <w:ind w:left="6256" w:hanging="360"/>
      </w:pPr>
    </w:lvl>
    <w:lvl w:ilvl="8" w:tplc="041F001B" w:tentative="1">
      <w:start w:val="1"/>
      <w:numFmt w:val="lowerRoman"/>
      <w:lvlText w:val="%9."/>
      <w:lvlJc w:val="right"/>
      <w:pPr>
        <w:ind w:left="6976" w:hanging="180"/>
      </w:pPr>
    </w:lvl>
  </w:abstractNum>
  <w:abstractNum w:abstractNumId="214" w15:restartNumberingAfterBreak="0">
    <w:nsid w:val="6EC13D09"/>
    <w:multiLevelType w:val="hybridMultilevel"/>
    <w:tmpl w:val="9C145800"/>
    <w:lvl w:ilvl="0" w:tplc="20E2FBEA">
      <w:start w:val="3"/>
      <w:numFmt w:val="decimal"/>
      <w:lvlText w:val="%1."/>
      <w:lvlJc w:val="left"/>
      <w:pPr>
        <w:ind w:left="549" w:hanging="329"/>
      </w:pPr>
      <w:rPr>
        <w:rFonts w:ascii="Times New Roman" w:eastAsia="Times New Roman" w:hAnsi="Times New Roman" w:cs="Times New Roman" w:hint="default"/>
        <w:spacing w:val="0"/>
        <w:w w:val="99"/>
        <w:sz w:val="20"/>
        <w:szCs w:val="20"/>
        <w:lang w:val="en-US" w:eastAsia="en-US" w:bidi="ar-SA"/>
      </w:rPr>
    </w:lvl>
    <w:lvl w:ilvl="1" w:tplc="C9D2188E">
      <w:numFmt w:val="bullet"/>
      <w:lvlText w:val=""/>
      <w:lvlJc w:val="left"/>
      <w:pPr>
        <w:ind w:left="902" w:hanging="356"/>
      </w:pPr>
      <w:rPr>
        <w:rFonts w:ascii="Symbol" w:eastAsia="Symbol" w:hAnsi="Symbol" w:cs="Symbol" w:hint="default"/>
        <w:w w:val="99"/>
        <w:sz w:val="20"/>
        <w:szCs w:val="20"/>
        <w:lang w:val="en-US" w:eastAsia="en-US" w:bidi="ar-SA"/>
      </w:rPr>
    </w:lvl>
    <w:lvl w:ilvl="2" w:tplc="56208A1E">
      <w:numFmt w:val="bullet"/>
      <w:lvlText w:val="•"/>
      <w:lvlJc w:val="left"/>
      <w:pPr>
        <w:ind w:left="1227" w:hanging="356"/>
      </w:pPr>
      <w:rPr>
        <w:rFonts w:hint="default"/>
        <w:lang w:val="en-US" w:eastAsia="en-US" w:bidi="ar-SA"/>
      </w:rPr>
    </w:lvl>
    <w:lvl w:ilvl="3" w:tplc="3580BD5A">
      <w:numFmt w:val="bullet"/>
      <w:lvlText w:val="•"/>
      <w:lvlJc w:val="left"/>
      <w:pPr>
        <w:ind w:left="1555" w:hanging="356"/>
      </w:pPr>
      <w:rPr>
        <w:rFonts w:hint="default"/>
        <w:lang w:val="en-US" w:eastAsia="en-US" w:bidi="ar-SA"/>
      </w:rPr>
    </w:lvl>
    <w:lvl w:ilvl="4" w:tplc="9A424064">
      <w:numFmt w:val="bullet"/>
      <w:lvlText w:val="•"/>
      <w:lvlJc w:val="left"/>
      <w:pPr>
        <w:ind w:left="1883" w:hanging="356"/>
      </w:pPr>
      <w:rPr>
        <w:rFonts w:hint="default"/>
        <w:lang w:val="en-US" w:eastAsia="en-US" w:bidi="ar-SA"/>
      </w:rPr>
    </w:lvl>
    <w:lvl w:ilvl="5" w:tplc="D0AAB144">
      <w:numFmt w:val="bullet"/>
      <w:lvlText w:val="•"/>
      <w:lvlJc w:val="left"/>
      <w:pPr>
        <w:ind w:left="2211" w:hanging="356"/>
      </w:pPr>
      <w:rPr>
        <w:rFonts w:hint="default"/>
        <w:lang w:val="en-US" w:eastAsia="en-US" w:bidi="ar-SA"/>
      </w:rPr>
    </w:lvl>
    <w:lvl w:ilvl="6" w:tplc="FF12F4DC">
      <w:numFmt w:val="bullet"/>
      <w:lvlText w:val="•"/>
      <w:lvlJc w:val="left"/>
      <w:pPr>
        <w:ind w:left="2538" w:hanging="356"/>
      </w:pPr>
      <w:rPr>
        <w:rFonts w:hint="default"/>
        <w:lang w:val="en-US" w:eastAsia="en-US" w:bidi="ar-SA"/>
      </w:rPr>
    </w:lvl>
    <w:lvl w:ilvl="7" w:tplc="4F388E06">
      <w:numFmt w:val="bullet"/>
      <w:lvlText w:val="•"/>
      <w:lvlJc w:val="left"/>
      <w:pPr>
        <w:ind w:left="2866" w:hanging="356"/>
      </w:pPr>
      <w:rPr>
        <w:rFonts w:hint="default"/>
        <w:lang w:val="en-US" w:eastAsia="en-US" w:bidi="ar-SA"/>
      </w:rPr>
    </w:lvl>
    <w:lvl w:ilvl="8" w:tplc="18BA18EE">
      <w:numFmt w:val="bullet"/>
      <w:lvlText w:val="•"/>
      <w:lvlJc w:val="left"/>
      <w:pPr>
        <w:ind w:left="3194" w:hanging="356"/>
      </w:pPr>
      <w:rPr>
        <w:rFonts w:hint="default"/>
        <w:lang w:val="en-US" w:eastAsia="en-US" w:bidi="ar-SA"/>
      </w:rPr>
    </w:lvl>
  </w:abstractNum>
  <w:abstractNum w:abstractNumId="215" w15:restartNumberingAfterBreak="0">
    <w:nsid w:val="70DA3378"/>
    <w:multiLevelType w:val="hybridMultilevel"/>
    <w:tmpl w:val="6F102B4E"/>
    <w:lvl w:ilvl="0" w:tplc="F836EC18">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6" w15:restartNumberingAfterBreak="0">
    <w:nsid w:val="70DB56F3"/>
    <w:multiLevelType w:val="hybridMultilevel"/>
    <w:tmpl w:val="F8D47734"/>
    <w:lvl w:ilvl="0" w:tplc="038EBDD4">
      <w:numFmt w:val="bullet"/>
      <w:lvlText w:val="-"/>
      <w:lvlJc w:val="left"/>
      <w:pPr>
        <w:ind w:left="107" w:hanging="132"/>
      </w:pPr>
      <w:rPr>
        <w:rFonts w:ascii="Times New Roman" w:eastAsia="Times New Roman" w:hAnsi="Times New Roman" w:cs="Times New Roman" w:hint="default"/>
        <w:w w:val="99"/>
        <w:sz w:val="20"/>
        <w:szCs w:val="20"/>
        <w:lang w:val="en-US" w:eastAsia="en-US" w:bidi="ar-SA"/>
      </w:rPr>
    </w:lvl>
    <w:lvl w:ilvl="1" w:tplc="1416096E">
      <w:numFmt w:val="bullet"/>
      <w:lvlText w:val="•"/>
      <w:lvlJc w:val="left"/>
      <w:pPr>
        <w:ind w:left="471" w:hanging="132"/>
      </w:pPr>
      <w:rPr>
        <w:rFonts w:hint="default"/>
        <w:lang w:val="en-US" w:eastAsia="en-US" w:bidi="ar-SA"/>
      </w:rPr>
    </w:lvl>
    <w:lvl w:ilvl="2" w:tplc="082E0C56">
      <w:numFmt w:val="bullet"/>
      <w:lvlText w:val="•"/>
      <w:lvlJc w:val="left"/>
      <w:pPr>
        <w:ind w:left="842" w:hanging="132"/>
      </w:pPr>
      <w:rPr>
        <w:rFonts w:hint="default"/>
        <w:lang w:val="en-US" w:eastAsia="en-US" w:bidi="ar-SA"/>
      </w:rPr>
    </w:lvl>
    <w:lvl w:ilvl="3" w:tplc="A4BC6DF4">
      <w:numFmt w:val="bullet"/>
      <w:lvlText w:val="•"/>
      <w:lvlJc w:val="left"/>
      <w:pPr>
        <w:ind w:left="1214" w:hanging="132"/>
      </w:pPr>
      <w:rPr>
        <w:rFonts w:hint="default"/>
        <w:lang w:val="en-US" w:eastAsia="en-US" w:bidi="ar-SA"/>
      </w:rPr>
    </w:lvl>
    <w:lvl w:ilvl="4" w:tplc="926E210A">
      <w:numFmt w:val="bullet"/>
      <w:lvlText w:val="•"/>
      <w:lvlJc w:val="left"/>
      <w:pPr>
        <w:ind w:left="1585" w:hanging="132"/>
      </w:pPr>
      <w:rPr>
        <w:rFonts w:hint="default"/>
        <w:lang w:val="en-US" w:eastAsia="en-US" w:bidi="ar-SA"/>
      </w:rPr>
    </w:lvl>
    <w:lvl w:ilvl="5" w:tplc="D5EA34A6">
      <w:numFmt w:val="bullet"/>
      <w:lvlText w:val="•"/>
      <w:lvlJc w:val="left"/>
      <w:pPr>
        <w:ind w:left="1957" w:hanging="132"/>
      </w:pPr>
      <w:rPr>
        <w:rFonts w:hint="default"/>
        <w:lang w:val="en-US" w:eastAsia="en-US" w:bidi="ar-SA"/>
      </w:rPr>
    </w:lvl>
    <w:lvl w:ilvl="6" w:tplc="1A9632AA">
      <w:numFmt w:val="bullet"/>
      <w:lvlText w:val="•"/>
      <w:lvlJc w:val="left"/>
      <w:pPr>
        <w:ind w:left="2328" w:hanging="132"/>
      </w:pPr>
      <w:rPr>
        <w:rFonts w:hint="default"/>
        <w:lang w:val="en-US" w:eastAsia="en-US" w:bidi="ar-SA"/>
      </w:rPr>
    </w:lvl>
    <w:lvl w:ilvl="7" w:tplc="09EE4E88">
      <w:numFmt w:val="bullet"/>
      <w:lvlText w:val="•"/>
      <w:lvlJc w:val="left"/>
      <w:pPr>
        <w:ind w:left="2699" w:hanging="132"/>
      </w:pPr>
      <w:rPr>
        <w:rFonts w:hint="default"/>
        <w:lang w:val="en-US" w:eastAsia="en-US" w:bidi="ar-SA"/>
      </w:rPr>
    </w:lvl>
    <w:lvl w:ilvl="8" w:tplc="451EF7AC">
      <w:numFmt w:val="bullet"/>
      <w:lvlText w:val="•"/>
      <w:lvlJc w:val="left"/>
      <w:pPr>
        <w:ind w:left="3071" w:hanging="132"/>
      </w:pPr>
      <w:rPr>
        <w:rFonts w:hint="default"/>
        <w:lang w:val="en-US" w:eastAsia="en-US" w:bidi="ar-SA"/>
      </w:rPr>
    </w:lvl>
  </w:abstractNum>
  <w:abstractNum w:abstractNumId="217" w15:restartNumberingAfterBreak="0">
    <w:nsid w:val="7106561E"/>
    <w:multiLevelType w:val="singleLevel"/>
    <w:tmpl w:val="42DC725C"/>
    <w:lvl w:ilvl="0">
      <w:start w:val="1"/>
      <w:numFmt w:val="lowerLetter"/>
      <w:pStyle w:val="LettersTechniques"/>
      <w:lvlText w:val="(%1)"/>
      <w:lvlJc w:val="left"/>
      <w:pPr>
        <w:tabs>
          <w:tab w:val="num" w:pos="360"/>
        </w:tabs>
        <w:ind w:left="360" w:hanging="360"/>
      </w:pPr>
    </w:lvl>
  </w:abstractNum>
  <w:abstractNum w:abstractNumId="218" w15:restartNumberingAfterBreak="0">
    <w:nsid w:val="71290F2E"/>
    <w:multiLevelType w:val="hybridMultilevel"/>
    <w:tmpl w:val="1FA682DE"/>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71854C91"/>
    <w:multiLevelType w:val="hybridMultilevel"/>
    <w:tmpl w:val="C1D807B6"/>
    <w:lvl w:ilvl="0" w:tplc="15BAE3B4">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0" w15:restartNumberingAfterBreak="0">
    <w:nsid w:val="74453A0E"/>
    <w:multiLevelType w:val="multilevel"/>
    <w:tmpl w:val="6D6AFD96"/>
    <w:styleLink w:val="02SecondBullets"/>
    <w:lvl w:ilvl="0">
      <w:start w:val="1"/>
      <w:numFmt w:val="bullet"/>
      <w:lvlText w:val="◦"/>
      <w:lvlJc w:val="left"/>
      <w:pPr>
        <w:tabs>
          <w:tab w:val="num" w:pos="1134"/>
        </w:tabs>
        <w:ind w:left="1134" w:hanging="567"/>
      </w:pPr>
      <w:rPr>
        <w:rFonts w:ascii="Courier New" w:hAnsi="Courier New" w:hint="default"/>
        <w:sz w:val="22"/>
      </w:rPr>
    </w:lvl>
    <w:lvl w:ilvl="1">
      <w:start w:val="1"/>
      <w:numFmt w:val="bullet"/>
      <w:lvlText w:val="o"/>
      <w:lvlJc w:val="left"/>
      <w:pPr>
        <w:tabs>
          <w:tab w:val="num" w:pos="4219"/>
        </w:tabs>
        <w:ind w:left="4219" w:hanging="360"/>
      </w:pPr>
      <w:rPr>
        <w:rFonts w:ascii="Courier New" w:hAnsi="Courier New" w:cs="Courier New" w:hint="default"/>
      </w:rPr>
    </w:lvl>
    <w:lvl w:ilvl="2">
      <w:start w:val="1"/>
      <w:numFmt w:val="bullet"/>
      <w:lvlText w:val=""/>
      <w:lvlJc w:val="left"/>
      <w:pPr>
        <w:tabs>
          <w:tab w:val="num" w:pos="4939"/>
        </w:tabs>
        <w:ind w:left="4939" w:hanging="360"/>
      </w:pPr>
      <w:rPr>
        <w:rFonts w:ascii="Wingdings" w:hAnsi="Wingdings" w:hint="default"/>
      </w:rPr>
    </w:lvl>
    <w:lvl w:ilvl="3">
      <w:start w:val="1"/>
      <w:numFmt w:val="bullet"/>
      <w:lvlText w:val=""/>
      <w:lvlJc w:val="left"/>
      <w:pPr>
        <w:tabs>
          <w:tab w:val="num" w:pos="5659"/>
        </w:tabs>
        <w:ind w:left="5659" w:hanging="360"/>
      </w:pPr>
      <w:rPr>
        <w:rFonts w:ascii="Symbol" w:hAnsi="Symbol" w:hint="default"/>
      </w:rPr>
    </w:lvl>
    <w:lvl w:ilvl="4">
      <w:start w:val="1"/>
      <w:numFmt w:val="bullet"/>
      <w:lvlText w:val="o"/>
      <w:lvlJc w:val="left"/>
      <w:pPr>
        <w:tabs>
          <w:tab w:val="num" w:pos="6379"/>
        </w:tabs>
        <w:ind w:left="6379" w:hanging="360"/>
      </w:pPr>
      <w:rPr>
        <w:rFonts w:ascii="Courier New" w:hAnsi="Courier New" w:cs="Courier New" w:hint="default"/>
      </w:rPr>
    </w:lvl>
    <w:lvl w:ilvl="5">
      <w:start w:val="1"/>
      <w:numFmt w:val="bullet"/>
      <w:lvlText w:val=""/>
      <w:lvlJc w:val="left"/>
      <w:pPr>
        <w:tabs>
          <w:tab w:val="num" w:pos="7099"/>
        </w:tabs>
        <w:ind w:left="7099" w:hanging="360"/>
      </w:pPr>
      <w:rPr>
        <w:rFonts w:ascii="Wingdings" w:hAnsi="Wingdings" w:hint="default"/>
      </w:rPr>
    </w:lvl>
    <w:lvl w:ilvl="6">
      <w:start w:val="1"/>
      <w:numFmt w:val="bullet"/>
      <w:lvlText w:val=""/>
      <w:lvlJc w:val="left"/>
      <w:pPr>
        <w:tabs>
          <w:tab w:val="num" w:pos="7819"/>
        </w:tabs>
        <w:ind w:left="7819" w:hanging="360"/>
      </w:pPr>
      <w:rPr>
        <w:rFonts w:ascii="Symbol" w:hAnsi="Symbol" w:hint="default"/>
      </w:rPr>
    </w:lvl>
    <w:lvl w:ilvl="7">
      <w:start w:val="1"/>
      <w:numFmt w:val="bullet"/>
      <w:lvlText w:val="o"/>
      <w:lvlJc w:val="left"/>
      <w:pPr>
        <w:tabs>
          <w:tab w:val="num" w:pos="8539"/>
        </w:tabs>
        <w:ind w:left="8539" w:hanging="360"/>
      </w:pPr>
      <w:rPr>
        <w:rFonts w:ascii="Courier New" w:hAnsi="Courier New" w:cs="Courier New" w:hint="default"/>
      </w:rPr>
    </w:lvl>
    <w:lvl w:ilvl="8">
      <w:start w:val="1"/>
      <w:numFmt w:val="bullet"/>
      <w:lvlText w:val=""/>
      <w:lvlJc w:val="left"/>
      <w:pPr>
        <w:tabs>
          <w:tab w:val="num" w:pos="9259"/>
        </w:tabs>
        <w:ind w:left="9259" w:hanging="360"/>
      </w:pPr>
      <w:rPr>
        <w:rFonts w:ascii="Wingdings" w:hAnsi="Wingdings" w:hint="default"/>
      </w:rPr>
    </w:lvl>
  </w:abstractNum>
  <w:abstractNum w:abstractNumId="221" w15:restartNumberingAfterBreak="0">
    <w:nsid w:val="74553C02"/>
    <w:multiLevelType w:val="hybridMultilevel"/>
    <w:tmpl w:val="958E139E"/>
    <w:lvl w:ilvl="0" w:tplc="DDCA0DE6">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2" w15:restartNumberingAfterBreak="0">
    <w:nsid w:val="74EB3D18"/>
    <w:multiLevelType w:val="hybridMultilevel"/>
    <w:tmpl w:val="119E2774"/>
    <w:lvl w:ilvl="0" w:tplc="7700BCF6">
      <w:start w:val="1"/>
      <w:numFmt w:val="decimal"/>
      <w:lvlText w:val="%1."/>
      <w:lvlJc w:val="left"/>
      <w:pPr>
        <w:ind w:left="676" w:hanging="567"/>
      </w:pPr>
      <w:rPr>
        <w:rFonts w:ascii="Times New Roman" w:eastAsia="Times New Roman" w:hAnsi="Times New Roman" w:cs="Times New Roman" w:hint="default"/>
        <w:w w:val="100"/>
        <w:sz w:val="22"/>
        <w:szCs w:val="22"/>
        <w:lang w:val="en-US" w:eastAsia="en-US" w:bidi="ar-SA"/>
      </w:rPr>
    </w:lvl>
    <w:lvl w:ilvl="1" w:tplc="A6CA26FE">
      <w:numFmt w:val="bullet"/>
      <w:lvlText w:val="•"/>
      <w:lvlJc w:val="left"/>
      <w:pPr>
        <w:ind w:left="1148" w:hanging="567"/>
      </w:pPr>
      <w:rPr>
        <w:rFonts w:hint="default"/>
        <w:lang w:val="en-US" w:eastAsia="en-US" w:bidi="ar-SA"/>
      </w:rPr>
    </w:lvl>
    <w:lvl w:ilvl="2" w:tplc="46185DEA">
      <w:numFmt w:val="bullet"/>
      <w:lvlText w:val="•"/>
      <w:lvlJc w:val="left"/>
      <w:pPr>
        <w:ind w:left="1617" w:hanging="567"/>
      </w:pPr>
      <w:rPr>
        <w:rFonts w:hint="default"/>
        <w:lang w:val="en-US" w:eastAsia="en-US" w:bidi="ar-SA"/>
      </w:rPr>
    </w:lvl>
    <w:lvl w:ilvl="3" w:tplc="671E43A0">
      <w:numFmt w:val="bullet"/>
      <w:lvlText w:val="•"/>
      <w:lvlJc w:val="left"/>
      <w:pPr>
        <w:ind w:left="2085" w:hanging="567"/>
      </w:pPr>
      <w:rPr>
        <w:rFonts w:hint="default"/>
        <w:lang w:val="en-US" w:eastAsia="en-US" w:bidi="ar-SA"/>
      </w:rPr>
    </w:lvl>
    <w:lvl w:ilvl="4" w:tplc="B936C1FC">
      <w:numFmt w:val="bullet"/>
      <w:lvlText w:val="•"/>
      <w:lvlJc w:val="left"/>
      <w:pPr>
        <w:ind w:left="2554" w:hanging="567"/>
      </w:pPr>
      <w:rPr>
        <w:rFonts w:hint="default"/>
        <w:lang w:val="en-US" w:eastAsia="en-US" w:bidi="ar-SA"/>
      </w:rPr>
    </w:lvl>
    <w:lvl w:ilvl="5" w:tplc="783293DE">
      <w:numFmt w:val="bullet"/>
      <w:lvlText w:val="•"/>
      <w:lvlJc w:val="left"/>
      <w:pPr>
        <w:ind w:left="3022" w:hanging="567"/>
      </w:pPr>
      <w:rPr>
        <w:rFonts w:hint="default"/>
        <w:lang w:val="en-US" w:eastAsia="en-US" w:bidi="ar-SA"/>
      </w:rPr>
    </w:lvl>
    <w:lvl w:ilvl="6" w:tplc="2C8424EE">
      <w:numFmt w:val="bullet"/>
      <w:lvlText w:val="•"/>
      <w:lvlJc w:val="left"/>
      <w:pPr>
        <w:ind w:left="3491" w:hanging="567"/>
      </w:pPr>
      <w:rPr>
        <w:rFonts w:hint="default"/>
        <w:lang w:val="en-US" w:eastAsia="en-US" w:bidi="ar-SA"/>
      </w:rPr>
    </w:lvl>
    <w:lvl w:ilvl="7" w:tplc="1130D454">
      <w:numFmt w:val="bullet"/>
      <w:lvlText w:val="•"/>
      <w:lvlJc w:val="left"/>
      <w:pPr>
        <w:ind w:left="3959" w:hanging="567"/>
      </w:pPr>
      <w:rPr>
        <w:rFonts w:hint="default"/>
        <w:lang w:val="en-US" w:eastAsia="en-US" w:bidi="ar-SA"/>
      </w:rPr>
    </w:lvl>
    <w:lvl w:ilvl="8" w:tplc="3A90F778">
      <w:numFmt w:val="bullet"/>
      <w:lvlText w:val="•"/>
      <w:lvlJc w:val="left"/>
      <w:pPr>
        <w:ind w:left="4428" w:hanging="567"/>
      </w:pPr>
      <w:rPr>
        <w:rFonts w:hint="default"/>
        <w:lang w:val="en-US" w:eastAsia="en-US" w:bidi="ar-SA"/>
      </w:rPr>
    </w:lvl>
  </w:abstractNum>
  <w:abstractNum w:abstractNumId="223" w15:restartNumberingAfterBreak="0">
    <w:nsid w:val="7660042D"/>
    <w:multiLevelType w:val="hybridMultilevel"/>
    <w:tmpl w:val="179C4006"/>
    <w:lvl w:ilvl="0" w:tplc="82487810">
      <w:start w:val="1"/>
      <w:numFmt w:val="upperRoman"/>
      <w:lvlText w:val="%1."/>
      <w:lvlJc w:val="left"/>
      <w:pPr>
        <w:ind w:left="720" w:hanging="720"/>
      </w:pPr>
      <w:rPr>
        <w:rFonts w:hint="default"/>
      </w:rPr>
    </w:lvl>
    <w:lvl w:ilvl="1" w:tplc="8404F568">
      <w:start w:val="1"/>
      <w:numFmt w:val="lowerLetter"/>
      <w:lvlText w:val="(%2)"/>
      <w:lvlJc w:val="left"/>
      <w:pPr>
        <w:ind w:left="1440" w:hanging="360"/>
      </w:pPr>
      <w:rPr>
        <w:rFonts w:hint="default"/>
        <w:b w:val="0"/>
        <w:color w:val="auto"/>
        <w:sz w:val="24"/>
        <w:szCs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4" w15:restartNumberingAfterBreak="0">
    <w:nsid w:val="76626E25"/>
    <w:multiLevelType w:val="hybridMultilevel"/>
    <w:tmpl w:val="7CDA43F6"/>
    <w:lvl w:ilvl="0" w:tplc="076C3B6E">
      <w:start w:val="1"/>
      <w:numFmt w:val="decimal"/>
      <w:lvlText w:val="(%1)"/>
      <w:lvlJc w:val="left"/>
      <w:pPr>
        <w:ind w:left="333" w:hanging="226"/>
      </w:pPr>
      <w:rPr>
        <w:rFonts w:ascii="Times New Roman" w:eastAsia="Times New Roman" w:hAnsi="Times New Roman" w:cs="Times New Roman" w:hint="default"/>
        <w:spacing w:val="-4"/>
        <w:w w:val="99"/>
        <w:sz w:val="18"/>
        <w:szCs w:val="18"/>
        <w:lang w:val="en-US" w:eastAsia="en-US" w:bidi="ar-SA"/>
      </w:rPr>
    </w:lvl>
    <w:lvl w:ilvl="1" w:tplc="4C221A8C">
      <w:numFmt w:val="bullet"/>
      <w:lvlText w:val="•"/>
      <w:lvlJc w:val="left"/>
      <w:pPr>
        <w:ind w:left="1130" w:hanging="226"/>
      </w:pPr>
      <w:rPr>
        <w:rFonts w:hint="default"/>
        <w:lang w:val="en-US" w:eastAsia="en-US" w:bidi="ar-SA"/>
      </w:rPr>
    </w:lvl>
    <w:lvl w:ilvl="2" w:tplc="EF30BAB8">
      <w:numFmt w:val="bullet"/>
      <w:lvlText w:val="•"/>
      <w:lvlJc w:val="left"/>
      <w:pPr>
        <w:ind w:left="1921" w:hanging="226"/>
      </w:pPr>
      <w:rPr>
        <w:rFonts w:hint="default"/>
        <w:lang w:val="en-US" w:eastAsia="en-US" w:bidi="ar-SA"/>
      </w:rPr>
    </w:lvl>
    <w:lvl w:ilvl="3" w:tplc="99B2EE64">
      <w:numFmt w:val="bullet"/>
      <w:lvlText w:val="•"/>
      <w:lvlJc w:val="left"/>
      <w:pPr>
        <w:ind w:left="2712" w:hanging="226"/>
      </w:pPr>
      <w:rPr>
        <w:rFonts w:hint="default"/>
        <w:lang w:val="en-US" w:eastAsia="en-US" w:bidi="ar-SA"/>
      </w:rPr>
    </w:lvl>
    <w:lvl w:ilvl="4" w:tplc="F522AF4C">
      <w:numFmt w:val="bullet"/>
      <w:lvlText w:val="•"/>
      <w:lvlJc w:val="left"/>
      <w:pPr>
        <w:ind w:left="3503" w:hanging="226"/>
      </w:pPr>
      <w:rPr>
        <w:rFonts w:hint="default"/>
        <w:lang w:val="en-US" w:eastAsia="en-US" w:bidi="ar-SA"/>
      </w:rPr>
    </w:lvl>
    <w:lvl w:ilvl="5" w:tplc="AA249916">
      <w:numFmt w:val="bullet"/>
      <w:lvlText w:val="•"/>
      <w:lvlJc w:val="left"/>
      <w:pPr>
        <w:ind w:left="4294" w:hanging="226"/>
      </w:pPr>
      <w:rPr>
        <w:rFonts w:hint="default"/>
        <w:lang w:val="en-US" w:eastAsia="en-US" w:bidi="ar-SA"/>
      </w:rPr>
    </w:lvl>
    <w:lvl w:ilvl="6" w:tplc="834A26DE">
      <w:numFmt w:val="bullet"/>
      <w:lvlText w:val="•"/>
      <w:lvlJc w:val="left"/>
      <w:pPr>
        <w:ind w:left="5084" w:hanging="226"/>
      </w:pPr>
      <w:rPr>
        <w:rFonts w:hint="default"/>
        <w:lang w:val="en-US" w:eastAsia="en-US" w:bidi="ar-SA"/>
      </w:rPr>
    </w:lvl>
    <w:lvl w:ilvl="7" w:tplc="72E06E68">
      <w:numFmt w:val="bullet"/>
      <w:lvlText w:val="•"/>
      <w:lvlJc w:val="left"/>
      <w:pPr>
        <w:ind w:left="5875" w:hanging="226"/>
      </w:pPr>
      <w:rPr>
        <w:rFonts w:hint="default"/>
        <w:lang w:val="en-US" w:eastAsia="en-US" w:bidi="ar-SA"/>
      </w:rPr>
    </w:lvl>
    <w:lvl w:ilvl="8" w:tplc="1C0EAEBA">
      <w:numFmt w:val="bullet"/>
      <w:lvlText w:val="•"/>
      <w:lvlJc w:val="left"/>
      <w:pPr>
        <w:ind w:left="6666" w:hanging="226"/>
      </w:pPr>
      <w:rPr>
        <w:rFonts w:hint="default"/>
        <w:lang w:val="en-US" w:eastAsia="en-US" w:bidi="ar-SA"/>
      </w:rPr>
    </w:lvl>
  </w:abstractNum>
  <w:abstractNum w:abstractNumId="225" w15:restartNumberingAfterBreak="0">
    <w:nsid w:val="766723EE"/>
    <w:multiLevelType w:val="multilevel"/>
    <w:tmpl w:val="7F86DD86"/>
    <w:styleLink w:val="GeerliListe211"/>
    <w:lvl w:ilvl="0">
      <w:start w:val="1"/>
      <w:numFmt w:val="decimal"/>
      <w:lvlText w:val="1.%1"/>
      <w:lvlJc w:val="left"/>
      <w:pPr>
        <w:ind w:left="432" w:hanging="432"/>
      </w:pPr>
      <w:rPr>
        <w:rFonts w:hint="default"/>
      </w:rPr>
    </w:lvl>
    <w:lvl w:ilvl="1">
      <w:start w:val="1"/>
      <w:numFmt w:val="none"/>
      <w:lvlText w:val="1.1.1"/>
      <w:lvlJc w:val="left"/>
      <w:pPr>
        <w:ind w:left="666" w:hanging="576"/>
      </w:pPr>
      <w:rPr>
        <w:rFonts w:hint="default"/>
      </w:rPr>
    </w:lvl>
    <w:lvl w:ilvl="2">
      <w:start w:val="1"/>
      <w:numFmt w:val="decimal"/>
      <w:lvlText w:val="%1.1%2.1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6" w15:restartNumberingAfterBreak="0">
    <w:nsid w:val="77501BC6"/>
    <w:multiLevelType w:val="hybridMultilevel"/>
    <w:tmpl w:val="53B81E5E"/>
    <w:lvl w:ilvl="0" w:tplc="B2C83AFE">
      <w:start w:val="1"/>
      <w:numFmt w:val="lowerLetter"/>
      <w:lvlText w:val="%1)"/>
      <w:lvlJc w:val="left"/>
      <w:pPr>
        <w:ind w:left="259" w:hanging="206"/>
      </w:pPr>
      <w:rPr>
        <w:rFonts w:ascii="Times New Roman" w:eastAsia="Times New Roman" w:hAnsi="Times New Roman" w:cs="Times New Roman" w:hint="default"/>
        <w:w w:val="100"/>
        <w:sz w:val="20"/>
        <w:szCs w:val="20"/>
        <w:lang w:val="en-US" w:eastAsia="en-US" w:bidi="ar-SA"/>
      </w:rPr>
    </w:lvl>
    <w:lvl w:ilvl="1" w:tplc="950673A0">
      <w:numFmt w:val="bullet"/>
      <w:lvlText w:val="•"/>
      <w:lvlJc w:val="left"/>
      <w:pPr>
        <w:ind w:left="680" w:hanging="206"/>
      </w:pPr>
      <w:rPr>
        <w:rFonts w:hint="default"/>
        <w:lang w:val="en-US" w:eastAsia="en-US" w:bidi="ar-SA"/>
      </w:rPr>
    </w:lvl>
    <w:lvl w:ilvl="2" w:tplc="2FE6CF32">
      <w:numFmt w:val="bullet"/>
      <w:lvlText w:val="•"/>
      <w:lvlJc w:val="left"/>
      <w:pPr>
        <w:ind w:left="1100" w:hanging="206"/>
      </w:pPr>
      <w:rPr>
        <w:rFonts w:hint="default"/>
        <w:lang w:val="en-US" w:eastAsia="en-US" w:bidi="ar-SA"/>
      </w:rPr>
    </w:lvl>
    <w:lvl w:ilvl="3" w:tplc="2D848390">
      <w:numFmt w:val="bullet"/>
      <w:lvlText w:val="•"/>
      <w:lvlJc w:val="left"/>
      <w:pPr>
        <w:ind w:left="1521" w:hanging="206"/>
      </w:pPr>
      <w:rPr>
        <w:rFonts w:hint="default"/>
        <w:lang w:val="en-US" w:eastAsia="en-US" w:bidi="ar-SA"/>
      </w:rPr>
    </w:lvl>
    <w:lvl w:ilvl="4" w:tplc="BE5E9768">
      <w:numFmt w:val="bullet"/>
      <w:lvlText w:val="•"/>
      <w:lvlJc w:val="left"/>
      <w:pPr>
        <w:ind w:left="1941" w:hanging="206"/>
      </w:pPr>
      <w:rPr>
        <w:rFonts w:hint="default"/>
        <w:lang w:val="en-US" w:eastAsia="en-US" w:bidi="ar-SA"/>
      </w:rPr>
    </w:lvl>
    <w:lvl w:ilvl="5" w:tplc="D9E23C0E">
      <w:numFmt w:val="bullet"/>
      <w:lvlText w:val="•"/>
      <w:lvlJc w:val="left"/>
      <w:pPr>
        <w:ind w:left="2362" w:hanging="206"/>
      </w:pPr>
      <w:rPr>
        <w:rFonts w:hint="default"/>
        <w:lang w:val="en-US" w:eastAsia="en-US" w:bidi="ar-SA"/>
      </w:rPr>
    </w:lvl>
    <w:lvl w:ilvl="6" w:tplc="510243F8">
      <w:numFmt w:val="bullet"/>
      <w:lvlText w:val="•"/>
      <w:lvlJc w:val="left"/>
      <w:pPr>
        <w:ind w:left="2782" w:hanging="206"/>
      </w:pPr>
      <w:rPr>
        <w:rFonts w:hint="default"/>
        <w:lang w:val="en-US" w:eastAsia="en-US" w:bidi="ar-SA"/>
      </w:rPr>
    </w:lvl>
    <w:lvl w:ilvl="7" w:tplc="D124096A">
      <w:numFmt w:val="bullet"/>
      <w:lvlText w:val="•"/>
      <w:lvlJc w:val="left"/>
      <w:pPr>
        <w:ind w:left="3202" w:hanging="206"/>
      </w:pPr>
      <w:rPr>
        <w:rFonts w:hint="default"/>
        <w:lang w:val="en-US" w:eastAsia="en-US" w:bidi="ar-SA"/>
      </w:rPr>
    </w:lvl>
    <w:lvl w:ilvl="8" w:tplc="7E3AED92">
      <w:numFmt w:val="bullet"/>
      <w:lvlText w:val="•"/>
      <w:lvlJc w:val="left"/>
      <w:pPr>
        <w:ind w:left="3623" w:hanging="206"/>
      </w:pPr>
      <w:rPr>
        <w:rFonts w:hint="default"/>
        <w:lang w:val="en-US" w:eastAsia="en-US" w:bidi="ar-SA"/>
      </w:rPr>
    </w:lvl>
  </w:abstractNum>
  <w:abstractNum w:abstractNumId="227" w15:restartNumberingAfterBreak="0">
    <w:nsid w:val="779604C0"/>
    <w:multiLevelType w:val="hybridMultilevel"/>
    <w:tmpl w:val="805A8EB0"/>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8" w15:restartNumberingAfterBreak="0">
    <w:nsid w:val="77E72972"/>
    <w:multiLevelType w:val="hybridMultilevel"/>
    <w:tmpl w:val="514ADCCA"/>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8470521"/>
    <w:multiLevelType w:val="hybridMultilevel"/>
    <w:tmpl w:val="FD3A5A12"/>
    <w:lvl w:ilvl="0" w:tplc="F7BC8E98">
      <w:start w:val="1"/>
      <w:numFmt w:val="lowerLetter"/>
      <w:lvlText w:val="(%1)"/>
      <w:lvlJc w:val="left"/>
      <w:pPr>
        <w:ind w:left="1440" w:hanging="360"/>
      </w:pPr>
      <w:rPr>
        <w:rFonts w:ascii="Times New Roman" w:eastAsia="Times New Roman" w:hAnsi="Times New Roman" w:cs="Times New Roman" w:hint="default"/>
        <w:spacing w:val="-2"/>
        <w:w w:val="99"/>
        <w:sz w:val="24"/>
        <w:szCs w:val="24"/>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0" w15:restartNumberingAfterBreak="0">
    <w:nsid w:val="785776DB"/>
    <w:multiLevelType w:val="hybridMultilevel"/>
    <w:tmpl w:val="3A4CCD06"/>
    <w:lvl w:ilvl="0" w:tplc="82487810">
      <w:start w:val="1"/>
      <w:numFmt w:val="upperRoman"/>
      <w:lvlText w:val="%1."/>
      <w:lvlJc w:val="left"/>
      <w:pPr>
        <w:ind w:left="720" w:hanging="720"/>
      </w:pPr>
      <w:rPr>
        <w:rFonts w:hint="default"/>
      </w:rPr>
    </w:lvl>
    <w:lvl w:ilvl="1" w:tplc="1C32F7F4">
      <w:start w:val="1"/>
      <w:numFmt w:val="lowerLetter"/>
      <w:lvlText w:val="(%2)"/>
      <w:lvlJc w:val="left"/>
      <w:pPr>
        <w:ind w:left="1440" w:hanging="360"/>
      </w:pPr>
      <w:rPr>
        <w:rFonts w:hint="default"/>
        <w:sz w:val="24"/>
        <w:szCs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1" w15:restartNumberingAfterBreak="0">
    <w:nsid w:val="786E6F99"/>
    <w:multiLevelType w:val="hybridMultilevel"/>
    <w:tmpl w:val="35705FE0"/>
    <w:lvl w:ilvl="0" w:tplc="4AEEE654">
      <w:start w:val="1"/>
      <w:numFmt w:val="decimal"/>
      <w:lvlText w:val="(%1)"/>
      <w:lvlJc w:val="left"/>
      <w:pPr>
        <w:ind w:left="344" w:hanging="270"/>
      </w:pPr>
      <w:rPr>
        <w:rFonts w:ascii="Times New Roman" w:eastAsia="Times New Roman" w:hAnsi="Times New Roman" w:cs="Times New Roman" w:hint="default"/>
        <w:spacing w:val="-2"/>
        <w:w w:val="100"/>
        <w:sz w:val="18"/>
        <w:szCs w:val="18"/>
        <w:lang w:val="en-US" w:eastAsia="en-US" w:bidi="ar-SA"/>
      </w:rPr>
    </w:lvl>
    <w:lvl w:ilvl="1" w:tplc="CEC29CAA">
      <w:numFmt w:val="bullet"/>
      <w:lvlText w:val="•"/>
      <w:lvlJc w:val="left"/>
      <w:pPr>
        <w:ind w:left="1169" w:hanging="270"/>
      </w:pPr>
      <w:rPr>
        <w:rFonts w:hint="default"/>
        <w:lang w:val="en-US" w:eastAsia="en-US" w:bidi="ar-SA"/>
      </w:rPr>
    </w:lvl>
    <w:lvl w:ilvl="2" w:tplc="A8F66B40">
      <w:numFmt w:val="bullet"/>
      <w:lvlText w:val="•"/>
      <w:lvlJc w:val="left"/>
      <w:pPr>
        <w:ind w:left="1998" w:hanging="270"/>
      </w:pPr>
      <w:rPr>
        <w:rFonts w:hint="default"/>
        <w:lang w:val="en-US" w:eastAsia="en-US" w:bidi="ar-SA"/>
      </w:rPr>
    </w:lvl>
    <w:lvl w:ilvl="3" w:tplc="DA04726E">
      <w:numFmt w:val="bullet"/>
      <w:lvlText w:val="•"/>
      <w:lvlJc w:val="left"/>
      <w:pPr>
        <w:ind w:left="2827" w:hanging="270"/>
      </w:pPr>
      <w:rPr>
        <w:rFonts w:hint="default"/>
        <w:lang w:val="en-US" w:eastAsia="en-US" w:bidi="ar-SA"/>
      </w:rPr>
    </w:lvl>
    <w:lvl w:ilvl="4" w:tplc="693CB4B4">
      <w:numFmt w:val="bullet"/>
      <w:lvlText w:val="•"/>
      <w:lvlJc w:val="left"/>
      <w:pPr>
        <w:ind w:left="3656" w:hanging="270"/>
      </w:pPr>
      <w:rPr>
        <w:rFonts w:hint="default"/>
        <w:lang w:val="en-US" w:eastAsia="en-US" w:bidi="ar-SA"/>
      </w:rPr>
    </w:lvl>
    <w:lvl w:ilvl="5" w:tplc="ECEEED7C">
      <w:numFmt w:val="bullet"/>
      <w:lvlText w:val="•"/>
      <w:lvlJc w:val="left"/>
      <w:pPr>
        <w:ind w:left="4486" w:hanging="270"/>
      </w:pPr>
      <w:rPr>
        <w:rFonts w:hint="default"/>
        <w:lang w:val="en-US" w:eastAsia="en-US" w:bidi="ar-SA"/>
      </w:rPr>
    </w:lvl>
    <w:lvl w:ilvl="6" w:tplc="4B9046F0">
      <w:numFmt w:val="bullet"/>
      <w:lvlText w:val="•"/>
      <w:lvlJc w:val="left"/>
      <w:pPr>
        <w:ind w:left="5315" w:hanging="270"/>
      </w:pPr>
      <w:rPr>
        <w:rFonts w:hint="default"/>
        <w:lang w:val="en-US" w:eastAsia="en-US" w:bidi="ar-SA"/>
      </w:rPr>
    </w:lvl>
    <w:lvl w:ilvl="7" w:tplc="D3389904">
      <w:numFmt w:val="bullet"/>
      <w:lvlText w:val="•"/>
      <w:lvlJc w:val="left"/>
      <w:pPr>
        <w:ind w:left="6144" w:hanging="270"/>
      </w:pPr>
      <w:rPr>
        <w:rFonts w:hint="default"/>
        <w:lang w:val="en-US" w:eastAsia="en-US" w:bidi="ar-SA"/>
      </w:rPr>
    </w:lvl>
    <w:lvl w:ilvl="8" w:tplc="A718D4AE">
      <w:numFmt w:val="bullet"/>
      <w:lvlText w:val="•"/>
      <w:lvlJc w:val="left"/>
      <w:pPr>
        <w:ind w:left="6973" w:hanging="270"/>
      </w:pPr>
      <w:rPr>
        <w:rFonts w:hint="default"/>
        <w:lang w:val="en-US" w:eastAsia="en-US" w:bidi="ar-SA"/>
      </w:rPr>
    </w:lvl>
  </w:abstractNum>
  <w:abstractNum w:abstractNumId="232" w15:restartNumberingAfterBreak="0">
    <w:nsid w:val="78BE5519"/>
    <w:multiLevelType w:val="hybridMultilevel"/>
    <w:tmpl w:val="E0629A2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3" w15:restartNumberingAfterBreak="0">
    <w:nsid w:val="794C3126"/>
    <w:multiLevelType w:val="hybridMultilevel"/>
    <w:tmpl w:val="75629FBC"/>
    <w:lvl w:ilvl="0" w:tplc="4858A5B4">
      <w:start w:val="1"/>
      <w:numFmt w:val="decimal"/>
      <w:lvlText w:val="(%1)"/>
      <w:lvlJc w:val="left"/>
      <w:pPr>
        <w:ind w:left="359" w:hanging="277"/>
      </w:pPr>
      <w:rPr>
        <w:rFonts w:ascii="Times New Roman" w:eastAsia="Times New Roman" w:hAnsi="Times New Roman" w:cs="Times New Roman" w:hint="default"/>
        <w:spacing w:val="-23"/>
        <w:w w:val="100"/>
        <w:sz w:val="18"/>
        <w:szCs w:val="18"/>
        <w:lang w:val="en-US" w:eastAsia="en-US" w:bidi="ar-SA"/>
      </w:rPr>
    </w:lvl>
    <w:lvl w:ilvl="1" w:tplc="77D6B3B8">
      <w:numFmt w:val="bullet"/>
      <w:lvlText w:val="•"/>
      <w:lvlJc w:val="left"/>
      <w:pPr>
        <w:ind w:left="1194" w:hanging="277"/>
      </w:pPr>
      <w:rPr>
        <w:rFonts w:hint="default"/>
        <w:lang w:val="en-US" w:eastAsia="en-US" w:bidi="ar-SA"/>
      </w:rPr>
    </w:lvl>
    <w:lvl w:ilvl="2" w:tplc="2712496E">
      <w:numFmt w:val="bullet"/>
      <w:lvlText w:val="•"/>
      <w:lvlJc w:val="left"/>
      <w:pPr>
        <w:ind w:left="2029" w:hanging="277"/>
      </w:pPr>
      <w:rPr>
        <w:rFonts w:hint="default"/>
        <w:lang w:val="en-US" w:eastAsia="en-US" w:bidi="ar-SA"/>
      </w:rPr>
    </w:lvl>
    <w:lvl w:ilvl="3" w:tplc="8BAE0A06">
      <w:numFmt w:val="bullet"/>
      <w:lvlText w:val="•"/>
      <w:lvlJc w:val="left"/>
      <w:pPr>
        <w:ind w:left="2864" w:hanging="277"/>
      </w:pPr>
      <w:rPr>
        <w:rFonts w:hint="default"/>
        <w:lang w:val="en-US" w:eastAsia="en-US" w:bidi="ar-SA"/>
      </w:rPr>
    </w:lvl>
    <w:lvl w:ilvl="4" w:tplc="EE8E6B00">
      <w:numFmt w:val="bullet"/>
      <w:lvlText w:val="•"/>
      <w:lvlJc w:val="left"/>
      <w:pPr>
        <w:ind w:left="3699" w:hanging="277"/>
      </w:pPr>
      <w:rPr>
        <w:rFonts w:hint="default"/>
        <w:lang w:val="en-US" w:eastAsia="en-US" w:bidi="ar-SA"/>
      </w:rPr>
    </w:lvl>
    <w:lvl w:ilvl="5" w:tplc="3BC08ECA">
      <w:numFmt w:val="bullet"/>
      <w:lvlText w:val="•"/>
      <w:lvlJc w:val="left"/>
      <w:pPr>
        <w:ind w:left="4534" w:hanging="277"/>
      </w:pPr>
      <w:rPr>
        <w:rFonts w:hint="default"/>
        <w:lang w:val="en-US" w:eastAsia="en-US" w:bidi="ar-SA"/>
      </w:rPr>
    </w:lvl>
    <w:lvl w:ilvl="6" w:tplc="75A269D8">
      <w:numFmt w:val="bullet"/>
      <w:lvlText w:val="•"/>
      <w:lvlJc w:val="left"/>
      <w:pPr>
        <w:ind w:left="5369" w:hanging="277"/>
      </w:pPr>
      <w:rPr>
        <w:rFonts w:hint="default"/>
        <w:lang w:val="en-US" w:eastAsia="en-US" w:bidi="ar-SA"/>
      </w:rPr>
    </w:lvl>
    <w:lvl w:ilvl="7" w:tplc="251C0542">
      <w:numFmt w:val="bullet"/>
      <w:lvlText w:val="•"/>
      <w:lvlJc w:val="left"/>
      <w:pPr>
        <w:ind w:left="6204" w:hanging="277"/>
      </w:pPr>
      <w:rPr>
        <w:rFonts w:hint="default"/>
        <w:lang w:val="en-US" w:eastAsia="en-US" w:bidi="ar-SA"/>
      </w:rPr>
    </w:lvl>
    <w:lvl w:ilvl="8" w:tplc="2848D588">
      <w:numFmt w:val="bullet"/>
      <w:lvlText w:val="•"/>
      <w:lvlJc w:val="left"/>
      <w:pPr>
        <w:ind w:left="7039" w:hanging="277"/>
      </w:pPr>
      <w:rPr>
        <w:rFonts w:hint="default"/>
        <w:lang w:val="en-US" w:eastAsia="en-US" w:bidi="ar-SA"/>
      </w:rPr>
    </w:lvl>
  </w:abstractNum>
  <w:abstractNum w:abstractNumId="234" w15:restartNumberingAfterBreak="0">
    <w:nsid w:val="798A03F5"/>
    <w:multiLevelType w:val="hybridMultilevel"/>
    <w:tmpl w:val="7A5CBEE4"/>
    <w:lvl w:ilvl="0" w:tplc="FFFFFFFF">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5" w15:restartNumberingAfterBreak="0">
    <w:nsid w:val="79B5627D"/>
    <w:multiLevelType w:val="hybridMultilevel"/>
    <w:tmpl w:val="598E3178"/>
    <w:lvl w:ilvl="0" w:tplc="C24A2B5E">
      <w:start w:val="1"/>
      <w:numFmt w:val="decimal"/>
      <w:lvlText w:val="(%1)"/>
      <w:lvlJc w:val="left"/>
      <w:pPr>
        <w:ind w:left="333" w:hanging="226"/>
      </w:pPr>
      <w:rPr>
        <w:rFonts w:ascii="Times New Roman" w:eastAsia="Times New Roman" w:hAnsi="Times New Roman" w:cs="Times New Roman" w:hint="default"/>
        <w:spacing w:val="-4"/>
        <w:w w:val="99"/>
        <w:sz w:val="18"/>
        <w:szCs w:val="18"/>
        <w:lang w:val="en-US" w:eastAsia="en-US" w:bidi="ar-SA"/>
      </w:rPr>
    </w:lvl>
    <w:lvl w:ilvl="1" w:tplc="FD1CC60C">
      <w:numFmt w:val="bullet"/>
      <w:lvlText w:val="•"/>
      <w:lvlJc w:val="left"/>
      <w:pPr>
        <w:ind w:left="1177" w:hanging="226"/>
      </w:pPr>
      <w:rPr>
        <w:rFonts w:hint="default"/>
        <w:lang w:val="en-US" w:eastAsia="en-US" w:bidi="ar-SA"/>
      </w:rPr>
    </w:lvl>
    <w:lvl w:ilvl="2" w:tplc="45AAF05A">
      <w:numFmt w:val="bullet"/>
      <w:lvlText w:val="•"/>
      <w:lvlJc w:val="left"/>
      <w:pPr>
        <w:ind w:left="2014" w:hanging="226"/>
      </w:pPr>
      <w:rPr>
        <w:rFonts w:hint="default"/>
        <w:lang w:val="en-US" w:eastAsia="en-US" w:bidi="ar-SA"/>
      </w:rPr>
    </w:lvl>
    <w:lvl w:ilvl="3" w:tplc="498E5720">
      <w:numFmt w:val="bullet"/>
      <w:lvlText w:val="•"/>
      <w:lvlJc w:val="left"/>
      <w:pPr>
        <w:ind w:left="2852" w:hanging="226"/>
      </w:pPr>
      <w:rPr>
        <w:rFonts w:hint="default"/>
        <w:lang w:val="en-US" w:eastAsia="en-US" w:bidi="ar-SA"/>
      </w:rPr>
    </w:lvl>
    <w:lvl w:ilvl="4" w:tplc="E564BD3E">
      <w:numFmt w:val="bullet"/>
      <w:lvlText w:val="•"/>
      <w:lvlJc w:val="left"/>
      <w:pPr>
        <w:ind w:left="3689" w:hanging="226"/>
      </w:pPr>
      <w:rPr>
        <w:rFonts w:hint="default"/>
        <w:lang w:val="en-US" w:eastAsia="en-US" w:bidi="ar-SA"/>
      </w:rPr>
    </w:lvl>
    <w:lvl w:ilvl="5" w:tplc="9B8AA6F2">
      <w:numFmt w:val="bullet"/>
      <w:lvlText w:val="•"/>
      <w:lvlJc w:val="left"/>
      <w:pPr>
        <w:ind w:left="4527" w:hanging="226"/>
      </w:pPr>
      <w:rPr>
        <w:rFonts w:hint="default"/>
        <w:lang w:val="en-US" w:eastAsia="en-US" w:bidi="ar-SA"/>
      </w:rPr>
    </w:lvl>
    <w:lvl w:ilvl="6" w:tplc="299C94C4">
      <w:numFmt w:val="bullet"/>
      <w:lvlText w:val="•"/>
      <w:lvlJc w:val="left"/>
      <w:pPr>
        <w:ind w:left="5364" w:hanging="226"/>
      </w:pPr>
      <w:rPr>
        <w:rFonts w:hint="default"/>
        <w:lang w:val="en-US" w:eastAsia="en-US" w:bidi="ar-SA"/>
      </w:rPr>
    </w:lvl>
    <w:lvl w:ilvl="7" w:tplc="8C7AC41A">
      <w:numFmt w:val="bullet"/>
      <w:lvlText w:val="•"/>
      <w:lvlJc w:val="left"/>
      <w:pPr>
        <w:ind w:left="6201" w:hanging="226"/>
      </w:pPr>
      <w:rPr>
        <w:rFonts w:hint="default"/>
        <w:lang w:val="en-US" w:eastAsia="en-US" w:bidi="ar-SA"/>
      </w:rPr>
    </w:lvl>
    <w:lvl w:ilvl="8" w:tplc="C0040F9A">
      <w:numFmt w:val="bullet"/>
      <w:lvlText w:val="•"/>
      <w:lvlJc w:val="left"/>
      <w:pPr>
        <w:ind w:left="7039" w:hanging="226"/>
      </w:pPr>
      <w:rPr>
        <w:rFonts w:hint="default"/>
        <w:lang w:val="en-US" w:eastAsia="en-US" w:bidi="ar-SA"/>
      </w:rPr>
    </w:lvl>
  </w:abstractNum>
  <w:abstractNum w:abstractNumId="236" w15:restartNumberingAfterBreak="0">
    <w:nsid w:val="79B60C90"/>
    <w:multiLevelType w:val="hybridMultilevel"/>
    <w:tmpl w:val="73145E34"/>
    <w:lvl w:ilvl="0" w:tplc="7E7E04A0">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7" w15:restartNumberingAfterBreak="0">
    <w:nsid w:val="79DB1282"/>
    <w:multiLevelType w:val="hybridMultilevel"/>
    <w:tmpl w:val="66E4CE28"/>
    <w:lvl w:ilvl="0" w:tplc="E7E4DB3E">
      <w:start w:val="1"/>
      <w:numFmt w:val="decimal"/>
      <w:lvlText w:val="(%1)"/>
      <w:lvlJc w:val="left"/>
      <w:pPr>
        <w:ind w:left="369" w:hanging="236"/>
      </w:pPr>
      <w:rPr>
        <w:rFonts w:ascii="Times New Roman" w:eastAsia="Times New Roman" w:hAnsi="Times New Roman" w:cs="Times New Roman" w:hint="default"/>
        <w:w w:val="100"/>
        <w:sz w:val="18"/>
        <w:szCs w:val="18"/>
        <w:lang w:val="en-US" w:eastAsia="en-US" w:bidi="ar-SA"/>
      </w:rPr>
    </w:lvl>
    <w:lvl w:ilvl="1" w:tplc="6B2CFB66">
      <w:numFmt w:val="bullet"/>
      <w:lvlText w:val="•"/>
      <w:lvlJc w:val="left"/>
      <w:pPr>
        <w:ind w:left="1175" w:hanging="236"/>
      </w:pPr>
      <w:rPr>
        <w:rFonts w:hint="default"/>
        <w:lang w:val="en-US" w:eastAsia="en-US" w:bidi="ar-SA"/>
      </w:rPr>
    </w:lvl>
    <w:lvl w:ilvl="2" w:tplc="2BD62C8A">
      <w:numFmt w:val="bullet"/>
      <w:lvlText w:val="•"/>
      <w:lvlJc w:val="left"/>
      <w:pPr>
        <w:ind w:left="1990" w:hanging="236"/>
      </w:pPr>
      <w:rPr>
        <w:rFonts w:hint="default"/>
        <w:lang w:val="en-US" w:eastAsia="en-US" w:bidi="ar-SA"/>
      </w:rPr>
    </w:lvl>
    <w:lvl w:ilvl="3" w:tplc="3362C402">
      <w:numFmt w:val="bullet"/>
      <w:lvlText w:val="•"/>
      <w:lvlJc w:val="left"/>
      <w:pPr>
        <w:ind w:left="2806" w:hanging="236"/>
      </w:pPr>
      <w:rPr>
        <w:rFonts w:hint="default"/>
        <w:lang w:val="en-US" w:eastAsia="en-US" w:bidi="ar-SA"/>
      </w:rPr>
    </w:lvl>
    <w:lvl w:ilvl="4" w:tplc="2A56962A">
      <w:numFmt w:val="bullet"/>
      <w:lvlText w:val="•"/>
      <w:lvlJc w:val="left"/>
      <w:pPr>
        <w:ind w:left="3621" w:hanging="236"/>
      </w:pPr>
      <w:rPr>
        <w:rFonts w:hint="default"/>
        <w:lang w:val="en-US" w:eastAsia="en-US" w:bidi="ar-SA"/>
      </w:rPr>
    </w:lvl>
    <w:lvl w:ilvl="5" w:tplc="3E9083FC">
      <w:numFmt w:val="bullet"/>
      <w:lvlText w:val="•"/>
      <w:lvlJc w:val="left"/>
      <w:pPr>
        <w:ind w:left="4437" w:hanging="236"/>
      </w:pPr>
      <w:rPr>
        <w:rFonts w:hint="default"/>
        <w:lang w:val="en-US" w:eastAsia="en-US" w:bidi="ar-SA"/>
      </w:rPr>
    </w:lvl>
    <w:lvl w:ilvl="6" w:tplc="F280B76E">
      <w:numFmt w:val="bullet"/>
      <w:lvlText w:val="•"/>
      <w:lvlJc w:val="left"/>
      <w:pPr>
        <w:ind w:left="5252" w:hanging="236"/>
      </w:pPr>
      <w:rPr>
        <w:rFonts w:hint="default"/>
        <w:lang w:val="en-US" w:eastAsia="en-US" w:bidi="ar-SA"/>
      </w:rPr>
    </w:lvl>
    <w:lvl w:ilvl="7" w:tplc="7CB6F4DC">
      <w:numFmt w:val="bullet"/>
      <w:lvlText w:val="•"/>
      <w:lvlJc w:val="left"/>
      <w:pPr>
        <w:ind w:left="6067" w:hanging="236"/>
      </w:pPr>
      <w:rPr>
        <w:rFonts w:hint="default"/>
        <w:lang w:val="en-US" w:eastAsia="en-US" w:bidi="ar-SA"/>
      </w:rPr>
    </w:lvl>
    <w:lvl w:ilvl="8" w:tplc="29FC3098">
      <w:numFmt w:val="bullet"/>
      <w:lvlText w:val="•"/>
      <w:lvlJc w:val="left"/>
      <w:pPr>
        <w:ind w:left="6883" w:hanging="236"/>
      </w:pPr>
      <w:rPr>
        <w:rFonts w:hint="default"/>
        <w:lang w:val="en-US" w:eastAsia="en-US" w:bidi="ar-SA"/>
      </w:rPr>
    </w:lvl>
  </w:abstractNum>
  <w:abstractNum w:abstractNumId="238" w15:restartNumberingAfterBreak="0">
    <w:nsid w:val="7A01499C"/>
    <w:multiLevelType w:val="hybridMultilevel"/>
    <w:tmpl w:val="9D1CAF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7B193166"/>
    <w:multiLevelType w:val="multilevel"/>
    <w:tmpl w:val="90F21A16"/>
    <w:styleLink w:val="GeerliListe15"/>
    <w:lvl w:ilvl="0">
      <w:start w:val="1"/>
      <w:numFmt w:val="decimal"/>
      <w:lvlText w:val="%1"/>
      <w:lvlJc w:val="left"/>
      <w:pPr>
        <w:ind w:left="567" w:hanging="567"/>
      </w:pPr>
      <w:rPr>
        <w:rFonts w:ascii="Arial" w:hAnsi="Arial" w:hint="default"/>
        <w:b/>
        <w:i w:val="0"/>
        <w:caps w:val="0"/>
        <w:strike w:val="0"/>
        <w:dstrike w:val="0"/>
        <w:vanish w:val="0"/>
        <w:sz w:val="28"/>
        <w:vertAlign w:val="baseline"/>
      </w:rPr>
    </w:lvl>
    <w:lvl w:ilvl="1">
      <w:start w:val="1"/>
      <w:numFmt w:val="decimal"/>
      <w:lvlText w:val="%1.%2"/>
      <w:lvlJc w:val="left"/>
      <w:pPr>
        <w:ind w:left="851" w:hanging="851"/>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ascii="Arial" w:hAnsi="Arial" w:hint="default"/>
        <w:b/>
        <w:i w:val="0"/>
        <w:sz w:val="22"/>
      </w:rPr>
    </w:lvl>
    <w:lvl w:ilvl="4">
      <w:start w:val="1"/>
      <w:numFmt w:val="decimal"/>
      <w:lvlText w:val="%1.%2.%3.%4.%5"/>
      <w:lvlJc w:val="left"/>
      <w:pPr>
        <w:ind w:left="1134" w:hanging="1134"/>
      </w:pPr>
      <w:rPr>
        <w:rFonts w:ascii="Arial" w:hAnsi="Arial" w:hint="default"/>
        <w:b/>
        <w:i w:val="0"/>
        <w:sz w:val="20"/>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ascii="Arial" w:hAnsi="Arial" w:cs="Arial" w:hint="default"/>
        <w:sz w:val="20"/>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240" w15:restartNumberingAfterBreak="0">
    <w:nsid w:val="7B3D2C4C"/>
    <w:multiLevelType w:val="hybridMultilevel"/>
    <w:tmpl w:val="174AC516"/>
    <w:lvl w:ilvl="0" w:tplc="1CE49C5C">
      <w:numFmt w:val="bullet"/>
      <w:lvlText w:val="-"/>
      <w:lvlJc w:val="left"/>
      <w:pPr>
        <w:ind w:left="198" w:hanging="180"/>
      </w:pPr>
      <w:rPr>
        <w:rFonts w:ascii="Times New Roman" w:eastAsia="Times New Roman" w:hAnsi="Times New Roman" w:cs="Times New Roman" w:hint="default"/>
        <w:w w:val="99"/>
        <w:sz w:val="20"/>
        <w:szCs w:val="20"/>
        <w:lang w:val="en-US" w:eastAsia="en-US" w:bidi="ar-SA"/>
      </w:rPr>
    </w:lvl>
    <w:lvl w:ilvl="1" w:tplc="218E8D3E">
      <w:numFmt w:val="bullet"/>
      <w:lvlText w:val="•"/>
      <w:lvlJc w:val="left"/>
      <w:pPr>
        <w:ind w:left="619" w:hanging="180"/>
      </w:pPr>
      <w:rPr>
        <w:rFonts w:hint="default"/>
        <w:lang w:val="en-US" w:eastAsia="en-US" w:bidi="ar-SA"/>
      </w:rPr>
    </w:lvl>
    <w:lvl w:ilvl="2" w:tplc="0EA4F97C">
      <w:numFmt w:val="bullet"/>
      <w:lvlText w:val="•"/>
      <w:lvlJc w:val="left"/>
      <w:pPr>
        <w:ind w:left="1038" w:hanging="180"/>
      </w:pPr>
      <w:rPr>
        <w:rFonts w:hint="default"/>
        <w:lang w:val="en-US" w:eastAsia="en-US" w:bidi="ar-SA"/>
      </w:rPr>
    </w:lvl>
    <w:lvl w:ilvl="3" w:tplc="C67E6602">
      <w:numFmt w:val="bullet"/>
      <w:lvlText w:val="•"/>
      <w:lvlJc w:val="left"/>
      <w:pPr>
        <w:ind w:left="1457" w:hanging="180"/>
      </w:pPr>
      <w:rPr>
        <w:rFonts w:hint="default"/>
        <w:lang w:val="en-US" w:eastAsia="en-US" w:bidi="ar-SA"/>
      </w:rPr>
    </w:lvl>
    <w:lvl w:ilvl="4" w:tplc="DC64A7CA">
      <w:numFmt w:val="bullet"/>
      <w:lvlText w:val="•"/>
      <w:lvlJc w:val="left"/>
      <w:pPr>
        <w:ind w:left="1876" w:hanging="180"/>
      </w:pPr>
      <w:rPr>
        <w:rFonts w:hint="default"/>
        <w:lang w:val="en-US" w:eastAsia="en-US" w:bidi="ar-SA"/>
      </w:rPr>
    </w:lvl>
    <w:lvl w:ilvl="5" w:tplc="9F02B53A">
      <w:numFmt w:val="bullet"/>
      <w:lvlText w:val="•"/>
      <w:lvlJc w:val="left"/>
      <w:pPr>
        <w:ind w:left="2295" w:hanging="180"/>
      </w:pPr>
      <w:rPr>
        <w:rFonts w:hint="default"/>
        <w:lang w:val="en-US" w:eastAsia="en-US" w:bidi="ar-SA"/>
      </w:rPr>
    </w:lvl>
    <w:lvl w:ilvl="6" w:tplc="28D4C658">
      <w:numFmt w:val="bullet"/>
      <w:lvlText w:val="•"/>
      <w:lvlJc w:val="left"/>
      <w:pPr>
        <w:ind w:left="2714" w:hanging="180"/>
      </w:pPr>
      <w:rPr>
        <w:rFonts w:hint="default"/>
        <w:lang w:val="en-US" w:eastAsia="en-US" w:bidi="ar-SA"/>
      </w:rPr>
    </w:lvl>
    <w:lvl w:ilvl="7" w:tplc="D362FAB8">
      <w:numFmt w:val="bullet"/>
      <w:lvlText w:val="•"/>
      <w:lvlJc w:val="left"/>
      <w:pPr>
        <w:ind w:left="3133" w:hanging="180"/>
      </w:pPr>
      <w:rPr>
        <w:rFonts w:hint="default"/>
        <w:lang w:val="en-US" w:eastAsia="en-US" w:bidi="ar-SA"/>
      </w:rPr>
    </w:lvl>
    <w:lvl w:ilvl="8" w:tplc="00145B7A">
      <w:numFmt w:val="bullet"/>
      <w:lvlText w:val="•"/>
      <w:lvlJc w:val="left"/>
      <w:pPr>
        <w:ind w:left="3552" w:hanging="180"/>
      </w:pPr>
      <w:rPr>
        <w:rFonts w:hint="default"/>
        <w:lang w:val="en-US" w:eastAsia="en-US" w:bidi="ar-SA"/>
      </w:rPr>
    </w:lvl>
  </w:abstractNum>
  <w:abstractNum w:abstractNumId="241" w15:restartNumberingAfterBreak="0">
    <w:nsid w:val="7CB91ABC"/>
    <w:multiLevelType w:val="hybridMultilevel"/>
    <w:tmpl w:val="C40E0076"/>
    <w:lvl w:ilvl="0" w:tplc="C3DC78CA">
      <w:start w:val="1"/>
      <w:numFmt w:val="decimal"/>
      <w:lvlText w:val="(%1)"/>
      <w:lvlJc w:val="left"/>
      <w:pPr>
        <w:ind w:left="249" w:hanging="226"/>
      </w:pPr>
      <w:rPr>
        <w:rFonts w:ascii="Times New Roman" w:eastAsia="Times New Roman" w:hAnsi="Times New Roman" w:cs="Times New Roman" w:hint="default"/>
        <w:spacing w:val="-2"/>
        <w:w w:val="100"/>
        <w:sz w:val="18"/>
        <w:szCs w:val="18"/>
        <w:lang w:val="en-US" w:eastAsia="en-US" w:bidi="ar-SA"/>
      </w:rPr>
    </w:lvl>
    <w:lvl w:ilvl="1" w:tplc="3E7A4568">
      <w:numFmt w:val="bullet"/>
      <w:lvlText w:val="•"/>
      <w:lvlJc w:val="left"/>
      <w:pPr>
        <w:ind w:left="1032" w:hanging="226"/>
      </w:pPr>
      <w:rPr>
        <w:rFonts w:hint="default"/>
        <w:lang w:val="en-US" w:eastAsia="en-US" w:bidi="ar-SA"/>
      </w:rPr>
    </w:lvl>
    <w:lvl w:ilvl="2" w:tplc="0CBCE17A">
      <w:numFmt w:val="bullet"/>
      <w:lvlText w:val="•"/>
      <w:lvlJc w:val="left"/>
      <w:pPr>
        <w:ind w:left="1824" w:hanging="226"/>
      </w:pPr>
      <w:rPr>
        <w:rFonts w:hint="default"/>
        <w:lang w:val="en-US" w:eastAsia="en-US" w:bidi="ar-SA"/>
      </w:rPr>
    </w:lvl>
    <w:lvl w:ilvl="3" w:tplc="ACC2055A">
      <w:numFmt w:val="bullet"/>
      <w:lvlText w:val="•"/>
      <w:lvlJc w:val="left"/>
      <w:pPr>
        <w:ind w:left="2616" w:hanging="226"/>
      </w:pPr>
      <w:rPr>
        <w:rFonts w:hint="default"/>
        <w:lang w:val="en-US" w:eastAsia="en-US" w:bidi="ar-SA"/>
      </w:rPr>
    </w:lvl>
    <w:lvl w:ilvl="4" w:tplc="984C18A2">
      <w:numFmt w:val="bullet"/>
      <w:lvlText w:val="•"/>
      <w:lvlJc w:val="left"/>
      <w:pPr>
        <w:ind w:left="3409" w:hanging="226"/>
      </w:pPr>
      <w:rPr>
        <w:rFonts w:hint="default"/>
        <w:lang w:val="en-US" w:eastAsia="en-US" w:bidi="ar-SA"/>
      </w:rPr>
    </w:lvl>
    <w:lvl w:ilvl="5" w:tplc="65560618">
      <w:numFmt w:val="bullet"/>
      <w:lvlText w:val="•"/>
      <w:lvlJc w:val="left"/>
      <w:pPr>
        <w:ind w:left="4201" w:hanging="226"/>
      </w:pPr>
      <w:rPr>
        <w:rFonts w:hint="default"/>
        <w:lang w:val="en-US" w:eastAsia="en-US" w:bidi="ar-SA"/>
      </w:rPr>
    </w:lvl>
    <w:lvl w:ilvl="6" w:tplc="0A9C6050">
      <w:numFmt w:val="bullet"/>
      <w:lvlText w:val="•"/>
      <w:lvlJc w:val="left"/>
      <w:pPr>
        <w:ind w:left="4993" w:hanging="226"/>
      </w:pPr>
      <w:rPr>
        <w:rFonts w:hint="default"/>
        <w:lang w:val="en-US" w:eastAsia="en-US" w:bidi="ar-SA"/>
      </w:rPr>
    </w:lvl>
    <w:lvl w:ilvl="7" w:tplc="66E84FD8">
      <w:numFmt w:val="bullet"/>
      <w:lvlText w:val="•"/>
      <w:lvlJc w:val="left"/>
      <w:pPr>
        <w:ind w:left="5786" w:hanging="226"/>
      </w:pPr>
      <w:rPr>
        <w:rFonts w:hint="default"/>
        <w:lang w:val="en-US" w:eastAsia="en-US" w:bidi="ar-SA"/>
      </w:rPr>
    </w:lvl>
    <w:lvl w:ilvl="8" w:tplc="87065C80">
      <w:numFmt w:val="bullet"/>
      <w:lvlText w:val="•"/>
      <w:lvlJc w:val="left"/>
      <w:pPr>
        <w:ind w:left="6578" w:hanging="226"/>
      </w:pPr>
      <w:rPr>
        <w:rFonts w:hint="default"/>
        <w:lang w:val="en-US" w:eastAsia="en-US" w:bidi="ar-SA"/>
      </w:rPr>
    </w:lvl>
  </w:abstractNum>
  <w:abstractNum w:abstractNumId="242" w15:restartNumberingAfterBreak="0">
    <w:nsid w:val="7D4F14EA"/>
    <w:multiLevelType w:val="multilevel"/>
    <w:tmpl w:val="420E85F0"/>
    <w:styleLink w:val="GeerliListe64"/>
    <w:lvl w:ilvl="0">
      <w:start w:val="1"/>
      <w:numFmt w:val="decimal"/>
      <w:lvlText w:val="%1"/>
      <w:lvlJc w:val="left"/>
      <w:pPr>
        <w:ind w:left="432" w:hanging="432"/>
      </w:pPr>
      <w:rPr>
        <w:rFonts w:hint="default"/>
      </w:rPr>
    </w:lvl>
    <w:lvl w:ilvl="1">
      <w:start w:val="1"/>
      <w:numFmt w:val="none"/>
      <w:lvlText w:val="2.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3" w15:restartNumberingAfterBreak="0">
    <w:nsid w:val="7D7554B5"/>
    <w:multiLevelType w:val="hybridMultilevel"/>
    <w:tmpl w:val="67DE3F40"/>
    <w:lvl w:ilvl="0" w:tplc="F5DA4FA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4" w15:restartNumberingAfterBreak="0">
    <w:nsid w:val="7E2B1048"/>
    <w:multiLevelType w:val="hybridMultilevel"/>
    <w:tmpl w:val="7A5CBEE4"/>
    <w:lvl w:ilvl="0" w:tplc="D5826BD8">
      <w:start w:val="1"/>
      <w:numFmt w:val="lowerLetter"/>
      <w:lvlText w:val="(%1)"/>
      <w:lvlJc w:val="left"/>
      <w:pPr>
        <w:ind w:left="1440" w:hanging="360"/>
      </w:pPr>
      <w:rPr>
        <w:rFonts w:ascii="Times New Roman" w:eastAsia="Times New Roman" w:hAnsi="Times New Roman" w:cs="Times New Roman" w:hint="default"/>
        <w:w w:val="99"/>
        <w:sz w:val="24"/>
        <w:szCs w:val="24"/>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5" w15:restartNumberingAfterBreak="0">
    <w:nsid w:val="7E474D4E"/>
    <w:multiLevelType w:val="singleLevel"/>
    <w:tmpl w:val="1A6608A0"/>
    <w:lvl w:ilvl="0">
      <w:start w:val="1"/>
      <w:numFmt w:val="decimal"/>
      <w:lvlRestart w:val="0"/>
      <w:pStyle w:val="Considrant"/>
      <w:lvlText w:val="(%1)"/>
      <w:lvlJc w:val="left"/>
      <w:pPr>
        <w:tabs>
          <w:tab w:val="num" w:pos="709"/>
        </w:tabs>
        <w:ind w:left="709" w:hanging="709"/>
      </w:pPr>
    </w:lvl>
  </w:abstractNum>
  <w:abstractNum w:abstractNumId="246" w15:restartNumberingAfterBreak="0">
    <w:nsid w:val="7E821E20"/>
    <w:multiLevelType w:val="hybridMultilevel"/>
    <w:tmpl w:val="4F0C0134"/>
    <w:lvl w:ilvl="0" w:tplc="09A413C8">
      <w:start w:val="1"/>
      <w:numFmt w:val="lowerRoman"/>
      <w:lvlText w:val="(%1)"/>
      <w:lvlJc w:val="left"/>
      <w:pPr>
        <w:ind w:left="720" w:hanging="360"/>
      </w:pPr>
      <w:rPr>
        <w:rFonts w:ascii="Times New Roman" w:eastAsia="Times New Roman" w:hAnsi="Times New Roman" w:cs="Times New Roman" w:hint="default"/>
        <w:spacing w:val="-2"/>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7" w15:restartNumberingAfterBreak="0">
    <w:nsid w:val="7F9F4BEB"/>
    <w:multiLevelType w:val="hybridMultilevel"/>
    <w:tmpl w:val="8C12347E"/>
    <w:lvl w:ilvl="0" w:tplc="23E68F78">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8" w15:restartNumberingAfterBreak="0">
    <w:nsid w:val="7FB93464"/>
    <w:multiLevelType w:val="multilevel"/>
    <w:tmpl w:val="45343150"/>
    <w:styleLink w:val="GeerliListe221"/>
    <w:lvl w:ilvl="0">
      <w:start w:val="1"/>
      <w:numFmt w:val="decimal"/>
      <w:lvlText w:val="1.%1"/>
      <w:lvlJc w:val="left"/>
      <w:pPr>
        <w:ind w:left="432" w:hanging="432"/>
      </w:pPr>
      <w:rPr>
        <w:rFonts w:hint="default"/>
      </w:rPr>
    </w:lvl>
    <w:lvl w:ilvl="1">
      <w:start w:val="1"/>
      <w:numFmt w:val="none"/>
      <w:lvlText w:val="1.2.1"/>
      <w:lvlJc w:val="left"/>
      <w:pPr>
        <w:ind w:left="666" w:hanging="576"/>
      </w:pPr>
      <w:rPr>
        <w:rFonts w:hint="default"/>
      </w:rPr>
    </w:lvl>
    <w:lvl w:ilvl="2">
      <w:start w:val="1"/>
      <w:numFmt w:val="decimal"/>
      <w:lvlText w:val="%1.1%2.1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9" w15:restartNumberingAfterBreak="0">
    <w:nsid w:val="7FD30E5B"/>
    <w:multiLevelType w:val="hybridMultilevel"/>
    <w:tmpl w:val="67DE3F4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4"/>
  </w:num>
  <w:num w:numId="2">
    <w:abstractNumId w:val="232"/>
  </w:num>
  <w:num w:numId="3">
    <w:abstractNumId w:val="89"/>
  </w:num>
  <w:num w:numId="4">
    <w:abstractNumId w:val="39"/>
  </w:num>
  <w:num w:numId="5">
    <w:abstractNumId w:val="228"/>
  </w:num>
  <w:num w:numId="6">
    <w:abstractNumId w:val="174"/>
  </w:num>
  <w:num w:numId="7">
    <w:abstractNumId w:val="176"/>
  </w:num>
  <w:num w:numId="8">
    <w:abstractNumId w:val="165"/>
  </w:num>
  <w:num w:numId="9">
    <w:abstractNumId w:val="134"/>
  </w:num>
  <w:num w:numId="10">
    <w:abstractNumId w:val="129"/>
  </w:num>
  <w:num w:numId="11">
    <w:abstractNumId w:val="175"/>
  </w:num>
  <w:num w:numId="12">
    <w:abstractNumId w:val="229"/>
  </w:num>
  <w:num w:numId="13">
    <w:abstractNumId w:val="67"/>
  </w:num>
  <w:num w:numId="14">
    <w:abstractNumId w:val="238"/>
  </w:num>
  <w:num w:numId="15">
    <w:abstractNumId w:val="199"/>
  </w:num>
  <w:num w:numId="16">
    <w:abstractNumId w:val="227"/>
  </w:num>
  <w:num w:numId="17">
    <w:abstractNumId w:val="244"/>
  </w:num>
  <w:num w:numId="18">
    <w:abstractNumId w:val="122"/>
  </w:num>
  <w:num w:numId="19">
    <w:abstractNumId w:val="236"/>
  </w:num>
  <w:num w:numId="20">
    <w:abstractNumId w:val="211"/>
  </w:num>
  <w:num w:numId="21">
    <w:abstractNumId w:val="125"/>
  </w:num>
  <w:num w:numId="22">
    <w:abstractNumId w:val="246"/>
  </w:num>
  <w:num w:numId="23">
    <w:abstractNumId w:val="28"/>
  </w:num>
  <w:num w:numId="24">
    <w:abstractNumId w:val="152"/>
  </w:num>
  <w:num w:numId="25">
    <w:abstractNumId w:val="143"/>
  </w:num>
  <w:num w:numId="26">
    <w:abstractNumId w:val="75"/>
  </w:num>
  <w:num w:numId="27">
    <w:abstractNumId w:val="183"/>
  </w:num>
  <w:num w:numId="28">
    <w:abstractNumId w:val="53"/>
  </w:num>
  <w:num w:numId="29">
    <w:abstractNumId w:val="146"/>
  </w:num>
  <w:num w:numId="30">
    <w:abstractNumId w:val="149"/>
  </w:num>
  <w:num w:numId="31">
    <w:abstractNumId w:val="169"/>
  </w:num>
  <w:num w:numId="32">
    <w:abstractNumId w:val="148"/>
  </w:num>
  <w:num w:numId="33">
    <w:abstractNumId w:val="33"/>
  </w:num>
  <w:num w:numId="34">
    <w:abstractNumId w:val="127"/>
  </w:num>
  <w:num w:numId="35">
    <w:abstractNumId w:val="182"/>
    <w:lvlOverride w:ilvl="0">
      <w:lvl w:ilvl="0">
        <w:numFmt w:val="lowerLetter"/>
        <w:lvlText w:val="%1."/>
        <w:lvlJc w:val="left"/>
      </w:lvl>
    </w:lvlOverride>
  </w:num>
  <w:num w:numId="36">
    <w:abstractNumId w:val="62"/>
  </w:num>
  <w:num w:numId="37">
    <w:abstractNumId w:val="128"/>
  </w:num>
  <w:num w:numId="38">
    <w:abstractNumId w:val="155"/>
  </w:num>
  <w:num w:numId="39">
    <w:abstractNumId w:val="102"/>
  </w:num>
  <w:num w:numId="40">
    <w:abstractNumId w:val="58"/>
  </w:num>
  <w:num w:numId="41">
    <w:abstractNumId w:val="61"/>
  </w:num>
  <w:num w:numId="42">
    <w:abstractNumId w:val="82"/>
  </w:num>
  <w:num w:numId="43">
    <w:abstractNumId w:val="215"/>
  </w:num>
  <w:num w:numId="44">
    <w:abstractNumId w:val="178"/>
  </w:num>
  <w:num w:numId="45">
    <w:abstractNumId w:val="76"/>
  </w:num>
  <w:num w:numId="46">
    <w:abstractNumId w:val="192"/>
  </w:num>
  <w:num w:numId="47">
    <w:abstractNumId w:val="12"/>
  </w:num>
  <w:num w:numId="48">
    <w:abstractNumId w:val="13"/>
  </w:num>
  <w:num w:numId="49">
    <w:abstractNumId w:val="14"/>
  </w:num>
  <w:num w:numId="50">
    <w:abstractNumId w:val="15"/>
  </w:num>
  <w:num w:numId="51">
    <w:abstractNumId w:val="16"/>
  </w:num>
  <w:num w:numId="52">
    <w:abstractNumId w:val="17"/>
  </w:num>
  <w:num w:numId="53">
    <w:abstractNumId w:val="18"/>
  </w:num>
  <w:num w:numId="54">
    <w:abstractNumId w:val="19"/>
  </w:num>
  <w:num w:numId="55">
    <w:abstractNumId w:val="20"/>
  </w:num>
  <w:num w:numId="56">
    <w:abstractNumId w:val="21"/>
  </w:num>
  <w:num w:numId="57">
    <w:abstractNumId w:val="22"/>
  </w:num>
  <w:num w:numId="58">
    <w:abstractNumId w:val="23"/>
  </w:num>
  <w:num w:numId="59">
    <w:abstractNumId w:val="9"/>
  </w:num>
  <w:num w:numId="60">
    <w:abstractNumId w:val="84"/>
  </w:num>
  <w:num w:numId="61">
    <w:abstractNumId w:val="220"/>
  </w:num>
  <w:num w:numId="62">
    <w:abstractNumId w:val="123"/>
  </w:num>
  <w:num w:numId="63">
    <w:abstractNumId w:val="179"/>
  </w:num>
  <w:num w:numId="64">
    <w:abstractNumId w:val="201"/>
  </w:num>
  <w:num w:numId="65">
    <w:abstractNumId w:val="34"/>
  </w:num>
  <w:num w:numId="66">
    <w:abstractNumId w:val="217"/>
  </w:num>
  <w:num w:numId="67">
    <w:abstractNumId w:val="7"/>
  </w:num>
  <w:num w:numId="68">
    <w:abstractNumId w:val="6"/>
  </w:num>
  <w:num w:numId="69">
    <w:abstractNumId w:val="5"/>
  </w:num>
  <w:num w:numId="70">
    <w:abstractNumId w:val="4"/>
  </w:num>
  <w:num w:numId="71">
    <w:abstractNumId w:val="8"/>
  </w:num>
  <w:num w:numId="72">
    <w:abstractNumId w:val="3"/>
  </w:num>
  <w:num w:numId="73">
    <w:abstractNumId w:val="2"/>
  </w:num>
  <w:num w:numId="74">
    <w:abstractNumId w:val="1"/>
  </w:num>
  <w:num w:numId="75">
    <w:abstractNumId w:val="0"/>
  </w:num>
  <w:num w:numId="76">
    <w:abstractNumId w:val="147"/>
  </w:num>
  <w:num w:numId="77">
    <w:abstractNumId w:val="158"/>
  </w:num>
  <w:num w:numId="78">
    <w:abstractNumId w:val="79"/>
  </w:num>
  <w:num w:numId="79">
    <w:abstractNumId w:val="10"/>
  </w:num>
  <w:num w:numId="80">
    <w:abstractNumId w:val="159"/>
  </w:num>
  <w:num w:numId="81">
    <w:abstractNumId w:val="78"/>
    <w:lvlOverride w:ilvl="0">
      <w:lvl w:ilvl="0">
        <w:start w:val="1"/>
        <w:numFmt w:val="bullet"/>
        <w:pStyle w:val="TableBullets"/>
        <w:lvlText w:val=""/>
        <w:lvlJc w:val="left"/>
        <w:pPr>
          <w:tabs>
            <w:tab w:val="num" w:pos="567"/>
          </w:tabs>
          <w:ind w:left="567" w:hanging="567"/>
        </w:pPr>
        <w:rPr>
          <w:rFonts w:ascii="Symbol" w:hAnsi="Symbol" w:hint="default"/>
          <w:sz w:val="20"/>
          <w:szCs w:val="20"/>
        </w:rPr>
      </w:lvl>
    </w:lvlOverride>
  </w:num>
  <w:num w:numId="82">
    <w:abstractNumId w:val="87"/>
  </w:num>
  <w:num w:numId="83">
    <w:abstractNumId w:val="245"/>
  </w:num>
  <w:num w:numId="84">
    <w:abstractNumId w:val="36"/>
  </w:num>
  <w:num w:numId="85">
    <w:abstractNumId w:val="230"/>
  </w:num>
  <w:num w:numId="86">
    <w:abstractNumId w:val="105"/>
  </w:num>
  <w:num w:numId="87">
    <w:abstractNumId w:val="139"/>
  </w:num>
  <w:num w:numId="88">
    <w:abstractNumId w:val="73"/>
  </w:num>
  <w:num w:numId="89">
    <w:abstractNumId w:val="137"/>
  </w:num>
  <w:num w:numId="90">
    <w:abstractNumId w:val="40"/>
  </w:num>
  <w:num w:numId="91">
    <w:abstractNumId w:val="46"/>
  </w:num>
  <w:num w:numId="92">
    <w:abstractNumId w:val="57"/>
  </w:num>
  <w:num w:numId="93">
    <w:abstractNumId w:val="132"/>
  </w:num>
  <w:num w:numId="94">
    <w:abstractNumId w:val="154"/>
  </w:num>
  <w:num w:numId="95">
    <w:abstractNumId w:val="71"/>
  </w:num>
  <w:num w:numId="96">
    <w:abstractNumId w:val="44"/>
  </w:num>
  <w:num w:numId="97">
    <w:abstractNumId w:val="144"/>
  </w:num>
  <w:num w:numId="98">
    <w:abstractNumId w:val="35"/>
  </w:num>
  <w:num w:numId="99">
    <w:abstractNumId w:val="202"/>
  </w:num>
  <w:num w:numId="100">
    <w:abstractNumId w:val="11"/>
  </w:num>
  <w:num w:numId="101">
    <w:abstractNumId w:val="126"/>
  </w:num>
  <w:num w:numId="102">
    <w:abstractNumId w:val="239"/>
  </w:num>
  <w:num w:numId="103">
    <w:abstractNumId w:val="138"/>
  </w:num>
  <w:num w:numId="104">
    <w:abstractNumId w:val="29"/>
  </w:num>
  <w:num w:numId="105">
    <w:abstractNumId w:val="145"/>
  </w:num>
  <w:num w:numId="106">
    <w:abstractNumId w:val="74"/>
  </w:num>
  <w:num w:numId="107">
    <w:abstractNumId w:val="168"/>
  </w:num>
  <w:num w:numId="108">
    <w:abstractNumId w:val="140"/>
  </w:num>
  <w:num w:numId="109">
    <w:abstractNumId w:val="94"/>
  </w:num>
  <w:num w:numId="110">
    <w:abstractNumId w:val="107"/>
  </w:num>
  <w:num w:numId="111">
    <w:abstractNumId w:val="101"/>
  </w:num>
  <w:num w:numId="112">
    <w:abstractNumId w:val="48"/>
  </w:num>
  <w:num w:numId="113">
    <w:abstractNumId w:val="64"/>
  </w:num>
  <w:num w:numId="114">
    <w:abstractNumId w:val="219"/>
  </w:num>
  <w:num w:numId="115">
    <w:abstractNumId w:val="163"/>
  </w:num>
  <w:num w:numId="116">
    <w:abstractNumId w:val="191"/>
  </w:num>
  <w:num w:numId="117">
    <w:abstractNumId w:val="97"/>
  </w:num>
  <w:num w:numId="118">
    <w:abstractNumId w:val="80"/>
  </w:num>
  <w:num w:numId="119">
    <w:abstractNumId w:val="188"/>
  </w:num>
  <w:num w:numId="120">
    <w:abstractNumId w:val="218"/>
  </w:num>
  <w:num w:numId="121">
    <w:abstractNumId w:val="136"/>
  </w:num>
  <w:num w:numId="122">
    <w:abstractNumId w:val="116"/>
  </w:num>
  <w:num w:numId="123">
    <w:abstractNumId w:val="185"/>
  </w:num>
  <w:num w:numId="124">
    <w:abstractNumId w:val="65"/>
  </w:num>
  <w:num w:numId="125">
    <w:abstractNumId w:val="171"/>
  </w:num>
  <w:num w:numId="126">
    <w:abstractNumId w:val="106"/>
  </w:num>
  <w:num w:numId="127">
    <w:abstractNumId w:val="173"/>
  </w:num>
  <w:num w:numId="128">
    <w:abstractNumId w:val="142"/>
  </w:num>
  <w:num w:numId="129">
    <w:abstractNumId w:val="226"/>
  </w:num>
  <w:num w:numId="130">
    <w:abstractNumId w:val="83"/>
  </w:num>
  <w:num w:numId="131">
    <w:abstractNumId w:val="241"/>
  </w:num>
  <w:num w:numId="132">
    <w:abstractNumId w:val="111"/>
  </w:num>
  <w:num w:numId="133">
    <w:abstractNumId w:val="43"/>
  </w:num>
  <w:num w:numId="134">
    <w:abstractNumId w:val="141"/>
  </w:num>
  <w:num w:numId="135">
    <w:abstractNumId w:val="117"/>
  </w:num>
  <w:num w:numId="136">
    <w:abstractNumId w:val="231"/>
  </w:num>
  <w:num w:numId="137">
    <w:abstractNumId w:val="233"/>
  </w:num>
  <w:num w:numId="138">
    <w:abstractNumId w:val="121"/>
  </w:num>
  <w:num w:numId="139">
    <w:abstractNumId w:val="156"/>
  </w:num>
  <w:num w:numId="140">
    <w:abstractNumId w:val="114"/>
  </w:num>
  <w:num w:numId="141">
    <w:abstractNumId w:val="237"/>
  </w:num>
  <w:num w:numId="142">
    <w:abstractNumId w:val="47"/>
  </w:num>
  <w:num w:numId="143">
    <w:abstractNumId w:val="190"/>
  </w:num>
  <w:num w:numId="144">
    <w:abstractNumId w:val="247"/>
  </w:num>
  <w:num w:numId="145">
    <w:abstractNumId w:val="208"/>
  </w:num>
  <w:num w:numId="146">
    <w:abstractNumId w:val="69"/>
  </w:num>
  <w:num w:numId="147">
    <w:abstractNumId w:val="38"/>
  </w:num>
  <w:num w:numId="148">
    <w:abstractNumId w:val="66"/>
  </w:num>
  <w:num w:numId="149">
    <w:abstractNumId w:val="90"/>
  </w:num>
  <w:num w:numId="150">
    <w:abstractNumId w:val="133"/>
  </w:num>
  <w:num w:numId="151">
    <w:abstractNumId w:val="99"/>
  </w:num>
  <w:num w:numId="152">
    <w:abstractNumId w:val="157"/>
  </w:num>
  <w:num w:numId="153">
    <w:abstractNumId w:val="131"/>
  </w:num>
  <w:num w:numId="154">
    <w:abstractNumId w:val="161"/>
  </w:num>
  <w:num w:numId="155">
    <w:abstractNumId w:val="86"/>
  </w:num>
  <w:num w:numId="156">
    <w:abstractNumId w:val="109"/>
  </w:num>
  <w:num w:numId="157">
    <w:abstractNumId w:val="96"/>
  </w:num>
  <w:num w:numId="158">
    <w:abstractNumId w:val="92"/>
  </w:num>
  <w:num w:numId="159">
    <w:abstractNumId w:val="119"/>
  </w:num>
  <w:num w:numId="160">
    <w:abstractNumId w:val="98"/>
  </w:num>
  <w:num w:numId="161">
    <w:abstractNumId w:val="63"/>
  </w:num>
  <w:num w:numId="162">
    <w:abstractNumId w:val="27"/>
  </w:num>
  <w:num w:numId="163">
    <w:abstractNumId w:val="32"/>
  </w:num>
  <w:num w:numId="164">
    <w:abstractNumId w:val="195"/>
  </w:num>
  <w:num w:numId="165">
    <w:abstractNumId w:val="240"/>
  </w:num>
  <w:num w:numId="166">
    <w:abstractNumId w:val="166"/>
  </w:num>
  <w:num w:numId="167">
    <w:abstractNumId w:val="153"/>
  </w:num>
  <w:num w:numId="168">
    <w:abstractNumId w:val="214"/>
  </w:num>
  <w:num w:numId="169">
    <w:abstractNumId w:val="30"/>
  </w:num>
  <w:num w:numId="170">
    <w:abstractNumId w:val="135"/>
  </w:num>
  <w:num w:numId="171">
    <w:abstractNumId w:val="200"/>
  </w:num>
  <w:num w:numId="172">
    <w:abstractNumId w:val="224"/>
  </w:num>
  <w:num w:numId="173">
    <w:abstractNumId w:val="204"/>
  </w:num>
  <w:num w:numId="174">
    <w:abstractNumId w:val="160"/>
  </w:num>
  <w:num w:numId="175">
    <w:abstractNumId w:val="115"/>
  </w:num>
  <w:num w:numId="176">
    <w:abstractNumId w:val="180"/>
  </w:num>
  <w:num w:numId="177">
    <w:abstractNumId w:val="235"/>
  </w:num>
  <w:num w:numId="178">
    <w:abstractNumId w:val="50"/>
  </w:num>
  <w:num w:numId="179">
    <w:abstractNumId w:val="216"/>
  </w:num>
  <w:num w:numId="180">
    <w:abstractNumId w:val="187"/>
  </w:num>
  <w:num w:numId="181">
    <w:abstractNumId w:val="25"/>
  </w:num>
  <w:num w:numId="182">
    <w:abstractNumId w:val="164"/>
  </w:num>
  <w:num w:numId="183">
    <w:abstractNumId w:val="52"/>
  </w:num>
  <w:num w:numId="184">
    <w:abstractNumId w:val="124"/>
  </w:num>
  <w:num w:numId="185">
    <w:abstractNumId w:val="45"/>
  </w:num>
  <w:num w:numId="186">
    <w:abstractNumId w:val="212"/>
  </w:num>
  <w:num w:numId="187">
    <w:abstractNumId w:val="222"/>
  </w:num>
  <w:num w:numId="188">
    <w:abstractNumId w:val="42"/>
  </w:num>
  <w:num w:numId="189">
    <w:abstractNumId w:val="170"/>
  </w:num>
  <w:num w:numId="190">
    <w:abstractNumId w:val="120"/>
  </w:num>
  <w:num w:numId="191">
    <w:abstractNumId w:val="68"/>
  </w:num>
  <w:num w:numId="192">
    <w:abstractNumId w:val="95"/>
  </w:num>
  <w:num w:numId="193">
    <w:abstractNumId w:val="194"/>
  </w:num>
  <w:num w:numId="194">
    <w:abstractNumId w:val="243"/>
  </w:num>
  <w:num w:numId="195">
    <w:abstractNumId w:val="249"/>
  </w:num>
  <w:num w:numId="196">
    <w:abstractNumId w:val="100"/>
  </w:num>
  <w:num w:numId="197">
    <w:abstractNumId w:val="203"/>
  </w:num>
  <w:num w:numId="198">
    <w:abstractNumId w:val="130"/>
  </w:num>
  <w:num w:numId="199">
    <w:abstractNumId w:val="54"/>
  </w:num>
  <w:num w:numId="200">
    <w:abstractNumId w:val="197"/>
  </w:num>
  <w:num w:numId="201">
    <w:abstractNumId w:val="242"/>
  </w:num>
  <w:num w:numId="202">
    <w:abstractNumId w:val="59"/>
  </w:num>
  <w:num w:numId="203">
    <w:abstractNumId w:val="198"/>
  </w:num>
  <w:num w:numId="204">
    <w:abstractNumId w:val="113"/>
  </w:num>
  <w:num w:numId="205">
    <w:abstractNumId w:val="151"/>
  </w:num>
  <w:num w:numId="206">
    <w:abstractNumId w:val="55"/>
  </w:num>
  <w:num w:numId="207">
    <w:abstractNumId w:val="189"/>
  </w:num>
  <w:num w:numId="208">
    <w:abstractNumId w:val="31"/>
  </w:num>
  <w:num w:numId="209">
    <w:abstractNumId w:val="118"/>
  </w:num>
  <w:num w:numId="210">
    <w:abstractNumId w:val="112"/>
  </w:num>
  <w:num w:numId="211">
    <w:abstractNumId w:val="24"/>
  </w:num>
  <w:num w:numId="212">
    <w:abstractNumId w:val="193"/>
  </w:num>
  <w:num w:numId="213">
    <w:abstractNumId w:val="88"/>
  </w:num>
  <w:num w:numId="214">
    <w:abstractNumId w:val="41"/>
  </w:num>
  <w:num w:numId="215">
    <w:abstractNumId w:val="72"/>
  </w:num>
  <w:num w:numId="216">
    <w:abstractNumId w:val="26"/>
  </w:num>
  <w:num w:numId="217">
    <w:abstractNumId w:val="167"/>
  </w:num>
  <w:num w:numId="218">
    <w:abstractNumId w:val="225"/>
  </w:num>
  <w:num w:numId="219">
    <w:abstractNumId w:val="248"/>
  </w:num>
  <w:num w:numId="220">
    <w:abstractNumId w:val="81"/>
  </w:num>
  <w:num w:numId="221">
    <w:abstractNumId w:val="234"/>
  </w:num>
  <w:num w:numId="222">
    <w:abstractNumId w:val="110"/>
  </w:num>
  <w:num w:numId="223">
    <w:abstractNumId w:val="93"/>
  </w:num>
  <w:num w:numId="224">
    <w:abstractNumId w:val="196"/>
  </w:num>
  <w:num w:numId="225">
    <w:abstractNumId w:val="172"/>
  </w:num>
  <w:num w:numId="226">
    <w:abstractNumId w:val="205"/>
  </w:num>
  <w:num w:numId="227">
    <w:abstractNumId w:val="91"/>
  </w:num>
  <w:num w:numId="228">
    <w:abstractNumId w:val="108"/>
  </w:num>
  <w:num w:numId="229">
    <w:abstractNumId w:val="221"/>
  </w:num>
  <w:num w:numId="230">
    <w:abstractNumId w:val="103"/>
  </w:num>
  <w:num w:numId="231">
    <w:abstractNumId w:val="206"/>
  </w:num>
  <w:num w:numId="232">
    <w:abstractNumId w:val="49"/>
  </w:num>
  <w:num w:numId="2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7"/>
  </w:num>
  <w:num w:numId="317">
    <w:abstractNumId w:val="85"/>
  </w:num>
  <w:num w:numId="318">
    <w:abstractNumId w:val="77"/>
  </w:num>
  <w:num w:numId="319">
    <w:abstractNumId w:val="181"/>
  </w:num>
  <w:num w:numId="320">
    <w:abstractNumId w:val="223"/>
  </w:num>
  <w:num w:numId="321">
    <w:abstractNumId w:val="70"/>
  </w:num>
  <w:num w:numId="322">
    <w:abstractNumId w:val="209"/>
  </w:num>
  <w:num w:numId="323">
    <w:abstractNumId w:val="210"/>
  </w:num>
  <w:num w:numId="324">
    <w:abstractNumId w:val="51"/>
  </w:num>
  <w:num w:numId="325">
    <w:abstractNumId w:val="184"/>
  </w:num>
  <w:num w:numId="326">
    <w:abstractNumId w:val="213"/>
  </w:num>
  <w:num w:numId="327">
    <w:abstractNumId w:val="186"/>
  </w:num>
  <w:num w:numId="328">
    <w:abstractNumId w:val="207"/>
  </w:num>
  <w:num w:numId="329">
    <w:abstractNumId w:val="56"/>
  </w:num>
  <w:num w:numId="330">
    <w:abstractNumId w:val="177"/>
  </w:num>
  <w:num w:numId="331">
    <w:abstractNumId w:val="162"/>
  </w:num>
  <w:num w:numId="332">
    <w:abstractNumId w:val="60"/>
  </w:num>
  <w:num w:numId="333">
    <w:abstractNumId w:val="150"/>
  </w:num>
  <w:numIdMacAtCleanup w:val="3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E21"/>
    <w:rsid w:val="00000EE2"/>
    <w:rsid w:val="0000173B"/>
    <w:rsid w:val="00002025"/>
    <w:rsid w:val="0000386C"/>
    <w:rsid w:val="0000592B"/>
    <w:rsid w:val="000061B0"/>
    <w:rsid w:val="00011361"/>
    <w:rsid w:val="00012E2F"/>
    <w:rsid w:val="00013466"/>
    <w:rsid w:val="00013CD5"/>
    <w:rsid w:val="00015586"/>
    <w:rsid w:val="00015683"/>
    <w:rsid w:val="00015CD0"/>
    <w:rsid w:val="00016864"/>
    <w:rsid w:val="00016C13"/>
    <w:rsid w:val="000222AB"/>
    <w:rsid w:val="000226F0"/>
    <w:rsid w:val="00022A13"/>
    <w:rsid w:val="00023211"/>
    <w:rsid w:val="00023493"/>
    <w:rsid w:val="00023584"/>
    <w:rsid w:val="00024674"/>
    <w:rsid w:val="00024722"/>
    <w:rsid w:val="0002543A"/>
    <w:rsid w:val="00025C21"/>
    <w:rsid w:val="000275A3"/>
    <w:rsid w:val="0003009D"/>
    <w:rsid w:val="000312DF"/>
    <w:rsid w:val="000314F8"/>
    <w:rsid w:val="000338FA"/>
    <w:rsid w:val="00034255"/>
    <w:rsid w:val="00034636"/>
    <w:rsid w:val="00034FFD"/>
    <w:rsid w:val="00035799"/>
    <w:rsid w:val="000375C9"/>
    <w:rsid w:val="000400D6"/>
    <w:rsid w:val="00041A62"/>
    <w:rsid w:val="00043157"/>
    <w:rsid w:val="00044CB9"/>
    <w:rsid w:val="00046A0E"/>
    <w:rsid w:val="0005193E"/>
    <w:rsid w:val="00051CFD"/>
    <w:rsid w:val="000521D3"/>
    <w:rsid w:val="000527CE"/>
    <w:rsid w:val="00053D7C"/>
    <w:rsid w:val="000572B8"/>
    <w:rsid w:val="000601A7"/>
    <w:rsid w:val="000604E2"/>
    <w:rsid w:val="00060E86"/>
    <w:rsid w:val="00063F0E"/>
    <w:rsid w:val="0006480D"/>
    <w:rsid w:val="0006482F"/>
    <w:rsid w:val="00064D05"/>
    <w:rsid w:val="000654B8"/>
    <w:rsid w:val="000664FA"/>
    <w:rsid w:val="00066A8F"/>
    <w:rsid w:val="00066EEE"/>
    <w:rsid w:val="00070752"/>
    <w:rsid w:val="0007100B"/>
    <w:rsid w:val="00071B60"/>
    <w:rsid w:val="00071D87"/>
    <w:rsid w:val="000720C5"/>
    <w:rsid w:val="00072724"/>
    <w:rsid w:val="00074018"/>
    <w:rsid w:val="00074166"/>
    <w:rsid w:val="00074979"/>
    <w:rsid w:val="000755E7"/>
    <w:rsid w:val="00075616"/>
    <w:rsid w:val="000765EF"/>
    <w:rsid w:val="000770E1"/>
    <w:rsid w:val="000770E4"/>
    <w:rsid w:val="000815E1"/>
    <w:rsid w:val="00082C42"/>
    <w:rsid w:val="00083CE5"/>
    <w:rsid w:val="00083E15"/>
    <w:rsid w:val="00084C1B"/>
    <w:rsid w:val="0008547B"/>
    <w:rsid w:val="00085E66"/>
    <w:rsid w:val="00085F50"/>
    <w:rsid w:val="00086948"/>
    <w:rsid w:val="00086B18"/>
    <w:rsid w:val="0009014A"/>
    <w:rsid w:val="000911F1"/>
    <w:rsid w:val="00092787"/>
    <w:rsid w:val="00092DF8"/>
    <w:rsid w:val="00092FFB"/>
    <w:rsid w:val="0009322F"/>
    <w:rsid w:val="00094565"/>
    <w:rsid w:val="00094DCB"/>
    <w:rsid w:val="00097AD5"/>
    <w:rsid w:val="000A015E"/>
    <w:rsid w:val="000A0B23"/>
    <w:rsid w:val="000A12ED"/>
    <w:rsid w:val="000A2CD9"/>
    <w:rsid w:val="000A2FE3"/>
    <w:rsid w:val="000A36A1"/>
    <w:rsid w:val="000A3878"/>
    <w:rsid w:val="000A3903"/>
    <w:rsid w:val="000A4324"/>
    <w:rsid w:val="000A54A5"/>
    <w:rsid w:val="000A5D99"/>
    <w:rsid w:val="000A6900"/>
    <w:rsid w:val="000A772B"/>
    <w:rsid w:val="000A7B40"/>
    <w:rsid w:val="000B042F"/>
    <w:rsid w:val="000B13AD"/>
    <w:rsid w:val="000B1CC6"/>
    <w:rsid w:val="000B21A1"/>
    <w:rsid w:val="000B48B1"/>
    <w:rsid w:val="000B594B"/>
    <w:rsid w:val="000B5EF2"/>
    <w:rsid w:val="000C096F"/>
    <w:rsid w:val="000C1AE9"/>
    <w:rsid w:val="000C2E04"/>
    <w:rsid w:val="000C56F7"/>
    <w:rsid w:val="000C5ABC"/>
    <w:rsid w:val="000C612A"/>
    <w:rsid w:val="000C705C"/>
    <w:rsid w:val="000C7C60"/>
    <w:rsid w:val="000C7E23"/>
    <w:rsid w:val="000D07F0"/>
    <w:rsid w:val="000D0E95"/>
    <w:rsid w:val="000D1A46"/>
    <w:rsid w:val="000D2687"/>
    <w:rsid w:val="000D5273"/>
    <w:rsid w:val="000D536A"/>
    <w:rsid w:val="000D6054"/>
    <w:rsid w:val="000D6174"/>
    <w:rsid w:val="000D79D6"/>
    <w:rsid w:val="000D7D8A"/>
    <w:rsid w:val="000E1DB2"/>
    <w:rsid w:val="000E25EB"/>
    <w:rsid w:val="000E2BBC"/>
    <w:rsid w:val="000E2BBF"/>
    <w:rsid w:val="000E2E64"/>
    <w:rsid w:val="000E45AF"/>
    <w:rsid w:val="000E5159"/>
    <w:rsid w:val="000E58BD"/>
    <w:rsid w:val="000E6360"/>
    <w:rsid w:val="000F0E7B"/>
    <w:rsid w:val="000F0F71"/>
    <w:rsid w:val="000F24B4"/>
    <w:rsid w:val="000F2A84"/>
    <w:rsid w:val="000F40D8"/>
    <w:rsid w:val="000F48FE"/>
    <w:rsid w:val="000F4B0D"/>
    <w:rsid w:val="000F5E12"/>
    <w:rsid w:val="000F60D6"/>
    <w:rsid w:val="000F666B"/>
    <w:rsid w:val="000F6743"/>
    <w:rsid w:val="000F6F05"/>
    <w:rsid w:val="000F70CD"/>
    <w:rsid w:val="00100471"/>
    <w:rsid w:val="00100CA8"/>
    <w:rsid w:val="00101792"/>
    <w:rsid w:val="0010256D"/>
    <w:rsid w:val="00102E21"/>
    <w:rsid w:val="00103F25"/>
    <w:rsid w:val="0010445D"/>
    <w:rsid w:val="00104A99"/>
    <w:rsid w:val="00104F96"/>
    <w:rsid w:val="0011022E"/>
    <w:rsid w:val="00110D4C"/>
    <w:rsid w:val="00111762"/>
    <w:rsid w:val="00111766"/>
    <w:rsid w:val="001119D4"/>
    <w:rsid w:val="00111EA1"/>
    <w:rsid w:val="00117721"/>
    <w:rsid w:val="00120052"/>
    <w:rsid w:val="001208DC"/>
    <w:rsid w:val="00122428"/>
    <w:rsid w:val="00123A70"/>
    <w:rsid w:val="0012437F"/>
    <w:rsid w:val="001245EE"/>
    <w:rsid w:val="00124894"/>
    <w:rsid w:val="0012528E"/>
    <w:rsid w:val="00126F3A"/>
    <w:rsid w:val="001279CF"/>
    <w:rsid w:val="00127EBF"/>
    <w:rsid w:val="0013058F"/>
    <w:rsid w:val="001305F4"/>
    <w:rsid w:val="00130690"/>
    <w:rsid w:val="00130D84"/>
    <w:rsid w:val="00131388"/>
    <w:rsid w:val="00132093"/>
    <w:rsid w:val="001331A7"/>
    <w:rsid w:val="001331F1"/>
    <w:rsid w:val="00133925"/>
    <w:rsid w:val="00133FE4"/>
    <w:rsid w:val="0013596E"/>
    <w:rsid w:val="00135B82"/>
    <w:rsid w:val="00140167"/>
    <w:rsid w:val="00140637"/>
    <w:rsid w:val="001425B7"/>
    <w:rsid w:val="00145081"/>
    <w:rsid w:val="00145D51"/>
    <w:rsid w:val="001460A3"/>
    <w:rsid w:val="001477D8"/>
    <w:rsid w:val="00151935"/>
    <w:rsid w:val="001522E0"/>
    <w:rsid w:val="001555EA"/>
    <w:rsid w:val="001564F6"/>
    <w:rsid w:val="00156B95"/>
    <w:rsid w:val="00157DEF"/>
    <w:rsid w:val="00160A66"/>
    <w:rsid w:val="00161819"/>
    <w:rsid w:val="0016373B"/>
    <w:rsid w:val="0016374F"/>
    <w:rsid w:val="0016487D"/>
    <w:rsid w:val="00171ADA"/>
    <w:rsid w:val="00172662"/>
    <w:rsid w:val="001733CA"/>
    <w:rsid w:val="00174897"/>
    <w:rsid w:val="00175ADF"/>
    <w:rsid w:val="001771E3"/>
    <w:rsid w:val="0017720C"/>
    <w:rsid w:val="001779C6"/>
    <w:rsid w:val="00180D73"/>
    <w:rsid w:val="00180E5C"/>
    <w:rsid w:val="00181AAB"/>
    <w:rsid w:val="00182986"/>
    <w:rsid w:val="001832C1"/>
    <w:rsid w:val="00183DD2"/>
    <w:rsid w:val="00183ECE"/>
    <w:rsid w:val="00184993"/>
    <w:rsid w:val="001857FB"/>
    <w:rsid w:val="00185AA8"/>
    <w:rsid w:val="001860DE"/>
    <w:rsid w:val="001869F4"/>
    <w:rsid w:val="00186F9B"/>
    <w:rsid w:val="001870B0"/>
    <w:rsid w:val="001872ED"/>
    <w:rsid w:val="00187646"/>
    <w:rsid w:val="001908F2"/>
    <w:rsid w:val="00190916"/>
    <w:rsid w:val="00191AA1"/>
    <w:rsid w:val="00192B3B"/>
    <w:rsid w:val="00192F0D"/>
    <w:rsid w:val="00193A13"/>
    <w:rsid w:val="00195A24"/>
    <w:rsid w:val="001965A3"/>
    <w:rsid w:val="001971B7"/>
    <w:rsid w:val="001972D9"/>
    <w:rsid w:val="00197A5A"/>
    <w:rsid w:val="001A02D3"/>
    <w:rsid w:val="001A0BFE"/>
    <w:rsid w:val="001A46F4"/>
    <w:rsid w:val="001A5720"/>
    <w:rsid w:val="001A5C66"/>
    <w:rsid w:val="001A6A5F"/>
    <w:rsid w:val="001A70DD"/>
    <w:rsid w:val="001B0032"/>
    <w:rsid w:val="001B04EB"/>
    <w:rsid w:val="001B085E"/>
    <w:rsid w:val="001B19C3"/>
    <w:rsid w:val="001B2252"/>
    <w:rsid w:val="001B32EB"/>
    <w:rsid w:val="001B35D9"/>
    <w:rsid w:val="001B3928"/>
    <w:rsid w:val="001B3B08"/>
    <w:rsid w:val="001B4053"/>
    <w:rsid w:val="001B4393"/>
    <w:rsid w:val="001B51F4"/>
    <w:rsid w:val="001B67CB"/>
    <w:rsid w:val="001B6940"/>
    <w:rsid w:val="001C1884"/>
    <w:rsid w:val="001C6D16"/>
    <w:rsid w:val="001C70DF"/>
    <w:rsid w:val="001C7708"/>
    <w:rsid w:val="001C7E62"/>
    <w:rsid w:val="001D0561"/>
    <w:rsid w:val="001D0E2B"/>
    <w:rsid w:val="001D0ECE"/>
    <w:rsid w:val="001D0FB6"/>
    <w:rsid w:val="001D2219"/>
    <w:rsid w:val="001D23DC"/>
    <w:rsid w:val="001D43DA"/>
    <w:rsid w:val="001D4A97"/>
    <w:rsid w:val="001D4DC3"/>
    <w:rsid w:val="001D5FDD"/>
    <w:rsid w:val="001D7218"/>
    <w:rsid w:val="001E0EB9"/>
    <w:rsid w:val="001E10DA"/>
    <w:rsid w:val="001E1487"/>
    <w:rsid w:val="001E1C12"/>
    <w:rsid w:val="001E2062"/>
    <w:rsid w:val="001E2A4C"/>
    <w:rsid w:val="001E3396"/>
    <w:rsid w:val="001E4F9D"/>
    <w:rsid w:val="001E51B8"/>
    <w:rsid w:val="001E589C"/>
    <w:rsid w:val="001E7CF7"/>
    <w:rsid w:val="001F0B70"/>
    <w:rsid w:val="001F1270"/>
    <w:rsid w:val="001F160C"/>
    <w:rsid w:val="001F1E7D"/>
    <w:rsid w:val="001F2086"/>
    <w:rsid w:val="001F2CDC"/>
    <w:rsid w:val="001F3304"/>
    <w:rsid w:val="001F36B6"/>
    <w:rsid w:val="001F3AC9"/>
    <w:rsid w:val="001F4625"/>
    <w:rsid w:val="001F7018"/>
    <w:rsid w:val="001F7E13"/>
    <w:rsid w:val="00200200"/>
    <w:rsid w:val="0020154B"/>
    <w:rsid w:val="00202978"/>
    <w:rsid w:val="002034D0"/>
    <w:rsid w:val="002038A5"/>
    <w:rsid w:val="00203CAD"/>
    <w:rsid w:val="002060E1"/>
    <w:rsid w:val="002061BB"/>
    <w:rsid w:val="00207139"/>
    <w:rsid w:val="0020733A"/>
    <w:rsid w:val="0020774D"/>
    <w:rsid w:val="00207A0C"/>
    <w:rsid w:val="00207D6D"/>
    <w:rsid w:val="002102FB"/>
    <w:rsid w:val="002103E1"/>
    <w:rsid w:val="002104DF"/>
    <w:rsid w:val="00210E29"/>
    <w:rsid w:val="002125B0"/>
    <w:rsid w:val="00212EBD"/>
    <w:rsid w:val="00214745"/>
    <w:rsid w:val="00216B36"/>
    <w:rsid w:val="00216B91"/>
    <w:rsid w:val="002172C9"/>
    <w:rsid w:val="002200E2"/>
    <w:rsid w:val="00222B01"/>
    <w:rsid w:val="002233FC"/>
    <w:rsid w:val="00224ED3"/>
    <w:rsid w:val="0022545B"/>
    <w:rsid w:val="00225A94"/>
    <w:rsid w:val="00225F9C"/>
    <w:rsid w:val="0022680B"/>
    <w:rsid w:val="0022696E"/>
    <w:rsid w:val="002306F7"/>
    <w:rsid w:val="00230E25"/>
    <w:rsid w:val="00232B2C"/>
    <w:rsid w:val="00232C1C"/>
    <w:rsid w:val="00233EE0"/>
    <w:rsid w:val="00234626"/>
    <w:rsid w:val="00234C5A"/>
    <w:rsid w:val="00235B2C"/>
    <w:rsid w:val="0023636E"/>
    <w:rsid w:val="00236E5C"/>
    <w:rsid w:val="00237B0C"/>
    <w:rsid w:val="00240F48"/>
    <w:rsid w:val="00241383"/>
    <w:rsid w:val="00241842"/>
    <w:rsid w:val="00242039"/>
    <w:rsid w:val="00243841"/>
    <w:rsid w:val="00243939"/>
    <w:rsid w:val="002445ED"/>
    <w:rsid w:val="002465DE"/>
    <w:rsid w:val="0024730D"/>
    <w:rsid w:val="00247C78"/>
    <w:rsid w:val="00250F9B"/>
    <w:rsid w:val="0025115C"/>
    <w:rsid w:val="00251976"/>
    <w:rsid w:val="0025322D"/>
    <w:rsid w:val="00253466"/>
    <w:rsid w:val="0025384B"/>
    <w:rsid w:val="002545B0"/>
    <w:rsid w:val="00255D75"/>
    <w:rsid w:val="00255F20"/>
    <w:rsid w:val="00256A98"/>
    <w:rsid w:val="00257B25"/>
    <w:rsid w:val="00261299"/>
    <w:rsid w:val="00261AD2"/>
    <w:rsid w:val="00263076"/>
    <w:rsid w:val="00264B7B"/>
    <w:rsid w:val="0026596C"/>
    <w:rsid w:val="00265BD2"/>
    <w:rsid w:val="002668E1"/>
    <w:rsid w:val="0027019F"/>
    <w:rsid w:val="00270DE0"/>
    <w:rsid w:val="00273D71"/>
    <w:rsid w:val="00274BAC"/>
    <w:rsid w:val="00275F38"/>
    <w:rsid w:val="002761CD"/>
    <w:rsid w:val="00276A76"/>
    <w:rsid w:val="00276CE9"/>
    <w:rsid w:val="00277019"/>
    <w:rsid w:val="00277249"/>
    <w:rsid w:val="0027734C"/>
    <w:rsid w:val="002816B4"/>
    <w:rsid w:val="00281D2C"/>
    <w:rsid w:val="002827A6"/>
    <w:rsid w:val="00286879"/>
    <w:rsid w:val="00286BB1"/>
    <w:rsid w:val="00287892"/>
    <w:rsid w:val="00287BAB"/>
    <w:rsid w:val="002902F5"/>
    <w:rsid w:val="00290679"/>
    <w:rsid w:val="00290C35"/>
    <w:rsid w:val="00291875"/>
    <w:rsid w:val="002919BF"/>
    <w:rsid w:val="00291A87"/>
    <w:rsid w:val="00293E36"/>
    <w:rsid w:val="00293FD4"/>
    <w:rsid w:val="00294440"/>
    <w:rsid w:val="00294E67"/>
    <w:rsid w:val="002A0620"/>
    <w:rsid w:val="002A1BB0"/>
    <w:rsid w:val="002A1FF1"/>
    <w:rsid w:val="002A228E"/>
    <w:rsid w:val="002A2D80"/>
    <w:rsid w:val="002A34ED"/>
    <w:rsid w:val="002A39A9"/>
    <w:rsid w:val="002A4FCF"/>
    <w:rsid w:val="002A5335"/>
    <w:rsid w:val="002A5BC5"/>
    <w:rsid w:val="002A6B5C"/>
    <w:rsid w:val="002A7670"/>
    <w:rsid w:val="002A7A02"/>
    <w:rsid w:val="002B018C"/>
    <w:rsid w:val="002B102B"/>
    <w:rsid w:val="002B3FD5"/>
    <w:rsid w:val="002B561A"/>
    <w:rsid w:val="002B58B8"/>
    <w:rsid w:val="002B6932"/>
    <w:rsid w:val="002C07D9"/>
    <w:rsid w:val="002C5D32"/>
    <w:rsid w:val="002C6C13"/>
    <w:rsid w:val="002D0BF6"/>
    <w:rsid w:val="002D1010"/>
    <w:rsid w:val="002D1876"/>
    <w:rsid w:val="002D1F09"/>
    <w:rsid w:val="002D20F7"/>
    <w:rsid w:val="002D3236"/>
    <w:rsid w:val="002D34E5"/>
    <w:rsid w:val="002D3D6C"/>
    <w:rsid w:val="002D4041"/>
    <w:rsid w:val="002D56E4"/>
    <w:rsid w:val="002D58FB"/>
    <w:rsid w:val="002D6181"/>
    <w:rsid w:val="002D742B"/>
    <w:rsid w:val="002D7E4C"/>
    <w:rsid w:val="002E130D"/>
    <w:rsid w:val="002E2A79"/>
    <w:rsid w:val="002E35A0"/>
    <w:rsid w:val="002E3883"/>
    <w:rsid w:val="002E42C3"/>
    <w:rsid w:val="002E7AE9"/>
    <w:rsid w:val="002F0D1A"/>
    <w:rsid w:val="002F10B6"/>
    <w:rsid w:val="002F19C7"/>
    <w:rsid w:val="002F1F6E"/>
    <w:rsid w:val="002F3381"/>
    <w:rsid w:val="002F48A0"/>
    <w:rsid w:val="002F4975"/>
    <w:rsid w:val="002F4A98"/>
    <w:rsid w:val="002F4F85"/>
    <w:rsid w:val="002F5C99"/>
    <w:rsid w:val="00300253"/>
    <w:rsid w:val="003048B0"/>
    <w:rsid w:val="003059C9"/>
    <w:rsid w:val="00306051"/>
    <w:rsid w:val="003077A3"/>
    <w:rsid w:val="0030792C"/>
    <w:rsid w:val="003111BC"/>
    <w:rsid w:val="00311602"/>
    <w:rsid w:val="00311D82"/>
    <w:rsid w:val="0031275F"/>
    <w:rsid w:val="00313D18"/>
    <w:rsid w:val="00315259"/>
    <w:rsid w:val="003155FB"/>
    <w:rsid w:val="00316134"/>
    <w:rsid w:val="0031794B"/>
    <w:rsid w:val="00321452"/>
    <w:rsid w:val="00321B20"/>
    <w:rsid w:val="00324BAB"/>
    <w:rsid w:val="00324CDF"/>
    <w:rsid w:val="00325360"/>
    <w:rsid w:val="00326008"/>
    <w:rsid w:val="003274D3"/>
    <w:rsid w:val="003277D8"/>
    <w:rsid w:val="00331E0B"/>
    <w:rsid w:val="003326CD"/>
    <w:rsid w:val="0033330D"/>
    <w:rsid w:val="00333703"/>
    <w:rsid w:val="003344B6"/>
    <w:rsid w:val="00334730"/>
    <w:rsid w:val="0033544C"/>
    <w:rsid w:val="0033587E"/>
    <w:rsid w:val="003367DE"/>
    <w:rsid w:val="003368FF"/>
    <w:rsid w:val="0033694E"/>
    <w:rsid w:val="003402E9"/>
    <w:rsid w:val="00341730"/>
    <w:rsid w:val="003429DE"/>
    <w:rsid w:val="00343385"/>
    <w:rsid w:val="003441B3"/>
    <w:rsid w:val="0034520A"/>
    <w:rsid w:val="00345C52"/>
    <w:rsid w:val="00346D64"/>
    <w:rsid w:val="00350694"/>
    <w:rsid w:val="00351562"/>
    <w:rsid w:val="00351B12"/>
    <w:rsid w:val="003526A3"/>
    <w:rsid w:val="00353C2B"/>
    <w:rsid w:val="003556E4"/>
    <w:rsid w:val="00356875"/>
    <w:rsid w:val="00357302"/>
    <w:rsid w:val="00357588"/>
    <w:rsid w:val="003607C1"/>
    <w:rsid w:val="003610DF"/>
    <w:rsid w:val="00362813"/>
    <w:rsid w:val="00363248"/>
    <w:rsid w:val="00363EA1"/>
    <w:rsid w:val="00364491"/>
    <w:rsid w:val="00364ADC"/>
    <w:rsid w:val="00364AE6"/>
    <w:rsid w:val="00365248"/>
    <w:rsid w:val="00365D7B"/>
    <w:rsid w:val="00366326"/>
    <w:rsid w:val="0036642A"/>
    <w:rsid w:val="00367469"/>
    <w:rsid w:val="00367C6F"/>
    <w:rsid w:val="00370BA1"/>
    <w:rsid w:val="00371349"/>
    <w:rsid w:val="00372171"/>
    <w:rsid w:val="00372354"/>
    <w:rsid w:val="00372B44"/>
    <w:rsid w:val="003739B5"/>
    <w:rsid w:val="003747D5"/>
    <w:rsid w:val="0037514E"/>
    <w:rsid w:val="00375D89"/>
    <w:rsid w:val="00376511"/>
    <w:rsid w:val="0037654E"/>
    <w:rsid w:val="003774E7"/>
    <w:rsid w:val="0037798A"/>
    <w:rsid w:val="00380F80"/>
    <w:rsid w:val="00381E03"/>
    <w:rsid w:val="003832F5"/>
    <w:rsid w:val="00383FF1"/>
    <w:rsid w:val="0038525B"/>
    <w:rsid w:val="003874A7"/>
    <w:rsid w:val="00390018"/>
    <w:rsid w:val="00393115"/>
    <w:rsid w:val="0039356A"/>
    <w:rsid w:val="0039376A"/>
    <w:rsid w:val="0039527D"/>
    <w:rsid w:val="0039552E"/>
    <w:rsid w:val="00395FD5"/>
    <w:rsid w:val="003960A9"/>
    <w:rsid w:val="0039722E"/>
    <w:rsid w:val="003A0A2A"/>
    <w:rsid w:val="003A29A3"/>
    <w:rsid w:val="003A2EFA"/>
    <w:rsid w:val="003A32EE"/>
    <w:rsid w:val="003A4E59"/>
    <w:rsid w:val="003A5B64"/>
    <w:rsid w:val="003A61B7"/>
    <w:rsid w:val="003A62AC"/>
    <w:rsid w:val="003A6BC0"/>
    <w:rsid w:val="003A7608"/>
    <w:rsid w:val="003A7B01"/>
    <w:rsid w:val="003B05DC"/>
    <w:rsid w:val="003B155E"/>
    <w:rsid w:val="003B1A59"/>
    <w:rsid w:val="003B1D55"/>
    <w:rsid w:val="003B2001"/>
    <w:rsid w:val="003B228C"/>
    <w:rsid w:val="003B2CA8"/>
    <w:rsid w:val="003B2D41"/>
    <w:rsid w:val="003B2F48"/>
    <w:rsid w:val="003B34D1"/>
    <w:rsid w:val="003B3801"/>
    <w:rsid w:val="003B4CF0"/>
    <w:rsid w:val="003B4E7F"/>
    <w:rsid w:val="003B5AB2"/>
    <w:rsid w:val="003B6528"/>
    <w:rsid w:val="003B73EF"/>
    <w:rsid w:val="003C0A5C"/>
    <w:rsid w:val="003C1D6A"/>
    <w:rsid w:val="003C20C3"/>
    <w:rsid w:val="003C2915"/>
    <w:rsid w:val="003C3D47"/>
    <w:rsid w:val="003C403C"/>
    <w:rsid w:val="003C5025"/>
    <w:rsid w:val="003C72FD"/>
    <w:rsid w:val="003C79DA"/>
    <w:rsid w:val="003C7D04"/>
    <w:rsid w:val="003D0AC1"/>
    <w:rsid w:val="003D1880"/>
    <w:rsid w:val="003D2CAF"/>
    <w:rsid w:val="003D32AE"/>
    <w:rsid w:val="003D338F"/>
    <w:rsid w:val="003D6005"/>
    <w:rsid w:val="003D652E"/>
    <w:rsid w:val="003D6AAE"/>
    <w:rsid w:val="003D6BBB"/>
    <w:rsid w:val="003D7E81"/>
    <w:rsid w:val="003E0158"/>
    <w:rsid w:val="003E0957"/>
    <w:rsid w:val="003E1F20"/>
    <w:rsid w:val="003E223D"/>
    <w:rsid w:val="003E284F"/>
    <w:rsid w:val="003E29C6"/>
    <w:rsid w:val="003E2F1E"/>
    <w:rsid w:val="003E3595"/>
    <w:rsid w:val="003E588C"/>
    <w:rsid w:val="003E60A9"/>
    <w:rsid w:val="003E69E5"/>
    <w:rsid w:val="003F0C65"/>
    <w:rsid w:val="003F154C"/>
    <w:rsid w:val="003F2A25"/>
    <w:rsid w:val="003F4859"/>
    <w:rsid w:val="003F4D69"/>
    <w:rsid w:val="003F4E6A"/>
    <w:rsid w:val="003F5ACE"/>
    <w:rsid w:val="003F5C33"/>
    <w:rsid w:val="003F6E16"/>
    <w:rsid w:val="00402ABE"/>
    <w:rsid w:val="004031C9"/>
    <w:rsid w:val="00403E75"/>
    <w:rsid w:val="004043E9"/>
    <w:rsid w:val="00404E3B"/>
    <w:rsid w:val="00406953"/>
    <w:rsid w:val="00407621"/>
    <w:rsid w:val="004115E4"/>
    <w:rsid w:val="004119FE"/>
    <w:rsid w:val="00411A3E"/>
    <w:rsid w:val="00411D31"/>
    <w:rsid w:val="00411DF1"/>
    <w:rsid w:val="0041335E"/>
    <w:rsid w:val="00414B9D"/>
    <w:rsid w:val="00415865"/>
    <w:rsid w:val="00415922"/>
    <w:rsid w:val="004170F3"/>
    <w:rsid w:val="0041718A"/>
    <w:rsid w:val="00417ED8"/>
    <w:rsid w:val="00417F10"/>
    <w:rsid w:val="00420293"/>
    <w:rsid w:val="00421D5A"/>
    <w:rsid w:val="00425F52"/>
    <w:rsid w:val="004309A8"/>
    <w:rsid w:val="00430B37"/>
    <w:rsid w:val="004325A8"/>
    <w:rsid w:val="004328B2"/>
    <w:rsid w:val="00433EA9"/>
    <w:rsid w:val="00434720"/>
    <w:rsid w:val="00436615"/>
    <w:rsid w:val="00436AEF"/>
    <w:rsid w:val="00437744"/>
    <w:rsid w:val="0044043D"/>
    <w:rsid w:val="004408F6"/>
    <w:rsid w:val="00441241"/>
    <w:rsid w:val="00442654"/>
    <w:rsid w:val="00442A6D"/>
    <w:rsid w:val="00443429"/>
    <w:rsid w:val="00443B69"/>
    <w:rsid w:val="004446C3"/>
    <w:rsid w:val="0044528E"/>
    <w:rsid w:val="004454E5"/>
    <w:rsid w:val="00446C34"/>
    <w:rsid w:val="00446E36"/>
    <w:rsid w:val="00450D4A"/>
    <w:rsid w:val="0045203B"/>
    <w:rsid w:val="00454F9F"/>
    <w:rsid w:val="0045550B"/>
    <w:rsid w:val="00455A1D"/>
    <w:rsid w:val="004561D7"/>
    <w:rsid w:val="004564E5"/>
    <w:rsid w:val="00456AC0"/>
    <w:rsid w:val="00456F32"/>
    <w:rsid w:val="004606C8"/>
    <w:rsid w:val="00461ADA"/>
    <w:rsid w:val="00461B74"/>
    <w:rsid w:val="00462771"/>
    <w:rsid w:val="00464C14"/>
    <w:rsid w:val="004663A1"/>
    <w:rsid w:val="00466A41"/>
    <w:rsid w:val="004670F7"/>
    <w:rsid w:val="00471203"/>
    <w:rsid w:val="00473E8F"/>
    <w:rsid w:val="00475ADB"/>
    <w:rsid w:val="00477380"/>
    <w:rsid w:val="00480870"/>
    <w:rsid w:val="00480C6A"/>
    <w:rsid w:val="0048176A"/>
    <w:rsid w:val="0048332F"/>
    <w:rsid w:val="00483517"/>
    <w:rsid w:val="004837A8"/>
    <w:rsid w:val="004860A1"/>
    <w:rsid w:val="00486508"/>
    <w:rsid w:val="0048732D"/>
    <w:rsid w:val="00487575"/>
    <w:rsid w:val="00487B89"/>
    <w:rsid w:val="00490267"/>
    <w:rsid w:val="004902A5"/>
    <w:rsid w:val="00490A0D"/>
    <w:rsid w:val="00491AAE"/>
    <w:rsid w:val="00493095"/>
    <w:rsid w:val="0049354D"/>
    <w:rsid w:val="00493879"/>
    <w:rsid w:val="00494850"/>
    <w:rsid w:val="00495DC0"/>
    <w:rsid w:val="0049628C"/>
    <w:rsid w:val="004A030D"/>
    <w:rsid w:val="004A087C"/>
    <w:rsid w:val="004A12BB"/>
    <w:rsid w:val="004A1B58"/>
    <w:rsid w:val="004A2E9E"/>
    <w:rsid w:val="004A486F"/>
    <w:rsid w:val="004A4BCF"/>
    <w:rsid w:val="004A4EAC"/>
    <w:rsid w:val="004A5B83"/>
    <w:rsid w:val="004A6652"/>
    <w:rsid w:val="004A6FC4"/>
    <w:rsid w:val="004A70B8"/>
    <w:rsid w:val="004B2953"/>
    <w:rsid w:val="004B45B0"/>
    <w:rsid w:val="004B45B4"/>
    <w:rsid w:val="004B4E52"/>
    <w:rsid w:val="004B63B1"/>
    <w:rsid w:val="004B6916"/>
    <w:rsid w:val="004B6A40"/>
    <w:rsid w:val="004C0C6B"/>
    <w:rsid w:val="004C124E"/>
    <w:rsid w:val="004C2729"/>
    <w:rsid w:val="004C2E69"/>
    <w:rsid w:val="004C342C"/>
    <w:rsid w:val="004C3671"/>
    <w:rsid w:val="004C4263"/>
    <w:rsid w:val="004C70EE"/>
    <w:rsid w:val="004C786C"/>
    <w:rsid w:val="004D0072"/>
    <w:rsid w:val="004D053D"/>
    <w:rsid w:val="004D05F2"/>
    <w:rsid w:val="004D16CB"/>
    <w:rsid w:val="004D175D"/>
    <w:rsid w:val="004D1B36"/>
    <w:rsid w:val="004D1FBD"/>
    <w:rsid w:val="004D2F27"/>
    <w:rsid w:val="004D3D99"/>
    <w:rsid w:val="004D5E50"/>
    <w:rsid w:val="004E045A"/>
    <w:rsid w:val="004E0884"/>
    <w:rsid w:val="004E1738"/>
    <w:rsid w:val="004E1ECE"/>
    <w:rsid w:val="004E1FB8"/>
    <w:rsid w:val="004E3264"/>
    <w:rsid w:val="004E5385"/>
    <w:rsid w:val="004E71B4"/>
    <w:rsid w:val="004F009F"/>
    <w:rsid w:val="004F4B19"/>
    <w:rsid w:val="004F4B7F"/>
    <w:rsid w:val="004F51D7"/>
    <w:rsid w:val="004F6A0A"/>
    <w:rsid w:val="004F72BD"/>
    <w:rsid w:val="00501326"/>
    <w:rsid w:val="00501828"/>
    <w:rsid w:val="005022CB"/>
    <w:rsid w:val="0050232C"/>
    <w:rsid w:val="00502909"/>
    <w:rsid w:val="00502C98"/>
    <w:rsid w:val="00502FD4"/>
    <w:rsid w:val="00503287"/>
    <w:rsid w:val="00503546"/>
    <w:rsid w:val="00503E4E"/>
    <w:rsid w:val="00505B7D"/>
    <w:rsid w:val="005069E3"/>
    <w:rsid w:val="00506B1C"/>
    <w:rsid w:val="00506B23"/>
    <w:rsid w:val="0050740B"/>
    <w:rsid w:val="0051085D"/>
    <w:rsid w:val="00510EB5"/>
    <w:rsid w:val="005133AC"/>
    <w:rsid w:val="00514A55"/>
    <w:rsid w:val="00514E9F"/>
    <w:rsid w:val="0051552D"/>
    <w:rsid w:val="00516314"/>
    <w:rsid w:val="005163EB"/>
    <w:rsid w:val="00516EC6"/>
    <w:rsid w:val="00517CC3"/>
    <w:rsid w:val="00520C45"/>
    <w:rsid w:val="00521141"/>
    <w:rsid w:val="00521DA4"/>
    <w:rsid w:val="005220C5"/>
    <w:rsid w:val="00522D6F"/>
    <w:rsid w:val="00522D93"/>
    <w:rsid w:val="00522E3C"/>
    <w:rsid w:val="00523C76"/>
    <w:rsid w:val="00526A11"/>
    <w:rsid w:val="00531470"/>
    <w:rsid w:val="00532380"/>
    <w:rsid w:val="00533FC9"/>
    <w:rsid w:val="00535489"/>
    <w:rsid w:val="00535A06"/>
    <w:rsid w:val="00535A32"/>
    <w:rsid w:val="005362DB"/>
    <w:rsid w:val="005368D7"/>
    <w:rsid w:val="005375B8"/>
    <w:rsid w:val="00540285"/>
    <w:rsid w:val="005404F8"/>
    <w:rsid w:val="00540A73"/>
    <w:rsid w:val="00541464"/>
    <w:rsid w:val="00541520"/>
    <w:rsid w:val="00541EC7"/>
    <w:rsid w:val="00543A36"/>
    <w:rsid w:val="00545058"/>
    <w:rsid w:val="0054534F"/>
    <w:rsid w:val="00546472"/>
    <w:rsid w:val="00547BB2"/>
    <w:rsid w:val="005511F7"/>
    <w:rsid w:val="00551C9C"/>
    <w:rsid w:val="005536CD"/>
    <w:rsid w:val="00553AE9"/>
    <w:rsid w:val="005541CE"/>
    <w:rsid w:val="0055420A"/>
    <w:rsid w:val="0055481E"/>
    <w:rsid w:val="00554E1D"/>
    <w:rsid w:val="0055515A"/>
    <w:rsid w:val="00557323"/>
    <w:rsid w:val="00560CB5"/>
    <w:rsid w:val="00560E02"/>
    <w:rsid w:val="0056210C"/>
    <w:rsid w:val="00563A0E"/>
    <w:rsid w:val="00564CDC"/>
    <w:rsid w:val="0056781F"/>
    <w:rsid w:val="00567E52"/>
    <w:rsid w:val="005702C6"/>
    <w:rsid w:val="005704C3"/>
    <w:rsid w:val="00570DAC"/>
    <w:rsid w:val="00571E8C"/>
    <w:rsid w:val="00571FB0"/>
    <w:rsid w:val="0057334B"/>
    <w:rsid w:val="00574272"/>
    <w:rsid w:val="005749A4"/>
    <w:rsid w:val="00574AE0"/>
    <w:rsid w:val="005753CC"/>
    <w:rsid w:val="00575B6F"/>
    <w:rsid w:val="00575B75"/>
    <w:rsid w:val="005767CE"/>
    <w:rsid w:val="00577B13"/>
    <w:rsid w:val="00577B33"/>
    <w:rsid w:val="005818A8"/>
    <w:rsid w:val="00581BFF"/>
    <w:rsid w:val="00581C36"/>
    <w:rsid w:val="00581D87"/>
    <w:rsid w:val="00583525"/>
    <w:rsid w:val="0058367B"/>
    <w:rsid w:val="005845DD"/>
    <w:rsid w:val="0058564F"/>
    <w:rsid w:val="00585C35"/>
    <w:rsid w:val="00587495"/>
    <w:rsid w:val="0059289B"/>
    <w:rsid w:val="0059392F"/>
    <w:rsid w:val="00593F3E"/>
    <w:rsid w:val="0059424D"/>
    <w:rsid w:val="00594256"/>
    <w:rsid w:val="0059445D"/>
    <w:rsid w:val="005944AE"/>
    <w:rsid w:val="0059481B"/>
    <w:rsid w:val="005951B5"/>
    <w:rsid w:val="00596A5D"/>
    <w:rsid w:val="00597574"/>
    <w:rsid w:val="005A15BC"/>
    <w:rsid w:val="005A1997"/>
    <w:rsid w:val="005A1EBF"/>
    <w:rsid w:val="005A2EF1"/>
    <w:rsid w:val="005A2F91"/>
    <w:rsid w:val="005A3473"/>
    <w:rsid w:val="005A4AF5"/>
    <w:rsid w:val="005A5B1D"/>
    <w:rsid w:val="005A7644"/>
    <w:rsid w:val="005A7CD4"/>
    <w:rsid w:val="005A7ED9"/>
    <w:rsid w:val="005B0254"/>
    <w:rsid w:val="005B1D10"/>
    <w:rsid w:val="005B2B42"/>
    <w:rsid w:val="005B32D1"/>
    <w:rsid w:val="005B3C71"/>
    <w:rsid w:val="005B3FF5"/>
    <w:rsid w:val="005B51D3"/>
    <w:rsid w:val="005B5DEF"/>
    <w:rsid w:val="005B72C8"/>
    <w:rsid w:val="005C050F"/>
    <w:rsid w:val="005C0A65"/>
    <w:rsid w:val="005C0CBF"/>
    <w:rsid w:val="005C0E3F"/>
    <w:rsid w:val="005C143C"/>
    <w:rsid w:val="005C15F9"/>
    <w:rsid w:val="005C3F16"/>
    <w:rsid w:val="005C442E"/>
    <w:rsid w:val="005C4813"/>
    <w:rsid w:val="005C489C"/>
    <w:rsid w:val="005C5846"/>
    <w:rsid w:val="005C58AC"/>
    <w:rsid w:val="005C66EE"/>
    <w:rsid w:val="005C6803"/>
    <w:rsid w:val="005D08EE"/>
    <w:rsid w:val="005D0C9A"/>
    <w:rsid w:val="005D126C"/>
    <w:rsid w:val="005D1965"/>
    <w:rsid w:val="005D2A34"/>
    <w:rsid w:val="005D5CEB"/>
    <w:rsid w:val="005D636E"/>
    <w:rsid w:val="005D6800"/>
    <w:rsid w:val="005D750A"/>
    <w:rsid w:val="005D7784"/>
    <w:rsid w:val="005D795D"/>
    <w:rsid w:val="005D7A07"/>
    <w:rsid w:val="005D7B28"/>
    <w:rsid w:val="005E1653"/>
    <w:rsid w:val="005E33C8"/>
    <w:rsid w:val="005E352F"/>
    <w:rsid w:val="005E45D5"/>
    <w:rsid w:val="005E4747"/>
    <w:rsid w:val="005E5EED"/>
    <w:rsid w:val="005E7964"/>
    <w:rsid w:val="005F07F3"/>
    <w:rsid w:val="005F0CA3"/>
    <w:rsid w:val="005F13D0"/>
    <w:rsid w:val="005F2917"/>
    <w:rsid w:val="005F2BF3"/>
    <w:rsid w:val="005F387A"/>
    <w:rsid w:val="005F3EE6"/>
    <w:rsid w:val="005F442F"/>
    <w:rsid w:val="005F7D2D"/>
    <w:rsid w:val="00601346"/>
    <w:rsid w:val="00601B09"/>
    <w:rsid w:val="00602BFB"/>
    <w:rsid w:val="00602C01"/>
    <w:rsid w:val="00602E7B"/>
    <w:rsid w:val="00603EFF"/>
    <w:rsid w:val="00604DB9"/>
    <w:rsid w:val="006052AC"/>
    <w:rsid w:val="00606663"/>
    <w:rsid w:val="00607BE6"/>
    <w:rsid w:val="00610B29"/>
    <w:rsid w:val="00611236"/>
    <w:rsid w:val="00612CA6"/>
    <w:rsid w:val="0061427C"/>
    <w:rsid w:val="00614A85"/>
    <w:rsid w:val="006164CA"/>
    <w:rsid w:val="006167B9"/>
    <w:rsid w:val="00616D8B"/>
    <w:rsid w:val="00617155"/>
    <w:rsid w:val="00617449"/>
    <w:rsid w:val="006175AF"/>
    <w:rsid w:val="00622393"/>
    <w:rsid w:val="00622CD9"/>
    <w:rsid w:val="00624EE5"/>
    <w:rsid w:val="00625314"/>
    <w:rsid w:val="006267A5"/>
    <w:rsid w:val="00626BC3"/>
    <w:rsid w:val="00631BFE"/>
    <w:rsid w:val="00633556"/>
    <w:rsid w:val="0063440C"/>
    <w:rsid w:val="00635B10"/>
    <w:rsid w:val="00636A7E"/>
    <w:rsid w:val="00636AC2"/>
    <w:rsid w:val="00637B09"/>
    <w:rsid w:val="0064147B"/>
    <w:rsid w:val="00643301"/>
    <w:rsid w:val="00643C2D"/>
    <w:rsid w:val="00644257"/>
    <w:rsid w:val="00646494"/>
    <w:rsid w:val="00647408"/>
    <w:rsid w:val="00650F96"/>
    <w:rsid w:val="00651F70"/>
    <w:rsid w:val="0065351D"/>
    <w:rsid w:val="00655164"/>
    <w:rsid w:val="0065540A"/>
    <w:rsid w:val="00657156"/>
    <w:rsid w:val="006579C9"/>
    <w:rsid w:val="006602B4"/>
    <w:rsid w:val="00660878"/>
    <w:rsid w:val="00662CB9"/>
    <w:rsid w:val="0066448E"/>
    <w:rsid w:val="00664963"/>
    <w:rsid w:val="00665BD9"/>
    <w:rsid w:val="00665BE0"/>
    <w:rsid w:val="00665BE4"/>
    <w:rsid w:val="00666E6C"/>
    <w:rsid w:val="006670B4"/>
    <w:rsid w:val="006677BC"/>
    <w:rsid w:val="00667A4D"/>
    <w:rsid w:val="006711E4"/>
    <w:rsid w:val="00671F54"/>
    <w:rsid w:val="00674C7B"/>
    <w:rsid w:val="006754BB"/>
    <w:rsid w:val="006759BA"/>
    <w:rsid w:val="00675EF5"/>
    <w:rsid w:val="00676842"/>
    <w:rsid w:val="00682101"/>
    <w:rsid w:val="00682C20"/>
    <w:rsid w:val="0068302F"/>
    <w:rsid w:val="0068515C"/>
    <w:rsid w:val="00685385"/>
    <w:rsid w:val="00686921"/>
    <w:rsid w:val="00687639"/>
    <w:rsid w:val="00687ECE"/>
    <w:rsid w:val="00687FB1"/>
    <w:rsid w:val="006915EA"/>
    <w:rsid w:val="00691B57"/>
    <w:rsid w:val="00691C2D"/>
    <w:rsid w:val="00691E94"/>
    <w:rsid w:val="00691EFD"/>
    <w:rsid w:val="006925B4"/>
    <w:rsid w:val="00692603"/>
    <w:rsid w:val="00692BDC"/>
    <w:rsid w:val="006931BE"/>
    <w:rsid w:val="00693BCB"/>
    <w:rsid w:val="00693EE3"/>
    <w:rsid w:val="006961B2"/>
    <w:rsid w:val="0069627C"/>
    <w:rsid w:val="006962D4"/>
    <w:rsid w:val="00697662"/>
    <w:rsid w:val="006A07CF"/>
    <w:rsid w:val="006A18DB"/>
    <w:rsid w:val="006A22DB"/>
    <w:rsid w:val="006A2C61"/>
    <w:rsid w:val="006A2FD1"/>
    <w:rsid w:val="006A3B95"/>
    <w:rsid w:val="006A589E"/>
    <w:rsid w:val="006A70AC"/>
    <w:rsid w:val="006A7481"/>
    <w:rsid w:val="006A7E9A"/>
    <w:rsid w:val="006B0220"/>
    <w:rsid w:val="006B15F1"/>
    <w:rsid w:val="006B1841"/>
    <w:rsid w:val="006B1A0A"/>
    <w:rsid w:val="006B1BA7"/>
    <w:rsid w:val="006B210A"/>
    <w:rsid w:val="006B238C"/>
    <w:rsid w:val="006B2DD5"/>
    <w:rsid w:val="006B4D73"/>
    <w:rsid w:val="006B58E7"/>
    <w:rsid w:val="006B689C"/>
    <w:rsid w:val="006B68F8"/>
    <w:rsid w:val="006B7705"/>
    <w:rsid w:val="006C0E84"/>
    <w:rsid w:val="006C1D24"/>
    <w:rsid w:val="006C29B9"/>
    <w:rsid w:val="006C3089"/>
    <w:rsid w:val="006C51C1"/>
    <w:rsid w:val="006C5850"/>
    <w:rsid w:val="006C603E"/>
    <w:rsid w:val="006C60EC"/>
    <w:rsid w:val="006C6672"/>
    <w:rsid w:val="006C6A3B"/>
    <w:rsid w:val="006C6E40"/>
    <w:rsid w:val="006C760E"/>
    <w:rsid w:val="006C7E21"/>
    <w:rsid w:val="006D00DF"/>
    <w:rsid w:val="006D03ED"/>
    <w:rsid w:val="006D0BDA"/>
    <w:rsid w:val="006D4679"/>
    <w:rsid w:val="006D4FB6"/>
    <w:rsid w:val="006D6BD6"/>
    <w:rsid w:val="006D70AC"/>
    <w:rsid w:val="006D7656"/>
    <w:rsid w:val="006D7836"/>
    <w:rsid w:val="006D7FDC"/>
    <w:rsid w:val="006E05DB"/>
    <w:rsid w:val="006E05E8"/>
    <w:rsid w:val="006E0E70"/>
    <w:rsid w:val="006E2C99"/>
    <w:rsid w:val="006E2E10"/>
    <w:rsid w:val="006E3277"/>
    <w:rsid w:val="006E3E17"/>
    <w:rsid w:val="006E554F"/>
    <w:rsid w:val="006E62A6"/>
    <w:rsid w:val="006F0765"/>
    <w:rsid w:val="006F286A"/>
    <w:rsid w:val="006F318E"/>
    <w:rsid w:val="006F449E"/>
    <w:rsid w:val="006F4E91"/>
    <w:rsid w:val="006F5657"/>
    <w:rsid w:val="006F651C"/>
    <w:rsid w:val="006F6A28"/>
    <w:rsid w:val="006F6CDD"/>
    <w:rsid w:val="00700698"/>
    <w:rsid w:val="0070307B"/>
    <w:rsid w:val="007039A1"/>
    <w:rsid w:val="00704D84"/>
    <w:rsid w:val="00706B4C"/>
    <w:rsid w:val="00706EE5"/>
    <w:rsid w:val="00707CB2"/>
    <w:rsid w:val="007114A4"/>
    <w:rsid w:val="0071302A"/>
    <w:rsid w:val="0071338C"/>
    <w:rsid w:val="007134E1"/>
    <w:rsid w:val="0071797F"/>
    <w:rsid w:val="0072024A"/>
    <w:rsid w:val="007211ED"/>
    <w:rsid w:val="00722553"/>
    <w:rsid w:val="007237D2"/>
    <w:rsid w:val="00724194"/>
    <w:rsid w:val="007260E5"/>
    <w:rsid w:val="007266D3"/>
    <w:rsid w:val="00726C53"/>
    <w:rsid w:val="007273FE"/>
    <w:rsid w:val="00730607"/>
    <w:rsid w:val="00730ECC"/>
    <w:rsid w:val="007311B3"/>
    <w:rsid w:val="0073330C"/>
    <w:rsid w:val="007336F9"/>
    <w:rsid w:val="007339AA"/>
    <w:rsid w:val="007359B3"/>
    <w:rsid w:val="00735F6F"/>
    <w:rsid w:val="00736047"/>
    <w:rsid w:val="00736AF3"/>
    <w:rsid w:val="00736D84"/>
    <w:rsid w:val="00737B6C"/>
    <w:rsid w:val="007410E5"/>
    <w:rsid w:val="00741C60"/>
    <w:rsid w:val="00741F83"/>
    <w:rsid w:val="007421ED"/>
    <w:rsid w:val="00744925"/>
    <w:rsid w:val="00744EF0"/>
    <w:rsid w:val="0074553A"/>
    <w:rsid w:val="007459C3"/>
    <w:rsid w:val="0074656B"/>
    <w:rsid w:val="0074747D"/>
    <w:rsid w:val="00750480"/>
    <w:rsid w:val="00751EB7"/>
    <w:rsid w:val="007536F8"/>
    <w:rsid w:val="00753F05"/>
    <w:rsid w:val="0075641A"/>
    <w:rsid w:val="007572DC"/>
    <w:rsid w:val="00757411"/>
    <w:rsid w:val="00760951"/>
    <w:rsid w:val="00760B9F"/>
    <w:rsid w:val="00762838"/>
    <w:rsid w:val="00762869"/>
    <w:rsid w:val="00763113"/>
    <w:rsid w:val="007632B8"/>
    <w:rsid w:val="007635AD"/>
    <w:rsid w:val="007655BC"/>
    <w:rsid w:val="007657E3"/>
    <w:rsid w:val="00766AC8"/>
    <w:rsid w:val="00766E86"/>
    <w:rsid w:val="00766FD5"/>
    <w:rsid w:val="00772606"/>
    <w:rsid w:val="007757B2"/>
    <w:rsid w:val="00775F3C"/>
    <w:rsid w:val="007760D1"/>
    <w:rsid w:val="007770D7"/>
    <w:rsid w:val="0077795E"/>
    <w:rsid w:val="00777F7E"/>
    <w:rsid w:val="0078053C"/>
    <w:rsid w:val="00780FFB"/>
    <w:rsid w:val="00782515"/>
    <w:rsid w:val="007825EB"/>
    <w:rsid w:val="007829D0"/>
    <w:rsid w:val="00782EC2"/>
    <w:rsid w:val="0078459F"/>
    <w:rsid w:val="00785607"/>
    <w:rsid w:val="00786B03"/>
    <w:rsid w:val="00786CA3"/>
    <w:rsid w:val="00787148"/>
    <w:rsid w:val="00787766"/>
    <w:rsid w:val="00790865"/>
    <w:rsid w:val="00790895"/>
    <w:rsid w:val="00790C78"/>
    <w:rsid w:val="00793043"/>
    <w:rsid w:val="00794EA3"/>
    <w:rsid w:val="007955B0"/>
    <w:rsid w:val="00795620"/>
    <w:rsid w:val="007958EA"/>
    <w:rsid w:val="00795C7D"/>
    <w:rsid w:val="007960E6"/>
    <w:rsid w:val="00797382"/>
    <w:rsid w:val="0079738E"/>
    <w:rsid w:val="007A0350"/>
    <w:rsid w:val="007A0A59"/>
    <w:rsid w:val="007A15B6"/>
    <w:rsid w:val="007A1BBD"/>
    <w:rsid w:val="007A21AD"/>
    <w:rsid w:val="007A3693"/>
    <w:rsid w:val="007A4F52"/>
    <w:rsid w:val="007A52D2"/>
    <w:rsid w:val="007A5D99"/>
    <w:rsid w:val="007A6C0C"/>
    <w:rsid w:val="007A6D16"/>
    <w:rsid w:val="007A77A9"/>
    <w:rsid w:val="007B029F"/>
    <w:rsid w:val="007B2A91"/>
    <w:rsid w:val="007B337F"/>
    <w:rsid w:val="007B399A"/>
    <w:rsid w:val="007B4DC6"/>
    <w:rsid w:val="007B62AE"/>
    <w:rsid w:val="007B6467"/>
    <w:rsid w:val="007B7B2B"/>
    <w:rsid w:val="007C07EC"/>
    <w:rsid w:val="007C208E"/>
    <w:rsid w:val="007C2205"/>
    <w:rsid w:val="007C2800"/>
    <w:rsid w:val="007C3227"/>
    <w:rsid w:val="007C42EA"/>
    <w:rsid w:val="007C4E4D"/>
    <w:rsid w:val="007C5F1A"/>
    <w:rsid w:val="007D0B1D"/>
    <w:rsid w:val="007D219F"/>
    <w:rsid w:val="007D36EC"/>
    <w:rsid w:val="007D394B"/>
    <w:rsid w:val="007D5119"/>
    <w:rsid w:val="007D7EF1"/>
    <w:rsid w:val="007E047D"/>
    <w:rsid w:val="007E0A81"/>
    <w:rsid w:val="007E7661"/>
    <w:rsid w:val="007E77D1"/>
    <w:rsid w:val="007E7A21"/>
    <w:rsid w:val="007F0A2E"/>
    <w:rsid w:val="007F0F28"/>
    <w:rsid w:val="007F1228"/>
    <w:rsid w:val="007F1D69"/>
    <w:rsid w:val="007F31C4"/>
    <w:rsid w:val="007F3837"/>
    <w:rsid w:val="007F4A60"/>
    <w:rsid w:val="007F4F5E"/>
    <w:rsid w:val="007F7FA5"/>
    <w:rsid w:val="0080023F"/>
    <w:rsid w:val="00801807"/>
    <w:rsid w:val="00801FFF"/>
    <w:rsid w:val="008035C2"/>
    <w:rsid w:val="0080425A"/>
    <w:rsid w:val="00804BAD"/>
    <w:rsid w:val="00805D53"/>
    <w:rsid w:val="00806844"/>
    <w:rsid w:val="0081215A"/>
    <w:rsid w:val="00812DDE"/>
    <w:rsid w:val="0081339A"/>
    <w:rsid w:val="00816237"/>
    <w:rsid w:val="00816411"/>
    <w:rsid w:val="00816843"/>
    <w:rsid w:val="008172D4"/>
    <w:rsid w:val="0082034F"/>
    <w:rsid w:val="00820375"/>
    <w:rsid w:val="00820C5F"/>
    <w:rsid w:val="00821A72"/>
    <w:rsid w:val="0082248E"/>
    <w:rsid w:val="00823426"/>
    <w:rsid w:val="00825187"/>
    <w:rsid w:val="0082590D"/>
    <w:rsid w:val="00825A6C"/>
    <w:rsid w:val="00825A7A"/>
    <w:rsid w:val="00827430"/>
    <w:rsid w:val="008309FB"/>
    <w:rsid w:val="00830B4C"/>
    <w:rsid w:val="0083291B"/>
    <w:rsid w:val="00832B7B"/>
    <w:rsid w:val="008335FE"/>
    <w:rsid w:val="00833EBF"/>
    <w:rsid w:val="00834366"/>
    <w:rsid w:val="00835428"/>
    <w:rsid w:val="00835822"/>
    <w:rsid w:val="00835834"/>
    <w:rsid w:val="00836290"/>
    <w:rsid w:val="008371C2"/>
    <w:rsid w:val="00840883"/>
    <w:rsid w:val="00840CB6"/>
    <w:rsid w:val="00850355"/>
    <w:rsid w:val="00850F68"/>
    <w:rsid w:val="00851293"/>
    <w:rsid w:val="00851AAA"/>
    <w:rsid w:val="00852656"/>
    <w:rsid w:val="008530A8"/>
    <w:rsid w:val="0085348C"/>
    <w:rsid w:val="00853F91"/>
    <w:rsid w:val="00855E6D"/>
    <w:rsid w:val="00857156"/>
    <w:rsid w:val="00857B2D"/>
    <w:rsid w:val="008603D1"/>
    <w:rsid w:val="00861CB3"/>
    <w:rsid w:val="008629EB"/>
    <w:rsid w:val="00864835"/>
    <w:rsid w:val="00864858"/>
    <w:rsid w:val="0086513A"/>
    <w:rsid w:val="00866108"/>
    <w:rsid w:val="00866447"/>
    <w:rsid w:val="00866D62"/>
    <w:rsid w:val="008679D6"/>
    <w:rsid w:val="008700D0"/>
    <w:rsid w:val="0087159D"/>
    <w:rsid w:val="00872395"/>
    <w:rsid w:val="00873C42"/>
    <w:rsid w:val="008741D9"/>
    <w:rsid w:val="008749C3"/>
    <w:rsid w:val="00875695"/>
    <w:rsid w:val="00875ADF"/>
    <w:rsid w:val="008762D0"/>
    <w:rsid w:val="00880206"/>
    <w:rsid w:val="008804EB"/>
    <w:rsid w:val="00880A1A"/>
    <w:rsid w:val="00881360"/>
    <w:rsid w:val="00881F19"/>
    <w:rsid w:val="008830DE"/>
    <w:rsid w:val="00884E6A"/>
    <w:rsid w:val="008853A7"/>
    <w:rsid w:val="00886990"/>
    <w:rsid w:val="00887149"/>
    <w:rsid w:val="00890696"/>
    <w:rsid w:val="00891DB4"/>
    <w:rsid w:val="008928F4"/>
    <w:rsid w:val="00895774"/>
    <w:rsid w:val="00897A35"/>
    <w:rsid w:val="008A0C89"/>
    <w:rsid w:val="008A1B70"/>
    <w:rsid w:val="008A3D9A"/>
    <w:rsid w:val="008A431D"/>
    <w:rsid w:val="008A4513"/>
    <w:rsid w:val="008A52EA"/>
    <w:rsid w:val="008A57F9"/>
    <w:rsid w:val="008A5B9E"/>
    <w:rsid w:val="008B1553"/>
    <w:rsid w:val="008B2B91"/>
    <w:rsid w:val="008B33A4"/>
    <w:rsid w:val="008B4A0D"/>
    <w:rsid w:val="008B7655"/>
    <w:rsid w:val="008B7BA9"/>
    <w:rsid w:val="008C00AC"/>
    <w:rsid w:val="008C02AD"/>
    <w:rsid w:val="008C1FB4"/>
    <w:rsid w:val="008C2E12"/>
    <w:rsid w:val="008C2ED5"/>
    <w:rsid w:val="008C3176"/>
    <w:rsid w:val="008C4902"/>
    <w:rsid w:val="008C55A7"/>
    <w:rsid w:val="008C5C42"/>
    <w:rsid w:val="008C7C06"/>
    <w:rsid w:val="008D0EE8"/>
    <w:rsid w:val="008D14E2"/>
    <w:rsid w:val="008D2BB3"/>
    <w:rsid w:val="008D42DE"/>
    <w:rsid w:val="008D4504"/>
    <w:rsid w:val="008D4590"/>
    <w:rsid w:val="008D512B"/>
    <w:rsid w:val="008D517B"/>
    <w:rsid w:val="008D5718"/>
    <w:rsid w:val="008D58CD"/>
    <w:rsid w:val="008D5B81"/>
    <w:rsid w:val="008D5BDB"/>
    <w:rsid w:val="008D66B0"/>
    <w:rsid w:val="008D68CE"/>
    <w:rsid w:val="008D780A"/>
    <w:rsid w:val="008D7886"/>
    <w:rsid w:val="008D7D77"/>
    <w:rsid w:val="008E0369"/>
    <w:rsid w:val="008E03C3"/>
    <w:rsid w:val="008E084B"/>
    <w:rsid w:val="008E1880"/>
    <w:rsid w:val="008E351A"/>
    <w:rsid w:val="008E57F8"/>
    <w:rsid w:val="008E6794"/>
    <w:rsid w:val="008E716C"/>
    <w:rsid w:val="008E7434"/>
    <w:rsid w:val="008E7F12"/>
    <w:rsid w:val="008F09BC"/>
    <w:rsid w:val="008F246B"/>
    <w:rsid w:val="008F41DD"/>
    <w:rsid w:val="008F4972"/>
    <w:rsid w:val="008F50FF"/>
    <w:rsid w:val="008F5BA7"/>
    <w:rsid w:val="008F5EEA"/>
    <w:rsid w:val="00900A55"/>
    <w:rsid w:val="0090302A"/>
    <w:rsid w:val="009037E3"/>
    <w:rsid w:val="009041B6"/>
    <w:rsid w:val="009056F6"/>
    <w:rsid w:val="0090580E"/>
    <w:rsid w:val="0090602C"/>
    <w:rsid w:val="00906E40"/>
    <w:rsid w:val="00907A35"/>
    <w:rsid w:val="009103A8"/>
    <w:rsid w:val="00912CBB"/>
    <w:rsid w:val="009137E9"/>
    <w:rsid w:val="00915C9B"/>
    <w:rsid w:val="00916846"/>
    <w:rsid w:val="0091760A"/>
    <w:rsid w:val="009216E4"/>
    <w:rsid w:val="00921AA0"/>
    <w:rsid w:val="009223E9"/>
    <w:rsid w:val="009238E8"/>
    <w:rsid w:val="009239BD"/>
    <w:rsid w:val="00923E92"/>
    <w:rsid w:val="00923EFF"/>
    <w:rsid w:val="0092519E"/>
    <w:rsid w:val="0092546A"/>
    <w:rsid w:val="009258F7"/>
    <w:rsid w:val="00925D8E"/>
    <w:rsid w:val="00926794"/>
    <w:rsid w:val="00926E55"/>
    <w:rsid w:val="009276E7"/>
    <w:rsid w:val="00927B3A"/>
    <w:rsid w:val="00930130"/>
    <w:rsid w:val="00931123"/>
    <w:rsid w:val="00931EB8"/>
    <w:rsid w:val="00931EE4"/>
    <w:rsid w:val="00932413"/>
    <w:rsid w:val="0093241D"/>
    <w:rsid w:val="00932B8F"/>
    <w:rsid w:val="009335F7"/>
    <w:rsid w:val="0093550F"/>
    <w:rsid w:val="00935C25"/>
    <w:rsid w:val="00936AD8"/>
    <w:rsid w:val="00936F21"/>
    <w:rsid w:val="00940000"/>
    <w:rsid w:val="0094059F"/>
    <w:rsid w:val="00941598"/>
    <w:rsid w:val="0094226F"/>
    <w:rsid w:val="009436FA"/>
    <w:rsid w:val="00944EC0"/>
    <w:rsid w:val="009473E5"/>
    <w:rsid w:val="009503B9"/>
    <w:rsid w:val="00950895"/>
    <w:rsid w:val="00950D59"/>
    <w:rsid w:val="009516A5"/>
    <w:rsid w:val="00952759"/>
    <w:rsid w:val="00955D4E"/>
    <w:rsid w:val="00956E42"/>
    <w:rsid w:val="00957B68"/>
    <w:rsid w:val="009600E3"/>
    <w:rsid w:val="00961DF0"/>
    <w:rsid w:val="0096283A"/>
    <w:rsid w:val="00962CBF"/>
    <w:rsid w:val="009631A9"/>
    <w:rsid w:val="00963C0E"/>
    <w:rsid w:val="00964D52"/>
    <w:rsid w:val="00964D75"/>
    <w:rsid w:val="00965B67"/>
    <w:rsid w:val="009704C7"/>
    <w:rsid w:val="00972403"/>
    <w:rsid w:val="00972AE3"/>
    <w:rsid w:val="009756FD"/>
    <w:rsid w:val="00975803"/>
    <w:rsid w:val="00976248"/>
    <w:rsid w:val="00976E57"/>
    <w:rsid w:val="009778D4"/>
    <w:rsid w:val="00977CCD"/>
    <w:rsid w:val="00980A27"/>
    <w:rsid w:val="00981560"/>
    <w:rsid w:val="009831BC"/>
    <w:rsid w:val="0098405F"/>
    <w:rsid w:val="00985D30"/>
    <w:rsid w:val="00986246"/>
    <w:rsid w:val="0099121E"/>
    <w:rsid w:val="009917E6"/>
    <w:rsid w:val="0099200A"/>
    <w:rsid w:val="009921EB"/>
    <w:rsid w:val="00992AA7"/>
    <w:rsid w:val="00993ED8"/>
    <w:rsid w:val="0099542E"/>
    <w:rsid w:val="00995F02"/>
    <w:rsid w:val="00995F9C"/>
    <w:rsid w:val="009962C9"/>
    <w:rsid w:val="009A058B"/>
    <w:rsid w:val="009A1E96"/>
    <w:rsid w:val="009A3E42"/>
    <w:rsid w:val="009A431F"/>
    <w:rsid w:val="009A6E0F"/>
    <w:rsid w:val="009A6E78"/>
    <w:rsid w:val="009B0CEC"/>
    <w:rsid w:val="009B106A"/>
    <w:rsid w:val="009B1D40"/>
    <w:rsid w:val="009B28F9"/>
    <w:rsid w:val="009B32A0"/>
    <w:rsid w:val="009B3764"/>
    <w:rsid w:val="009B3E6F"/>
    <w:rsid w:val="009B439A"/>
    <w:rsid w:val="009B44FF"/>
    <w:rsid w:val="009B493C"/>
    <w:rsid w:val="009B5F90"/>
    <w:rsid w:val="009B6D50"/>
    <w:rsid w:val="009C1BA2"/>
    <w:rsid w:val="009C2BC0"/>
    <w:rsid w:val="009C5B1E"/>
    <w:rsid w:val="009C6540"/>
    <w:rsid w:val="009C69B1"/>
    <w:rsid w:val="009C786B"/>
    <w:rsid w:val="009D0243"/>
    <w:rsid w:val="009D1ED2"/>
    <w:rsid w:val="009D2376"/>
    <w:rsid w:val="009D40BC"/>
    <w:rsid w:val="009D49DF"/>
    <w:rsid w:val="009D521E"/>
    <w:rsid w:val="009D570E"/>
    <w:rsid w:val="009D5D7E"/>
    <w:rsid w:val="009D6326"/>
    <w:rsid w:val="009D6B3E"/>
    <w:rsid w:val="009D78F1"/>
    <w:rsid w:val="009E1471"/>
    <w:rsid w:val="009E1C99"/>
    <w:rsid w:val="009E51A2"/>
    <w:rsid w:val="009E70ED"/>
    <w:rsid w:val="009F09D3"/>
    <w:rsid w:val="009F09E7"/>
    <w:rsid w:val="009F133A"/>
    <w:rsid w:val="009F1356"/>
    <w:rsid w:val="009F52AE"/>
    <w:rsid w:val="009F5C2E"/>
    <w:rsid w:val="00A002BA"/>
    <w:rsid w:val="00A03A51"/>
    <w:rsid w:val="00A04A73"/>
    <w:rsid w:val="00A054BC"/>
    <w:rsid w:val="00A06506"/>
    <w:rsid w:val="00A067F0"/>
    <w:rsid w:val="00A077C5"/>
    <w:rsid w:val="00A10E51"/>
    <w:rsid w:val="00A1156E"/>
    <w:rsid w:val="00A123F2"/>
    <w:rsid w:val="00A13072"/>
    <w:rsid w:val="00A148F7"/>
    <w:rsid w:val="00A15559"/>
    <w:rsid w:val="00A15980"/>
    <w:rsid w:val="00A15EAE"/>
    <w:rsid w:val="00A17518"/>
    <w:rsid w:val="00A17FCB"/>
    <w:rsid w:val="00A23EDC"/>
    <w:rsid w:val="00A257E2"/>
    <w:rsid w:val="00A25BE2"/>
    <w:rsid w:val="00A26BFC"/>
    <w:rsid w:val="00A271F2"/>
    <w:rsid w:val="00A27CBD"/>
    <w:rsid w:val="00A31853"/>
    <w:rsid w:val="00A32E62"/>
    <w:rsid w:val="00A33190"/>
    <w:rsid w:val="00A331A0"/>
    <w:rsid w:val="00A33DD9"/>
    <w:rsid w:val="00A35B75"/>
    <w:rsid w:val="00A364DF"/>
    <w:rsid w:val="00A37025"/>
    <w:rsid w:val="00A405C7"/>
    <w:rsid w:val="00A40A60"/>
    <w:rsid w:val="00A41A6C"/>
    <w:rsid w:val="00A427F0"/>
    <w:rsid w:val="00A435EC"/>
    <w:rsid w:val="00A45C7D"/>
    <w:rsid w:val="00A46393"/>
    <w:rsid w:val="00A470DB"/>
    <w:rsid w:val="00A47632"/>
    <w:rsid w:val="00A476BA"/>
    <w:rsid w:val="00A50600"/>
    <w:rsid w:val="00A50919"/>
    <w:rsid w:val="00A51851"/>
    <w:rsid w:val="00A51B31"/>
    <w:rsid w:val="00A52C19"/>
    <w:rsid w:val="00A533F7"/>
    <w:rsid w:val="00A5568B"/>
    <w:rsid w:val="00A55D44"/>
    <w:rsid w:val="00A55E96"/>
    <w:rsid w:val="00A570B2"/>
    <w:rsid w:val="00A570CE"/>
    <w:rsid w:val="00A57458"/>
    <w:rsid w:val="00A6084A"/>
    <w:rsid w:val="00A60AED"/>
    <w:rsid w:val="00A624FD"/>
    <w:rsid w:val="00A62ADB"/>
    <w:rsid w:val="00A64049"/>
    <w:rsid w:val="00A6420C"/>
    <w:rsid w:val="00A647FD"/>
    <w:rsid w:val="00A64A5A"/>
    <w:rsid w:val="00A652B6"/>
    <w:rsid w:val="00A65742"/>
    <w:rsid w:val="00A665BF"/>
    <w:rsid w:val="00A67AA3"/>
    <w:rsid w:val="00A71435"/>
    <w:rsid w:val="00A71F26"/>
    <w:rsid w:val="00A71FFF"/>
    <w:rsid w:val="00A73854"/>
    <w:rsid w:val="00A73B61"/>
    <w:rsid w:val="00A74D80"/>
    <w:rsid w:val="00A75520"/>
    <w:rsid w:val="00A75638"/>
    <w:rsid w:val="00A75DBD"/>
    <w:rsid w:val="00A76061"/>
    <w:rsid w:val="00A76120"/>
    <w:rsid w:val="00A76FAF"/>
    <w:rsid w:val="00A77069"/>
    <w:rsid w:val="00A77A9C"/>
    <w:rsid w:val="00A77FAD"/>
    <w:rsid w:val="00A80B27"/>
    <w:rsid w:val="00A81419"/>
    <w:rsid w:val="00A8194E"/>
    <w:rsid w:val="00A83441"/>
    <w:rsid w:val="00A8531B"/>
    <w:rsid w:val="00A857EF"/>
    <w:rsid w:val="00A87ED4"/>
    <w:rsid w:val="00A87F2B"/>
    <w:rsid w:val="00A914B0"/>
    <w:rsid w:val="00A91D6C"/>
    <w:rsid w:val="00A9243B"/>
    <w:rsid w:val="00A933BD"/>
    <w:rsid w:val="00A943F4"/>
    <w:rsid w:val="00A945F2"/>
    <w:rsid w:val="00A94D54"/>
    <w:rsid w:val="00A96DD3"/>
    <w:rsid w:val="00A97F25"/>
    <w:rsid w:val="00AA2697"/>
    <w:rsid w:val="00AA2F22"/>
    <w:rsid w:val="00AA4311"/>
    <w:rsid w:val="00AA47CE"/>
    <w:rsid w:val="00AA56A5"/>
    <w:rsid w:val="00AA5923"/>
    <w:rsid w:val="00AA59D7"/>
    <w:rsid w:val="00AA74AF"/>
    <w:rsid w:val="00AB137F"/>
    <w:rsid w:val="00AB1E29"/>
    <w:rsid w:val="00AB2A4D"/>
    <w:rsid w:val="00AB64E3"/>
    <w:rsid w:val="00AC107A"/>
    <w:rsid w:val="00AC1C0A"/>
    <w:rsid w:val="00AC1DBA"/>
    <w:rsid w:val="00AC2CCB"/>
    <w:rsid w:val="00AC43C8"/>
    <w:rsid w:val="00AC4D07"/>
    <w:rsid w:val="00AC7C42"/>
    <w:rsid w:val="00AC7EA2"/>
    <w:rsid w:val="00AD055F"/>
    <w:rsid w:val="00AD0CBC"/>
    <w:rsid w:val="00AD146B"/>
    <w:rsid w:val="00AD1986"/>
    <w:rsid w:val="00AD2440"/>
    <w:rsid w:val="00AD6088"/>
    <w:rsid w:val="00AD62C0"/>
    <w:rsid w:val="00AD6320"/>
    <w:rsid w:val="00AE159F"/>
    <w:rsid w:val="00AE21EE"/>
    <w:rsid w:val="00AE2405"/>
    <w:rsid w:val="00AE3260"/>
    <w:rsid w:val="00AE398A"/>
    <w:rsid w:val="00AE446D"/>
    <w:rsid w:val="00AE49E3"/>
    <w:rsid w:val="00AE4B96"/>
    <w:rsid w:val="00AE733F"/>
    <w:rsid w:val="00AF14B0"/>
    <w:rsid w:val="00AF30D1"/>
    <w:rsid w:val="00AF3CC6"/>
    <w:rsid w:val="00AF43C0"/>
    <w:rsid w:val="00AF588D"/>
    <w:rsid w:val="00AF60E3"/>
    <w:rsid w:val="00AF6433"/>
    <w:rsid w:val="00AF64AE"/>
    <w:rsid w:val="00AF7F60"/>
    <w:rsid w:val="00B00A3E"/>
    <w:rsid w:val="00B0139D"/>
    <w:rsid w:val="00B016D9"/>
    <w:rsid w:val="00B01CB9"/>
    <w:rsid w:val="00B03330"/>
    <w:rsid w:val="00B03E0E"/>
    <w:rsid w:val="00B04F64"/>
    <w:rsid w:val="00B067B5"/>
    <w:rsid w:val="00B06B5E"/>
    <w:rsid w:val="00B109BD"/>
    <w:rsid w:val="00B10FC1"/>
    <w:rsid w:val="00B14DEB"/>
    <w:rsid w:val="00B15D4D"/>
    <w:rsid w:val="00B1777F"/>
    <w:rsid w:val="00B17A38"/>
    <w:rsid w:val="00B21272"/>
    <w:rsid w:val="00B2134C"/>
    <w:rsid w:val="00B2166B"/>
    <w:rsid w:val="00B22223"/>
    <w:rsid w:val="00B232F1"/>
    <w:rsid w:val="00B23B44"/>
    <w:rsid w:val="00B23E45"/>
    <w:rsid w:val="00B25210"/>
    <w:rsid w:val="00B25484"/>
    <w:rsid w:val="00B258F9"/>
    <w:rsid w:val="00B2618B"/>
    <w:rsid w:val="00B26E96"/>
    <w:rsid w:val="00B27580"/>
    <w:rsid w:val="00B2769A"/>
    <w:rsid w:val="00B31ABD"/>
    <w:rsid w:val="00B31F06"/>
    <w:rsid w:val="00B31FC4"/>
    <w:rsid w:val="00B325C9"/>
    <w:rsid w:val="00B32A9D"/>
    <w:rsid w:val="00B33E21"/>
    <w:rsid w:val="00B36F55"/>
    <w:rsid w:val="00B378F3"/>
    <w:rsid w:val="00B3796F"/>
    <w:rsid w:val="00B4080D"/>
    <w:rsid w:val="00B40B2B"/>
    <w:rsid w:val="00B42FE3"/>
    <w:rsid w:val="00B43BFB"/>
    <w:rsid w:val="00B43CC8"/>
    <w:rsid w:val="00B44292"/>
    <w:rsid w:val="00B45DC8"/>
    <w:rsid w:val="00B46B0A"/>
    <w:rsid w:val="00B46CA9"/>
    <w:rsid w:val="00B51471"/>
    <w:rsid w:val="00B52260"/>
    <w:rsid w:val="00B52489"/>
    <w:rsid w:val="00B526E4"/>
    <w:rsid w:val="00B5289D"/>
    <w:rsid w:val="00B53D93"/>
    <w:rsid w:val="00B546FD"/>
    <w:rsid w:val="00B5488B"/>
    <w:rsid w:val="00B55004"/>
    <w:rsid w:val="00B559DD"/>
    <w:rsid w:val="00B55EE6"/>
    <w:rsid w:val="00B55EF1"/>
    <w:rsid w:val="00B56061"/>
    <w:rsid w:val="00B5666B"/>
    <w:rsid w:val="00B566C4"/>
    <w:rsid w:val="00B572F9"/>
    <w:rsid w:val="00B57423"/>
    <w:rsid w:val="00B57722"/>
    <w:rsid w:val="00B57D35"/>
    <w:rsid w:val="00B60052"/>
    <w:rsid w:val="00B60794"/>
    <w:rsid w:val="00B64924"/>
    <w:rsid w:val="00B64BD1"/>
    <w:rsid w:val="00B64E27"/>
    <w:rsid w:val="00B64F39"/>
    <w:rsid w:val="00B64F6C"/>
    <w:rsid w:val="00B652B1"/>
    <w:rsid w:val="00B663FE"/>
    <w:rsid w:val="00B66E85"/>
    <w:rsid w:val="00B67E16"/>
    <w:rsid w:val="00B722DE"/>
    <w:rsid w:val="00B72644"/>
    <w:rsid w:val="00B72907"/>
    <w:rsid w:val="00B72A6D"/>
    <w:rsid w:val="00B74120"/>
    <w:rsid w:val="00B74F6F"/>
    <w:rsid w:val="00B75A2D"/>
    <w:rsid w:val="00B7608F"/>
    <w:rsid w:val="00B761E3"/>
    <w:rsid w:val="00B773EC"/>
    <w:rsid w:val="00B77EAD"/>
    <w:rsid w:val="00B8118A"/>
    <w:rsid w:val="00B8145B"/>
    <w:rsid w:val="00B827B8"/>
    <w:rsid w:val="00B85ACE"/>
    <w:rsid w:val="00B86DB2"/>
    <w:rsid w:val="00B86DC4"/>
    <w:rsid w:val="00B875CF"/>
    <w:rsid w:val="00B87C12"/>
    <w:rsid w:val="00B90217"/>
    <w:rsid w:val="00B90601"/>
    <w:rsid w:val="00B90FAC"/>
    <w:rsid w:val="00B92A86"/>
    <w:rsid w:val="00B938DB"/>
    <w:rsid w:val="00B93E42"/>
    <w:rsid w:val="00B93FA3"/>
    <w:rsid w:val="00B95082"/>
    <w:rsid w:val="00B96545"/>
    <w:rsid w:val="00B9674B"/>
    <w:rsid w:val="00B97C4E"/>
    <w:rsid w:val="00B97F8E"/>
    <w:rsid w:val="00BA03E6"/>
    <w:rsid w:val="00BA189E"/>
    <w:rsid w:val="00BA1FD0"/>
    <w:rsid w:val="00BA26B7"/>
    <w:rsid w:val="00BA2B0C"/>
    <w:rsid w:val="00BA34D0"/>
    <w:rsid w:val="00BA50C9"/>
    <w:rsid w:val="00BA595F"/>
    <w:rsid w:val="00BA5B0E"/>
    <w:rsid w:val="00BA638B"/>
    <w:rsid w:val="00BB1F08"/>
    <w:rsid w:val="00BB23CD"/>
    <w:rsid w:val="00BB2545"/>
    <w:rsid w:val="00BB5066"/>
    <w:rsid w:val="00BB5663"/>
    <w:rsid w:val="00BB59F9"/>
    <w:rsid w:val="00BB7A11"/>
    <w:rsid w:val="00BB7E42"/>
    <w:rsid w:val="00BC0814"/>
    <w:rsid w:val="00BC1052"/>
    <w:rsid w:val="00BC159F"/>
    <w:rsid w:val="00BC326A"/>
    <w:rsid w:val="00BC54A1"/>
    <w:rsid w:val="00BC55E6"/>
    <w:rsid w:val="00BC5C22"/>
    <w:rsid w:val="00BC6B32"/>
    <w:rsid w:val="00BD031A"/>
    <w:rsid w:val="00BD122C"/>
    <w:rsid w:val="00BD29A5"/>
    <w:rsid w:val="00BD37CB"/>
    <w:rsid w:val="00BD3D64"/>
    <w:rsid w:val="00BD6ED7"/>
    <w:rsid w:val="00BD739A"/>
    <w:rsid w:val="00BE1349"/>
    <w:rsid w:val="00BE1B24"/>
    <w:rsid w:val="00BE2F60"/>
    <w:rsid w:val="00BE3E73"/>
    <w:rsid w:val="00BE403C"/>
    <w:rsid w:val="00BE4639"/>
    <w:rsid w:val="00BE4F16"/>
    <w:rsid w:val="00BE51ED"/>
    <w:rsid w:val="00BE5CBD"/>
    <w:rsid w:val="00BE5E51"/>
    <w:rsid w:val="00BF070E"/>
    <w:rsid w:val="00BF074C"/>
    <w:rsid w:val="00BF08CA"/>
    <w:rsid w:val="00BF2134"/>
    <w:rsid w:val="00BF3492"/>
    <w:rsid w:val="00BF35CB"/>
    <w:rsid w:val="00BF3865"/>
    <w:rsid w:val="00BF53B0"/>
    <w:rsid w:val="00C01496"/>
    <w:rsid w:val="00C0196B"/>
    <w:rsid w:val="00C0251F"/>
    <w:rsid w:val="00C034C2"/>
    <w:rsid w:val="00C03BB2"/>
    <w:rsid w:val="00C043C7"/>
    <w:rsid w:val="00C04722"/>
    <w:rsid w:val="00C04E6D"/>
    <w:rsid w:val="00C055F8"/>
    <w:rsid w:val="00C07233"/>
    <w:rsid w:val="00C07865"/>
    <w:rsid w:val="00C1033B"/>
    <w:rsid w:val="00C10647"/>
    <w:rsid w:val="00C108CC"/>
    <w:rsid w:val="00C11481"/>
    <w:rsid w:val="00C125A4"/>
    <w:rsid w:val="00C1261B"/>
    <w:rsid w:val="00C12DAF"/>
    <w:rsid w:val="00C12E9D"/>
    <w:rsid w:val="00C134CC"/>
    <w:rsid w:val="00C138BC"/>
    <w:rsid w:val="00C15761"/>
    <w:rsid w:val="00C15960"/>
    <w:rsid w:val="00C1636D"/>
    <w:rsid w:val="00C2072E"/>
    <w:rsid w:val="00C21578"/>
    <w:rsid w:val="00C2360E"/>
    <w:rsid w:val="00C23688"/>
    <w:rsid w:val="00C25AA4"/>
    <w:rsid w:val="00C25F0D"/>
    <w:rsid w:val="00C26928"/>
    <w:rsid w:val="00C30B9D"/>
    <w:rsid w:val="00C315EA"/>
    <w:rsid w:val="00C31E53"/>
    <w:rsid w:val="00C32369"/>
    <w:rsid w:val="00C32559"/>
    <w:rsid w:val="00C32720"/>
    <w:rsid w:val="00C34948"/>
    <w:rsid w:val="00C34C4D"/>
    <w:rsid w:val="00C34CF3"/>
    <w:rsid w:val="00C35AF2"/>
    <w:rsid w:val="00C36E85"/>
    <w:rsid w:val="00C3732A"/>
    <w:rsid w:val="00C37ECB"/>
    <w:rsid w:val="00C413D8"/>
    <w:rsid w:val="00C418A0"/>
    <w:rsid w:val="00C42058"/>
    <w:rsid w:val="00C421E4"/>
    <w:rsid w:val="00C42D2F"/>
    <w:rsid w:val="00C44182"/>
    <w:rsid w:val="00C4479F"/>
    <w:rsid w:val="00C45C28"/>
    <w:rsid w:val="00C4680E"/>
    <w:rsid w:val="00C46EC4"/>
    <w:rsid w:val="00C47DFB"/>
    <w:rsid w:val="00C47F11"/>
    <w:rsid w:val="00C517B2"/>
    <w:rsid w:val="00C52D02"/>
    <w:rsid w:val="00C54C66"/>
    <w:rsid w:val="00C54FEF"/>
    <w:rsid w:val="00C57FE1"/>
    <w:rsid w:val="00C60C8D"/>
    <w:rsid w:val="00C6108D"/>
    <w:rsid w:val="00C61D9E"/>
    <w:rsid w:val="00C61DBD"/>
    <w:rsid w:val="00C62A87"/>
    <w:rsid w:val="00C634DD"/>
    <w:rsid w:val="00C649CD"/>
    <w:rsid w:val="00C65246"/>
    <w:rsid w:val="00C655A8"/>
    <w:rsid w:val="00C65F7B"/>
    <w:rsid w:val="00C668B3"/>
    <w:rsid w:val="00C70325"/>
    <w:rsid w:val="00C70421"/>
    <w:rsid w:val="00C7115A"/>
    <w:rsid w:val="00C71A23"/>
    <w:rsid w:val="00C72556"/>
    <w:rsid w:val="00C72576"/>
    <w:rsid w:val="00C7460D"/>
    <w:rsid w:val="00C749D9"/>
    <w:rsid w:val="00C74CD0"/>
    <w:rsid w:val="00C75870"/>
    <w:rsid w:val="00C777B5"/>
    <w:rsid w:val="00C8084D"/>
    <w:rsid w:val="00C8088A"/>
    <w:rsid w:val="00C80C60"/>
    <w:rsid w:val="00C82486"/>
    <w:rsid w:val="00C825B2"/>
    <w:rsid w:val="00C827E3"/>
    <w:rsid w:val="00C82E9B"/>
    <w:rsid w:val="00C83424"/>
    <w:rsid w:val="00C83938"/>
    <w:rsid w:val="00C83A33"/>
    <w:rsid w:val="00C83C83"/>
    <w:rsid w:val="00C858B8"/>
    <w:rsid w:val="00C878FB"/>
    <w:rsid w:val="00C87F05"/>
    <w:rsid w:val="00C90A97"/>
    <w:rsid w:val="00C91F89"/>
    <w:rsid w:val="00C92919"/>
    <w:rsid w:val="00C932E8"/>
    <w:rsid w:val="00C93DBA"/>
    <w:rsid w:val="00C944E7"/>
    <w:rsid w:val="00C9678D"/>
    <w:rsid w:val="00CA0453"/>
    <w:rsid w:val="00CA067F"/>
    <w:rsid w:val="00CA09B2"/>
    <w:rsid w:val="00CA1188"/>
    <w:rsid w:val="00CA15C7"/>
    <w:rsid w:val="00CA1AA0"/>
    <w:rsid w:val="00CA2309"/>
    <w:rsid w:val="00CA2FAF"/>
    <w:rsid w:val="00CA3BAF"/>
    <w:rsid w:val="00CA3CEB"/>
    <w:rsid w:val="00CA40A7"/>
    <w:rsid w:val="00CA4520"/>
    <w:rsid w:val="00CA4E04"/>
    <w:rsid w:val="00CA50B5"/>
    <w:rsid w:val="00CA5636"/>
    <w:rsid w:val="00CA5B94"/>
    <w:rsid w:val="00CA6110"/>
    <w:rsid w:val="00CA7291"/>
    <w:rsid w:val="00CB0135"/>
    <w:rsid w:val="00CB028E"/>
    <w:rsid w:val="00CB167B"/>
    <w:rsid w:val="00CB1C89"/>
    <w:rsid w:val="00CB214D"/>
    <w:rsid w:val="00CB2A76"/>
    <w:rsid w:val="00CB2CC0"/>
    <w:rsid w:val="00CB3721"/>
    <w:rsid w:val="00CB3C7D"/>
    <w:rsid w:val="00CB48D0"/>
    <w:rsid w:val="00CB4ED3"/>
    <w:rsid w:val="00CB5DC0"/>
    <w:rsid w:val="00CB61E5"/>
    <w:rsid w:val="00CB6494"/>
    <w:rsid w:val="00CC08D6"/>
    <w:rsid w:val="00CC0F59"/>
    <w:rsid w:val="00CC3323"/>
    <w:rsid w:val="00CC4C24"/>
    <w:rsid w:val="00CC5709"/>
    <w:rsid w:val="00CC61DD"/>
    <w:rsid w:val="00CD0715"/>
    <w:rsid w:val="00CD0E95"/>
    <w:rsid w:val="00CD4E9C"/>
    <w:rsid w:val="00CD50DD"/>
    <w:rsid w:val="00CD6B8A"/>
    <w:rsid w:val="00CE055E"/>
    <w:rsid w:val="00CE1131"/>
    <w:rsid w:val="00CE1B29"/>
    <w:rsid w:val="00CE1D1B"/>
    <w:rsid w:val="00CE2052"/>
    <w:rsid w:val="00CE2610"/>
    <w:rsid w:val="00CE3039"/>
    <w:rsid w:val="00CE3D46"/>
    <w:rsid w:val="00CE4B25"/>
    <w:rsid w:val="00CE4C66"/>
    <w:rsid w:val="00CE517A"/>
    <w:rsid w:val="00CE521B"/>
    <w:rsid w:val="00CF0106"/>
    <w:rsid w:val="00CF1D69"/>
    <w:rsid w:val="00CF23E2"/>
    <w:rsid w:val="00CF2D24"/>
    <w:rsid w:val="00CF397A"/>
    <w:rsid w:val="00CF5898"/>
    <w:rsid w:val="00CF6256"/>
    <w:rsid w:val="00CF6E99"/>
    <w:rsid w:val="00CF6EAB"/>
    <w:rsid w:val="00CF79F0"/>
    <w:rsid w:val="00D00402"/>
    <w:rsid w:val="00D00A79"/>
    <w:rsid w:val="00D017A1"/>
    <w:rsid w:val="00D02027"/>
    <w:rsid w:val="00D033C8"/>
    <w:rsid w:val="00D03F29"/>
    <w:rsid w:val="00D046E8"/>
    <w:rsid w:val="00D05B2C"/>
    <w:rsid w:val="00D05BF2"/>
    <w:rsid w:val="00D07DAC"/>
    <w:rsid w:val="00D121FC"/>
    <w:rsid w:val="00D12760"/>
    <w:rsid w:val="00D13A4E"/>
    <w:rsid w:val="00D1458B"/>
    <w:rsid w:val="00D15508"/>
    <w:rsid w:val="00D16060"/>
    <w:rsid w:val="00D16648"/>
    <w:rsid w:val="00D17A76"/>
    <w:rsid w:val="00D201FF"/>
    <w:rsid w:val="00D20C20"/>
    <w:rsid w:val="00D212F1"/>
    <w:rsid w:val="00D222E3"/>
    <w:rsid w:val="00D224D5"/>
    <w:rsid w:val="00D26252"/>
    <w:rsid w:val="00D26760"/>
    <w:rsid w:val="00D26F7C"/>
    <w:rsid w:val="00D27297"/>
    <w:rsid w:val="00D277A8"/>
    <w:rsid w:val="00D27F8E"/>
    <w:rsid w:val="00D3009C"/>
    <w:rsid w:val="00D3166E"/>
    <w:rsid w:val="00D32D8E"/>
    <w:rsid w:val="00D34C69"/>
    <w:rsid w:val="00D35AD5"/>
    <w:rsid w:val="00D35FDE"/>
    <w:rsid w:val="00D3761E"/>
    <w:rsid w:val="00D377C9"/>
    <w:rsid w:val="00D37C14"/>
    <w:rsid w:val="00D37D8F"/>
    <w:rsid w:val="00D40B9F"/>
    <w:rsid w:val="00D42371"/>
    <w:rsid w:val="00D458DB"/>
    <w:rsid w:val="00D4674A"/>
    <w:rsid w:val="00D46812"/>
    <w:rsid w:val="00D46999"/>
    <w:rsid w:val="00D47011"/>
    <w:rsid w:val="00D475C0"/>
    <w:rsid w:val="00D477FC"/>
    <w:rsid w:val="00D47D59"/>
    <w:rsid w:val="00D51DEA"/>
    <w:rsid w:val="00D5386C"/>
    <w:rsid w:val="00D53D1B"/>
    <w:rsid w:val="00D548DD"/>
    <w:rsid w:val="00D554AA"/>
    <w:rsid w:val="00D5640B"/>
    <w:rsid w:val="00D57CDB"/>
    <w:rsid w:val="00D61710"/>
    <w:rsid w:val="00D61B31"/>
    <w:rsid w:val="00D64BDE"/>
    <w:rsid w:val="00D64D93"/>
    <w:rsid w:val="00D66342"/>
    <w:rsid w:val="00D67C7C"/>
    <w:rsid w:val="00D72907"/>
    <w:rsid w:val="00D72B93"/>
    <w:rsid w:val="00D738DF"/>
    <w:rsid w:val="00D745AD"/>
    <w:rsid w:val="00D7657F"/>
    <w:rsid w:val="00D76958"/>
    <w:rsid w:val="00D77723"/>
    <w:rsid w:val="00D80503"/>
    <w:rsid w:val="00D80BB7"/>
    <w:rsid w:val="00D815D9"/>
    <w:rsid w:val="00D81E46"/>
    <w:rsid w:val="00D81FFA"/>
    <w:rsid w:val="00D82E24"/>
    <w:rsid w:val="00D836CE"/>
    <w:rsid w:val="00D85A8F"/>
    <w:rsid w:val="00D86A17"/>
    <w:rsid w:val="00D8741D"/>
    <w:rsid w:val="00D91CFD"/>
    <w:rsid w:val="00D9290A"/>
    <w:rsid w:val="00D92A30"/>
    <w:rsid w:val="00D94AAD"/>
    <w:rsid w:val="00D95F97"/>
    <w:rsid w:val="00D96B6D"/>
    <w:rsid w:val="00D97C55"/>
    <w:rsid w:val="00DA01ED"/>
    <w:rsid w:val="00DA0916"/>
    <w:rsid w:val="00DA18B6"/>
    <w:rsid w:val="00DA2920"/>
    <w:rsid w:val="00DA45F8"/>
    <w:rsid w:val="00DA5097"/>
    <w:rsid w:val="00DA5E46"/>
    <w:rsid w:val="00DA5F55"/>
    <w:rsid w:val="00DA5F98"/>
    <w:rsid w:val="00DA6104"/>
    <w:rsid w:val="00DA70EE"/>
    <w:rsid w:val="00DA7252"/>
    <w:rsid w:val="00DA7D13"/>
    <w:rsid w:val="00DB0424"/>
    <w:rsid w:val="00DB0980"/>
    <w:rsid w:val="00DB27A7"/>
    <w:rsid w:val="00DB46FC"/>
    <w:rsid w:val="00DB60D1"/>
    <w:rsid w:val="00DB6BB2"/>
    <w:rsid w:val="00DB6BC6"/>
    <w:rsid w:val="00DB707E"/>
    <w:rsid w:val="00DC03D3"/>
    <w:rsid w:val="00DC223D"/>
    <w:rsid w:val="00DC56EC"/>
    <w:rsid w:val="00DC5E5E"/>
    <w:rsid w:val="00DD1FA1"/>
    <w:rsid w:val="00DD26D8"/>
    <w:rsid w:val="00DD2FCF"/>
    <w:rsid w:val="00DD4159"/>
    <w:rsid w:val="00DD4B8E"/>
    <w:rsid w:val="00DD500A"/>
    <w:rsid w:val="00DD51E7"/>
    <w:rsid w:val="00DD688F"/>
    <w:rsid w:val="00DD69FF"/>
    <w:rsid w:val="00DD7691"/>
    <w:rsid w:val="00DD7A45"/>
    <w:rsid w:val="00DE27A4"/>
    <w:rsid w:val="00DE37B4"/>
    <w:rsid w:val="00DE3964"/>
    <w:rsid w:val="00DE397C"/>
    <w:rsid w:val="00DE4BD5"/>
    <w:rsid w:val="00DE5D9F"/>
    <w:rsid w:val="00DE6107"/>
    <w:rsid w:val="00DE63CE"/>
    <w:rsid w:val="00DE7877"/>
    <w:rsid w:val="00DF0A97"/>
    <w:rsid w:val="00DF2E1C"/>
    <w:rsid w:val="00DF35F4"/>
    <w:rsid w:val="00DF4F17"/>
    <w:rsid w:val="00DF522D"/>
    <w:rsid w:val="00DF72FF"/>
    <w:rsid w:val="00DF7E66"/>
    <w:rsid w:val="00E03640"/>
    <w:rsid w:val="00E05666"/>
    <w:rsid w:val="00E05CA2"/>
    <w:rsid w:val="00E06F02"/>
    <w:rsid w:val="00E11220"/>
    <w:rsid w:val="00E11AA0"/>
    <w:rsid w:val="00E1230A"/>
    <w:rsid w:val="00E134B1"/>
    <w:rsid w:val="00E14215"/>
    <w:rsid w:val="00E15A77"/>
    <w:rsid w:val="00E16268"/>
    <w:rsid w:val="00E170FA"/>
    <w:rsid w:val="00E17277"/>
    <w:rsid w:val="00E2185F"/>
    <w:rsid w:val="00E22BD8"/>
    <w:rsid w:val="00E22E69"/>
    <w:rsid w:val="00E2305C"/>
    <w:rsid w:val="00E25A1A"/>
    <w:rsid w:val="00E25A6F"/>
    <w:rsid w:val="00E25C55"/>
    <w:rsid w:val="00E25D62"/>
    <w:rsid w:val="00E27EDB"/>
    <w:rsid w:val="00E335AE"/>
    <w:rsid w:val="00E344BE"/>
    <w:rsid w:val="00E3512C"/>
    <w:rsid w:val="00E3535D"/>
    <w:rsid w:val="00E40442"/>
    <w:rsid w:val="00E40C02"/>
    <w:rsid w:val="00E4172E"/>
    <w:rsid w:val="00E4286A"/>
    <w:rsid w:val="00E42E5F"/>
    <w:rsid w:val="00E43196"/>
    <w:rsid w:val="00E43FA4"/>
    <w:rsid w:val="00E44312"/>
    <w:rsid w:val="00E44943"/>
    <w:rsid w:val="00E44CFC"/>
    <w:rsid w:val="00E46F71"/>
    <w:rsid w:val="00E47AFB"/>
    <w:rsid w:val="00E52BE8"/>
    <w:rsid w:val="00E52E3B"/>
    <w:rsid w:val="00E552B2"/>
    <w:rsid w:val="00E55D34"/>
    <w:rsid w:val="00E56EA0"/>
    <w:rsid w:val="00E6011C"/>
    <w:rsid w:val="00E626B0"/>
    <w:rsid w:val="00E62EE1"/>
    <w:rsid w:val="00E6314F"/>
    <w:rsid w:val="00E635C8"/>
    <w:rsid w:val="00E63D02"/>
    <w:rsid w:val="00E652D1"/>
    <w:rsid w:val="00E657F6"/>
    <w:rsid w:val="00E65ADD"/>
    <w:rsid w:val="00E65C1A"/>
    <w:rsid w:val="00E66134"/>
    <w:rsid w:val="00E661E5"/>
    <w:rsid w:val="00E71B06"/>
    <w:rsid w:val="00E726CF"/>
    <w:rsid w:val="00E73D54"/>
    <w:rsid w:val="00E74037"/>
    <w:rsid w:val="00E748D3"/>
    <w:rsid w:val="00E748F0"/>
    <w:rsid w:val="00E74C18"/>
    <w:rsid w:val="00E74D7B"/>
    <w:rsid w:val="00E7699C"/>
    <w:rsid w:val="00E80628"/>
    <w:rsid w:val="00E8084E"/>
    <w:rsid w:val="00E80917"/>
    <w:rsid w:val="00E81024"/>
    <w:rsid w:val="00E810EF"/>
    <w:rsid w:val="00E81E25"/>
    <w:rsid w:val="00E828EA"/>
    <w:rsid w:val="00E84B4B"/>
    <w:rsid w:val="00E86D15"/>
    <w:rsid w:val="00E90398"/>
    <w:rsid w:val="00E93D7D"/>
    <w:rsid w:val="00E93E58"/>
    <w:rsid w:val="00E94888"/>
    <w:rsid w:val="00E95304"/>
    <w:rsid w:val="00E958CC"/>
    <w:rsid w:val="00E95B15"/>
    <w:rsid w:val="00E95E44"/>
    <w:rsid w:val="00E9636D"/>
    <w:rsid w:val="00E96A8B"/>
    <w:rsid w:val="00E9797B"/>
    <w:rsid w:val="00EA30E3"/>
    <w:rsid w:val="00EA4052"/>
    <w:rsid w:val="00EA5028"/>
    <w:rsid w:val="00EA50AB"/>
    <w:rsid w:val="00EA524E"/>
    <w:rsid w:val="00EA5A0B"/>
    <w:rsid w:val="00EA5F5F"/>
    <w:rsid w:val="00EA5FBA"/>
    <w:rsid w:val="00EB051E"/>
    <w:rsid w:val="00EB0DB9"/>
    <w:rsid w:val="00EB1A5B"/>
    <w:rsid w:val="00EB2075"/>
    <w:rsid w:val="00EB216C"/>
    <w:rsid w:val="00EB2475"/>
    <w:rsid w:val="00EB27B6"/>
    <w:rsid w:val="00EB2CCE"/>
    <w:rsid w:val="00EB2DAD"/>
    <w:rsid w:val="00EB31C1"/>
    <w:rsid w:val="00EB3732"/>
    <w:rsid w:val="00EC1DF0"/>
    <w:rsid w:val="00EC1E12"/>
    <w:rsid w:val="00EC1F6A"/>
    <w:rsid w:val="00EC2827"/>
    <w:rsid w:val="00EC2A8E"/>
    <w:rsid w:val="00EC35BE"/>
    <w:rsid w:val="00EC59D6"/>
    <w:rsid w:val="00EC623C"/>
    <w:rsid w:val="00EC71C2"/>
    <w:rsid w:val="00EC75AD"/>
    <w:rsid w:val="00EC7929"/>
    <w:rsid w:val="00ED070C"/>
    <w:rsid w:val="00ED16B2"/>
    <w:rsid w:val="00ED1899"/>
    <w:rsid w:val="00ED1F9A"/>
    <w:rsid w:val="00ED2A58"/>
    <w:rsid w:val="00ED3700"/>
    <w:rsid w:val="00ED4F20"/>
    <w:rsid w:val="00ED5B3B"/>
    <w:rsid w:val="00ED6B3D"/>
    <w:rsid w:val="00EE24B6"/>
    <w:rsid w:val="00EE30EA"/>
    <w:rsid w:val="00EE3161"/>
    <w:rsid w:val="00EE4919"/>
    <w:rsid w:val="00EE5089"/>
    <w:rsid w:val="00EE5D1B"/>
    <w:rsid w:val="00EE6056"/>
    <w:rsid w:val="00EE66E8"/>
    <w:rsid w:val="00EE6B0F"/>
    <w:rsid w:val="00EE7506"/>
    <w:rsid w:val="00EF0571"/>
    <w:rsid w:val="00EF12BA"/>
    <w:rsid w:val="00EF131E"/>
    <w:rsid w:val="00EF38D8"/>
    <w:rsid w:val="00EF38EB"/>
    <w:rsid w:val="00EF41DC"/>
    <w:rsid w:val="00EF579B"/>
    <w:rsid w:val="00EF6F4A"/>
    <w:rsid w:val="00EF6FAF"/>
    <w:rsid w:val="00F01990"/>
    <w:rsid w:val="00F01CE2"/>
    <w:rsid w:val="00F02B43"/>
    <w:rsid w:val="00F03CB5"/>
    <w:rsid w:val="00F04191"/>
    <w:rsid w:val="00F06477"/>
    <w:rsid w:val="00F07812"/>
    <w:rsid w:val="00F12615"/>
    <w:rsid w:val="00F13AFA"/>
    <w:rsid w:val="00F14C90"/>
    <w:rsid w:val="00F14E2E"/>
    <w:rsid w:val="00F15A32"/>
    <w:rsid w:val="00F161BA"/>
    <w:rsid w:val="00F16D88"/>
    <w:rsid w:val="00F17DCE"/>
    <w:rsid w:val="00F20909"/>
    <w:rsid w:val="00F2096A"/>
    <w:rsid w:val="00F219FE"/>
    <w:rsid w:val="00F23785"/>
    <w:rsid w:val="00F239A2"/>
    <w:rsid w:val="00F24A18"/>
    <w:rsid w:val="00F253DE"/>
    <w:rsid w:val="00F265C8"/>
    <w:rsid w:val="00F30039"/>
    <w:rsid w:val="00F303FF"/>
    <w:rsid w:val="00F31585"/>
    <w:rsid w:val="00F32CD8"/>
    <w:rsid w:val="00F334DB"/>
    <w:rsid w:val="00F33584"/>
    <w:rsid w:val="00F34079"/>
    <w:rsid w:val="00F34E69"/>
    <w:rsid w:val="00F36AA3"/>
    <w:rsid w:val="00F409E4"/>
    <w:rsid w:val="00F4193D"/>
    <w:rsid w:val="00F42ACB"/>
    <w:rsid w:val="00F43B8D"/>
    <w:rsid w:val="00F46604"/>
    <w:rsid w:val="00F50273"/>
    <w:rsid w:val="00F51F71"/>
    <w:rsid w:val="00F51FE1"/>
    <w:rsid w:val="00F52B05"/>
    <w:rsid w:val="00F54615"/>
    <w:rsid w:val="00F54E5F"/>
    <w:rsid w:val="00F55444"/>
    <w:rsid w:val="00F5549B"/>
    <w:rsid w:val="00F5576B"/>
    <w:rsid w:val="00F56A7E"/>
    <w:rsid w:val="00F574F9"/>
    <w:rsid w:val="00F605E0"/>
    <w:rsid w:val="00F60E68"/>
    <w:rsid w:val="00F61844"/>
    <w:rsid w:val="00F635A3"/>
    <w:rsid w:val="00F63CF5"/>
    <w:rsid w:val="00F6440A"/>
    <w:rsid w:val="00F64A12"/>
    <w:rsid w:val="00F64E05"/>
    <w:rsid w:val="00F65334"/>
    <w:rsid w:val="00F65FFD"/>
    <w:rsid w:val="00F667F6"/>
    <w:rsid w:val="00F67BCC"/>
    <w:rsid w:val="00F714BE"/>
    <w:rsid w:val="00F71509"/>
    <w:rsid w:val="00F71FE2"/>
    <w:rsid w:val="00F74A2A"/>
    <w:rsid w:val="00F75AA4"/>
    <w:rsid w:val="00F7606D"/>
    <w:rsid w:val="00F81C0E"/>
    <w:rsid w:val="00F82142"/>
    <w:rsid w:val="00F8253F"/>
    <w:rsid w:val="00F83572"/>
    <w:rsid w:val="00F843D6"/>
    <w:rsid w:val="00F87FB7"/>
    <w:rsid w:val="00F9033E"/>
    <w:rsid w:val="00F91A97"/>
    <w:rsid w:val="00F9333E"/>
    <w:rsid w:val="00F964F1"/>
    <w:rsid w:val="00F96546"/>
    <w:rsid w:val="00F975D6"/>
    <w:rsid w:val="00F97902"/>
    <w:rsid w:val="00F97A40"/>
    <w:rsid w:val="00FA034B"/>
    <w:rsid w:val="00FA2A16"/>
    <w:rsid w:val="00FA2CFC"/>
    <w:rsid w:val="00FA2FEA"/>
    <w:rsid w:val="00FA3116"/>
    <w:rsid w:val="00FA42E8"/>
    <w:rsid w:val="00FA4E5C"/>
    <w:rsid w:val="00FA6CAE"/>
    <w:rsid w:val="00FA75D6"/>
    <w:rsid w:val="00FA7CDB"/>
    <w:rsid w:val="00FB3CFA"/>
    <w:rsid w:val="00FB5A2F"/>
    <w:rsid w:val="00FB5C0E"/>
    <w:rsid w:val="00FB64A8"/>
    <w:rsid w:val="00FC16F0"/>
    <w:rsid w:val="00FC27E2"/>
    <w:rsid w:val="00FC3523"/>
    <w:rsid w:val="00FC355A"/>
    <w:rsid w:val="00FC5A35"/>
    <w:rsid w:val="00FC5A75"/>
    <w:rsid w:val="00FC7131"/>
    <w:rsid w:val="00FC730D"/>
    <w:rsid w:val="00FC783F"/>
    <w:rsid w:val="00FC7B36"/>
    <w:rsid w:val="00FC7F95"/>
    <w:rsid w:val="00FD0408"/>
    <w:rsid w:val="00FD1417"/>
    <w:rsid w:val="00FD1E4D"/>
    <w:rsid w:val="00FD20C3"/>
    <w:rsid w:val="00FD291B"/>
    <w:rsid w:val="00FD2ACB"/>
    <w:rsid w:val="00FD490E"/>
    <w:rsid w:val="00FD7D13"/>
    <w:rsid w:val="00FE1358"/>
    <w:rsid w:val="00FE17D3"/>
    <w:rsid w:val="00FE1A14"/>
    <w:rsid w:val="00FE34AB"/>
    <w:rsid w:val="00FE36A7"/>
    <w:rsid w:val="00FE49A3"/>
    <w:rsid w:val="00FE586F"/>
    <w:rsid w:val="00FE5BD3"/>
    <w:rsid w:val="00FE5F70"/>
    <w:rsid w:val="00FE70B6"/>
    <w:rsid w:val="00FE743E"/>
    <w:rsid w:val="00FE780B"/>
    <w:rsid w:val="00FF0149"/>
    <w:rsid w:val="00FF0D5F"/>
    <w:rsid w:val="00FF0E01"/>
    <w:rsid w:val="00FF2D6B"/>
    <w:rsid w:val="00FF45DE"/>
    <w:rsid w:val="00FF485E"/>
    <w:rsid w:val="00FF5958"/>
    <w:rsid w:val="00FF724B"/>
    <w:rsid w:val="00FF78C1"/>
    <w:rsid w:val="00FF7D86"/>
    <w:rsid w:val="00FF7E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7DA5"/>
  <w15:chartTrackingRefBased/>
  <w15:docId w15:val="{ADD9A609-26DE-464F-9593-6395BE246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B155E"/>
    <w:pPr>
      <w:keepNext/>
      <w:keepLines/>
      <w:spacing w:before="360" w:after="80"/>
      <w:outlineLvl w:val="0"/>
    </w:pPr>
    <w:rPr>
      <w:rFonts w:ascii="Times New Roman" w:eastAsiaTheme="majorEastAsia" w:hAnsi="Times New Roman" w:cstheme="majorBidi"/>
      <w:b/>
      <w:sz w:val="24"/>
      <w:szCs w:val="40"/>
    </w:rPr>
  </w:style>
  <w:style w:type="paragraph" w:styleId="Balk2">
    <w:name w:val="heading 2"/>
    <w:basedOn w:val="Normal"/>
    <w:next w:val="Normal"/>
    <w:link w:val="Balk2Char"/>
    <w:uiPriority w:val="9"/>
    <w:unhideWhenUsed/>
    <w:qFormat/>
    <w:rsid w:val="003B155E"/>
    <w:pPr>
      <w:keepNext/>
      <w:keepLines/>
      <w:spacing w:before="160" w:after="80"/>
      <w:outlineLvl w:val="1"/>
    </w:pPr>
    <w:rPr>
      <w:rFonts w:ascii="Times New Roman" w:eastAsiaTheme="majorEastAsia" w:hAnsi="Times New Roman" w:cstheme="majorBidi"/>
      <w:sz w:val="24"/>
      <w:szCs w:val="32"/>
    </w:rPr>
  </w:style>
  <w:style w:type="paragraph" w:styleId="Balk3">
    <w:name w:val="heading 3"/>
    <w:aliases w:val="H3,0"/>
    <w:basedOn w:val="Normal"/>
    <w:next w:val="Normal"/>
    <w:link w:val="Balk3Char"/>
    <w:uiPriority w:val="9"/>
    <w:unhideWhenUsed/>
    <w:qFormat/>
    <w:rsid w:val="003B155E"/>
    <w:pPr>
      <w:keepNext/>
      <w:keepLines/>
      <w:spacing w:before="160" w:after="80"/>
      <w:outlineLvl w:val="2"/>
    </w:pPr>
    <w:rPr>
      <w:rFonts w:ascii="Times New Roman" w:eastAsiaTheme="majorEastAsia" w:hAnsi="Times New Roman" w:cstheme="majorBidi"/>
      <w:b/>
      <w:sz w:val="24"/>
      <w:szCs w:val="28"/>
    </w:rPr>
  </w:style>
  <w:style w:type="paragraph" w:styleId="Balk4">
    <w:name w:val="heading 4"/>
    <w:basedOn w:val="Normal"/>
    <w:next w:val="Normal"/>
    <w:link w:val="Balk4Char"/>
    <w:uiPriority w:val="9"/>
    <w:unhideWhenUsed/>
    <w:qFormat/>
    <w:rsid w:val="00102E2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unhideWhenUsed/>
    <w:qFormat/>
    <w:rsid w:val="00102E21"/>
    <w:pPr>
      <w:keepNext/>
      <w:keepLines/>
      <w:spacing w:before="80" w:after="40"/>
      <w:outlineLvl w:val="4"/>
    </w:pPr>
    <w:rPr>
      <w:rFonts w:eastAsiaTheme="majorEastAsia" w:cstheme="majorBidi"/>
      <w:color w:val="0F4761" w:themeColor="accent1" w:themeShade="BF"/>
    </w:rPr>
  </w:style>
  <w:style w:type="paragraph" w:styleId="Balk6">
    <w:name w:val="heading 6"/>
    <w:aliases w:val="heading 5,Başlık 51"/>
    <w:basedOn w:val="Normal"/>
    <w:next w:val="Normal"/>
    <w:link w:val="Balk6Char"/>
    <w:uiPriority w:val="9"/>
    <w:unhideWhenUsed/>
    <w:qFormat/>
    <w:rsid w:val="00102E21"/>
    <w:pPr>
      <w:keepNext/>
      <w:keepLines/>
      <w:spacing w:before="40" w:after="0"/>
      <w:outlineLvl w:val="5"/>
    </w:pPr>
    <w:rPr>
      <w:rFonts w:eastAsiaTheme="majorEastAsia" w:cstheme="majorBidi"/>
      <w:i/>
      <w:iCs/>
      <w:color w:val="595959" w:themeColor="text1" w:themeTint="A6"/>
    </w:rPr>
  </w:style>
  <w:style w:type="paragraph" w:styleId="Balk7">
    <w:name w:val="heading 7"/>
    <w:aliases w:val="heading 6"/>
    <w:basedOn w:val="Normal"/>
    <w:next w:val="Normal"/>
    <w:link w:val="Balk7Char"/>
    <w:uiPriority w:val="9"/>
    <w:unhideWhenUsed/>
    <w:qFormat/>
    <w:rsid w:val="00102E21"/>
    <w:pPr>
      <w:keepNext/>
      <w:keepLines/>
      <w:spacing w:before="40" w:after="0"/>
      <w:outlineLvl w:val="6"/>
    </w:pPr>
    <w:rPr>
      <w:rFonts w:eastAsiaTheme="majorEastAsia" w:cstheme="majorBidi"/>
      <w:color w:val="595959" w:themeColor="text1" w:themeTint="A6"/>
    </w:rPr>
  </w:style>
  <w:style w:type="paragraph" w:styleId="Balk8">
    <w:name w:val="heading 8"/>
    <w:aliases w:val="heading 7"/>
    <w:basedOn w:val="Normal"/>
    <w:next w:val="Normal"/>
    <w:link w:val="Balk8Char"/>
    <w:uiPriority w:val="9"/>
    <w:unhideWhenUsed/>
    <w:qFormat/>
    <w:rsid w:val="00102E2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unhideWhenUsed/>
    <w:qFormat/>
    <w:rsid w:val="00102E2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B155E"/>
    <w:rPr>
      <w:rFonts w:ascii="Times New Roman" w:eastAsiaTheme="majorEastAsia" w:hAnsi="Times New Roman" w:cstheme="majorBidi"/>
      <w:b/>
      <w:sz w:val="24"/>
      <w:szCs w:val="40"/>
    </w:rPr>
  </w:style>
  <w:style w:type="character" w:customStyle="1" w:styleId="Balk2Char">
    <w:name w:val="Başlık 2 Char"/>
    <w:basedOn w:val="VarsaylanParagrafYazTipi"/>
    <w:link w:val="Balk2"/>
    <w:uiPriority w:val="9"/>
    <w:rsid w:val="003B155E"/>
    <w:rPr>
      <w:rFonts w:ascii="Times New Roman" w:eastAsiaTheme="majorEastAsia" w:hAnsi="Times New Roman" w:cstheme="majorBidi"/>
      <w:sz w:val="24"/>
      <w:szCs w:val="32"/>
    </w:rPr>
  </w:style>
  <w:style w:type="character" w:customStyle="1" w:styleId="Balk3Char">
    <w:name w:val="Başlık 3 Char"/>
    <w:aliases w:val="H3 Char1,0 Char1"/>
    <w:basedOn w:val="VarsaylanParagrafYazTipi"/>
    <w:link w:val="Balk3"/>
    <w:uiPriority w:val="9"/>
    <w:rsid w:val="003B155E"/>
    <w:rPr>
      <w:rFonts w:ascii="Times New Roman" w:eastAsiaTheme="majorEastAsia" w:hAnsi="Times New Roman" w:cstheme="majorBidi"/>
      <w:b/>
      <w:sz w:val="24"/>
      <w:szCs w:val="28"/>
    </w:rPr>
  </w:style>
  <w:style w:type="character" w:customStyle="1" w:styleId="Balk4Char">
    <w:name w:val="Başlık 4 Char"/>
    <w:basedOn w:val="VarsaylanParagrafYazTipi"/>
    <w:link w:val="Balk4"/>
    <w:uiPriority w:val="9"/>
    <w:rsid w:val="00102E2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rsid w:val="00102E21"/>
    <w:rPr>
      <w:rFonts w:eastAsiaTheme="majorEastAsia" w:cstheme="majorBidi"/>
      <w:color w:val="0F4761" w:themeColor="accent1" w:themeShade="BF"/>
    </w:rPr>
  </w:style>
  <w:style w:type="character" w:customStyle="1" w:styleId="Balk6Char">
    <w:name w:val="Başlık 6 Char"/>
    <w:aliases w:val="heading 5 Char,Başlık 51 Char"/>
    <w:basedOn w:val="VarsaylanParagrafYazTipi"/>
    <w:link w:val="Balk6"/>
    <w:uiPriority w:val="9"/>
    <w:rsid w:val="00102E21"/>
    <w:rPr>
      <w:rFonts w:eastAsiaTheme="majorEastAsia" w:cstheme="majorBidi"/>
      <w:i/>
      <w:iCs/>
      <w:color w:val="595959" w:themeColor="text1" w:themeTint="A6"/>
    </w:rPr>
  </w:style>
  <w:style w:type="character" w:customStyle="1" w:styleId="Balk7Char">
    <w:name w:val="Başlık 7 Char"/>
    <w:aliases w:val="heading 6 Char"/>
    <w:basedOn w:val="VarsaylanParagrafYazTipi"/>
    <w:link w:val="Balk7"/>
    <w:uiPriority w:val="9"/>
    <w:rsid w:val="00102E21"/>
    <w:rPr>
      <w:rFonts w:eastAsiaTheme="majorEastAsia" w:cstheme="majorBidi"/>
      <w:color w:val="595959" w:themeColor="text1" w:themeTint="A6"/>
    </w:rPr>
  </w:style>
  <w:style w:type="character" w:customStyle="1" w:styleId="Balk8Char">
    <w:name w:val="Başlık 8 Char"/>
    <w:aliases w:val="heading 7 Char"/>
    <w:basedOn w:val="VarsaylanParagrafYazTipi"/>
    <w:link w:val="Balk8"/>
    <w:uiPriority w:val="9"/>
    <w:rsid w:val="00102E2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rsid w:val="00102E21"/>
    <w:rPr>
      <w:rFonts w:eastAsiaTheme="majorEastAsia" w:cstheme="majorBidi"/>
      <w:color w:val="272727" w:themeColor="text1" w:themeTint="D8"/>
    </w:rPr>
  </w:style>
  <w:style w:type="paragraph" w:styleId="KonuBal">
    <w:name w:val="Title"/>
    <w:aliases w:val="Tablo İçi"/>
    <w:basedOn w:val="Normal"/>
    <w:next w:val="Normal"/>
    <w:link w:val="KonuBalChar"/>
    <w:qFormat/>
    <w:rsid w:val="00102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aliases w:val="Tablo İçi Char"/>
    <w:basedOn w:val="VarsaylanParagrafYazTipi"/>
    <w:link w:val="KonuBal"/>
    <w:rsid w:val="00102E2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02E2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02E2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02E2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02E21"/>
    <w:rPr>
      <w:i/>
      <w:iCs/>
      <w:color w:val="404040" w:themeColor="text1" w:themeTint="BF"/>
    </w:rPr>
  </w:style>
  <w:style w:type="paragraph" w:styleId="ListeParagraf">
    <w:name w:val="List Paragraph"/>
    <w:aliases w:val="üçüncü başlık,PROVERE 1,Listenabsatz1,Bullet List Paragraph,Level 1 Bullet,Bullet List,Table of contents numbered,Liststycke SKL,Normal bullet 2,Bullet list,Bullet Points,Heading 2_sj,Dot pt,Numbered Para 1,List Paragraph Char Char Char"/>
    <w:basedOn w:val="Normal"/>
    <w:link w:val="ListeParagrafChar"/>
    <w:uiPriority w:val="1"/>
    <w:qFormat/>
    <w:rsid w:val="00102E21"/>
    <w:pPr>
      <w:ind w:left="720"/>
      <w:contextualSpacing/>
    </w:pPr>
  </w:style>
  <w:style w:type="character" w:styleId="GlVurgulama">
    <w:name w:val="Intense Emphasis"/>
    <w:basedOn w:val="VarsaylanParagrafYazTipi"/>
    <w:uiPriority w:val="21"/>
    <w:qFormat/>
    <w:rsid w:val="00102E21"/>
    <w:rPr>
      <w:i/>
      <w:iCs/>
      <w:color w:val="0F4761" w:themeColor="accent1" w:themeShade="BF"/>
    </w:rPr>
  </w:style>
  <w:style w:type="paragraph" w:styleId="GlAlnt">
    <w:name w:val="Intense Quote"/>
    <w:basedOn w:val="Normal"/>
    <w:next w:val="Normal"/>
    <w:link w:val="GlAlntChar"/>
    <w:uiPriority w:val="30"/>
    <w:qFormat/>
    <w:rsid w:val="00102E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02E21"/>
    <w:rPr>
      <w:i/>
      <w:iCs/>
      <w:color w:val="0F4761" w:themeColor="accent1" w:themeShade="BF"/>
    </w:rPr>
  </w:style>
  <w:style w:type="character" w:styleId="GlBavuru">
    <w:name w:val="Intense Reference"/>
    <w:basedOn w:val="VarsaylanParagrafYazTipi"/>
    <w:uiPriority w:val="32"/>
    <w:qFormat/>
    <w:rsid w:val="00102E21"/>
    <w:rPr>
      <w:b/>
      <w:bCs/>
      <w:smallCaps/>
      <w:color w:val="0F4761" w:themeColor="accent1" w:themeShade="BF"/>
      <w:spacing w:val="5"/>
    </w:rPr>
  </w:style>
  <w:style w:type="paragraph" w:styleId="stbilgi">
    <w:name w:val="header"/>
    <w:basedOn w:val="Normal"/>
    <w:link w:val="stbilgiChar"/>
    <w:uiPriority w:val="99"/>
    <w:unhideWhenUsed/>
    <w:rsid w:val="00801FF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01FFF"/>
  </w:style>
  <w:style w:type="paragraph" w:styleId="Altbilgi">
    <w:name w:val="footer"/>
    <w:basedOn w:val="Normal"/>
    <w:link w:val="AltbilgiChar1"/>
    <w:uiPriority w:val="99"/>
    <w:unhideWhenUsed/>
    <w:rsid w:val="00801FFF"/>
    <w:pPr>
      <w:tabs>
        <w:tab w:val="center" w:pos="4536"/>
        <w:tab w:val="right" w:pos="9072"/>
      </w:tabs>
      <w:spacing w:after="0" w:line="240" w:lineRule="auto"/>
    </w:pPr>
  </w:style>
  <w:style w:type="character" w:customStyle="1" w:styleId="AltbilgiChar1">
    <w:name w:val="Altbilgi Char1"/>
    <w:basedOn w:val="VarsaylanParagrafYazTipi"/>
    <w:link w:val="Altbilgi"/>
    <w:uiPriority w:val="99"/>
    <w:rsid w:val="00801FFF"/>
  </w:style>
  <w:style w:type="table" w:styleId="TabloKlavuzu">
    <w:name w:val="Table Grid"/>
    <w:basedOn w:val="NormalTablo"/>
    <w:uiPriority w:val="39"/>
    <w:rsid w:val="00BA3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8A431D"/>
    <w:rPr>
      <w:color w:val="666666"/>
    </w:rPr>
  </w:style>
  <w:style w:type="character" w:styleId="AklamaBavurusu">
    <w:name w:val="annotation reference"/>
    <w:basedOn w:val="VarsaylanParagrafYazTipi"/>
    <w:uiPriority w:val="99"/>
    <w:unhideWhenUsed/>
    <w:rsid w:val="00A73854"/>
    <w:rPr>
      <w:sz w:val="16"/>
      <w:szCs w:val="16"/>
    </w:rPr>
  </w:style>
  <w:style w:type="paragraph" w:styleId="AklamaMetni">
    <w:name w:val="annotation text"/>
    <w:basedOn w:val="Normal"/>
    <w:link w:val="AklamaMetniChar"/>
    <w:uiPriority w:val="99"/>
    <w:unhideWhenUsed/>
    <w:rsid w:val="00A73854"/>
    <w:pPr>
      <w:spacing w:line="240" w:lineRule="auto"/>
    </w:pPr>
    <w:rPr>
      <w:sz w:val="20"/>
      <w:szCs w:val="20"/>
    </w:rPr>
  </w:style>
  <w:style w:type="character" w:customStyle="1" w:styleId="AklamaMetniChar">
    <w:name w:val="Açıklama Metni Char"/>
    <w:basedOn w:val="VarsaylanParagrafYazTipi"/>
    <w:link w:val="AklamaMetni"/>
    <w:uiPriority w:val="99"/>
    <w:rsid w:val="00A73854"/>
    <w:rPr>
      <w:sz w:val="20"/>
      <w:szCs w:val="20"/>
    </w:rPr>
  </w:style>
  <w:style w:type="paragraph" w:styleId="AklamaKonusu">
    <w:name w:val="annotation subject"/>
    <w:basedOn w:val="AklamaMetni"/>
    <w:next w:val="AklamaMetni"/>
    <w:link w:val="AklamaKonusuChar"/>
    <w:uiPriority w:val="99"/>
    <w:semiHidden/>
    <w:unhideWhenUsed/>
    <w:rsid w:val="00A73854"/>
    <w:rPr>
      <w:b/>
      <w:bCs/>
    </w:rPr>
  </w:style>
  <w:style w:type="character" w:customStyle="1" w:styleId="AklamaKonusuChar">
    <w:name w:val="Açıklama Konusu Char"/>
    <w:basedOn w:val="AklamaMetniChar"/>
    <w:link w:val="AklamaKonusu"/>
    <w:uiPriority w:val="99"/>
    <w:semiHidden/>
    <w:rsid w:val="00A73854"/>
    <w:rPr>
      <w:b/>
      <w:bCs/>
      <w:sz w:val="20"/>
      <w:szCs w:val="20"/>
    </w:rPr>
  </w:style>
  <w:style w:type="paragraph" w:styleId="DipnotMetni">
    <w:name w:val="footnote text"/>
    <w:aliases w:val="fn,Footnote Text Char Char Char,Footnote Text Char Char,Fußnote, Car Car,Car Car"/>
    <w:basedOn w:val="Normal"/>
    <w:link w:val="DipnotMetniChar"/>
    <w:uiPriority w:val="99"/>
    <w:unhideWhenUsed/>
    <w:qFormat/>
    <w:rsid w:val="001F1E7D"/>
    <w:pPr>
      <w:spacing w:after="0" w:line="240" w:lineRule="auto"/>
    </w:pPr>
    <w:rPr>
      <w:sz w:val="20"/>
      <w:szCs w:val="20"/>
    </w:rPr>
  </w:style>
  <w:style w:type="character" w:customStyle="1" w:styleId="DipnotMetniChar">
    <w:name w:val="Dipnot Metni Char"/>
    <w:aliases w:val="fn Char,Footnote Text Char Char Char Char,Footnote Text Char Char Char1,Fußnote Char, Car Car Char,Car Car Char"/>
    <w:basedOn w:val="VarsaylanParagrafYazTipi"/>
    <w:link w:val="DipnotMetni"/>
    <w:uiPriority w:val="99"/>
    <w:rsid w:val="001F1E7D"/>
    <w:rPr>
      <w:sz w:val="20"/>
      <w:szCs w:val="20"/>
    </w:rPr>
  </w:style>
  <w:style w:type="character" w:styleId="DipnotBavurusu">
    <w:name w:val="footnote reference"/>
    <w:aliases w:val="BVI fnr,ftref,Footnote Reference Number,Footnote Reference_LVL6,Footnote Reference_LVL61,Footnote Reference_LVL62,Footnote Reference_LVL63,Footnote Reference_LVL64,fr,16 Point,Superscript 6 Point,Times 10 Point,Ref"/>
    <w:basedOn w:val="VarsaylanParagrafYazTipi"/>
    <w:uiPriority w:val="99"/>
    <w:unhideWhenUsed/>
    <w:rsid w:val="001F1E7D"/>
    <w:rPr>
      <w:vertAlign w:val="superscript"/>
    </w:rPr>
  </w:style>
  <w:style w:type="numbering" w:customStyle="1" w:styleId="ListeYok1">
    <w:name w:val="Liste Yok1"/>
    <w:next w:val="ListeYok"/>
    <w:uiPriority w:val="99"/>
    <w:semiHidden/>
    <w:unhideWhenUsed/>
    <w:rsid w:val="001F3AC9"/>
  </w:style>
  <w:style w:type="table" w:customStyle="1" w:styleId="TableNormal">
    <w:name w:val="Table Normal"/>
    <w:rsid w:val="001F3AC9"/>
    <w:rPr>
      <w:rFonts w:ascii="Calibri" w:eastAsia="Calibri" w:hAnsi="Calibri" w:cs="Calibri"/>
      <w:kern w:val="0"/>
      <w:lang w:eastAsia="tr-TR"/>
      <w14:ligatures w14:val="none"/>
    </w:rPr>
    <w:tblPr>
      <w:tblCellMar>
        <w:top w:w="0" w:type="dxa"/>
        <w:left w:w="0" w:type="dxa"/>
        <w:bottom w:w="0" w:type="dxa"/>
        <w:right w:w="0" w:type="dxa"/>
      </w:tblCellMar>
    </w:tblPr>
  </w:style>
  <w:style w:type="paragraph" w:styleId="TBal">
    <w:name w:val="TOC Heading"/>
    <w:basedOn w:val="Balk1"/>
    <w:next w:val="Normal"/>
    <w:uiPriority w:val="39"/>
    <w:unhideWhenUsed/>
    <w:qFormat/>
    <w:rsid w:val="001F3AC9"/>
    <w:pPr>
      <w:spacing w:before="240" w:after="0" w:line="240" w:lineRule="auto"/>
      <w:outlineLvl w:val="9"/>
    </w:pPr>
    <w:rPr>
      <w:kern w:val="0"/>
      <w:sz w:val="32"/>
      <w:szCs w:val="32"/>
      <w:lang w:eastAsia="tr-TR"/>
      <w14:ligatures w14:val="none"/>
    </w:rPr>
  </w:style>
  <w:style w:type="paragraph" w:styleId="T1">
    <w:name w:val="toc 1"/>
    <w:basedOn w:val="Normal"/>
    <w:next w:val="Normal"/>
    <w:link w:val="T1Char"/>
    <w:autoRedefine/>
    <w:uiPriority w:val="39"/>
    <w:unhideWhenUsed/>
    <w:rsid w:val="001F3AC9"/>
    <w:pPr>
      <w:spacing w:after="100" w:line="240" w:lineRule="auto"/>
    </w:pPr>
    <w:rPr>
      <w:rFonts w:ascii="Times New Roman" w:eastAsia="Times New Roman" w:hAnsi="Times New Roman" w:cs="Times New Roman"/>
      <w:kern w:val="0"/>
      <w:sz w:val="24"/>
      <w:szCs w:val="24"/>
      <w:lang w:eastAsia="tr-TR"/>
      <w14:ligatures w14:val="none"/>
    </w:rPr>
  </w:style>
  <w:style w:type="paragraph" w:styleId="T2">
    <w:name w:val="toc 2"/>
    <w:basedOn w:val="Normal"/>
    <w:next w:val="Normal"/>
    <w:autoRedefine/>
    <w:uiPriority w:val="39"/>
    <w:unhideWhenUsed/>
    <w:rsid w:val="001F3AC9"/>
    <w:pPr>
      <w:spacing w:after="100" w:line="240" w:lineRule="auto"/>
      <w:ind w:left="220"/>
    </w:pPr>
    <w:rPr>
      <w:rFonts w:ascii="Times New Roman" w:eastAsia="Times New Roman" w:hAnsi="Times New Roman" w:cs="Times New Roman"/>
      <w:kern w:val="0"/>
      <w:sz w:val="24"/>
      <w:szCs w:val="24"/>
      <w:lang w:eastAsia="tr-TR"/>
      <w14:ligatures w14:val="none"/>
    </w:rPr>
  </w:style>
  <w:style w:type="character" w:customStyle="1" w:styleId="Kpr1">
    <w:name w:val="Köprü1"/>
    <w:basedOn w:val="VarsaylanParagrafYazTipi"/>
    <w:uiPriority w:val="99"/>
    <w:unhideWhenUsed/>
    <w:rsid w:val="001F3AC9"/>
    <w:rPr>
      <w:color w:val="0563C1"/>
      <w:u w:val="single"/>
    </w:rPr>
  </w:style>
  <w:style w:type="paragraph" w:customStyle="1" w:styleId="AralkYok1">
    <w:name w:val="Aralık Yok1"/>
    <w:next w:val="AralkYok"/>
    <w:link w:val="AralkYokChar"/>
    <w:uiPriority w:val="1"/>
    <w:qFormat/>
    <w:rsid w:val="001F3AC9"/>
    <w:pPr>
      <w:spacing w:after="0" w:line="240" w:lineRule="auto"/>
    </w:pPr>
    <w:rPr>
      <w:rFonts w:ascii="Calibri" w:eastAsia="Times New Roman" w:hAnsi="Calibri" w:cs="Calibri"/>
      <w:kern w:val="0"/>
      <w:lang w:eastAsia="tr-TR"/>
      <w14:ligatures w14:val="none"/>
    </w:rPr>
  </w:style>
  <w:style w:type="character" w:customStyle="1" w:styleId="AralkYokChar">
    <w:name w:val="Aralık Yok Char"/>
    <w:basedOn w:val="VarsaylanParagrafYazTipi"/>
    <w:link w:val="AralkYok1"/>
    <w:uiPriority w:val="1"/>
    <w:rsid w:val="001F3AC9"/>
    <w:rPr>
      <w:rFonts w:eastAsia="Times New Roman"/>
      <w:lang w:eastAsia="tr-TR"/>
    </w:rPr>
  </w:style>
  <w:style w:type="paragraph" w:customStyle="1" w:styleId="ResimYazs1">
    <w:name w:val="Resim Yazısı1"/>
    <w:basedOn w:val="Normal"/>
    <w:next w:val="Normal"/>
    <w:uiPriority w:val="35"/>
    <w:unhideWhenUsed/>
    <w:qFormat/>
    <w:rsid w:val="001F3AC9"/>
    <w:pPr>
      <w:spacing w:after="200" w:line="240" w:lineRule="auto"/>
    </w:pPr>
    <w:rPr>
      <w:rFonts w:ascii="Times New Roman" w:eastAsia="Times New Roman" w:hAnsi="Times New Roman" w:cs="Times New Roman"/>
      <w:i/>
      <w:iCs/>
      <w:color w:val="44546A"/>
      <w:kern w:val="0"/>
      <w:sz w:val="18"/>
      <w:szCs w:val="18"/>
      <w:lang w:eastAsia="tr-TR"/>
      <w14:ligatures w14:val="none"/>
    </w:rPr>
  </w:style>
  <w:style w:type="character" w:customStyle="1" w:styleId="zmlenmeyenBahsetme1">
    <w:name w:val="Çözümlenmeyen Bahsetme1"/>
    <w:basedOn w:val="VarsaylanParagrafYazTipi"/>
    <w:uiPriority w:val="99"/>
    <w:semiHidden/>
    <w:unhideWhenUsed/>
    <w:rsid w:val="001F3AC9"/>
    <w:rPr>
      <w:color w:val="605E5C"/>
      <w:shd w:val="clear" w:color="auto" w:fill="E1DFDD"/>
    </w:rPr>
  </w:style>
  <w:style w:type="character" w:customStyle="1" w:styleId="zlenenKpr1">
    <w:name w:val="İzlenen Köprü1"/>
    <w:basedOn w:val="VarsaylanParagrafYazTipi"/>
    <w:uiPriority w:val="99"/>
    <w:semiHidden/>
    <w:unhideWhenUsed/>
    <w:rsid w:val="001F3AC9"/>
    <w:rPr>
      <w:color w:val="954F72"/>
      <w:u w:val="single"/>
    </w:rPr>
  </w:style>
  <w:style w:type="table" w:customStyle="1" w:styleId="TabloKlavuzu1">
    <w:name w:val="Tablo Kılavuzu1"/>
    <w:basedOn w:val="NormalTablo"/>
    <w:next w:val="TabloKlavuzu"/>
    <w:rsid w:val="001F3AC9"/>
    <w:pPr>
      <w:spacing w:after="0" w:line="240" w:lineRule="auto"/>
    </w:pPr>
    <w:rPr>
      <w:rFonts w:ascii="Calibri" w:eastAsia="Calibri" w:hAnsi="Calibri" w:cs="Calibri"/>
      <w:kern w:val="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1F3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tr-TR"/>
      <w14:ligatures w14:val="none"/>
    </w:rPr>
  </w:style>
  <w:style w:type="character" w:customStyle="1" w:styleId="HTMLncedenBiimlendirilmiChar">
    <w:name w:val="HTML Önceden Biçimlendirilmiş Char"/>
    <w:basedOn w:val="VarsaylanParagrafYazTipi"/>
    <w:link w:val="HTMLncedenBiimlendirilmi"/>
    <w:uiPriority w:val="99"/>
    <w:rsid w:val="001F3AC9"/>
    <w:rPr>
      <w:rFonts w:ascii="Courier New" w:eastAsia="Times New Roman" w:hAnsi="Courier New" w:cs="Courier New"/>
      <w:kern w:val="0"/>
      <w:sz w:val="20"/>
      <w:szCs w:val="20"/>
      <w:lang w:eastAsia="tr-TR"/>
      <w14:ligatures w14:val="none"/>
    </w:rPr>
  </w:style>
  <w:style w:type="paragraph" w:customStyle="1" w:styleId="pf0">
    <w:name w:val="pf0"/>
    <w:basedOn w:val="Normal"/>
    <w:link w:val="pf0Char"/>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pf0Char">
    <w:name w:val="pf0 Char"/>
    <w:basedOn w:val="VarsaylanParagrafYazTipi"/>
    <w:link w:val="pf0"/>
    <w:rsid w:val="001F3AC9"/>
    <w:rPr>
      <w:rFonts w:ascii="Times New Roman" w:eastAsia="Times New Roman" w:hAnsi="Times New Roman" w:cs="Times New Roman"/>
      <w:kern w:val="0"/>
      <w:sz w:val="24"/>
      <w:szCs w:val="24"/>
      <w:lang w:eastAsia="tr-TR"/>
      <w14:ligatures w14:val="none"/>
    </w:rPr>
  </w:style>
  <w:style w:type="character" w:customStyle="1" w:styleId="markedcontent">
    <w:name w:val="markedcontent"/>
    <w:basedOn w:val="VarsaylanParagrafYazTipi"/>
    <w:rsid w:val="001F3AC9"/>
  </w:style>
  <w:style w:type="table" w:customStyle="1" w:styleId="TabloKlavuzu2">
    <w:name w:val="Tablo Kılavuzu2"/>
    <w:basedOn w:val="NormalTablo"/>
    <w:next w:val="TabloKlavuzu"/>
    <w:uiPriority w:val="59"/>
    <w:rsid w:val="001F3AC9"/>
    <w:pPr>
      <w:spacing w:after="0" w:line="240" w:lineRule="auto"/>
    </w:pPr>
    <w:rPr>
      <w:rFonts w:ascii="Calibri" w:eastAsia="Calibri" w:hAnsi="Calibri" w:cs="Calibri"/>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1F3AC9"/>
    <w:pPr>
      <w:spacing w:after="0" w:line="240" w:lineRule="auto"/>
    </w:pPr>
    <w:rPr>
      <w:rFonts w:ascii="Calibri" w:eastAsia="Calibri" w:hAnsi="Calibri" w:cs="Calibri"/>
      <w:kern w:val="0"/>
      <w:sz w:val="24"/>
      <w:szCs w:val="24"/>
      <w:lang w:val="en-US"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1F3AC9"/>
    <w:pPr>
      <w:spacing w:after="0" w:line="240" w:lineRule="auto"/>
    </w:pPr>
    <w:rPr>
      <w:rFonts w:ascii="Calibri" w:eastAsia="Calibri" w:hAnsi="Calibri" w:cs="Calibri"/>
      <w:kern w:val="0"/>
      <w:sz w:val="24"/>
      <w:szCs w:val="24"/>
      <w:lang w:val="en-US"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3-Vurgu61">
    <w:name w:val="Kılavuz Tablo 3 - Vurgu 61"/>
    <w:basedOn w:val="NormalTablo"/>
    <w:next w:val="KlavuzTablo3-Vurgu6"/>
    <w:uiPriority w:val="48"/>
    <w:rsid w:val="001F3AC9"/>
    <w:pPr>
      <w:spacing w:after="0" w:line="240" w:lineRule="auto"/>
    </w:pPr>
    <w:rPr>
      <w:rFonts w:ascii="Calibri" w:eastAsia="Calibri" w:hAnsi="Calibri" w:cs="Calibri"/>
      <w:kern w:val="0"/>
      <w:lang w:val="ru-RU" w:eastAsia="tr-TR"/>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KlavuzTablo3-Vurgu62">
    <w:name w:val="Kılavuz Tablo 3 - Vurgu 62"/>
    <w:basedOn w:val="NormalTablo"/>
    <w:next w:val="KlavuzTablo3-Vurgu6"/>
    <w:uiPriority w:val="48"/>
    <w:rsid w:val="001F3AC9"/>
    <w:pPr>
      <w:spacing w:after="0" w:line="240" w:lineRule="auto"/>
    </w:pPr>
    <w:rPr>
      <w:rFonts w:ascii="Calibri" w:eastAsia="Calibri" w:hAnsi="Calibri" w:cs="Calibri"/>
      <w:kern w:val="0"/>
      <w:lang w:eastAsia="tr-TR"/>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KlavuzTablo3-Vurgu621">
    <w:name w:val="Kılavuz Tablo 3 - Vurgu 621"/>
    <w:basedOn w:val="NormalTablo"/>
    <w:next w:val="KlavuzTablo3-Vurgu6"/>
    <w:uiPriority w:val="48"/>
    <w:rsid w:val="001F3AC9"/>
    <w:pPr>
      <w:spacing w:after="0" w:line="240" w:lineRule="auto"/>
    </w:pPr>
    <w:rPr>
      <w:rFonts w:ascii="Calibri" w:eastAsia="Calibri" w:hAnsi="Calibri" w:cs="Calibri"/>
      <w:kern w:val="0"/>
      <w:lang w:val="ru-RU" w:eastAsia="tr-TR"/>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KlavuzTablo3-Vurgu63">
    <w:name w:val="Kılavuz Tablo 3 - Vurgu 63"/>
    <w:basedOn w:val="NormalTablo"/>
    <w:next w:val="KlavuzTablo3-Vurgu6"/>
    <w:uiPriority w:val="48"/>
    <w:rsid w:val="001F3AC9"/>
    <w:pPr>
      <w:spacing w:after="0" w:line="240" w:lineRule="auto"/>
    </w:pPr>
    <w:rPr>
      <w:rFonts w:ascii="Calibri" w:eastAsia="Calibri" w:hAnsi="Calibri" w:cs="Calibri"/>
      <w:kern w:val="0"/>
      <w:lang w:val="ru-RU" w:eastAsia="tr-TR"/>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paragraph" w:styleId="NormalWeb">
    <w:name w:val="Normal (Web)"/>
    <w:basedOn w:val="Normal"/>
    <w:unhideWhenUsed/>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qFormat/>
    <w:rsid w:val="001F3AC9"/>
    <w:rPr>
      <w:b/>
      <w:bCs/>
    </w:rPr>
  </w:style>
  <w:style w:type="character" w:customStyle="1" w:styleId="apple-converted-space">
    <w:name w:val="apple-converted-space"/>
    <w:basedOn w:val="VarsaylanParagrafYazTipi"/>
    <w:rsid w:val="001F3AC9"/>
  </w:style>
  <w:style w:type="paragraph" w:styleId="ekillerTablosu">
    <w:name w:val="table of figures"/>
    <w:basedOn w:val="Normal"/>
    <w:next w:val="Normal"/>
    <w:uiPriority w:val="99"/>
    <w:unhideWhenUsed/>
    <w:rsid w:val="001F3AC9"/>
    <w:pPr>
      <w:spacing w:after="0" w:line="240" w:lineRule="auto"/>
    </w:pPr>
    <w:rPr>
      <w:rFonts w:ascii="Times New Roman" w:eastAsia="Times New Roman" w:hAnsi="Times New Roman" w:cs="Times New Roman"/>
      <w:kern w:val="0"/>
      <w:sz w:val="24"/>
      <w:szCs w:val="24"/>
      <w:lang w:eastAsia="tr-TR"/>
      <w14:ligatures w14:val="none"/>
    </w:rPr>
  </w:style>
  <w:style w:type="paragraph" w:styleId="T3">
    <w:name w:val="toc 3"/>
    <w:basedOn w:val="Normal"/>
    <w:next w:val="Normal"/>
    <w:autoRedefine/>
    <w:uiPriority w:val="39"/>
    <w:unhideWhenUsed/>
    <w:rsid w:val="001F3AC9"/>
    <w:pPr>
      <w:spacing w:after="100" w:line="240" w:lineRule="auto"/>
      <w:ind w:left="440"/>
    </w:pPr>
    <w:rPr>
      <w:rFonts w:ascii="Times New Roman" w:eastAsia="Times New Roman" w:hAnsi="Times New Roman" w:cs="Times New Roman"/>
      <w:kern w:val="0"/>
      <w:sz w:val="24"/>
      <w:szCs w:val="24"/>
      <w:lang w:eastAsia="tr-TR"/>
      <w14:ligatures w14:val="none"/>
    </w:rPr>
  </w:style>
  <w:style w:type="paragraph" w:customStyle="1" w:styleId="T41">
    <w:name w:val="İÇT 41"/>
    <w:basedOn w:val="Normal"/>
    <w:next w:val="Normal"/>
    <w:autoRedefine/>
    <w:uiPriority w:val="39"/>
    <w:unhideWhenUsed/>
    <w:rsid w:val="001F3AC9"/>
    <w:pPr>
      <w:spacing w:after="100" w:line="240" w:lineRule="auto"/>
      <w:ind w:left="660"/>
    </w:pPr>
    <w:rPr>
      <w:rFonts w:ascii="Times New Roman" w:eastAsia="Times New Roman" w:hAnsi="Times New Roman" w:cs="Times New Roman"/>
      <w:kern w:val="0"/>
      <w:sz w:val="24"/>
      <w:szCs w:val="24"/>
      <w:lang w:eastAsia="tr-TR"/>
      <w14:ligatures w14:val="none"/>
    </w:rPr>
  </w:style>
  <w:style w:type="paragraph" w:customStyle="1" w:styleId="T51">
    <w:name w:val="İÇT 51"/>
    <w:basedOn w:val="Normal"/>
    <w:next w:val="Normal"/>
    <w:autoRedefine/>
    <w:uiPriority w:val="39"/>
    <w:unhideWhenUsed/>
    <w:rsid w:val="001F3AC9"/>
    <w:pPr>
      <w:spacing w:after="100" w:line="240" w:lineRule="auto"/>
      <w:ind w:left="880"/>
    </w:pPr>
    <w:rPr>
      <w:rFonts w:ascii="Times New Roman" w:eastAsia="Times New Roman" w:hAnsi="Times New Roman" w:cs="Times New Roman"/>
      <w:kern w:val="0"/>
      <w:sz w:val="24"/>
      <w:szCs w:val="24"/>
      <w:lang w:eastAsia="tr-TR"/>
      <w14:ligatures w14:val="none"/>
    </w:rPr>
  </w:style>
  <w:style w:type="paragraph" w:customStyle="1" w:styleId="T61">
    <w:name w:val="İÇT 61"/>
    <w:basedOn w:val="Normal"/>
    <w:next w:val="Normal"/>
    <w:autoRedefine/>
    <w:uiPriority w:val="39"/>
    <w:unhideWhenUsed/>
    <w:rsid w:val="001F3AC9"/>
    <w:pPr>
      <w:spacing w:after="100" w:line="240" w:lineRule="auto"/>
      <w:ind w:left="1100"/>
    </w:pPr>
    <w:rPr>
      <w:rFonts w:ascii="Times New Roman" w:eastAsia="Times New Roman" w:hAnsi="Times New Roman" w:cs="Times New Roman"/>
      <w:kern w:val="0"/>
      <w:sz w:val="24"/>
      <w:szCs w:val="24"/>
      <w:lang w:eastAsia="tr-TR"/>
      <w14:ligatures w14:val="none"/>
    </w:rPr>
  </w:style>
  <w:style w:type="paragraph" w:customStyle="1" w:styleId="T71">
    <w:name w:val="İÇT 71"/>
    <w:basedOn w:val="Normal"/>
    <w:next w:val="Normal"/>
    <w:autoRedefine/>
    <w:uiPriority w:val="39"/>
    <w:unhideWhenUsed/>
    <w:rsid w:val="001F3AC9"/>
    <w:pPr>
      <w:spacing w:after="100" w:line="240" w:lineRule="auto"/>
      <w:ind w:left="1320"/>
    </w:pPr>
    <w:rPr>
      <w:rFonts w:ascii="Times New Roman" w:eastAsia="Times New Roman" w:hAnsi="Times New Roman" w:cs="Times New Roman"/>
      <w:kern w:val="0"/>
      <w:sz w:val="24"/>
      <w:szCs w:val="24"/>
      <w:lang w:eastAsia="tr-TR"/>
      <w14:ligatures w14:val="none"/>
    </w:rPr>
  </w:style>
  <w:style w:type="paragraph" w:customStyle="1" w:styleId="T81">
    <w:name w:val="İÇT 81"/>
    <w:basedOn w:val="Normal"/>
    <w:next w:val="Normal"/>
    <w:autoRedefine/>
    <w:uiPriority w:val="39"/>
    <w:unhideWhenUsed/>
    <w:rsid w:val="001F3AC9"/>
    <w:pPr>
      <w:spacing w:after="100" w:line="240" w:lineRule="auto"/>
      <w:ind w:left="1540"/>
    </w:pPr>
    <w:rPr>
      <w:rFonts w:ascii="Times New Roman" w:eastAsia="Times New Roman" w:hAnsi="Times New Roman" w:cs="Times New Roman"/>
      <w:kern w:val="0"/>
      <w:sz w:val="24"/>
      <w:szCs w:val="24"/>
      <w:lang w:eastAsia="tr-TR"/>
      <w14:ligatures w14:val="none"/>
    </w:rPr>
  </w:style>
  <w:style w:type="paragraph" w:customStyle="1" w:styleId="T91">
    <w:name w:val="İÇT 91"/>
    <w:basedOn w:val="Normal"/>
    <w:next w:val="Normal"/>
    <w:autoRedefine/>
    <w:uiPriority w:val="39"/>
    <w:unhideWhenUsed/>
    <w:rsid w:val="001F3AC9"/>
    <w:pPr>
      <w:spacing w:after="100" w:line="240" w:lineRule="auto"/>
      <w:ind w:left="1760"/>
    </w:pPr>
    <w:rPr>
      <w:rFonts w:ascii="Times New Roman" w:eastAsia="Times New Roman" w:hAnsi="Times New Roman" w:cs="Times New Roman"/>
      <w:kern w:val="0"/>
      <w:sz w:val="24"/>
      <w:szCs w:val="24"/>
      <w:lang w:eastAsia="tr-TR"/>
      <w14:ligatures w14:val="none"/>
    </w:rPr>
  </w:style>
  <w:style w:type="table" w:customStyle="1" w:styleId="TabloKlavuzu5">
    <w:name w:val="Tablo Kılavuzu5"/>
    <w:basedOn w:val="NormalTablo"/>
    <w:next w:val="TabloKlavuzu"/>
    <w:uiPriority w:val="39"/>
    <w:rsid w:val="001F3AC9"/>
    <w:pPr>
      <w:spacing w:after="0" w:line="240" w:lineRule="auto"/>
    </w:pPr>
    <w:rPr>
      <w:rFonts w:ascii="Calibri" w:eastAsia="Calibri" w:hAnsi="Calibri" w:cs="Calibri"/>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VarsaylanParagrafYazTipi"/>
    <w:rsid w:val="001F3AC9"/>
  </w:style>
  <w:style w:type="paragraph" w:customStyle="1" w:styleId="3-normalyaz">
    <w:name w:val="3-normalyaz"/>
    <w:basedOn w:val="Normal"/>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spelle">
    <w:name w:val="spelle"/>
    <w:basedOn w:val="VarsaylanParagrafYazTipi"/>
    <w:rsid w:val="001F3AC9"/>
  </w:style>
  <w:style w:type="paragraph" w:customStyle="1" w:styleId="metin">
    <w:name w:val="metin"/>
    <w:basedOn w:val="Normal"/>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ortabalkbold">
    <w:name w:val="ortabalkbold"/>
    <w:basedOn w:val="Normal"/>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2-ortabaslk">
    <w:name w:val="2-ortabaslk"/>
    <w:basedOn w:val="Normal"/>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overflow-hidden">
    <w:name w:val="overflow-hidden"/>
    <w:basedOn w:val="VarsaylanParagrafYazTipi"/>
    <w:rsid w:val="001F3AC9"/>
  </w:style>
  <w:style w:type="paragraph" w:customStyle="1" w:styleId="msonormal0">
    <w:name w:val="msonormal"/>
    <w:basedOn w:val="Normal"/>
    <w:rsid w:val="001F3AC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flex">
    <w:name w:val="flex"/>
    <w:basedOn w:val="VarsaylanParagrafYazTipi"/>
    <w:rsid w:val="001F3AC9"/>
  </w:style>
  <w:style w:type="character" w:customStyle="1" w:styleId="hidden">
    <w:name w:val="hidden"/>
    <w:basedOn w:val="VarsaylanParagrafYazTipi"/>
    <w:rsid w:val="001F3AC9"/>
  </w:style>
  <w:style w:type="character" w:customStyle="1" w:styleId="katex-display">
    <w:name w:val="katex-display"/>
    <w:basedOn w:val="VarsaylanParagrafYazTipi"/>
    <w:rsid w:val="001F3AC9"/>
  </w:style>
  <w:style w:type="character" w:customStyle="1" w:styleId="katex">
    <w:name w:val="katex"/>
    <w:basedOn w:val="VarsaylanParagrafYazTipi"/>
    <w:rsid w:val="001F3AC9"/>
  </w:style>
  <w:style w:type="character" w:customStyle="1" w:styleId="katex-mathml">
    <w:name w:val="katex-mathml"/>
    <w:basedOn w:val="VarsaylanParagrafYazTipi"/>
    <w:rsid w:val="001F3AC9"/>
  </w:style>
  <w:style w:type="character" w:customStyle="1" w:styleId="katex-html">
    <w:name w:val="katex-html"/>
    <w:basedOn w:val="VarsaylanParagrafYazTipi"/>
    <w:rsid w:val="001F3AC9"/>
  </w:style>
  <w:style w:type="character" w:customStyle="1" w:styleId="base">
    <w:name w:val="base"/>
    <w:basedOn w:val="VarsaylanParagrafYazTipi"/>
    <w:rsid w:val="001F3AC9"/>
  </w:style>
  <w:style w:type="character" w:customStyle="1" w:styleId="strut">
    <w:name w:val="strut"/>
    <w:basedOn w:val="VarsaylanParagrafYazTipi"/>
    <w:rsid w:val="001F3AC9"/>
  </w:style>
  <w:style w:type="character" w:customStyle="1" w:styleId="mord">
    <w:name w:val="mord"/>
    <w:basedOn w:val="VarsaylanParagrafYazTipi"/>
    <w:rsid w:val="001F3AC9"/>
  </w:style>
  <w:style w:type="character" w:customStyle="1" w:styleId="vlist-t">
    <w:name w:val="vlist-t"/>
    <w:basedOn w:val="VarsaylanParagrafYazTipi"/>
    <w:rsid w:val="001F3AC9"/>
  </w:style>
  <w:style w:type="character" w:customStyle="1" w:styleId="vlist-r">
    <w:name w:val="vlist-r"/>
    <w:basedOn w:val="VarsaylanParagrafYazTipi"/>
    <w:rsid w:val="001F3AC9"/>
  </w:style>
  <w:style w:type="character" w:customStyle="1" w:styleId="vlist">
    <w:name w:val="vlist"/>
    <w:basedOn w:val="VarsaylanParagrafYazTipi"/>
    <w:rsid w:val="001F3AC9"/>
  </w:style>
  <w:style w:type="character" w:customStyle="1" w:styleId="pstrut">
    <w:name w:val="pstrut"/>
    <w:basedOn w:val="VarsaylanParagrafYazTipi"/>
    <w:rsid w:val="001F3AC9"/>
  </w:style>
  <w:style w:type="character" w:customStyle="1" w:styleId="accent-body">
    <w:name w:val="accent-body"/>
    <w:basedOn w:val="VarsaylanParagrafYazTipi"/>
    <w:rsid w:val="001F3AC9"/>
  </w:style>
  <w:style w:type="character" w:customStyle="1" w:styleId="mspace">
    <w:name w:val="mspace"/>
    <w:basedOn w:val="VarsaylanParagrafYazTipi"/>
    <w:rsid w:val="001F3AC9"/>
  </w:style>
  <w:style w:type="character" w:customStyle="1" w:styleId="mrel">
    <w:name w:val="mrel"/>
    <w:basedOn w:val="VarsaylanParagrafYazTipi"/>
    <w:rsid w:val="001F3AC9"/>
  </w:style>
  <w:style w:type="character" w:customStyle="1" w:styleId="mopen">
    <w:name w:val="mopen"/>
    <w:basedOn w:val="VarsaylanParagrafYazTipi"/>
    <w:rsid w:val="001F3AC9"/>
  </w:style>
  <w:style w:type="character" w:customStyle="1" w:styleId="mfrac">
    <w:name w:val="mfrac"/>
    <w:basedOn w:val="VarsaylanParagrafYazTipi"/>
    <w:rsid w:val="001F3AC9"/>
  </w:style>
  <w:style w:type="character" w:customStyle="1" w:styleId="frac-line">
    <w:name w:val="frac-line"/>
    <w:basedOn w:val="VarsaylanParagrafYazTipi"/>
    <w:rsid w:val="001F3AC9"/>
  </w:style>
  <w:style w:type="character" w:customStyle="1" w:styleId="vlist-s">
    <w:name w:val="vlist-s"/>
    <w:basedOn w:val="VarsaylanParagrafYazTipi"/>
    <w:rsid w:val="001F3AC9"/>
  </w:style>
  <w:style w:type="character" w:customStyle="1" w:styleId="mclose">
    <w:name w:val="mclose"/>
    <w:basedOn w:val="VarsaylanParagrafYazTipi"/>
    <w:rsid w:val="001F3AC9"/>
  </w:style>
  <w:style w:type="character" w:styleId="Kpr">
    <w:name w:val="Hyperlink"/>
    <w:basedOn w:val="VarsaylanParagrafYazTipi"/>
    <w:uiPriority w:val="99"/>
    <w:unhideWhenUsed/>
    <w:qFormat/>
    <w:rsid w:val="001F3AC9"/>
    <w:rPr>
      <w:color w:val="467886" w:themeColor="hyperlink"/>
      <w:u w:val="single"/>
    </w:rPr>
  </w:style>
  <w:style w:type="paragraph" w:styleId="AralkYok">
    <w:name w:val="No Spacing"/>
    <w:uiPriority w:val="1"/>
    <w:qFormat/>
    <w:rsid w:val="001F3AC9"/>
    <w:pPr>
      <w:spacing w:after="0" w:line="240" w:lineRule="auto"/>
    </w:pPr>
  </w:style>
  <w:style w:type="character" w:styleId="zlenenKpr">
    <w:name w:val="FollowedHyperlink"/>
    <w:basedOn w:val="VarsaylanParagrafYazTipi"/>
    <w:uiPriority w:val="99"/>
    <w:unhideWhenUsed/>
    <w:rsid w:val="001F3AC9"/>
    <w:rPr>
      <w:color w:val="96607D" w:themeColor="followedHyperlink"/>
      <w:u w:val="single"/>
    </w:rPr>
  </w:style>
  <w:style w:type="table" w:styleId="KlavuzTablo3-Vurgu6">
    <w:name w:val="Grid Table 3 Accent 6"/>
    <w:basedOn w:val="NormalTablo"/>
    <w:uiPriority w:val="48"/>
    <w:rsid w:val="001F3AC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numbering" w:customStyle="1" w:styleId="ListeYok2">
    <w:name w:val="Liste Yok2"/>
    <w:next w:val="ListeYok"/>
    <w:uiPriority w:val="99"/>
    <w:semiHidden/>
    <w:unhideWhenUsed/>
    <w:rsid w:val="00A81419"/>
  </w:style>
  <w:style w:type="character" w:customStyle="1" w:styleId="Dipnot">
    <w:name w:val="Dipnot_"/>
    <w:link w:val="Dipnot1"/>
    <w:uiPriority w:val="99"/>
    <w:locked/>
    <w:rsid w:val="00A81419"/>
    <w:rPr>
      <w:rFonts w:ascii="Times New Roman" w:hAnsi="Times New Roman" w:cs="Times New Roman"/>
      <w:sz w:val="21"/>
      <w:szCs w:val="21"/>
      <w:shd w:val="clear" w:color="auto" w:fill="FFFFFF"/>
    </w:rPr>
  </w:style>
  <w:style w:type="character" w:customStyle="1" w:styleId="Balk52">
    <w:name w:val="Başlık #5 (2)_"/>
    <w:link w:val="Balk521"/>
    <w:uiPriority w:val="99"/>
    <w:locked/>
    <w:rsid w:val="00A81419"/>
    <w:rPr>
      <w:rFonts w:ascii="Times New Roman" w:hAnsi="Times New Roman" w:cs="Times New Roman"/>
      <w:b/>
      <w:bCs/>
      <w:sz w:val="19"/>
      <w:szCs w:val="19"/>
      <w:shd w:val="clear" w:color="auto" w:fill="FFFFFF"/>
    </w:rPr>
  </w:style>
  <w:style w:type="character" w:customStyle="1" w:styleId="Balk5210pt">
    <w:name w:val="Başlık #5 (2) + 10 pt"/>
    <w:uiPriority w:val="99"/>
    <w:rsid w:val="00A81419"/>
    <w:rPr>
      <w:rFonts w:ascii="Times New Roman" w:hAnsi="Times New Roman" w:cs="Times New Roman"/>
      <w:b/>
      <w:bCs/>
      <w:sz w:val="20"/>
      <w:szCs w:val="20"/>
      <w:u w:val="none"/>
    </w:rPr>
  </w:style>
  <w:style w:type="character" w:customStyle="1" w:styleId="Dipnot0">
    <w:name w:val="Dipnot"/>
    <w:uiPriority w:val="99"/>
    <w:rsid w:val="00A81419"/>
    <w:rPr>
      <w:rFonts w:ascii="Times New Roman" w:hAnsi="Times New Roman" w:cs="Times New Roman"/>
      <w:sz w:val="21"/>
      <w:szCs w:val="21"/>
      <w:u w:val="single"/>
    </w:rPr>
  </w:style>
  <w:style w:type="character" w:customStyle="1" w:styleId="Dipnot2">
    <w:name w:val="Dipnot (2)_"/>
    <w:link w:val="Dipnot20"/>
    <w:uiPriority w:val="99"/>
    <w:locked/>
    <w:rsid w:val="00A81419"/>
    <w:rPr>
      <w:rFonts w:ascii="Times New Roman" w:hAnsi="Times New Roman" w:cs="Times New Roman"/>
      <w:sz w:val="21"/>
      <w:szCs w:val="21"/>
      <w:shd w:val="clear" w:color="auto" w:fill="FFFFFF"/>
    </w:rPr>
  </w:style>
  <w:style w:type="character" w:customStyle="1" w:styleId="Dipnot29">
    <w:name w:val="Dipnot (2) + 9"/>
    <w:aliases w:val="5 pt"/>
    <w:uiPriority w:val="99"/>
    <w:rsid w:val="00A81419"/>
    <w:rPr>
      <w:rFonts w:ascii="Times New Roman" w:hAnsi="Times New Roman" w:cs="Times New Roman"/>
      <w:sz w:val="19"/>
      <w:szCs w:val="19"/>
      <w:u w:val="none"/>
    </w:rPr>
  </w:style>
  <w:style w:type="character" w:customStyle="1" w:styleId="Dipnot3">
    <w:name w:val="Dipnot (3)_"/>
    <w:link w:val="Dipnot30"/>
    <w:uiPriority w:val="99"/>
    <w:locked/>
    <w:rsid w:val="00A81419"/>
    <w:rPr>
      <w:rFonts w:ascii="Times New Roman" w:hAnsi="Times New Roman" w:cs="Times New Roman"/>
      <w:b/>
      <w:bCs/>
      <w:sz w:val="14"/>
      <w:szCs w:val="14"/>
      <w:shd w:val="clear" w:color="auto" w:fill="FFFFFF"/>
    </w:rPr>
  </w:style>
  <w:style w:type="character" w:customStyle="1" w:styleId="Dipnot4">
    <w:name w:val="Dipnot (4)_"/>
    <w:link w:val="Dipnot40"/>
    <w:uiPriority w:val="99"/>
    <w:locked/>
    <w:rsid w:val="00A81419"/>
    <w:rPr>
      <w:rFonts w:ascii="Arial" w:hAnsi="Arial" w:cs="Arial"/>
      <w:b/>
      <w:bCs/>
      <w:sz w:val="14"/>
      <w:szCs w:val="14"/>
      <w:shd w:val="clear" w:color="auto" w:fill="FFFFFF"/>
    </w:rPr>
  </w:style>
  <w:style w:type="character" w:customStyle="1" w:styleId="Dipnot210pt">
    <w:name w:val="Dipnot (2) + 10 pt"/>
    <w:uiPriority w:val="99"/>
    <w:rsid w:val="00A81419"/>
    <w:rPr>
      <w:rFonts w:ascii="Times New Roman" w:hAnsi="Times New Roman" w:cs="Times New Roman"/>
      <w:sz w:val="20"/>
      <w:szCs w:val="20"/>
      <w:u w:val="none"/>
    </w:rPr>
  </w:style>
  <w:style w:type="character" w:customStyle="1" w:styleId="Gvdemetni3Exact">
    <w:name w:val="Gövde metni (3) Exact"/>
    <w:uiPriority w:val="99"/>
    <w:rsid w:val="00A81419"/>
    <w:rPr>
      <w:rFonts w:ascii="Times New Roman" w:hAnsi="Times New Roman" w:cs="Times New Roman"/>
      <w:sz w:val="18"/>
      <w:szCs w:val="18"/>
      <w:u w:val="none"/>
    </w:rPr>
  </w:style>
  <w:style w:type="character" w:customStyle="1" w:styleId="Gvdemetni">
    <w:name w:val="Gövde metni_"/>
    <w:link w:val="Gvdemetni1"/>
    <w:locked/>
    <w:rsid w:val="00A81419"/>
    <w:rPr>
      <w:rFonts w:ascii="Times New Roman" w:hAnsi="Times New Roman" w:cs="Times New Roman"/>
      <w:sz w:val="21"/>
      <w:szCs w:val="21"/>
      <w:shd w:val="clear" w:color="auto" w:fill="FFFFFF"/>
    </w:rPr>
  </w:style>
  <w:style w:type="character" w:customStyle="1" w:styleId="Balk10">
    <w:name w:val="Başlık #1_"/>
    <w:link w:val="Balk11"/>
    <w:uiPriority w:val="99"/>
    <w:locked/>
    <w:rsid w:val="00A81419"/>
    <w:rPr>
      <w:rFonts w:ascii="Times New Roman" w:hAnsi="Times New Roman" w:cs="Times New Roman"/>
      <w:spacing w:val="20"/>
      <w:sz w:val="27"/>
      <w:szCs w:val="27"/>
      <w:shd w:val="clear" w:color="auto" w:fill="FFFFFF"/>
    </w:rPr>
  </w:style>
  <w:style w:type="character" w:customStyle="1" w:styleId="Tabloyazs2">
    <w:name w:val="Tablo yazısı (2)_"/>
    <w:link w:val="Tabloyazs21"/>
    <w:uiPriority w:val="99"/>
    <w:locked/>
    <w:rsid w:val="00A81419"/>
    <w:rPr>
      <w:rFonts w:ascii="Times New Roman" w:hAnsi="Times New Roman" w:cs="Times New Roman"/>
      <w:sz w:val="21"/>
      <w:szCs w:val="21"/>
      <w:shd w:val="clear" w:color="auto" w:fill="FFFFFF"/>
    </w:rPr>
  </w:style>
  <w:style w:type="character" w:customStyle="1" w:styleId="Gvdemetni9">
    <w:name w:val="Gövde metni + 9"/>
    <w:aliases w:val="5 pt173"/>
    <w:uiPriority w:val="99"/>
    <w:rsid w:val="00A81419"/>
    <w:rPr>
      <w:rFonts w:ascii="Times New Roman" w:hAnsi="Times New Roman" w:cs="Times New Roman"/>
      <w:sz w:val="19"/>
      <w:szCs w:val="19"/>
      <w:u w:val="none"/>
    </w:rPr>
  </w:style>
  <w:style w:type="character" w:customStyle="1" w:styleId="Gvdemetni0">
    <w:name w:val="Gövde metni"/>
    <w:uiPriority w:val="99"/>
    <w:rsid w:val="00A81419"/>
  </w:style>
  <w:style w:type="character" w:customStyle="1" w:styleId="Gvdemetnitalik">
    <w:name w:val="Gövde metni + İtalik"/>
    <w:uiPriority w:val="99"/>
    <w:rsid w:val="00A81419"/>
    <w:rPr>
      <w:rFonts w:ascii="Times New Roman" w:hAnsi="Times New Roman" w:cs="Times New Roman"/>
      <w:i/>
      <w:iCs/>
      <w:sz w:val="21"/>
      <w:szCs w:val="21"/>
      <w:u w:val="none"/>
    </w:rPr>
  </w:style>
  <w:style w:type="character" w:customStyle="1" w:styleId="Balk30">
    <w:name w:val="Başlık #3_"/>
    <w:link w:val="Balk31"/>
    <w:uiPriority w:val="99"/>
    <w:locked/>
    <w:rsid w:val="00A81419"/>
    <w:rPr>
      <w:rFonts w:ascii="Times New Roman" w:hAnsi="Times New Roman" w:cs="Times New Roman"/>
      <w:sz w:val="19"/>
      <w:szCs w:val="19"/>
      <w:shd w:val="clear" w:color="auto" w:fill="FFFFFF"/>
    </w:rPr>
  </w:style>
  <w:style w:type="character" w:customStyle="1" w:styleId="stbilgiveyaaltbilgi">
    <w:name w:val="Üst bilgi veya alt bilgi_"/>
    <w:link w:val="stbilgiveyaaltbilgi1"/>
    <w:uiPriority w:val="99"/>
    <w:locked/>
    <w:rsid w:val="00A81419"/>
    <w:rPr>
      <w:rFonts w:ascii="Times New Roman" w:hAnsi="Times New Roman" w:cs="Times New Roman"/>
      <w:b/>
      <w:bCs/>
      <w:sz w:val="19"/>
      <w:szCs w:val="19"/>
      <w:shd w:val="clear" w:color="auto" w:fill="FFFFFF"/>
    </w:rPr>
  </w:style>
  <w:style w:type="character" w:customStyle="1" w:styleId="stbilgiveyaaltbilgiKalnDeil">
    <w:name w:val="Üst bilgi veya alt bilgi + Kalın Değil"/>
    <w:uiPriority w:val="99"/>
    <w:rsid w:val="00A81419"/>
    <w:rPr>
      <w:rFonts w:ascii="Times New Roman" w:hAnsi="Times New Roman" w:cs="Times New Roman"/>
      <w:b w:val="0"/>
      <w:bCs w:val="0"/>
      <w:sz w:val="19"/>
      <w:szCs w:val="19"/>
      <w:u w:val="none"/>
    </w:rPr>
  </w:style>
  <w:style w:type="character" w:customStyle="1" w:styleId="Gvdemetni20">
    <w:name w:val="Gövde metni20"/>
    <w:uiPriority w:val="99"/>
    <w:rsid w:val="00A81419"/>
    <w:rPr>
      <w:rFonts w:ascii="Times New Roman" w:hAnsi="Times New Roman" w:cs="Times New Roman"/>
      <w:sz w:val="21"/>
      <w:szCs w:val="21"/>
      <w:u w:val="single"/>
    </w:rPr>
  </w:style>
  <w:style w:type="character" w:customStyle="1" w:styleId="Gvdemetni2">
    <w:name w:val="Gövde metni (2)_"/>
    <w:link w:val="Gvdemetni21"/>
    <w:uiPriority w:val="99"/>
    <w:locked/>
    <w:rsid w:val="00A81419"/>
    <w:rPr>
      <w:rFonts w:ascii="Times New Roman" w:hAnsi="Times New Roman" w:cs="Times New Roman"/>
      <w:b/>
      <w:bCs/>
      <w:sz w:val="27"/>
      <w:szCs w:val="27"/>
      <w:shd w:val="clear" w:color="auto" w:fill="FFFFFF"/>
    </w:rPr>
  </w:style>
  <w:style w:type="character" w:customStyle="1" w:styleId="T1Char">
    <w:name w:val="İÇT 1 Char"/>
    <w:link w:val="T1"/>
    <w:uiPriority w:val="39"/>
    <w:locked/>
    <w:rsid w:val="00A81419"/>
    <w:rPr>
      <w:rFonts w:ascii="Times New Roman" w:eastAsia="Times New Roman" w:hAnsi="Times New Roman" w:cs="Times New Roman"/>
      <w:kern w:val="0"/>
      <w:sz w:val="24"/>
      <w:szCs w:val="24"/>
      <w:lang w:eastAsia="tr-TR"/>
      <w14:ligatures w14:val="none"/>
    </w:rPr>
  </w:style>
  <w:style w:type="character" w:customStyle="1" w:styleId="indekiler">
    <w:name w:val="İçindekiler"/>
    <w:uiPriority w:val="99"/>
    <w:rsid w:val="00A81419"/>
  </w:style>
  <w:style w:type="character" w:customStyle="1" w:styleId="indekiler5">
    <w:name w:val="İçindekiler + 5"/>
    <w:aliases w:val="5 pt172"/>
    <w:uiPriority w:val="99"/>
    <w:rsid w:val="00A81419"/>
    <w:rPr>
      <w:rFonts w:ascii="Times New Roman" w:hAnsi="Times New Roman" w:cs="Times New Roman"/>
      <w:noProof/>
      <w:sz w:val="11"/>
      <w:szCs w:val="11"/>
      <w:u w:val="none"/>
    </w:rPr>
  </w:style>
  <w:style w:type="character" w:customStyle="1" w:styleId="indekilerKkBykHarf">
    <w:name w:val="İçindekiler + Küçük Büyük Harf"/>
    <w:uiPriority w:val="99"/>
    <w:rsid w:val="00A81419"/>
    <w:rPr>
      <w:rFonts w:ascii="Times New Roman" w:hAnsi="Times New Roman" w:cs="Times New Roman"/>
      <w:smallCaps/>
      <w:sz w:val="19"/>
      <w:szCs w:val="19"/>
      <w:u w:val="none"/>
    </w:rPr>
  </w:style>
  <w:style w:type="character" w:customStyle="1" w:styleId="indekiler2">
    <w:name w:val="İçindekiler2"/>
    <w:uiPriority w:val="99"/>
    <w:rsid w:val="00A81419"/>
    <w:rPr>
      <w:rFonts w:ascii="Times New Roman" w:hAnsi="Times New Roman" w:cs="Times New Roman"/>
      <w:sz w:val="19"/>
      <w:szCs w:val="19"/>
      <w:u w:val="single"/>
    </w:rPr>
  </w:style>
  <w:style w:type="character" w:customStyle="1" w:styleId="Gvdemetni3">
    <w:name w:val="Gövde metni (3)_"/>
    <w:link w:val="Gvdemetni31"/>
    <w:uiPriority w:val="99"/>
    <w:locked/>
    <w:rsid w:val="00A81419"/>
    <w:rPr>
      <w:rFonts w:ascii="Times New Roman" w:hAnsi="Times New Roman" w:cs="Times New Roman"/>
      <w:sz w:val="19"/>
      <w:szCs w:val="19"/>
      <w:shd w:val="clear" w:color="auto" w:fill="FFFFFF"/>
    </w:rPr>
  </w:style>
  <w:style w:type="character" w:customStyle="1" w:styleId="indekiler1">
    <w:name w:val="İçindekiler1"/>
    <w:uiPriority w:val="99"/>
    <w:rsid w:val="00A81419"/>
    <w:rPr>
      <w:rFonts w:ascii="Times New Roman" w:hAnsi="Times New Roman" w:cs="Times New Roman"/>
      <w:noProof/>
      <w:sz w:val="19"/>
      <w:szCs w:val="19"/>
      <w:u w:val="none"/>
    </w:rPr>
  </w:style>
  <w:style w:type="character" w:customStyle="1" w:styleId="indekiler9pt">
    <w:name w:val="İçindekiler + 9 pt"/>
    <w:aliases w:val="İtalik"/>
    <w:uiPriority w:val="99"/>
    <w:rsid w:val="00A81419"/>
    <w:rPr>
      <w:rFonts w:ascii="Times New Roman" w:hAnsi="Times New Roman" w:cs="Times New Roman"/>
      <w:i/>
      <w:iCs/>
      <w:sz w:val="18"/>
      <w:szCs w:val="18"/>
      <w:u w:val="none"/>
    </w:rPr>
  </w:style>
  <w:style w:type="character" w:customStyle="1" w:styleId="stbilgiveyaaltbilgiKalnDeil2">
    <w:name w:val="Üst bilgi veya alt bilgi + Kalın Değil2"/>
    <w:aliases w:val="İtalik108"/>
    <w:uiPriority w:val="99"/>
    <w:rsid w:val="00A81419"/>
    <w:rPr>
      <w:rFonts w:ascii="Times New Roman" w:hAnsi="Times New Roman" w:cs="Times New Roman"/>
      <w:b w:val="0"/>
      <w:bCs w:val="0"/>
      <w:i/>
      <w:iCs/>
      <w:noProof/>
      <w:sz w:val="19"/>
      <w:szCs w:val="19"/>
      <w:u w:val="none"/>
    </w:rPr>
  </w:style>
  <w:style w:type="character" w:customStyle="1" w:styleId="indekiler9pt2">
    <w:name w:val="İçindekiler + 9 pt2"/>
    <w:aliases w:val="İtalik107"/>
    <w:uiPriority w:val="99"/>
    <w:rsid w:val="00A81419"/>
    <w:rPr>
      <w:rFonts w:ascii="Times New Roman" w:hAnsi="Times New Roman" w:cs="Times New Roman"/>
      <w:i/>
      <w:iCs/>
      <w:sz w:val="18"/>
      <w:szCs w:val="18"/>
      <w:u w:val="none"/>
    </w:rPr>
  </w:style>
  <w:style w:type="character" w:customStyle="1" w:styleId="Gvdemetni4">
    <w:name w:val="Gövde metni (4)_"/>
    <w:link w:val="Gvdemetni40"/>
    <w:uiPriority w:val="99"/>
    <w:locked/>
    <w:rsid w:val="00A81419"/>
    <w:rPr>
      <w:rFonts w:ascii="Times New Roman" w:hAnsi="Times New Roman" w:cs="Times New Roman"/>
      <w:spacing w:val="20"/>
      <w:sz w:val="27"/>
      <w:szCs w:val="27"/>
      <w:shd w:val="clear" w:color="auto" w:fill="FFFFFF"/>
    </w:rPr>
  </w:style>
  <w:style w:type="character" w:customStyle="1" w:styleId="Gvdemetni19">
    <w:name w:val="Gövde metni19"/>
    <w:uiPriority w:val="99"/>
    <w:rsid w:val="00A81419"/>
    <w:rPr>
      <w:rFonts w:ascii="Times New Roman" w:hAnsi="Times New Roman" w:cs="Times New Roman"/>
      <w:sz w:val="21"/>
      <w:szCs w:val="21"/>
      <w:u w:val="single"/>
    </w:rPr>
  </w:style>
  <w:style w:type="character" w:customStyle="1" w:styleId="Resimyazs">
    <w:name w:val="Resim yazısı_"/>
    <w:link w:val="Resimyazs0"/>
    <w:uiPriority w:val="99"/>
    <w:locked/>
    <w:rsid w:val="00A81419"/>
    <w:rPr>
      <w:rFonts w:ascii="Times New Roman" w:hAnsi="Times New Roman" w:cs="Times New Roman"/>
      <w:sz w:val="19"/>
      <w:szCs w:val="19"/>
      <w:shd w:val="clear" w:color="auto" w:fill="FFFFFF"/>
    </w:rPr>
  </w:style>
  <w:style w:type="character" w:customStyle="1" w:styleId="Gvdemetni39pt">
    <w:name w:val="Gövde metni (3) + 9 pt"/>
    <w:aliases w:val="İtalik106"/>
    <w:uiPriority w:val="99"/>
    <w:rsid w:val="00A81419"/>
    <w:rPr>
      <w:rFonts w:ascii="Times New Roman" w:hAnsi="Times New Roman" w:cs="Times New Roman"/>
      <w:i/>
      <w:iCs/>
      <w:sz w:val="18"/>
      <w:szCs w:val="18"/>
      <w:u w:val="none"/>
    </w:rPr>
  </w:style>
  <w:style w:type="character" w:customStyle="1" w:styleId="Gvdemetni39pt16">
    <w:name w:val="Gövde metni (3) + 9 pt16"/>
    <w:aliases w:val="İtalik105"/>
    <w:uiPriority w:val="99"/>
    <w:rsid w:val="00A81419"/>
    <w:rPr>
      <w:rFonts w:ascii="Times New Roman" w:hAnsi="Times New Roman" w:cs="Times New Roman"/>
      <w:i/>
      <w:iCs/>
      <w:noProof/>
      <w:sz w:val="18"/>
      <w:szCs w:val="18"/>
      <w:u w:val="single"/>
    </w:rPr>
  </w:style>
  <w:style w:type="character" w:customStyle="1" w:styleId="Gvdemetni30">
    <w:name w:val="Gövde metni (3)"/>
    <w:uiPriority w:val="99"/>
    <w:rsid w:val="00A81419"/>
    <w:rPr>
      <w:rFonts w:ascii="Times New Roman" w:hAnsi="Times New Roman" w:cs="Times New Roman"/>
      <w:sz w:val="19"/>
      <w:szCs w:val="19"/>
      <w:u w:val="single"/>
    </w:rPr>
  </w:style>
  <w:style w:type="character" w:customStyle="1" w:styleId="Gvdemetni36">
    <w:name w:val="Gövde metni (3)6"/>
    <w:uiPriority w:val="99"/>
    <w:rsid w:val="00A81419"/>
    <w:rPr>
      <w:rFonts w:ascii="Times New Roman" w:hAnsi="Times New Roman" w:cs="Times New Roman"/>
      <w:sz w:val="19"/>
      <w:szCs w:val="19"/>
      <w:u w:val="single"/>
    </w:rPr>
  </w:style>
  <w:style w:type="character" w:customStyle="1" w:styleId="Gvdemetni35">
    <w:name w:val="Gövde metni (3)5"/>
    <w:uiPriority w:val="99"/>
    <w:rsid w:val="00A81419"/>
  </w:style>
  <w:style w:type="character" w:customStyle="1" w:styleId="Balk40">
    <w:name w:val="Başlık #4_"/>
    <w:link w:val="Balk41"/>
    <w:uiPriority w:val="99"/>
    <w:locked/>
    <w:rsid w:val="00A81419"/>
    <w:rPr>
      <w:rFonts w:ascii="Times New Roman" w:hAnsi="Times New Roman" w:cs="Times New Roman"/>
      <w:sz w:val="19"/>
      <w:szCs w:val="19"/>
      <w:shd w:val="clear" w:color="auto" w:fill="FFFFFF"/>
    </w:rPr>
  </w:style>
  <w:style w:type="character" w:customStyle="1" w:styleId="Gvdemetni5">
    <w:name w:val="Gövde metni (5)_"/>
    <w:link w:val="Gvdemetni51"/>
    <w:uiPriority w:val="99"/>
    <w:locked/>
    <w:rsid w:val="00A81419"/>
    <w:rPr>
      <w:rFonts w:ascii="Times New Roman" w:hAnsi="Times New Roman" w:cs="Times New Roman"/>
      <w:shd w:val="clear" w:color="auto" w:fill="FFFFFF"/>
    </w:rPr>
  </w:style>
  <w:style w:type="character" w:customStyle="1" w:styleId="Gvdemetni9pt">
    <w:name w:val="Gövde metni + 9 pt"/>
    <w:aliases w:val="İtalik104"/>
    <w:uiPriority w:val="99"/>
    <w:rsid w:val="00A81419"/>
    <w:rPr>
      <w:rFonts w:ascii="Times New Roman" w:hAnsi="Times New Roman" w:cs="Times New Roman"/>
      <w:i/>
      <w:iCs/>
      <w:sz w:val="18"/>
      <w:szCs w:val="18"/>
      <w:u w:val="none"/>
    </w:rPr>
  </w:style>
  <w:style w:type="character" w:customStyle="1" w:styleId="stbilgiveyaaltbilgi0">
    <w:name w:val="Üst bilgi veya alt bilgi"/>
    <w:uiPriority w:val="99"/>
    <w:rsid w:val="00A81419"/>
  </w:style>
  <w:style w:type="character" w:customStyle="1" w:styleId="Gvdemetni8">
    <w:name w:val="Gövde metni + 8"/>
    <w:aliases w:val="5 pt171,Kalın"/>
    <w:uiPriority w:val="99"/>
    <w:rsid w:val="00A81419"/>
    <w:rPr>
      <w:rFonts w:ascii="Times New Roman" w:hAnsi="Times New Roman" w:cs="Times New Roman"/>
      <w:b/>
      <w:bCs/>
      <w:sz w:val="17"/>
      <w:szCs w:val="17"/>
      <w:u w:val="none"/>
    </w:rPr>
  </w:style>
  <w:style w:type="character" w:customStyle="1" w:styleId="Gvdemetni9pt27">
    <w:name w:val="Gövde metni + 9 pt27"/>
    <w:uiPriority w:val="99"/>
    <w:rsid w:val="00A81419"/>
    <w:rPr>
      <w:rFonts w:ascii="Times New Roman" w:hAnsi="Times New Roman" w:cs="Times New Roman"/>
      <w:sz w:val="18"/>
      <w:szCs w:val="18"/>
      <w:u w:val="none"/>
    </w:rPr>
  </w:style>
  <w:style w:type="character" w:customStyle="1" w:styleId="Gvdemetni8pt">
    <w:name w:val="Gövde metni + 8 pt"/>
    <w:uiPriority w:val="99"/>
    <w:rsid w:val="00A81419"/>
    <w:rPr>
      <w:rFonts w:ascii="Times New Roman" w:hAnsi="Times New Roman" w:cs="Times New Roman"/>
      <w:sz w:val="16"/>
      <w:szCs w:val="16"/>
      <w:u w:val="none"/>
    </w:rPr>
  </w:style>
  <w:style w:type="character" w:customStyle="1" w:styleId="Gvdemetni8pt8">
    <w:name w:val="Gövde metni + 8 pt8"/>
    <w:aliases w:val="İtalik103"/>
    <w:uiPriority w:val="99"/>
    <w:rsid w:val="00A81419"/>
    <w:rPr>
      <w:rFonts w:ascii="Times New Roman" w:hAnsi="Times New Roman" w:cs="Times New Roman"/>
      <w:i/>
      <w:iCs/>
      <w:sz w:val="16"/>
      <w:szCs w:val="16"/>
      <w:u w:val="none"/>
    </w:rPr>
  </w:style>
  <w:style w:type="character" w:customStyle="1" w:styleId="Resimyazs2Exact">
    <w:name w:val="Resim yazısı (2) Exact"/>
    <w:link w:val="Resimyazs2"/>
    <w:uiPriority w:val="99"/>
    <w:locked/>
    <w:rsid w:val="00A81419"/>
    <w:rPr>
      <w:rFonts w:ascii="Times New Roman" w:hAnsi="Times New Roman" w:cs="Times New Roman"/>
      <w:b/>
      <w:bCs/>
      <w:spacing w:val="8"/>
      <w:sz w:val="18"/>
      <w:szCs w:val="18"/>
      <w:shd w:val="clear" w:color="auto" w:fill="FFFFFF"/>
    </w:rPr>
  </w:style>
  <w:style w:type="character" w:customStyle="1" w:styleId="Gvdemetni6Exact">
    <w:name w:val="Gövde metni (6) Exact"/>
    <w:uiPriority w:val="99"/>
    <w:rsid w:val="00A81419"/>
    <w:rPr>
      <w:rFonts w:ascii="Times New Roman" w:hAnsi="Times New Roman" w:cs="Times New Roman"/>
      <w:b/>
      <w:bCs/>
      <w:spacing w:val="8"/>
      <w:sz w:val="18"/>
      <w:szCs w:val="18"/>
      <w:u w:val="none"/>
    </w:rPr>
  </w:style>
  <w:style w:type="character" w:customStyle="1" w:styleId="Gvdemetni6talik">
    <w:name w:val="Gövde metni (6) + İtalik"/>
    <w:aliases w:val="0 pt boşluk bırakılıyor Exact"/>
    <w:uiPriority w:val="99"/>
    <w:rsid w:val="00A81419"/>
    <w:rPr>
      <w:rFonts w:ascii="Times New Roman" w:hAnsi="Times New Roman" w:cs="Times New Roman"/>
      <w:b/>
      <w:bCs/>
      <w:i/>
      <w:iCs/>
      <w:color w:val="000000"/>
      <w:spacing w:val="15"/>
      <w:w w:val="100"/>
      <w:position w:val="0"/>
      <w:sz w:val="18"/>
      <w:szCs w:val="18"/>
      <w:u w:val="none"/>
    </w:rPr>
  </w:style>
  <w:style w:type="character" w:customStyle="1" w:styleId="Gvdemetni6">
    <w:name w:val="Gövde metni (6)_"/>
    <w:link w:val="Gvdemetni61"/>
    <w:uiPriority w:val="99"/>
    <w:locked/>
    <w:rsid w:val="00A81419"/>
    <w:rPr>
      <w:rFonts w:ascii="Times New Roman" w:hAnsi="Times New Roman" w:cs="Times New Roman"/>
      <w:b/>
      <w:bCs/>
      <w:sz w:val="20"/>
      <w:szCs w:val="20"/>
      <w:shd w:val="clear" w:color="auto" w:fill="FFFFFF"/>
    </w:rPr>
  </w:style>
  <w:style w:type="character" w:customStyle="1" w:styleId="Gvdemetnitalik16">
    <w:name w:val="Gövde metni + İtalik16"/>
    <w:uiPriority w:val="99"/>
    <w:rsid w:val="00A81419"/>
    <w:rPr>
      <w:rFonts w:ascii="Times New Roman" w:hAnsi="Times New Roman" w:cs="Times New Roman"/>
      <w:i/>
      <w:iCs/>
      <w:sz w:val="21"/>
      <w:szCs w:val="21"/>
      <w:u w:val="none"/>
    </w:rPr>
  </w:style>
  <w:style w:type="character" w:customStyle="1" w:styleId="Gvdemetnitalik15">
    <w:name w:val="Gövde metni + İtalik15"/>
    <w:uiPriority w:val="99"/>
    <w:rsid w:val="00A81419"/>
    <w:rPr>
      <w:rFonts w:ascii="Times New Roman" w:hAnsi="Times New Roman" w:cs="Times New Roman"/>
      <w:i/>
      <w:iCs/>
      <w:noProof/>
      <w:sz w:val="21"/>
      <w:szCs w:val="21"/>
      <w:u w:val="single"/>
    </w:rPr>
  </w:style>
  <w:style w:type="character" w:customStyle="1" w:styleId="Gvdemetni18">
    <w:name w:val="Gövde metni18"/>
    <w:uiPriority w:val="99"/>
    <w:rsid w:val="00A81419"/>
    <w:rPr>
      <w:rFonts w:ascii="Times New Roman" w:hAnsi="Times New Roman" w:cs="Times New Roman"/>
      <w:sz w:val="21"/>
      <w:szCs w:val="21"/>
      <w:u w:val="single"/>
    </w:rPr>
  </w:style>
  <w:style w:type="character" w:customStyle="1" w:styleId="Gvdemetni17">
    <w:name w:val="Gövde metni17"/>
    <w:uiPriority w:val="99"/>
    <w:rsid w:val="00A81419"/>
  </w:style>
  <w:style w:type="character" w:customStyle="1" w:styleId="Gvdemetni917">
    <w:name w:val="Gövde metni + 917"/>
    <w:aliases w:val="5 pt170"/>
    <w:uiPriority w:val="99"/>
    <w:rsid w:val="00A81419"/>
    <w:rPr>
      <w:rFonts w:ascii="Times New Roman" w:hAnsi="Times New Roman" w:cs="Times New Roman"/>
      <w:sz w:val="19"/>
      <w:szCs w:val="19"/>
      <w:u w:val="none"/>
    </w:rPr>
  </w:style>
  <w:style w:type="character" w:customStyle="1" w:styleId="Gvdemetni60">
    <w:name w:val="Gövde metni + 6"/>
    <w:aliases w:val="5 pt169"/>
    <w:uiPriority w:val="99"/>
    <w:rsid w:val="00A81419"/>
    <w:rPr>
      <w:rFonts w:ascii="Times New Roman" w:hAnsi="Times New Roman" w:cs="Times New Roman"/>
      <w:sz w:val="13"/>
      <w:szCs w:val="13"/>
      <w:u w:val="none"/>
    </w:rPr>
  </w:style>
  <w:style w:type="character" w:customStyle="1" w:styleId="Balk32">
    <w:name w:val="Başlık #3"/>
    <w:uiPriority w:val="99"/>
    <w:rsid w:val="00A81419"/>
    <w:rPr>
      <w:rFonts w:ascii="Times New Roman" w:hAnsi="Times New Roman" w:cs="Times New Roman"/>
      <w:sz w:val="19"/>
      <w:szCs w:val="19"/>
      <w:u w:val="single"/>
    </w:rPr>
  </w:style>
  <w:style w:type="character" w:customStyle="1" w:styleId="Gvdemetni15pt">
    <w:name w:val="Gövde metni + 15 pt"/>
    <w:aliases w:val="Kalın92"/>
    <w:uiPriority w:val="99"/>
    <w:rsid w:val="00A81419"/>
    <w:rPr>
      <w:rFonts w:ascii="Times New Roman" w:hAnsi="Times New Roman" w:cs="Times New Roman"/>
      <w:b/>
      <w:bCs/>
      <w:sz w:val="30"/>
      <w:szCs w:val="30"/>
      <w:u w:val="none"/>
    </w:rPr>
  </w:style>
  <w:style w:type="character" w:customStyle="1" w:styleId="GvdemetniBookAntiqua">
    <w:name w:val="Gövde metni + Book Antiqua"/>
    <w:aliases w:val="13 pt,Kalın91"/>
    <w:uiPriority w:val="99"/>
    <w:rsid w:val="00A81419"/>
    <w:rPr>
      <w:rFonts w:ascii="Book Antiqua" w:hAnsi="Book Antiqua" w:cs="Book Antiqua"/>
      <w:b/>
      <w:bCs/>
      <w:noProof/>
      <w:sz w:val="26"/>
      <w:szCs w:val="26"/>
      <w:u w:val="none"/>
    </w:rPr>
  </w:style>
  <w:style w:type="character" w:customStyle="1" w:styleId="Gvdemetni10pt">
    <w:name w:val="Gövde metni + 10 pt"/>
    <w:uiPriority w:val="99"/>
    <w:rsid w:val="00A81419"/>
    <w:rPr>
      <w:rFonts w:ascii="Times New Roman" w:hAnsi="Times New Roman" w:cs="Times New Roman"/>
      <w:noProof/>
      <w:sz w:val="20"/>
      <w:szCs w:val="20"/>
      <w:u w:val="none"/>
    </w:rPr>
  </w:style>
  <w:style w:type="character" w:customStyle="1" w:styleId="Gvdemetni63">
    <w:name w:val="Gövde metni + 63"/>
    <w:aliases w:val="5 pt168"/>
    <w:uiPriority w:val="99"/>
    <w:rsid w:val="00A81419"/>
    <w:rPr>
      <w:rFonts w:ascii="Times New Roman" w:hAnsi="Times New Roman" w:cs="Times New Roman"/>
      <w:sz w:val="13"/>
      <w:szCs w:val="13"/>
      <w:u w:val="none"/>
    </w:rPr>
  </w:style>
  <w:style w:type="character" w:customStyle="1" w:styleId="GvdemetniFranklinGothicHeavy">
    <w:name w:val="Gövde metni + Franklin Gothic Heavy"/>
    <w:aliases w:val="12 pt"/>
    <w:uiPriority w:val="99"/>
    <w:rsid w:val="00A81419"/>
    <w:rPr>
      <w:rFonts w:ascii="Franklin Gothic Heavy" w:hAnsi="Franklin Gothic Heavy" w:cs="Franklin Gothic Heavy"/>
      <w:sz w:val="24"/>
      <w:szCs w:val="24"/>
      <w:u w:val="none"/>
    </w:rPr>
  </w:style>
  <w:style w:type="character" w:customStyle="1" w:styleId="GvdemetniFranklinGothicHeavy5">
    <w:name w:val="Gövde metni + Franklin Gothic Heavy5"/>
    <w:aliases w:val="6,5 pt167"/>
    <w:uiPriority w:val="99"/>
    <w:rsid w:val="00A81419"/>
    <w:rPr>
      <w:rFonts w:ascii="Franklin Gothic Heavy" w:hAnsi="Franklin Gothic Heavy" w:cs="Franklin Gothic Heavy"/>
      <w:sz w:val="13"/>
      <w:szCs w:val="13"/>
      <w:u w:val="none"/>
    </w:rPr>
  </w:style>
  <w:style w:type="character" w:customStyle="1" w:styleId="Gvdemetni50">
    <w:name w:val="Gövde metni (5)"/>
    <w:uiPriority w:val="99"/>
    <w:rsid w:val="00A81419"/>
    <w:rPr>
      <w:rFonts w:ascii="Times New Roman" w:hAnsi="Times New Roman" w:cs="Times New Roman"/>
      <w:sz w:val="22"/>
      <w:szCs w:val="22"/>
      <w:u w:val="single"/>
    </w:rPr>
  </w:style>
  <w:style w:type="character" w:customStyle="1" w:styleId="Balk20">
    <w:name w:val="Başlık #2_"/>
    <w:link w:val="Balk21"/>
    <w:uiPriority w:val="99"/>
    <w:locked/>
    <w:rsid w:val="00A81419"/>
    <w:rPr>
      <w:rFonts w:ascii="Arial" w:hAnsi="Arial" w:cs="Arial"/>
      <w:b/>
      <w:bCs/>
      <w:sz w:val="23"/>
      <w:szCs w:val="23"/>
      <w:shd w:val="clear" w:color="auto" w:fill="FFFFFF"/>
    </w:rPr>
  </w:style>
  <w:style w:type="character" w:customStyle="1" w:styleId="Resimyazs3">
    <w:name w:val="Resim yazısı (3)_"/>
    <w:link w:val="Resimyazs31"/>
    <w:uiPriority w:val="99"/>
    <w:locked/>
    <w:rsid w:val="00A81419"/>
    <w:rPr>
      <w:rFonts w:ascii="Times New Roman" w:hAnsi="Times New Roman" w:cs="Times New Roman"/>
      <w:sz w:val="12"/>
      <w:szCs w:val="12"/>
      <w:shd w:val="clear" w:color="auto" w:fill="FFFFFF"/>
    </w:rPr>
  </w:style>
  <w:style w:type="character" w:customStyle="1" w:styleId="Resimyazs3talik">
    <w:name w:val="Resim yazısı (3) + İtalik"/>
    <w:aliases w:val="0 pt boşluk bırakılıyor"/>
    <w:uiPriority w:val="99"/>
    <w:rsid w:val="00A81419"/>
    <w:rPr>
      <w:rFonts w:ascii="Times New Roman" w:hAnsi="Times New Roman" w:cs="Times New Roman"/>
      <w:i/>
      <w:iCs/>
      <w:spacing w:val="-10"/>
      <w:sz w:val="12"/>
      <w:szCs w:val="12"/>
      <w:u w:val="none"/>
    </w:rPr>
  </w:style>
  <w:style w:type="character" w:customStyle="1" w:styleId="Resimyazs3talik1">
    <w:name w:val="Resim yazısı (3) + İtalik1"/>
    <w:aliases w:val="0 pt boşluk bırakılıyor39"/>
    <w:uiPriority w:val="99"/>
    <w:rsid w:val="00A81419"/>
    <w:rPr>
      <w:rFonts w:ascii="Times New Roman" w:hAnsi="Times New Roman" w:cs="Times New Roman"/>
      <w:i/>
      <w:iCs/>
      <w:noProof/>
      <w:spacing w:val="-10"/>
      <w:sz w:val="12"/>
      <w:szCs w:val="12"/>
      <w:u w:val="single"/>
    </w:rPr>
  </w:style>
  <w:style w:type="character" w:customStyle="1" w:styleId="Resimyazs30">
    <w:name w:val="Resim yazısı (3)"/>
    <w:uiPriority w:val="99"/>
    <w:rsid w:val="00A81419"/>
    <w:rPr>
      <w:rFonts w:ascii="Times New Roman" w:hAnsi="Times New Roman" w:cs="Times New Roman"/>
      <w:sz w:val="12"/>
      <w:szCs w:val="12"/>
      <w:u w:val="single"/>
    </w:rPr>
  </w:style>
  <w:style w:type="character" w:customStyle="1" w:styleId="Resimyazs33">
    <w:name w:val="Resim yazısı (3)3"/>
    <w:uiPriority w:val="99"/>
    <w:rsid w:val="00A81419"/>
    <w:rPr>
      <w:rFonts w:ascii="Times New Roman" w:hAnsi="Times New Roman" w:cs="Times New Roman"/>
      <w:sz w:val="12"/>
      <w:szCs w:val="12"/>
      <w:u w:val="single"/>
    </w:rPr>
  </w:style>
  <w:style w:type="character" w:customStyle="1" w:styleId="Resimyazs32">
    <w:name w:val="Resim yazısı (3)2"/>
    <w:uiPriority w:val="99"/>
    <w:rsid w:val="00A81419"/>
    <w:rPr>
      <w:rFonts w:ascii="Times New Roman" w:hAnsi="Times New Roman" w:cs="Times New Roman"/>
      <w:noProof/>
      <w:sz w:val="12"/>
      <w:szCs w:val="12"/>
      <w:u w:val="single"/>
    </w:rPr>
  </w:style>
  <w:style w:type="character" w:customStyle="1" w:styleId="Tabloyazs">
    <w:name w:val="Tablo yazısı_"/>
    <w:link w:val="Tabloyazs1"/>
    <w:uiPriority w:val="99"/>
    <w:locked/>
    <w:rsid w:val="00A81419"/>
    <w:rPr>
      <w:rFonts w:ascii="Times New Roman" w:hAnsi="Times New Roman" w:cs="Times New Roman"/>
      <w:sz w:val="19"/>
      <w:szCs w:val="19"/>
      <w:shd w:val="clear" w:color="auto" w:fill="FFFFFF"/>
    </w:rPr>
  </w:style>
  <w:style w:type="character" w:customStyle="1" w:styleId="Tabloyazs9pt">
    <w:name w:val="Tablo yazısı + 9 pt"/>
    <w:aliases w:val="İtalik102"/>
    <w:uiPriority w:val="99"/>
    <w:rsid w:val="00A81419"/>
    <w:rPr>
      <w:rFonts w:ascii="Times New Roman" w:hAnsi="Times New Roman" w:cs="Times New Roman"/>
      <w:i/>
      <w:iCs/>
      <w:sz w:val="18"/>
      <w:szCs w:val="18"/>
      <w:u w:val="none"/>
    </w:rPr>
  </w:style>
  <w:style w:type="character" w:customStyle="1" w:styleId="Tabloyazs9pt3">
    <w:name w:val="Tablo yazısı + 9 pt3"/>
    <w:aliases w:val="İtalik101"/>
    <w:uiPriority w:val="99"/>
    <w:rsid w:val="00A81419"/>
    <w:rPr>
      <w:rFonts w:ascii="Times New Roman" w:hAnsi="Times New Roman" w:cs="Times New Roman"/>
      <w:i/>
      <w:iCs/>
      <w:noProof/>
      <w:sz w:val="18"/>
      <w:szCs w:val="18"/>
      <w:u w:val="single"/>
    </w:rPr>
  </w:style>
  <w:style w:type="character" w:customStyle="1" w:styleId="Tabloyazs0">
    <w:name w:val="Tablo yazısı"/>
    <w:uiPriority w:val="99"/>
    <w:rsid w:val="00A81419"/>
    <w:rPr>
      <w:rFonts w:ascii="Times New Roman" w:hAnsi="Times New Roman" w:cs="Times New Roman"/>
      <w:sz w:val="19"/>
      <w:szCs w:val="19"/>
      <w:u w:val="single"/>
    </w:rPr>
  </w:style>
  <w:style w:type="character" w:customStyle="1" w:styleId="GvdemetniKkBykHarf">
    <w:name w:val="Gövde metni + Küçük Büyük Harf"/>
    <w:uiPriority w:val="99"/>
    <w:rsid w:val="00A81419"/>
    <w:rPr>
      <w:rFonts w:ascii="Times New Roman" w:hAnsi="Times New Roman" w:cs="Times New Roman"/>
      <w:smallCaps/>
      <w:sz w:val="21"/>
      <w:szCs w:val="21"/>
      <w:u w:val="none"/>
    </w:rPr>
  </w:style>
  <w:style w:type="character" w:customStyle="1" w:styleId="Gvdemetni916">
    <w:name w:val="Gövde metni + 916"/>
    <w:aliases w:val="5 pt166,Küçük Büyük Harf"/>
    <w:uiPriority w:val="99"/>
    <w:rsid w:val="00A81419"/>
    <w:rPr>
      <w:rFonts w:ascii="Times New Roman" w:hAnsi="Times New Roman" w:cs="Times New Roman"/>
      <w:smallCaps/>
      <w:sz w:val="19"/>
      <w:szCs w:val="19"/>
      <w:u w:val="none"/>
    </w:rPr>
  </w:style>
  <w:style w:type="character" w:customStyle="1" w:styleId="Gvdemetni52">
    <w:name w:val="Gövde metni + 5"/>
    <w:aliases w:val="5 pt165"/>
    <w:uiPriority w:val="99"/>
    <w:rsid w:val="00A81419"/>
    <w:rPr>
      <w:rFonts w:ascii="Times New Roman" w:hAnsi="Times New Roman" w:cs="Times New Roman"/>
      <w:noProof/>
      <w:sz w:val="11"/>
      <w:szCs w:val="11"/>
      <w:u w:val="none"/>
    </w:rPr>
  </w:style>
  <w:style w:type="character" w:customStyle="1" w:styleId="Gvdemetni7">
    <w:name w:val="Gövde metni (7)_"/>
    <w:link w:val="Gvdemetni71"/>
    <w:uiPriority w:val="99"/>
    <w:locked/>
    <w:rsid w:val="00A81419"/>
    <w:rPr>
      <w:rFonts w:ascii="Times New Roman" w:hAnsi="Times New Roman" w:cs="Times New Roman"/>
      <w:b/>
      <w:bCs/>
      <w:sz w:val="19"/>
      <w:szCs w:val="19"/>
      <w:shd w:val="clear" w:color="auto" w:fill="FFFFFF"/>
    </w:rPr>
  </w:style>
  <w:style w:type="character" w:customStyle="1" w:styleId="Gvdemetni7Candara">
    <w:name w:val="Gövde metni (7) + Candara"/>
    <w:aliases w:val="8 pt,Kalın Değil"/>
    <w:uiPriority w:val="99"/>
    <w:rsid w:val="00A81419"/>
    <w:rPr>
      <w:rFonts w:ascii="Candara" w:hAnsi="Candara" w:cs="Candara"/>
      <w:b w:val="0"/>
      <w:bCs w:val="0"/>
      <w:noProof/>
      <w:sz w:val="16"/>
      <w:szCs w:val="16"/>
      <w:u w:val="none"/>
    </w:rPr>
  </w:style>
  <w:style w:type="character" w:customStyle="1" w:styleId="Gvdemetni7Impact">
    <w:name w:val="Gövde metni (7) + Impact"/>
    <w:aliases w:val="8,5 pt164,Kalın Değil39,İtalik100,1 pt boşluk bırakılıyor"/>
    <w:uiPriority w:val="99"/>
    <w:rsid w:val="00A81419"/>
    <w:rPr>
      <w:rFonts w:ascii="Impact" w:hAnsi="Impact" w:cs="Impact"/>
      <w:b w:val="0"/>
      <w:bCs w:val="0"/>
      <w:i/>
      <w:iCs/>
      <w:spacing w:val="30"/>
      <w:sz w:val="17"/>
      <w:szCs w:val="17"/>
      <w:u w:val="none"/>
    </w:rPr>
  </w:style>
  <w:style w:type="character" w:customStyle="1" w:styleId="Gvdemetni7Impact1">
    <w:name w:val="Gövde metni (7) + Impact1"/>
    <w:aliases w:val="7,5 pt163,Kalın Değil38,İtalik99"/>
    <w:uiPriority w:val="99"/>
    <w:rsid w:val="00A81419"/>
    <w:rPr>
      <w:rFonts w:ascii="Impact" w:hAnsi="Impact" w:cs="Impact"/>
      <w:b w:val="0"/>
      <w:bCs w:val="0"/>
      <w:i/>
      <w:iCs/>
      <w:noProof/>
      <w:sz w:val="15"/>
      <w:szCs w:val="15"/>
      <w:u w:val="none"/>
    </w:rPr>
  </w:style>
  <w:style w:type="character" w:customStyle="1" w:styleId="Gvdemetni7KkBykHarf">
    <w:name w:val="Gövde metni (7) + Küçük Büyük Harf"/>
    <w:uiPriority w:val="99"/>
    <w:rsid w:val="00A81419"/>
    <w:rPr>
      <w:rFonts w:ascii="Times New Roman" w:hAnsi="Times New Roman" w:cs="Times New Roman"/>
      <w:b/>
      <w:bCs/>
      <w:smallCaps/>
      <w:sz w:val="19"/>
      <w:szCs w:val="19"/>
      <w:u w:val="none"/>
    </w:rPr>
  </w:style>
  <w:style w:type="character" w:customStyle="1" w:styleId="stbilgiveyaaltbilgiArial">
    <w:name w:val="Üst bilgi veya alt bilgi + Arial"/>
    <w:aliases w:val="13,5 pt162"/>
    <w:uiPriority w:val="99"/>
    <w:rsid w:val="00A81419"/>
    <w:rPr>
      <w:rFonts w:ascii="Arial" w:hAnsi="Arial" w:cs="Arial"/>
      <w:b/>
      <w:bCs/>
      <w:sz w:val="27"/>
      <w:szCs w:val="27"/>
      <w:u w:val="none"/>
    </w:rPr>
  </w:style>
  <w:style w:type="character" w:customStyle="1" w:styleId="stbilgiveyaaltbilgiKalnDeil1">
    <w:name w:val="Üst bilgi veya alt bilgi + Kalın Değil1"/>
    <w:uiPriority w:val="99"/>
    <w:rsid w:val="00A81419"/>
    <w:rPr>
      <w:rFonts w:ascii="Times New Roman" w:hAnsi="Times New Roman" w:cs="Times New Roman"/>
      <w:b w:val="0"/>
      <w:bCs w:val="0"/>
      <w:sz w:val="19"/>
      <w:szCs w:val="19"/>
      <w:u w:val="single"/>
    </w:rPr>
  </w:style>
  <w:style w:type="character" w:customStyle="1" w:styleId="Gvdemetni310">
    <w:name w:val="Gövde metni (3) + 10"/>
    <w:aliases w:val="5 pt161"/>
    <w:uiPriority w:val="99"/>
    <w:rsid w:val="00A81419"/>
    <w:rPr>
      <w:rFonts w:ascii="Times New Roman" w:hAnsi="Times New Roman" w:cs="Times New Roman"/>
      <w:sz w:val="21"/>
      <w:szCs w:val="21"/>
      <w:u w:val="none"/>
    </w:rPr>
  </w:style>
  <w:style w:type="character" w:customStyle="1" w:styleId="Gvdemetni16">
    <w:name w:val="Gövde metni16"/>
    <w:uiPriority w:val="99"/>
    <w:rsid w:val="00A81419"/>
    <w:rPr>
      <w:rFonts w:ascii="Times New Roman" w:hAnsi="Times New Roman" w:cs="Times New Roman"/>
      <w:sz w:val="21"/>
      <w:szCs w:val="21"/>
      <w:u w:val="single"/>
    </w:rPr>
  </w:style>
  <w:style w:type="character" w:customStyle="1" w:styleId="Balk310">
    <w:name w:val="Başlık #3 + 10"/>
    <w:aliases w:val="5 pt160"/>
    <w:uiPriority w:val="99"/>
    <w:rsid w:val="00A81419"/>
    <w:rPr>
      <w:rFonts w:ascii="Times New Roman" w:hAnsi="Times New Roman" w:cs="Times New Roman"/>
      <w:sz w:val="21"/>
      <w:szCs w:val="21"/>
      <w:u w:val="none"/>
    </w:rPr>
  </w:style>
  <w:style w:type="character" w:customStyle="1" w:styleId="Gvdemetni39pt15">
    <w:name w:val="Gövde metni (3) + 9 pt15"/>
    <w:aliases w:val="Kalın90"/>
    <w:uiPriority w:val="99"/>
    <w:rsid w:val="00A81419"/>
    <w:rPr>
      <w:rFonts w:ascii="Times New Roman" w:hAnsi="Times New Roman" w:cs="Times New Roman"/>
      <w:b/>
      <w:bCs/>
      <w:sz w:val="18"/>
      <w:szCs w:val="18"/>
      <w:u w:val="none"/>
    </w:rPr>
  </w:style>
  <w:style w:type="character" w:customStyle="1" w:styleId="stbilgiveyaaltbilgi4">
    <w:name w:val="Üst bilgi veya alt bilgi (4)_"/>
    <w:link w:val="stbilgiveyaaltbilgi40"/>
    <w:uiPriority w:val="99"/>
    <w:locked/>
    <w:rsid w:val="00A81419"/>
    <w:rPr>
      <w:rFonts w:ascii="Times New Roman" w:hAnsi="Times New Roman" w:cs="Times New Roman"/>
      <w:b/>
      <w:bCs/>
      <w:sz w:val="18"/>
      <w:szCs w:val="18"/>
      <w:shd w:val="clear" w:color="auto" w:fill="FFFFFF"/>
    </w:rPr>
  </w:style>
  <w:style w:type="character" w:customStyle="1" w:styleId="Gvdemetni9pt26">
    <w:name w:val="Gövde metni + 9 pt26"/>
    <w:aliases w:val="Kalın89"/>
    <w:uiPriority w:val="99"/>
    <w:rsid w:val="00A81419"/>
    <w:rPr>
      <w:rFonts w:ascii="Times New Roman" w:hAnsi="Times New Roman" w:cs="Times New Roman"/>
      <w:b/>
      <w:bCs/>
      <w:sz w:val="18"/>
      <w:szCs w:val="18"/>
      <w:u w:val="none"/>
    </w:rPr>
  </w:style>
  <w:style w:type="character" w:customStyle="1" w:styleId="Gvdemetni9pt25">
    <w:name w:val="Gövde metni + 9 pt25"/>
    <w:aliases w:val="İtalik98"/>
    <w:uiPriority w:val="99"/>
    <w:rsid w:val="00A81419"/>
    <w:rPr>
      <w:rFonts w:ascii="Times New Roman" w:hAnsi="Times New Roman" w:cs="Times New Roman"/>
      <w:i/>
      <w:iCs/>
      <w:sz w:val="18"/>
      <w:szCs w:val="18"/>
      <w:u w:val="none"/>
    </w:rPr>
  </w:style>
  <w:style w:type="character" w:customStyle="1" w:styleId="Gvdemetni80">
    <w:name w:val="Gövde metni (8)_"/>
    <w:link w:val="Gvdemetni81"/>
    <w:uiPriority w:val="99"/>
    <w:locked/>
    <w:rsid w:val="00A81419"/>
    <w:rPr>
      <w:rFonts w:ascii="Times New Roman" w:hAnsi="Times New Roman" w:cs="Times New Roman"/>
      <w:sz w:val="12"/>
      <w:szCs w:val="12"/>
      <w:shd w:val="clear" w:color="auto" w:fill="FFFFFF"/>
    </w:rPr>
  </w:style>
  <w:style w:type="character" w:customStyle="1" w:styleId="Gvdemetni8talik">
    <w:name w:val="Gövde metni (8) + İtalik"/>
    <w:uiPriority w:val="99"/>
    <w:rsid w:val="00A81419"/>
    <w:rPr>
      <w:rFonts w:ascii="Times New Roman" w:hAnsi="Times New Roman" w:cs="Times New Roman"/>
      <w:i/>
      <w:iCs/>
      <w:sz w:val="12"/>
      <w:szCs w:val="12"/>
      <w:u w:val="none"/>
    </w:rPr>
  </w:style>
  <w:style w:type="character" w:customStyle="1" w:styleId="Gvdemetni8talik1">
    <w:name w:val="Gövde metni (8) + İtalik1"/>
    <w:uiPriority w:val="99"/>
    <w:rsid w:val="00A81419"/>
    <w:rPr>
      <w:rFonts w:ascii="Times New Roman" w:hAnsi="Times New Roman" w:cs="Times New Roman"/>
      <w:i/>
      <w:iCs/>
      <w:noProof/>
      <w:sz w:val="12"/>
      <w:szCs w:val="12"/>
      <w:u w:val="single"/>
    </w:rPr>
  </w:style>
  <w:style w:type="character" w:customStyle="1" w:styleId="Gvdemetni82">
    <w:name w:val="Gövde metni (8)"/>
    <w:uiPriority w:val="99"/>
    <w:rsid w:val="00A81419"/>
    <w:rPr>
      <w:rFonts w:ascii="Times New Roman" w:hAnsi="Times New Roman" w:cs="Times New Roman"/>
      <w:sz w:val="12"/>
      <w:szCs w:val="12"/>
      <w:u w:val="single"/>
    </w:rPr>
  </w:style>
  <w:style w:type="character" w:customStyle="1" w:styleId="Gvdemetni820">
    <w:name w:val="Gövde metni (8)2"/>
    <w:uiPriority w:val="99"/>
    <w:rsid w:val="00A81419"/>
    <w:rPr>
      <w:rFonts w:ascii="Times New Roman" w:hAnsi="Times New Roman" w:cs="Times New Roman"/>
      <w:noProof/>
      <w:sz w:val="12"/>
      <w:szCs w:val="12"/>
      <w:u w:val="single"/>
    </w:rPr>
  </w:style>
  <w:style w:type="character" w:customStyle="1" w:styleId="Resimyazs9pt">
    <w:name w:val="Resim yazısı + 9 pt"/>
    <w:aliases w:val="Kalın88"/>
    <w:uiPriority w:val="99"/>
    <w:rsid w:val="00A81419"/>
    <w:rPr>
      <w:rFonts w:ascii="Times New Roman" w:hAnsi="Times New Roman" w:cs="Times New Roman"/>
      <w:b/>
      <w:bCs/>
      <w:sz w:val="18"/>
      <w:szCs w:val="18"/>
      <w:u w:val="none"/>
    </w:rPr>
  </w:style>
  <w:style w:type="character" w:customStyle="1" w:styleId="Balk10ptbolukbraklyor">
    <w:name w:val="Başlık #1 + 0 pt boşluk bırakılıyor"/>
    <w:uiPriority w:val="99"/>
    <w:rsid w:val="00A81419"/>
    <w:rPr>
      <w:rFonts w:ascii="Times New Roman" w:hAnsi="Times New Roman" w:cs="Times New Roman"/>
      <w:spacing w:val="10"/>
      <w:sz w:val="27"/>
      <w:szCs w:val="27"/>
      <w:u w:val="none"/>
    </w:rPr>
  </w:style>
  <w:style w:type="character" w:customStyle="1" w:styleId="Balk50">
    <w:name w:val="Başlık #5_"/>
    <w:link w:val="Balk51"/>
    <w:uiPriority w:val="99"/>
    <w:locked/>
    <w:rsid w:val="00A81419"/>
    <w:rPr>
      <w:rFonts w:ascii="Times New Roman" w:hAnsi="Times New Roman" w:cs="Times New Roman"/>
      <w:b/>
      <w:bCs/>
      <w:sz w:val="18"/>
      <w:szCs w:val="18"/>
      <w:shd w:val="clear" w:color="auto" w:fill="FFFFFF"/>
    </w:rPr>
  </w:style>
  <w:style w:type="character" w:customStyle="1" w:styleId="Balk510">
    <w:name w:val="Başlık #5 + 10"/>
    <w:aliases w:val="5 pt159,Kalın Değil37"/>
    <w:uiPriority w:val="99"/>
    <w:rsid w:val="00A81419"/>
    <w:rPr>
      <w:rFonts w:ascii="Times New Roman" w:hAnsi="Times New Roman" w:cs="Times New Roman"/>
      <w:b w:val="0"/>
      <w:bCs w:val="0"/>
      <w:sz w:val="21"/>
      <w:szCs w:val="21"/>
      <w:u w:val="none"/>
    </w:rPr>
  </w:style>
  <w:style w:type="character" w:customStyle="1" w:styleId="Gvdemetni6pt">
    <w:name w:val="Gövde metni + 6 pt"/>
    <w:uiPriority w:val="99"/>
    <w:rsid w:val="00A81419"/>
    <w:rPr>
      <w:rFonts w:ascii="Times New Roman" w:hAnsi="Times New Roman" w:cs="Times New Roman"/>
      <w:sz w:val="12"/>
      <w:szCs w:val="12"/>
      <w:u w:val="none"/>
    </w:rPr>
  </w:style>
  <w:style w:type="character" w:customStyle="1" w:styleId="Balk2TimesNewRoman">
    <w:name w:val="Başlık #2 + Times New Roman"/>
    <w:aliases w:val="9,5 pt158,1 pt boşluk bırakılıyor1"/>
    <w:uiPriority w:val="99"/>
    <w:rsid w:val="00A81419"/>
    <w:rPr>
      <w:rFonts w:ascii="Times New Roman" w:hAnsi="Times New Roman" w:cs="Times New Roman"/>
      <w:b/>
      <w:bCs/>
      <w:spacing w:val="20"/>
      <w:sz w:val="19"/>
      <w:szCs w:val="19"/>
      <w:u w:val="none"/>
    </w:rPr>
  </w:style>
  <w:style w:type="character" w:customStyle="1" w:styleId="Gvdemetni9pt24">
    <w:name w:val="Gövde metni + 9 pt24"/>
    <w:aliases w:val="Kalın87,Küçük Büyük Harf14"/>
    <w:uiPriority w:val="99"/>
    <w:rsid w:val="00A81419"/>
    <w:rPr>
      <w:rFonts w:ascii="Times New Roman" w:hAnsi="Times New Roman" w:cs="Times New Roman"/>
      <w:b/>
      <w:bCs/>
      <w:smallCaps/>
      <w:sz w:val="18"/>
      <w:szCs w:val="18"/>
      <w:u w:val="none"/>
    </w:rPr>
  </w:style>
  <w:style w:type="character" w:customStyle="1" w:styleId="Balk42">
    <w:name w:val="Başlık #4 (2)_"/>
    <w:link w:val="Balk421"/>
    <w:uiPriority w:val="99"/>
    <w:locked/>
    <w:rsid w:val="00A81419"/>
    <w:rPr>
      <w:rFonts w:ascii="Times New Roman" w:hAnsi="Times New Roman" w:cs="Times New Roman"/>
      <w:b/>
      <w:bCs/>
      <w:sz w:val="19"/>
      <w:szCs w:val="19"/>
      <w:shd w:val="clear" w:color="auto" w:fill="FFFFFF"/>
    </w:rPr>
  </w:style>
  <w:style w:type="character" w:customStyle="1" w:styleId="Balk42KkBykHarf">
    <w:name w:val="Başlık #4 (2) + Küçük Büyük Harf"/>
    <w:uiPriority w:val="99"/>
    <w:rsid w:val="00A81419"/>
    <w:rPr>
      <w:rFonts w:ascii="Times New Roman" w:hAnsi="Times New Roman" w:cs="Times New Roman"/>
      <w:b/>
      <w:bCs/>
      <w:smallCaps/>
      <w:sz w:val="19"/>
      <w:szCs w:val="19"/>
      <w:u w:val="none"/>
    </w:rPr>
  </w:style>
  <w:style w:type="character" w:customStyle="1" w:styleId="Balk429pt">
    <w:name w:val="Başlık #4 (2) + 9 pt"/>
    <w:uiPriority w:val="99"/>
    <w:rsid w:val="00A81419"/>
    <w:rPr>
      <w:rFonts w:ascii="Times New Roman" w:hAnsi="Times New Roman" w:cs="Times New Roman"/>
      <w:b/>
      <w:bCs/>
      <w:sz w:val="18"/>
      <w:szCs w:val="18"/>
      <w:u w:val="none"/>
    </w:rPr>
  </w:style>
  <w:style w:type="character" w:customStyle="1" w:styleId="Gvdemetni70">
    <w:name w:val="Gövde metni (7)"/>
    <w:uiPriority w:val="99"/>
    <w:rsid w:val="00A81419"/>
  </w:style>
  <w:style w:type="character" w:customStyle="1" w:styleId="Gvdemetni915">
    <w:name w:val="Gövde metni + 915"/>
    <w:aliases w:val="5 pt157,Kalın86"/>
    <w:uiPriority w:val="99"/>
    <w:rsid w:val="00A81419"/>
    <w:rPr>
      <w:rFonts w:ascii="Times New Roman" w:hAnsi="Times New Roman" w:cs="Times New Roman"/>
      <w:b/>
      <w:bCs/>
      <w:sz w:val="19"/>
      <w:szCs w:val="19"/>
      <w:u w:val="none"/>
    </w:rPr>
  </w:style>
  <w:style w:type="character" w:customStyle="1" w:styleId="stbilgiveyaaltbilgi8">
    <w:name w:val="Üst bilgi veya alt bilgi8"/>
    <w:uiPriority w:val="99"/>
    <w:rsid w:val="00A81419"/>
  </w:style>
  <w:style w:type="character" w:customStyle="1" w:styleId="Tabloyazs9pt2">
    <w:name w:val="Tablo yazısı + 9 pt2"/>
    <w:aliases w:val="Kalın85"/>
    <w:uiPriority w:val="99"/>
    <w:rsid w:val="00A81419"/>
    <w:rPr>
      <w:rFonts w:ascii="Times New Roman" w:hAnsi="Times New Roman" w:cs="Times New Roman"/>
      <w:b/>
      <w:bCs/>
      <w:sz w:val="18"/>
      <w:szCs w:val="18"/>
      <w:u w:val="none"/>
    </w:rPr>
  </w:style>
  <w:style w:type="character" w:customStyle="1" w:styleId="GvdemetniCandara">
    <w:name w:val="Gövde metni + Candara"/>
    <w:aliases w:val="7 pt"/>
    <w:uiPriority w:val="99"/>
    <w:rsid w:val="00A81419"/>
    <w:rPr>
      <w:rFonts w:ascii="Candara" w:hAnsi="Candara" w:cs="Candara"/>
      <w:noProof/>
      <w:sz w:val="14"/>
      <w:szCs w:val="14"/>
      <w:u w:val="none"/>
    </w:rPr>
  </w:style>
  <w:style w:type="character" w:customStyle="1" w:styleId="Gvdemetni8pt7">
    <w:name w:val="Gövde metni + 8 pt7"/>
    <w:uiPriority w:val="99"/>
    <w:rsid w:val="00A81419"/>
    <w:rPr>
      <w:rFonts w:ascii="Times New Roman" w:hAnsi="Times New Roman" w:cs="Times New Roman"/>
      <w:sz w:val="16"/>
      <w:szCs w:val="16"/>
      <w:u w:val="none"/>
    </w:rPr>
  </w:style>
  <w:style w:type="character" w:customStyle="1" w:styleId="GvdemetniCandara10">
    <w:name w:val="Gövde metni + Candara10"/>
    <w:aliases w:val="7 pt10"/>
    <w:uiPriority w:val="99"/>
    <w:rsid w:val="00A81419"/>
    <w:rPr>
      <w:rFonts w:ascii="Candara" w:hAnsi="Candara" w:cs="Candara"/>
      <w:noProof/>
      <w:sz w:val="14"/>
      <w:szCs w:val="14"/>
      <w:u w:val="none"/>
    </w:rPr>
  </w:style>
  <w:style w:type="character" w:customStyle="1" w:styleId="Gvdemetni814">
    <w:name w:val="Gövde metni + 814"/>
    <w:aliases w:val="5 pt156,İtalik97"/>
    <w:uiPriority w:val="99"/>
    <w:rsid w:val="00A81419"/>
    <w:rPr>
      <w:rFonts w:ascii="Times New Roman" w:hAnsi="Times New Roman" w:cs="Times New Roman"/>
      <w:i/>
      <w:iCs/>
      <w:sz w:val="17"/>
      <w:szCs w:val="17"/>
      <w:u w:val="none"/>
    </w:rPr>
  </w:style>
  <w:style w:type="character" w:customStyle="1" w:styleId="Gvdemetni311pt">
    <w:name w:val="Gövde metni (3) + 11 pt"/>
    <w:uiPriority w:val="99"/>
    <w:rsid w:val="00A81419"/>
    <w:rPr>
      <w:rFonts w:ascii="Times New Roman" w:hAnsi="Times New Roman" w:cs="Times New Roman"/>
      <w:sz w:val="22"/>
      <w:szCs w:val="22"/>
      <w:u w:val="none"/>
    </w:rPr>
  </w:style>
  <w:style w:type="character" w:customStyle="1" w:styleId="Balk320">
    <w:name w:val="Başlık #3 (2)_"/>
    <w:link w:val="Balk321"/>
    <w:uiPriority w:val="99"/>
    <w:locked/>
    <w:rsid w:val="00A81419"/>
    <w:rPr>
      <w:rFonts w:ascii="Times New Roman" w:hAnsi="Times New Roman" w:cs="Times New Roman"/>
      <w:b/>
      <w:bCs/>
      <w:sz w:val="19"/>
      <w:szCs w:val="19"/>
      <w:shd w:val="clear" w:color="auto" w:fill="FFFFFF"/>
    </w:rPr>
  </w:style>
  <w:style w:type="character" w:customStyle="1" w:styleId="Gvdemetni813">
    <w:name w:val="Gövde metni + 813"/>
    <w:aliases w:val="5 pt155,Kalın84"/>
    <w:uiPriority w:val="99"/>
    <w:rsid w:val="00A81419"/>
    <w:rPr>
      <w:rFonts w:ascii="Times New Roman" w:hAnsi="Times New Roman" w:cs="Times New Roman"/>
      <w:b/>
      <w:bCs/>
      <w:sz w:val="17"/>
      <w:szCs w:val="17"/>
      <w:u w:val="none"/>
    </w:rPr>
  </w:style>
  <w:style w:type="character" w:customStyle="1" w:styleId="Gvdemetni9pt23">
    <w:name w:val="Gövde metni + 9 pt23"/>
    <w:uiPriority w:val="99"/>
    <w:rsid w:val="00A81419"/>
    <w:rPr>
      <w:rFonts w:ascii="Times New Roman" w:hAnsi="Times New Roman" w:cs="Times New Roman"/>
      <w:sz w:val="18"/>
      <w:szCs w:val="18"/>
      <w:u w:val="none"/>
    </w:rPr>
  </w:style>
  <w:style w:type="character" w:customStyle="1" w:styleId="Gvdemetni5pt">
    <w:name w:val="Gövde metni + 5 pt"/>
    <w:uiPriority w:val="99"/>
    <w:rsid w:val="00A81419"/>
    <w:rPr>
      <w:rFonts w:ascii="Times New Roman" w:hAnsi="Times New Roman" w:cs="Times New Roman"/>
      <w:noProof/>
      <w:sz w:val="10"/>
      <w:szCs w:val="10"/>
      <w:u w:val="none"/>
    </w:rPr>
  </w:style>
  <w:style w:type="character" w:customStyle="1" w:styleId="indekiler9pt1">
    <w:name w:val="İçindekiler + 9 pt1"/>
    <w:aliases w:val="Kalın83"/>
    <w:uiPriority w:val="99"/>
    <w:rsid w:val="00A81419"/>
    <w:rPr>
      <w:rFonts w:ascii="Times New Roman" w:hAnsi="Times New Roman" w:cs="Times New Roman"/>
      <w:b/>
      <w:bCs/>
      <w:sz w:val="18"/>
      <w:szCs w:val="18"/>
      <w:u w:val="none"/>
    </w:rPr>
  </w:style>
  <w:style w:type="character" w:customStyle="1" w:styleId="indekilerCandara">
    <w:name w:val="İçindekiler + Candara"/>
    <w:aliases w:val="7 pt9"/>
    <w:uiPriority w:val="99"/>
    <w:rsid w:val="00A81419"/>
    <w:rPr>
      <w:rFonts w:ascii="Candara" w:hAnsi="Candara" w:cs="Candara"/>
      <w:noProof/>
      <w:sz w:val="14"/>
      <w:szCs w:val="14"/>
      <w:u w:val="none"/>
    </w:rPr>
  </w:style>
  <w:style w:type="character" w:customStyle="1" w:styleId="Gvdemetni3Candara">
    <w:name w:val="Gövde metni (3) + Candara"/>
    <w:aliases w:val="7 pt8"/>
    <w:uiPriority w:val="99"/>
    <w:rsid w:val="00A81419"/>
    <w:rPr>
      <w:rFonts w:ascii="Candara" w:hAnsi="Candara" w:cs="Candara"/>
      <w:noProof/>
      <w:sz w:val="14"/>
      <w:szCs w:val="14"/>
      <w:u w:val="none"/>
    </w:rPr>
  </w:style>
  <w:style w:type="character" w:customStyle="1" w:styleId="Gvdemetni40ptbolukbraklyor">
    <w:name w:val="Gövde metni (4) + 0 pt boşluk bırakılıyor"/>
    <w:uiPriority w:val="99"/>
    <w:rsid w:val="00A81419"/>
    <w:rPr>
      <w:rFonts w:ascii="Times New Roman" w:hAnsi="Times New Roman" w:cs="Times New Roman"/>
      <w:spacing w:val="10"/>
      <w:sz w:val="27"/>
      <w:szCs w:val="27"/>
      <w:u w:val="none"/>
    </w:rPr>
  </w:style>
  <w:style w:type="character" w:customStyle="1" w:styleId="Gvdemetni39pt14">
    <w:name w:val="Gövde metni (3) + 9 pt14"/>
    <w:aliases w:val="İtalik96"/>
    <w:uiPriority w:val="99"/>
    <w:rsid w:val="00A81419"/>
    <w:rPr>
      <w:rFonts w:ascii="Times New Roman" w:hAnsi="Times New Roman" w:cs="Times New Roman"/>
      <w:i/>
      <w:iCs/>
      <w:sz w:val="18"/>
      <w:szCs w:val="18"/>
      <w:u w:val="none"/>
    </w:rPr>
  </w:style>
  <w:style w:type="character" w:customStyle="1" w:styleId="Balk60">
    <w:name w:val="Başlık #6_"/>
    <w:link w:val="Balk61"/>
    <w:uiPriority w:val="99"/>
    <w:locked/>
    <w:rsid w:val="00A81419"/>
    <w:rPr>
      <w:rFonts w:ascii="Times New Roman" w:hAnsi="Times New Roman" w:cs="Times New Roman"/>
      <w:b/>
      <w:bCs/>
      <w:sz w:val="18"/>
      <w:szCs w:val="18"/>
      <w:shd w:val="clear" w:color="auto" w:fill="FFFFFF"/>
    </w:rPr>
  </w:style>
  <w:style w:type="character" w:customStyle="1" w:styleId="Gvdemetni9pt22">
    <w:name w:val="Gövde metni + 9 pt22"/>
    <w:aliases w:val="Kalın82"/>
    <w:uiPriority w:val="99"/>
    <w:rsid w:val="00A81419"/>
    <w:rPr>
      <w:rFonts w:ascii="Times New Roman" w:hAnsi="Times New Roman" w:cs="Times New Roman"/>
      <w:b/>
      <w:bCs/>
      <w:sz w:val="18"/>
      <w:szCs w:val="18"/>
      <w:u w:val="none"/>
    </w:rPr>
  </w:style>
  <w:style w:type="character" w:customStyle="1" w:styleId="GvdemetniCandara9">
    <w:name w:val="Gövde metni + Candara9"/>
    <w:aliases w:val="7 pt7"/>
    <w:uiPriority w:val="99"/>
    <w:rsid w:val="00A81419"/>
    <w:rPr>
      <w:rFonts w:ascii="Candara" w:hAnsi="Candara" w:cs="Candara"/>
      <w:sz w:val="14"/>
      <w:szCs w:val="14"/>
      <w:u w:val="none"/>
    </w:rPr>
  </w:style>
  <w:style w:type="character" w:customStyle="1" w:styleId="Gvdemetni9pt21">
    <w:name w:val="Gövde metni + 9 pt21"/>
    <w:aliases w:val="İtalik95"/>
    <w:uiPriority w:val="99"/>
    <w:rsid w:val="00A81419"/>
    <w:rPr>
      <w:rFonts w:ascii="Times New Roman" w:hAnsi="Times New Roman" w:cs="Times New Roman"/>
      <w:i/>
      <w:iCs/>
      <w:sz w:val="18"/>
      <w:szCs w:val="18"/>
      <w:u w:val="none"/>
    </w:rPr>
  </w:style>
  <w:style w:type="character" w:customStyle="1" w:styleId="Gvdemetni3ptbolukbraklyor">
    <w:name w:val="Gövde metni + 3 pt boşluk bırakılıyor"/>
    <w:uiPriority w:val="99"/>
    <w:rsid w:val="00A81419"/>
    <w:rPr>
      <w:rFonts w:ascii="Times New Roman" w:hAnsi="Times New Roman" w:cs="Times New Roman"/>
      <w:spacing w:val="60"/>
      <w:sz w:val="21"/>
      <w:szCs w:val="21"/>
      <w:u w:val="none"/>
    </w:rPr>
  </w:style>
  <w:style w:type="character" w:customStyle="1" w:styleId="stbilgiveyaaltbilgi10pt">
    <w:name w:val="Üst bilgi veya alt bilgi + 10 pt"/>
    <w:aliases w:val="Kalın Değil36"/>
    <w:uiPriority w:val="99"/>
    <w:rsid w:val="00A81419"/>
    <w:rPr>
      <w:rFonts w:ascii="Times New Roman" w:hAnsi="Times New Roman" w:cs="Times New Roman"/>
      <w:b w:val="0"/>
      <w:bCs w:val="0"/>
      <w:sz w:val="20"/>
      <w:szCs w:val="20"/>
      <w:u w:val="none"/>
    </w:rPr>
  </w:style>
  <w:style w:type="character" w:customStyle="1" w:styleId="stbilgiveyaaltbilgi10pt12">
    <w:name w:val="Üst bilgi veya alt bilgi + 10 pt12"/>
    <w:aliases w:val="Kalın Değil35"/>
    <w:uiPriority w:val="99"/>
    <w:rsid w:val="00A81419"/>
    <w:rPr>
      <w:rFonts w:ascii="Times New Roman" w:hAnsi="Times New Roman" w:cs="Times New Roman"/>
      <w:b w:val="0"/>
      <w:bCs w:val="0"/>
      <w:sz w:val="20"/>
      <w:szCs w:val="20"/>
      <w:u w:val="single"/>
    </w:rPr>
  </w:style>
  <w:style w:type="character" w:customStyle="1" w:styleId="Gvdemetni38">
    <w:name w:val="Gövde metni (3) + 8"/>
    <w:aliases w:val="5 pt154,Kalın Exact"/>
    <w:uiPriority w:val="99"/>
    <w:rsid w:val="00A81419"/>
    <w:rPr>
      <w:rFonts w:ascii="Times New Roman" w:hAnsi="Times New Roman" w:cs="Times New Roman"/>
      <w:b/>
      <w:bCs/>
      <w:sz w:val="17"/>
      <w:szCs w:val="17"/>
      <w:u w:val="single"/>
    </w:rPr>
  </w:style>
  <w:style w:type="character" w:customStyle="1" w:styleId="Gvdemetni387">
    <w:name w:val="Gövde metni (3) + 87"/>
    <w:aliases w:val="5 pt153,Kalın Exact3"/>
    <w:uiPriority w:val="99"/>
    <w:rsid w:val="00A81419"/>
    <w:rPr>
      <w:rFonts w:ascii="Times New Roman" w:hAnsi="Times New Roman" w:cs="Times New Roman"/>
      <w:b/>
      <w:bCs/>
      <w:sz w:val="17"/>
      <w:szCs w:val="17"/>
      <w:u w:val="none"/>
    </w:rPr>
  </w:style>
  <w:style w:type="character" w:customStyle="1" w:styleId="Gvdemetni39pt13">
    <w:name w:val="Gövde metni (3) + 9 pt13"/>
    <w:aliases w:val="Kalın81"/>
    <w:uiPriority w:val="99"/>
    <w:rsid w:val="00A81419"/>
    <w:rPr>
      <w:rFonts w:ascii="Times New Roman" w:hAnsi="Times New Roman" w:cs="Times New Roman"/>
      <w:b/>
      <w:bCs/>
      <w:sz w:val="18"/>
      <w:szCs w:val="18"/>
      <w:u w:val="single"/>
    </w:rPr>
  </w:style>
  <w:style w:type="character" w:customStyle="1" w:styleId="Gvdemetni9Exact">
    <w:name w:val="Gövde metni (9) Exact"/>
    <w:uiPriority w:val="99"/>
    <w:rsid w:val="00A81419"/>
    <w:rPr>
      <w:rFonts w:ascii="Times New Roman" w:hAnsi="Times New Roman" w:cs="Times New Roman"/>
      <w:b/>
      <w:bCs/>
      <w:spacing w:val="9"/>
      <w:sz w:val="17"/>
      <w:szCs w:val="17"/>
      <w:u w:val="none"/>
    </w:rPr>
  </w:style>
  <w:style w:type="character" w:customStyle="1" w:styleId="Gvdemetni9Exact1">
    <w:name w:val="Gövde metni (9) Exact1"/>
    <w:uiPriority w:val="99"/>
    <w:rsid w:val="00A81419"/>
    <w:rPr>
      <w:rFonts w:ascii="Times New Roman" w:hAnsi="Times New Roman" w:cs="Times New Roman"/>
      <w:b/>
      <w:bCs/>
      <w:color w:val="000000"/>
      <w:spacing w:val="9"/>
      <w:w w:val="100"/>
      <w:position w:val="0"/>
      <w:sz w:val="17"/>
      <w:szCs w:val="17"/>
      <w:u w:val="none"/>
    </w:rPr>
  </w:style>
  <w:style w:type="character" w:customStyle="1" w:styleId="Gvdemetni98pt">
    <w:name w:val="Gövde metni (9) + 8 pt"/>
    <w:aliases w:val="0 pt boşluk bırakılıyor Exact39"/>
    <w:uiPriority w:val="99"/>
    <w:rsid w:val="00A81419"/>
    <w:rPr>
      <w:rFonts w:ascii="Times New Roman" w:hAnsi="Times New Roman" w:cs="Times New Roman"/>
      <w:b/>
      <w:bCs/>
      <w:color w:val="000000"/>
      <w:spacing w:val="16"/>
      <w:w w:val="100"/>
      <w:position w:val="0"/>
      <w:sz w:val="16"/>
      <w:szCs w:val="16"/>
      <w:u w:val="none"/>
    </w:rPr>
  </w:style>
  <w:style w:type="character" w:customStyle="1" w:styleId="Gvdemetni9Candara">
    <w:name w:val="Gövde metni (9) + Candara"/>
    <w:aliases w:val="Kalın Değil34,0 pt boşluk bırakılıyor Exact38"/>
    <w:uiPriority w:val="99"/>
    <w:rsid w:val="00A81419"/>
    <w:rPr>
      <w:rFonts w:ascii="Candara" w:hAnsi="Candara" w:cs="Candara"/>
      <w:b w:val="0"/>
      <w:bCs w:val="0"/>
      <w:noProof/>
      <w:color w:val="000000"/>
      <w:spacing w:val="0"/>
      <w:w w:val="100"/>
      <w:position w:val="0"/>
      <w:sz w:val="17"/>
      <w:szCs w:val="17"/>
      <w:u w:val="none"/>
    </w:rPr>
  </w:style>
  <w:style w:type="character" w:customStyle="1" w:styleId="Gvdemetni9Candara1">
    <w:name w:val="Gövde metni (9) + Candara1"/>
    <w:aliases w:val="Kalın Değil33,0 pt boşluk bırakılıyor Exact37"/>
    <w:uiPriority w:val="99"/>
    <w:rsid w:val="00A81419"/>
    <w:rPr>
      <w:rFonts w:ascii="Candara" w:hAnsi="Candara" w:cs="Candara"/>
      <w:b w:val="0"/>
      <w:bCs w:val="0"/>
      <w:noProof/>
      <w:color w:val="000000"/>
      <w:spacing w:val="0"/>
      <w:w w:val="100"/>
      <w:position w:val="0"/>
      <w:sz w:val="17"/>
      <w:szCs w:val="17"/>
      <w:u w:val="none"/>
    </w:rPr>
  </w:style>
  <w:style w:type="character" w:customStyle="1" w:styleId="Gvdemetni39pt12">
    <w:name w:val="Gövde metni (3) + 9 pt12"/>
    <w:aliases w:val="Kalın80"/>
    <w:uiPriority w:val="99"/>
    <w:rsid w:val="00A81419"/>
    <w:rPr>
      <w:rFonts w:ascii="Times New Roman" w:hAnsi="Times New Roman" w:cs="Times New Roman"/>
      <w:b/>
      <w:bCs/>
      <w:sz w:val="18"/>
      <w:szCs w:val="18"/>
      <w:u w:val="none"/>
    </w:rPr>
  </w:style>
  <w:style w:type="character" w:customStyle="1" w:styleId="Gvdemetni39pt11">
    <w:name w:val="Gövde metni (3) + 9 pt11"/>
    <w:aliases w:val="İtalik94"/>
    <w:uiPriority w:val="99"/>
    <w:rsid w:val="00A81419"/>
    <w:rPr>
      <w:rFonts w:ascii="Times New Roman" w:hAnsi="Times New Roman" w:cs="Times New Roman"/>
      <w:i/>
      <w:iCs/>
      <w:sz w:val="18"/>
      <w:szCs w:val="18"/>
      <w:u w:val="none"/>
    </w:rPr>
  </w:style>
  <w:style w:type="character" w:customStyle="1" w:styleId="Gvdemetni9pt20">
    <w:name w:val="Gövde metni + 9 pt20"/>
    <w:aliases w:val="Kalın79,Küçük Büyük Harf13"/>
    <w:uiPriority w:val="99"/>
    <w:rsid w:val="00A81419"/>
    <w:rPr>
      <w:rFonts w:ascii="Times New Roman" w:hAnsi="Times New Roman" w:cs="Times New Roman"/>
      <w:b/>
      <w:bCs/>
      <w:smallCaps/>
      <w:sz w:val="18"/>
      <w:szCs w:val="18"/>
      <w:u w:val="none"/>
    </w:rPr>
  </w:style>
  <w:style w:type="character" w:customStyle="1" w:styleId="Gvdemetnitalik14">
    <w:name w:val="Gövde metni + İtalik14"/>
    <w:uiPriority w:val="99"/>
    <w:rsid w:val="00A81419"/>
    <w:rPr>
      <w:rFonts w:ascii="Times New Roman" w:hAnsi="Times New Roman" w:cs="Times New Roman"/>
      <w:i/>
      <w:iCs/>
      <w:sz w:val="21"/>
      <w:szCs w:val="21"/>
      <w:u w:val="none"/>
    </w:rPr>
  </w:style>
  <w:style w:type="character" w:customStyle="1" w:styleId="Gvdemetni812">
    <w:name w:val="Gövde metni + 812"/>
    <w:aliases w:val="5 pt152,Kalın78"/>
    <w:uiPriority w:val="99"/>
    <w:rsid w:val="00A81419"/>
    <w:rPr>
      <w:rFonts w:ascii="Times New Roman" w:hAnsi="Times New Roman" w:cs="Times New Roman"/>
      <w:b/>
      <w:bCs/>
      <w:sz w:val="17"/>
      <w:szCs w:val="17"/>
      <w:u w:val="none"/>
    </w:rPr>
  </w:style>
  <w:style w:type="character" w:customStyle="1" w:styleId="Gvdemetni520">
    <w:name w:val="Gövde metni + 52"/>
    <w:aliases w:val="5 pt151,Kalın77"/>
    <w:uiPriority w:val="99"/>
    <w:rsid w:val="00A81419"/>
    <w:rPr>
      <w:rFonts w:ascii="Times New Roman" w:hAnsi="Times New Roman" w:cs="Times New Roman"/>
      <w:b/>
      <w:bCs/>
      <w:sz w:val="11"/>
      <w:szCs w:val="11"/>
      <w:u w:val="none"/>
    </w:rPr>
  </w:style>
  <w:style w:type="character" w:customStyle="1" w:styleId="Gvdemetni8pt6">
    <w:name w:val="Gövde metni + 8 pt6"/>
    <w:uiPriority w:val="99"/>
    <w:rsid w:val="00A81419"/>
    <w:rPr>
      <w:rFonts w:ascii="Times New Roman" w:hAnsi="Times New Roman" w:cs="Times New Roman"/>
      <w:sz w:val="16"/>
      <w:szCs w:val="16"/>
      <w:u w:val="none"/>
    </w:rPr>
  </w:style>
  <w:style w:type="character" w:customStyle="1" w:styleId="GvdemetniCandara8">
    <w:name w:val="Gövde metni + Candara8"/>
    <w:aliases w:val="7 pt6"/>
    <w:uiPriority w:val="99"/>
    <w:rsid w:val="00A81419"/>
    <w:rPr>
      <w:rFonts w:ascii="Candara" w:hAnsi="Candara" w:cs="Candara"/>
      <w:sz w:val="14"/>
      <w:szCs w:val="14"/>
      <w:u w:val="none"/>
    </w:rPr>
  </w:style>
  <w:style w:type="character" w:customStyle="1" w:styleId="Gvdemetni811">
    <w:name w:val="Gövde metni + 811"/>
    <w:aliases w:val="5 pt150,İtalik93"/>
    <w:uiPriority w:val="99"/>
    <w:rsid w:val="00A81419"/>
    <w:rPr>
      <w:rFonts w:ascii="Times New Roman" w:hAnsi="Times New Roman" w:cs="Times New Roman"/>
      <w:i/>
      <w:iCs/>
      <w:sz w:val="17"/>
      <w:szCs w:val="17"/>
      <w:u w:val="none"/>
    </w:rPr>
  </w:style>
  <w:style w:type="character" w:customStyle="1" w:styleId="Balk32Arial">
    <w:name w:val="Başlık #3 (2) + Arial"/>
    <w:aliases w:val="82,5 pt149,Kalın Değil32,İtalik92"/>
    <w:uiPriority w:val="99"/>
    <w:rsid w:val="00A81419"/>
    <w:rPr>
      <w:rFonts w:ascii="Arial" w:hAnsi="Arial" w:cs="Arial"/>
      <w:b w:val="0"/>
      <w:bCs w:val="0"/>
      <w:i/>
      <w:iCs/>
      <w:sz w:val="17"/>
      <w:szCs w:val="17"/>
      <w:u w:val="none"/>
    </w:rPr>
  </w:style>
  <w:style w:type="character" w:customStyle="1" w:styleId="Balk32MSGothic">
    <w:name w:val="Başlık #3 (2) + MS Gothic"/>
    <w:aliases w:val="131,5 pt148,Kalın Değil31,İtalik91"/>
    <w:uiPriority w:val="99"/>
    <w:rsid w:val="00A81419"/>
    <w:rPr>
      <w:rFonts w:ascii="MS Gothic" w:eastAsia="MS Gothic" w:hAnsi="Times New Roman" w:cs="MS Gothic"/>
      <w:b w:val="0"/>
      <w:bCs w:val="0"/>
      <w:i/>
      <w:iCs/>
      <w:noProof/>
      <w:sz w:val="27"/>
      <w:szCs w:val="27"/>
      <w:u w:val="none"/>
    </w:rPr>
  </w:style>
  <w:style w:type="character" w:customStyle="1" w:styleId="Gvdemetnitalik13">
    <w:name w:val="Gövde metni + İtalik13"/>
    <w:uiPriority w:val="99"/>
    <w:rsid w:val="00A81419"/>
    <w:rPr>
      <w:rFonts w:ascii="Times New Roman" w:hAnsi="Times New Roman" w:cs="Times New Roman"/>
      <w:i/>
      <w:iCs/>
      <w:sz w:val="21"/>
      <w:szCs w:val="21"/>
      <w:u w:val="single"/>
    </w:rPr>
  </w:style>
  <w:style w:type="character" w:customStyle="1" w:styleId="Balk322">
    <w:name w:val="Başlık #3 (2)"/>
    <w:uiPriority w:val="99"/>
    <w:rsid w:val="00A81419"/>
  </w:style>
  <w:style w:type="character" w:customStyle="1" w:styleId="Gvdemetni90">
    <w:name w:val="Gövde metni (9)_"/>
    <w:link w:val="Gvdemetni91"/>
    <w:uiPriority w:val="99"/>
    <w:locked/>
    <w:rsid w:val="00A81419"/>
    <w:rPr>
      <w:rFonts w:ascii="Times New Roman" w:hAnsi="Times New Roman" w:cs="Times New Roman"/>
      <w:b/>
      <w:bCs/>
      <w:sz w:val="18"/>
      <w:szCs w:val="18"/>
      <w:shd w:val="clear" w:color="auto" w:fill="FFFFFF"/>
    </w:rPr>
  </w:style>
  <w:style w:type="character" w:customStyle="1" w:styleId="Gvdemetni10">
    <w:name w:val="Gövde metni (10)_"/>
    <w:link w:val="Gvdemetni101"/>
    <w:uiPriority w:val="99"/>
    <w:locked/>
    <w:rsid w:val="00A81419"/>
    <w:rPr>
      <w:rFonts w:ascii="Arial" w:hAnsi="Arial" w:cs="Arial"/>
      <w:sz w:val="19"/>
      <w:szCs w:val="19"/>
      <w:shd w:val="clear" w:color="auto" w:fill="FFFFFF"/>
    </w:rPr>
  </w:style>
  <w:style w:type="character" w:customStyle="1" w:styleId="Gvdemetni10TimesNewRoman">
    <w:name w:val="Gövde metni (10) + Times New Roman"/>
    <w:aliases w:val="11 pt,Kalın76,İtalik90,0 pt boşluk bırakılıyor38"/>
    <w:uiPriority w:val="99"/>
    <w:rsid w:val="00A81419"/>
    <w:rPr>
      <w:rFonts w:ascii="Times New Roman" w:hAnsi="Times New Roman" w:cs="Times New Roman"/>
      <w:b/>
      <w:bCs/>
      <w:i/>
      <w:iCs/>
      <w:spacing w:val="-10"/>
      <w:sz w:val="22"/>
      <w:szCs w:val="22"/>
      <w:u w:val="single"/>
    </w:rPr>
  </w:style>
  <w:style w:type="character" w:customStyle="1" w:styleId="Gvdemetni100">
    <w:name w:val="Gövde metni (10)"/>
    <w:uiPriority w:val="99"/>
    <w:rsid w:val="00A81419"/>
    <w:rPr>
      <w:rFonts w:ascii="Arial" w:hAnsi="Arial" w:cs="Arial"/>
      <w:sz w:val="19"/>
      <w:szCs w:val="19"/>
      <w:u w:val="single"/>
    </w:rPr>
  </w:style>
  <w:style w:type="character" w:customStyle="1" w:styleId="Gvdemetni103">
    <w:name w:val="Gövde metni (10)3"/>
    <w:uiPriority w:val="99"/>
    <w:rsid w:val="00A81419"/>
    <w:rPr>
      <w:rFonts w:ascii="Arial" w:hAnsi="Arial" w:cs="Arial"/>
      <w:sz w:val="19"/>
      <w:szCs w:val="19"/>
      <w:u w:val="single"/>
    </w:rPr>
  </w:style>
  <w:style w:type="character" w:customStyle="1" w:styleId="Gvdemetni102">
    <w:name w:val="Gövde metni (10)2"/>
    <w:uiPriority w:val="99"/>
    <w:rsid w:val="00A81419"/>
    <w:rPr>
      <w:rFonts w:ascii="Arial" w:hAnsi="Arial" w:cs="Arial"/>
      <w:noProof/>
      <w:sz w:val="19"/>
      <w:szCs w:val="19"/>
      <w:u w:val="single"/>
    </w:rPr>
  </w:style>
  <w:style w:type="character" w:customStyle="1" w:styleId="Balk420">
    <w:name w:val="Başlık #4 (2)"/>
    <w:uiPriority w:val="99"/>
    <w:rsid w:val="00A81419"/>
  </w:style>
  <w:style w:type="character" w:customStyle="1" w:styleId="stbilgiveyaaltbilgi210pt">
    <w:name w:val="Üst bilgi veya alt bilgi (2) + 10 pt"/>
    <w:uiPriority w:val="99"/>
    <w:rsid w:val="00A81419"/>
    <w:rPr>
      <w:rFonts w:ascii="Times New Roman" w:hAnsi="Times New Roman" w:cs="Times New Roman"/>
      <w:sz w:val="20"/>
      <w:szCs w:val="20"/>
      <w:u w:val="none"/>
    </w:rPr>
  </w:style>
  <w:style w:type="character" w:customStyle="1" w:styleId="Gvdemetni39pt10">
    <w:name w:val="Gövde metni (3) + 9 pt10"/>
    <w:aliases w:val="Kalın75"/>
    <w:uiPriority w:val="99"/>
    <w:rsid w:val="00A81419"/>
    <w:rPr>
      <w:rFonts w:ascii="Times New Roman" w:hAnsi="Times New Roman" w:cs="Times New Roman"/>
      <w:b/>
      <w:bCs/>
      <w:sz w:val="18"/>
      <w:szCs w:val="18"/>
      <w:u w:val="none"/>
    </w:rPr>
  </w:style>
  <w:style w:type="character" w:customStyle="1" w:styleId="Gvdemetni6pt6">
    <w:name w:val="Gövde metni + 6 pt6"/>
    <w:aliases w:val="0 pt boşluk bırakılıyor37"/>
    <w:uiPriority w:val="99"/>
    <w:rsid w:val="00A81419"/>
    <w:rPr>
      <w:rFonts w:ascii="Times New Roman" w:hAnsi="Times New Roman" w:cs="Times New Roman"/>
      <w:spacing w:val="10"/>
      <w:sz w:val="12"/>
      <w:szCs w:val="12"/>
      <w:u w:val="none"/>
    </w:rPr>
  </w:style>
  <w:style w:type="character" w:customStyle="1" w:styleId="Resimyazs5">
    <w:name w:val="Resim yazısı (5)_"/>
    <w:link w:val="Resimyazs51"/>
    <w:uiPriority w:val="99"/>
    <w:locked/>
    <w:rsid w:val="00A81419"/>
    <w:rPr>
      <w:rFonts w:ascii="Century Schoolbook" w:hAnsi="Century Schoolbook" w:cs="Century Schoolbook"/>
      <w:sz w:val="10"/>
      <w:szCs w:val="10"/>
      <w:shd w:val="clear" w:color="auto" w:fill="FFFFFF"/>
    </w:rPr>
  </w:style>
  <w:style w:type="character" w:customStyle="1" w:styleId="Resimyazs5TimesNewRoman">
    <w:name w:val="Resim yazısı (5) + Times New Roman"/>
    <w:aliases w:val="5,5 pt147,İtalik89"/>
    <w:uiPriority w:val="99"/>
    <w:rsid w:val="00A81419"/>
    <w:rPr>
      <w:rFonts w:ascii="Times New Roman" w:hAnsi="Times New Roman" w:cs="Times New Roman"/>
      <w:i/>
      <w:iCs/>
      <w:sz w:val="11"/>
      <w:szCs w:val="11"/>
      <w:u w:val="none"/>
    </w:rPr>
  </w:style>
  <w:style w:type="character" w:customStyle="1" w:styleId="Resimyazs50">
    <w:name w:val="Resim yazısı (5)"/>
    <w:uiPriority w:val="99"/>
    <w:rsid w:val="00A81419"/>
    <w:rPr>
      <w:rFonts w:ascii="Century Schoolbook" w:hAnsi="Century Schoolbook" w:cs="Century Schoolbook"/>
      <w:noProof/>
      <w:sz w:val="10"/>
      <w:szCs w:val="10"/>
      <w:u w:val="none"/>
    </w:rPr>
  </w:style>
  <w:style w:type="character" w:customStyle="1" w:styleId="Resimyazs52">
    <w:name w:val="Resim yazısı (5)2"/>
    <w:uiPriority w:val="99"/>
    <w:rsid w:val="00A81419"/>
    <w:rPr>
      <w:rFonts w:ascii="Century Schoolbook" w:hAnsi="Century Schoolbook" w:cs="Century Schoolbook"/>
      <w:sz w:val="10"/>
      <w:szCs w:val="10"/>
      <w:u w:val="single"/>
    </w:rPr>
  </w:style>
  <w:style w:type="character" w:customStyle="1" w:styleId="Resimyazs5MSGothic">
    <w:name w:val="Resim yazısı (5) + MS Gothic"/>
    <w:aliases w:val="4 pt"/>
    <w:uiPriority w:val="99"/>
    <w:rsid w:val="00A81419"/>
    <w:rPr>
      <w:rFonts w:ascii="MS Gothic" w:eastAsia="MS Gothic" w:hAnsi="Century Schoolbook" w:cs="MS Gothic"/>
      <w:noProof/>
      <w:sz w:val="8"/>
      <w:szCs w:val="8"/>
      <w:u w:val="single"/>
    </w:rPr>
  </w:style>
  <w:style w:type="character" w:customStyle="1" w:styleId="Resimyazs5CourierNew">
    <w:name w:val="Resim yazısı (5) + Courier New"/>
    <w:aliases w:val="4 pt5"/>
    <w:uiPriority w:val="99"/>
    <w:rsid w:val="00A81419"/>
    <w:rPr>
      <w:rFonts w:ascii="Courier New" w:hAnsi="Courier New" w:cs="Courier New"/>
      <w:sz w:val="8"/>
      <w:szCs w:val="8"/>
      <w:u w:val="single"/>
    </w:rPr>
  </w:style>
  <w:style w:type="character" w:customStyle="1" w:styleId="Balk324">
    <w:name w:val="Başlık #3 (2)4"/>
    <w:uiPriority w:val="99"/>
    <w:rsid w:val="00A81419"/>
  </w:style>
  <w:style w:type="character" w:customStyle="1" w:styleId="Balk32KkBykHarf">
    <w:name w:val="Başlık #3 (2) + Küçük Büyük Harf"/>
    <w:uiPriority w:val="99"/>
    <w:rsid w:val="00A81419"/>
    <w:rPr>
      <w:rFonts w:ascii="Times New Roman" w:hAnsi="Times New Roman" w:cs="Times New Roman"/>
      <w:b/>
      <w:bCs/>
      <w:smallCaps/>
      <w:sz w:val="19"/>
      <w:szCs w:val="19"/>
      <w:u w:val="none"/>
    </w:rPr>
  </w:style>
  <w:style w:type="character" w:customStyle="1" w:styleId="Balk323">
    <w:name w:val="Başlık #3 (2)3"/>
    <w:uiPriority w:val="99"/>
    <w:rsid w:val="00A81419"/>
  </w:style>
  <w:style w:type="character" w:customStyle="1" w:styleId="Gvdemetnitalik12">
    <w:name w:val="Gövde metni + İtalik12"/>
    <w:uiPriority w:val="99"/>
    <w:rsid w:val="00A81419"/>
    <w:rPr>
      <w:rFonts w:ascii="Times New Roman" w:hAnsi="Times New Roman" w:cs="Times New Roman"/>
      <w:i/>
      <w:iCs/>
      <w:sz w:val="21"/>
      <w:szCs w:val="21"/>
      <w:u w:val="none"/>
    </w:rPr>
  </w:style>
  <w:style w:type="character" w:customStyle="1" w:styleId="Gvdemetni39pt9">
    <w:name w:val="Gövde metni (3) + 9 pt9"/>
    <w:aliases w:val="Kalın74"/>
    <w:uiPriority w:val="99"/>
    <w:rsid w:val="00A81419"/>
    <w:rPr>
      <w:rFonts w:ascii="Times New Roman" w:hAnsi="Times New Roman" w:cs="Times New Roman"/>
      <w:b/>
      <w:bCs/>
      <w:sz w:val="18"/>
      <w:szCs w:val="18"/>
      <w:u w:val="none"/>
    </w:rPr>
  </w:style>
  <w:style w:type="character" w:customStyle="1" w:styleId="Gvdemetni9pt19">
    <w:name w:val="Gövde metni + 9 pt19"/>
    <w:aliases w:val="Kalın73"/>
    <w:uiPriority w:val="99"/>
    <w:rsid w:val="00A81419"/>
    <w:rPr>
      <w:rFonts w:ascii="Times New Roman" w:hAnsi="Times New Roman" w:cs="Times New Roman"/>
      <w:b/>
      <w:bCs/>
      <w:sz w:val="18"/>
      <w:szCs w:val="18"/>
      <w:u w:val="none"/>
    </w:rPr>
  </w:style>
  <w:style w:type="character" w:customStyle="1" w:styleId="Gvdemetni9pt18">
    <w:name w:val="Gövde metni + 9 pt18"/>
    <w:uiPriority w:val="99"/>
    <w:rsid w:val="00A81419"/>
    <w:rPr>
      <w:rFonts w:ascii="Times New Roman" w:hAnsi="Times New Roman" w:cs="Times New Roman"/>
      <w:sz w:val="18"/>
      <w:szCs w:val="18"/>
      <w:u w:val="none"/>
    </w:rPr>
  </w:style>
  <w:style w:type="character" w:customStyle="1" w:styleId="Gvdemetni810">
    <w:name w:val="Gövde metni + 810"/>
    <w:aliases w:val="5 pt146,İtalik88"/>
    <w:uiPriority w:val="99"/>
    <w:rsid w:val="00A81419"/>
    <w:rPr>
      <w:rFonts w:ascii="Times New Roman" w:hAnsi="Times New Roman" w:cs="Times New Roman"/>
      <w:i/>
      <w:iCs/>
      <w:sz w:val="17"/>
      <w:szCs w:val="17"/>
      <w:u w:val="none"/>
    </w:rPr>
  </w:style>
  <w:style w:type="character" w:customStyle="1" w:styleId="Gvdemetni11">
    <w:name w:val="Gövde metni (11)_"/>
    <w:link w:val="Gvdemetni111"/>
    <w:uiPriority w:val="99"/>
    <w:locked/>
    <w:rsid w:val="00A81419"/>
    <w:rPr>
      <w:rFonts w:ascii="Times New Roman" w:hAnsi="Times New Roman" w:cs="Times New Roman"/>
      <w:sz w:val="18"/>
      <w:szCs w:val="18"/>
      <w:shd w:val="clear" w:color="auto" w:fill="FFFFFF"/>
    </w:rPr>
  </w:style>
  <w:style w:type="character" w:customStyle="1" w:styleId="Gvdemetni118">
    <w:name w:val="Gövde metni (11) + 8"/>
    <w:aliases w:val="5 pt145,İtalik87"/>
    <w:uiPriority w:val="99"/>
    <w:rsid w:val="00A81419"/>
    <w:rPr>
      <w:rFonts w:ascii="Times New Roman" w:hAnsi="Times New Roman" w:cs="Times New Roman"/>
      <w:i/>
      <w:iCs/>
      <w:sz w:val="17"/>
      <w:szCs w:val="17"/>
      <w:u w:val="none"/>
    </w:rPr>
  </w:style>
  <w:style w:type="character" w:customStyle="1" w:styleId="Gvdemetni1189">
    <w:name w:val="Gövde metni (11) + 89"/>
    <w:aliases w:val="5 pt144,İtalik86"/>
    <w:uiPriority w:val="99"/>
    <w:rsid w:val="00A81419"/>
    <w:rPr>
      <w:rFonts w:ascii="Times New Roman" w:hAnsi="Times New Roman" w:cs="Times New Roman"/>
      <w:i/>
      <w:iCs/>
      <w:noProof/>
      <w:sz w:val="17"/>
      <w:szCs w:val="17"/>
      <w:u w:val="single"/>
    </w:rPr>
  </w:style>
  <w:style w:type="character" w:customStyle="1" w:styleId="Gvdemetni110">
    <w:name w:val="Gövde metni (11)"/>
    <w:uiPriority w:val="99"/>
    <w:rsid w:val="00A81419"/>
    <w:rPr>
      <w:rFonts w:ascii="Times New Roman" w:hAnsi="Times New Roman" w:cs="Times New Roman"/>
      <w:sz w:val="18"/>
      <w:szCs w:val="18"/>
      <w:u w:val="single"/>
    </w:rPr>
  </w:style>
  <w:style w:type="character" w:customStyle="1" w:styleId="Balk62">
    <w:name w:val="Başlık #6"/>
    <w:uiPriority w:val="99"/>
    <w:rsid w:val="00A81419"/>
  </w:style>
  <w:style w:type="character" w:customStyle="1" w:styleId="Tabloyazs9pt1">
    <w:name w:val="Tablo yazısı + 9 pt1"/>
    <w:aliases w:val="Kalın72"/>
    <w:uiPriority w:val="99"/>
    <w:rsid w:val="00A81419"/>
    <w:rPr>
      <w:rFonts w:ascii="Times New Roman" w:hAnsi="Times New Roman" w:cs="Times New Roman"/>
      <w:b/>
      <w:bCs/>
      <w:sz w:val="18"/>
      <w:szCs w:val="18"/>
      <w:u w:val="none"/>
    </w:rPr>
  </w:style>
  <w:style w:type="character" w:customStyle="1" w:styleId="Gvdemetni9pt17">
    <w:name w:val="Gövde metni + 9 pt17"/>
    <w:aliases w:val="Kalın71"/>
    <w:uiPriority w:val="99"/>
    <w:rsid w:val="00A81419"/>
    <w:rPr>
      <w:rFonts w:ascii="Times New Roman" w:hAnsi="Times New Roman" w:cs="Times New Roman"/>
      <w:b/>
      <w:bCs/>
      <w:sz w:val="18"/>
      <w:szCs w:val="18"/>
      <w:u w:val="none"/>
    </w:rPr>
  </w:style>
  <w:style w:type="character" w:customStyle="1" w:styleId="Balk49pt">
    <w:name w:val="Başlık #4 + 9 pt"/>
    <w:aliases w:val="Kalın70"/>
    <w:uiPriority w:val="99"/>
    <w:rsid w:val="00A81419"/>
    <w:rPr>
      <w:rFonts w:ascii="Times New Roman" w:hAnsi="Times New Roman" w:cs="Times New Roman"/>
      <w:b/>
      <w:bCs/>
      <w:sz w:val="18"/>
      <w:szCs w:val="18"/>
      <w:u w:val="none"/>
    </w:rPr>
  </w:style>
  <w:style w:type="character" w:customStyle="1" w:styleId="Balk4Kaln">
    <w:name w:val="Başlık #4 + Kalın"/>
    <w:uiPriority w:val="99"/>
    <w:rsid w:val="00A81419"/>
    <w:rPr>
      <w:rFonts w:ascii="Times New Roman" w:hAnsi="Times New Roman" w:cs="Times New Roman"/>
      <w:b/>
      <w:bCs/>
      <w:sz w:val="19"/>
      <w:szCs w:val="19"/>
      <w:u w:val="none"/>
    </w:rPr>
  </w:style>
  <w:style w:type="character" w:customStyle="1" w:styleId="Balk48">
    <w:name w:val="Başlık #4 + 8"/>
    <w:aliases w:val="5 pt143,Kalın69"/>
    <w:uiPriority w:val="99"/>
    <w:rsid w:val="00A81419"/>
    <w:rPr>
      <w:rFonts w:ascii="Times New Roman" w:hAnsi="Times New Roman" w:cs="Times New Roman"/>
      <w:b/>
      <w:bCs/>
      <w:noProof/>
      <w:sz w:val="17"/>
      <w:szCs w:val="17"/>
      <w:u w:val="none"/>
    </w:rPr>
  </w:style>
  <w:style w:type="character" w:customStyle="1" w:styleId="Balk1Arial">
    <w:name w:val="Başlık #1 + Arial"/>
    <w:aliases w:val="Kalın68,0 pt boşluk bırakılıyor36"/>
    <w:uiPriority w:val="99"/>
    <w:rsid w:val="00A81419"/>
    <w:rPr>
      <w:rFonts w:ascii="Arial" w:hAnsi="Arial" w:cs="Arial"/>
      <w:b/>
      <w:bCs/>
      <w:spacing w:val="0"/>
      <w:sz w:val="27"/>
      <w:szCs w:val="27"/>
      <w:u w:val="none"/>
    </w:rPr>
  </w:style>
  <w:style w:type="character" w:customStyle="1" w:styleId="Balk22">
    <w:name w:val="Başlık #2"/>
    <w:uiPriority w:val="99"/>
    <w:rsid w:val="00A81419"/>
  </w:style>
  <w:style w:type="character" w:customStyle="1" w:styleId="Resimyazs6Exact">
    <w:name w:val="Resim yazısı (6) Exact"/>
    <w:link w:val="Resimyazs6"/>
    <w:uiPriority w:val="99"/>
    <w:locked/>
    <w:rsid w:val="00A81419"/>
    <w:rPr>
      <w:rFonts w:ascii="Century Schoolbook" w:hAnsi="Century Schoolbook" w:cs="Century Schoolbook"/>
      <w:spacing w:val="4"/>
      <w:sz w:val="15"/>
      <w:szCs w:val="15"/>
      <w:shd w:val="clear" w:color="auto" w:fill="FFFFFF"/>
    </w:rPr>
  </w:style>
  <w:style w:type="character" w:customStyle="1" w:styleId="Resimyazs6TimesNewRoman">
    <w:name w:val="Resim yazısı (6) + Times New Roman"/>
    <w:aliases w:val="8 pt3,İtalik85,0 pt boşluk bırakılıyor Exact36"/>
    <w:uiPriority w:val="99"/>
    <w:rsid w:val="00A81419"/>
    <w:rPr>
      <w:rFonts w:ascii="Times New Roman" w:hAnsi="Times New Roman" w:cs="Times New Roman"/>
      <w:i/>
      <w:iCs/>
      <w:spacing w:val="-16"/>
      <w:sz w:val="16"/>
      <w:szCs w:val="16"/>
      <w:u w:val="none"/>
    </w:rPr>
  </w:style>
  <w:style w:type="character" w:customStyle="1" w:styleId="Resimyazs6Exact2">
    <w:name w:val="Resim yazısı (6) Exact2"/>
    <w:uiPriority w:val="99"/>
    <w:rsid w:val="00A81419"/>
  </w:style>
  <w:style w:type="character" w:customStyle="1" w:styleId="Resimyazs6Exact1">
    <w:name w:val="Resim yazısı (6) Exact1"/>
    <w:uiPriority w:val="99"/>
    <w:rsid w:val="00A81419"/>
    <w:rPr>
      <w:rFonts w:ascii="Century Schoolbook" w:hAnsi="Century Schoolbook" w:cs="Century Schoolbook"/>
      <w:spacing w:val="4"/>
      <w:sz w:val="15"/>
      <w:szCs w:val="15"/>
      <w:u w:val="single"/>
    </w:rPr>
  </w:style>
  <w:style w:type="character" w:customStyle="1" w:styleId="Gvdemetni7Exact">
    <w:name w:val="Gövde metni (7) Exact"/>
    <w:uiPriority w:val="99"/>
    <w:rsid w:val="00A81419"/>
    <w:rPr>
      <w:rFonts w:ascii="Times New Roman" w:hAnsi="Times New Roman" w:cs="Times New Roman"/>
      <w:b/>
      <w:bCs/>
      <w:spacing w:val="10"/>
      <w:sz w:val="17"/>
      <w:szCs w:val="17"/>
      <w:u w:val="none"/>
    </w:rPr>
  </w:style>
  <w:style w:type="character" w:customStyle="1" w:styleId="Gvdemetni79pt">
    <w:name w:val="Gövde metni (7) + 9 pt"/>
    <w:aliases w:val="0 pt boşluk bırakılıyor Exact35"/>
    <w:uiPriority w:val="99"/>
    <w:rsid w:val="00A81419"/>
    <w:rPr>
      <w:rFonts w:ascii="Times New Roman" w:hAnsi="Times New Roman" w:cs="Times New Roman"/>
      <w:b/>
      <w:bCs/>
      <w:noProof/>
      <w:spacing w:val="8"/>
      <w:sz w:val="18"/>
      <w:szCs w:val="18"/>
      <w:u w:val="none"/>
    </w:rPr>
  </w:style>
  <w:style w:type="character" w:customStyle="1" w:styleId="Gvdemetni12Exact">
    <w:name w:val="Gövde metni (12) Exact"/>
    <w:link w:val="Gvdemetni12"/>
    <w:uiPriority w:val="99"/>
    <w:locked/>
    <w:rsid w:val="00A81419"/>
    <w:rPr>
      <w:rFonts w:ascii="Times New Roman" w:hAnsi="Times New Roman" w:cs="Times New Roman"/>
      <w:b/>
      <w:bCs/>
      <w:spacing w:val="14"/>
      <w:sz w:val="21"/>
      <w:szCs w:val="21"/>
      <w:shd w:val="clear" w:color="auto" w:fill="FFFFFF"/>
    </w:rPr>
  </w:style>
  <w:style w:type="character" w:customStyle="1" w:styleId="Gvdemetni12Exact1">
    <w:name w:val="Gövde metni (12) Exact1"/>
    <w:uiPriority w:val="99"/>
    <w:rsid w:val="00A81419"/>
  </w:style>
  <w:style w:type="character" w:customStyle="1" w:styleId="Resimyazs7">
    <w:name w:val="Resim yazısı (7)_"/>
    <w:link w:val="Resimyazs71"/>
    <w:uiPriority w:val="99"/>
    <w:locked/>
    <w:rsid w:val="00A81419"/>
    <w:rPr>
      <w:rFonts w:ascii="Times New Roman" w:hAnsi="Times New Roman" w:cs="Times New Roman"/>
      <w:sz w:val="16"/>
      <w:szCs w:val="16"/>
      <w:shd w:val="clear" w:color="auto" w:fill="FFFFFF"/>
    </w:rPr>
  </w:style>
  <w:style w:type="character" w:customStyle="1" w:styleId="Resimyazs77">
    <w:name w:val="Resim yazısı (7) + 7"/>
    <w:aliases w:val="5 pt142,İtalik84"/>
    <w:uiPriority w:val="99"/>
    <w:rsid w:val="00A81419"/>
    <w:rPr>
      <w:rFonts w:ascii="Times New Roman" w:hAnsi="Times New Roman" w:cs="Times New Roman"/>
      <w:i/>
      <w:iCs/>
      <w:sz w:val="15"/>
      <w:szCs w:val="15"/>
      <w:u w:val="none"/>
    </w:rPr>
  </w:style>
  <w:style w:type="character" w:customStyle="1" w:styleId="Resimyazs771">
    <w:name w:val="Resim yazısı (7) + 71"/>
    <w:aliases w:val="5 pt141,İtalik83"/>
    <w:uiPriority w:val="99"/>
    <w:rsid w:val="00A81419"/>
    <w:rPr>
      <w:rFonts w:ascii="Times New Roman" w:hAnsi="Times New Roman" w:cs="Times New Roman"/>
      <w:i/>
      <w:iCs/>
      <w:noProof/>
      <w:sz w:val="15"/>
      <w:szCs w:val="15"/>
      <w:u w:val="single"/>
    </w:rPr>
  </w:style>
  <w:style w:type="character" w:customStyle="1" w:styleId="Resimyazs70">
    <w:name w:val="Resim yazısı (7)"/>
    <w:uiPriority w:val="99"/>
    <w:rsid w:val="00A81419"/>
    <w:rPr>
      <w:rFonts w:ascii="Times New Roman" w:hAnsi="Times New Roman" w:cs="Times New Roman"/>
      <w:noProof/>
      <w:sz w:val="16"/>
      <w:szCs w:val="16"/>
      <w:u w:val="single"/>
    </w:rPr>
  </w:style>
  <w:style w:type="character" w:customStyle="1" w:styleId="Resimyazs74">
    <w:name w:val="Resim yazısı (7)4"/>
    <w:uiPriority w:val="99"/>
    <w:rsid w:val="00A81419"/>
    <w:rPr>
      <w:rFonts w:ascii="Times New Roman" w:hAnsi="Times New Roman" w:cs="Times New Roman"/>
      <w:sz w:val="16"/>
      <w:szCs w:val="16"/>
      <w:u w:val="single"/>
    </w:rPr>
  </w:style>
  <w:style w:type="character" w:customStyle="1" w:styleId="Resimyazs73">
    <w:name w:val="Resim yazısı (7)3"/>
    <w:uiPriority w:val="99"/>
    <w:rsid w:val="00A81419"/>
    <w:rPr>
      <w:rFonts w:ascii="Times New Roman" w:hAnsi="Times New Roman" w:cs="Times New Roman"/>
      <w:noProof/>
      <w:sz w:val="16"/>
      <w:szCs w:val="16"/>
      <w:u w:val="single"/>
    </w:rPr>
  </w:style>
  <w:style w:type="character" w:customStyle="1" w:styleId="Gvdemetni9pt16">
    <w:name w:val="Gövde metni + 9 pt16"/>
    <w:aliases w:val="İtalik82"/>
    <w:uiPriority w:val="99"/>
    <w:rsid w:val="00A81419"/>
    <w:rPr>
      <w:rFonts w:ascii="Times New Roman" w:hAnsi="Times New Roman" w:cs="Times New Roman"/>
      <w:i/>
      <w:iCs/>
      <w:sz w:val="18"/>
      <w:szCs w:val="18"/>
      <w:u w:val="none"/>
    </w:rPr>
  </w:style>
  <w:style w:type="character" w:customStyle="1" w:styleId="Gvdemetni9pt15">
    <w:name w:val="Gövde metni + 9 pt15"/>
    <w:aliases w:val="Küçük Büyük Harf12"/>
    <w:uiPriority w:val="99"/>
    <w:rsid w:val="00A81419"/>
    <w:rPr>
      <w:rFonts w:ascii="Times New Roman" w:hAnsi="Times New Roman" w:cs="Times New Roman"/>
      <w:smallCaps/>
      <w:sz w:val="18"/>
      <w:szCs w:val="18"/>
      <w:u w:val="none"/>
    </w:rPr>
  </w:style>
  <w:style w:type="character" w:customStyle="1" w:styleId="GvdemetniMSGothic">
    <w:name w:val="Gövde metni + MS Gothic"/>
    <w:aliases w:val="5 pt140"/>
    <w:uiPriority w:val="99"/>
    <w:rsid w:val="00A81419"/>
    <w:rPr>
      <w:rFonts w:ascii="MS Gothic" w:eastAsia="MS Gothic" w:hAnsi="Times New Roman" w:cs="MS Gothic"/>
      <w:sz w:val="10"/>
      <w:szCs w:val="10"/>
      <w:u w:val="none"/>
    </w:rPr>
  </w:style>
  <w:style w:type="character" w:customStyle="1" w:styleId="GvdemetniCandara7">
    <w:name w:val="Gövde metni + Candara7"/>
    <w:aliases w:val="7 pt5"/>
    <w:uiPriority w:val="99"/>
    <w:rsid w:val="00A81419"/>
    <w:rPr>
      <w:rFonts w:ascii="Candara" w:hAnsi="Candara" w:cs="Candara"/>
      <w:noProof/>
      <w:sz w:val="14"/>
      <w:szCs w:val="14"/>
      <w:u w:val="none"/>
    </w:rPr>
  </w:style>
  <w:style w:type="character" w:customStyle="1" w:styleId="stbilgiveyaaltbilgi7">
    <w:name w:val="Üst bilgi veya alt bilgi7"/>
    <w:uiPriority w:val="99"/>
    <w:rsid w:val="00A81419"/>
  </w:style>
  <w:style w:type="character" w:customStyle="1" w:styleId="Gvdemetni79pt2">
    <w:name w:val="Gövde metni (7) + 9 pt2"/>
    <w:aliases w:val="0 pt boşluk bırakılıyor Exact34"/>
    <w:uiPriority w:val="99"/>
    <w:rsid w:val="00A81419"/>
    <w:rPr>
      <w:rFonts w:ascii="Times New Roman" w:hAnsi="Times New Roman" w:cs="Times New Roman"/>
      <w:b/>
      <w:bCs/>
      <w:spacing w:val="8"/>
      <w:sz w:val="18"/>
      <w:szCs w:val="18"/>
      <w:u w:val="none"/>
    </w:rPr>
  </w:style>
  <w:style w:type="character" w:customStyle="1" w:styleId="Gvdemetni74">
    <w:name w:val="Gövde metni (7)4"/>
    <w:uiPriority w:val="99"/>
    <w:rsid w:val="00A81419"/>
  </w:style>
  <w:style w:type="character" w:customStyle="1" w:styleId="Gvdemetnitalik11">
    <w:name w:val="Gövde metni + İtalik11"/>
    <w:uiPriority w:val="99"/>
    <w:rsid w:val="00A81419"/>
    <w:rPr>
      <w:rFonts w:ascii="Times New Roman" w:hAnsi="Times New Roman" w:cs="Times New Roman"/>
      <w:i/>
      <w:iCs/>
      <w:noProof/>
      <w:sz w:val="21"/>
      <w:szCs w:val="21"/>
      <w:u w:val="single"/>
    </w:rPr>
  </w:style>
  <w:style w:type="character" w:customStyle="1" w:styleId="Gvdemetni72">
    <w:name w:val="Gövde metni + 7"/>
    <w:aliases w:val="5 pt139"/>
    <w:uiPriority w:val="99"/>
    <w:rsid w:val="00A81419"/>
    <w:rPr>
      <w:rFonts w:ascii="Times New Roman" w:hAnsi="Times New Roman" w:cs="Times New Roman"/>
      <w:sz w:val="15"/>
      <w:szCs w:val="15"/>
      <w:u w:val="none"/>
    </w:rPr>
  </w:style>
  <w:style w:type="character" w:customStyle="1" w:styleId="stbilgiveyaaltbilgi10pt11">
    <w:name w:val="Üst bilgi veya alt bilgi + 10 pt11"/>
    <w:aliases w:val="Kalın Değil30"/>
    <w:uiPriority w:val="99"/>
    <w:rsid w:val="00A81419"/>
    <w:rPr>
      <w:rFonts w:ascii="Times New Roman" w:hAnsi="Times New Roman" w:cs="Times New Roman"/>
      <w:b w:val="0"/>
      <w:bCs w:val="0"/>
      <w:sz w:val="20"/>
      <w:szCs w:val="20"/>
      <w:u w:val="none"/>
    </w:rPr>
  </w:style>
  <w:style w:type="character" w:customStyle="1" w:styleId="Gvdemetni39pt8">
    <w:name w:val="Gövde metni (3) + 9 pt8"/>
    <w:aliases w:val="İtalik81"/>
    <w:uiPriority w:val="99"/>
    <w:rsid w:val="00A81419"/>
    <w:rPr>
      <w:rFonts w:ascii="Times New Roman" w:hAnsi="Times New Roman" w:cs="Times New Roman"/>
      <w:i/>
      <w:iCs/>
      <w:sz w:val="18"/>
      <w:szCs w:val="18"/>
      <w:u w:val="single"/>
    </w:rPr>
  </w:style>
  <w:style w:type="character" w:customStyle="1" w:styleId="Gvdemetni39pt7">
    <w:name w:val="Gövde metni (3) + 9 pt7"/>
    <w:aliases w:val="Kalın67"/>
    <w:uiPriority w:val="99"/>
    <w:rsid w:val="00A81419"/>
    <w:rPr>
      <w:rFonts w:ascii="Times New Roman" w:hAnsi="Times New Roman" w:cs="Times New Roman"/>
      <w:b/>
      <w:bCs/>
      <w:sz w:val="18"/>
      <w:szCs w:val="18"/>
      <w:u w:val="single"/>
    </w:rPr>
  </w:style>
  <w:style w:type="character" w:customStyle="1" w:styleId="Resimyazs9pt6">
    <w:name w:val="Resim yazısı + 9 pt6"/>
    <w:aliases w:val="Kalın66"/>
    <w:uiPriority w:val="99"/>
    <w:rsid w:val="00A81419"/>
    <w:rPr>
      <w:rFonts w:ascii="Times New Roman" w:hAnsi="Times New Roman" w:cs="Times New Roman"/>
      <w:b/>
      <w:bCs/>
      <w:sz w:val="18"/>
      <w:szCs w:val="18"/>
      <w:u w:val="none"/>
    </w:rPr>
  </w:style>
  <w:style w:type="character" w:customStyle="1" w:styleId="Gvdemetni9pt14">
    <w:name w:val="Gövde metni + 9 pt14"/>
    <w:uiPriority w:val="99"/>
    <w:rsid w:val="00A81419"/>
    <w:rPr>
      <w:rFonts w:ascii="Times New Roman" w:hAnsi="Times New Roman" w:cs="Times New Roman"/>
      <w:sz w:val="18"/>
      <w:szCs w:val="18"/>
      <w:u w:val="none"/>
    </w:rPr>
  </w:style>
  <w:style w:type="character" w:customStyle="1" w:styleId="Gvdemetni73">
    <w:name w:val="Gövde metni + 73"/>
    <w:aliases w:val="5 pt138"/>
    <w:uiPriority w:val="99"/>
    <w:rsid w:val="00A81419"/>
    <w:rPr>
      <w:rFonts w:ascii="Times New Roman" w:hAnsi="Times New Roman" w:cs="Times New Roman"/>
      <w:sz w:val="15"/>
      <w:szCs w:val="15"/>
      <w:u w:val="none"/>
    </w:rPr>
  </w:style>
  <w:style w:type="character" w:customStyle="1" w:styleId="GvdemetniExact">
    <w:name w:val="Gövde metni Exact"/>
    <w:uiPriority w:val="99"/>
    <w:rsid w:val="00A81419"/>
    <w:rPr>
      <w:rFonts w:ascii="Times New Roman" w:hAnsi="Times New Roman" w:cs="Times New Roman"/>
      <w:spacing w:val="2"/>
      <w:sz w:val="19"/>
      <w:szCs w:val="19"/>
      <w:u w:val="none"/>
    </w:rPr>
  </w:style>
  <w:style w:type="character" w:customStyle="1" w:styleId="stbilgiveyaaltbilgi10pt10">
    <w:name w:val="Üst bilgi veya alt bilgi + 10 pt10"/>
    <w:aliases w:val="Kalın Değil29"/>
    <w:uiPriority w:val="99"/>
    <w:rsid w:val="00A81419"/>
    <w:rPr>
      <w:rFonts w:ascii="Times New Roman" w:hAnsi="Times New Roman" w:cs="Times New Roman"/>
      <w:b w:val="0"/>
      <w:bCs w:val="0"/>
      <w:sz w:val="20"/>
      <w:szCs w:val="20"/>
      <w:u w:val="none"/>
    </w:rPr>
  </w:style>
  <w:style w:type="character" w:customStyle="1" w:styleId="stbilgiveyaaltbilgi10pt9">
    <w:name w:val="Üst bilgi veya alt bilgi + 10 pt9"/>
    <w:aliases w:val="Kalın Değil28"/>
    <w:uiPriority w:val="99"/>
    <w:rsid w:val="00A81419"/>
    <w:rPr>
      <w:rFonts w:ascii="Times New Roman" w:hAnsi="Times New Roman" w:cs="Times New Roman"/>
      <w:b w:val="0"/>
      <w:bCs w:val="0"/>
      <w:sz w:val="20"/>
      <w:szCs w:val="20"/>
      <w:u w:val="none"/>
    </w:rPr>
  </w:style>
  <w:style w:type="character" w:customStyle="1" w:styleId="Gvdemetni311pt1">
    <w:name w:val="Gövde metni (3) + 11 pt1"/>
    <w:uiPriority w:val="99"/>
    <w:rsid w:val="00A81419"/>
    <w:rPr>
      <w:rFonts w:ascii="Times New Roman" w:hAnsi="Times New Roman" w:cs="Times New Roman"/>
      <w:sz w:val="22"/>
      <w:szCs w:val="22"/>
      <w:u w:val="none"/>
    </w:rPr>
  </w:style>
  <w:style w:type="character" w:customStyle="1" w:styleId="Balk329pt">
    <w:name w:val="Başlık #3 (2) + 9 pt"/>
    <w:uiPriority w:val="99"/>
    <w:rsid w:val="00A81419"/>
    <w:rPr>
      <w:rFonts w:ascii="Times New Roman" w:hAnsi="Times New Roman" w:cs="Times New Roman"/>
      <w:b/>
      <w:bCs/>
      <w:sz w:val="18"/>
      <w:szCs w:val="18"/>
      <w:u w:val="none"/>
    </w:rPr>
  </w:style>
  <w:style w:type="character" w:customStyle="1" w:styleId="Balk32Candara">
    <w:name w:val="Başlık #3 (2) + Candara"/>
    <w:aliases w:val="8 pt2,Kalın Değil27"/>
    <w:uiPriority w:val="99"/>
    <w:rsid w:val="00A81419"/>
    <w:rPr>
      <w:rFonts w:ascii="Candara" w:hAnsi="Candara" w:cs="Candara"/>
      <w:b w:val="0"/>
      <w:bCs w:val="0"/>
      <w:noProof/>
      <w:sz w:val="16"/>
      <w:szCs w:val="16"/>
      <w:u w:val="none"/>
    </w:rPr>
  </w:style>
  <w:style w:type="character" w:customStyle="1" w:styleId="Gvdemetni914">
    <w:name w:val="Gövde metni + 914"/>
    <w:aliases w:val="5 pt137,Kalın65"/>
    <w:uiPriority w:val="99"/>
    <w:rsid w:val="00A81419"/>
    <w:rPr>
      <w:rFonts w:ascii="Times New Roman" w:hAnsi="Times New Roman" w:cs="Times New Roman"/>
      <w:b/>
      <w:bCs/>
      <w:sz w:val="19"/>
      <w:szCs w:val="19"/>
      <w:u w:val="none"/>
    </w:rPr>
  </w:style>
  <w:style w:type="character" w:customStyle="1" w:styleId="GvdemetniCandara6">
    <w:name w:val="Gövde metni + Candara6"/>
    <w:aliases w:val="7 pt4"/>
    <w:uiPriority w:val="99"/>
    <w:rsid w:val="00A81419"/>
    <w:rPr>
      <w:rFonts w:ascii="Candara" w:hAnsi="Candara" w:cs="Candara"/>
      <w:sz w:val="14"/>
      <w:szCs w:val="14"/>
      <w:u w:val="none"/>
    </w:rPr>
  </w:style>
  <w:style w:type="character" w:customStyle="1" w:styleId="Resimyazs8">
    <w:name w:val="Resim yazısı (8)_"/>
    <w:link w:val="Resimyazs81"/>
    <w:uiPriority w:val="99"/>
    <w:locked/>
    <w:rsid w:val="00A81419"/>
    <w:rPr>
      <w:rFonts w:ascii="Arial" w:hAnsi="Arial" w:cs="Arial"/>
      <w:b/>
      <w:bCs/>
      <w:sz w:val="14"/>
      <w:szCs w:val="14"/>
      <w:shd w:val="clear" w:color="auto" w:fill="FFFFFF"/>
    </w:rPr>
  </w:style>
  <w:style w:type="character" w:customStyle="1" w:styleId="Gvdemetni13">
    <w:name w:val="Gövde metni (13)_"/>
    <w:link w:val="Gvdemetni131"/>
    <w:uiPriority w:val="99"/>
    <w:locked/>
    <w:rsid w:val="00A81419"/>
    <w:rPr>
      <w:rFonts w:ascii="Times New Roman" w:hAnsi="Times New Roman" w:cs="Times New Roman"/>
      <w:sz w:val="16"/>
      <w:szCs w:val="16"/>
      <w:shd w:val="clear" w:color="auto" w:fill="FFFFFF"/>
    </w:rPr>
  </w:style>
  <w:style w:type="character" w:customStyle="1" w:styleId="Gvdemetni13Candara">
    <w:name w:val="Gövde metni (13) + Candara"/>
    <w:aliases w:val="81,5 pt136,İtalik80"/>
    <w:uiPriority w:val="99"/>
    <w:rsid w:val="00A81419"/>
    <w:rPr>
      <w:rFonts w:ascii="Candara" w:hAnsi="Candara" w:cs="Candara"/>
      <w:i/>
      <w:iCs/>
      <w:sz w:val="17"/>
      <w:szCs w:val="17"/>
      <w:u w:val="single"/>
    </w:rPr>
  </w:style>
  <w:style w:type="character" w:customStyle="1" w:styleId="Gvdemetni130">
    <w:name w:val="Gövde metni (13)"/>
    <w:uiPriority w:val="99"/>
    <w:rsid w:val="00A81419"/>
    <w:rPr>
      <w:rFonts w:ascii="Times New Roman" w:hAnsi="Times New Roman" w:cs="Times New Roman"/>
      <w:sz w:val="16"/>
      <w:szCs w:val="16"/>
      <w:u w:val="single"/>
    </w:rPr>
  </w:style>
  <w:style w:type="character" w:customStyle="1" w:styleId="Gvdemetni133">
    <w:name w:val="Gövde metni (13)3"/>
    <w:uiPriority w:val="99"/>
    <w:rsid w:val="00A81419"/>
    <w:rPr>
      <w:rFonts w:ascii="Times New Roman" w:hAnsi="Times New Roman" w:cs="Times New Roman"/>
      <w:sz w:val="16"/>
      <w:szCs w:val="16"/>
      <w:u w:val="single"/>
    </w:rPr>
  </w:style>
  <w:style w:type="character" w:customStyle="1" w:styleId="Gvdemetni132">
    <w:name w:val="Gövde metni (13)2"/>
    <w:uiPriority w:val="99"/>
    <w:rsid w:val="00A81419"/>
    <w:rPr>
      <w:rFonts w:ascii="Times New Roman" w:hAnsi="Times New Roman" w:cs="Times New Roman"/>
      <w:noProof/>
      <w:sz w:val="16"/>
      <w:szCs w:val="16"/>
      <w:u w:val="none"/>
    </w:rPr>
  </w:style>
  <w:style w:type="character" w:customStyle="1" w:styleId="Gvdemetni14">
    <w:name w:val="Gövde metni (14)_"/>
    <w:link w:val="Gvdemetni141"/>
    <w:uiPriority w:val="99"/>
    <w:locked/>
    <w:rsid w:val="00A81419"/>
    <w:rPr>
      <w:rFonts w:ascii="Times New Roman" w:hAnsi="Times New Roman" w:cs="Times New Roman"/>
      <w:b/>
      <w:bCs/>
      <w:i/>
      <w:iCs/>
      <w:sz w:val="20"/>
      <w:szCs w:val="20"/>
      <w:shd w:val="clear" w:color="auto" w:fill="FFFFFF"/>
    </w:rPr>
  </w:style>
  <w:style w:type="character" w:customStyle="1" w:styleId="Gvdemetni386">
    <w:name w:val="Gövde metni (3) + 86"/>
    <w:aliases w:val="5 pt135,Kalın64,0 pt boşluk bırakılıyor Exact33"/>
    <w:uiPriority w:val="99"/>
    <w:rsid w:val="00A81419"/>
    <w:rPr>
      <w:rFonts w:ascii="Times New Roman" w:hAnsi="Times New Roman" w:cs="Times New Roman"/>
      <w:b/>
      <w:bCs/>
      <w:spacing w:val="1"/>
      <w:sz w:val="17"/>
      <w:szCs w:val="17"/>
      <w:u w:val="none"/>
    </w:rPr>
  </w:style>
  <w:style w:type="character" w:customStyle="1" w:styleId="Gvdemetni114">
    <w:name w:val="Gövde metni (11)4"/>
    <w:uiPriority w:val="99"/>
    <w:rsid w:val="00A81419"/>
    <w:rPr>
      <w:rFonts w:ascii="Times New Roman" w:hAnsi="Times New Roman" w:cs="Times New Roman"/>
      <w:sz w:val="18"/>
      <w:szCs w:val="18"/>
      <w:u w:val="single"/>
    </w:rPr>
  </w:style>
  <w:style w:type="character" w:customStyle="1" w:styleId="Gvdemetni730">
    <w:name w:val="Gövde metni (7)3"/>
    <w:uiPriority w:val="99"/>
    <w:rsid w:val="00A81419"/>
  </w:style>
  <w:style w:type="character" w:customStyle="1" w:styleId="Gvdemetni6pt5">
    <w:name w:val="Gövde metni + 6 pt5"/>
    <w:aliases w:val="0 pt boşluk bırakılıyor35"/>
    <w:uiPriority w:val="99"/>
    <w:rsid w:val="00A81419"/>
    <w:rPr>
      <w:rFonts w:ascii="Times New Roman" w:hAnsi="Times New Roman" w:cs="Times New Roman"/>
      <w:spacing w:val="10"/>
      <w:sz w:val="12"/>
      <w:szCs w:val="12"/>
      <w:u w:val="none"/>
    </w:rPr>
  </w:style>
  <w:style w:type="character" w:customStyle="1" w:styleId="Gvdemetni9pt13">
    <w:name w:val="Gövde metni + 9 pt13"/>
    <w:uiPriority w:val="99"/>
    <w:rsid w:val="00A81419"/>
    <w:rPr>
      <w:rFonts w:ascii="Times New Roman" w:hAnsi="Times New Roman" w:cs="Times New Roman"/>
      <w:sz w:val="18"/>
      <w:szCs w:val="18"/>
      <w:u w:val="none"/>
    </w:rPr>
  </w:style>
  <w:style w:type="character" w:customStyle="1" w:styleId="Balk53">
    <w:name w:val="Başlık #5"/>
    <w:uiPriority w:val="99"/>
    <w:rsid w:val="00A81419"/>
  </w:style>
  <w:style w:type="character" w:customStyle="1" w:styleId="Balk3220">
    <w:name w:val="Başlık #3 (2)2"/>
    <w:uiPriority w:val="99"/>
    <w:rsid w:val="00A81419"/>
  </w:style>
  <w:style w:type="character" w:customStyle="1" w:styleId="Resimyazs86">
    <w:name w:val="Resim yazısı (8) + 6"/>
    <w:aliases w:val="5 pt134"/>
    <w:uiPriority w:val="99"/>
    <w:rsid w:val="00A81419"/>
    <w:rPr>
      <w:rFonts w:ascii="Arial" w:hAnsi="Arial" w:cs="Arial"/>
      <w:b/>
      <w:bCs/>
      <w:sz w:val="13"/>
      <w:szCs w:val="13"/>
      <w:u w:val="none"/>
    </w:rPr>
  </w:style>
  <w:style w:type="character" w:customStyle="1" w:styleId="Gvdemetni15">
    <w:name w:val="Gövde metni (15)_"/>
    <w:link w:val="Gvdemetni151"/>
    <w:uiPriority w:val="99"/>
    <w:locked/>
    <w:rsid w:val="00A81419"/>
    <w:rPr>
      <w:rFonts w:ascii="Times New Roman" w:hAnsi="Times New Roman" w:cs="Times New Roman"/>
      <w:sz w:val="20"/>
      <w:szCs w:val="20"/>
      <w:shd w:val="clear" w:color="auto" w:fill="FFFFFF"/>
    </w:rPr>
  </w:style>
  <w:style w:type="character" w:customStyle="1" w:styleId="Gvdemetni15Candara">
    <w:name w:val="Gövde metni (15) + Candara"/>
    <w:aliases w:val="96,5 pt133,İtalik79"/>
    <w:uiPriority w:val="99"/>
    <w:rsid w:val="00A81419"/>
    <w:rPr>
      <w:rFonts w:ascii="Candara" w:hAnsi="Candara" w:cs="Candara"/>
      <w:i/>
      <w:iCs/>
      <w:sz w:val="19"/>
      <w:szCs w:val="19"/>
      <w:u w:val="none"/>
    </w:rPr>
  </w:style>
  <w:style w:type="character" w:customStyle="1" w:styleId="Gvdemetni15Candara1">
    <w:name w:val="Gövde metni (15) + Candara1"/>
    <w:aliases w:val="95,5 pt132,İtalik78"/>
    <w:uiPriority w:val="99"/>
    <w:rsid w:val="00A81419"/>
    <w:rPr>
      <w:rFonts w:ascii="Candara" w:hAnsi="Candara" w:cs="Candara"/>
      <w:i/>
      <w:iCs/>
      <w:noProof/>
      <w:sz w:val="19"/>
      <w:szCs w:val="19"/>
      <w:u w:val="single"/>
    </w:rPr>
  </w:style>
  <w:style w:type="character" w:customStyle="1" w:styleId="Gvdemetni150">
    <w:name w:val="Gövde metni (15)"/>
    <w:uiPriority w:val="99"/>
    <w:rsid w:val="00A81419"/>
    <w:rPr>
      <w:rFonts w:ascii="Times New Roman" w:hAnsi="Times New Roman" w:cs="Times New Roman"/>
      <w:sz w:val="20"/>
      <w:szCs w:val="20"/>
      <w:u w:val="single"/>
    </w:rPr>
  </w:style>
  <w:style w:type="character" w:customStyle="1" w:styleId="stbilgiveyaaltbilgi10pt8">
    <w:name w:val="Üst bilgi veya alt bilgi + 10 pt8"/>
    <w:aliases w:val="Kalın Değil26"/>
    <w:uiPriority w:val="99"/>
    <w:rsid w:val="00A81419"/>
    <w:rPr>
      <w:rFonts w:ascii="Times New Roman" w:hAnsi="Times New Roman" w:cs="Times New Roman"/>
      <w:b w:val="0"/>
      <w:bCs w:val="0"/>
      <w:sz w:val="20"/>
      <w:szCs w:val="20"/>
      <w:u w:val="none"/>
    </w:rPr>
  </w:style>
  <w:style w:type="character" w:customStyle="1" w:styleId="Gvdemetni6pt4">
    <w:name w:val="Gövde metni + 6 pt4"/>
    <w:uiPriority w:val="99"/>
    <w:rsid w:val="00A81419"/>
    <w:rPr>
      <w:rFonts w:ascii="Times New Roman" w:hAnsi="Times New Roman" w:cs="Times New Roman"/>
      <w:noProof/>
      <w:sz w:val="12"/>
      <w:szCs w:val="12"/>
      <w:u w:val="none"/>
    </w:rPr>
  </w:style>
  <w:style w:type="character" w:customStyle="1" w:styleId="GvdemetniCandara5">
    <w:name w:val="Gövde metni + Candara5"/>
    <w:aliases w:val="17 pt"/>
    <w:uiPriority w:val="99"/>
    <w:rsid w:val="00A81419"/>
    <w:rPr>
      <w:rFonts w:ascii="Candara" w:hAnsi="Candara" w:cs="Candara"/>
      <w:noProof/>
      <w:sz w:val="34"/>
      <w:szCs w:val="34"/>
      <w:u w:val="none"/>
    </w:rPr>
  </w:style>
  <w:style w:type="character" w:customStyle="1" w:styleId="Gvdemetni4Arial">
    <w:name w:val="Gövde metni (4) + Arial"/>
    <w:aliases w:val="Kalın63,0 pt boşluk bırakılıyor34"/>
    <w:uiPriority w:val="99"/>
    <w:rsid w:val="00A81419"/>
    <w:rPr>
      <w:rFonts w:ascii="Arial" w:hAnsi="Arial" w:cs="Arial"/>
      <w:b/>
      <w:bCs/>
      <w:spacing w:val="0"/>
      <w:sz w:val="27"/>
      <w:szCs w:val="27"/>
      <w:u w:val="none"/>
    </w:rPr>
  </w:style>
  <w:style w:type="character" w:customStyle="1" w:styleId="Balk1Arial3">
    <w:name w:val="Başlık #1 + Arial3"/>
    <w:aliases w:val="Kalın62,0 pt boşluk bırakılıyor33"/>
    <w:uiPriority w:val="99"/>
    <w:rsid w:val="00A81419"/>
    <w:rPr>
      <w:rFonts w:ascii="Arial" w:hAnsi="Arial" w:cs="Arial"/>
      <w:b/>
      <w:bCs/>
      <w:spacing w:val="0"/>
      <w:sz w:val="27"/>
      <w:szCs w:val="27"/>
      <w:u w:val="none"/>
    </w:rPr>
  </w:style>
  <w:style w:type="character" w:customStyle="1" w:styleId="Gvdemetni89">
    <w:name w:val="Gövde metni + 89"/>
    <w:aliases w:val="5 pt131,İtalik77"/>
    <w:uiPriority w:val="99"/>
    <w:rsid w:val="00A81419"/>
    <w:rPr>
      <w:rFonts w:ascii="Times New Roman" w:hAnsi="Times New Roman" w:cs="Times New Roman"/>
      <w:i/>
      <w:iCs/>
      <w:sz w:val="17"/>
      <w:szCs w:val="17"/>
      <w:u w:val="none"/>
    </w:rPr>
  </w:style>
  <w:style w:type="character" w:customStyle="1" w:styleId="Balk5KkBykHarf">
    <w:name w:val="Başlık #5 + Küçük Büyük Harf"/>
    <w:uiPriority w:val="99"/>
    <w:rsid w:val="00A81419"/>
    <w:rPr>
      <w:rFonts w:ascii="Times New Roman" w:hAnsi="Times New Roman" w:cs="Times New Roman"/>
      <w:b/>
      <w:bCs/>
      <w:smallCaps/>
      <w:sz w:val="18"/>
      <w:szCs w:val="18"/>
      <w:u w:val="none"/>
    </w:rPr>
  </w:style>
  <w:style w:type="character" w:customStyle="1" w:styleId="Balk56pt">
    <w:name w:val="Başlık #5 + 6 pt"/>
    <w:aliases w:val="Kalın Değil25"/>
    <w:uiPriority w:val="99"/>
    <w:rsid w:val="00A81419"/>
    <w:rPr>
      <w:rFonts w:ascii="Times New Roman" w:hAnsi="Times New Roman" w:cs="Times New Roman"/>
      <w:b w:val="0"/>
      <w:bCs w:val="0"/>
      <w:noProof/>
      <w:sz w:val="12"/>
      <w:szCs w:val="12"/>
      <w:u w:val="none"/>
    </w:rPr>
  </w:style>
  <w:style w:type="character" w:customStyle="1" w:styleId="Gvdemetni720">
    <w:name w:val="Gövde metni + 72"/>
    <w:aliases w:val="5 pt130"/>
    <w:uiPriority w:val="99"/>
    <w:rsid w:val="00A81419"/>
    <w:rPr>
      <w:rFonts w:ascii="Times New Roman" w:hAnsi="Times New Roman" w:cs="Times New Roman"/>
      <w:noProof/>
      <w:sz w:val="15"/>
      <w:szCs w:val="15"/>
      <w:u w:val="none"/>
    </w:rPr>
  </w:style>
  <w:style w:type="character" w:customStyle="1" w:styleId="Resimyazs9">
    <w:name w:val="Resim yazısı (9)_"/>
    <w:link w:val="Resimyazs90"/>
    <w:uiPriority w:val="99"/>
    <w:locked/>
    <w:rsid w:val="00A81419"/>
    <w:rPr>
      <w:rFonts w:ascii="Candara" w:hAnsi="Candara" w:cs="Candara"/>
      <w:b/>
      <w:bCs/>
      <w:sz w:val="18"/>
      <w:szCs w:val="18"/>
      <w:shd w:val="clear" w:color="auto" w:fill="FFFFFF"/>
    </w:rPr>
  </w:style>
  <w:style w:type="character" w:customStyle="1" w:styleId="Resimyazs10">
    <w:name w:val="Resim yazısı (10)_"/>
    <w:link w:val="Resimyazs100"/>
    <w:uiPriority w:val="99"/>
    <w:locked/>
    <w:rsid w:val="00A81419"/>
    <w:rPr>
      <w:rFonts w:ascii="Candara" w:hAnsi="Candara" w:cs="Candara"/>
      <w:sz w:val="15"/>
      <w:szCs w:val="15"/>
      <w:shd w:val="clear" w:color="auto" w:fill="FFFFFF"/>
    </w:rPr>
  </w:style>
  <w:style w:type="character" w:customStyle="1" w:styleId="Resimyazs80">
    <w:name w:val="Resim yazısı + 8"/>
    <w:aliases w:val="5 pt129,İtalik76"/>
    <w:uiPriority w:val="99"/>
    <w:rsid w:val="00A81419"/>
    <w:rPr>
      <w:rFonts w:ascii="Times New Roman" w:hAnsi="Times New Roman" w:cs="Times New Roman"/>
      <w:i/>
      <w:iCs/>
      <w:sz w:val="17"/>
      <w:szCs w:val="17"/>
      <w:u w:val="none"/>
    </w:rPr>
  </w:style>
  <w:style w:type="character" w:customStyle="1" w:styleId="Resimyazs9pt5">
    <w:name w:val="Resim yazısı + 9 pt5"/>
    <w:uiPriority w:val="99"/>
    <w:rsid w:val="00A81419"/>
    <w:rPr>
      <w:rFonts w:ascii="Times New Roman" w:hAnsi="Times New Roman" w:cs="Times New Roman"/>
      <w:noProof/>
      <w:sz w:val="18"/>
      <w:szCs w:val="18"/>
      <w:u w:val="none"/>
    </w:rPr>
  </w:style>
  <w:style w:type="character" w:customStyle="1" w:styleId="Resimyazs9pt4">
    <w:name w:val="Resim yazısı + 9 pt4"/>
    <w:uiPriority w:val="99"/>
    <w:rsid w:val="00A81419"/>
    <w:rPr>
      <w:rFonts w:ascii="Times New Roman" w:hAnsi="Times New Roman" w:cs="Times New Roman"/>
      <w:sz w:val="18"/>
      <w:szCs w:val="18"/>
      <w:u w:val="single"/>
    </w:rPr>
  </w:style>
  <w:style w:type="character" w:customStyle="1" w:styleId="Gvdemetni16Exact">
    <w:name w:val="Gövde metni (16) Exact"/>
    <w:link w:val="Gvdemetni160"/>
    <w:uiPriority w:val="99"/>
    <w:locked/>
    <w:rsid w:val="00A81419"/>
    <w:rPr>
      <w:rFonts w:ascii="Times New Roman" w:hAnsi="Times New Roman" w:cs="Times New Roman"/>
      <w:b/>
      <w:bCs/>
      <w:noProof/>
      <w:sz w:val="34"/>
      <w:szCs w:val="34"/>
      <w:shd w:val="clear" w:color="auto" w:fill="FFFFFF"/>
    </w:rPr>
  </w:style>
  <w:style w:type="character" w:customStyle="1" w:styleId="ResimyazsExact">
    <w:name w:val="Resim yazısı Exact"/>
    <w:uiPriority w:val="99"/>
    <w:rsid w:val="00A81419"/>
    <w:rPr>
      <w:rFonts w:ascii="Times New Roman" w:hAnsi="Times New Roman" w:cs="Times New Roman"/>
      <w:sz w:val="18"/>
      <w:szCs w:val="18"/>
      <w:u w:val="none"/>
    </w:rPr>
  </w:style>
  <w:style w:type="character" w:customStyle="1" w:styleId="Resimyazs88">
    <w:name w:val="Resim yazısı + 88"/>
    <w:aliases w:val="5 pt128,Kalın61,0 pt boşluk bırakılıyor Exact32"/>
    <w:uiPriority w:val="99"/>
    <w:rsid w:val="00A81419"/>
    <w:rPr>
      <w:rFonts w:ascii="Times New Roman" w:hAnsi="Times New Roman" w:cs="Times New Roman"/>
      <w:b/>
      <w:bCs/>
      <w:spacing w:val="1"/>
      <w:sz w:val="17"/>
      <w:szCs w:val="17"/>
      <w:u w:val="none"/>
    </w:rPr>
  </w:style>
  <w:style w:type="character" w:customStyle="1" w:styleId="Resimyazs87">
    <w:name w:val="Resim yazısı + 87"/>
    <w:aliases w:val="5 pt127,Kalın60,0 pt boşluk bırakılıyor Exact31"/>
    <w:uiPriority w:val="99"/>
    <w:rsid w:val="00A81419"/>
    <w:rPr>
      <w:rFonts w:ascii="Times New Roman" w:hAnsi="Times New Roman" w:cs="Times New Roman"/>
      <w:b/>
      <w:bCs/>
      <w:spacing w:val="1"/>
      <w:sz w:val="17"/>
      <w:szCs w:val="17"/>
      <w:u w:val="none"/>
    </w:rPr>
  </w:style>
  <w:style w:type="character" w:customStyle="1" w:styleId="Resimyazs72">
    <w:name w:val="Resim yazısı + 7"/>
    <w:aliases w:val="5 pt126,İtalik75,0 pt boşluk bırakılıyor Exact30"/>
    <w:uiPriority w:val="99"/>
    <w:rsid w:val="00A81419"/>
    <w:rPr>
      <w:rFonts w:ascii="Times New Roman" w:hAnsi="Times New Roman" w:cs="Times New Roman"/>
      <w:i/>
      <w:iCs/>
      <w:spacing w:val="-2"/>
      <w:sz w:val="15"/>
      <w:szCs w:val="15"/>
      <w:u w:val="none"/>
    </w:rPr>
  </w:style>
  <w:style w:type="character" w:customStyle="1" w:styleId="Resimyazs710">
    <w:name w:val="Resim yazısı + 71"/>
    <w:aliases w:val="5 pt125,İtalik74,0 pt boşluk bırakılıyor Exact29"/>
    <w:uiPriority w:val="99"/>
    <w:rsid w:val="00A81419"/>
    <w:rPr>
      <w:rFonts w:ascii="Times New Roman" w:hAnsi="Times New Roman" w:cs="Times New Roman"/>
      <w:i/>
      <w:iCs/>
      <w:noProof/>
      <w:spacing w:val="-2"/>
      <w:sz w:val="15"/>
      <w:szCs w:val="15"/>
      <w:u w:val="single"/>
    </w:rPr>
  </w:style>
  <w:style w:type="character" w:customStyle="1" w:styleId="Resimyazs860">
    <w:name w:val="Resim yazısı + 86"/>
    <w:aliases w:val="5 pt Exact"/>
    <w:uiPriority w:val="99"/>
    <w:rsid w:val="00A81419"/>
    <w:rPr>
      <w:rFonts w:ascii="Times New Roman" w:hAnsi="Times New Roman" w:cs="Times New Roman"/>
      <w:sz w:val="17"/>
      <w:szCs w:val="17"/>
      <w:u w:val="single"/>
    </w:rPr>
  </w:style>
  <w:style w:type="character" w:customStyle="1" w:styleId="Resimyazs85">
    <w:name w:val="Resim yazısı + 85"/>
    <w:aliases w:val="5 pt Exact3"/>
    <w:uiPriority w:val="99"/>
    <w:rsid w:val="00A81419"/>
    <w:rPr>
      <w:rFonts w:ascii="Times New Roman" w:hAnsi="Times New Roman" w:cs="Times New Roman"/>
      <w:noProof/>
      <w:sz w:val="17"/>
      <w:szCs w:val="17"/>
      <w:u w:val="none"/>
    </w:rPr>
  </w:style>
  <w:style w:type="character" w:customStyle="1" w:styleId="Resimyazs11">
    <w:name w:val="Resim yazısı (11)_"/>
    <w:link w:val="Resimyazs111"/>
    <w:uiPriority w:val="99"/>
    <w:locked/>
    <w:rsid w:val="00A81419"/>
    <w:rPr>
      <w:rFonts w:ascii="Arial" w:hAnsi="Arial" w:cs="Arial"/>
      <w:sz w:val="12"/>
      <w:szCs w:val="12"/>
      <w:shd w:val="clear" w:color="auto" w:fill="FFFFFF"/>
    </w:rPr>
  </w:style>
  <w:style w:type="character" w:customStyle="1" w:styleId="Resimyazs110">
    <w:name w:val="Resim yazısı (11)"/>
    <w:uiPriority w:val="99"/>
    <w:rsid w:val="00A81419"/>
  </w:style>
  <w:style w:type="character" w:customStyle="1" w:styleId="Gvdemetni170">
    <w:name w:val="Gövde metni (17)_"/>
    <w:link w:val="Gvdemetni171"/>
    <w:uiPriority w:val="99"/>
    <w:locked/>
    <w:rsid w:val="00A81419"/>
    <w:rPr>
      <w:rFonts w:ascii="Times New Roman" w:hAnsi="Times New Roman" w:cs="Times New Roman"/>
      <w:sz w:val="12"/>
      <w:szCs w:val="12"/>
      <w:shd w:val="clear" w:color="auto" w:fill="FFFFFF"/>
    </w:rPr>
  </w:style>
  <w:style w:type="character" w:customStyle="1" w:styleId="Gvdemetni172">
    <w:name w:val="Gövde metni (17)"/>
    <w:uiPriority w:val="99"/>
    <w:rsid w:val="00A81419"/>
  </w:style>
  <w:style w:type="character" w:customStyle="1" w:styleId="Gvdemetni1188">
    <w:name w:val="Gövde metni (11) + 88"/>
    <w:aliases w:val="5 pt124,İtalik73"/>
    <w:uiPriority w:val="99"/>
    <w:rsid w:val="00A81419"/>
    <w:rPr>
      <w:rFonts w:ascii="Times New Roman" w:hAnsi="Times New Roman" w:cs="Times New Roman"/>
      <w:i/>
      <w:iCs/>
      <w:sz w:val="17"/>
      <w:szCs w:val="17"/>
      <w:u w:val="none"/>
    </w:rPr>
  </w:style>
  <w:style w:type="character" w:customStyle="1" w:styleId="Gvdemetni113">
    <w:name w:val="Gövde metni (11)3"/>
    <w:uiPriority w:val="99"/>
    <w:rsid w:val="00A81419"/>
  </w:style>
  <w:style w:type="character" w:customStyle="1" w:styleId="Gvdemetni112">
    <w:name w:val="Gövde metni (11)2"/>
    <w:uiPriority w:val="99"/>
    <w:rsid w:val="00A81419"/>
    <w:rPr>
      <w:rFonts w:ascii="Times New Roman" w:hAnsi="Times New Roman" w:cs="Times New Roman"/>
      <w:sz w:val="18"/>
      <w:szCs w:val="18"/>
      <w:u w:val="single"/>
    </w:rPr>
  </w:style>
  <w:style w:type="character" w:customStyle="1" w:styleId="Gvdemetni310pt">
    <w:name w:val="Gövde metni (3) + 10 pt"/>
    <w:uiPriority w:val="99"/>
    <w:rsid w:val="00A81419"/>
    <w:rPr>
      <w:rFonts w:ascii="Times New Roman" w:hAnsi="Times New Roman" w:cs="Times New Roman"/>
      <w:sz w:val="20"/>
      <w:szCs w:val="20"/>
      <w:u w:val="none"/>
    </w:rPr>
  </w:style>
  <w:style w:type="character" w:customStyle="1" w:styleId="Resimyazs12">
    <w:name w:val="Resim yazısı (12)_"/>
    <w:link w:val="Resimyazs121"/>
    <w:uiPriority w:val="99"/>
    <w:locked/>
    <w:rsid w:val="00A81419"/>
    <w:rPr>
      <w:rFonts w:ascii="Times New Roman" w:hAnsi="Times New Roman" w:cs="Times New Roman"/>
      <w:sz w:val="18"/>
      <w:szCs w:val="18"/>
      <w:shd w:val="clear" w:color="auto" w:fill="FFFFFF"/>
    </w:rPr>
  </w:style>
  <w:style w:type="character" w:customStyle="1" w:styleId="Resimyazs128">
    <w:name w:val="Resim yazısı (12) + 8"/>
    <w:aliases w:val="5 pt123,İtalik72"/>
    <w:uiPriority w:val="99"/>
    <w:rsid w:val="00A81419"/>
    <w:rPr>
      <w:rFonts w:ascii="Times New Roman" w:hAnsi="Times New Roman" w:cs="Times New Roman"/>
      <w:i/>
      <w:iCs/>
      <w:sz w:val="17"/>
      <w:szCs w:val="17"/>
      <w:u w:val="none"/>
    </w:rPr>
  </w:style>
  <w:style w:type="character" w:customStyle="1" w:styleId="Resimyazs120">
    <w:name w:val="Resim yazısı (12)"/>
    <w:uiPriority w:val="99"/>
    <w:rsid w:val="00A81419"/>
    <w:rPr>
      <w:rFonts w:ascii="Times New Roman" w:hAnsi="Times New Roman" w:cs="Times New Roman"/>
      <w:sz w:val="18"/>
      <w:szCs w:val="18"/>
      <w:u w:val="single"/>
    </w:rPr>
  </w:style>
  <w:style w:type="character" w:customStyle="1" w:styleId="Gvdemetni152">
    <w:name w:val="Gövde metni15"/>
    <w:uiPriority w:val="99"/>
    <w:rsid w:val="00A81419"/>
  </w:style>
  <w:style w:type="character" w:customStyle="1" w:styleId="Gvdemetnitalik10">
    <w:name w:val="Gövde metni + İtalik10"/>
    <w:uiPriority w:val="99"/>
    <w:rsid w:val="00A81419"/>
    <w:rPr>
      <w:rFonts w:ascii="Times New Roman" w:hAnsi="Times New Roman" w:cs="Times New Roman"/>
      <w:i/>
      <w:iCs/>
      <w:noProof/>
      <w:sz w:val="21"/>
      <w:szCs w:val="21"/>
      <w:u w:val="none"/>
    </w:rPr>
  </w:style>
  <w:style w:type="character" w:customStyle="1" w:styleId="Gvdemetnitalik9">
    <w:name w:val="Gövde metni + İtalik9"/>
    <w:uiPriority w:val="99"/>
    <w:rsid w:val="00A81419"/>
    <w:rPr>
      <w:rFonts w:ascii="Times New Roman" w:hAnsi="Times New Roman" w:cs="Times New Roman"/>
      <w:i/>
      <w:iCs/>
      <w:noProof/>
      <w:sz w:val="21"/>
      <w:szCs w:val="21"/>
      <w:u w:val="single"/>
    </w:rPr>
  </w:style>
  <w:style w:type="character" w:customStyle="1" w:styleId="Resimyazs13">
    <w:name w:val="Resim yazısı (13)_"/>
    <w:link w:val="Resimyazs131"/>
    <w:uiPriority w:val="99"/>
    <w:locked/>
    <w:rsid w:val="00A81419"/>
    <w:rPr>
      <w:rFonts w:ascii="Candara" w:hAnsi="Candara" w:cs="Candara"/>
      <w:sz w:val="9"/>
      <w:szCs w:val="9"/>
      <w:shd w:val="clear" w:color="auto" w:fill="FFFFFF"/>
    </w:rPr>
  </w:style>
  <w:style w:type="character" w:customStyle="1" w:styleId="Resimyazs130">
    <w:name w:val="Resim yazısı (13)"/>
    <w:uiPriority w:val="99"/>
    <w:rsid w:val="00A81419"/>
  </w:style>
  <w:style w:type="character" w:customStyle="1" w:styleId="Gvdemetni180">
    <w:name w:val="Gövde metni (18)_"/>
    <w:link w:val="Gvdemetni181"/>
    <w:uiPriority w:val="99"/>
    <w:locked/>
    <w:rsid w:val="00A81419"/>
    <w:rPr>
      <w:rFonts w:ascii="Candara" w:hAnsi="Candara" w:cs="Candara"/>
      <w:sz w:val="9"/>
      <w:szCs w:val="9"/>
      <w:shd w:val="clear" w:color="auto" w:fill="FFFFFF"/>
    </w:rPr>
  </w:style>
  <w:style w:type="character" w:customStyle="1" w:styleId="Gvdemetni182">
    <w:name w:val="Gövde metni (18)"/>
    <w:uiPriority w:val="99"/>
    <w:rsid w:val="00A81419"/>
    <w:rPr>
      <w:rFonts w:ascii="Candara" w:hAnsi="Candara" w:cs="Candara"/>
      <w:sz w:val="9"/>
      <w:szCs w:val="9"/>
      <w:u w:val="single"/>
    </w:rPr>
  </w:style>
  <w:style w:type="character" w:customStyle="1" w:styleId="Gvdemetni913">
    <w:name w:val="Gövde metni + 913"/>
    <w:aliases w:val="5 pt122,Kalın59"/>
    <w:uiPriority w:val="99"/>
    <w:rsid w:val="00A81419"/>
    <w:rPr>
      <w:rFonts w:ascii="Times New Roman" w:hAnsi="Times New Roman" w:cs="Times New Roman"/>
      <w:b/>
      <w:bCs/>
      <w:sz w:val="19"/>
      <w:szCs w:val="19"/>
      <w:u w:val="none"/>
    </w:rPr>
  </w:style>
  <w:style w:type="character" w:customStyle="1" w:styleId="Gvdemetni10pt14">
    <w:name w:val="Gövde metni + 10 pt14"/>
    <w:uiPriority w:val="99"/>
    <w:rsid w:val="00A81419"/>
    <w:rPr>
      <w:rFonts w:ascii="Times New Roman" w:hAnsi="Times New Roman" w:cs="Times New Roman"/>
      <w:sz w:val="20"/>
      <w:szCs w:val="20"/>
      <w:u w:val="none"/>
    </w:rPr>
  </w:style>
  <w:style w:type="character" w:customStyle="1" w:styleId="GvdemetniCandara4">
    <w:name w:val="Gövde metni + Candara4"/>
    <w:aliases w:val="Kalın58"/>
    <w:uiPriority w:val="99"/>
    <w:rsid w:val="00A81419"/>
    <w:rPr>
      <w:rFonts w:ascii="Candara" w:hAnsi="Candara" w:cs="Candara"/>
      <w:b/>
      <w:bCs/>
      <w:sz w:val="21"/>
      <w:szCs w:val="21"/>
      <w:u w:val="none"/>
    </w:rPr>
  </w:style>
  <w:style w:type="character" w:customStyle="1" w:styleId="GvdemetniCandara3">
    <w:name w:val="Gövde metni + Candara3"/>
    <w:aliases w:val="Kalın57,Küçük Büyük Harf11"/>
    <w:uiPriority w:val="99"/>
    <w:rsid w:val="00A81419"/>
    <w:rPr>
      <w:rFonts w:ascii="Candara" w:hAnsi="Candara" w:cs="Candara"/>
      <w:b/>
      <w:bCs/>
      <w:smallCaps/>
      <w:sz w:val="21"/>
      <w:szCs w:val="21"/>
      <w:u w:val="none"/>
    </w:rPr>
  </w:style>
  <w:style w:type="character" w:customStyle="1" w:styleId="Gvdemetni6pt3">
    <w:name w:val="Gövde metni + 6 pt3"/>
    <w:uiPriority w:val="99"/>
    <w:rsid w:val="00A81419"/>
    <w:rPr>
      <w:rFonts w:ascii="Times New Roman" w:hAnsi="Times New Roman" w:cs="Times New Roman"/>
      <w:noProof/>
      <w:sz w:val="12"/>
      <w:szCs w:val="12"/>
      <w:u w:val="none"/>
    </w:rPr>
  </w:style>
  <w:style w:type="character" w:customStyle="1" w:styleId="GvdemetniCandara2">
    <w:name w:val="Gövde metni + Candara2"/>
    <w:aliases w:val="10 pt"/>
    <w:uiPriority w:val="99"/>
    <w:rsid w:val="00A81419"/>
    <w:rPr>
      <w:rFonts w:ascii="Candara" w:hAnsi="Candara" w:cs="Candara"/>
      <w:sz w:val="20"/>
      <w:szCs w:val="20"/>
      <w:u w:val="none"/>
    </w:rPr>
  </w:style>
  <w:style w:type="character" w:customStyle="1" w:styleId="GvdemetniCandara1">
    <w:name w:val="Gövde metni + Candara1"/>
    <w:aliases w:val="10 pt2,2 pt boşluk bırakılıyor"/>
    <w:uiPriority w:val="99"/>
    <w:rsid w:val="00A81419"/>
    <w:rPr>
      <w:rFonts w:ascii="Candara" w:hAnsi="Candara" w:cs="Candara"/>
      <w:spacing w:val="40"/>
      <w:sz w:val="20"/>
      <w:szCs w:val="20"/>
      <w:u w:val="none"/>
    </w:rPr>
  </w:style>
  <w:style w:type="character" w:customStyle="1" w:styleId="Gvdemetni912">
    <w:name w:val="Gövde metni + 912"/>
    <w:aliases w:val="5 pt121,Kalın56"/>
    <w:uiPriority w:val="99"/>
    <w:rsid w:val="00A81419"/>
    <w:rPr>
      <w:rFonts w:ascii="Times New Roman" w:hAnsi="Times New Roman" w:cs="Times New Roman"/>
      <w:b/>
      <w:bCs/>
      <w:sz w:val="19"/>
      <w:szCs w:val="19"/>
      <w:u w:val="none"/>
    </w:rPr>
  </w:style>
  <w:style w:type="character" w:customStyle="1" w:styleId="Gvdemetni9pt12">
    <w:name w:val="Gövde metni + 9 pt12"/>
    <w:aliases w:val="Kalın55,İtalik71"/>
    <w:uiPriority w:val="99"/>
    <w:rsid w:val="00A81419"/>
    <w:rPr>
      <w:rFonts w:ascii="Times New Roman" w:hAnsi="Times New Roman" w:cs="Times New Roman"/>
      <w:b/>
      <w:bCs/>
      <w:i/>
      <w:iCs/>
      <w:sz w:val="18"/>
      <w:szCs w:val="18"/>
      <w:u w:val="none"/>
    </w:rPr>
  </w:style>
  <w:style w:type="character" w:customStyle="1" w:styleId="Gvdemetni9pt11">
    <w:name w:val="Gövde metni + 9 pt11"/>
    <w:aliases w:val="İtalik70"/>
    <w:uiPriority w:val="99"/>
    <w:rsid w:val="00A81419"/>
    <w:rPr>
      <w:rFonts w:ascii="Times New Roman" w:hAnsi="Times New Roman" w:cs="Times New Roman"/>
      <w:i/>
      <w:iCs/>
      <w:noProof/>
      <w:sz w:val="18"/>
      <w:szCs w:val="18"/>
      <w:u w:val="none"/>
    </w:rPr>
  </w:style>
  <w:style w:type="character" w:customStyle="1" w:styleId="Gvdemetni9pt10">
    <w:name w:val="Gövde metni + 9 pt10"/>
    <w:uiPriority w:val="99"/>
    <w:rsid w:val="00A81419"/>
    <w:rPr>
      <w:rFonts w:ascii="Times New Roman" w:hAnsi="Times New Roman" w:cs="Times New Roman"/>
      <w:noProof/>
      <w:sz w:val="18"/>
      <w:szCs w:val="18"/>
      <w:u w:val="none"/>
    </w:rPr>
  </w:style>
  <w:style w:type="character" w:customStyle="1" w:styleId="Gvdemetni10pt13">
    <w:name w:val="Gövde metni + 10 pt13"/>
    <w:uiPriority w:val="99"/>
    <w:rsid w:val="00A81419"/>
    <w:rPr>
      <w:rFonts w:ascii="Times New Roman" w:hAnsi="Times New Roman" w:cs="Times New Roman"/>
      <w:sz w:val="20"/>
      <w:szCs w:val="20"/>
      <w:u w:val="none"/>
    </w:rPr>
  </w:style>
  <w:style w:type="character" w:customStyle="1" w:styleId="Gvdemetni9pt9">
    <w:name w:val="Gövde metni + 9 pt9"/>
    <w:aliases w:val="Kalın54,Küçük Büyük Harf10"/>
    <w:uiPriority w:val="99"/>
    <w:rsid w:val="00A81419"/>
    <w:rPr>
      <w:rFonts w:ascii="Times New Roman" w:hAnsi="Times New Roman" w:cs="Times New Roman"/>
      <w:b/>
      <w:bCs/>
      <w:smallCaps/>
      <w:sz w:val="18"/>
      <w:szCs w:val="18"/>
      <w:u w:val="none"/>
    </w:rPr>
  </w:style>
  <w:style w:type="character" w:customStyle="1" w:styleId="Gvdemetni39pt6">
    <w:name w:val="Gövde metni (3) + 9 pt6"/>
    <w:aliases w:val="İtalik69"/>
    <w:uiPriority w:val="99"/>
    <w:rsid w:val="00A81419"/>
    <w:rPr>
      <w:rFonts w:ascii="Times New Roman" w:hAnsi="Times New Roman" w:cs="Times New Roman"/>
      <w:i/>
      <w:iCs/>
      <w:sz w:val="18"/>
      <w:szCs w:val="18"/>
      <w:u w:val="none"/>
    </w:rPr>
  </w:style>
  <w:style w:type="character" w:customStyle="1" w:styleId="Gvdemetni39pt5">
    <w:name w:val="Gövde metni (3) + 9 pt5"/>
    <w:aliases w:val="Kalın53"/>
    <w:uiPriority w:val="99"/>
    <w:rsid w:val="00A81419"/>
    <w:rPr>
      <w:rFonts w:ascii="Times New Roman" w:hAnsi="Times New Roman" w:cs="Times New Roman"/>
      <w:b/>
      <w:bCs/>
      <w:sz w:val="18"/>
      <w:szCs w:val="18"/>
      <w:u w:val="single"/>
    </w:rPr>
  </w:style>
  <w:style w:type="character" w:customStyle="1" w:styleId="Gvdemetni9pt8">
    <w:name w:val="Gövde metni + 9 pt8"/>
    <w:aliases w:val="İtalik68"/>
    <w:uiPriority w:val="99"/>
    <w:rsid w:val="00A81419"/>
    <w:rPr>
      <w:rFonts w:ascii="Times New Roman" w:hAnsi="Times New Roman" w:cs="Times New Roman"/>
      <w:i/>
      <w:iCs/>
      <w:sz w:val="18"/>
      <w:szCs w:val="18"/>
      <w:u w:val="none"/>
    </w:rPr>
  </w:style>
  <w:style w:type="character" w:customStyle="1" w:styleId="Balk510pt">
    <w:name w:val="Başlık #5 + 10 pt"/>
    <w:aliases w:val="Kalın Değil24"/>
    <w:uiPriority w:val="99"/>
    <w:rsid w:val="00A81419"/>
    <w:rPr>
      <w:rFonts w:ascii="Times New Roman" w:hAnsi="Times New Roman" w:cs="Times New Roman"/>
      <w:b w:val="0"/>
      <w:bCs w:val="0"/>
      <w:sz w:val="20"/>
      <w:szCs w:val="20"/>
      <w:u w:val="none"/>
    </w:rPr>
  </w:style>
  <w:style w:type="character" w:customStyle="1" w:styleId="Gvdemetnitalik8">
    <w:name w:val="Gövde metni + İtalik8"/>
    <w:uiPriority w:val="99"/>
    <w:rsid w:val="00A81419"/>
    <w:rPr>
      <w:rFonts w:ascii="Times New Roman" w:hAnsi="Times New Roman" w:cs="Times New Roman"/>
      <w:i/>
      <w:iCs/>
      <w:noProof/>
      <w:sz w:val="21"/>
      <w:szCs w:val="21"/>
      <w:u w:val="single"/>
    </w:rPr>
  </w:style>
  <w:style w:type="character" w:customStyle="1" w:styleId="Gvdemetni8pt5">
    <w:name w:val="Gövde metni + 8 pt5"/>
    <w:aliases w:val="Kalın52"/>
    <w:uiPriority w:val="99"/>
    <w:rsid w:val="00A81419"/>
    <w:rPr>
      <w:rFonts w:ascii="Times New Roman" w:hAnsi="Times New Roman" w:cs="Times New Roman"/>
      <w:b/>
      <w:bCs/>
      <w:sz w:val="16"/>
      <w:szCs w:val="16"/>
      <w:u w:val="none"/>
    </w:rPr>
  </w:style>
  <w:style w:type="character" w:customStyle="1" w:styleId="Gvdemetni140">
    <w:name w:val="Gövde metni14"/>
    <w:uiPriority w:val="99"/>
    <w:rsid w:val="00A81419"/>
  </w:style>
  <w:style w:type="character" w:customStyle="1" w:styleId="Tabloyazs3">
    <w:name w:val="Tablo yazısı (3)_"/>
    <w:link w:val="Tabloyazs30"/>
    <w:uiPriority w:val="99"/>
    <w:locked/>
    <w:rsid w:val="00A81419"/>
    <w:rPr>
      <w:rFonts w:ascii="Times New Roman" w:hAnsi="Times New Roman" w:cs="Times New Roman"/>
      <w:sz w:val="18"/>
      <w:szCs w:val="18"/>
      <w:shd w:val="clear" w:color="auto" w:fill="FFFFFF"/>
    </w:rPr>
  </w:style>
  <w:style w:type="character" w:customStyle="1" w:styleId="Gvdemetni9pt7">
    <w:name w:val="Gövde metni + 9 pt7"/>
    <w:uiPriority w:val="99"/>
    <w:rsid w:val="00A81419"/>
    <w:rPr>
      <w:rFonts w:ascii="Times New Roman" w:hAnsi="Times New Roman" w:cs="Times New Roman"/>
      <w:sz w:val="18"/>
      <w:szCs w:val="18"/>
      <w:u w:val="none"/>
    </w:rPr>
  </w:style>
  <w:style w:type="character" w:customStyle="1" w:styleId="Balk520">
    <w:name w:val="Başlık #5 (2)"/>
    <w:uiPriority w:val="99"/>
    <w:rsid w:val="00A81419"/>
  </w:style>
  <w:style w:type="character" w:customStyle="1" w:styleId="Gvdemetni7pt">
    <w:name w:val="Gövde metni + 7 pt"/>
    <w:aliases w:val="0 pt boşluk bırakılıyor32"/>
    <w:uiPriority w:val="99"/>
    <w:rsid w:val="00A81419"/>
    <w:rPr>
      <w:rFonts w:ascii="Times New Roman" w:hAnsi="Times New Roman" w:cs="Times New Roman"/>
      <w:spacing w:val="10"/>
      <w:sz w:val="14"/>
      <w:szCs w:val="14"/>
      <w:u w:val="none"/>
    </w:rPr>
  </w:style>
  <w:style w:type="character" w:customStyle="1" w:styleId="Tabloyazs39">
    <w:name w:val="Tablo yazısı (3) + 9"/>
    <w:aliases w:val="5 pt120"/>
    <w:uiPriority w:val="99"/>
    <w:rsid w:val="00A81419"/>
    <w:rPr>
      <w:rFonts w:ascii="Times New Roman" w:hAnsi="Times New Roman" w:cs="Times New Roman"/>
      <w:sz w:val="19"/>
      <w:szCs w:val="19"/>
      <w:u w:val="none"/>
    </w:rPr>
  </w:style>
  <w:style w:type="character" w:customStyle="1" w:styleId="Gvdemetni911">
    <w:name w:val="Gövde metni + 911"/>
    <w:aliases w:val="5 pt119"/>
    <w:uiPriority w:val="99"/>
    <w:rsid w:val="00A81419"/>
    <w:rPr>
      <w:rFonts w:ascii="Times New Roman" w:hAnsi="Times New Roman" w:cs="Times New Roman"/>
      <w:sz w:val="19"/>
      <w:szCs w:val="19"/>
      <w:u w:val="none"/>
    </w:rPr>
  </w:style>
  <w:style w:type="character" w:customStyle="1" w:styleId="Gvdemetni62">
    <w:name w:val="Gövde metni + 62"/>
    <w:aliases w:val="5 pt118"/>
    <w:uiPriority w:val="99"/>
    <w:rsid w:val="00A81419"/>
    <w:rPr>
      <w:rFonts w:ascii="Times New Roman" w:hAnsi="Times New Roman" w:cs="Times New Roman"/>
      <w:sz w:val="13"/>
      <w:szCs w:val="13"/>
      <w:u w:val="none"/>
    </w:rPr>
  </w:style>
  <w:style w:type="character" w:customStyle="1" w:styleId="Gvdemetni119">
    <w:name w:val="Gövde metni (11) + 9"/>
    <w:aliases w:val="5 pt117"/>
    <w:uiPriority w:val="99"/>
    <w:rsid w:val="00A81419"/>
    <w:rPr>
      <w:rFonts w:ascii="Times New Roman" w:hAnsi="Times New Roman" w:cs="Times New Roman"/>
      <w:sz w:val="19"/>
      <w:szCs w:val="19"/>
      <w:u w:val="none"/>
    </w:rPr>
  </w:style>
  <w:style w:type="character" w:customStyle="1" w:styleId="Gvdemetni1187">
    <w:name w:val="Gövde metni (11) + 87"/>
    <w:aliases w:val="5 pt116,İtalik67"/>
    <w:uiPriority w:val="99"/>
    <w:rsid w:val="00A81419"/>
    <w:rPr>
      <w:rFonts w:ascii="Times New Roman" w:hAnsi="Times New Roman" w:cs="Times New Roman"/>
      <w:i/>
      <w:iCs/>
      <w:sz w:val="17"/>
      <w:szCs w:val="17"/>
      <w:u w:val="none"/>
    </w:rPr>
  </w:style>
  <w:style w:type="character" w:customStyle="1" w:styleId="Gvdemetni1196">
    <w:name w:val="Gövde metni (11) + 96"/>
    <w:aliases w:val="5 pt115"/>
    <w:uiPriority w:val="99"/>
    <w:rsid w:val="00A81419"/>
    <w:rPr>
      <w:rFonts w:ascii="Times New Roman" w:hAnsi="Times New Roman" w:cs="Times New Roman"/>
      <w:sz w:val="19"/>
      <w:szCs w:val="19"/>
      <w:u w:val="single"/>
    </w:rPr>
  </w:style>
  <w:style w:type="character" w:customStyle="1" w:styleId="Gvdemetni710pt">
    <w:name w:val="Gövde metni (7) + 10 pt"/>
    <w:uiPriority w:val="99"/>
    <w:rsid w:val="00A81419"/>
    <w:rPr>
      <w:rFonts w:ascii="Times New Roman" w:hAnsi="Times New Roman" w:cs="Times New Roman"/>
      <w:b/>
      <w:bCs/>
      <w:sz w:val="20"/>
      <w:szCs w:val="20"/>
      <w:u w:val="none"/>
    </w:rPr>
  </w:style>
  <w:style w:type="character" w:customStyle="1" w:styleId="Gvdemetni721">
    <w:name w:val="Gövde metni (7)2"/>
    <w:uiPriority w:val="99"/>
    <w:rsid w:val="00A81419"/>
  </w:style>
  <w:style w:type="character" w:customStyle="1" w:styleId="Resimyazs14">
    <w:name w:val="Resim yazısı (14)_"/>
    <w:link w:val="Resimyazs141"/>
    <w:uiPriority w:val="99"/>
    <w:locked/>
    <w:rsid w:val="00A81419"/>
    <w:rPr>
      <w:rFonts w:ascii="Times New Roman" w:hAnsi="Times New Roman" w:cs="Times New Roman"/>
      <w:sz w:val="21"/>
      <w:szCs w:val="21"/>
      <w:shd w:val="clear" w:color="auto" w:fill="FFFFFF"/>
    </w:rPr>
  </w:style>
  <w:style w:type="character" w:customStyle="1" w:styleId="Resimyazs10pt">
    <w:name w:val="Resim yazısı + 10 pt"/>
    <w:aliases w:val="Kalın51"/>
    <w:uiPriority w:val="99"/>
    <w:rsid w:val="00A81419"/>
    <w:rPr>
      <w:rFonts w:ascii="Times New Roman" w:hAnsi="Times New Roman" w:cs="Times New Roman"/>
      <w:b/>
      <w:bCs/>
      <w:sz w:val="20"/>
      <w:szCs w:val="20"/>
      <w:u w:val="none"/>
    </w:rPr>
  </w:style>
  <w:style w:type="character" w:customStyle="1" w:styleId="Balk5210">
    <w:name w:val="Başlık #5 (2) + 10"/>
    <w:aliases w:val="5 pt114,Kalın Değil23"/>
    <w:uiPriority w:val="99"/>
    <w:rsid w:val="00A81419"/>
    <w:rPr>
      <w:rFonts w:ascii="Times New Roman" w:hAnsi="Times New Roman" w:cs="Times New Roman"/>
      <w:b w:val="0"/>
      <w:bCs w:val="0"/>
      <w:sz w:val="21"/>
      <w:szCs w:val="21"/>
      <w:u w:val="none"/>
    </w:rPr>
  </w:style>
  <w:style w:type="character" w:customStyle="1" w:styleId="stbilgiveyaaltbilgi6">
    <w:name w:val="Üst bilgi veya alt bilgi6"/>
    <w:uiPriority w:val="99"/>
    <w:rsid w:val="00A81419"/>
  </w:style>
  <w:style w:type="character" w:customStyle="1" w:styleId="Balk2TimesNewRoman3">
    <w:name w:val="Başlık #2 + Times New Roman3"/>
    <w:aliases w:val="0 pt boşluk bırakılıyor31"/>
    <w:uiPriority w:val="99"/>
    <w:rsid w:val="00A81419"/>
    <w:rPr>
      <w:rFonts w:ascii="Times New Roman" w:hAnsi="Times New Roman" w:cs="Times New Roman"/>
      <w:b/>
      <w:bCs/>
      <w:spacing w:val="10"/>
      <w:sz w:val="23"/>
      <w:szCs w:val="23"/>
      <w:u w:val="none"/>
    </w:rPr>
  </w:style>
  <w:style w:type="character" w:customStyle="1" w:styleId="stbilgiveyaaltbilgi10pt7">
    <w:name w:val="Üst bilgi veya alt bilgi + 10 pt7"/>
    <w:aliases w:val="Kalın Değil22"/>
    <w:uiPriority w:val="99"/>
    <w:rsid w:val="00A81419"/>
    <w:rPr>
      <w:rFonts w:ascii="Times New Roman" w:hAnsi="Times New Roman" w:cs="Times New Roman"/>
      <w:b w:val="0"/>
      <w:bCs w:val="0"/>
      <w:sz w:val="20"/>
      <w:szCs w:val="20"/>
      <w:u w:val="none"/>
    </w:rPr>
  </w:style>
  <w:style w:type="character" w:customStyle="1" w:styleId="Gvdemetni10pt12">
    <w:name w:val="Gövde metni + 10 pt12"/>
    <w:aliases w:val="Kalın50"/>
    <w:uiPriority w:val="99"/>
    <w:rsid w:val="00A81419"/>
    <w:rPr>
      <w:rFonts w:ascii="Times New Roman" w:hAnsi="Times New Roman" w:cs="Times New Roman"/>
      <w:b/>
      <w:bCs/>
      <w:sz w:val="20"/>
      <w:szCs w:val="20"/>
      <w:u w:val="none"/>
    </w:rPr>
  </w:style>
  <w:style w:type="character" w:customStyle="1" w:styleId="Gvdemetnitalik7">
    <w:name w:val="Gövde metni + İtalik7"/>
    <w:uiPriority w:val="99"/>
    <w:rsid w:val="00A81419"/>
    <w:rPr>
      <w:rFonts w:ascii="Times New Roman" w:hAnsi="Times New Roman" w:cs="Times New Roman"/>
      <w:i/>
      <w:iCs/>
      <w:sz w:val="21"/>
      <w:szCs w:val="21"/>
      <w:u w:val="none"/>
    </w:rPr>
  </w:style>
  <w:style w:type="character" w:customStyle="1" w:styleId="Gvdemetni9pt6">
    <w:name w:val="Gövde metni + 9 pt6"/>
    <w:aliases w:val="İtalik66"/>
    <w:uiPriority w:val="99"/>
    <w:rsid w:val="00A81419"/>
    <w:rPr>
      <w:rFonts w:ascii="Times New Roman" w:hAnsi="Times New Roman" w:cs="Times New Roman"/>
      <w:i/>
      <w:iCs/>
      <w:sz w:val="18"/>
      <w:szCs w:val="18"/>
      <w:u w:val="none"/>
    </w:rPr>
  </w:style>
  <w:style w:type="character" w:customStyle="1" w:styleId="Gvdemetni910">
    <w:name w:val="Gövde metni + 910"/>
    <w:aliases w:val="5 pt113"/>
    <w:uiPriority w:val="99"/>
    <w:rsid w:val="00A81419"/>
    <w:rPr>
      <w:rFonts w:ascii="Times New Roman" w:hAnsi="Times New Roman" w:cs="Times New Roman"/>
      <w:sz w:val="19"/>
      <w:szCs w:val="19"/>
      <w:u w:val="none"/>
    </w:rPr>
  </w:style>
  <w:style w:type="character" w:customStyle="1" w:styleId="Resimyazs15">
    <w:name w:val="Resim yazısı (15)_"/>
    <w:link w:val="Resimyazs150"/>
    <w:uiPriority w:val="99"/>
    <w:locked/>
    <w:rsid w:val="00A81419"/>
    <w:rPr>
      <w:rFonts w:ascii="Arial" w:hAnsi="Arial" w:cs="Arial"/>
      <w:b/>
      <w:bCs/>
      <w:sz w:val="15"/>
      <w:szCs w:val="15"/>
      <w:shd w:val="clear" w:color="auto" w:fill="FFFFFF"/>
    </w:rPr>
  </w:style>
  <w:style w:type="character" w:customStyle="1" w:styleId="Gvdemetni99">
    <w:name w:val="Gövde metni + 99"/>
    <w:aliases w:val="5 pt112,Küçük Büyük Harf9"/>
    <w:uiPriority w:val="99"/>
    <w:rsid w:val="00A81419"/>
    <w:rPr>
      <w:rFonts w:ascii="Times New Roman" w:hAnsi="Times New Roman" w:cs="Times New Roman"/>
      <w:smallCaps/>
      <w:sz w:val="19"/>
      <w:szCs w:val="19"/>
      <w:u w:val="none"/>
    </w:rPr>
  </w:style>
  <w:style w:type="character" w:customStyle="1" w:styleId="Gvdemetni79pt1">
    <w:name w:val="Gövde metni (7) + 9 pt1"/>
    <w:uiPriority w:val="99"/>
    <w:rsid w:val="00A81419"/>
    <w:rPr>
      <w:rFonts w:ascii="Times New Roman" w:hAnsi="Times New Roman" w:cs="Times New Roman"/>
      <w:b/>
      <w:bCs/>
      <w:sz w:val="18"/>
      <w:szCs w:val="18"/>
      <w:u w:val="none"/>
    </w:rPr>
  </w:style>
  <w:style w:type="character" w:customStyle="1" w:styleId="Balk5210pt1">
    <w:name w:val="Başlık #5 (2) + 10 pt1"/>
    <w:aliases w:val="Küçük Büyük Harf8"/>
    <w:uiPriority w:val="99"/>
    <w:rsid w:val="00A81419"/>
    <w:rPr>
      <w:rFonts w:ascii="Times New Roman" w:hAnsi="Times New Roman" w:cs="Times New Roman"/>
      <w:b/>
      <w:bCs/>
      <w:smallCaps/>
      <w:sz w:val="20"/>
      <w:szCs w:val="20"/>
      <w:u w:val="none"/>
    </w:rPr>
  </w:style>
  <w:style w:type="character" w:customStyle="1" w:styleId="Gvdemetni190">
    <w:name w:val="Gövde metni (19)_"/>
    <w:link w:val="Gvdemetni191"/>
    <w:uiPriority w:val="99"/>
    <w:locked/>
    <w:rsid w:val="00A81419"/>
    <w:rPr>
      <w:rFonts w:ascii="Arial" w:hAnsi="Arial" w:cs="Arial"/>
      <w:b/>
      <w:bCs/>
      <w:sz w:val="19"/>
      <w:szCs w:val="19"/>
      <w:shd w:val="clear" w:color="auto" w:fill="FFFFFF"/>
    </w:rPr>
  </w:style>
  <w:style w:type="character" w:customStyle="1" w:styleId="Resimyazs9Exact">
    <w:name w:val="Resim yazısı (9) Exact"/>
    <w:uiPriority w:val="99"/>
    <w:rsid w:val="00A81419"/>
    <w:rPr>
      <w:rFonts w:ascii="Candara" w:hAnsi="Candara" w:cs="Candara"/>
      <w:b/>
      <w:bCs/>
      <w:spacing w:val="7"/>
      <w:sz w:val="17"/>
      <w:szCs w:val="17"/>
      <w:u w:val="none"/>
    </w:rPr>
  </w:style>
  <w:style w:type="character" w:customStyle="1" w:styleId="Resimyazs9Arial">
    <w:name w:val="Resim yazısı (9) + Arial"/>
    <w:aliases w:val="9 pt,0 pt boşluk bırakılıyor Exact28"/>
    <w:uiPriority w:val="99"/>
    <w:rsid w:val="00A81419"/>
    <w:rPr>
      <w:rFonts w:ascii="Arial" w:hAnsi="Arial" w:cs="Arial"/>
      <w:b/>
      <w:bCs/>
      <w:spacing w:val="5"/>
      <w:sz w:val="18"/>
      <w:szCs w:val="18"/>
      <w:u w:val="none"/>
    </w:rPr>
  </w:style>
  <w:style w:type="character" w:customStyle="1" w:styleId="Resimyazs16Exact">
    <w:name w:val="Resim yazısı (16) Exact"/>
    <w:link w:val="Resimyazs16"/>
    <w:uiPriority w:val="99"/>
    <w:locked/>
    <w:rsid w:val="00A81419"/>
    <w:rPr>
      <w:rFonts w:ascii="Sylfaen" w:hAnsi="Sylfaen" w:cs="Sylfaen"/>
      <w:spacing w:val="-22"/>
      <w:sz w:val="14"/>
      <w:szCs w:val="14"/>
      <w:shd w:val="clear" w:color="auto" w:fill="FFFFFF"/>
    </w:rPr>
  </w:style>
  <w:style w:type="character" w:customStyle="1" w:styleId="Resimyazs16Exact1">
    <w:name w:val="Resim yazısı (16) Exact1"/>
    <w:uiPriority w:val="99"/>
    <w:rsid w:val="00A81419"/>
  </w:style>
  <w:style w:type="character" w:customStyle="1" w:styleId="Resimyazs84">
    <w:name w:val="Resim yazısı + 84"/>
    <w:aliases w:val="5 pt111,İtalik65,0 pt boşluk bırakılıyor Exact27"/>
    <w:uiPriority w:val="99"/>
    <w:rsid w:val="00A81419"/>
    <w:rPr>
      <w:rFonts w:ascii="Times New Roman" w:hAnsi="Times New Roman" w:cs="Times New Roman"/>
      <w:i/>
      <w:iCs/>
      <w:spacing w:val="-3"/>
      <w:sz w:val="17"/>
      <w:szCs w:val="17"/>
      <w:u w:val="none"/>
    </w:rPr>
  </w:style>
  <w:style w:type="character" w:customStyle="1" w:styleId="Resimyazs83">
    <w:name w:val="Resim yazısı + 83"/>
    <w:aliases w:val="5 pt Exact2"/>
    <w:uiPriority w:val="99"/>
    <w:rsid w:val="00A81419"/>
    <w:rPr>
      <w:rFonts w:ascii="Times New Roman" w:hAnsi="Times New Roman" w:cs="Times New Roman"/>
      <w:noProof/>
      <w:sz w:val="17"/>
      <w:szCs w:val="17"/>
      <w:u w:val="none"/>
    </w:rPr>
  </w:style>
  <w:style w:type="character" w:customStyle="1" w:styleId="Resimyazs82">
    <w:name w:val="Resim yazısı + 82"/>
    <w:aliases w:val="5 pt Exact1"/>
    <w:uiPriority w:val="99"/>
    <w:rsid w:val="00A81419"/>
    <w:rPr>
      <w:rFonts w:ascii="Times New Roman" w:hAnsi="Times New Roman" w:cs="Times New Roman"/>
      <w:sz w:val="17"/>
      <w:szCs w:val="17"/>
      <w:u w:val="single"/>
    </w:rPr>
  </w:style>
  <w:style w:type="character" w:customStyle="1" w:styleId="Resimyazs810">
    <w:name w:val="Resim yazısı + 81"/>
    <w:aliases w:val="5 pt110,Kalın Exact2"/>
    <w:uiPriority w:val="99"/>
    <w:rsid w:val="00A81419"/>
    <w:rPr>
      <w:rFonts w:ascii="Times New Roman" w:hAnsi="Times New Roman" w:cs="Times New Roman"/>
      <w:b/>
      <w:bCs/>
      <w:sz w:val="17"/>
      <w:szCs w:val="17"/>
      <w:u w:val="none"/>
    </w:rPr>
  </w:style>
  <w:style w:type="character" w:customStyle="1" w:styleId="Gvdemetni19Exact">
    <w:name w:val="Gövde metni (19) Exact"/>
    <w:uiPriority w:val="99"/>
    <w:rsid w:val="00A81419"/>
    <w:rPr>
      <w:rFonts w:ascii="Arial" w:hAnsi="Arial" w:cs="Arial"/>
      <w:b/>
      <w:bCs/>
      <w:spacing w:val="5"/>
      <w:sz w:val="18"/>
      <w:szCs w:val="18"/>
      <w:u w:val="none"/>
    </w:rPr>
  </w:style>
  <w:style w:type="character" w:customStyle="1" w:styleId="Resimyazs17Exact">
    <w:name w:val="Resim yazısı (17) Exact"/>
    <w:uiPriority w:val="99"/>
    <w:rsid w:val="00A81419"/>
    <w:rPr>
      <w:rFonts w:ascii="Arial" w:hAnsi="Arial" w:cs="Arial"/>
      <w:b/>
      <w:bCs/>
      <w:spacing w:val="4"/>
      <w:sz w:val="9"/>
      <w:szCs w:val="9"/>
      <w:u w:val="none"/>
    </w:rPr>
  </w:style>
  <w:style w:type="character" w:customStyle="1" w:styleId="Resimyazs17Exact2">
    <w:name w:val="Resim yazısı (17) Exact2"/>
    <w:uiPriority w:val="99"/>
    <w:rsid w:val="00A81419"/>
    <w:rPr>
      <w:rFonts w:ascii="Arial" w:hAnsi="Arial" w:cs="Arial"/>
      <w:b/>
      <w:bCs/>
      <w:color w:val="000000"/>
      <w:spacing w:val="4"/>
      <w:w w:val="100"/>
      <w:position w:val="0"/>
      <w:sz w:val="9"/>
      <w:szCs w:val="9"/>
      <w:u w:val="none"/>
    </w:rPr>
  </w:style>
  <w:style w:type="character" w:customStyle="1" w:styleId="Resimyazs17Exact1">
    <w:name w:val="Resim yazısı (17) Exact1"/>
    <w:uiPriority w:val="99"/>
    <w:rsid w:val="00A81419"/>
    <w:rPr>
      <w:rFonts w:ascii="Arial" w:hAnsi="Arial" w:cs="Arial"/>
      <w:b/>
      <w:bCs/>
      <w:color w:val="000000"/>
      <w:spacing w:val="4"/>
      <w:w w:val="100"/>
      <w:position w:val="0"/>
      <w:sz w:val="9"/>
      <w:szCs w:val="9"/>
      <w:u w:val="none"/>
    </w:rPr>
  </w:style>
  <w:style w:type="character" w:customStyle="1" w:styleId="Resimyazs18Exact">
    <w:name w:val="Resim yazısı (18) Exact"/>
    <w:link w:val="Resimyazs18"/>
    <w:uiPriority w:val="99"/>
    <w:locked/>
    <w:rsid w:val="00A81419"/>
    <w:rPr>
      <w:rFonts w:ascii="MS Gothic" w:eastAsia="MS Gothic" w:cs="MS Gothic"/>
      <w:noProof/>
      <w:sz w:val="23"/>
      <w:szCs w:val="23"/>
      <w:shd w:val="clear" w:color="auto" w:fill="FFFFFF"/>
    </w:rPr>
  </w:style>
  <w:style w:type="character" w:customStyle="1" w:styleId="Resimyazs18Exact1">
    <w:name w:val="Resim yazısı (18) Exact1"/>
    <w:uiPriority w:val="99"/>
    <w:rsid w:val="00A81419"/>
  </w:style>
  <w:style w:type="character" w:customStyle="1" w:styleId="Resimyazs19Exact">
    <w:name w:val="Resim yazısı (19) Exact"/>
    <w:link w:val="Resimyazs19"/>
    <w:uiPriority w:val="99"/>
    <w:locked/>
    <w:rsid w:val="00A81419"/>
    <w:rPr>
      <w:rFonts w:ascii="Sylfaen" w:hAnsi="Sylfaen" w:cs="Sylfaen"/>
      <w:spacing w:val="2"/>
      <w:sz w:val="8"/>
      <w:szCs w:val="8"/>
      <w:shd w:val="clear" w:color="auto" w:fill="FFFFFF"/>
    </w:rPr>
  </w:style>
  <w:style w:type="character" w:customStyle="1" w:styleId="Gvdemetni385">
    <w:name w:val="Gövde metni (3) + 85"/>
    <w:aliases w:val="5 pt109,İtalik64"/>
    <w:uiPriority w:val="99"/>
    <w:rsid w:val="00A81419"/>
    <w:rPr>
      <w:rFonts w:ascii="Times New Roman" w:hAnsi="Times New Roman" w:cs="Times New Roman"/>
      <w:i/>
      <w:iCs/>
      <w:sz w:val="17"/>
      <w:szCs w:val="17"/>
      <w:u w:val="none"/>
    </w:rPr>
  </w:style>
  <w:style w:type="character" w:customStyle="1" w:styleId="Gvdemetni34">
    <w:name w:val="Gövde metni (3)4"/>
    <w:uiPriority w:val="99"/>
    <w:rsid w:val="00A81419"/>
  </w:style>
  <w:style w:type="character" w:customStyle="1" w:styleId="Gvdemetni33">
    <w:name w:val="Gövde metni (3)3"/>
    <w:uiPriority w:val="99"/>
    <w:rsid w:val="00A81419"/>
    <w:rPr>
      <w:rFonts w:ascii="Times New Roman" w:hAnsi="Times New Roman" w:cs="Times New Roman"/>
      <w:sz w:val="19"/>
      <w:szCs w:val="19"/>
      <w:u w:val="single"/>
    </w:rPr>
  </w:style>
  <w:style w:type="character" w:customStyle="1" w:styleId="Gvdemetni32">
    <w:name w:val="Gövde metni (3)2"/>
    <w:uiPriority w:val="99"/>
    <w:rsid w:val="00A81419"/>
    <w:rPr>
      <w:rFonts w:ascii="Times New Roman" w:hAnsi="Times New Roman" w:cs="Times New Roman"/>
      <w:noProof/>
      <w:sz w:val="19"/>
      <w:szCs w:val="19"/>
      <w:u w:val="none"/>
    </w:rPr>
  </w:style>
  <w:style w:type="character" w:customStyle="1" w:styleId="stbilgiveyaaltbilgiArial2">
    <w:name w:val="Üst bilgi veya alt bilgi + Arial2"/>
    <w:aliases w:val="55,5 pt108"/>
    <w:uiPriority w:val="99"/>
    <w:rsid w:val="00A81419"/>
    <w:rPr>
      <w:rFonts w:ascii="Arial" w:hAnsi="Arial" w:cs="Arial"/>
      <w:b/>
      <w:bCs/>
      <w:sz w:val="11"/>
      <w:szCs w:val="11"/>
      <w:u w:val="none"/>
    </w:rPr>
  </w:style>
  <w:style w:type="character" w:customStyle="1" w:styleId="Balk33">
    <w:name w:val="Başlık #3 (3)_"/>
    <w:link w:val="Balk330"/>
    <w:uiPriority w:val="99"/>
    <w:locked/>
    <w:rsid w:val="00A81419"/>
    <w:rPr>
      <w:rFonts w:ascii="Arial" w:hAnsi="Arial" w:cs="Arial"/>
      <w:b/>
      <w:bCs/>
      <w:sz w:val="19"/>
      <w:szCs w:val="19"/>
      <w:shd w:val="clear" w:color="auto" w:fill="FFFFFF"/>
    </w:rPr>
  </w:style>
  <w:style w:type="character" w:customStyle="1" w:styleId="Gvdemetni310pt4">
    <w:name w:val="Gövde metni (3) + 10 pt4"/>
    <w:aliases w:val="Kalın49"/>
    <w:uiPriority w:val="99"/>
    <w:rsid w:val="00A81419"/>
    <w:rPr>
      <w:rFonts w:ascii="Times New Roman" w:hAnsi="Times New Roman" w:cs="Times New Roman"/>
      <w:b/>
      <w:bCs/>
      <w:sz w:val="20"/>
      <w:szCs w:val="20"/>
      <w:u w:val="none"/>
    </w:rPr>
  </w:style>
  <w:style w:type="character" w:customStyle="1" w:styleId="Gvdemetni200">
    <w:name w:val="Gövde metni (20)_"/>
    <w:link w:val="Gvdemetni201"/>
    <w:uiPriority w:val="99"/>
    <w:locked/>
    <w:rsid w:val="00A81419"/>
    <w:rPr>
      <w:rFonts w:ascii="Times New Roman" w:hAnsi="Times New Roman" w:cs="Times New Roman"/>
      <w:i/>
      <w:iCs/>
      <w:sz w:val="21"/>
      <w:szCs w:val="21"/>
      <w:shd w:val="clear" w:color="auto" w:fill="FFFFFF"/>
    </w:rPr>
  </w:style>
  <w:style w:type="character" w:customStyle="1" w:styleId="Resimyazs17">
    <w:name w:val="Resim yazısı (17)_"/>
    <w:link w:val="Resimyazs170"/>
    <w:uiPriority w:val="99"/>
    <w:locked/>
    <w:rsid w:val="00A81419"/>
    <w:rPr>
      <w:rFonts w:ascii="Arial" w:hAnsi="Arial" w:cs="Arial"/>
      <w:b/>
      <w:bCs/>
      <w:sz w:val="11"/>
      <w:szCs w:val="11"/>
      <w:shd w:val="clear" w:color="auto" w:fill="FFFFFF"/>
    </w:rPr>
  </w:style>
  <w:style w:type="character" w:customStyle="1" w:styleId="Resimyazs17TimesNewRoman">
    <w:name w:val="Resim yazısı (17) + Times New Roman"/>
    <w:aliases w:val="62,5 pt107,Kalın Değil21"/>
    <w:uiPriority w:val="99"/>
    <w:rsid w:val="00A81419"/>
    <w:rPr>
      <w:rFonts w:ascii="Times New Roman" w:hAnsi="Times New Roman" w:cs="Times New Roman"/>
      <w:b w:val="0"/>
      <w:bCs w:val="0"/>
      <w:noProof/>
      <w:sz w:val="13"/>
      <w:szCs w:val="13"/>
      <w:u w:val="none"/>
    </w:rPr>
  </w:style>
  <w:style w:type="character" w:customStyle="1" w:styleId="Resimyazs720">
    <w:name w:val="Resim yazısı (7)2"/>
    <w:uiPriority w:val="99"/>
    <w:rsid w:val="00A81419"/>
  </w:style>
  <w:style w:type="character" w:customStyle="1" w:styleId="Resimyazs1283">
    <w:name w:val="Resim yazısı (12) + 83"/>
    <w:aliases w:val="5 pt106,İtalik63"/>
    <w:uiPriority w:val="99"/>
    <w:rsid w:val="00A81419"/>
    <w:rPr>
      <w:rFonts w:ascii="Times New Roman" w:hAnsi="Times New Roman" w:cs="Times New Roman"/>
      <w:i/>
      <w:iCs/>
      <w:sz w:val="17"/>
      <w:szCs w:val="17"/>
      <w:u w:val="none"/>
    </w:rPr>
  </w:style>
  <w:style w:type="character" w:customStyle="1" w:styleId="Resimyazs129">
    <w:name w:val="Resim yazısı (12) + 9"/>
    <w:aliases w:val="5 pt105"/>
    <w:uiPriority w:val="99"/>
    <w:rsid w:val="00A81419"/>
    <w:rPr>
      <w:rFonts w:ascii="Times New Roman" w:hAnsi="Times New Roman" w:cs="Times New Roman"/>
      <w:noProof/>
      <w:sz w:val="19"/>
      <w:szCs w:val="19"/>
      <w:u w:val="none"/>
    </w:rPr>
  </w:style>
  <w:style w:type="character" w:customStyle="1" w:styleId="Resimyazs1293">
    <w:name w:val="Resim yazısı (12) + 93"/>
    <w:aliases w:val="5 pt104"/>
    <w:uiPriority w:val="99"/>
    <w:rsid w:val="00A81419"/>
    <w:rPr>
      <w:rFonts w:ascii="Times New Roman" w:hAnsi="Times New Roman" w:cs="Times New Roman"/>
      <w:sz w:val="19"/>
      <w:szCs w:val="19"/>
      <w:u w:val="single"/>
    </w:rPr>
  </w:style>
  <w:style w:type="character" w:customStyle="1" w:styleId="Resimyazs1292">
    <w:name w:val="Resim yazısı (12) + 92"/>
    <w:aliases w:val="5 pt103"/>
    <w:uiPriority w:val="99"/>
    <w:rsid w:val="00A81419"/>
    <w:rPr>
      <w:rFonts w:ascii="Times New Roman" w:hAnsi="Times New Roman" w:cs="Times New Roman"/>
      <w:sz w:val="19"/>
      <w:szCs w:val="19"/>
      <w:u w:val="single"/>
    </w:rPr>
  </w:style>
  <w:style w:type="character" w:customStyle="1" w:styleId="Resimyazs1282">
    <w:name w:val="Resim yazısı (12) + 82"/>
    <w:aliases w:val="5 pt102,İtalik62"/>
    <w:uiPriority w:val="99"/>
    <w:rsid w:val="00A81419"/>
    <w:rPr>
      <w:rFonts w:ascii="Times New Roman" w:hAnsi="Times New Roman" w:cs="Times New Roman"/>
      <w:i/>
      <w:iCs/>
      <w:noProof/>
      <w:sz w:val="17"/>
      <w:szCs w:val="17"/>
      <w:u w:val="single"/>
    </w:rPr>
  </w:style>
  <w:style w:type="character" w:customStyle="1" w:styleId="Gvdemetni1186">
    <w:name w:val="Gövde metni (11) + 86"/>
    <w:aliases w:val="5 pt101,İtalik61"/>
    <w:uiPriority w:val="99"/>
    <w:rsid w:val="00A81419"/>
    <w:rPr>
      <w:rFonts w:ascii="Times New Roman" w:hAnsi="Times New Roman" w:cs="Times New Roman"/>
      <w:i/>
      <w:iCs/>
      <w:noProof/>
      <w:sz w:val="17"/>
      <w:szCs w:val="17"/>
      <w:u w:val="single"/>
    </w:rPr>
  </w:style>
  <w:style w:type="character" w:customStyle="1" w:styleId="Gvdemetni20talikdeil">
    <w:name w:val="Gövde metni (20) + İtalik değil"/>
    <w:uiPriority w:val="99"/>
    <w:rsid w:val="00A81419"/>
    <w:rPr>
      <w:rFonts w:ascii="Times New Roman" w:hAnsi="Times New Roman" w:cs="Times New Roman"/>
      <w:i w:val="0"/>
      <w:iCs w:val="0"/>
      <w:sz w:val="21"/>
      <w:szCs w:val="21"/>
      <w:u w:val="none"/>
    </w:rPr>
  </w:style>
  <w:style w:type="character" w:customStyle="1" w:styleId="stbilgiveyaaltbilgi10pt6">
    <w:name w:val="Üst bilgi veya alt bilgi + 10 pt6"/>
    <w:aliases w:val="Kalın Değil20"/>
    <w:uiPriority w:val="99"/>
    <w:rsid w:val="00A81419"/>
    <w:rPr>
      <w:rFonts w:ascii="Times New Roman" w:hAnsi="Times New Roman" w:cs="Times New Roman"/>
      <w:b w:val="0"/>
      <w:bCs w:val="0"/>
      <w:sz w:val="20"/>
      <w:szCs w:val="20"/>
      <w:u w:val="none"/>
    </w:rPr>
  </w:style>
  <w:style w:type="character" w:customStyle="1" w:styleId="Gvdemetni510">
    <w:name w:val="Gövde metni (5) + 10"/>
    <w:aliases w:val="5 pt100"/>
    <w:uiPriority w:val="99"/>
    <w:rsid w:val="00A81419"/>
    <w:rPr>
      <w:rFonts w:ascii="Times New Roman" w:hAnsi="Times New Roman" w:cs="Times New Roman"/>
      <w:sz w:val="21"/>
      <w:szCs w:val="21"/>
      <w:u w:val="none"/>
    </w:rPr>
  </w:style>
  <w:style w:type="character" w:customStyle="1" w:styleId="Gvdemetni5102">
    <w:name w:val="Gövde metni (5) + 102"/>
    <w:aliases w:val="5 pt99"/>
    <w:uiPriority w:val="99"/>
    <w:rsid w:val="00A81419"/>
    <w:rPr>
      <w:rFonts w:ascii="Times New Roman" w:hAnsi="Times New Roman" w:cs="Times New Roman"/>
      <w:sz w:val="21"/>
      <w:szCs w:val="21"/>
      <w:u w:val="none"/>
    </w:rPr>
  </w:style>
  <w:style w:type="character" w:customStyle="1" w:styleId="Gvdemetni56pt">
    <w:name w:val="Gövde metni (5) + 6 pt"/>
    <w:uiPriority w:val="99"/>
    <w:rsid w:val="00A81419"/>
    <w:rPr>
      <w:rFonts w:ascii="Times New Roman" w:hAnsi="Times New Roman" w:cs="Times New Roman"/>
      <w:noProof/>
      <w:sz w:val="12"/>
      <w:szCs w:val="12"/>
      <w:u w:val="none"/>
    </w:rPr>
  </w:style>
  <w:style w:type="character" w:customStyle="1" w:styleId="Resimyazs1281">
    <w:name w:val="Resim yazısı (12) + 81"/>
    <w:aliases w:val="5 pt98,İtalik60"/>
    <w:uiPriority w:val="99"/>
    <w:rsid w:val="00A81419"/>
    <w:rPr>
      <w:rFonts w:ascii="Times New Roman" w:hAnsi="Times New Roman" w:cs="Times New Roman"/>
      <w:i/>
      <w:iCs/>
      <w:sz w:val="17"/>
      <w:szCs w:val="17"/>
      <w:u w:val="none"/>
    </w:rPr>
  </w:style>
  <w:style w:type="character" w:customStyle="1" w:styleId="Resimyazs1291">
    <w:name w:val="Resim yazısı (12) + 91"/>
    <w:aliases w:val="5 pt97"/>
    <w:uiPriority w:val="99"/>
    <w:rsid w:val="00A81419"/>
    <w:rPr>
      <w:rFonts w:ascii="Times New Roman" w:hAnsi="Times New Roman" w:cs="Times New Roman"/>
      <w:sz w:val="19"/>
      <w:szCs w:val="19"/>
      <w:u w:val="none"/>
    </w:rPr>
  </w:style>
  <w:style w:type="character" w:customStyle="1" w:styleId="Gvdemetni5101">
    <w:name w:val="Gövde metni (5) + 101"/>
    <w:aliases w:val="5 pt96"/>
    <w:uiPriority w:val="99"/>
    <w:rsid w:val="00A81419"/>
    <w:rPr>
      <w:rFonts w:ascii="Times New Roman" w:hAnsi="Times New Roman" w:cs="Times New Roman"/>
      <w:sz w:val="21"/>
      <w:szCs w:val="21"/>
      <w:u w:val="single"/>
    </w:rPr>
  </w:style>
  <w:style w:type="character" w:customStyle="1" w:styleId="Gvdemetni134">
    <w:name w:val="Gövde metni13"/>
    <w:uiPriority w:val="99"/>
    <w:rsid w:val="00A81419"/>
    <w:rPr>
      <w:rFonts w:ascii="Times New Roman" w:hAnsi="Times New Roman" w:cs="Times New Roman"/>
      <w:noProof/>
      <w:sz w:val="21"/>
      <w:szCs w:val="21"/>
      <w:u w:val="none"/>
    </w:rPr>
  </w:style>
  <w:style w:type="character" w:customStyle="1" w:styleId="Gvdemetni21Exact">
    <w:name w:val="Gövde metni (21) Exact"/>
    <w:uiPriority w:val="99"/>
    <w:rsid w:val="00A81419"/>
    <w:rPr>
      <w:rFonts w:ascii="Arial" w:hAnsi="Arial" w:cs="Arial"/>
      <w:b/>
      <w:bCs/>
      <w:spacing w:val="3"/>
      <w:sz w:val="15"/>
      <w:szCs w:val="15"/>
      <w:u w:val="none"/>
    </w:rPr>
  </w:style>
  <w:style w:type="character" w:customStyle="1" w:styleId="Gvdemetni21Exact1">
    <w:name w:val="Gövde metni (21) Exact1"/>
    <w:uiPriority w:val="99"/>
    <w:rsid w:val="00A81419"/>
    <w:rPr>
      <w:rFonts w:ascii="Arial" w:hAnsi="Arial" w:cs="Arial"/>
      <w:b/>
      <w:bCs/>
      <w:color w:val="000000"/>
      <w:spacing w:val="3"/>
      <w:w w:val="100"/>
      <w:position w:val="0"/>
      <w:sz w:val="15"/>
      <w:szCs w:val="15"/>
      <w:u w:val="none"/>
    </w:rPr>
  </w:style>
  <w:style w:type="character" w:customStyle="1" w:styleId="Gvdemetni21Impact">
    <w:name w:val="Gövde metni (21) + Impact"/>
    <w:aliases w:val="8 pt1,Kalın Değil19,0 pt boşluk bırakılıyor Exact26"/>
    <w:uiPriority w:val="99"/>
    <w:rsid w:val="00A81419"/>
    <w:rPr>
      <w:rFonts w:ascii="Impact" w:hAnsi="Impact" w:cs="Impact"/>
      <w:b w:val="0"/>
      <w:bCs w:val="0"/>
      <w:color w:val="000000"/>
      <w:spacing w:val="4"/>
      <w:w w:val="100"/>
      <w:position w:val="0"/>
      <w:sz w:val="16"/>
      <w:szCs w:val="16"/>
      <w:u w:val="none"/>
    </w:rPr>
  </w:style>
  <w:style w:type="character" w:customStyle="1" w:styleId="TabloyazsExact">
    <w:name w:val="Tablo yazısı Exact"/>
    <w:uiPriority w:val="99"/>
    <w:rsid w:val="00A81419"/>
    <w:rPr>
      <w:rFonts w:ascii="Times New Roman" w:hAnsi="Times New Roman" w:cs="Times New Roman"/>
      <w:sz w:val="18"/>
      <w:szCs w:val="18"/>
      <w:u w:val="none"/>
    </w:rPr>
  </w:style>
  <w:style w:type="character" w:customStyle="1" w:styleId="Tabloyazs8">
    <w:name w:val="Tablo yazısı + 8"/>
    <w:aliases w:val="5 pt95,İtalik59,0 pt boşluk bırakılıyor Exact25"/>
    <w:uiPriority w:val="99"/>
    <w:rsid w:val="00A81419"/>
    <w:rPr>
      <w:rFonts w:ascii="Times New Roman" w:hAnsi="Times New Roman" w:cs="Times New Roman"/>
      <w:i/>
      <w:iCs/>
      <w:spacing w:val="-3"/>
      <w:sz w:val="17"/>
      <w:szCs w:val="17"/>
      <w:u w:val="none"/>
    </w:rPr>
  </w:style>
  <w:style w:type="character" w:customStyle="1" w:styleId="Tabloyazs81">
    <w:name w:val="Tablo yazısı + 81"/>
    <w:aliases w:val="5 pt94,Kalın48,0 pt boşluk bırakılıyor Exact24"/>
    <w:uiPriority w:val="99"/>
    <w:rsid w:val="00A81419"/>
    <w:rPr>
      <w:rFonts w:ascii="Times New Roman" w:hAnsi="Times New Roman" w:cs="Times New Roman"/>
      <w:b/>
      <w:bCs/>
      <w:spacing w:val="1"/>
      <w:sz w:val="17"/>
      <w:szCs w:val="17"/>
      <w:u w:val="none"/>
    </w:rPr>
  </w:style>
  <w:style w:type="character" w:customStyle="1" w:styleId="GvdemetniArial">
    <w:name w:val="Gövde metni + Arial"/>
    <w:aliases w:val="72,5 pt93,Kalın47,0 pt boşluk bırakılıyor30"/>
    <w:uiPriority w:val="99"/>
    <w:rsid w:val="00A81419"/>
    <w:rPr>
      <w:rFonts w:ascii="Arial" w:hAnsi="Arial" w:cs="Arial"/>
      <w:b/>
      <w:bCs/>
      <w:spacing w:val="3"/>
      <w:sz w:val="15"/>
      <w:szCs w:val="15"/>
      <w:u w:val="none"/>
    </w:rPr>
  </w:style>
  <w:style w:type="character" w:customStyle="1" w:styleId="GvdemetniArial9">
    <w:name w:val="Gövde metni + Arial9"/>
    <w:aliases w:val="71,5 pt92,Kalın46,0 pt boşluk bırakılıyor29"/>
    <w:uiPriority w:val="99"/>
    <w:rsid w:val="00A81419"/>
    <w:rPr>
      <w:rFonts w:ascii="Arial" w:hAnsi="Arial" w:cs="Arial"/>
      <w:b/>
      <w:bCs/>
      <w:spacing w:val="3"/>
      <w:sz w:val="15"/>
      <w:szCs w:val="15"/>
      <w:u w:val="none"/>
    </w:rPr>
  </w:style>
  <w:style w:type="character" w:customStyle="1" w:styleId="Gvdemetni384">
    <w:name w:val="Gövde metni (3) + 84"/>
    <w:aliases w:val="5 pt91,İtalik58,0 pt boşluk bırakılıyor Exact23"/>
    <w:uiPriority w:val="99"/>
    <w:rsid w:val="00A81419"/>
    <w:rPr>
      <w:rFonts w:ascii="Times New Roman" w:hAnsi="Times New Roman" w:cs="Times New Roman"/>
      <w:i/>
      <w:iCs/>
      <w:spacing w:val="-3"/>
      <w:sz w:val="17"/>
      <w:szCs w:val="17"/>
      <w:u w:val="single"/>
    </w:rPr>
  </w:style>
  <w:style w:type="character" w:customStyle="1" w:styleId="Gvdemetni383">
    <w:name w:val="Gövde metni (3) + 83"/>
    <w:aliases w:val="5 pt90,Kalın45,0 pt boşluk bırakılıyor Exact22"/>
    <w:uiPriority w:val="99"/>
    <w:rsid w:val="00A81419"/>
    <w:rPr>
      <w:rFonts w:ascii="Times New Roman" w:hAnsi="Times New Roman" w:cs="Times New Roman"/>
      <w:b/>
      <w:bCs/>
      <w:spacing w:val="1"/>
      <w:sz w:val="17"/>
      <w:szCs w:val="17"/>
      <w:u w:val="single"/>
    </w:rPr>
  </w:style>
  <w:style w:type="character" w:customStyle="1" w:styleId="Gvdemetni22Exact">
    <w:name w:val="Gövde metni (22) Exact"/>
    <w:link w:val="Gvdemetni22"/>
    <w:uiPriority w:val="99"/>
    <w:locked/>
    <w:rsid w:val="00A81419"/>
    <w:rPr>
      <w:rFonts w:ascii="Times New Roman" w:hAnsi="Times New Roman" w:cs="Times New Roman"/>
      <w:noProof/>
      <w:sz w:val="44"/>
      <w:szCs w:val="44"/>
      <w:shd w:val="clear" w:color="auto" w:fill="FFFFFF"/>
    </w:rPr>
  </w:style>
  <w:style w:type="character" w:customStyle="1" w:styleId="Resimyazs20">
    <w:name w:val="Resim yazısı (20)_"/>
    <w:link w:val="Resimyazs200"/>
    <w:uiPriority w:val="99"/>
    <w:locked/>
    <w:rsid w:val="00A81419"/>
    <w:rPr>
      <w:rFonts w:ascii="Arial" w:hAnsi="Arial" w:cs="Arial"/>
      <w:b/>
      <w:bCs/>
      <w:sz w:val="15"/>
      <w:szCs w:val="15"/>
      <w:shd w:val="clear" w:color="auto" w:fill="FFFFFF"/>
    </w:rPr>
  </w:style>
  <w:style w:type="character" w:customStyle="1" w:styleId="Tabloyazs38">
    <w:name w:val="Tablo yazısı (3) + 8"/>
    <w:aliases w:val="5 pt89,İtalik57"/>
    <w:uiPriority w:val="99"/>
    <w:rsid w:val="00A81419"/>
    <w:rPr>
      <w:rFonts w:ascii="Times New Roman" w:hAnsi="Times New Roman" w:cs="Times New Roman"/>
      <w:i/>
      <w:iCs/>
      <w:sz w:val="17"/>
      <w:szCs w:val="17"/>
      <w:u w:val="none"/>
    </w:rPr>
  </w:style>
  <w:style w:type="character" w:customStyle="1" w:styleId="Tabloyazs392">
    <w:name w:val="Tablo yazısı (3) + 92"/>
    <w:aliases w:val="5 pt88"/>
    <w:uiPriority w:val="99"/>
    <w:rsid w:val="00A81419"/>
    <w:rPr>
      <w:rFonts w:ascii="Times New Roman" w:hAnsi="Times New Roman" w:cs="Times New Roman"/>
      <w:sz w:val="19"/>
      <w:szCs w:val="19"/>
      <w:u w:val="none"/>
    </w:rPr>
  </w:style>
  <w:style w:type="character" w:customStyle="1" w:styleId="Balk1Arial2">
    <w:name w:val="Başlık #1 + Arial2"/>
    <w:aliases w:val="Kalın44,0 pt boşluk bırakılıyor28"/>
    <w:uiPriority w:val="99"/>
    <w:rsid w:val="00A81419"/>
    <w:rPr>
      <w:rFonts w:ascii="Arial" w:hAnsi="Arial" w:cs="Arial"/>
      <w:b/>
      <w:bCs/>
      <w:spacing w:val="0"/>
      <w:sz w:val="27"/>
      <w:szCs w:val="27"/>
      <w:u w:val="none"/>
    </w:rPr>
  </w:style>
  <w:style w:type="character" w:customStyle="1" w:styleId="Resimyazs21">
    <w:name w:val="Resim yazısı (21)_"/>
    <w:link w:val="Resimyazs211"/>
    <w:uiPriority w:val="99"/>
    <w:locked/>
    <w:rsid w:val="00A81419"/>
    <w:rPr>
      <w:rFonts w:ascii="Times New Roman" w:hAnsi="Times New Roman" w:cs="Times New Roman"/>
      <w:sz w:val="18"/>
      <w:szCs w:val="18"/>
      <w:shd w:val="clear" w:color="auto" w:fill="FFFFFF"/>
    </w:rPr>
  </w:style>
  <w:style w:type="character" w:customStyle="1" w:styleId="Resimyazs218">
    <w:name w:val="Resim yazısı (21) + 8"/>
    <w:aliases w:val="5 pt87,İtalik56"/>
    <w:uiPriority w:val="99"/>
    <w:rsid w:val="00A81419"/>
    <w:rPr>
      <w:rFonts w:ascii="Times New Roman" w:hAnsi="Times New Roman" w:cs="Times New Roman"/>
      <w:i/>
      <w:iCs/>
      <w:sz w:val="17"/>
      <w:szCs w:val="17"/>
      <w:u w:val="none"/>
    </w:rPr>
  </w:style>
  <w:style w:type="character" w:customStyle="1" w:styleId="Gvdemetni9pt5">
    <w:name w:val="Gövde metni + 9 pt5"/>
    <w:aliases w:val="İtalik55"/>
    <w:uiPriority w:val="99"/>
    <w:rsid w:val="00A81419"/>
    <w:rPr>
      <w:rFonts w:ascii="Times New Roman" w:hAnsi="Times New Roman" w:cs="Times New Roman"/>
      <w:i/>
      <w:iCs/>
      <w:sz w:val="18"/>
      <w:szCs w:val="18"/>
      <w:u w:val="none"/>
    </w:rPr>
  </w:style>
  <w:style w:type="character" w:customStyle="1" w:styleId="stbilgiveyaaltbilgi5">
    <w:name w:val="Üst bilgi veya alt bilgi5"/>
    <w:uiPriority w:val="99"/>
    <w:rsid w:val="00A81419"/>
  </w:style>
  <w:style w:type="character" w:customStyle="1" w:styleId="Gvdemetni120">
    <w:name w:val="Gövde metni12"/>
    <w:uiPriority w:val="99"/>
    <w:rsid w:val="00A81419"/>
  </w:style>
  <w:style w:type="character" w:customStyle="1" w:styleId="Gvdemetni6pt2">
    <w:name w:val="Gövde metni + 6 pt2"/>
    <w:uiPriority w:val="99"/>
    <w:rsid w:val="00A81419"/>
    <w:rPr>
      <w:rFonts w:ascii="Times New Roman" w:hAnsi="Times New Roman" w:cs="Times New Roman"/>
      <w:sz w:val="12"/>
      <w:szCs w:val="12"/>
      <w:u w:val="none"/>
    </w:rPr>
  </w:style>
  <w:style w:type="character" w:customStyle="1" w:styleId="Gvdemetni8pt4">
    <w:name w:val="Gövde metni + 8 pt4"/>
    <w:aliases w:val="Kalın43,İtalik54"/>
    <w:uiPriority w:val="99"/>
    <w:rsid w:val="00A81419"/>
    <w:rPr>
      <w:rFonts w:ascii="Times New Roman" w:hAnsi="Times New Roman" w:cs="Times New Roman"/>
      <w:b/>
      <w:bCs/>
      <w:i/>
      <w:iCs/>
      <w:noProof/>
      <w:sz w:val="16"/>
      <w:szCs w:val="16"/>
      <w:u w:val="none"/>
    </w:rPr>
  </w:style>
  <w:style w:type="character" w:customStyle="1" w:styleId="Gvdemetni59">
    <w:name w:val="Gövde metni (5) + 9"/>
    <w:aliases w:val="5 pt86"/>
    <w:uiPriority w:val="99"/>
    <w:rsid w:val="00A81419"/>
    <w:rPr>
      <w:rFonts w:ascii="Times New Roman" w:hAnsi="Times New Roman" w:cs="Times New Roman"/>
      <w:sz w:val="19"/>
      <w:szCs w:val="19"/>
      <w:u w:val="none"/>
    </w:rPr>
  </w:style>
  <w:style w:type="character" w:customStyle="1" w:styleId="Gvdemetni3108">
    <w:name w:val="Gövde metni (3) + 108"/>
    <w:aliases w:val="5 pt85"/>
    <w:uiPriority w:val="99"/>
    <w:rsid w:val="00A81419"/>
    <w:rPr>
      <w:rFonts w:ascii="Times New Roman" w:hAnsi="Times New Roman" w:cs="Times New Roman"/>
      <w:sz w:val="21"/>
      <w:szCs w:val="21"/>
      <w:u w:val="none"/>
    </w:rPr>
  </w:style>
  <w:style w:type="character" w:customStyle="1" w:styleId="Gvdemetni98">
    <w:name w:val="Gövde metni + 98"/>
    <w:aliases w:val="5 pt84"/>
    <w:uiPriority w:val="99"/>
    <w:rsid w:val="00A81419"/>
    <w:rPr>
      <w:rFonts w:ascii="Times New Roman" w:hAnsi="Times New Roman" w:cs="Times New Roman"/>
      <w:sz w:val="19"/>
      <w:szCs w:val="19"/>
      <w:u w:val="none"/>
    </w:rPr>
  </w:style>
  <w:style w:type="character" w:customStyle="1" w:styleId="Gvdemetni88">
    <w:name w:val="Gövde metni + 88"/>
    <w:aliases w:val="5 pt83,İtalik53"/>
    <w:uiPriority w:val="99"/>
    <w:rsid w:val="00A81419"/>
    <w:rPr>
      <w:rFonts w:ascii="Times New Roman" w:hAnsi="Times New Roman" w:cs="Times New Roman"/>
      <w:i/>
      <w:iCs/>
      <w:sz w:val="17"/>
      <w:szCs w:val="17"/>
      <w:u w:val="none"/>
    </w:rPr>
  </w:style>
  <w:style w:type="character" w:customStyle="1" w:styleId="Gvdemetni7pt4">
    <w:name w:val="Gövde metni + 7 pt4"/>
    <w:uiPriority w:val="99"/>
    <w:rsid w:val="00A81419"/>
    <w:rPr>
      <w:rFonts w:ascii="Times New Roman" w:hAnsi="Times New Roman" w:cs="Times New Roman"/>
      <w:sz w:val="14"/>
      <w:szCs w:val="14"/>
      <w:u w:val="none"/>
    </w:rPr>
  </w:style>
  <w:style w:type="character" w:customStyle="1" w:styleId="Resimyazs22">
    <w:name w:val="Resim yazısı (22)_"/>
    <w:link w:val="Resimyazs221"/>
    <w:uiPriority w:val="99"/>
    <w:locked/>
    <w:rsid w:val="00A81419"/>
    <w:rPr>
      <w:rFonts w:ascii="Times New Roman" w:hAnsi="Times New Roman" w:cs="Times New Roman"/>
      <w:b/>
      <w:bCs/>
      <w:sz w:val="17"/>
      <w:szCs w:val="17"/>
      <w:shd w:val="clear" w:color="auto" w:fill="FFFFFF"/>
    </w:rPr>
  </w:style>
  <w:style w:type="character" w:customStyle="1" w:styleId="Resimyazs22talik">
    <w:name w:val="Resim yazısı (22) + İtalik"/>
    <w:uiPriority w:val="99"/>
    <w:rsid w:val="00A81419"/>
    <w:rPr>
      <w:rFonts w:ascii="Times New Roman" w:hAnsi="Times New Roman" w:cs="Times New Roman"/>
      <w:b/>
      <w:bCs/>
      <w:i/>
      <w:iCs/>
      <w:sz w:val="17"/>
      <w:szCs w:val="17"/>
      <w:u w:val="none"/>
    </w:rPr>
  </w:style>
  <w:style w:type="character" w:customStyle="1" w:styleId="Resimyazs220">
    <w:name w:val="Resim yazısı (22)"/>
    <w:uiPriority w:val="99"/>
    <w:rsid w:val="00A81419"/>
    <w:rPr>
      <w:rFonts w:ascii="Times New Roman" w:hAnsi="Times New Roman" w:cs="Times New Roman"/>
      <w:b/>
      <w:bCs/>
      <w:sz w:val="17"/>
      <w:szCs w:val="17"/>
      <w:u w:val="single"/>
    </w:rPr>
  </w:style>
  <w:style w:type="character" w:customStyle="1" w:styleId="Resimyazs140">
    <w:name w:val="Resim yazısı (14)"/>
    <w:uiPriority w:val="99"/>
    <w:rsid w:val="00A81419"/>
    <w:rPr>
      <w:rFonts w:ascii="Times New Roman" w:hAnsi="Times New Roman" w:cs="Times New Roman"/>
      <w:sz w:val="21"/>
      <w:szCs w:val="21"/>
      <w:u w:val="single"/>
    </w:rPr>
  </w:style>
  <w:style w:type="character" w:customStyle="1" w:styleId="Resimyazs143">
    <w:name w:val="Resim yazısı (14)3"/>
    <w:uiPriority w:val="99"/>
    <w:rsid w:val="00A81419"/>
    <w:rPr>
      <w:rFonts w:ascii="Times New Roman" w:hAnsi="Times New Roman" w:cs="Times New Roman"/>
      <w:noProof/>
      <w:sz w:val="21"/>
      <w:szCs w:val="21"/>
      <w:u w:val="none"/>
    </w:rPr>
  </w:style>
  <w:style w:type="character" w:customStyle="1" w:styleId="Gvdemetni23Exact">
    <w:name w:val="Gövde metni (23) Exact"/>
    <w:link w:val="Gvdemetni23"/>
    <w:uiPriority w:val="99"/>
    <w:locked/>
    <w:rsid w:val="00A81419"/>
    <w:rPr>
      <w:rFonts w:ascii="Arial" w:hAnsi="Arial" w:cs="Arial"/>
      <w:b/>
      <w:bCs/>
      <w:spacing w:val="-6"/>
      <w:sz w:val="27"/>
      <w:szCs w:val="27"/>
      <w:shd w:val="clear" w:color="auto" w:fill="FFFFFF"/>
    </w:rPr>
  </w:style>
  <w:style w:type="character" w:customStyle="1" w:styleId="Gvdemetni24Exact">
    <w:name w:val="Gövde metni (24) Exact"/>
    <w:link w:val="Gvdemetni24"/>
    <w:uiPriority w:val="99"/>
    <w:locked/>
    <w:rsid w:val="00A81419"/>
    <w:rPr>
      <w:rFonts w:ascii="Impact" w:hAnsi="Impact" w:cs="Impact"/>
      <w:spacing w:val="5"/>
      <w:sz w:val="20"/>
      <w:szCs w:val="20"/>
      <w:shd w:val="clear" w:color="auto" w:fill="FFFFFF"/>
    </w:rPr>
  </w:style>
  <w:style w:type="character" w:customStyle="1" w:styleId="Resimyazs12Exact">
    <w:name w:val="Resim yazısı (12) Exact"/>
    <w:uiPriority w:val="99"/>
    <w:rsid w:val="00A81419"/>
    <w:rPr>
      <w:rFonts w:ascii="Times New Roman" w:hAnsi="Times New Roman" w:cs="Times New Roman"/>
      <w:sz w:val="17"/>
      <w:szCs w:val="17"/>
      <w:u w:val="none"/>
    </w:rPr>
  </w:style>
  <w:style w:type="character" w:customStyle="1" w:styleId="Resimyazs12talik">
    <w:name w:val="Resim yazısı (12) + İtalik"/>
    <w:aliases w:val="0 pt boşluk bırakılıyor Exact21"/>
    <w:uiPriority w:val="99"/>
    <w:rsid w:val="00A81419"/>
    <w:rPr>
      <w:rFonts w:ascii="Times New Roman" w:hAnsi="Times New Roman" w:cs="Times New Roman"/>
      <w:i/>
      <w:iCs/>
      <w:spacing w:val="-3"/>
      <w:sz w:val="17"/>
      <w:szCs w:val="17"/>
      <w:u w:val="none"/>
    </w:rPr>
  </w:style>
  <w:style w:type="character" w:customStyle="1" w:styleId="Resimyazs12Kaln">
    <w:name w:val="Resim yazısı (12) + Kalın"/>
    <w:aliases w:val="0 pt boşluk bırakılıyor Exact20"/>
    <w:uiPriority w:val="99"/>
    <w:rsid w:val="00A81419"/>
    <w:rPr>
      <w:rFonts w:ascii="Times New Roman" w:hAnsi="Times New Roman" w:cs="Times New Roman"/>
      <w:b/>
      <w:bCs/>
      <w:noProof/>
      <w:spacing w:val="1"/>
      <w:sz w:val="17"/>
      <w:szCs w:val="17"/>
      <w:u w:val="none"/>
    </w:rPr>
  </w:style>
  <w:style w:type="character" w:customStyle="1" w:styleId="Resimyazs120ptbolukbraklyorExact">
    <w:name w:val="Resim yazısı (12) + 0 pt boşluk bırakılıyor Exact"/>
    <w:uiPriority w:val="99"/>
    <w:rsid w:val="00A81419"/>
    <w:rPr>
      <w:rFonts w:ascii="Times New Roman" w:hAnsi="Times New Roman" w:cs="Times New Roman"/>
      <w:sz w:val="17"/>
      <w:szCs w:val="17"/>
      <w:u w:val="none"/>
    </w:rPr>
  </w:style>
  <w:style w:type="character" w:customStyle="1" w:styleId="Resimyazs120ptbolukbraklyorExact1">
    <w:name w:val="Resim yazısı (12) + 0 pt boşluk bırakılıyor Exact1"/>
    <w:uiPriority w:val="99"/>
    <w:rsid w:val="00A81419"/>
    <w:rPr>
      <w:rFonts w:ascii="Times New Roman" w:hAnsi="Times New Roman" w:cs="Times New Roman"/>
      <w:sz w:val="17"/>
      <w:szCs w:val="17"/>
      <w:u w:val="single"/>
    </w:rPr>
  </w:style>
  <w:style w:type="character" w:customStyle="1" w:styleId="Gvdemetni4pt">
    <w:name w:val="Gövde metni + 4 pt"/>
    <w:uiPriority w:val="99"/>
    <w:rsid w:val="00A81419"/>
    <w:rPr>
      <w:rFonts w:ascii="Times New Roman" w:hAnsi="Times New Roman" w:cs="Times New Roman"/>
      <w:sz w:val="8"/>
      <w:szCs w:val="8"/>
      <w:u w:val="none"/>
    </w:rPr>
  </w:style>
  <w:style w:type="character" w:customStyle="1" w:styleId="Gvdemetni1185">
    <w:name w:val="Gövde metni (11) + 85"/>
    <w:aliases w:val="5 pt82,İtalik52"/>
    <w:uiPriority w:val="99"/>
    <w:rsid w:val="00A81419"/>
    <w:rPr>
      <w:rFonts w:ascii="Times New Roman" w:hAnsi="Times New Roman" w:cs="Times New Roman"/>
      <w:i/>
      <w:iCs/>
      <w:sz w:val="17"/>
      <w:szCs w:val="17"/>
      <w:u w:val="none"/>
    </w:rPr>
  </w:style>
  <w:style w:type="character" w:customStyle="1" w:styleId="Gvdemetni1195">
    <w:name w:val="Gövde metni (11) + 95"/>
    <w:aliases w:val="5 pt81"/>
    <w:uiPriority w:val="99"/>
    <w:rsid w:val="00A81419"/>
    <w:rPr>
      <w:rFonts w:ascii="Times New Roman" w:hAnsi="Times New Roman" w:cs="Times New Roman"/>
      <w:noProof/>
      <w:sz w:val="19"/>
      <w:szCs w:val="19"/>
      <w:u w:val="none"/>
    </w:rPr>
  </w:style>
  <w:style w:type="character" w:customStyle="1" w:styleId="Gvdemetni1194">
    <w:name w:val="Gövde metni (11) + 94"/>
    <w:aliases w:val="5 pt80"/>
    <w:uiPriority w:val="99"/>
    <w:rsid w:val="00A81419"/>
    <w:rPr>
      <w:rFonts w:ascii="Times New Roman" w:hAnsi="Times New Roman" w:cs="Times New Roman"/>
      <w:sz w:val="19"/>
      <w:szCs w:val="19"/>
      <w:u w:val="single"/>
    </w:rPr>
  </w:style>
  <w:style w:type="character" w:customStyle="1" w:styleId="Gvdemetni87">
    <w:name w:val="Gövde metni + 87"/>
    <w:aliases w:val="5 pt79,Kalın42"/>
    <w:uiPriority w:val="99"/>
    <w:rsid w:val="00A81419"/>
    <w:rPr>
      <w:rFonts w:ascii="Times New Roman" w:hAnsi="Times New Roman" w:cs="Times New Roman"/>
      <w:b/>
      <w:bCs/>
      <w:sz w:val="17"/>
      <w:szCs w:val="17"/>
      <w:u w:val="none"/>
    </w:rPr>
  </w:style>
  <w:style w:type="character" w:customStyle="1" w:styleId="Gvdemetni511">
    <w:name w:val="Gövde metni + 51"/>
    <w:aliases w:val="5 pt78,Kalın41"/>
    <w:uiPriority w:val="99"/>
    <w:rsid w:val="00A81419"/>
    <w:rPr>
      <w:rFonts w:ascii="Times New Roman" w:hAnsi="Times New Roman" w:cs="Times New Roman"/>
      <w:b/>
      <w:bCs/>
      <w:noProof/>
      <w:sz w:val="11"/>
      <w:szCs w:val="11"/>
      <w:u w:val="none"/>
    </w:rPr>
  </w:style>
  <w:style w:type="character" w:customStyle="1" w:styleId="stbilgiveyaaltbilgi10pt5">
    <w:name w:val="Üst bilgi veya alt bilgi + 10 pt5"/>
    <w:aliases w:val="Kalın Değil18"/>
    <w:uiPriority w:val="99"/>
    <w:rsid w:val="00A81419"/>
    <w:rPr>
      <w:rFonts w:ascii="Times New Roman" w:hAnsi="Times New Roman" w:cs="Times New Roman"/>
      <w:b w:val="0"/>
      <w:bCs w:val="0"/>
      <w:sz w:val="20"/>
      <w:szCs w:val="20"/>
      <w:u w:val="none"/>
    </w:rPr>
  </w:style>
  <w:style w:type="character" w:customStyle="1" w:styleId="Gvdemetni97">
    <w:name w:val="Gövde metni + 97"/>
    <w:aliases w:val="5 pt77"/>
    <w:uiPriority w:val="99"/>
    <w:rsid w:val="00A81419"/>
    <w:rPr>
      <w:rFonts w:ascii="Times New Roman" w:hAnsi="Times New Roman" w:cs="Times New Roman"/>
      <w:sz w:val="19"/>
      <w:szCs w:val="19"/>
      <w:u w:val="none"/>
    </w:rPr>
  </w:style>
  <w:style w:type="character" w:customStyle="1" w:styleId="Balk5101">
    <w:name w:val="Başlık #5 + 101"/>
    <w:aliases w:val="5 pt76,Kalın Değil17"/>
    <w:uiPriority w:val="99"/>
    <w:rsid w:val="00A81419"/>
    <w:rPr>
      <w:rFonts w:ascii="Times New Roman" w:hAnsi="Times New Roman" w:cs="Times New Roman"/>
      <w:b w:val="0"/>
      <w:bCs w:val="0"/>
      <w:sz w:val="21"/>
      <w:szCs w:val="21"/>
      <w:u w:val="none"/>
    </w:rPr>
  </w:style>
  <w:style w:type="character" w:customStyle="1" w:styleId="Resimyazs23Exact">
    <w:name w:val="Resim yazısı (23) Exact"/>
    <w:link w:val="Resimyazs23"/>
    <w:uiPriority w:val="99"/>
    <w:locked/>
    <w:rsid w:val="00A81419"/>
    <w:rPr>
      <w:rFonts w:ascii="Trebuchet MS" w:hAnsi="Trebuchet MS" w:cs="Trebuchet MS"/>
      <w:b/>
      <w:bCs/>
      <w:spacing w:val="4"/>
      <w:sz w:val="19"/>
      <w:szCs w:val="19"/>
      <w:shd w:val="clear" w:color="auto" w:fill="FFFFFF"/>
    </w:rPr>
  </w:style>
  <w:style w:type="character" w:customStyle="1" w:styleId="Resimyazs23Exact1">
    <w:name w:val="Resim yazısı (23) Exact1"/>
    <w:uiPriority w:val="99"/>
    <w:rsid w:val="00A81419"/>
  </w:style>
  <w:style w:type="character" w:customStyle="1" w:styleId="Resimyazs20ptbolukbraklyorExact">
    <w:name w:val="Resim yazısı (2) + 0 pt boşluk bırakılıyor Exact"/>
    <w:uiPriority w:val="99"/>
    <w:rsid w:val="00A81419"/>
    <w:rPr>
      <w:rFonts w:ascii="Times New Roman" w:hAnsi="Times New Roman" w:cs="Times New Roman"/>
      <w:b/>
      <w:bCs/>
      <w:spacing w:val="4"/>
      <w:sz w:val="18"/>
      <w:szCs w:val="18"/>
      <w:u w:val="none"/>
    </w:rPr>
  </w:style>
  <w:style w:type="character" w:customStyle="1" w:styleId="Resimyazs24Exact">
    <w:name w:val="Resim yazısı (24) Exact"/>
    <w:link w:val="Resimyazs24"/>
    <w:uiPriority w:val="99"/>
    <w:locked/>
    <w:rsid w:val="00A81419"/>
    <w:rPr>
      <w:rFonts w:ascii="Palatino Linotype" w:hAnsi="Palatino Linotype" w:cs="Palatino Linotype"/>
      <w:spacing w:val="-6"/>
      <w:sz w:val="9"/>
      <w:szCs w:val="9"/>
      <w:shd w:val="clear" w:color="auto" w:fill="FFFFFF"/>
    </w:rPr>
  </w:style>
  <w:style w:type="character" w:customStyle="1" w:styleId="Resimyazs14Exact">
    <w:name w:val="Resim yazısı (14) Exact"/>
    <w:uiPriority w:val="99"/>
    <w:rsid w:val="00A81419"/>
    <w:rPr>
      <w:rFonts w:ascii="Times New Roman" w:hAnsi="Times New Roman" w:cs="Times New Roman"/>
      <w:spacing w:val="2"/>
      <w:sz w:val="19"/>
      <w:szCs w:val="19"/>
      <w:u w:val="none"/>
    </w:rPr>
  </w:style>
  <w:style w:type="character" w:customStyle="1" w:styleId="Resimyazs140ptbolukbraklyorExact">
    <w:name w:val="Resim yazısı (14) + 0 pt boşluk bırakılıyor Exact"/>
    <w:uiPriority w:val="99"/>
    <w:rsid w:val="00A81419"/>
    <w:rPr>
      <w:rFonts w:ascii="Times New Roman" w:hAnsi="Times New Roman" w:cs="Times New Roman"/>
      <w:spacing w:val="1"/>
      <w:sz w:val="19"/>
      <w:szCs w:val="19"/>
      <w:u w:val="none"/>
    </w:rPr>
  </w:style>
  <w:style w:type="character" w:customStyle="1" w:styleId="Resimyazs19TimesNewRoman">
    <w:name w:val="Resim yazısı (19) + Times New Roman"/>
    <w:aliases w:val="0 pt boşluk bırakılıyor Exact19"/>
    <w:uiPriority w:val="99"/>
    <w:rsid w:val="00A81419"/>
    <w:rPr>
      <w:rFonts w:ascii="Times New Roman" w:hAnsi="Times New Roman" w:cs="Times New Roman"/>
      <w:spacing w:val="-9"/>
      <w:sz w:val="8"/>
      <w:szCs w:val="8"/>
      <w:u w:val="none"/>
    </w:rPr>
  </w:style>
  <w:style w:type="character" w:customStyle="1" w:styleId="Resimyazs8Exact">
    <w:name w:val="Resim yazısı (8) Exact"/>
    <w:uiPriority w:val="99"/>
    <w:rsid w:val="00A81419"/>
    <w:rPr>
      <w:rFonts w:ascii="Arial" w:hAnsi="Arial" w:cs="Arial"/>
      <w:b/>
      <w:bCs/>
      <w:spacing w:val="6"/>
      <w:sz w:val="13"/>
      <w:szCs w:val="13"/>
      <w:u w:val="none"/>
    </w:rPr>
  </w:style>
  <w:style w:type="character" w:customStyle="1" w:styleId="Resimyazs86pt">
    <w:name w:val="Resim yazısı (8) + 6 pt"/>
    <w:aliases w:val="0 pt boşluk bırakılıyor Exact18"/>
    <w:uiPriority w:val="99"/>
    <w:rsid w:val="00A81419"/>
    <w:rPr>
      <w:rFonts w:ascii="Arial" w:hAnsi="Arial" w:cs="Arial"/>
      <w:b/>
      <w:bCs/>
      <w:noProof/>
      <w:sz w:val="12"/>
      <w:szCs w:val="12"/>
      <w:u w:val="none"/>
    </w:rPr>
  </w:style>
  <w:style w:type="character" w:customStyle="1" w:styleId="Resimyazs25Exact">
    <w:name w:val="Resim yazısı (25) Exact"/>
    <w:link w:val="Resimyazs25"/>
    <w:uiPriority w:val="99"/>
    <w:locked/>
    <w:rsid w:val="00A81419"/>
    <w:rPr>
      <w:rFonts w:ascii="Times New Roman" w:hAnsi="Times New Roman" w:cs="Times New Roman"/>
      <w:spacing w:val="-4"/>
      <w:sz w:val="21"/>
      <w:szCs w:val="21"/>
      <w:shd w:val="clear" w:color="auto" w:fill="FFFFFF"/>
    </w:rPr>
  </w:style>
  <w:style w:type="character" w:customStyle="1" w:styleId="Resimyazs25Exact1">
    <w:name w:val="Resim yazısı (25) Exact1"/>
    <w:uiPriority w:val="99"/>
    <w:rsid w:val="00A81419"/>
  </w:style>
  <w:style w:type="character" w:customStyle="1" w:styleId="Resimyazs15Exact">
    <w:name w:val="Resim yazısı (15) Exact"/>
    <w:uiPriority w:val="99"/>
    <w:rsid w:val="00A81419"/>
    <w:rPr>
      <w:rFonts w:ascii="Arial" w:hAnsi="Arial" w:cs="Arial"/>
      <w:b/>
      <w:bCs/>
      <w:spacing w:val="6"/>
      <w:sz w:val="14"/>
      <w:szCs w:val="14"/>
      <w:u w:val="none"/>
    </w:rPr>
  </w:style>
  <w:style w:type="character" w:customStyle="1" w:styleId="Resimyazs157">
    <w:name w:val="Resim yazısı (15) + 7"/>
    <w:aliases w:val="5 pt75,0 pt boşluk bırakılıyor Exact17"/>
    <w:uiPriority w:val="99"/>
    <w:rsid w:val="00A81419"/>
    <w:rPr>
      <w:rFonts w:ascii="Arial" w:hAnsi="Arial" w:cs="Arial"/>
      <w:b/>
      <w:bCs/>
      <w:spacing w:val="3"/>
      <w:sz w:val="15"/>
      <w:szCs w:val="15"/>
      <w:u w:val="none"/>
    </w:rPr>
  </w:style>
  <w:style w:type="character" w:customStyle="1" w:styleId="Resimyazs26Exact">
    <w:name w:val="Resim yazısı (26) Exact"/>
    <w:link w:val="Resimyazs26"/>
    <w:uiPriority w:val="99"/>
    <w:locked/>
    <w:rsid w:val="00A81419"/>
    <w:rPr>
      <w:rFonts w:ascii="Arial" w:hAnsi="Arial" w:cs="Arial"/>
      <w:b/>
      <w:bCs/>
      <w:spacing w:val="5"/>
      <w:sz w:val="18"/>
      <w:szCs w:val="18"/>
      <w:shd w:val="clear" w:color="auto" w:fill="FFFFFF"/>
    </w:rPr>
  </w:style>
  <w:style w:type="character" w:customStyle="1" w:styleId="Resimyazs26Exact2">
    <w:name w:val="Resim yazısı (26) Exact2"/>
    <w:uiPriority w:val="99"/>
    <w:rsid w:val="00A81419"/>
  </w:style>
  <w:style w:type="character" w:customStyle="1" w:styleId="Resimyazs26Exact1">
    <w:name w:val="Resim yazısı (26) Exact1"/>
    <w:uiPriority w:val="99"/>
    <w:rsid w:val="00A81419"/>
  </w:style>
  <w:style w:type="character" w:customStyle="1" w:styleId="Resimyazs12talikExact">
    <w:name w:val="Resim yazısı (12) + İtalik Exact"/>
    <w:uiPriority w:val="99"/>
    <w:rsid w:val="00A81419"/>
    <w:rPr>
      <w:rFonts w:ascii="Times New Roman" w:hAnsi="Times New Roman" w:cs="Times New Roman"/>
      <w:i/>
      <w:iCs/>
      <w:sz w:val="17"/>
      <w:szCs w:val="17"/>
      <w:u w:val="single"/>
    </w:rPr>
  </w:style>
  <w:style w:type="character" w:customStyle="1" w:styleId="Resimyazs27Exact">
    <w:name w:val="Resim yazısı (27) Exact"/>
    <w:link w:val="Resimyazs27"/>
    <w:uiPriority w:val="99"/>
    <w:locked/>
    <w:rsid w:val="00A81419"/>
    <w:rPr>
      <w:rFonts w:ascii="Arial" w:hAnsi="Arial" w:cs="Arial"/>
      <w:spacing w:val="-6"/>
      <w:sz w:val="21"/>
      <w:szCs w:val="21"/>
      <w:shd w:val="clear" w:color="auto" w:fill="FFFFFF"/>
    </w:rPr>
  </w:style>
  <w:style w:type="character" w:customStyle="1" w:styleId="Resimyazs27Exact1">
    <w:name w:val="Resim yazısı (27) Exact1"/>
    <w:uiPriority w:val="99"/>
    <w:rsid w:val="00A81419"/>
  </w:style>
  <w:style w:type="character" w:customStyle="1" w:styleId="Gvdemetni25Exact">
    <w:name w:val="Gövde metni (25) Exact"/>
    <w:uiPriority w:val="99"/>
    <w:rsid w:val="00A81419"/>
    <w:rPr>
      <w:rFonts w:ascii="Arial" w:hAnsi="Arial" w:cs="Arial"/>
      <w:b/>
      <w:bCs/>
      <w:sz w:val="12"/>
      <w:szCs w:val="12"/>
      <w:u w:val="none"/>
    </w:rPr>
  </w:style>
  <w:style w:type="character" w:customStyle="1" w:styleId="Gvdemetni202">
    <w:name w:val="Gövde metni (20)"/>
    <w:uiPriority w:val="99"/>
    <w:rsid w:val="00A81419"/>
  </w:style>
  <w:style w:type="character" w:customStyle="1" w:styleId="stbilgiveyaaltbilgi41">
    <w:name w:val="Üst bilgi veya alt bilgi4"/>
    <w:uiPriority w:val="99"/>
    <w:rsid w:val="00A81419"/>
  </w:style>
  <w:style w:type="character" w:customStyle="1" w:styleId="Resimyazs158pt">
    <w:name w:val="Resim yazısı (15) + 8 pt"/>
    <w:uiPriority w:val="99"/>
    <w:rsid w:val="00A81419"/>
    <w:rPr>
      <w:rFonts w:ascii="Arial" w:hAnsi="Arial" w:cs="Arial"/>
      <w:b/>
      <w:bCs/>
      <w:sz w:val="16"/>
      <w:szCs w:val="16"/>
      <w:u w:val="none"/>
    </w:rPr>
  </w:style>
  <w:style w:type="character" w:customStyle="1" w:styleId="Gvdemetni39pt4">
    <w:name w:val="Gövde metni (3) + 9 pt4"/>
    <w:aliases w:val="İtalik51"/>
    <w:uiPriority w:val="99"/>
    <w:rsid w:val="00A81419"/>
    <w:rPr>
      <w:rFonts w:ascii="Times New Roman" w:hAnsi="Times New Roman" w:cs="Times New Roman"/>
      <w:i/>
      <w:iCs/>
      <w:sz w:val="18"/>
      <w:szCs w:val="18"/>
      <w:u w:val="none"/>
    </w:rPr>
  </w:style>
  <w:style w:type="character" w:customStyle="1" w:styleId="Gvdemetni39pt3">
    <w:name w:val="Gövde metni (3) + 9 pt3"/>
    <w:aliases w:val="İtalik50"/>
    <w:uiPriority w:val="99"/>
    <w:rsid w:val="00A81419"/>
    <w:rPr>
      <w:rFonts w:ascii="Times New Roman" w:hAnsi="Times New Roman" w:cs="Times New Roman"/>
      <w:i/>
      <w:iCs/>
      <w:noProof/>
      <w:sz w:val="18"/>
      <w:szCs w:val="18"/>
      <w:u w:val="single"/>
    </w:rPr>
  </w:style>
  <w:style w:type="character" w:customStyle="1" w:styleId="Gvdemetni58pt">
    <w:name w:val="Gövde metni (5) + 8 pt"/>
    <w:aliases w:val="Kalın40,İtalik49"/>
    <w:uiPriority w:val="99"/>
    <w:rsid w:val="00A81419"/>
    <w:rPr>
      <w:rFonts w:ascii="Times New Roman" w:hAnsi="Times New Roman" w:cs="Times New Roman"/>
      <w:b/>
      <w:bCs/>
      <w:i/>
      <w:iCs/>
      <w:noProof/>
      <w:sz w:val="16"/>
      <w:szCs w:val="16"/>
      <w:u w:val="single"/>
    </w:rPr>
  </w:style>
  <w:style w:type="character" w:customStyle="1" w:styleId="Resimyazs2181">
    <w:name w:val="Resim yazısı (21) + 81"/>
    <w:aliases w:val="5 pt74,İtalik48"/>
    <w:uiPriority w:val="99"/>
    <w:rsid w:val="00A81419"/>
    <w:rPr>
      <w:rFonts w:ascii="Times New Roman" w:hAnsi="Times New Roman" w:cs="Times New Roman"/>
      <w:i/>
      <w:iCs/>
      <w:noProof/>
      <w:sz w:val="17"/>
      <w:szCs w:val="17"/>
      <w:u w:val="single"/>
    </w:rPr>
  </w:style>
  <w:style w:type="character" w:customStyle="1" w:styleId="Resimyazs210">
    <w:name w:val="Resim yazısı (21)"/>
    <w:uiPriority w:val="99"/>
    <w:rsid w:val="00A81419"/>
    <w:rPr>
      <w:rFonts w:ascii="Times New Roman" w:hAnsi="Times New Roman" w:cs="Times New Roman"/>
      <w:sz w:val="18"/>
      <w:szCs w:val="18"/>
      <w:u w:val="single"/>
    </w:rPr>
  </w:style>
  <w:style w:type="character" w:customStyle="1" w:styleId="Balk2TimesNewRoman2">
    <w:name w:val="Başlık #2 + Times New Roman2"/>
    <w:aliases w:val="0 pt boşluk bırakılıyor27"/>
    <w:uiPriority w:val="99"/>
    <w:rsid w:val="00A81419"/>
    <w:rPr>
      <w:rFonts w:ascii="Times New Roman" w:hAnsi="Times New Roman" w:cs="Times New Roman"/>
      <w:b/>
      <w:bCs/>
      <w:spacing w:val="10"/>
      <w:sz w:val="23"/>
      <w:szCs w:val="23"/>
      <w:u w:val="none"/>
    </w:rPr>
  </w:style>
  <w:style w:type="character" w:customStyle="1" w:styleId="Gvdemetni59pt">
    <w:name w:val="Gövde metni (5) + 9 pt"/>
    <w:aliases w:val="Kalın39"/>
    <w:uiPriority w:val="99"/>
    <w:rsid w:val="00A81419"/>
    <w:rPr>
      <w:rFonts w:ascii="Times New Roman" w:hAnsi="Times New Roman" w:cs="Times New Roman"/>
      <w:b/>
      <w:bCs/>
      <w:sz w:val="18"/>
      <w:szCs w:val="18"/>
      <w:u w:val="none"/>
    </w:rPr>
  </w:style>
  <w:style w:type="character" w:customStyle="1" w:styleId="Balk2TimesNewRoman1">
    <w:name w:val="Başlık #2 + Times New Roman1"/>
    <w:aliases w:val="9 pt1"/>
    <w:uiPriority w:val="99"/>
    <w:rsid w:val="00A81419"/>
    <w:rPr>
      <w:rFonts w:ascii="Times New Roman" w:hAnsi="Times New Roman" w:cs="Times New Roman"/>
      <w:b/>
      <w:bCs/>
      <w:sz w:val="18"/>
      <w:szCs w:val="18"/>
      <w:u w:val="none"/>
    </w:rPr>
  </w:style>
  <w:style w:type="character" w:customStyle="1" w:styleId="Resimyazs28Exact">
    <w:name w:val="Resim yazısı (28) Exact"/>
    <w:uiPriority w:val="99"/>
    <w:rsid w:val="00A81419"/>
    <w:rPr>
      <w:rFonts w:ascii="Times New Roman" w:hAnsi="Times New Roman" w:cs="Times New Roman"/>
      <w:spacing w:val="2"/>
      <w:sz w:val="19"/>
      <w:szCs w:val="19"/>
      <w:u w:val="none"/>
    </w:rPr>
  </w:style>
  <w:style w:type="character" w:customStyle="1" w:styleId="Resimyazs29">
    <w:name w:val="Resim yazısı (29)_"/>
    <w:link w:val="Resimyazs291"/>
    <w:uiPriority w:val="99"/>
    <w:locked/>
    <w:rsid w:val="00A81419"/>
    <w:rPr>
      <w:rFonts w:ascii="Times New Roman" w:hAnsi="Times New Roman" w:cs="Times New Roman"/>
      <w:b/>
      <w:bCs/>
      <w:sz w:val="13"/>
      <w:szCs w:val="13"/>
      <w:shd w:val="clear" w:color="auto" w:fill="FFFFFF"/>
    </w:rPr>
  </w:style>
  <w:style w:type="character" w:customStyle="1" w:styleId="Resimyazs290">
    <w:name w:val="Resim yazısı (29)"/>
    <w:uiPriority w:val="99"/>
    <w:rsid w:val="00A81419"/>
  </w:style>
  <w:style w:type="character" w:customStyle="1" w:styleId="Resimyazs28">
    <w:name w:val="Resim yazısı (28)_"/>
    <w:link w:val="Resimyazs281"/>
    <w:uiPriority w:val="99"/>
    <w:locked/>
    <w:rsid w:val="00A81419"/>
    <w:rPr>
      <w:rFonts w:ascii="Times New Roman" w:hAnsi="Times New Roman" w:cs="Times New Roman"/>
      <w:sz w:val="21"/>
      <w:szCs w:val="21"/>
      <w:shd w:val="clear" w:color="auto" w:fill="FFFFFF"/>
    </w:rPr>
  </w:style>
  <w:style w:type="character" w:customStyle="1" w:styleId="Resimyazs288pt">
    <w:name w:val="Resim yazısı (28) + 8 pt"/>
    <w:aliases w:val="Kalın38,İtalik47"/>
    <w:uiPriority w:val="99"/>
    <w:rsid w:val="00A81419"/>
    <w:rPr>
      <w:rFonts w:ascii="Times New Roman" w:hAnsi="Times New Roman" w:cs="Times New Roman"/>
      <w:b/>
      <w:bCs/>
      <w:i/>
      <w:iCs/>
      <w:sz w:val="16"/>
      <w:szCs w:val="16"/>
      <w:u w:val="none"/>
    </w:rPr>
  </w:style>
  <w:style w:type="character" w:customStyle="1" w:styleId="Resimyazs288pt1">
    <w:name w:val="Resim yazısı (28) + 8 pt1"/>
    <w:aliases w:val="Kalın37,İtalik46"/>
    <w:uiPriority w:val="99"/>
    <w:rsid w:val="00A81419"/>
    <w:rPr>
      <w:rFonts w:ascii="Times New Roman" w:hAnsi="Times New Roman" w:cs="Times New Roman"/>
      <w:b/>
      <w:bCs/>
      <w:i/>
      <w:iCs/>
      <w:noProof/>
      <w:sz w:val="16"/>
      <w:szCs w:val="16"/>
      <w:u w:val="single"/>
    </w:rPr>
  </w:style>
  <w:style w:type="character" w:customStyle="1" w:styleId="Resimyazs280">
    <w:name w:val="Resim yazısı (28)"/>
    <w:uiPriority w:val="99"/>
    <w:rsid w:val="00A81419"/>
    <w:rPr>
      <w:rFonts w:ascii="Times New Roman" w:hAnsi="Times New Roman" w:cs="Times New Roman"/>
      <w:noProof/>
      <w:sz w:val="21"/>
      <w:szCs w:val="21"/>
      <w:u w:val="single"/>
    </w:rPr>
  </w:style>
  <w:style w:type="character" w:customStyle="1" w:styleId="Resimyazs283">
    <w:name w:val="Resim yazısı (28)3"/>
    <w:uiPriority w:val="99"/>
    <w:rsid w:val="00A81419"/>
    <w:rPr>
      <w:rFonts w:ascii="Times New Roman" w:hAnsi="Times New Roman" w:cs="Times New Roman"/>
      <w:sz w:val="21"/>
      <w:szCs w:val="21"/>
      <w:u w:val="single"/>
    </w:rPr>
  </w:style>
  <w:style w:type="character" w:customStyle="1" w:styleId="Resimyazs282">
    <w:name w:val="Resim yazısı (28)2"/>
    <w:uiPriority w:val="99"/>
    <w:rsid w:val="00A81419"/>
    <w:rPr>
      <w:rFonts w:ascii="Times New Roman" w:hAnsi="Times New Roman" w:cs="Times New Roman"/>
      <w:sz w:val="21"/>
      <w:szCs w:val="21"/>
      <w:u w:val="single"/>
    </w:rPr>
  </w:style>
  <w:style w:type="character" w:customStyle="1" w:styleId="stbilgiveyaaltbilgi210pt2">
    <w:name w:val="Üst bilgi veya alt bilgi (2) + 10 pt2"/>
    <w:uiPriority w:val="99"/>
    <w:rsid w:val="00A81419"/>
    <w:rPr>
      <w:rFonts w:ascii="Times New Roman" w:hAnsi="Times New Roman" w:cs="Times New Roman"/>
      <w:sz w:val="20"/>
      <w:szCs w:val="20"/>
      <w:u w:val="none"/>
    </w:rPr>
  </w:style>
  <w:style w:type="character" w:customStyle="1" w:styleId="stbilgiveyaaltbilgi210pt1">
    <w:name w:val="Üst bilgi veya alt bilgi (2) + 10 pt1"/>
    <w:uiPriority w:val="99"/>
    <w:rsid w:val="00A81419"/>
    <w:rPr>
      <w:rFonts w:ascii="Times New Roman" w:hAnsi="Times New Roman" w:cs="Times New Roman"/>
      <w:sz w:val="20"/>
      <w:szCs w:val="20"/>
      <w:u w:val="single"/>
    </w:rPr>
  </w:style>
  <w:style w:type="character" w:customStyle="1" w:styleId="Resimyazs9pt3">
    <w:name w:val="Resim yazısı + 9 pt3"/>
    <w:aliases w:val="İtalik45,-1 pt boşluk bırakılıyor"/>
    <w:uiPriority w:val="99"/>
    <w:rsid w:val="00A81419"/>
    <w:rPr>
      <w:rFonts w:ascii="Times New Roman" w:hAnsi="Times New Roman" w:cs="Times New Roman"/>
      <w:i/>
      <w:iCs/>
      <w:spacing w:val="-20"/>
      <w:sz w:val="18"/>
      <w:szCs w:val="18"/>
      <w:u w:val="none"/>
    </w:rPr>
  </w:style>
  <w:style w:type="character" w:customStyle="1" w:styleId="Resimyazs9pt2">
    <w:name w:val="Resim yazısı + 9 pt2"/>
    <w:aliases w:val="Kalın36"/>
    <w:uiPriority w:val="99"/>
    <w:rsid w:val="00A81419"/>
    <w:rPr>
      <w:rFonts w:ascii="Times New Roman" w:hAnsi="Times New Roman" w:cs="Times New Roman"/>
      <w:b/>
      <w:bCs/>
      <w:sz w:val="18"/>
      <w:szCs w:val="18"/>
      <w:u w:val="none"/>
    </w:rPr>
  </w:style>
  <w:style w:type="character" w:customStyle="1" w:styleId="Gvdemetni27">
    <w:name w:val="Gövde metni (27)_"/>
    <w:link w:val="Gvdemetni271"/>
    <w:uiPriority w:val="99"/>
    <w:locked/>
    <w:rsid w:val="00A81419"/>
    <w:rPr>
      <w:rFonts w:ascii="Times New Roman" w:hAnsi="Times New Roman" w:cs="Times New Roman"/>
      <w:sz w:val="18"/>
      <w:szCs w:val="18"/>
      <w:shd w:val="clear" w:color="auto" w:fill="FFFFFF"/>
    </w:rPr>
  </w:style>
  <w:style w:type="character" w:customStyle="1" w:styleId="Gvdemetni27Kaln">
    <w:name w:val="Gövde metni (27) + Kalın"/>
    <w:aliases w:val="İtalik44"/>
    <w:uiPriority w:val="99"/>
    <w:rsid w:val="00A81419"/>
    <w:rPr>
      <w:rFonts w:ascii="Times New Roman" w:hAnsi="Times New Roman" w:cs="Times New Roman"/>
      <w:b/>
      <w:bCs/>
      <w:i/>
      <w:iCs/>
      <w:sz w:val="18"/>
      <w:szCs w:val="18"/>
      <w:u w:val="none"/>
    </w:rPr>
  </w:style>
  <w:style w:type="character" w:customStyle="1" w:styleId="Gvdemetni270">
    <w:name w:val="Gövde metni (27)"/>
    <w:uiPriority w:val="99"/>
    <w:rsid w:val="00A81419"/>
  </w:style>
  <w:style w:type="character" w:customStyle="1" w:styleId="Gvdemetni9pt4">
    <w:name w:val="Gövde metni + 9 pt4"/>
    <w:aliases w:val="İtalik43"/>
    <w:uiPriority w:val="99"/>
    <w:rsid w:val="00A81419"/>
    <w:rPr>
      <w:rFonts w:ascii="Times New Roman" w:hAnsi="Times New Roman" w:cs="Times New Roman"/>
      <w:i/>
      <w:iCs/>
      <w:sz w:val="18"/>
      <w:szCs w:val="18"/>
      <w:u w:val="none"/>
    </w:rPr>
  </w:style>
  <w:style w:type="character" w:customStyle="1" w:styleId="Gvdemetni28Exact">
    <w:name w:val="Gövde metni (28) Exact"/>
    <w:uiPriority w:val="99"/>
    <w:rsid w:val="00A81419"/>
    <w:rPr>
      <w:rFonts w:ascii="Times New Roman" w:hAnsi="Times New Roman" w:cs="Times New Roman"/>
      <w:b/>
      <w:bCs/>
      <w:spacing w:val="-2"/>
      <w:sz w:val="14"/>
      <w:szCs w:val="14"/>
      <w:u w:val="none"/>
    </w:rPr>
  </w:style>
  <w:style w:type="character" w:customStyle="1" w:styleId="Gvdemetni28Exact1">
    <w:name w:val="Gövde metni (28) Exact1"/>
    <w:uiPriority w:val="99"/>
    <w:rsid w:val="00A81419"/>
    <w:rPr>
      <w:rFonts w:ascii="Times New Roman" w:hAnsi="Times New Roman" w:cs="Times New Roman"/>
      <w:b/>
      <w:bCs/>
      <w:color w:val="000000"/>
      <w:spacing w:val="-2"/>
      <w:w w:val="100"/>
      <w:position w:val="0"/>
      <w:sz w:val="14"/>
      <w:szCs w:val="14"/>
      <w:u w:val="single"/>
    </w:rPr>
  </w:style>
  <w:style w:type="character" w:customStyle="1" w:styleId="Gvdemetni8Exact">
    <w:name w:val="Gövde metni (8) Exact"/>
    <w:uiPriority w:val="99"/>
    <w:rsid w:val="00A81419"/>
    <w:rPr>
      <w:rFonts w:ascii="Times New Roman" w:hAnsi="Times New Roman" w:cs="Times New Roman"/>
      <w:sz w:val="11"/>
      <w:szCs w:val="11"/>
      <w:u w:val="none"/>
    </w:rPr>
  </w:style>
  <w:style w:type="character" w:customStyle="1" w:styleId="Gvdemetni80ptbolukbraklyorExact">
    <w:name w:val="Gövde metni (8) + 0 pt boşluk bırakılıyor Exact"/>
    <w:uiPriority w:val="99"/>
    <w:rsid w:val="00A81419"/>
    <w:rPr>
      <w:rFonts w:ascii="Times New Roman" w:hAnsi="Times New Roman" w:cs="Times New Roman"/>
      <w:spacing w:val="3"/>
      <w:sz w:val="11"/>
      <w:szCs w:val="11"/>
      <w:u w:val="none"/>
    </w:rPr>
  </w:style>
  <w:style w:type="character" w:customStyle="1" w:styleId="Gvdemetni29Exact">
    <w:name w:val="Gövde metni (29) Exact"/>
    <w:link w:val="Gvdemetni29"/>
    <w:uiPriority w:val="99"/>
    <w:locked/>
    <w:rsid w:val="00A81419"/>
    <w:rPr>
      <w:rFonts w:ascii="Times New Roman" w:hAnsi="Times New Roman" w:cs="Times New Roman"/>
      <w:spacing w:val="1"/>
      <w:sz w:val="13"/>
      <w:szCs w:val="13"/>
      <w:shd w:val="clear" w:color="auto" w:fill="FFFFFF"/>
    </w:rPr>
  </w:style>
  <w:style w:type="character" w:customStyle="1" w:styleId="Gvdemetni7pt3">
    <w:name w:val="Gövde metni + 7 pt3"/>
    <w:aliases w:val="Kalın35,0 pt boşluk bırakılıyor26"/>
    <w:uiPriority w:val="99"/>
    <w:rsid w:val="00A81419"/>
    <w:rPr>
      <w:rFonts w:ascii="Times New Roman" w:hAnsi="Times New Roman" w:cs="Times New Roman"/>
      <w:b/>
      <w:bCs/>
      <w:spacing w:val="-2"/>
      <w:sz w:val="14"/>
      <w:szCs w:val="14"/>
      <w:u w:val="none"/>
    </w:rPr>
  </w:style>
  <w:style w:type="character" w:customStyle="1" w:styleId="Gvdemetni710">
    <w:name w:val="Gövde metni + 71"/>
    <w:aliases w:val="5 pt73,Kalın34,0 pt boşluk bırakılıyor25"/>
    <w:uiPriority w:val="99"/>
    <w:rsid w:val="00A81419"/>
    <w:rPr>
      <w:rFonts w:ascii="Times New Roman" w:hAnsi="Times New Roman" w:cs="Times New Roman"/>
      <w:b/>
      <w:bCs/>
      <w:spacing w:val="1"/>
      <w:sz w:val="15"/>
      <w:szCs w:val="15"/>
      <w:u w:val="none"/>
    </w:rPr>
  </w:style>
  <w:style w:type="character" w:customStyle="1" w:styleId="Gvdemetni29Exact1">
    <w:name w:val="Gövde metni (29) Exact1"/>
    <w:uiPriority w:val="99"/>
    <w:rsid w:val="00A81419"/>
    <w:rPr>
      <w:rFonts w:ascii="Times New Roman" w:hAnsi="Times New Roman" w:cs="Times New Roman"/>
      <w:spacing w:val="1"/>
      <w:sz w:val="13"/>
      <w:szCs w:val="13"/>
      <w:u w:val="single"/>
    </w:rPr>
  </w:style>
  <w:style w:type="character" w:customStyle="1" w:styleId="Gvdemetni26Exact">
    <w:name w:val="Gövde metni (26) Exact"/>
    <w:link w:val="Gvdemetni26"/>
    <w:uiPriority w:val="99"/>
    <w:locked/>
    <w:rsid w:val="00A81419"/>
    <w:rPr>
      <w:rFonts w:ascii="Times New Roman" w:hAnsi="Times New Roman" w:cs="Times New Roman"/>
      <w:spacing w:val="-6"/>
      <w:sz w:val="17"/>
      <w:szCs w:val="17"/>
      <w:shd w:val="clear" w:color="auto" w:fill="FFFFFF"/>
    </w:rPr>
  </w:style>
  <w:style w:type="character" w:customStyle="1" w:styleId="Gvdemetni267">
    <w:name w:val="Gövde metni (26) + 7"/>
    <w:aliases w:val="5 pt72,Kalın33,0 pt boşluk bırakılıyor Exact16"/>
    <w:uiPriority w:val="99"/>
    <w:rsid w:val="00A81419"/>
    <w:rPr>
      <w:rFonts w:ascii="Times New Roman" w:hAnsi="Times New Roman" w:cs="Times New Roman"/>
      <w:b/>
      <w:bCs/>
      <w:spacing w:val="1"/>
      <w:sz w:val="15"/>
      <w:szCs w:val="15"/>
      <w:u w:val="none"/>
    </w:rPr>
  </w:style>
  <w:style w:type="character" w:customStyle="1" w:styleId="Gvdemetni1184">
    <w:name w:val="Gövde metni (11) + 84"/>
    <w:aliases w:val="5 pt71,İtalik42"/>
    <w:uiPriority w:val="99"/>
    <w:rsid w:val="00A81419"/>
    <w:rPr>
      <w:rFonts w:ascii="Times New Roman" w:hAnsi="Times New Roman" w:cs="Times New Roman"/>
      <w:i/>
      <w:iCs/>
      <w:sz w:val="17"/>
      <w:szCs w:val="17"/>
      <w:u w:val="none"/>
    </w:rPr>
  </w:style>
  <w:style w:type="character" w:customStyle="1" w:styleId="Gvdemetni300">
    <w:name w:val="Gövde metni (30)_"/>
    <w:link w:val="Gvdemetni301"/>
    <w:uiPriority w:val="99"/>
    <w:locked/>
    <w:rsid w:val="00A81419"/>
    <w:rPr>
      <w:rFonts w:ascii="Arial" w:hAnsi="Arial" w:cs="Arial"/>
      <w:b/>
      <w:bCs/>
      <w:sz w:val="23"/>
      <w:szCs w:val="23"/>
      <w:shd w:val="clear" w:color="auto" w:fill="FFFFFF"/>
    </w:rPr>
  </w:style>
  <w:style w:type="character" w:customStyle="1" w:styleId="Gvdemetni28">
    <w:name w:val="Gövde metni (28)_"/>
    <w:link w:val="Gvdemetni280"/>
    <w:uiPriority w:val="99"/>
    <w:locked/>
    <w:rsid w:val="00A81419"/>
    <w:rPr>
      <w:rFonts w:ascii="Times New Roman" w:hAnsi="Times New Roman" w:cs="Times New Roman"/>
      <w:b/>
      <w:bCs/>
      <w:sz w:val="14"/>
      <w:szCs w:val="14"/>
      <w:shd w:val="clear" w:color="auto" w:fill="FFFFFF"/>
    </w:rPr>
  </w:style>
  <w:style w:type="character" w:customStyle="1" w:styleId="Gvdemetni28MicrosoftSansSerif">
    <w:name w:val="Gövde metni (28) + Microsoft Sans Serif"/>
    <w:aliases w:val="61,5 pt70,Kalın Değil16"/>
    <w:uiPriority w:val="99"/>
    <w:rsid w:val="00A81419"/>
    <w:rPr>
      <w:rFonts w:ascii="Microsoft Sans Serif" w:hAnsi="Microsoft Sans Serif" w:cs="Microsoft Sans Serif"/>
      <w:b w:val="0"/>
      <w:bCs w:val="0"/>
      <w:noProof/>
      <w:sz w:val="13"/>
      <w:szCs w:val="13"/>
      <w:u w:val="none"/>
    </w:rPr>
  </w:style>
  <w:style w:type="character" w:customStyle="1" w:styleId="Gvdemetni311">
    <w:name w:val="Gövde metni (31)_"/>
    <w:link w:val="Gvdemetni312"/>
    <w:uiPriority w:val="99"/>
    <w:locked/>
    <w:rsid w:val="00A81419"/>
    <w:rPr>
      <w:rFonts w:ascii="Times New Roman" w:hAnsi="Times New Roman" w:cs="Times New Roman"/>
      <w:b/>
      <w:bCs/>
      <w:shd w:val="clear" w:color="auto" w:fill="FFFFFF"/>
    </w:rPr>
  </w:style>
  <w:style w:type="character" w:customStyle="1" w:styleId="Gvdemetni3110pt">
    <w:name w:val="Gövde metni (31) + 10 pt"/>
    <w:uiPriority w:val="99"/>
    <w:rsid w:val="00A81419"/>
    <w:rPr>
      <w:rFonts w:ascii="Times New Roman" w:hAnsi="Times New Roman" w:cs="Times New Roman"/>
      <w:b/>
      <w:bCs/>
      <w:sz w:val="20"/>
      <w:szCs w:val="20"/>
      <w:u w:val="none"/>
    </w:rPr>
  </w:style>
  <w:style w:type="character" w:customStyle="1" w:styleId="Gvdemetni28MicrosoftSansSerif1">
    <w:name w:val="Gövde metni (28) + Microsoft Sans Serif1"/>
    <w:aliases w:val="6 pt,Kalın Değil15,0 pt boşluk bırakılıyor Exact15"/>
    <w:uiPriority w:val="99"/>
    <w:rsid w:val="00A81419"/>
    <w:rPr>
      <w:rFonts w:ascii="Microsoft Sans Serif" w:hAnsi="Microsoft Sans Serif" w:cs="Microsoft Sans Serif"/>
      <w:b w:val="0"/>
      <w:bCs w:val="0"/>
      <w:noProof/>
      <w:sz w:val="12"/>
      <w:szCs w:val="12"/>
      <w:u w:val="none"/>
    </w:rPr>
  </w:style>
  <w:style w:type="character" w:customStyle="1" w:styleId="Gvdemetni32Exact">
    <w:name w:val="Gövde metni (32) Exact"/>
    <w:link w:val="Gvdemetni320"/>
    <w:uiPriority w:val="99"/>
    <w:locked/>
    <w:rsid w:val="00A81419"/>
    <w:rPr>
      <w:rFonts w:ascii="Times New Roman" w:hAnsi="Times New Roman" w:cs="Times New Roman"/>
      <w:spacing w:val="-4"/>
      <w:sz w:val="20"/>
      <w:szCs w:val="20"/>
      <w:shd w:val="clear" w:color="auto" w:fill="FFFFFF"/>
    </w:rPr>
  </w:style>
  <w:style w:type="character" w:customStyle="1" w:styleId="Gvdemetni8pt3">
    <w:name w:val="Gövde metni + 8 pt3"/>
    <w:uiPriority w:val="99"/>
    <w:rsid w:val="00A81419"/>
    <w:rPr>
      <w:rFonts w:ascii="Times New Roman" w:hAnsi="Times New Roman" w:cs="Times New Roman"/>
      <w:sz w:val="16"/>
      <w:szCs w:val="16"/>
      <w:u w:val="none"/>
    </w:rPr>
  </w:style>
  <w:style w:type="character" w:customStyle="1" w:styleId="Gvdemetni8pt2">
    <w:name w:val="Gövde metni + 8 pt2"/>
    <w:aliases w:val="Küçük Büyük Harf7"/>
    <w:uiPriority w:val="99"/>
    <w:rsid w:val="00A81419"/>
    <w:rPr>
      <w:rFonts w:ascii="Times New Roman" w:hAnsi="Times New Roman" w:cs="Times New Roman"/>
      <w:smallCaps/>
      <w:sz w:val="16"/>
      <w:szCs w:val="16"/>
      <w:u w:val="none"/>
    </w:rPr>
  </w:style>
  <w:style w:type="character" w:customStyle="1" w:styleId="Gvdemetni5pt5">
    <w:name w:val="Gövde metni + 5 pt5"/>
    <w:uiPriority w:val="99"/>
    <w:rsid w:val="00A81419"/>
    <w:rPr>
      <w:rFonts w:ascii="Times New Roman" w:hAnsi="Times New Roman" w:cs="Times New Roman"/>
      <w:noProof/>
      <w:sz w:val="10"/>
      <w:szCs w:val="10"/>
      <w:u w:val="none"/>
    </w:rPr>
  </w:style>
  <w:style w:type="character" w:customStyle="1" w:styleId="Gvdemetni8pt1">
    <w:name w:val="Gövde metni + 8 pt1"/>
    <w:aliases w:val="İtalik41"/>
    <w:uiPriority w:val="99"/>
    <w:rsid w:val="00A81419"/>
    <w:rPr>
      <w:rFonts w:ascii="Times New Roman" w:hAnsi="Times New Roman" w:cs="Times New Roman"/>
      <w:i/>
      <w:iCs/>
      <w:sz w:val="16"/>
      <w:szCs w:val="16"/>
      <w:u w:val="none"/>
    </w:rPr>
  </w:style>
  <w:style w:type="character" w:customStyle="1" w:styleId="Gvdemetni7100">
    <w:name w:val="Gövde metni (7) + 10"/>
    <w:aliases w:val="5 pt69,Kalın Değil14"/>
    <w:uiPriority w:val="99"/>
    <w:rsid w:val="00A81419"/>
    <w:rPr>
      <w:rFonts w:ascii="Times New Roman" w:hAnsi="Times New Roman" w:cs="Times New Roman"/>
      <w:b w:val="0"/>
      <w:bCs w:val="0"/>
      <w:sz w:val="21"/>
      <w:szCs w:val="21"/>
      <w:u w:val="none"/>
    </w:rPr>
  </w:style>
  <w:style w:type="character" w:customStyle="1" w:styleId="Gvdemetni10pt11">
    <w:name w:val="Gövde metni + 10 pt11"/>
    <w:uiPriority w:val="99"/>
    <w:rsid w:val="00A81419"/>
    <w:rPr>
      <w:rFonts w:ascii="Times New Roman" w:hAnsi="Times New Roman" w:cs="Times New Roman"/>
      <w:sz w:val="20"/>
      <w:szCs w:val="20"/>
      <w:u w:val="none"/>
    </w:rPr>
  </w:style>
  <w:style w:type="character" w:customStyle="1" w:styleId="GvdemetniCorbel">
    <w:name w:val="Gövde metni + Corbel"/>
    <w:aliases w:val="7 pt3,0 pt boşluk bırakılıyor24"/>
    <w:uiPriority w:val="99"/>
    <w:rsid w:val="00A81419"/>
    <w:rPr>
      <w:rFonts w:ascii="Corbel" w:hAnsi="Corbel" w:cs="Corbel"/>
      <w:spacing w:val="10"/>
      <w:sz w:val="14"/>
      <w:szCs w:val="14"/>
      <w:u w:val="none"/>
    </w:rPr>
  </w:style>
  <w:style w:type="character" w:customStyle="1" w:styleId="Gvdemetni86">
    <w:name w:val="Gövde metni + 86"/>
    <w:aliases w:val="5 pt68,İtalik40"/>
    <w:uiPriority w:val="99"/>
    <w:rsid w:val="00A81419"/>
    <w:rPr>
      <w:rFonts w:ascii="Times New Roman" w:hAnsi="Times New Roman" w:cs="Times New Roman"/>
      <w:i/>
      <w:iCs/>
      <w:sz w:val="17"/>
      <w:szCs w:val="17"/>
      <w:u w:val="none"/>
    </w:rPr>
  </w:style>
  <w:style w:type="character" w:customStyle="1" w:styleId="Balk4210pt">
    <w:name w:val="Başlık #4 (2) + 10 pt"/>
    <w:uiPriority w:val="99"/>
    <w:rsid w:val="00A81419"/>
    <w:rPr>
      <w:rFonts w:ascii="Times New Roman" w:hAnsi="Times New Roman" w:cs="Times New Roman"/>
      <w:b/>
      <w:bCs/>
      <w:sz w:val="20"/>
      <w:szCs w:val="20"/>
      <w:u w:val="none"/>
    </w:rPr>
  </w:style>
  <w:style w:type="character" w:customStyle="1" w:styleId="Gvdemetni330">
    <w:name w:val="Gövde metni (33)_"/>
    <w:link w:val="Gvdemetni331"/>
    <w:uiPriority w:val="99"/>
    <w:locked/>
    <w:rsid w:val="00A81419"/>
    <w:rPr>
      <w:rFonts w:ascii="Times New Roman" w:hAnsi="Times New Roman" w:cs="Times New Roman"/>
      <w:b/>
      <w:bCs/>
      <w:sz w:val="18"/>
      <w:szCs w:val="18"/>
      <w:shd w:val="clear" w:color="auto" w:fill="FFFFFF"/>
    </w:rPr>
  </w:style>
  <w:style w:type="character" w:customStyle="1" w:styleId="Gvdemetni332">
    <w:name w:val="Gövde metni (33)"/>
    <w:uiPriority w:val="99"/>
    <w:rsid w:val="00A81419"/>
  </w:style>
  <w:style w:type="character" w:customStyle="1" w:styleId="Gvdemetni3320">
    <w:name w:val="Gövde metni (33)2"/>
    <w:uiPriority w:val="99"/>
    <w:rsid w:val="00A81419"/>
  </w:style>
  <w:style w:type="character" w:customStyle="1" w:styleId="GvdemetniImpact">
    <w:name w:val="Gövde metni + Impact"/>
    <w:aliases w:val="11 pt1"/>
    <w:uiPriority w:val="99"/>
    <w:rsid w:val="00A81419"/>
    <w:rPr>
      <w:rFonts w:ascii="Impact" w:hAnsi="Impact" w:cs="Impact"/>
      <w:noProof/>
      <w:sz w:val="22"/>
      <w:szCs w:val="22"/>
      <w:u w:val="none"/>
    </w:rPr>
  </w:style>
  <w:style w:type="character" w:customStyle="1" w:styleId="Resimyazs300">
    <w:name w:val="Resim yazısı (30)_"/>
    <w:link w:val="Resimyazs301"/>
    <w:uiPriority w:val="99"/>
    <w:locked/>
    <w:rsid w:val="00A81419"/>
    <w:rPr>
      <w:rFonts w:ascii="Arial" w:hAnsi="Arial" w:cs="Arial"/>
      <w:b/>
      <w:bCs/>
      <w:spacing w:val="-10"/>
      <w:sz w:val="18"/>
      <w:szCs w:val="18"/>
      <w:shd w:val="clear" w:color="auto" w:fill="FFFFFF"/>
    </w:rPr>
  </w:style>
  <w:style w:type="character" w:customStyle="1" w:styleId="Resimyazs302">
    <w:name w:val="Resim yazısı (30)"/>
    <w:uiPriority w:val="99"/>
    <w:rsid w:val="00A81419"/>
  </w:style>
  <w:style w:type="character" w:customStyle="1" w:styleId="Resimyazs308pt">
    <w:name w:val="Resim yazısı (30) + 8 pt"/>
    <w:aliases w:val="0 pt boşluk bırakılıyor23"/>
    <w:uiPriority w:val="99"/>
    <w:rsid w:val="00A81419"/>
    <w:rPr>
      <w:rFonts w:ascii="Arial" w:hAnsi="Arial" w:cs="Arial"/>
      <w:b/>
      <w:bCs/>
      <w:spacing w:val="0"/>
      <w:sz w:val="16"/>
      <w:szCs w:val="16"/>
      <w:u w:val="none"/>
    </w:rPr>
  </w:style>
  <w:style w:type="character" w:customStyle="1" w:styleId="Resimyazs308pt1">
    <w:name w:val="Resim yazısı (30) + 8 pt1"/>
    <w:aliases w:val="0 pt boşluk bırakılıyor22"/>
    <w:uiPriority w:val="99"/>
    <w:rsid w:val="00A81419"/>
    <w:rPr>
      <w:rFonts w:ascii="Arial" w:hAnsi="Arial" w:cs="Arial"/>
      <w:b/>
      <w:bCs/>
      <w:spacing w:val="0"/>
      <w:sz w:val="16"/>
      <w:szCs w:val="16"/>
      <w:u w:val="none"/>
    </w:rPr>
  </w:style>
  <w:style w:type="character" w:customStyle="1" w:styleId="Resimyazs3020">
    <w:name w:val="Resim yazısı (30)2"/>
    <w:uiPriority w:val="99"/>
    <w:rsid w:val="00A81419"/>
  </w:style>
  <w:style w:type="character" w:customStyle="1" w:styleId="GvdemetniCorbel1">
    <w:name w:val="Gövde metni + Corbel1"/>
    <w:aliases w:val="7 pt2"/>
    <w:uiPriority w:val="99"/>
    <w:rsid w:val="00A81419"/>
    <w:rPr>
      <w:rFonts w:ascii="Corbel" w:hAnsi="Corbel" w:cs="Corbel"/>
      <w:sz w:val="14"/>
      <w:szCs w:val="14"/>
      <w:u w:val="none"/>
    </w:rPr>
  </w:style>
  <w:style w:type="character" w:customStyle="1" w:styleId="Gvdemetnitalik6">
    <w:name w:val="Gövde metni + İtalik6"/>
    <w:uiPriority w:val="99"/>
    <w:rsid w:val="00A81419"/>
    <w:rPr>
      <w:rFonts w:ascii="Times New Roman" w:hAnsi="Times New Roman" w:cs="Times New Roman"/>
      <w:i/>
      <w:iCs/>
      <w:sz w:val="21"/>
      <w:szCs w:val="21"/>
      <w:u w:val="none"/>
    </w:rPr>
  </w:style>
  <w:style w:type="character" w:customStyle="1" w:styleId="Gvdemetni85">
    <w:name w:val="Gövde metni + 85"/>
    <w:aliases w:val="5 pt67,İtalik39"/>
    <w:uiPriority w:val="99"/>
    <w:rsid w:val="00A81419"/>
    <w:rPr>
      <w:rFonts w:ascii="Times New Roman" w:hAnsi="Times New Roman" w:cs="Times New Roman"/>
      <w:i/>
      <w:iCs/>
      <w:sz w:val="17"/>
      <w:szCs w:val="17"/>
      <w:u w:val="none"/>
    </w:rPr>
  </w:style>
  <w:style w:type="character" w:customStyle="1" w:styleId="Resimyazs288">
    <w:name w:val="Resim yazısı (28) + 8"/>
    <w:aliases w:val="5 pt66,İtalik38"/>
    <w:uiPriority w:val="99"/>
    <w:rsid w:val="00A81419"/>
    <w:rPr>
      <w:rFonts w:ascii="Times New Roman" w:hAnsi="Times New Roman" w:cs="Times New Roman"/>
      <w:i/>
      <w:iCs/>
      <w:sz w:val="17"/>
      <w:szCs w:val="17"/>
      <w:u w:val="none"/>
    </w:rPr>
  </w:style>
  <w:style w:type="character" w:customStyle="1" w:styleId="Resimyazs2810pt">
    <w:name w:val="Resim yazısı (28) + 10 pt"/>
    <w:uiPriority w:val="99"/>
    <w:rsid w:val="00A81419"/>
    <w:rPr>
      <w:rFonts w:ascii="Times New Roman" w:hAnsi="Times New Roman" w:cs="Times New Roman"/>
      <w:noProof/>
      <w:sz w:val="20"/>
      <w:szCs w:val="20"/>
      <w:u w:val="none"/>
    </w:rPr>
  </w:style>
  <w:style w:type="character" w:customStyle="1" w:styleId="Resimyazs2810pt4">
    <w:name w:val="Resim yazısı (28) + 10 pt4"/>
    <w:uiPriority w:val="99"/>
    <w:rsid w:val="00A81419"/>
    <w:rPr>
      <w:rFonts w:ascii="Times New Roman" w:hAnsi="Times New Roman" w:cs="Times New Roman"/>
      <w:sz w:val="20"/>
      <w:szCs w:val="20"/>
      <w:u w:val="single"/>
    </w:rPr>
  </w:style>
  <w:style w:type="character" w:customStyle="1" w:styleId="Gvdemetni7pt2">
    <w:name w:val="Gövde metni + 7 pt2"/>
    <w:uiPriority w:val="99"/>
    <w:rsid w:val="00A81419"/>
    <w:rPr>
      <w:rFonts w:ascii="Times New Roman" w:hAnsi="Times New Roman" w:cs="Times New Roman"/>
      <w:noProof/>
      <w:sz w:val="14"/>
      <w:szCs w:val="14"/>
      <w:u w:val="none"/>
    </w:rPr>
  </w:style>
  <w:style w:type="character" w:customStyle="1" w:styleId="Gvdemetnitalik5">
    <w:name w:val="Gövde metni + İtalik5"/>
    <w:uiPriority w:val="99"/>
    <w:rsid w:val="00A81419"/>
    <w:rPr>
      <w:rFonts w:ascii="Times New Roman" w:hAnsi="Times New Roman" w:cs="Times New Roman"/>
      <w:i/>
      <w:iCs/>
      <w:sz w:val="21"/>
      <w:szCs w:val="21"/>
      <w:u w:val="none"/>
    </w:rPr>
  </w:style>
  <w:style w:type="character" w:customStyle="1" w:styleId="Resimyazs31Exact">
    <w:name w:val="Resim yazısı (31) Exact"/>
    <w:link w:val="Resimyazs310"/>
    <w:uiPriority w:val="99"/>
    <w:locked/>
    <w:rsid w:val="00A81419"/>
    <w:rPr>
      <w:rFonts w:ascii="Times New Roman" w:hAnsi="Times New Roman" w:cs="Times New Roman"/>
      <w:b/>
      <w:bCs/>
      <w:spacing w:val="-4"/>
      <w:sz w:val="18"/>
      <w:szCs w:val="18"/>
      <w:shd w:val="clear" w:color="auto" w:fill="FFFFFF"/>
    </w:rPr>
  </w:style>
  <w:style w:type="character" w:customStyle="1" w:styleId="Resimyazs31Exact1">
    <w:name w:val="Resim yazısı (31) Exact1"/>
    <w:uiPriority w:val="99"/>
    <w:rsid w:val="00A81419"/>
  </w:style>
  <w:style w:type="character" w:customStyle="1" w:styleId="Resimyazs8pt">
    <w:name w:val="Resim yazısı + 8 pt"/>
    <w:aliases w:val="İtalik37,0 pt boşluk bırakılıyor Exact14"/>
    <w:uiPriority w:val="99"/>
    <w:rsid w:val="00A81419"/>
    <w:rPr>
      <w:rFonts w:ascii="Times New Roman" w:hAnsi="Times New Roman" w:cs="Times New Roman"/>
      <w:i/>
      <w:iCs/>
      <w:spacing w:val="-16"/>
      <w:sz w:val="16"/>
      <w:szCs w:val="16"/>
      <w:u w:val="none"/>
    </w:rPr>
  </w:style>
  <w:style w:type="character" w:customStyle="1" w:styleId="Resimyazs8pt3">
    <w:name w:val="Resim yazısı + 8 pt3"/>
    <w:aliases w:val="İtalik36,0 pt boşluk bırakılıyor Exact13"/>
    <w:uiPriority w:val="99"/>
    <w:rsid w:val="00A81419"/>
    <w:rPr>
      <w:rFonts w:ascii="Times New Roman" w:hAnsi="Times New Roman" w:cs="Times New Roman"/>
      <w:i/>
      <w:iCs/>
      <w:noProof/>
      <w:spacing w:val="-16"/>
      <w:sz w:val="16"/>
      <w:szCs w:val="16"/>
      <w:u w:val="single"/>
    </w:rPr>
  </w:style>
  <w:style w:type="character" w:customStyle="1" w:styleId="Resimyazs8pt2">
    <w:name w:val="Resim yazısı + 8 pt2"/>
    <w:aliases w:val="Kalın32,0 pt boşluk bırakılıyor Exact12"/>
    <w:uiPriority w:val="99"/>
    <w:rsid w:val="00A81419"/>
    <w:rPr>
      <w:rFonts w:ascii="Times New Roman" w:hAnsi="Times New Roman" w:cs="Times New Roman"/>
      <w:b/>
      <w:bCs/>
      <w:sz w:val="16"/>
      <w:szCs w:val="16"/>
      <w:u w:val="single"/>
    </w:rPr>
  </w:style>
  <w:style w:type="character" w:customStyle="1" w:styleId="Resimyazs8pt1">
    <w:name w:val="Resim yazısı + 8 pt1"/>
    <w:aliases w:val="Kalın31,0 pt boşluk bırakılıyor Exact11"/>
    <w:uiPriority w:val="99"/>
    <w:rsid w:val="00A81419"/>
    <w:rPr>
      <w:rFonts w:ascii="Times New Roman" w:hAnsi="Times New Roman" w:cs="Times New Roman"/>
      <w:b/>
      <w:bCs/>
      <w:noProof/>
      <w:sz w:val="16"/>
      <w:szCs w:val="16"/>
      <w:u w:val="none"/>
    </w:rPr>
  </w:style>
  <w:style w:type="character" w:customStyle="1" w:styleId="Gvdemetni15Exact">
    <w:name w:val="Gövde metni (15) Exact"/>
    <w:uiPriority w:val="99"/>
    <w:rsid w:val="00A81419"/>
    <w:rPr>
      <w:rFonts w:ascii="Times New Roman" w:hAnsi="Times New Roman" w:cs="Times New Roman"/>
      <w:spacing w:val="7"/>
      <w:sz w:val="18"/>
      <w:szCs w:val="18"/>
      <w:u w:val="none"/>
    </w:rPr>
  </w:style>
  <w:style w:type="character" w:customStyle="1" w:styleId="Gvdemetni15Kaln">
    <w:name w:val="Gövde metni (15) + Kalın"/>
    <w:aliases w:val="0 pt boşluk bırakılıyor Exact10"/>
    <w:uiPriority w:val="99"/>
    <w:rsid w:val="00A81419"/>
    <w:rPr>
      <w:rFonts w:ascii="Times New Roman" w:hAnsi="Times New Roman" w:cs="Times New Roman"/>
      <w:b/>
      <w:bCs/>
      <w:spacing w:val="-4"/>
      <w:sz w:val="18"/>
      <w:szCs w:val="18"/>
      <w:u w:val="none"/>
    </w:rPr>
  </w:style>
  <w:style w:type="character" w:customStyle="1" w:styleId="Gvdemetni34Exact">
    <w:name w:val="Gövde metni (34) Exact"/>
    <w:link w:val="Gvdemetni340"/>
    <w:uiPriority w:val="99"/>
    <w:locked/>
    <w:rsid w:val="00A81419"/>
    <w:rPr>
      <w:rFonts w:ascii="Times New Roman" w:hAnsi="Times New Roman" w:cs="Times New Roman"/>
      <w:b/>
      <w:bCs/>
      <w:sz w:val="16"/>
      <w:szCs w:val="16"/>
      <w:shd w:val="clear" w:color="auto" w:fill="FFFFFF"/>
    </w:rPr>
  </w:style>
  <w:style w:type="character" w:customStyle="1" w:styleId="Gvdemetni34Exact1">
    <w:name w:val="Gövde metni (34) Exact1"/>
    <w:uiPriority w:val="99"/>
    <w:rsid w:val="00A81419"/>
  </w:style>
  <w:style w:type="character" w:customStyle="1" w:styleId="Resimyazs320">
    <w:name w:val="Resim yazısı (32)_"/>
    <w:link w:val="Resimyazs321"/>
    <w:uiPriority w:val="99"/>
    <w:locked/>
    <w:rsid w:val="00A81419"/>
    <w:rPr>
      <w:rFonts w:ascii="Times New Roman" w:hAnsi="Times New Roman" w:cs="Times New Roman"/>
      <w:b/>
      <w:bCs/>
      <w:sz w:val="15"/>
      <w:szCs w:val="15"/>
      <w:shd w:val="clear" w:color="auto" w:fill="FFFFFF"/>
    </w:rPr>
  </w:style>
  <w:style w:type="character" w:customStyle="1" w:styleId="Resimyazs229pt">
    <w:name w:val="Resim yazısı (22) + 9 pt"/>
    <w:uiPriority w:val="99"/>
    <w:rsid w:val="00A81419"/>
    <w:rPr>
      <w:rFonts w:ascii="Times New Roman" w:hAnsi="Times New Roman" w:cs="Times New Roman"/>
      <w:b/>
      <w:bCs/>
      <w:sz w:val="18"/>
      <w:szCs w:val="18"/>
      <w:u w:val="none"/>
    </w:rPr>
  </w:style>
  <w:style w:type="character" w:customStyle="1" w:styleId="Resimyazs330">
    <w:name w:val="Resim yazısı (33)_"/>
    <w:link w:val="Resimyazs331"/>
    <w:uiPriority w:val="99"/>
    <w:locked/>
    <w:rsid w:val="00A81419"/>
    <w:rPr>
      <w:rFonts w:ascii="Times New Roman" w:hAnsi="Times New Roman" w:cs="Times New Roman"/>
      <w:b/>
      <w:bCs/>
      <w:sz w:val="16"/>
      <w:szCs w:val="16"/>
      <w:shd w:val="clear" w:color="auto" w:fill="FFFFFF"/>
    </w:rPr>
  </w:style>
  <w:style w:type="character" w:customStyle="1" w:styleId="Gvdemetni58">
    <w:name w:val="Gövde metni (5) + 8"/>
    <w:aliases w:val="5 pt65,İtalik35"/>
    <w:uiPriority w:val="99"/>
    <w:rsid w:val="00A81419"/>
    <w:rPr>
      <w:rFonts w:ascii="Times New Roman" w:hAnsi="Times New Roman" w:cs="Times New Roman"/>
      <w:i/>
      <w:iCs/>
      <w:sz w:val="17"/>
      <w:szCs w:val="17"/>
      <w:u w:val="none"/>
    </w:rPr>
  </w:style>
  <w:style w:type="character" w:customStyle="1" w:styleId="Gvdemetni583">
    <w:name w:val="Gövde metni (5) + 83"/>
    <w:aliases w:val="5 pt64,İtalik34"/>
    <w:uiPriority w:val="99"/>
    <w:rsid w:val="00A81419"/>
    <w:rPr>
      <w:rFonts w:ascii="Times New Roman" w:hAnsi="Times New Roman" w:cs="Times New Roman"/>
      <w:i/>
      <w:iCs/>
      <w:noProof/>
      <w:sz w:val="17"/>
      <w:szCs w:val="17"/>
      <w:u w:val="single"/>
    </w:rPr>
  </w:style>
  <w:style w:type="character" w:customStyle="1" w:styleId="Gvdemetni510pt">
    <w:name w:val="Gövde metni (5) + 10 pt"/>
    <w:uiPriority w:val="99"/>
    <w:rsid w:val="00A81419"/>
    <w:rPr>
      <w:rFonts w:ascii="Times New Roman" w:hAnsi="Times New Roman" w:cs="Times New Roman"/>
      <w:sz w:val="20"/>
      <w:szCs w:val="20"/>
      <w:u w:val="single"/>
    </w:rPr>
  </w:style>
  <w:style w:type="character" w:customStyle="1" w:styleId="Gvdemetni7102">
    <w:name w:val="Gövde metni (7) + 102"/>
    <w:aliases w:val="5 pt63,Kalın Değil13,İtalik33"/>
    <w:uiPriority w:val="99"/>
    <w:rsid w:val="00A81419"/>
    <w:rPr>
      <w:rFonts w:ascii="Times New Roman" w:hAnsi="Times New Roman" w:cs="Times New Roman"/>
      <w:b w:val="0"/>
      <w:bCs w:val="0"/>
      <w:i/>
      <w:iCs/>
      <w:sz w:val="21"/>
      <w:szCs w:val="21"/>
      <w:u w:val="none"/>
    </w:rPr>
  </w:style>
  <w:style w:type="character" w:customStyle="1" w:styleId="Gvdemetni382">
    <w:name w:val="Gövde metni (3) + 82"/>
    <w:aliases w:val="5 pt62,Kalın Exact1"/>
    <w:uiPriority w:val="99"/>
    <w:rsid w:val="00A81419"/>
    <w:rPr>
      <w:rFonts w:ascii="Times New Roman" w:hAnsi="Times New Roman" w:cs="Times New Roman"/>
      <w:b/>
      <w:bCs/>
      <w:sz w:val="17"/>
      <w:szCs w:val="17"/>
      <w:u w:val="none"/>
    </w:rPr>
  </w:style>
  <w:style w:type="character" w:customStyle="1" w:styleId="GvdemetniImpact5">
    <w:name w:val="Gövde metni + Impact5"/>
    <w:aliases w:val="12,5 pt61"/>
    <w:uiPriority w:val="99"/>
    <w:rsid w:val="00A81419"/>
    <w:rPr>
      <w:rFonts w:ascii="Impact" w:hAnsi="Impact" w:cs="Impact"/>
      <w:sz w:val="25"/>
      <w:szCs w:val="25"/>
      <w:u w:val="none"/>
    </w:rPr>
  </w:style>
  <w:style w:type="character" w:customStyle="1" w:styleId="Resimyazs142">
    <w:name w:val="Resim yazısı (14)2"/>
    <w:uiPriority w:val="99"/>
    <w:rsid w:val="00A81419"/>
  </w:style>
  <w:style w:type="character" w:customStyle="1" w:styleId="Gvdemetni3107">
    <w:name w:val="Gövde metni (3) + 107"/>
    <w:aliases w:val="5 pt60,İtalik32"/>
    <w:uiPriority w:val="99"/>
    <w:rsid w:val="00A81419"/>
    <w:rPr>
      <w:rFonts w:ascii="Times New Roman" w:hAnsi="Times New Roman" w:cs="Times New Roman"/>
      <w:i/>
      <w:iCs/>
      <w:sz w:val="21"/>
      <w:szCs w:val="21"/>
      <w:u w:val="none"/>
    </w:rPr>
  </w:style>
  <w:style w:type="character" w:customStyle="1" w:styleId="Gvdemetni3106">
    <w:name w:val="Gövde metni (3) + 106"/>
    <w:aliases w:val="5 pt59,İtalik31"/>
    <w:uiPriority w:val="99"/>
    <w:rsid w:val="00A81419"/>
    <w:rPr>
      <w:rFonts w:ascii="Times New Roman" w:hAnsi="Times New Roman" w:cs="Times New Roman"/>
      <w:i/>
      <w:iCs/>
      <w:noProof/>
      <w:sz w:val="21"/>
      <w:szCs w:val="21"/>
      <w:u w:val="single"/>
    </w:rPr>
  </w:style>
  <w:style w:type="character" w:customStyle="1" w:styleId="Gvdemetni3105">
    <w:name w:val="Gövde metni (3) + 105"/>
    <w:aliases w:val="5 pt58"/>
    <w:uiPriority w:val="99"/>
    <w:rsid w:val="00A81419"/>
    <w:rPr>
      <w:rFonts w:ascii="Times New Roman" w:hAnsi="Times New Roman" w:cs="Times New Roman"/>
      <w:noProof/>
      <w:sz w:val="21"/>
      <w:szCs w:val="21"/>
      <w:u w:val="single"/>
    </w:rPr>
  </w:style>
  <w:style w:type="character" w:customStyle="1" w:styleId="Gvdemetni3104">
    <w:name w:val="Gövde metni (3) + 104"/>
    <w:aliases w:val="5 pt57"/>
    <w:uiPriority w:val="99"/>
    <w:rsid w:val="00A81419"/>
    <w:rPr>
      <w:rFonts w:ascii="Times New Roman" w:hAnsi="Times New Roman" w:cs="Times New Roman"/>
      <w:sz w:val="21"/>
      <w:szCs w:val="21"/>
      <w:u w:val="single"/>
    </w:rPr>
  </w:style>
  <w:style w:type="character" w:customStyle="1" w:styleId="Gvdemetni3103">
    <w:name w:val="Gövde metni (3) + 103"/>
    <w:aliases w:val="5 pt56"/>
    <w:uiPriority w:val="99"/>
    <w:rsid w:val="00A81419"/>
    <w:rPr>
      <w:rFonts w:ascii="Times New Roman" w:hAnsi="Times New Roman" w:cs="Times New Roman"/>
      <w:sz w:val="21"/>
      <w:szCs w:val="21"/>
      <w:u w:val="single"/>
    </w:rPr>
  </w:style>
  <w:style w:type="character" w:customStyle="1" w:styleId="Gvdemetni3102">
    <w:name w:val="Gövde metni (3) + 102"/>
    <w:aliases w:val="5 pt55"/>
    <w:uiPriority w:val="99"/>
    <w:rsid w:val="00A81419"/>
    <w:rPr>
      <w:rFonts w:ascii="Times New Roman" w:hAnsi="Times New Roman" w:cs="Times New Roman"/>
      <w:sz w:val="21"/>
      <w:szCs w:val="21"/>
      <w:u w:val="single"/>
    </w:rPr>
  </w:style>
  <w:style w:type="character" w:customStyle="1" w:styleId="Gvdemetni3101">
    <w:name w:val="Gövde metni (3) + 101"/>
    <w:aliases w:val="5 pt54"/>
    <w:uiPriority w:val="99"/>
    <w:rsid w:val="00A81419"/>
    <w:rPr>
      <w:rFonts w:ascii="Times New Roman" w:hAnsi="Times New Roman" w:cs="Times New Roman"/>
      <w:noProof/>
      <w:sz w:val="21"/>
      <w:szCs w:val="21"/>
      <w:u w:val="none"/>
    </w:rPr>
  </w:style>
  <w:style w:type="character" w:customStyle="1" w:styleId="stbilgiveyaaltbilgi3">
    <w:name w:val="Üst bilgi veya alt bilgi3"/>
    <w:uiPriority w:val="99"/>
    <w:rsid w:val="00A81419"/>
  </w:style>
  <w:style w:type="character" w:customStyle="1" w:styleId="Gvdemetni115">
    <w:name w:val="Gövde metni11"/>
    <w:uiPriority w:val="99"/>
    <w:rsid w:val="00A81419"/>
  </w:style>
  <w:style w:type="character" w:customStyle="1" w:styleId="Gvdemetni104">
    <w:name w:val="Gövde metni10"/>
    <w:uiPriority w:val="99"/>
    <w:rsid w:val="00A81419"/>
  </w:style>
  <w:style w:type="character" w:customStyle="1" w:styleId="Gvdemetni92">
    <w:name w:val="Gövde metni9"/>
    <w:uiPriority w:val="99"/>
    <w:rsid w:val="00A81419"/>
  </w:style>
  <w:style w:type="character" w:customStyle="1" w:styleId="Gvdemetnitalik4">
    <w:name w:val="Gövde metni + İtalik4"/>
    <w:uiPriority w:val="99"/>
    <w:rsid w:val="00A81419"/>
    <w:rPr>
      <w:rFonts w:ascii="Times New Roman" w:hAnsi="Times New Roman" w:cs="Times New Roman"/>
      <w:i/>
      <w:iCs/>
      <w:sz w:val="21"/>
      <w:szCs w:val="21"/>
      <w:u w:val="none"/>
    </w:rPr>
  </w:style>
  <w:style w:type="character" w:customStyle="1" w:styleId="Gvdemetni7pt1">
    <w:name w:val="Gövde metni + 7 pt1"/>
    <w:aliases w:val="Kalın30"/>
    <w:uiPriority w:val="99"/>
    <w:rsid w:val="00A81419"/>
    <w:rPr>
      <w:rFonts w:ascii="Times New Roman" w:hAnsi="Times New Roman" w:cs="Times New Roman"/>
      <w:b/>
      <w:bCs/>
      <w:noProof/>
      <w:sz w:val="14"/>
      <w:szCs w:val="14"/>
      <w:u w:val="none"/>
    </w:rPr>
  </w:style>
  <w:style w:type="character" w:customStyle="1" w:styleId="GvdemetniImpact4">
    <w:name w:val="Gövde metni + Impact4"/>
    <w:aliases w:val="20 pt,-2 pt boşluk bırakılıyor,200% ölçek"/>
    <w:uiPriority w:val="99"/>
    <w:rsid w:val="00A81419"/>
    <w:rPr>
      <w:rFonts w:ascii="Impact" w:hAnsi="Impact" w:cs="Impact"/>
      <w:noProof/>
      <w:spacing w:val="-40"/>
      <w:w w:val="200"/>
      <w:sz w:val="40"/>
      <w:szCs w:val="40"/>
      <w:u w:val="none"/>
    </w:rPr>
  </w:style>
  <w:style w:type="character" w:customStyle="1" w:styleId="Gvdemetni4pt4">
    <w:name w:val="Gövde metni + 4 pt4"/>
    <w:uiPriority w:val="99"/>
    <w:rsid w:val="00A81419"/>
    <w:rPr>
      <w:rFonts w:ascii="Times New Roman" w:hAnsi="Times New Roman" w:cs="Times New Roman"/>
      <w:sz w:val="8"/>
      <w:szCs w:val="8"/>
      <w:u w:val="none"/>
    </w:rPr>
  </w:style>
  <w:style w:type="character" w:customStyle="1" w:styleId="GvdemetniFranklinGothicMedium">
    <w:name w:val="Gövde metni + Franklin Gothic Medium"/>
    <w:aliases w:val="31,5 pt53,-4 pt boşluk bırakılıyor"/>
    <w:uiPriority w:val="99"/>
    <w:rsid w:val="00A81419"/>
    <w:rPr>
      <w:rFonts w:ascii="Franklin Gothic Medium" w:hAnsi="Franklin Gothic Medium" w:cs="Franklin Gothic Medium"/>
      <w:spacing w:val="-90"/>
      <w:sz w:val="63"/>
      <w:szCs w:val="63"/>
      <w:u w:val="none"/>
    </w:rPr>
  </w:style>
  <w:style w:type="character" w:customStyle="1" w:styleId="GvdemetniImpact3">
    <w:name w:val="Gövde metni + Impact3"/>
    <w:aliases w:val="20 pt2,-2 pt boşluk bırakılıyor1,200% ölçek2"/>
    <w:uiPriority w:val="99"/>
    <w:rsid w:val="00A81419"/>
    <w:rPr>
      <w:rFonts w:ascii="Impact" w:hAnsi="Impact" w:cs="Impact"/>
      <w:spacing w:val="-40"/>
      <w:w w:val="200"/>
      <w:sz w:val="40"/>
      <w:szCs w:val="40"/>
      <w:u w:val="none"/>
    </w:rPr>
  </w:style>
  <w:style w:type="character" w:customStyle="1" w:styleId="Gvdemetnitalik3">
    <w:name w:val="Gövde metni + İtalik3"/>
    <w:uiPriority w:val="99"/>
    <w:rsid w:val="00A81419"/>
    <w:rPr>
      <w:rFonts w:ascii="Times New Roman" w:hAnsi="Times New Roman" w:cs="Times New Roman"/>
      <w:i/>
      <w:iCs/>
      <w:sz w:val="21"/>
      <w:szCs w:val="21"/>
      <w:u w:val="none"/>
    </w:rPr>
  </w:style>
  <w:style w:type="character" w:customStyle="1" w:styleId="Gvdemetni350">
    <w:name w:val="Gövde metni (35)_"/>
    <w:link w:val="Gvdemetni351"/>
    <w:uiPriority w:val="99"/>
    <w:locked/>
    <w:rsid w:val="00A81419"/>
    <w:rPr>
      <w:rFonts w:ascii="Times New Roman" w:hAnsi="Times New Roman" w:cs="Times New Roman"/>
      <w:sz w:val="20"/>
      <w:szCs w:val="20"/>
      <w:shd w:val="clear" w:color="auto" w:fill="FFFFFF"/>
    </w:rPr>
  </w:style>
  <w:style w:type="character" w:customStyle="1" w:styleId="Gvdemetni35Kaln">
    <w:name w:val="Gövde metni (35) + Kalın"/>
    <w:aliases w:val="-1 pt boşluk bırakılıyor1"/>
    <w:uiPriority w:val="99"/>
    <w:rsid w:val="00A81419"/>
    <w:rPr>
      <w:rFonts w:ascii="Times New Roman" w:hAnsi="Times New Roman" w:cs="Times New Roman"/>
      <w:b/>
      <w:bCs/>
      <w:spacing w:val="-20"/>
      <w:sz w:val="20"/>
      <w:szCs w:val="20"/>
      <w:u w:val="none"/>
    </w:rPr>
  </w:style>
  <w:style w:type="character" w:customStyle="1" w:styleId="Gvdemetni352">
    <w:name w:val="Gövde metni (35)"/>
    <w:uiPriority w:val="99"/>
    <w:rsid w:val="00A81419"/>
    <w:rPr>
      <w:rFonts w:ascii="Times New Roman" w:hAnsi="Times New Roman" w:cs="Times New Roman"/>
      <w:noProof/>
      <w:sz w:val="20"/>
      <w:szCs w:val="20"/>
      <w:u w:val="none"/>
    </w:rPr>
  </w:style>
  <w:style w:type="character" w:customStyle="1" w:styleId="Gvdemetni3520">
    <w:name w:val="Gövde metni (35)2"/>
    <w:uiPriority w:val="99"/>
    <w:rsid w:val="00A81419"/>
    <w:rPr>
      <w:rFonts w:ascii="Times New Roman" w:hAnsi="Times New Roman" w:cs="Times New Roman"/>
      <w:noProof/>
      <w:sz w:val="20"/>
      <w:szCs w:val="20"/>
      <w:u w:val="none"/>
    </w:rPr>
  </w:style>
  <w:style w:type="character" w:customStyle="1" w:styleId="Gvdemetni360">
    <w:name w:val="Gövde metni (36)_"/>
    <w:link w:val="Gvdemetni361"/>
    <w:uiPriority w:val="99"/>
    <w:locked/>
    <w:rsid w:val="00A81419"/>
    <w:rPr>
      <w:rFonts w:ascii="Arial" w:hAnsi="Arial" w:cs="Arial"/>
      <w:sz w:val="17"/>
      <w:szCs w:val="17"/>
      <w:shd w:val="clear" w:color="auto" w:fill="FFFFFF"/>
    </w:rPr>
  </w:style>
  <w:style w:type="character" w:customStyle="1" w:styleId="Gvdemetni362">
    <w:name w:val="Gövde metni (36)"/>
    <w:uiPriority w:val="99"/>
    <w:rsid w:val="00A81419"/>
  </w:style>
  <w:style w:type="character" w:customStyle="1" w:styleId="Gvdemetni39pt2">
    <w:name w:val="Gövde metni (3) + 9 pt2"/>
    <w:aliases w:val="Kalın29"/>
    <w:uiPriority w:val="99"/>
    <w:rsid w:val="00A81419"/>
    <w:rPr>
      <w:rFonts w:ascii="Times New Roman" w:hAnsi="Times New Roman" w:cs="Times New Roman"/>
      <w:b/>
      <w:bCs/>
      <w:sz w:val="18"/>
      <w:szCs w:val="18"/>
      <w:u w:val="none"/>
    </w:rPr>
  </w:style>
  <w:style w:type="character" w:customStyle="1" w:styleId="Resimyazs34">
    <w:name w:val="Resim yazısı (34)_"/>
    <w:link w:val="Resimyazs341"/>
    <w:uiPriority w:val="99"/>
    <w:locked/>
    <w:rsid w:val="00A81419"/>
    <w:rPr>
      <w:rFonts w:ascii="Times New Roman" w:hAnsi="Times New Roman" w:cs="Times New Roman"/>
      <w:i/>
      <w:iCs/>
      <w:sz w:val="21"/>
      <w:szCs w:val="21"/>
      <w:shd w:val="clear" w:color="auto" w:fill="FFFFFF"/>
    </w:rPr>
  </w:style>
  <w:style w:type="character" w:customStyle="1" w:styleId="Resimyazs340">
    <w:name w:val="Resim yazısı (34)"/>
    <w:uiPriority w:val="99"/>
    <w:rsid w:val="00A81419"/>
  </w:style>
  <w:style w:type="character" w:customStyle="1" w:styleId="Resimyazs342">
    <w:name w:val="Resim yazısı (34)2"/>
    <w:uiPriority w:val="99"/>
    <w:rsid w:val="00A81419"/>
    <w:rPr>
      <w:rFonts w:ascii="Times New Roman" w:hAnsi="Times New Roman" w:cs="Times New Roman"/>
      <w:i/>
      <w:iCs/>
      <w:sz w:val="21"/>
      <w:szCs w:val="21"/>
      <w:u w:val="single"/>
    </w:rPr>
  </w:style>
  <w:style w:type="character" w:customStyle="1" w:styleId="Resimyazs34talikdeil">
    <w:name w:val="Resim yazısı (34) + İtalik değil"/>
    <w:uiPriority w:val="99"/>
    <w:rsid w:val="00A81419"/>
    <w:rPr>
      <w:rFonts w:ascii="Times New Roman" w:hAnsi="Times New Roman" w:cs="Times New Roman"/>
      <w:i w:val="0"/>
      <w:iCs w:val="0"/>
      <w:sz w:val="21"/>
      <w:szCs w:val="21"/>
      <w:u w:val="single"/>
    </w:rPr>
  </w:style>
  <w:style w:type="character" w:customStyle="1" w:styleId="Resimyazs34talikdeil1">
    <w:name w:val="Resim yazısı (34) + İtalik değil1"/>
    <w:uiPriority w:val="99"/>
    <w:rsid w:val="00A81419"/>
    <w:rPr>
      <w:rFonts w:ascii="Times New Roman" w:hAnsi="Times New Roman" w:cs="Times New Roman"/>
      <w:i w:val="0"/>
      <w:iCs w:val="0"/>
      <w:noProof/>
      <w:sz w:val="21"/>
      <w:szCs w:val="21"/>
      <w:u w:val="single"/>
    </w:rPr>
  </w:style>
  <w:style w:type="character" w:customStyle="1" w:styleId="Resimyazs35">
    <w:name w:val="Resim yazısı (35)_"/>
    <w:link w:val="Resimyazs351"/>
    <w:uiPriority w:val="99"/>
    <w:locked/>
    <w:rsid w:val="00A81419"/>
    <w:rPr>
      <w:rFonts w:ascii="Times New Roman" w:hAnsi="Times New Roman" w:cs="Times New Roman"/>
      <w:sz w:val="16"/>
      <w:szCs w:val="16"/>
      <w:shd w:val="clear" w:color="auto" w:fill="FFFFFF"/>
    </w:rPr>
  </w:style>
  <w:style w:type="character" w:customStyle="1" w:styleId="Resimyazs358">
    <w:name w:val="Resim yazısı (35) + 8"/>
    <w:aliases w:val="5 pt52,İtalik30"/>
    <w:uiPriority w:val="99"/>
    <w:rsid w:val="00A81419"/>
    <w:rPr>
      <w:rFonts w:ascii="Times New Roman" w:hAnsi="Times New Roman" w:cs="Times New Roman"/>
      <w:i/>
      <w:iCs/>
      <w:sz w:val="17"/>
      <w:szCs w:val="17"/>
      <w:u w:val="none"/>
    </w:rPr>
  </w:style>
  <w:style w:type="character" w:customStyle="1" w:styleId="Resimyazs350">
    <w:name w:val="Resim yazısı (35)"/>
    <w:uiPriority w:val="99"/>
    <w:rsid w:val="00A81419"/>
    <w:rPr>
      <w:rFonts w:ascii="Times New Roman" w:hAnsi="Times New Roman" w:cs="Times New Roman"/>
      <w:noProof/>
      <w:sz w:val="16"/>
      <w:szCs w:val="16"/>
      <w:u w:val="none"/>
    </w:rPr>
  </w:style>
  <w:style w:type="character" w:customStyle="1" w:styleId="Resimyazs353">
    <w:name w:val="Resim yazısı (35)3"/>
    <w:uiPriority w:val="99"/>
    <w:rsid w:val="00A81419"/>
    <w:rPr>
      <w:rFonts w:ascii="Times New Roman" w:hAnsi="Times New Roman" w:cs="Times New Roman"/>
      <w:sz w:val="16"/>
      <w:szCs w:val="16"/>
      <w:u w:val="single"/>
    </w:rPr>
  </w:style>
  <w:style w:type="character" w:customStyle="1" w:styleId="Resimyazs352">
    <w:name w:val="Resim yazısı (35)2"/>
    <w:uiPriority w:val="99"/>
    <w:rsid w:val="00A81419"/>
    <w:rPr>
      <w:rFonts w:ascii="Times New Roman" w:hAnsi="Times New Roman" w:cs="Times New Roman"/>
      <w:sz w:val="16"/>
      <w:szCs w:val="16"/>
      <w:u w:val="single"/>
    </w:rPr>
  </w:style>
  <w:style w:type="character" w:customStyle="1" w:styleId="Gvdemetni4pt3">
    <w:name w:val="Gövde metni + 4 pt3"/>
    <w:uiPriority w:val="99"/>
    <w:rsid w:val="00A81419"/>
    <w:rPr>
      <w:rFonts w:ascii="Times New Roman" w:hAnsi="Times New Roman" w:cs="Times New Roman"/>
      <w:sz w:val="8"/>
      <w:szCs w:val="8"/>
      <w:u w:val="none"/>
    </w:rPr>
  </w:style>
  <w:style w:type="character" w:customStyle="1" w:styleId="Gvdemetnitalik2">
    <w:name w:val="Gövde metni + İtalik2"/>
    <w:uiPriority w:val="99"/>
    <w:rsid w:val="00A81419"/>
    <w:rPr>
      <w:rFonts w:ascii="Times New Roman" w:hAnsi="Times New Roman" w:cs="Times New Roman"/>
      <w:i/>
      <w:iCs/>
      <w:noProof/>
      <w:sz w:val="21"/>
      <w:szCs w:val="21"/>
      <w:u w:val="single"/>
    </w:rPr>
  </w:style>
  <w:style w:type="character" w:customStyle="1" w:styleId="Gvdemetni2020">
    <w:name w:val="Gövde metni (20)2"/>
    <w:uiPriority w:val="99"/>
    <w:rsid w:val="00A81419"/>
  </w:style>
  <w:style w:type="character" w:customStyle="1" w:styleId="stbilgiveyaaltbilgi10">
    <w:name w:val="Üst bilgi veya alt bilgi + 10"/>
    <w:aliases w:val="5 pt51,Kalın Değil12,İtalik29"/>
    <w:uiPriority w:val="99"/>
    <w:rsid w:val="00A81419"/>
    <w:rPr>
      <w:rFonts w:ascii="Times New Roman" w:hAnsi="Times New Roman" w:cs="Times New Roman"/>
      <w:b w:val="0"/>
      <w:bCs w:val="0"/>
      <w:i/>
      <w:iCs/>
      <w:sz w:val="21"/>
      <w:szCs w:val="21"/>
      <w:u w:val="none"/>
    </w:rPr>
  </w:style>
  <w:style w:type="character" w:customStyle="1" w:styleId="Gvdemetni510pt11">
    <w:name w:val="Gövde metni (5) + 10 pt11"/>
    <w:uiPriority w:val="99"/>
    <w:rsid w:val="00A81419"/>
    <w:rPr>
      <w:rFonts w:ascii="Times New Roman" w:hAnsi="Times New Roman" w:cs="Times New Roman"/>
      <w:sz w:val="20"/>
      <w:szCs w:val="20"/>
      <w:u w:val="none"/>
    </w:rPr>
  </w:style>
  <w:style w:type="character" w:customStyle="1" w:styleId="Gvdemetni510pt10">
    <w:name w:val="Gövde metni (5) + 10 pt10"/>
    <w:aliases w:val="Kalın28"/>
    <w:uiPriority w:val="99"/>
    <w:rsid w:val="00A81419"/>
    <w:rPr>
      <w:rFonts w:ascii="Times New Roman" w:hAnsi="Times New Roman" w:cs="Times New Roman"/>
      <w:b/>
      <w:bCs/>
      <w:sz w:val="20"/>
      <w:szCs w:val="20"/>
      <w:u w:val="none"/>
    </w:rPr>
  </w:style>
  <w:style w:type="character" w:customStyle="1" w:styleId="Gvdemetni510pt9">
    <w:name w:val="Gövde metni (5) + 10 pt9"/>
    <w:uiPriority w:val="99"/>
    <w:rsid w:val="00A81419"/>
    <w:rPr>
      <w:rFonts w:ascii="Times New Roman" w:hAnsi="Times New Roman" w:cs="Times New Roman"/>
      <w:sz w:val="20"/>
      <w:szCs w:val="20"/>
      <w:u w:val="single"/>
    </w:rPr>
  </w:style>
  <w:style w:type="character" w:customStyle="1" w:styleId="Balk211pt">
    <w:name w:val="Başlık #2 + 11 pt"/>
    <w:uiPriority w:val="99"/>
    <w:rsid w:val="00A81419"/>
    <w:rPr>
      <w:rFonts w:ascii="Arial" w:hAnsi="Arial" w:cs="Arial"/>
      <w:b/>
      <w:bCs/>
      <w:sz w:val="22"/>
      <w:szCs w:val="22"/>
      <w:u w:val="none"/>
    </w:rPr>
  </w:style>
  <w:style w:type="character" w:customStyle="1" w:styleId="Gvdemetni56pt2">
    <w:name w:val="Gövde metni (5) + 6 pt2"/>
    <w:uiPriority w:val="99"/>
    <w:rsid w:val="00A81419"/>
    <w:rPr>
      <w:rFonts w:ascii="Times New Roman" w:hAnsi="Times New Roman" w:cs="Times New Roman"/>
      <w:noProof/>
      <w:sz w:val="12"/>
      <w:szCs w:val="12"/>
      <w:u w:val="none"/>
    </w:rPr>
  </w:style>
  <w:style w:type="character" w:customStyle="1" w:styleId="Gvdemetni37">
    <w:name w:val="Gövde metni (37)_"/>
    <w:link w:val="Gvdemetni371"/>
    <w:uiPriority w:val="99"/>
    <w:locked/>
    <w:rsid w:val="00A81419"/>
    <w:rPr>
      <w:rFonts w:ascii="Times New Roman" w:hAnsi="Times New Roman" w:cs="Times New Roman"/>
      <w:b/>
      <w:bCs/>
      <w:sz w:val="13"/>
      <w:szCs w:val="13"/>
      <w:shd w:val="clear" w:color="auto" w:fill="FFFFFF"/>
    </w:rPr>
  </w:style>
  <w:style w:type="character" w:customStyle="1" w:styleId="Gvdemetni370">
    <w:name w:val="Gövde metni (37)"/>
    <w:uiPriority w:val="99"/>
    <w:rsid w:val="00A81419"/>
  </w:style>
  <w:style w:type="character" w:customStyle="1" w:styleId="Gvdemetni1193">
    <w:name w:val="Gövde metni (11) + 93"/>
    <w:aliases w:val="5 pt50"/>
    <w:uiPriority w:val="99"/>
    <w:rsid w:val="00A81419"/>
    <w:rPr>
      <w:rFonts w:ascii="Times New Roman" w:hAnsi="Times New Roman" w:cs="Times New Roman"/>
      <w:sz w:val="19"/>
      <w:szCs w:val="19"/>
      <w:u w:val="none"/>
    </w:rPr>
  </w:style>
  <w:style w:type="character" w:customStyle="1" w:styleId="Gvdemetni1192">
    <w:name w:val="Gövde metni (11) + 92"/>
    <w:aliases w:val="5 pt49"/>
    <w:uiPriority w:val="99"/>
    <w:rsid w:val="00A81419"/>
    <w:rPr>
      <w:rFonts w:ascii="Times New Roman" w:hAnsi="Times New Roman" w:cs="Times New Roman"/>
      <w:sz w:val="19"/>
      <w:szCs w:val="19"/>
      <w:u w:val="single"/>
    </w:rPr>
  </w:style>
  <w:style w:type="character" w:customStyle="1" w:styleId="Gvdemetni1183">
    <w:name w:val="Gövde metni (11) + 83"/>
    <w:aliases w:val="5 pt48,İtalik28"/>
    <w:uiPriority w:val="99"/>
    <w:rsid w:val="00A81419"/>
    <w:rPr>
      <w:rFonts w:ascii="Times New Roman" w:hAnsi="Times New Roman" w:cs="Times New Roman"/>
      <w:i/>
      <w:iCs/>
      <w:noProof/>
      <w:sz w:val="17"/>
      <w:szCs w:val="17"/>
      <w:u w:val="single"/>
    </w:rPr>
  </w:style>
  <w:style w:type="character" w:customStyle="1" w:styleId="Gvdemetni4Arial2">
    <w:name w:val="Gövde metni (4) + Arial2"/>
    <w:aliases w:val="Kalın27,0 pt boşluk bırakılıyor21"/>
    <w:uiPriority w:val="99"/>
    <w:rsid w:val="00A81419"/>
    <w:rPr>
      <w:rFonts w:ascii="Arial" w:hAnsi="Arial" w:cs="Arial"/>
      <w:b/>
      <w:bCs/>
      <w:spacing w:val="0"/>
      <w:sz w:val="27"/>
      <w:szCs w:val="27"/>
      <w:u w:val="none"/>
    </w:rPr>
  </w:style>
  <w:style w:type="character" w:customStyle="1" w:styleId="Gvdemetni5Exact">
    <w:name w:val="Gövde metni (5) Exact"/>
    <w:uiPriority w:val="99"/>
    <w:rsid w:val="00A81419"/>
    <w:rPr>
      <w:rFonts w:ascii="Times New Roman" w:hAnsi="Times New Roman" w:cs="Times New Roman"/>
      <w:spacing w:val="5"/>
      <w:sz w:val="20"/>
      <w:szCs w:val="20"/>
      <w:u w:val="none"/>
    </w:rPr>
  </w:style>
  <w:style w:type="character" w:customStyle="1" w:styleId="Gvdemetni591">
    <w:name w:val="Gövde metni (5) + 91"/>
    <w:aliases w:val="5 pt47,0 pt boşluk bırakılıyor Exact9"/>
    <w:uiPriority w:val="99"/>
    <w:rsid w:val="00A81419"/>
    <w:rPr>
      <w:rFonts w:ascii="Times New Roman" w:hAnsi="Times New Roman" w:cs="Times New Roman"/>
      <w:spacing w:val="1"/>
      <w:sz w:val="19"/>
      <w:szCs w:val="19"/>
      <w:u w:val="none"/>
    </w:rPr>
  </w:style>
  <w:style w:type="character" w:customStyle="1" w:styleId="Gvdemetni39Exact">
    <w:name w:val="Gövde metni (39) Exact"/>
    <w:link w:val="Gvdemetni39"/>
    <w:uiPriority w:val="99"/>
    <w:locked/>
    <w:rsid w:val="00A81419"/>
    <w:rPr>
      <w:rFonts w:ascii="Constantia" w:hAnsi="Constantia" w:cs="Constantia"/>
      <w:sz w:val="27"/>
      <w:szCs w:val="27"/>
      <w:shd w:val="clear" w:color="auto" w:fill="FFFFFF"/>
    </w:rPr>
  </w:style>
  <w:style w:type="character" w:customStyle="1" w:styleId="Gvdemetni39Exact3">
    <w:name w:val="Gövde metni (39) Exact3"/>
    <w:uiPriority w:val="99"/>
    <w:rsid w:val="00A81419"/>
    <w:rPr>
      <w:rFonts w:ascii="Constantia" w:hAnsi="Constantia" w:cs="Constantia"/>
      <w:color w:val="FFFFFF"/>
      <w:sz w:val="27"/>
      <w:szCs w:val="27"/>
      <w:u w:val="none"/>
    </w:rPr>
  </w:style>
  <w:style w:type="character" w:customStyle="1" w:styleId="Gvdemetni39TimesNewRoman">
    <w:name w:val="Gövde metni (39) + Times New Roman"/>
    <w:aliases w:val="13 pt4,Kalın26,İtalik27,0 pt boşluk bırakılıyor Exact8"/>
    <w:uiPriority w:val="99"/>
    <w:rsid w:val="00A81419"/>
    <w:rPr>
      <w:rFonts w:ascii="Times New Roman" w:hAnsi="Times New Roman" w:cs="Times New Roman"/>
      <w:b/>
      <w:bCs/>
      <w:i/>
      <w:iCs/>
      <w:color w:val="FFFFFF"/>
      <w:spacing w:val="-15"/>
      <w:sz w:val="26"/>
      <w:szCs w:val="26"/>
      <w:u w:val="none"/>
    </w:rPr>
  </w:style>
  <w:style w:type="character" w:customStyle="1" w:styleId="Gvdemetni39Exact2">
    <w:name w:val="Gövde metni (39) Exact2"/>
    <w:uiPriority w:val="99"/>
    <w:rsid w:val="00A81419"/>
    <w:rPr>
      <w:rFonts w:ascii="Constantia" w:hAnsi="Constantia" w:cs="Constantia"/>
      <w:noProof/>
      <w:color w:val="FFFFFF"/>
      <w:sz w:val="27"/>
      <w:szCs w:val="27"/>
      <w:u w:val="none"/>
    </w:rPr>
  </w:style>
  <w:style w:type="character" w:customStyle="1" w:styleId="Gvdemetni39Exact1">
    <w:name w:val="Gövde metni (39) Exact1"/>
    <w:uiPriority w:val="99"/>
    <w:rsid w:val="00A81419"/>
    <w:rPr>
      <w:rFonts w:ascii="Constantia" w:hAnsi="Constantia" w:cs="Constantia"/>
      <w:color w:val="FFFFFF"/>
      <w:sz w:val="27"/>
      <w:szCs w:val="27"/>
      <w:u w:val="none"/>
    </w:rPr>
  </w:style>
  <w:style w:type="character" w:customStyle="1" w:styleId="Gvdemetni40Exact">
    <w:name w:val="Gövde metni (40) Exact"/>
    <w:link w:val="Gvdemetni400"/>
    <w:uiPriority w:val="99"/>
    <w:locked/>
    <w:rsid w:val="00A81419"/>
    <w:rPr>
      <w:rFonts w:ascii="Times New Roman" w:hAnsi="Times New Roman" w:cs="Times New Roman"/>
      <w:noProof/>
      <w:sz w:val="20"/>
      <w:szCs w:val="20"/>
      <w:shd w:val="clear" w:color="auto" w:fill="FFFFFF"/>
    </w:rPr>
  </w:style>
  <w:style w:type="character" w:customStyle="1" w:styleId="Gvdemetni40Exact1">
    <w:name w:val="Gövde metni (40) Exact1"/>
    <w:uiPriority w:val="99"/>
    <w:rsid w:val="00A81419"/>
    <w:rPr>
      <w:rFonts w:ascii="Times New Roman" w:hAnsi="Times New Roman" w:cs="Times New Roman"/>
      <w:noProof/>
      <w:color w:val="FFFFFF"/>
      <w:sz w:val="20"/>
      <w:szCs w:val="20"/>
      <w:u w:val="none"/>
    </w:rPr>
  </w:style>
  <w:style w:type="character" w:customStyle="1" w:styleId="Gvdemetni380">
    <w:name w:val="Gövde metni (38)_"/>
    <w:link w:val="Gvdemetni381"/>
    <w:uiPriority w:val="99"/>
    <w:locked/>
    <w:rsid w:val="00A81419"/>
    <w:rPr>
      <w:rFonts w:ascii="Times New Roman" w:hAnsi="Times New Roman" w:cs="Times New Roman"/>
      <w:b/>
      <w:bCs/>
      <w:noProof/>
      <w:w w:val="250"/>
      <w:sz w:val="140"/>
      <w:szCs w:val="140"/>
      <w:shd w:val="clear" w:color="auto" w:fill="FFFFFF"/>
    </w:rPr>
  </w:style>
  <w:style w:type="character" w:customStyle="1" w:styleId="Gvdemetni388">
    <w:name w:val="Gövde metni (38)"/>
    <w:uiPriority w:val="99"/>
    <w:rsid w:val="00A81419"/>
    <w:rPr>
      <w:rFonts w:ascii="Times New Roman" w:hAnsi="Times New Roman" w:cs="Times New Roman"/>
      <w:b/>
      <w:bCs/>
      <w:noProof/>
      <w:color w:val="FFFFFF"/>
      <w:w w:val="250"/>
      <w:sz w:val="140"/>
      <w:szCs w:val="140"/>
      <w:u w:val="none"/>
    </w:rPr>
  </w:style>
  <w:style w:type="character" w:customStyle="1" w:styleId="Gvdemetni582">
    <w:name w:val="Gövde metni (5) + 82"/>
    <w:aliases w:val="5 pt46,İtalik26"/>
    <w:uiPriority w:val="99"/>
    <w:rsid w:val="00A81419"/>
    <w:rPr>
      <w:rFonts w:ascii="Times New Roman" w:hAnsi="Times New Roman" w:cs="Times New Roman"/>
      <w:i/>
      <w:iCs/>
      <w:sz w:val="17"/>
      <w:szCs w:val="17"/>
      <w:u w:val="none"/>
    </w:rPr>
  </w:style>
  <w:style w:type="character" w:customStyle="1" w:styleId="Resimyazs2810pt3">
    <w:name w:val="Resim yazısı (28) + 10 pt3"/>
    <w:uiPriority w:val="99"/>
    <w:rsid w:val="00A81419"/>
    <w:rPr>
      <w:rFonts w:ascii="Times New Roman" w:hAnsi="Times New Roman" w:cs="Times New Roman"/>
      <w:sz w:val="20"/>
      <w:szCs w:val="20"/>
      <w:u w:val="none"/>
    </w:rPr>
  </w:style>
  <w:style w:type="character" w:customStyle="1" w:styleId="Resimyazs2881">
    <w:name w:val="Resim yazısı (28) + 81"/>
    <w:aliases w:val="5 pt45,İtalik25"/>
    <w:uiPriority w:val="99"/>
    <w:rsid w:val="00A81419"/>
    <w:rPr>
      <w:rFonts w:ascii="Times New Roman" w:hAnsi="Times New Roman" w:cs="Times New Roman"/>
      <w:i/>
      <w:iCs/>
      <w:sz w:val="17"/>
      <w:szCs w:val="17"/>
      <w:u w:val="none"/>
    </w:rPr>
  </w:style>
  <w:style w:type="character" w:customStyle="1" w:styleId="Resimyazs2810pt2">
    <w:name w:val="Resim yazısı (28) + 10 pt2"/>
    <w:uiPriority w:val="99"/>
    <w:rsid w:val="00A81419"/>
    <w:rPr>
      <w:rFonts w:ascii="Times New Roman" w:hAnsi="Times New Roman" w:cs="Times New Roman"/>
      <w:sz w:val="20"/>
      <w:szCs w:val="20"/>
      <w:u w:val="single"/>
    </w:rPr>
  </w:style>
  <w:style w:type="character" w:customStyle="1" w:styleId="Gvdemetni3011pt">
    <w:name w:val="Gövde metni (30) + 11 pt"/>
    <w:uiPriority w:val="99"/>
    <w:rsid w:val="00A81419"/>
    <w:rPr>
      <w:rFonts w:ascii="Arial" w:hAnsi="Arial" w:cs="Arial"/>
      <w:b/>
      <w:bCs/>
      <w:sz w:val="22"/>
      <w:szCs w:val="22"/>
      <w:u w:val="none"/>
    </w:rPr>
  </w:style>
  <w:style w:type="character" w:customStyle="1" w:styleId="Gvdemetni190ptbolukbraklyorExact">
    <w:name w:val="Gövde metni (19) + 0 pt boşluk bırakılıyor Exact"/>
    <w:uiPriority w:val="99"/>
    <w:rsid w:val="00A81419"/>
    <w:rPr>
      <w:rFonts w:ascii="Arial" w:hAnsi="Arial" w:cs="Arial"/>
      <w:b/>
      <w:bCs/>
      <w:spacing w:val="1"/>
      <w:sz w:val="18"/>
      <w:szCs w:val="18"/>
      <w:u w:val="none"/>
    </w:rPr>
  </w:style>
  <w:style w:type="character" w:customStyle="1" w:styleId="Gvdemetni30Exact">
    <w:name w:val="Gövde metni (30) Exact"/>
    <w:uiPriority w:val="99"/>
    <w:rsid w:val="00A81419"/>
    <w:rPr>
      <w:rFonts w:ascii="Arial" w:hAnsi="Arial" w:cs="Arial"/>
      <w:b/>
      <w:bCs/>
      <w:spacing w:val="3"/>
      <w:sz w:val="21"/>
      <w:szCs w:val="21"/>
      <w:u w:val="none"/>
    </w:rPr>
  </w:style>
  <w:style w:type="character" w:customStyle="1" w:styleId="Gvdemetni300ptbolukbraklyorExact">
    <w:name w:val="Gövde metni (30) + 0 pt boşluk bırakılıyor Exact"/>
    <w:uiPriority w:val="99"/>
    <w:rsid w:val="00A81419"/>
    <w:rPr>
      <w:rFonts w:ascii="Arial" w:hAnsi="Arial" w:cs="Arial"/>
      <w:b/>
      <w:bCs/>
      <w:spacing w:val="2"/>
      <w:sz w:val="21"/>
      <w:szCs w:val="21"/>
      <w:u w:val="none"/>
    </w:rPr>
  </w:style>
  <w:style w:type="character" w:customStyle="1" w:styleId="Gvdemetni192">
    <w:name w:val="Gövde metni (19)"/>
    <w:uiPriority w:val="99"/>
    <w:rsid w:val="00A81419"/>
  </w:style>
  <w:style w:type="character" w:customStyle="1" w:styleId="Gvdemetni2Arial">
    <w:name w:val="Gövde metni (2) + Arial"/>
    <w:aliases w:val="94,5 pt44"/>
    <w:uiPriority w:val="99"/>
    <w:rsid w:val="00A81419"/>
    <w:rPr>
      <w:rFonts w:ascii="Arial" w:hAnsi="Arial" w:cs="Arial"/>
      <w:b/>
      <w:bCs/>
      <w:sz w:val="19"/>
      <w:szCs w:val="19"/>
      <w:u w:val="none"/>
    </w:rPr>
  </w:style>
  <w:style w:type="character" w:customStyle="1" w:styleId="Gvdemetni25">
    <w:name w:val="Gövde metni (2)"/>
    <w:uiPriority w:val="99"/>
    <w:rsid w:val="00A81419"/>
  </w:style>
  <w:style w:type="character" w:customStyle="1" w:styleId="Gvdemetni210pt">
    <w:name w:val="Gövde metni (2) + 10 pt"/>
    <w:aliases w:val="Kalın Değil11"/>
    <w:uiPriority w:val="99"/>
    <w:rsid w:val="00A81419"/>
    <w:rPr>
      <w:rFonts w:ascii="Times New Roman" w:hAnsi="Times New Roman" w:cs="Times New Roman"/>
      <w:b w:val="0"/>
      <w:bCs w:val="0"/>
      <w:noProof/>
      <w:sz w:val="20"/>
      <w:szCs w:val="20"/>
      <w:u w:val="none"/>
    </w:rPr>
  </w:style>
  <w:style w:type="character" w:customStyle="1" w:styleId="Gvdemetni41Exact">
    <w:name w:val="Gövde metni (41) Exact"/>
    <w:link w:val="Gvdemetni41"/>
    <w:uiPriority w:val="99"/>
    <w:locked/>
    <w:rsid w:val="00A81419"/>
    <w:rPr>
      <w:rFonts w:ascii="Franklin Gothic Heavy" w:hAnsi="Franklin Gothic Heavy" w:cs="Franklin Gothic Heavy"/>
      <w:noProof/>
      <w:sz w:val="62"/>
      <w:szCs w:val="62"/>
      <w:shd w:val="clear" w:color="auto" w:fill="FFFFFF"/>
    </w:rPr>
  </w:style>
  <w:style w:type="character" w:customStyle="1" w:styleId="Tabloyazs4Exact">
    <w:name w:val="Tablo yazısı (4) Exact"/>
    <w:link w:val="Tabloyazs4"/>
    <w:uiPriority w:val="99"/>
    <w:locked/>
    <w:rsid w:val="00A81419"/>
    <w:rPr>
      <w:rFonts w:ascii="Arial" w:hAnsi="Arial" w:cs="Arial"/>
      <w:b/>
      <w:bCs/>
      <w:spacing w:val="1"/>
      <w:sz w:val="18"/>
      <w:szCs w:val="18"/>
      <w:shd w:val="clear" w:color="auto" w:fill="FFFFFF"/>
    </w:rPr>
  </w:style>
  <w:style w:type="character" w:customStyle="1" w:styleId="GvdemetniArial8">
    <w:name w:val="Gövde metni + Arial8"/>
    <w:aliases w:val="10,5 pt43,Kalın25"/>
    <w:uiPriority w:val="99"/>
    <w:rsid w:val="00A81419"/>
    <w:rPr>
      <w:rFonts w:ascii="Arial" w:hAnsi="Arial" w:cs="Arial"/>
      <w:b/>
      <w:bCs/>
      <w:spacing w:val="2"/>
      <w:sz w:val="21"/>
      <w:szCs w:val="21"/>
      <w:u w:val="none"/>
    </w:rPr>
  </w:style>
  <w:style w:type="character" w:customStyle="1" w:styleId="Gvdemetni581">
    <w:name w:val="Gövde metni (5) + 81"/>
    <w:aliases w:val="5 pt42,İtalik24"/>
    <w:uiPriority w:val="99"/>
    <w:rsid w:val="00A81419"/>
    <w:rPr>
      <w:rFonts w:ascii="Times New Roman" w:hAnsi="Times New Roman" w:cs="Times New Roman"/>
      <w:i/>
      <w:iCs/>
      <w:sz w:val="17"/>
      <w:szCs w:val="17"/>
      <w:u w:val="single"/>
    </w:rPr>
  </w:style>
  <w:style w:type="character" w:customStyle="1" w:styleId="Gvdemetni5pt4">
    <w:name w:val="Gövde metni + 5 pt4"/>
    <w:aliases w:val="İtalik23,0 pt boşluk bırakılıyor20"/>
    <w:uiPriority w:val="99"/>
    <w:rsid w:val="00A81419"/>
    <w:rPr>
      <w:rFonts w:ascii="Times New Roman" w:hAnsi="Times New Roman" w:cs="Times New Roman"/>
      <w:i/>
      <w:iCs/>
      <w:spacing w:val="-4"/>
      <w:sz w:val="10"/>
      <w:szCs w:val="10"/>
      <w:u w:val="none"/>
    </w:rPr>
  </w:style>
  <w:style w:type="character" w:customStyle="1" w:styleId="GvdemetniArial7">
    <w:name w:val="Gövde metni + Arial7"/>
    <w:aliases w:val="4 pt4,0 pt boşluk bırakılıyor19"/>
    <w:uiPriority w:val="99"/>
    <w:rsid w:val="00A81419"/>
    <w:rPr>
      <w:rFonts w:ascii="Arial" w:hAnsi="Arial" w:cs="Arial"/>
      <w:spacing w:val="1"/>
      <w:sz w:val="8"/>
      <w:szCs w:val="8"/>
      <w:u w:val="none"/>
    </w:rPr>
  </w:style>
  <w:style w:type="character" w:customStyle="1" w:styleId="Gvdemetni5pt3">
    <w:name w:val="Gövde metni + 5 pt3"/>
    <w:aliases w:val="0 pt boşluk bırakılıyor18"/>
    <w:uiPriority w:val="99"/>
    <w:rsid w:val="00A81419"/>
    <w:rPr>
      <w:rFonts w:ascii="Times New Roman" w:hAnsi="Times New Roman" w:cs="Times New Roman"/>
      <w:spacing w:val="5"/>
      <w:sz w:val="10"/>
      <w:szCs w:val="10"/>
      <w:u w:val="none"/>
    </w:rPr>
  </w:style>
  <w:style w:type="character" w:customStyle="1" w:styleId="GvdemetniCenturyGothic">
    <w:name w:val="Gövde metni + Century Gothic"/>
    <w:aliases w:val="15,5 pt41,İtalik22,0 pt boşluk bırakılıyor17"/>
    <w:uiPriority w:val="99"/>
    <w:rsid w:val="00A81419"/>
    <w:rPr>
      <w:rFonts w:ascii="Century Gothic" w:hAnsi="Century Gothic" w:cs="Century Gothic"/>
      <w:i/>
      <w:iCs/>
      <w:noProof/>
      <w:sz w:val="31"/>
      <w:szCs w:val="31"/>
      <w:u w:val="none"/>
    </w:rPr>
  </w:style>
  <w:style w:type="character" w:customStyle="1" w:styleId="GvdemetniFranklinGothicHeavy4">
    <w:name w:val="Gövde metni + Franklin Gothic Heavy4"/>
    <w:aliases w:val="54,5 pt40,0 pt boşluk bırakılıyor16"/>
    <w:uiPriority w:val="99"/>
    <w:rsid w:val="00A81419"/>
    <w:rPr>
      <w:rFonts w:ascii="Franklin Gothic Heavy" w:hAnsi="Franklin Gothic Heavy" w:cs="Franklin Gothic Heavy"/>
      <w:spacing w:val="10"/>
      <w:sz w:val="11"/>
      <w:szCs w:val="11"/>
      <w:u w:val="none"/>
    </w:rPr>
  </w:style>
  <w:style w:type="character" w:customStyle="1" w:styleId="GvdemetniArial6">
    <w:name w:val="Gövde metni + Arial6"/>
    <w:aliases w:val="4 pt3,0 pt boşluk bırakılıyor15"/>
    <w:uiPriority w:val="99"/>
    <w:rsid w:val="00A81419"/>
    <w:rPr>
      <w:rFonts w:ascii="Arial" w:hAnsi="Arial" w:cs="Arial"/>
      <w:spacing w:val="1"/>
      <w:sz w:val="8"/>
      <w:szCs w:val="8"/>
      <w:u w:val="none"/>
    </w:rPr>
  </w:style>
  <w:style w:type="character" w:customStyle="1" w:styleId="GvdemetniGeorgia">
    <w:name w:val="Gövde metni + Georgia"/>
    <w:aliases w:val="6 pt4,0 pt boşluk bırakılıyor14"/>
    <w:uiPriority w:val="99"/>
    <w:rsid w:val="00A81419"/>
    <w:rPr>
      <w:rFonts w:ascii="Georgia" w:hAnsi="Georgia" w:cs="Georgia"/>
      <w:noProof/>
      <w:sz w:val="12"/>
      <w:szCs w:val="12"/>
      <w:u w:val="none"/>
    </w:rPr>
  </w:style>
  <w:style w:type="character" w:customStyle="1" w:styleId="GvdemetniFranklinGothicHeavy3">
    <w:name w:val="Gövde metni + Franklin Gothic Heavy3"/>
    <w:aliases w:val="53,5 pt39,2 pt boşluk bırakılıyor1"/>
    <w:uiPriority w:val="99"/>
    <w:rsid w:val="00A81419"/>
    <w:rPr>
      <w:rFonts w:ascii="Franklin Gothic Heavy" w:hAnsi="Franklin Gothic Heavy" w:cs="Franklin Gothic Heavy"/>
      <w:spacing w:val="49"/>
      <w:sz w:val="11"/>
      <w:szCs w:val="11"/>
      <w:u w:val="none"/>
    </w:rPr>
  </w:style>
  <w:style w:type="character" w:customStyle="1" w:styleId="Gvdemetni5pt2">
    <w:name w:val="Gövde metni + 5 pt2"/>
    <w:aliases w:val="İtalik21,0 pt boşluk bırakılıyor13"/>
    <w:uiPriority w:val="99"/>
    <w:rsid w:val="00A81419"/>
    <w:rPr>
      <w:rFonts w:ascii="Times New Roman" w:hAnsi="Times New Roman" w:cs="Times New Roman"/>
      <w:i/>
      <w:iCs/>
      <w:noProof/>
      <w:spacing w:val="-4"/>
      <w:sz w:val="10"/>
      <w:szCs w:val="10"/>
      <w:u w:val="none"/>
    </w:rPr>
  </w:style>
  <w:style w:type="character" w:customStyle="1" w:styleId="GvdemetniArial5">
    <w:name w:val="Gövde metni + Arial5"/>
    <w:aliases w:val="4 pt2,0 pt boşluk bırakılıyor12"/>
    <w:uiPriority w:val="99"/>
    <w:rsid w:val="00A81419"/>
    <w:rPr>
      <w:rFonts w:ascii="Arial" w:hAnsi="Arial" w:cs="Arial"/>
      <w:noProof/>
      <w:spacing w:val="1"/>
      <w:sz w:val="8"/>
      <w:szCs w:val="8"/>
      <w:u w:val="none"/>
    </w:rPr>
  </w:style>
  <w:style w:type="character" w:customStyle="1" w:styleId="GvdemetniArial4">
    <w:name w:val="Gövde metni + Arial4"/>
    <w:aliases w:val="4 pt1,0 pt boşluk bırakılıyor11"/>
    <w:uiPriority w:val="99"/>
    <w:rsid w:val="00A81419"/>
    <w:rPr>
      <w:rFonts w:ascii="Arial" w:hAnsi="Arial" w:cs="Arial"/>
      <w:spacing w:val="1"/>
      <w:sz w:val="8"/>
      <w:szCs w:val="8"/>
      <w:u w:val="none"/>
    </w:rPr>
  </w:style>
  <w:style w:type="character" w:customStyle="1" w:styleId="GvdemetniGeorgia2">
    <w:name w:val="Gövde metni + Georgia2"/>
    <w:aliases w:val="6 pt3,0 pt boşluk bırakılıyor10"/>
    <w:uiPriority w:val="99"/>
    <w:rsid w:val="00A81419"/>
    <w:rPr>
      <w:rFonts w:ascii="Georgia" w:hAnsi="Georgia" w:cs="Georgia"/>
      <w:noProof/>
      <w:sz w:val="12"/>
      <w:szCs w:val="12"/>
      <w:u w:val="none"/>
    </w:rPr>
  </w:style>
  <w:style w:type="character" w:customStyle="1" w:styleId="GvdemetniFranklinGothicHeavy2">
    <w:name w:val="Gövde metni + Franklin Gothic Heavy2"/>
    <w:aliases w:val="52,5 pt38,0 pt boşluk bırakılıyor9"/>
    <w:uiPriority w:val="99"/>
    <w:rsid w:val="00A81419"/>
    <w:rPr>
      <w:rFonts w:ascii="Franklin Gothic Heavy" w:hAnsi="Franklin Gothic Heavy" w:cs="Franklin Gothic Heavy"/>
      <w:spacing w:val="10"/>
      <w:sz w:val="11"/>
      <w:szCs w:val="11"/>
      <w:u w:val="none"/>
    </w:rPr>
  </w:style>
  <w:style w:type="character" w:customStyle="1" w:styleId="GvdemetniCenturyGothic1">
    <w:name w:val="Gövde metni + Century Gothic1"/>
    <w:aliases w:val="151,5 pt37,İtalik20,0 pt boşluk bırakılıyor8"/>
    <w:uiPriority w:val="99"/>
    <w:rsid w:val="00A81419"/>
    <w:rPr>
      <w:rFonts w:ascii="Century Gothic" w:hAnsi="Century Gothic" w:cs="Century Gothic"/>
      <w:i/>
      <w:iCs/>
      <w:noProof/>
      <w:sz w:val="31"/>
      <w:szCs w:val="31"/>
      <w:u w:val="none"/>
    </w:rPr>
  </w:style>
  <w:style w:type="character" w:customStyle="1" w:styleId="Tabloyazs5Exact">
    <w:name w:val="Tablo yazısı (5) Exact"/>
    <w:link w:val="Tabloyazs5"/>
    <w:uiPriority w:val="99"/>
    <w:locked/>
    <w:rsid w:val="00A81419"/>
    <w:rPr>
      <w:rFonts w:ascii="Times New Roman" w:hAnsi="Times New Roman" w:cs="Times New Roman"/>
      <w:spacing w:val="5"/>
      <w:sz w:val="10"/>
      <w:szCs w:val="10"/>
      <w:shd w:val="clear" w:color="auto" w:fill="FFFFFF"/>
    </w:rPr>
  </w:style>
  <w:style w:type="character" w:customStyle="1" w:styleId="Tabloyazs5Exact3">
    <w:name w:val="Tablo yazısı (5) Exact3"/>
    <w:uiPriority w:val="99"/>
    <w:rsid w:val="00A81419"/>
  </w:style>
  <w:style w:type="character" w:customStyle="1" w:styleId="Tabloyazs5Exact2">
    <w:name w:val="Tablo yazısı (5) Exact2"/>
    <w:uiPriority w:val="99"/>
    <w:rsid w:val="00A81419"/>
  </w:style>
  <w:style w:type="character" w:customStyle="1" w:styleId="Tabloyazs5Exact1">
    <w:name w:val="Tablo yazısı (5) Exact1"/>
    <w:uiPriority w:val="99"/>
    <w:rsid w:val="00A81419"/>
  </w:style>
  <w:style w:type="character" w:customStyle="1" w:styleId="Tabloyazs50ptbolukbraklyorExact">
    <w:name w:val="Tablo yazısı (5) + 0 pt boşluk bırakılıyor Exact"/>
    <w:uiPriority w:val="99"/>
    <w:rsid w:val="00A81419"/>
    <w:rPr>
      <w:rFonts w:ascii="Times New Roman" w:hAnsi="Times New Roman" w:cs="Times New Roman"/>
      <w:spacing w:val="4"/>
      <w:sz w:val="10"/>
      <w:szCs w:val="10"/>
      <w:u w:val="none"/>
    </w:rPr>
  </w:style>
  <w:style w:type="character" w:customStyle="1" w:styleId="Tabloyazs50ptbolukbraklyorExact2">
    <w:name w:val="Tablo yazısı (5) + 0 pt boşluk bırakılıyor Exact2"/>
    <w:uiPriority w:val="99"/>
    <w:rsid w:val="00A81419"/>
    <w:rPr>
      <w:rFonts w:ascii="Times New Roman" w:hAnsi="Times New Roman" w:cs="Times New Roman"/>
      <w:noProof/>
      <w:spacing w:val="0"/>
      <w:sz w:val="10"/>
      <w:szCs w:val="10"/>
      <w:u w:val="none"/>
    </w:rPr>
  </w:style>
  <w:style w:type="character" w:customStyle="1" w:styleId="Tabloyazs50ptbolukbraklyorExact1">
    <w:name w:val="Tablo yazısı (5) + 0 pt boşluk bırakılıyor Exact1"/>
    <w:uiPriority w:val="99"/>
    <w:rsid w:val="00A81419"/>
    <w:rPr>
      <w:rFonts w:ascii="Times New Roman" w:hAnsi="Times New Roman" w:cs="Times New Roman"/>
      <w:noProof/>
      <w:spacing w:val="0"/>
      <w:sz w:val="10"/>
      <w:szCs w:val="10"/>
      <w:u w:val="none"/>
    </w:rPr>
  </w:style>
  <w:style w:type="character" w:customStyle="1" w:styleId="Tabloyazs6Exact">
    <w:name w:val="Tablo yazısı (6) Exact"/>
    <w:link w:val="Tabloyazs6"/>
    <w:uiPriority w:val="99"/>
    <w:locked/>
    <w:rsid w:val="00A81419"/>
    <w:rPr>
      <w:rFonts w:ascii="Times New Roman" w:hAnsi="Times New Roman" w:cs="Times New Roman"/>
      <w:spacing w:val="-2"/>
      <w:sz w:val="14"/>
      <w:szCs w:val="14"/>
      <w:shd w:val="clear" w:color="auto" w:fill="FFFFFF"/>
    </w:rPr>
  </w:style>
  <w:style w:type="character" w:customStyle="1" w:styleId="Tabloyazs6Exact1">
    <w:name w:val="Tablo yazısı (6) Exact1"/>
    <w:uiPriority w:val="99"/>
    <w:rsid w:val="00A81419"/>
  </w:style>
  <w:style w:type="character" w:customStyle="1" w:styleId="Gvdemetni0ptbolukbraklyorExact">
    <w:name w:val="Gövde metni + 0 pt boşluk bırakılıyor Exact"/>
    <w:uiPriority w:val="99"/>
    <w:rsid w:val="00A81419"/>
    <w:rPr>
      <w:rFonts w:ascii="Times New Roman" w:hAnsi="Times New Roman" w:cs="Times New Roman"/>
      <w:spacing w:val="5"/>
      <w:sz w:val="19"/>
      <w:szCs w:val="19"/>
      <w:u w:val="none"/>
    </w:rPr>
  </w:style>
  <w:style w:type="character" w:customStyle="1" w:styleId="Gvdemetni42Exact">
    <w:name w:val="Gövde metni (42) Exact"/>
    <w:link w:val="Gvdemetni42"/>
    <w:uiPriority w:val="99"/>
    <w:locked/>
    <w:rsid w:val="00A81419"/>
    <w:rPr>
      <w:rFonts w:ascii="Times New Roman" w:hAnsi="Times New Roman" w:cs="Times New Roman"/>
      <w:spacing w:val="5"/>
      <w:sz w:val="10"/>
      <w:szCs w:val="10"/>
      <w:shd w:val="clear" w:color="auto" w:fill="FFFFFF"/>
    </w:rPr>
  </w:style>
  <w:style w:type="character" w:customStyle="1" w:styleId="Gvdemetni42Exact2">
    <w:name w:val="Gövde metni (42) Exact2"/>
    <w:uiPriority w:val="99"/>
    <w:rsid w:val="00A81419"/>
  </w:style>
  <w:style w:type="character" w:customStyle="1" w:styleId="Gvdemetni0ptbolukbraklyorExact3">
    <w:name w:val="Gövde metni + 0 pt boşluk bırakılıyor Exact3"/>
    <w:uiPriority w:val="99"/>
    <w:rsid w:val="00A81419"/>
    <w:rPr>
      <w:rFonts w:ascii="Times New Roman" w:hAnsi="Times New Roman" w:cs="Times New Roman"/>
      <w:spacing w:val="5"/>
      <w:sz w:val="19"/>
      <w:szCs w:val="19"/>
      <w:u w:val="single"/>
    </w:rPr>
  </w:style>
  <w:style w:type="character" w:customStyle="1" w:styleId="Gvdemetni43Exact">
    <w:name w:val="Gövde metni (43) Exact"/>
    <w:link w:val="Gvdemetni43"/>
    <w:uiPriority w:val="99"/>
    <w:locked/>
    <w:rsid w:val="00A81419"/>
    <w:rPr>
      <w:rFonts w:ascii="Arial" w:hAnsi="Arial" w:cs="Arial"/>
      <w:b/>
      <w:bCs/>
      <w:sz w:val="12"/>
      <w:szCs w:val="12"/>
      <w:shd w:val="clear" w:color="auto" w:fill="FFFFFF"/>
    </w:rPr>
  </w:style>
  <w:style w:type="character" w:customStyle="1" w:styleId="Gvdemetni43Exact1">
    <w:name w:val="Gövde metni (43) Exact1"/>
    <w:uiPriority w:val="99"/>
    <w:rsid w:val="00A81419"/>
  </w:style>
  <w:style w:type="character" w:customStyle="1" w:styleId="Gvdemetni43TimesNewRoman">
    <w:name w:val="Gövde metni (43) + Times New Roman"/>
    <w:aliases w:val="93,5 pt36,Kalın Değil10,0 pt boşluk bırakılıyor Exact7"/>
    <w:uiPriority w:val="99"/>
    <w:rsid w:val="00A81419"/>
    <w:rPr>
      <w:rFonts w:ascii="Times New Roman" w:hAnsi="Times New Roman" w:cs="Times New Roman"/>
      <w:b w:val="0"/>
      <w:bCs w:val="0"/>
      <w:noProof/>
      <w:spacing w:val="5"/>
      <w:sz w:val="19"/>
      <w:szCs w:val="19"/>
      <w:u w:val="none"/>
    </w:rPr>
  </w:style>
  <w:style w:type="character" w:customStyle="1" w:styleId="Gvdemetni44Exact">
    <w:name w:val="Gövde metni (44) Exact"/>
    <w:link w:val="Gvdemetni44"/>
    <w:uiPriority w:val="99"/>
    <w:locked/>
    <w:rsid w:val="00A81419"/>
    <w:rPr>
      <w:rFonts w:ascii="Georgia" w:hAnsi="Georgia" w:cs="Georgia"/>
      <w:sz w:val="20"/>
      <w:szCs w:val="20"/>
      <w:shd w:val="clear" w:color="auto" w:fill="FFFFFF"/>
    </w:rPr>
  </w:style>
  <w:style w:type="character" w:customStyle="1" w:styleId="Gvdemetni44Exact1">
    <w:name w:val="Gövde metni (44) Exact1"/>
    <w:uiPriority w:val="99"/>
    <w:rsid w:val="00A81419"/>
  </w:style>
  <w:style w:type="character" w:customStyle="1" w:styleId="Gvdemetni45Exact">
    <w:name w:val="Gövde metni (45) Exact"/>
    <w:link w:val="Gvdemetni45"/>
    <w:uiPriority w:val="99"/>
    <w:locked/>
    <w:rsid w:val="00A81419"/>
    <w:rPr>
      <w:rFonts w:ascii="Lucida Sans Unicode" w:hAnsi="Lucida Sans Unicode" w:cs="Lucida Sans Unicode"/>
      <w:noProof/>
      <w:sz w:val="38"/>
      <w:szCs w:val="38"/>
      <w:shd w:val="clear" w:color="auto" w:fill="FFFFFF"/>
    </w:rPr>
  </w:style>
  <w:style w:type="character" w:customStyle="1" w:styleId="Gvdemetni46Exact">
    <w:name w:val="Gövde metni (46) Exact"/>
    <w:link w:val="Gvdemetni46"/>
    <w:uiPriority w:val="99"/>
    <w:locked/>
    <w:rsid w:val="00A81419"/>
    <w:rPr>
      <w:rFonts w:ascii="Arial" w:hAnsi="Arial" w:cs="Arial"/>
      <w:b/>
      <w:bCs/>
      <w:sz w:val="12"/>
      <w:szCs w:val="12"/>
      <w:shd w:val="clear" w:color="auto" w:fill="FFFFFF"/>
    </w:rPr>
  </w:style>
  <w:style w:type="character" w:customStyle="1" w:styleId="Gvdemetni46Exact3">
    <w:name w:val="Gövde metni (46) Exact3"/>
    <w:uiPriority w:val="99"/>
    <w:rsid w:val="00A81419"/>
    <w:rPr>
      <w:rFonts w:ascii="Arial" w:hAnsi="Arial" w:cs="Arial"/>
      <w:b/>
      <w:bCs/>
      <w:noProof/>
      <w:sz w:val="12"/>
      <w:szCs w:val="12"/>
      <w:u w:val="none"/>
    </w:rPr>
  </w:style>
  <w:style w:type="character" w:customStyle="1" w:styleId="Gvdemetni46Exact2">
    <w:name w:val="Gövde metni (46) Exact2"/>
    <w:uiPriority w:val="99"/>
    <w:rsid w:val="00A81419"/>
  </w:style>
  <w:style w:type="character" w:customStyle="1" w:styleId="Gvdemetni46Exact1">
    <w:name w:val="Gövde metni (46) Exact1"/>
    <w:uiPriority w:val="99"/>
    <w:rsid w:val="00A81419"/>
    <w:rPr>
      <w:rFonts w:ascii="Arial" w:hAnsi="Arial" w:cs="Arial"/>
      <w:b/>
      <w:bCs/>
      <w:sz w:val="12"/>
      <w:szCs w:val="12"/>
      <w:u w:val="single"/>
    </w:rPr>
  </w:style>
  <w:style w:type="character" w:customStyle="1" w:styleId="Gvdemetni46TimesNewRoman">
    <w:name w:val="Gövde metni (46) + Times New Roman"/>
    <w:aliases w:val="92,5 pt35,Kalın Değil9,0 pt boşluk bırakılıyor Exact6"/>
    <w:uiPriority w:val="99"/>
    <w:rsid w:val="00A81419"/>
    <w:rPr>
      <w:rFonts w:ascii="Times New Roman" w:hAnsi="Times New Roman" w:cs="Times New Roman"/>
      <w:b w:val="0"/>
      <w:bCs w:val="0"/>
      <w:noProof/>
      <w:spacing w:val="1"/>
      <w:sz w:val="19"/>
      <w:szCs w:val="19"/>
      <w:u w:val="none"/>
    </w:rPr>
  </w:style>
  <w:style w:type="character" w:customStyle="1" w:styleId="Gvdemetni0ptbolukbraklyorExact2">
    <w:name w:val="Gövde metni + 0 pt boşluk bırakılıyor Exact2"/>
    <w:uiPriority w:val="99"/>
    <w:rsid w:val="00A81419"/>
    <w:rPr>
      <w:rFonts w:ascii="Times New Roman" w:hAnsi="Times New Roman" w:cs="Times New Roman"/>
      <w:noProof/>
      <w:spacing w:val="5"/>
      <w:sz w:val="19"/>
      <w:szCs w:val="19"/>
      <w:u w:val="none"/>
    </w:rPr>
  </w:style>
  <w:style w:type="character" w:customStyle="1" w:styleId="Gvdemetni47Exact">
    <w:name w:val="Gövde metni (47) Exact"/>
    <w:link w:val="Gvdemetni47"/>
    <w:uiPriority w:val="99"/>
    <w:locked/>
    <w:rsid w:val="00A81419"/>
    <w:rPr>
      <w:rFonts w:ascii="Times New Roman" w:hAnsi="Times New Roman" w:cs="Times New Roman"/>
      <w:spacing w:val="10"/>
      <w:sz w:val="13"/>
      <w:szCs w:val="13"/>
      <w:shd w:val="clear" w:color="auto" w:fill="FFFFFF"/>
    </w:rPr>
  </w:style>
  <w:style w:type="character" w:customStyle="1" w:styleId="Gvdemetni47Exact1">
    <w:name w:val="Gövde metni (47) Exact1"/>
    <w:uiPriority w:val="99"/>
    <w:rsid w:val="00A81419"/>
    <w:rPr>
      <w:rFonts w:ascii="Times New Roman" w:hAnsi="Times New Roman" w:cs="Times New Roman"/>
      <w:spacing w:val="10"/>
      <w:sz w:val="13"/>
      <w:szCs w:val="13"/>
      <w:u w:val="single"/>
    </w:rPr>
  </w:style>
  <w:style w:type="character" w:customStyle="1" w:styleId="Gvdemetni474pt">
    <w:name w:val="Gövde metni (47) + 4 pt"/>
    <w:aliases w:val="Kalın24,0 pt boşluk bırakılıyor Exact5"/>
    <w:uiPriority w:val="99"/>
    <w:rsid w:val="00A81419"/>
    <w:rPr>
      <w:rFonts w:ascii="Times New Roman" w:hAnsi="Times New Roman" w:cs="Times New Roman"/>
      <w:b/>
      <w:bCs/>
      <w:noProof/>
      <w:spacing w:val="0"/>
      <w:sz w:val="8"/>
      <w:szCs w:val="8"/>
      <w:u w:val="single"/>
    </w:rPr>
  </w:style>
  <w:style w:type="character" w:customStyle="1" w:styleId="Gvdemetni5pt1">
    <w:name w:val="Gövde metni + 5 pt1"/>
    <w:aliases w:val="0 pt boşluk bırakılıyor7"/>
    <w:uiPriority w:val="99"/>
    <w:rsid w:val="00A81419"/>
    <w:rPr>
      <w:rFonts w:ascii="Times New Roman" w:hAnsi="Times New Roman" w:cs="Times New Roman"/>
      <w:spacing w:val="5"/>
      <w:sz w:val="10"/>
      <w:szCs w:val="10"/>
      <w:u w:val="none"/>
    </w:rPr>
  </w:style>
  <w:style w:type="character" w:customStyle="1" w:styleId="Gvdemetni48Exact">
    <w:name w:val="Gövde metni (48) Exact"/>
    <w:link w:val="Gvdemetni48"/>
    <w:uiPriority w:val="99"/>
    <w:locked/>
    <w:rsid w:val="00A81419"/>
    <w:rPr>
      <w:rFonts w:ascii="Georgia" w:hAnsi="Georgia" w:cs="Georgia"/>
      <w:i/>
      <w:iCs/>
      <w:noProof/>
      <w:sz w:val="20"/>
      <w:szCs w:val="20"/>
      <w:shd w:val="clear" w:color="auto" w:fill="FFFFFF"/>
    </w:rPr>
  </w:style>
  <w:style w:type="character" w:customStyle="1" w:styleId="Gvdemetni48Exact1">
    <w:name w:val="Gövde metni (48) Exact1"/>
    <w:uiPriority w:val="99"/>
    <w:rsid w:val="00A81419"/>
  </w:style>
  <w:style w:type="character" w:customStyle="1" w:styleId="Gvdemetni42Exact1">
    <w:name w:val="Gövde metni (42) Exact1"/>
    <w:uiPriority w:val="99"/>
    <w:rsid w:val="00A81419"/>
  </w:style>
  <w:style w:type="character" w:customStyle="1" w:styleId="Gvdemetni49Exact">
    <w:name w:val="Gövde metni (49) Exact"/>
    <w:link w:val="Gvdemetni49"/>
    <w:uiPriority w:val="99"/>
    <w:locked/>
    <w:rsid w:val="00A81419"/>
    <w:rPr>
      <w:rFonts w:ascii="Arial" w:hAnsi="Arial" w:cs="Arial"/>
      <w:i/>
      <w:iCs/>
      <w:noProof/>
      <w:sz w:val="20"/>
      <w:szCs w:val="20"/>
      <w:shd w:val="clear" w:color="auto" w:fill="FFFFFF"/>
    </w:rPr>
  </w:style>
  <w:style w:type="character" w:customStyle="1" w:styleId="Gvdemetni49Exact1">
    <w:name w:val="Gövde metni (49) Exact1"/>
    <w:uiPriority w:val="99"/>
    <w:rsid w:val="00A81419"/>
  </w:style>
  <w:style w:type="character" w:customStyle="1" w:styleId="Gvdemetni210ptbolukbraklyorExact">
    <w:name w:val="Gövde metni (21) + 0 pt boşluk bırakılıyor Exact"/>
    <w:uiPriority w:val="99"/>
    <w:rsid w:val="00A81419"/>
    <w:rPr>
      <w:rFonts w:ascii="Arial" w:hAnsi="Arial" w:cs="Arial"/>
      <w:b/>
      <w:bCs/>
      <w:color w:val="000000"/>
      <w:spacing w:val="2"/>
      <w:w w:val="100"/>
      <w:position w:val="0"/>
      <w:sz w:val="15"/>
      <w:szCs w:val="15"/>
      <w:u w:val="none"/>
    </w:rPr>
  </w:style>
  <w:style w:type="character" w:customStyle="1" w:styleId="Gvdemetni256">
    <w:name w:val="Gövde metni (25) + 6"/>
    <w:aliases w:val="5 pt34,0 pt boşluk bırakılıyor Exact4"/>
    <w:uiPriority w:val="99"/>
    <w:rsid w:val="00A81419"/>
    <w:rPr>
      <w:rFonts w:ascii="Arial" w:hAnsi="Arial" w:cs="Arial"/>
      <w:b/>
      <w:bCs/>
      <w:color w:val="000000"/>
      <w:spacing w:val="2"/>
      <w:w w:val="100"/>
      <w:position w:val="0"/>
      <w:sz w:val="13"/>
      <w:szCs w:val="13"/>
      <w:u w:val="none"/>
    </w:rPr>
  </w:style>
  <w:style w:type="character" w:customStyle="1" w:styleId="Gvdemetni250">
    <w:name w:val="Gövde metni (25)_"/>
    <w:link w:val="Gvdemetni251"/>
    <w:uiPriority w:val="99"/>
    <w:locked/>
    <w:rsid w:val="00A81419"/>
    <w:rPr>
      <w:rFonts w:ascii="Arial" w:hAnsi="Arial" w:cs="Arial"/>
      <w:b/>
      <w:bCs/>
      <w:sz w:val="13"/>
      <w:szCs w:val="13"/>
      <w:shd w:val="clear" w:color="auto" w:fill="FFFFFF"/>
    </w:rPr>
  </w:style>
  <w:style w:type="character" w:customStyle="1" w:styleId="Gvdemetni257pt">
    <w:name w:val="Gövde metni (25) + 7 pt"/>
    <w:uiPriority w:val="99"/>
    <w:rsid w:val="00A81419"/>
    <w:rPr>
      <w:rFonts w:ascii="Arial" w:hAnsi="Arial" w:cs="Arial"/>
      <w:b/>
      <w:bCs/>
      <w:sz w:val="14"/>
      <w:szCs w:val="14"/>
      <w:u w:val="none"/>
    </w:rPr>
  </w:style>
  <w:style w:type="character" w:customStyle="1" w:styleId="Gvdemetni210">
    <w:name w:val="Gövde metni (21)_"/>
    <w:link w:val="Gvdemetni211"/>
    <w:uiPriority w:val="99"/>
    <w:locked/>
    <w:rsid w:val="00A81419"/>
    <w:rPr>
      <w:rFonts w:ascii="Arial" w:hAnsi="Arial" w:cs="Arial"/>
      <w:b/>
      <w:bCs/>
      <w:sz w:val="16"/>
      <w:szCs w:val="16"/>
      <w:shd w:val="clear" w:color="auto" w:fill="FFFFFF"/>
    </w:rPr>
  </w:style>
  <w:style w:type="character" w:customStyle="1" w:styleId="Gvdemetni212">
    <w:name w:val="Gövde metni (21)"/>
    <w:uiPriority w:val="99"/>
    <w:rsid w:val="00A81419"/>
  </w:style>
  <w:style w:type="character" w:customStyle="1" w:styleId="Gvdemetni258pt">
    <w:name w:val="Gövde metni (25) + 8 pt"/>
    <w:uiPriority w:val="99"/>
    <w:rsid w:val="00A81419"/>
    <w:rPr>
      <w:rFonts w:ascii="Arial" w:hAnsi="Arial" w:cs="Arial"/>
      <w:b/>
      <w:bCs/>
      <w:sz w:val="16"/>
      <w:szCs w:val="16"/>
      <w:u w:val="none"/>
    </w:rPr>
  </w:style>
  <w:style w:type="character" w:customStyle="1" w:styleId="Gvdemetni50Exact">
    <w:name w:val="Gövde metni (50) Exact"/>
    <w:link w:val="Gvdemetni500"/>
    <w:uiPriority w:val="99"/>
    <w:locked/>
    <w:rsid w:val="00A81419"/>
    <w:rPr>
      <w:rFonts w:ascii="Arial" w:hAnsi="Arial" w:cs="Arial"/>
      <w:spacing w:val="-2"/>
      <w:sz w:val="11"/>
      <w:szCs w:val="11"/>
      <w:shd w:val="clear" w:color="auto" w:fill="FFFFFF"/>
    </w:rPr>
  </w:style>
  <w:style w:type="character" w:customStyle="1" w:styleId="Gvdemetni50Exact1">
    <w:name w:val="Gövde metni (50) Exact1"/>
    <w:uiPriority w:val="99"/>
    <w:rsid w:val="00A81419"/>
  </w:style>
  <w:style w:type="character" w:customStyle="1" w:styleId="GvdemetniArial3">
    <w:name w:val="Gövde metni + Arial3"/>
    <w:aliases w:val="51,5 pt33,0 pt boşluk bırakılıyor6"/>
    <w:uiPriority w:val="99"/>
    <w:rsid w:val="00A81419"/>
    <w:rPr>
      <w:rFonts w:ascii="Arial" w:hAnsi="Arial" w:cs="Arial"/>
      <w:spacing w:val="3"/>
      <w:sz w:val="11"/>
      <w:szCs w:val="11"/>
      <w:u w:val="none"/>
    </w:rPr>
  </w:style>
  <w:style w:type="character" w:customStyle="1" w:styleId="GvdemetniFranklinGothicHeavy1">
    <w:name w:val="Gövde metni + Franklin Gothic Heavy1"/>
    <w:aliases w:val="23 pt,0 pt boşluk bırakılıyor5"/>
    <w:uiPriority w:val="99"/>
    <w:rsid w:val="00A81419"/>
    <w:rPr>
      <w:rFonts w:ascii="Franklin Gothic Heavy" w:hAnsi="Franklin Gothic Heavy" w:cs="Franklin Gothic Heavy"/>
      <w:spacing w:val="3"/>
      <w:sz w:val="46"/>
      <w:szCs w:val="46"/>
      <w:u w:val="none"/>
    </w:rPr>
  </w:style>
  <w:style w:type="character" w:customStyle="1" w:styleId="GvdemetniGeorgia1">
    <w:name w:val="Gövde metni + Georgia1"/>
    <w:aliases w:val="10 pt1,İtalik19,0 pt boşluk bırakılıyor4"/>
    <w:uiPriority w:val="99"/>
    <w:rsid w:val="00A81419"/>
    <w:rPr>
      <w:rFonts w:ascii="Georgia" w:hAnsi="Georgia" w:cs="Georgia"/>
      <w:i/>
      <w:iCs/>
      <w:noProof/>
      <w:sz w:val="20"/>
      <w:szCs w:val="20"/>
      <w:u w:val="none"/>
    </w:rPr>
  </w:style>
  <w:style w:type="character" w:customStyle="1" w:styleId="Gvdemetni10pt10">
    <w:name w:val="Gövde metni + 10 pt10"/>
    <w:aliases w:val="0 pt boşluk bırakılıyor3"/>
    <w:uiPriority w:val="99"/>
    <w:rsid w:val="00A81419"/>
    <w:rPr>
      <w:rFonts w:ascii="Times New Roman" w:hAnsi="Times New Roman" w:cs="Times New Roman"/>
      <w:noProof/>
      <w:sz w:val="20"/>
      <w:szCs w:val="20"/>
      <w:u w:val="none"/>
    </w:rPr>
  </w:style>
  <w:style w:type="character" w:customStyle="1" w:styleId="Tabloyazs8Exact">
    <w:name w:val="Tablo yazısı (8) Exact"/>
    <w:link w:val="Tabloyazs80"/>
    <w:uiPriority w:val="99"/>
    <w:locked/>
    <w:rsid w:val="00A81419"/>
    <w:rPr>
      <w:rFonts w:ascii="Arial" w:hAnsi="Arial" w:cs="Arial"/>
      <w:spacing w:val="-2"/>
      <w:sz w:val="11"/>
      <w:szCs w:val="11"/>
      <w:shd w:val="clear" w:color="auto" w:fill="FFFFFF"/>
    </w:rPr>
  </w:style>
  <w:style w:type="character" w:customStyle="1" w:styleId="Tabloyazs8Exact2">
    <w:name w:val="Tablo yazısı (8) Exact2"/>
    <w:uiPriority w:val="99"/>
    <w:rsid w:val="00A81419"/>
  </w:style>
  <w:style w:type="character" w:customStyle="1" w:styleId="Tabloyazs8TimesNewRoman">
    <w:name w:val="Tablo yazısı (8) + Times New Roman"/>
    <w:aliases w:val="91,5 pt32,0 pt boşluk bırakılıyor Exact3"/>
    <w:uiPriority w:val="99"/>
    <w:rsid w:val="00A81419"/>
    <w:rPr>
      <w:rFonts w:ascii="Times New Roman" w:hAnsi="Times New Roman" w:cs="Times New Roman"/>
      <w:spacing w:val="5"/>
      <w:sz w:val="19"/>
      <w:szCs w:val="19"/>
      <w:u w:val="none"/>
    </w:rPr>
  </w:style>
  <w:style w:type="character" w:customStyle="1" w:styleId="Tabloyazs2Exact">
    <w:name w:val="Tablo yazısı (2) Exact"/>
    <w:uiPriority w:val="99"/>
    <w:rsid w:val="00A81419"/>
    <w:rPr>
      <w:rFonts w:ascii="Times New Roman" w:hAnsi="Times New Roman" w:cs="Times New Roman"/>
      <w:spacing w:val="2"/>
      <w:sz w:val="19"/>
      <w:szCs w:val="19"/>
      <w:u w:val="none"/>
    </w:rPr>
  </w:style>
  <w:style w:type="character" w:customStyle="1" w:styleId="Tabloyazs29pt">
    <w:name w:val="Tablo yazısı (2) + 9 pt"/>
    <w:aliases w:val="0 pt boşluk bırakılıyor Exact2"/>
    <w:uiPriority w:val="99"/>
    <w:rsid w:val="00A81419"/>
    <w:rPr>
      <w:rFonts w:ascii="Times New Roman" w:hAnsi="Times New Roman" w:cs="Times New Roman"/>
      <w:noProof/>
      <w:sz w:val="18"/>
      <w:szCs w:val="18"/>
      <w:u w:val="none"/>
    </w:rPr>
  </w:style>
  <w:style w:type="character" w:customStyle="1" w:styleId="Tabloyazs20ptbolukbraklyorExact">
    <w:name w:val="Tablo yazısı (2) + 0 pt boşluk bırakılıyor Exact"/>
    <w:uiPriority w:val="99"/>
    <w:rsid w:val="00A81419"/>
    <w:rPr>
      <w:rFonts w:ascii="Times New Roman" w:hAnsi="Times New Roman" w:cs="Times New Roman"/>
      <w:spacing w:val="5"/>
      <w:sz w:val="19"/>
      <w:szCs w:val="19"/>
      <w:u w:val="none"/>
    </w:rPr>
  </w:style>
  <w:style w:type="character" w:customStyle="1" w:styleId="Tabloyazs9Exact">
    <w:name w:val="Tablo yazısı (9) Exact"/>
    <w:link w:val="Tabloyazs9"/>
    <w:uiPriority w:val="99"/>
    <w:locked/>
    <w:rsid w:val="00A81419"/>
    <w:rPr>
      <w:rFonts w:ascii="Times New Roman" w:hAnsi="Times New Roman" w:cs="Times New Roman"/>
      <w:i/>
      <w:iCs/>
      <w:spacing w:val="23"/>
      <w:sz w:val="19"/>
      <w:szCs w:val="19"/>
      <w:shd w:val="clear" w:color="auto" w:fill="FFFFFF"/>
    </w:rPr>
  </w:style>
  <w:style w:type="character" w:customStyle="1" w:styleId="Tabloyazs9Exact1">
    <w:name w:val="Tablo yazısı (9) Exact1"/>
    <w:uiPriority w:val="99"/>
    <w:rsid w:val="00A81419"/>
  </w:style>
  <w:style w:type="character" w:customStyle="1" w:styleId="Tabloyazs8Exact1">
    <w:name w:val="Tablo yazısı (8) Exact1"/>
    <w:uiPriority w:val="99"/>
    <w:rsid w:val="00A81419"/>
  </w:style>
  <w:style w:type="character" w:customStyle="1" w:styleId="Tabloyazs10Exact">
    <w:name w:val="Tablo yazısı (10) Exact"/>
    <w:link w:val="Tabloyazs10"/>
    <w:uiPriority w:val="99"/>
    <w:locked/>
    <w:rsid w:val="00A81419"/>
    <w:rPr>
      <w:rFonts w:ascii="Times New Roman" w:hAnsi="Times New Roman" w:cs="Times New Roman"/>
      <w:sz w:val="14"/>
      <w:szCs w:val="14"/>
      <w:shd w:val="clear" w:color="auto" w:fill="FFFFFF"/>
    </w:rPr>
  </w:style>
  <w:style w:type="character" w:customStyle="1" w:styleId="Tabloyazs10Exact1">
    <w:name w:val="Tablo yazısı (10) Exact1"/>
    <w:uiPriority w:val="99"/>
    <w:rsid w:val="00A81419"/>
  </w:style>
  <w:style w:type="character" w:customStyle="1" w:styleId="Tabloyazs7">
    <w:name w:val="Tablo yazısı (7)_"/>
    <w:link w:val="Tabloyazs71"/>
    <w:uiPriority w:val="99"/>
    <w:locked/>
    <w:rsid w:val="00A81419"/>
    <w:rPr>
      <w:rFonts w:ascii="Times New Roman" w:hAnsi="Times New Roman" w:cs="Times New Roman"/>
      <w:sz w:val="20"/>
      <w:szCs w:val="20"/>
      <w:shd w:val="clear" w:color="auto" w:fill="FFFFFF"/>
    </w:rPr>
  </w:style>
  <w:style w:type="character" w:customStyle="1" w:styleId="Tabloyazs78">
    <w:name w:val="Tablo yazısı (7) + 8"/>
    <w:aliases w:val="5 pt31,İtalik18"/>
    <w:uiPriority w:val="99"/>
    <w:rsid w:val="00A81419"/>
    <w:rPr>
      <w:rFonts w:ascii="Times New Roman" w:hAnsi="Times New Roman" w:cs="Times New Roman"/>
      <w:i/>
      <w:iCs/>
      <w:sz w:val="17"/>
      <w:szCs w:val="17"/>
      <w:u w:val="none"/>
    </w:rPr>
  </w:style>
  <w:style w:type="character" w:customStyle="1" w:styleId="Tabloyazs781">
    <w:name w:val="Tablo yazısı (7) + 81"/>
    <w:aliases w:val="5 pt30,İtalik17"/>
    <w:uiPriority w:val="99"/>
    <w:rsid w:val="00A81419"/>
    <w:rPr>
      <w:rFonts w:ascii="Times New Roman" w:hAnsi="Times New Roman" w:cs="Times New Roman"/>
      <w:i/>
      <w:iCs/>
      <w:noProof/>
      <w:sz w:val="17"/>
      <w:szCs w:val="17"/>
      <w:u w:val="single"/>
    </w:rPr>
  </w:style>
  <w:style w:type="character" w:customStyle="1" w:styleId="Tabloyazs70">
    <w:name w:val="Tablo yazısı (7)"/>
    <w:uiPriority w:val="99"/>
    <w:rsid w:val="00A81419"/>
    <w:rPr>
      <w:rFonts w:ascii="Times New Roman" w:hAnsi="Times New Roman" w:cs="Times New Roman"/>
      <w:sz w:val="20"/>
      <w:szCs w:val="20"/>
      <w:u w:val="single"/>
    </w:rPr>
  </w:style>
  <w:style w:type="character" w:customStyle="1" w:styleId="Gvdemetni9pt3">
    <w:name w:val="Gövde metni + 9 pt3"/>
    <w:aliases w:val="Kalın23"/>
    <w:uiPriority w:val="99"/>
    <w:rsid w:val="00A81419"/>
    <w:rPr>
      <w:rFonts w:ascii="Times New Roman" w:hAnsi="Times New Roman" w:cs="Times New Roman"/>
      <w:b/>
      <w:bCs/>
      <w:sz w:val="18"/>
      <w:szCs w:val="18"/>
      <w:u w:val="none"/>
    </w:rPr>
  </w:style>
  <w:style w:type="character" w:customStyle="1" w:styleId="Gvdemetni10pt9">
    <w:name w:val="Gövde metni + 10 pt9"/>
    <w:uiPriority w:val="99"/>
    <w:rsid w:val="00A81419"/>
    <w:rPr>
      <w:rFonts w:ascii="Times New Roman" w:hAnsi="Times New Roman" w:cs="Times New Roman"/>
      <w:sz w:val="20"/>
      <w:szCs w:val="20"/>
      <w:u w:val="none"/>
    </w:rPr>
  </w:style>
  <w:style w:type="character" w:customStyle="1" w:styleId="Gvdemetni10pt8">
    <w:name w:val="Gövde metni + 10 pt8"/>
    <w:aliases w:val="Küçük Büyük Harf6"/>
    <w:uiPriority w:val="99"/>
    <w:rsid w:val="00A81419"/>
    <w:rPr>
      <w:rFonts w:ascii="Times New Roman" w:hAnsi="Times New Roman" w:cs="Times New Roman"/>
      <w:smallCaps/>
      <w:sz w:val="20"/>
      <w:szCs w:val="20"/>
      <w:u w:val="none"/>
    </w:rPr>
  </w:style>
  <w:style w:type="character" w:customStyle="1" w:styleId="Gvdemetni6pt1">
    <w:name w:val="Gövde metni + 6 pt1"/>
    <w:uiPriority w:val="99"/>
    <w:rsid w:val="00A81419"/>
    <w:rPr>
      <w:rFonts w:ascii="Times New Roman" w:hAnsi="Times New Roman" w:cs="Times New Roman"/>
      <w:sz w:val="12"/>
      <w:szCs w:val="12"/>
      <w:u w:val="none"/>
    </w:rPr>
  </w:style>
  <w:style w:type="character" w:customStyle="1" w:styleId="Gvdemetni710pt4">
    <w:name w:val="Gövde metni (7) + 10 pt4"/>
    <w:aliases w:val="Kalın Değil8"/>
    <w:uiPriority w:val="99"/>
    <w:rsid w:val="00A81419"/>
    <w:rPr>
      <w:rFonts w:ascii="Times New Roman" w:hAnsi="Times New Roman" w:cs="Times New Roman"/>
      <w:b w:val="0"/>
      <w:bCs w:val="0"/>
      <w:sz w:val="20"/>
      <w:szCs w:val="20"/>
      <w:u w:val="none"/>
    </w:rPr>
  </w:style>
  <w:style w:type="character" w:customStyle="1" w:styleId="Tabloyazs79pt">
    <w:name w:val="Tablo yazısı (7) + 9 pt"/>
    <w:aliases w:val="Kalın22"/>
    <w:uiPriority w:val="99"/>
    <w:rsid w:val="00A81419"/>
    <w:rPr>
      <w:rFonts w:ascii="Times New Roman" w:hAnsi="Times New Roman" w:cs="Times New Roman"/>
      <w:b/>
      <w:bCs/>
      <w:sz w:val="18"/>
      <w:szCs w:val="18"/>
      <w:u w:val="none"/>
    </w:rPr>
  </w:style>
  <w:style w:type="character" w:customStyle="1" w:styleId="GvdemetniArial2">
    <w:name w:val="Gövde metni + Arial2"/>
    <w:aliases w:val="6 pt2,Kalın21"/>
    <w:uiPriority w:val="99"/>
    <w:rsid w:val="00A81419"/>
    <w:rPr>
      <w:rFonts w:ascii="Arial" w:hAnsi="Arial" w:cs="Arial"/>
      <w:b/>
      <w:bCs/>
      <w:sz w:val="12"/>
      <w:szCs w:val="12"/>
      <w:u w:val="none"/>
    </w:rPr>
  </w:style>
  <w:style w:type="character" w:customStyle="1" w:styleId="GvdemetniArial1">
    <w:name w:val="Gövde metni + Arial1"/>
    <w:aliases w:val="6 pt1,Kalın20"/>
    <w:uiPriority w:val="99"/>
    <w:rsid w:val="00A81419"/>
    <w:rPr>
      <w:rFonts w:ascii="Arial" w:hAnsi="Arial" w:cs="Arial"/>
      <w:b/>
      <w:bCs/>
      <w:sz w:val="12"/>
      <w:szCs w:val="12"/>
      <w:u w:val="none"/>
    </w:rPr>
  </w:style>
  <w:style w:type="character" w:customStyle="1" w:styleId="Gvdemetni10pt7">
    <w:name w:val="Gövde metni + 10 pt7"/>
    <w:uiPriority w:val="99"/>
    <w:rsid w:val="00A81419"/>
    <w:rPr>
      <w:rFonts w:ascii="Times New Roman" w:hAnsi="Times New Roman" w:cs="Times New Roman"/>
      <w:sz w:val="20"/>
      <w:szCs w:val="20"/>
      <w:u w:val="none"/>
    </w:rPr>
  </w:style>
  <w:style w:type="character" w:customStyle="1" w:styleId="Gvdemetni84">
    <w:name w:val="Gövde metni + 84"/>
    <w:aliases w:val="5 pt29,İtalik16"/>
    <w:uiPriority w:val="99"/>
    <w:rsid w:val="00A81419"/>
    <w:rPr>
      <w:rFonts w:ascii="Times New Roman" w:hAnsi="Times New Roman" w:cs="Times New Roman"/>
      <w:i/>
      <w:iCs/>
      <w:sz w:val="17"/>
      <w:szCs w:val="17"/>
      <w:u w:val="none"/>
    </w:rPr>
  </w:style>
  <w:style w:type="character" w:customStyle="1" w:styleId="Gvdemetni83">
    <w:name w:val="Gövde metni8"/>
    <w:uiPriority w:val="99"/>
    <w:rsid w:val="00A81419"/>
  </w:style>
  <w:style w:type="character" w:customStyle="1" w:styleId="Gvdemetni75">
    <w:name w:val="Gövde metni7"/>
    <w:uiPriority w:val="99"/>
    <w:rsid w:val="00A81419"/>
    <w:rPr>
      <w:rFonts w:ascii="Times New Roman" w:hAnsi="Times New Roman" w:cs="Times New Roman"/>
      <w:noProof/>
      <w:sz w:val="21"/>
      <w:szCs w:val="21"/>
      <w:u w:val="none"/>
    </w:rPr>
  </w:style>
  <w:style w:type="character" w:customStyle="1" w:styleId="Gvdemetni257pt3">
    <w:name w:val="Gövde metni (25) + 7 pt3"/>
    <w:uiPriority w:val="99"/>
    <w:rsid w:val="00A81419"/>
    <w:rPr>
      <w:rFonts w:ascii="Arial" w:hAnsi="Arial" w:cs="Arial"/>
      <w:b/>
      <w:bCs/>
      <w:sz w:val="14"/>
      <w:szCs w:val="14"/>
      <w:u w:val="none"/>
    </w:rPr>
  </w:style>
  <w:style w:type="character" w:customStyle="1" w:styleId="Gvdemetni257pt2">
    <w:name w:val="Gövde metni (25) + 7 pt2"/>
    <w:uiPriority w:val="99"/>
    <w:rsid w:val="00A81419"/>
    <w:rPr>
      <w:rFonts w:ascii="Arial" w:hAnsi="Arial" w:cs="Arial"/>
      <w:b/>
      <w:bCs/>
      <w:sz w:val="14"/>
      <w:szCs w:val="14"/>
      <w:u w:val="none"/>
    </w:rPr>
  </w:style>
  <w:style w:type="character" w:customStyle="1" w:styleId="Gvdemetni257pt1">
    <w:name w:val="Gövde metni (25) + 7 pt1"/>
    <w:uiPriority w:val="99"/>
    <w:rsid w:val="00A81419"/>
    <w:rPr>
      <w:rFonts w:ascii="Arial" w:hAnsi="Arial" w:cs="Arial"/>
      <w:b/>
      <w:bCs/>
      <w:sz w:val="14"/>
      <w:szCs w:val="14"/>
      <w:u w:val="none"/>
    </w:rPr>
  </w:style>
  <w:style w:type="character" w:customStyle="1" w:styleId="Gvdemetni3810">
    <w:name w:val="Gövde metni (3) + 81"/>
    <w:aliases w:val="5 pt28,İtalik15"/>
    <w:uiPriority w:val="99"/>
    <w:rsid w:val="00A81419"/>
    <w:rPr>
      <w:rFonts w:ascii="Times New Roman" w:hAnsi="Times New Roman" w:cs="Times New Roman"/>
      <w:i/>
      <w:iCs/>
      <w:sz w:val="17"/>
      <w:szCs w:val="17"/>
      <w:u w:val="none"/>
    </w:rPr>
  </w:style>
  <w:style w:type="character" w:customStyle="1" w:styleId="Gvdemetni310pt3">
    <w:name w:val="Gövde metni (3) + 10 pt3"/>
    <w:uiPriority w:val="99"/>
    <w:rsid w:val="00A81419"/>
    <w:rPr>
      <w:rFonts w:ascii="Times New Roman" w:hAnsi="Times New Roman" w:cs="Times New Roman"/>
      <w:noProof/>
      <w:sz w:val="20"/>
      <w:szCs w:val="20"/>
      <w:u w:val="none"/>
    </w:rPr>
  </w:style>
  <w:style w:type="character" w:customStyle="1" w:styleId="Gvdemetni310pt2">
    <w:name w:val="Gövde metni (3) + 10 pt2"/>
    <w:uiPriority w:val="99"/>
    <w:rsid w:val="00A81419"/>
    <w:rPr>
      <w:rFonts w:ascii="Times New Roman" w:hAnsi="Times New Roman" w:cs="Times New Roman"/>
      <w:sz w:val="20"/>
      <w:szCs w:val="20"/>
      <w:u w:val="single"/>
    </w:rPr>
  </w:style>
  <w:style w:type="character" w:customStyle="1" w:styleId="stbilgiveyaaltbilgi10pt4">
    <w:name w:val="Üst bilgi veya alt bilgi + 10 pt4"/>
    <w:aliases w:val="Kalın Değil7"/>
    <w:uiPriority w:val="99"/>
    <w:rsid w:val="00A81419"/>
    <w:rPr>
      <w:rFonts w:ascii="Times New Roman" w:hAnsi="Times New Roman" w:cs="Times New Roman"/>
      <w:b w:val="0"/>
      <w:bCs w:val="0"/>
      <w:sz w:val="20"/>
      <w:szCs w:val="20"/>
      <w:u w:val="none"/>
    </w:rPr>
  </w:style>
  <w:style w:type="character" w:customStyle="1" w:styleId="Gvdemetni4a">
    <w:name w:val="Gövde metni + 4"/>
    <w:aliases w:val="5 pt27,Kalın19"/>
    <w:uiPriority w:val="99"/>
    <w:rsid w:val="00A81419"/>
    <w:rPr>
      <w:rFonts w:ascii="Times New Roman" w:hAnsi="Times New Roman" w:cs="Times New Roman"/>
      <w:b/>
      <w:bCs/>
      <w:sz w:val="9"/>
      <w:szCs w:val="9"/>
      <w:u w:val="none"/>
    </w:rPr>
  </w:style>
  <w:style w:type="character" w:customStyle="1" w:styleId="Gvdemetni4pt2">
    <w:name w:val="Gövde metni + 4 pt2"/>
    <w:uiPriority w:val="99"/>
    <w:rsid w:val="00A81419"/>
    <w:rPr>
      <w:rFonts w:ascii="Times New Roman" w:hAnsi="Times New Roman" w:cs="Times New Roman"/>
      <w:noProof/>
      <w:sz w:val="8"/>
      <w:szCs w:val="8"/>
      <w:u w:val="none"/>
    </w:rPr>
  </w:style>
  <w:style w:type="character" w:customStyle="1" w:styleId="Gvdemetni4pt1">
    <w:name w:val="Gövde metni + 4 pt1"/>
    <w:aliases w:val="8 pt boşluk bırakılıyor"/>
    <w:uiPriority w:val="99"/>
    <w:rsid w:val="00A81419"/>
    <w:rPr>
      <w:rFonts w:ascii="Times New Roman" w:hAnsi="Times New Roman" w:cs="Times New Roman"/>
      <w:spacing w:val="170"/>
      <w:sz w:val="8"/>
      <w:szCs w:val="8"/>
      <w:u w:val="none"/>
    </w:rPr>
  </w:style>
  <w:style w:type="character" w:customStyle="1" w:styleId="Gvdemetni410">
    <w:name w:val="Gövde metni + 41"/>
    <w:aliases w:val="5 pt26,Kalın18"/>
    <w:uiPriority w:val="99"/>
    <w:rsid w:val="00A81419"/>
    <w:rPr>
      <w:rFonts w:ascii="Times New Roman" w:hAnsi="Times New Roman" w:cs="Times New Roman"/>
      <w:b/>
      <w:bCs/>
      <w:sz w:val="9"/>
      <w:szCs w:val="9"/>
      <w:u w:val="none"/>
    </w:rPr>
  </w:style>
  <w:style w:type="character" w:customStyle="1" w:styleId="GvdemetniImpact2">
    <w:name w:val="Gövde metni + Impact2"/>
    <w:aliases w:val="20 pt1,3 pt boşluk bırakılıyor,200% ölçek1"/>
    <w:uiPriority w:val="99"/>
    <w:rsid w:val="00A81419"/>
    <w:rPr>
      <w:rFonts w:ascii="Impact" w:hAnsi="Impact" w:cs="Impact"/>
      <w:spacing w:val="70"/>
      <w:w w:val="200"/>
      <w:sz w:val="40"/>
      <w:szCs w:val="40"/>
      <w:u w:val="none"/>
    </w:rPr>
  </w:style>
  <w:style w:type="character" w:customStyle="1" w:styleId="Resimyazs89">
    <w:name w:val="Resim yazısı (8)"/>
    <w:uiPriority w:val="99"/>
    <w:rsid w:val="00A81419"/>
  </w:style>
  <w:style w:type="character" w:customStyle="1" w:styleId="Gvdemetni9pt2">
    <w:name w:val="Gövde metni + 9 pt2"/>
    <w:aliases w:val="İtalik14"/>
    <w:uiPriority w:val="99"/>
    <w:rsid w:val="00A81419"/>
    <w:rPr>
      <w:rFonts w:ascii="Times New Roman" w:hAnsi="Times New Roman" w:cs="Times New Roman"/>
      <w:i/>
      <w:iCs/>
      <w:sz w:val="18"/>
      <w:szCs w:val="18"/>
      <w:u w:val="none"/>
    </w:rPr>
  </w:style>
  <w:style w:type="character" w:customStyle="1" w:styleId="Resimyazs9pt1">
    <w:name w:val="Resim yazısı + 9 pt1"/>
    <w:aliases w:val="Kalın17"/>
    <w:uiPriority w:val="99"/>
    <w:rsid w:val="00A81419"/>
    <w:rPr>
      <w:rFonts w:ascii="Times New Roman" w:hAnsi="Times New Roman" w:cs="Times New Roman"/>
      <w:b/>
      <w:bCs/>
      <w:noProof/>
      <w:sz w:val="18"/>
      <w:szCs w:val="18"/>
      <w:u w:val="none"/>
    </w:rPr>
  </w:style>
  <w:style w:type="character" w:customStyle="1" w:styleId="Resimyazs820">
    <w:name w:val="Resim yazısı (8)2"/>
    <w:uiPriority w:val="99"/>
    <w:rsid w:val="00A81419"/>
  </w:style>
  <w:style w:type="character" w:customStyle="1" w:styleId="Gvdemetni39pt1">
    <w:name w:val="Gövde metni (3) + 9 pt1"/>
    <w:aliases w:val="İtalik13"/>
    <w:uiPriority w:val="99"/>
    <w:rsid w:val="00A81419"/>
    <w:rPr>
      <w:rFonts w:ascii="Times New Roman" w:hAnsi="Times New Roman" w:cs="Times New Roman"/>
      <w:i/>
      <w:iCs/>
      <w:sz w:val="18"/>
      <w:szCs w:val="18"/>
      <w:u w:val="none"/>
    </w:rPr>
  </w:style>
  <w:style w:type="character" w:customStyle="1" w:styleId="Resimyazs36">
    <w:name w:val="Resim yazısı (36)_"/>
    <w:link w:val="Resimyazs360"/>
    <w:uiPriority w:val="99"/>
    <w:locked/>
    <w:rsid w:val="00A81419"/>
    <w:rPr>
      <w:rFonts w:ascii="Arial" w:hAnsi="Arial" w:cs="Arial"/>
      <w:b/>
      <w:bCs/>
      <w:sz w:val="15"/>
      <w:szCs w:val="15"/>
      <w:shd w:val="clear" w:color="auto" w:fill="FFFFFF"/>
    </w:rPr>
  </w:style>
  <w:style w:type="character" w:customStyle="1" w:styleId="Balk510pt1">
    <w:name w:val="Başlık #5 + 10 pt1"/>
    <w:uiPriority w:val="99"/>
    <w:rsid w:val="00A81419"/>
    <w:rPr>
      <w:rFonts w:ascii="Times New Roman" w:hAnsi="Times New Roman" w:cs="Times New Roman"/>
      <w:b/>
      <w:bCs/>
      <w:sz w:val="20"/>
      <w:szCs w:val="20"/>
      <w:u w:val="none"/>
    </w:rPr>
  </w:style>
  <w:style w:type="character" w:customStyle="1" w:styleId="Tabloyazs391">
    <w:name w:val="Tablo yazısı (3) + 91"/>
    <w:aliases w:val="5 pt25"/>
    <w:uiPriority w:val="99"/>
    <w:rsid w:val="00A81419"/>
    <w:rPr>
      <w:rFonts w:ascii="Times New Roman" w:hAnsi="Times New Roman" w:cs="Times New Roman"/>
      <w:sz w:val="19"/>
      <w:szCs w:val="19"/>
      <w:u w:val="none"/>
    </w:rPr>
  </w:style>
  <w:style w:type="character" w:customStyle="1" w:styleId="Gvdemetni96">
    <w:name w:val="Gövde metni + 96"/>
    <w:aliases w:val="5 pt24"/>
    <w:uiPriority w:val="99"/>
    <w:rsid w:val="00A81419"/>
    <w:rPr>
      <w:rFonts w:ascii="Times New Roman" w:hAnsi="Times New Roman" w:cs="Times New Roman"/>
      <w:sz w:val="19"/>
      <w:szCs w:val="19"/>
      <w:u w:val="none"/>
    </w:rPr>
  </w:style>
  <w:style w:type="character" w:customStyle="1" w:styleId="Gvdemetni95">
    <w:name w:val="Gövde metni + 95"/>
    <w:aliases w:val="5 pt23,Küçük Büyük Harf5"/>
    <w:uiPriority w:val="99"/>
    <w:rsid w:val="00A81419"/>
    <w:rPr>
      <w:rFonts w:ascii="Times New Roman" w:hAnsi="Times New Roman" w:cs="Times New Roman"/>
      <w:smallCaps/>
      <w:sz w:val="19"/>
      <w:szCs w:val="19"/>
      <w:u w:val="none"/>
    </w:rPr>
  </w:style>
  <w:style w:type="character" w:customStyle="1" w:styleId="Resimyazs37">
    <w:name w:val="Resim yazısı (37)_"/>
    <w:link w:val="Resimyazs371"/>
    <w:uiPriority w:val="99"/>
    <w:locked/>
    <w:rsid w:val="00A81419"/>
    <w:rPr>
      <w:rFonts w:ascii="Arial" w:hAnsi="Arial" w:cs="Arial"/>
      <w:b/>
      <w:bCs/>
      <w:sz w:val="14"/>
      <w:szCs w:val="14"/>
      <w:shd w:val="clear" w:color="auto" w:fill="FFFFFF"/>
    </w:rPr>
  </w:style>
  <w:style w:type="character" w:customStyle="1" w:styleId="Resimyazs370">
    <w:name w:val="Resim yazısı (37)"/>
    <w:uiPriority w:val="99"/>
    <w:rsid w:val="00A81419"/>
  </w:style>
  <w:style w:type="character" w:customStyle="1" w:styleId="Resimyazs373">
    <w:name w:val="Resim yazısı (37)3"/>
    <w:uiPriority w:val="99"/>
    <w:rsid w:val="00A81419"/>
  </w:style>
  <w:style w:type="character" w:customStyle="1" w:styleId="Gvdemetni7101">
    <w:name w:val="Gövde metni (7) + 101"/>
    <w:aliases w:val="5 pt22,Kalın Değil6"/>
    <w:uiPriority w:val="99"/>
    <w:rsid w:val="00A81419"/>
    <w:rPr>
      <w:rFonts w:ascii="Times New Roman" w:hAnsi="Times New Roman" w:cs="Times New Roman"/>
      <w:b w:val="0"/>
      <w:bCs w:val="0"/>
      <w:sz w:val="21"/>
      <w:szCs w:val="21"/>
      <w:u w:val="none"/>
    </w:rPr>
  </w:style>
  <w:style w:type="character" w:customStyle="1" w:styleId="Resimyazs80ptbolukbraklyorExact">
    <w:name w:val="Resim yazısı (8) + 0 pt boşluk bırakılıyor Exact"/>
    <w:uiPriority w:val="99"/>
    <w:rsid w:val="00A81419"/>
    <w:rPr>
      <w:rFonts w:ascii="Arial" w:hAnsi="Arial" w:cs="Arial"/>
      <w:b/>
      <w:bCs/>
      <w:spacing w:val="2"/>
      <w:sz w:val="13"/>
      <w:szCs w:val="13"/>
      <w:u w:val="none"/>
    </w:rPr>
  </w:style>
  <w:style w:type="character" w:customStyle="1" w:styleId="stbilgiveyaaltbilgiArial1">
    <w:name w:val="Üst bilgi veya alt bilgi + Arial1"/>
    <w:aliases w:val="7 pt1"/>
    <w:uiPriority w:val="99"/>
    <w:rsid w:val="00A81419"/>
    <w:rPr>
      <w:rFonts w:ascii="Arial" w:hAnsi="Arial" w:cs="Arial"/>
      <w:b/>
      <w:bCs/>
      <w:sz w:val="14"/>
      <w:szCs w:val="14"/>
      <w:u w:val="none"/>
    </w:rPr>
  </w:style>
  <w:style w:type="character" w:customStyle="1" w:styleId="Gvdemetni4Arial1">
    <w:name w:val="Gövde metni (4) + Arial1"/>
    <w:aliases w:val="Kalın16,0 pt boşluk bırakılıyor2"/>
    <w:uiPriority w:val="99"/>
    <w:rsid w:val="00A81419"/>
    <w:rPr>
      <w:rFonts w:ascii="Arial" w:hAnsi="Arial" w:cs="Arial"/>
      <w:b/>
      <w:bCs/>
      <w:noProof/>
      <w:spacing w:val="0"/>
      <w:sz w:val="27"/>
      <w:szCs w:val="27"/>
      <w:u w:val="none"/>
    </w:rPr>
  </w:style>
  <w:style w:type="character" w:customStyle="1" w:styleId="Gvdemetnitalik1">
    <w:name w:val="Gövde metni + İtalik1"/>
    <w:aliases w:val="1 pt boşluk bırakılıyor Exact"/>
    <w:uiPriority w:val="99"/>
    <w:rsid w:val="00A81419"/>
    <w:rPr>
      <w:rFonts w:ascii="Times New Roman" w:hAnsi="Times New Roman" w:cs="Times New Roman"/>
      <w:i/>
      <w:iCs/>
      <w:noProof/>
      <w:spacing w:val="23"/>
      <w:sz w:val="19"/>
      <w:szCs w:val="19"/>
      <w:u w:val="none"/>
    </w:rPr>
  </w:style>
  <w:style w:type="character" w:customStyle="1" w:styleId="Gvdemetni0ptbolukbraklyorExact1">
    <w:name w:val="Gövde metni + 0 pt boşluk bırakılıyor Exact1"/>
    <w:uiPriority w:val="99"/>
    <w:rsid w:val="00A81419"/>
    <w:rPr>
      <w:rFonts w:ascii="Times New Roman" w:hAnsi="Times New Roman" w:cs="Times New Roman"/>
      <w:spacing w:val="1"/>
      <w:sz w:val="19"/>
      <w:szCs w:val="19"/>
      <w:u w:val="none"/>
    </w:rPr>
  </w:style>
  <w:style w:type="character" w:customStyle="1" w:styleId="Gvdemetni52Exact">
    <w:name w:val="Gövde metni (52) Exact"/>
    <w:link w:val="Gvdemetni521"/>
    <w:uiPriority w:val="99"/>
    <w:locked/>
    <w:rsid w:val="00A81419"/>
    <w:rPr>
      <w:rFonts w:ascii="Times New Roman" w:hAnsi="Times New Roman" w:cs="Times New Roman"/>
      <w:spacing w:val="-4"/>
      <w:sz w:val="15"/>
      <w:szCs w:val="15"/>
      <w:shd w:val="clear" w:color="auto" w:fill="FFFFFF"/>
    </w:rPr>
  </w:style>
  <w:style w:type="character" w:customStyle="1" w:styleId="Gvdemetni529">
    <w:name w:val="Gövde metni (52) + 9"/>
    <w:aliases w:val="5 pt21,0 pt boşluk bırakılıyor Exact1"/>
    <w:uiPriority w:val="99"/>
    <w:rsid w:val="00A81419"/>
    <w:rPr>
      <w:rFonts w:ascii="Times New Roman" w:hAnsi="Times New Roman" w:cs="Times New Roman"/>
      <w:spacing w:val="1"/>
      <w:sz w:val="19"/>
      <w:szCs w:val="19"/>
      <w:u w:val="none"/>
    </w:rPr>
  </w:style>
  <w:style w:type="character" w:customStyle="1" w:styleId="Gvdemetni512">
    <w:name w:val="Gövde metni (51)_"/>
    <w:link w:val="Gvdemetni513"/>
    <w:uiPriority w:val="99"/>
    <w:locked/>
    <w:rsid w:val="00A81419"/>
    <w:rPr>
      <w:rFonts w:ascii="Impact" w:hAnsi="Impact" w:cs="Impact"/>
      <w:spacing w:val="20"/>
      <w:sz w:val="14"/>
      <w:szCs w:val="14"/>
      <w:shd w:val="clear" w:color="auto" w:fill="FFFFFF"/>
    </w:rPr>
  </w:style>
  <w:style w:type="character" w:customStyle="1" w:styleId="Gvdemetni64">
    <w:name w:val="Gövde metni6"/>
    <w:uiPriority w:val="99"/>
    <w:rsid w:val="00A81419"/>
  </w:style>
  <w:style w:type="character" w:customStyle="1" w:styleId="Gvdemetni53">
    <w:name w:val="Gövde metni5"/>
    <w:uiPriority w:val="99"/>
    <w:rsid w:val="00A81419"/>
    <w:rPr>
      <w:rFonts w:ascii="Times New Roman" w:hAnsi="Times New Roman" w:cs="Times New Roman"/>
      <w:noProof/>
      <w:sz w:val="21"/>
      <w:szCs w:val="21"/>
      <w:u w:val="none"/>
    </w:rPr>
  </w:style>
  <w:style w:type="character" w:customStyle="1" w:styleId="Gvdemetni4b">
    <w:name w:val="Gövde metni4"/>
    <w:uiPriority w:val="99"/>
    <w:rsid w:val="00A81419"/>
    <w:rPr>
      <w:rFonts w:ascii="Times New Roman" w:hAnsi="Times New Roman" w:cs="Times New Roman"/>
      <w:noProof/>
      <w:sz w:val="21"/>
      <w:szCs w:val="21"/>
      <w:u w:val="none"/>
    </w:rPr>
  </w:style>
  <w:style w:type="character" w:customStyle="1" w:styleId="Gvdemetni1180">
    <w:name w:val="Gövde metni + 118"/>
    <w:aliases w:val="5 pt20"/>
    <w:uiPriority w:val="99"/>
    <w:rsid w:val="00A81419"/>
    <w:rPr>
      <w:rFonts w:ascii="Times New Roman" w:hAnsi="Times New Roman" w:cs="Times New Roman"/>
      <w:noProof/>
      <w:sz w:val="237"/>
      <w:szCs w:val="237"/>
      <w:u w:val="none"/>
    </w:rPr>
  </w:style>
  <w:style w:type="character" w:customStyle="1" w:styleId="GvdemetniImpact1">
    <w:name w:val="Gövde metni + Impact1"/>
    <w:aliases w:val="82 pt"/>
    <w:uiPriority w:val="99"/>
    <w:rsid w:val="00A81419"/>
    <w:rPr>
      <w:rFonts w:ascii="Impact" w:hAnsi="Impact" w:cs="Impact"/>
      <w:noProof/>
      <w:sz w:val="164"/>
      <w:szCs w:val="164"/>
      <w:u w:val="none"/>
    </w:rPr>
  </w:style>
  <w:style w:type="character" w:customStyle="1" w:styleId="Tabloyazs11">
    <w:name w:val="Tablo yazısı (11)_"/>
    <w:link w:val="Tabloyazs110"/>
    <w:uiPriority w:val="99"/>
    <w:locked/>
    <w:rsid w:val="00A81419"/>
    <w:rPr>
      <w:rFonts w:ascii="Franklin Gothic Heavy" w:hAnsi="Franklin Gothic Heavy" w:cs="Franklin Gothic Heavy"/>
      <w:sz w:val="15"/>
      <w:szCs w:val="15"/>
      <w:shd w:val="clear" w:color="auto" w:fill="FFFFFF"/>
    </w:rPr>
  </w:style>
  <w:style w:type="character" w:customStyle="1" w:styleId="Tabloyazs12">
    <w:name w:val="Tablo yazısı (12)_"/>
    <w:link w:val="Tabloyazs120"/>
    <w:uiPriority w:val="99"/>
    <w:locked/>
    <w:rsid w:val="00A81419"/>
    <w:rPr>
      <w:rFonts w:ascii="Times New Roman" w:hAnsi="Times New Roman" w:cs="Times New Roman"/>
      <w:sz w:val="16"/>
      <w:szCs w:val="16"/>
      <w:shd w:val="clear" w:color="auto" w:fill="FFFFFF"/>
    </w:rPr>
  </w:style>
  <w:style w:type="character" w:customStyle="1" w:styleId="Tabloyazs13">
    <w:name w:val="Tablo yazısı (13)_"/>
    <w:link w:val="Tabloyazs130"/>
    <w:uiPriority w:val="99"/>
    <w:locked/>
    <w:rsid w:val="00A81419"/>
    <w:rPr>
      <w:rFonts w:ascii="Arial" w:hAnsi="Arial" w:cs="Arial"/>
      <w:b/>
      <w:bCs/>
      <w:sz w:val="15"/>
      <w:szCs w:val="15"/>
      <w:shd w:val="clear" w:color="auto" w:fill="FFFFFF"/>
    </w:rPr>
  </w:style>
  <w:style w:type="character" w:customStyle="1" w:styleId="Tabloyazs14">
    <w:name w:val="Tablo yazısı (14)_"/>
    <w:link w:val="Tabloyazs140"/>
    <w:uiPriority w:val="99"/>
    <w:locked/>
    <w:rsid w:val="00A81419"/>
    <w:rPr>
      <w:rFonts w:ascii="Times New Roman" w:hAnsi="Times New Roman" w:cs="Times New Roman"/>
      <w:b/>
      <w:bCs/>
      <w:sz w:val="16"/>
      <w:szCs w:val="16"/>
      <w:shd w:val="clear" w:color="auto" w:fill="FFFFFF"/>
    </w:rPr>
  </w:style>
  <w:style w:type="character" w:customStyle="1" w:styleId="Tabloyazs15">
    <w:name w:val="Tablo yazısı (15)_"/>
    <w:link w:val="Tabloyazs150"/>
    <w:uiPriority w:val="99"/>
    <w:locked/>
    <w:rsid w:val="00A81419"/>
    <w:rPr>
      <w:rFonts w:ascii="Times New Roman" w:hAnsi="Times New Roman" w:cs="Times New Roman"/>
      <w:sz w:val="16"/>
      <w:szCs w:val="16"/>
      <w:shd w:val="clear" w:color="auto" w:fill="FFFFFF"/>
    </w:rPr>
  </w:style>
  <w:style w:type="character" w:customStyle="1" w:styleId="Resimyazs38">
    <w:name w:val="Resim yazısı (38)_"/>
    <w:link w:val="Resimyazs380"/>
    <w:uiPriority w:val="99"/>
    <w:locked/>
    <w:rsid w:val="00A81419"/>
    <w:rPr>
      <w:rFonts w:ascii="Arial" w:hAnsi="Arial" w:cs="Arial"/>
      <w:b/>
      <w:bCs/>
      <w:sz w:val="15"/>
      <w:szCs w:val="15"/>
      <w:shd w:val="clear" w:color="auto" w:fill="FFFFFF"/>
    </w:rPr>
  </w:style>
  <w:style w:type="character" w:customStyle="1" w:styleId="Gvdemetni510pt8">
    <w:name w:val="Gövde metni (5) + 10 pt8"/>
    <w:uiPriority w:val="99"/>
    <w:rsid w:val="00A81419"/>
    <w:rPr>
      <w:rFonts w:ascii="Times New Roman" w:hAnsi="Times New Roman" w:cs="Times New Roman"/>
      <w:sz w:val="20"/>
      <w:szCs w:val="20"/>
      <w:u w:val="none"/>
    </w:rPr>
  </w:style>
  <w:style w:type="character" w:customStyle="1" w:styleId="Gvdemetni94">
    <w:name w:val="Gövde metni + 94"/>
    <w:aliases w:val="5 pt19"/>
    <w:uiPriority w:val="99"/>
    <w:rsid w:val="00A81419"/>
    <w:rPr>
      <w:rFonts w:ascii="Times New Roman" w:hAnsi="Times New Roman" w:cs="Times New Roman"/>
      <w:sz w:val="19"/>
      <w:szCs w:val="19"/>
      <w:u w:val="none"/>
    </w:rPr>
  </w:style>
  <w:style w:type="character" w:customStyle="1" w:styleId="Gvdemetni830">
    <w:name w:val="Gövde metni + 83"/>
    <w:aliases w:val="5 pt18,İtalik12"/>
    <w:uiPriority w:val="99"/>
    <w:rsid w:val="00A81419"/>
    <w:rPr>
      <w:rFonts w:ascii="Times New Roman" w:hAnsi="Times New Roman" w:cs="Times New Roman"/>
      <w:i/>
      <w:iCs/>
      <w:sz w:val="17"/>
      <w:szCs w:val="17"/>
      <w:u w:val="none"/>
    </w:rPr>
  </w:style>
  <w:style w:type="character" w:customStyle="1" w:styleId="Gvdemetni710pt3">
    <w:name w:val="Gövde metni (7) + 10 pt3"/>
    <w:uiPriority w:val="99"/>
    <w:rsid w:val="00A81419"/>
    <w:rPr>
      <w:rFonts w:ascii="Times New Roman" w:hAnsi="Times New Roman" w:cs="Times New Roman"/>
      <w:b/>
      <w:bCs/>
      <w:sz w:val="20"/>
      <w:szCs w:val="20"/>
      <w:u w:val="none"/>
    </w:rPr>
  </w:style>
  <w:style w:type="character" w:customStyle="1" w:styleId="Gvdemetni3a">
    <w:name w:val="Gövde metni3"/>
    <w:uiPriority w:val="99"/>
    <w:rsid w:val="00A81419"/>
  </w:style>
  <w:style w:type="character" w:customStyle="1" w:styleId="Gvdemetni10pt6">
    <w:name w:val="Gövde metni + 10 pt6"/>
    <w:aliases w:val="Kalın15"/>
    <w:uiPriority w:val="99"/>
    <w:rsid w:val="00A81419"/>
    <w:rPr>
      <w:rFonts w:ascii="Times New Roman" w:hAnsi="Times New Roman" w:cs="Times New Roman"/>
      <w:b/>
      <w:bCs/>
      <w:sz w:val="20"/>
      <w:szCs w:val="20"/>
      <w:u w:val="none"/>
    </w:rPr>
  </w:style>
  <w:style w:type="character" w:customStyle="1" w:styleId="Gvdemetni2a">
    <w:name w:val="Gövde metni2"/>
    <w:uiPriority w:val="99"/>
    <w:rsid w:val="00A81419"/>
    <w:rPr>
      <w:rFonts w:ascii="Times New Roman" w:hAnsi="Times New Roman" w:cs="Times New Roman"/>
      <w:sz w:val="21"/>
      <w:szCs w:val="21"/>
      <w:u w:val="single"/>
    </w:rPr>
  </w:style>
  <w:style w:type="character" w:customStyle="1" w:styleId="Balk211pt1">
    <w:name w:val="Başlık #2 + 11 pt1"/>
    <w:uiPriority w:val="99"/>
    <w:rsid w:val="00A81419"/>
    <w:rPr>
      <w:rFonts w:ascii="Arial" w:hAnsi="Arial" w:cs="Arial"/>
      <w:b/>
      <w:bCs/>
      <w:sz w:val="22"/>
      <w:szCs w:val="22"/>
      <w:u w:val="none"/>
    </w:rPr>
  </w:style>
  <w:style w:type="character" w:customStyle="1" w:styleId="Balk620">
    <w:name w:val="Başlık #6 (2)_"/>
    <w:link w:val="Balk621"/>
    <w:uiPriority w:val="99"/>
    <w:locked/>
    <w:rsid w:val="00A81419"/>
    <w:rPr>
      <w:rFonts w:ascii="Times New Roman" w:hAnsi="Times New Roman" w:cs="Times New Roman"/>
      <w:b/>
      <w:bCs/>
      <w:sz w:val="20"/>
      <w:szCs w:val="20"/>
      <w:shd w:val="clear" w:color="auto" w:fill="FFFFFF"/>
    </w:rPr>
  </w:style>
  <w:style w:type="character" w:customStyle="1" w:styleId="Gvdemetni93">
    <w:name w:val="Gövde metni + 93"/>
    <w:aliases w:val="5 pt17,Kalın14,İtalik11"/>
    <w:uiPriority w:val="99"/>
    <w:rsid w:val="00A81419"/>
    <w:rPr>
      <w:rFonts w:ascii="Times New Roman" w:hAnsi="Times New Roman" w:cs="Times New Roman"/>
      <w:b/>
      <w:bCs/>
      <w:i/>
      <w:iCs/>
      <w:noProof/>
      <w:sz w:val="19"/>
      <w:szCs w:val="19"/>
      <w:u w:val="single"/>
    </w:rPr>
  </w:style>
  <w:style w:type="character" w:customStyle="1" w:styleId="Resimyazs372">
    <w:name w:val="Resim yazısı (37)2"/>
    <w:uiPriority w:val="99"/>
    <w:rsid w:val="00A81419"/>
  </w:style>
  <w:style w:type="character" w:customStyle="1" w:styleId="Gvdemetni1182">
    <w:name w:val="Gövde metni (11) + 82"/>
    <w:aliases w:val="5 pt16,İtalik10"/>
    <w:uiPriority w:val="99"/>
    <w:rsid w:val="00A81419"/>
    <w:rPr>
      <w:rFonts w:ascii="Times New Roman" w:hAnsi="Times New Roman" w:cs="Times New Roman"/>
      <w:i/>
      <w:iCs/>
      <w:sz w:val="17"/>
      <w:szCs w:val="17"/>
      <w:u w:val="none"/>
    </w:rPr>
  </w:style>
  <w:style w:type="character" w:customStyle="1" w:styleId="Gvdemetni1181">
    <w:name w:val="Gövde metni (11) + 81"/>
    <w:aliases w:val="5 pt15,İtalik9"/>
    <w:uiPriority w:val="99"/>
    <w:rsid w:val="00A81419"/>
    <w:rPr>
      <w:rFonts w:ascii="Times New Roman" w:hAnsi="Times New Roman" w:cs="Times New Roman"/>
      <w:i/>
      <w:iCs/>
      <w:noProof/>
      <w:sz w:val="17"/>
      <w:szCs w:val="17"/>
      <w:u w:val="single"/>
    </w:rPr>
  </w:style>
  <w:style w:type="character" w:customStyle="1" w:styleId="Gvdemetni1191">
    <w:name w:val="Gövde metni (11) + 91"/>
    <w:aliases w:val="5 pt14"/>
    <w:uiPriority w:val="99"/>
    <w:rsid w:val="00A81419"/>
    <w:rPr>
      <w:rFonts w:ascii="Times New Roman" w:hAnsi="Times New Roman" w:cs="Times New Roman"/>
      <w:sz w:val="19"/>
      <w:szCs w:val="19"/>
      <w:u w:val="single"/>
    </w:rPr>
  </w:style>
  <w:style w:type="character" w:customStyle="1" w:styleId="Gvdemetni310pt1">
    <w:name w:val="Gövde metni (3) + 10 pt1"/>
    <w:aliases w:val="Kalın13"/>
    <w:uiPriority w:val="99"/>
    <w:rsid w:val="00A81419"/>
    <w:rPr>
      <w:rFonts w:ascii="Times New Roman" w:hAnsi="Times New Roman" w:cs="Times New Roman"/>
      <w:b/>
      <w:bCs/>
      <w:sz w:val="20"/>
      <w:szCs w:val="20"/>
      <w:u w:val="none"/>
    </w:rPr>
  </w:style>
  <w:style w:type="character" w:customStyle="1" w:styleId="Gvdemetni610">
    <w:name w:val="Gövde metni + 61"/>
    <w:aliases w:val="5 pt13"/>
    <w:uiPriority w:val="99"/>
    <w:rsid w:val="00A81419"/>
    <w:rPr>
      <w:rFonts w:ascii="Times New Roman" w:hAnsi="Times New Roman" w:cs="Times New Roman"/>
      <w:sz w:val="13"/>
      <w:szCs w:val="13"/>
      <w:u w:val="none"/>
    </w:rPr>
  </w:style>
  <w:style w:type="character" w:customStyle="1" w:styleId="Tabloyazs20">
    <w:name w:val="Tablo yazısı (2)"/>
    <w:uiPriority w:val="99"/>
    <w:rsid w:val="00A81419"/>
  </w:style>
  <w:style w:type="character" w:customStyle="1" w:styleId="Balk63">
    <w:name w:val="Başlık #6 (3)_"/>
    <w:link w:val="Balk630"/>
    <w:uiPriority w:val="99"/>
    <w:locked/>
    <w:rsid w:val="00A81419"/>
    <w:rPr>
      <w:rFonts w:ascii="Times New Roman" w:hAnsi="Times New Roman" w:cs="Times New Roman"/>
      <w:sz w:val="21"/>
      <w:szCs w:val="21"/>
      <w:shd w:val="clear" w:color="auto" w:fill="FFFFFF"/>
    </w:rPr>
  </w:style>
  <w:style w:type="character" w:customStyle="1" w:styleId="GvdemetniLucidaSansUnicode">
    <w:name w:val="Gövde metni + Lucida Sans Unicode"/>
    <w:aliases w:val="11,5 pt12"/>
    <w:uiPriority w:val="99"/>
    <w:rsid w:val="00A81419"/>
    <w:rPr>
      <w:rFonts w:ascii="Lucida Sans Unicode" w:hAnsi="Lucida Sans Unicode" w:cs="Lucida Sans Unicode"/>
      <w:noProof/>
      <w:sz w:val="23"/>
      <w:szCs w:val="23"/>
      <w:u w:val="none"/>
    </w:rPr>
  </w:style>
  <w:style w:type="character" w:customStyle="1" w:styleId="Balk62LucidaSansUnicode">
    <w:name w:val="Başlık #6 (2) + Lucida Sans Unicode"/>
    <w:aliases w:val="114,5 pt11,Kalın Değil5"/>
    <w:uiPriority w:val="99"/>
    <w:rsid w:val="00A81419"/>
    <w:rPr>
      <w:rFonts w:ascii="Lucida Sans Unicode" w:hAnsi="Lucida Sans Unicode" w:cs="Lucida Sans Unicode"/>
      <w:b w:val="0"/>
      <w:bCs w:val="0"/>
      <w:noProof/>
      <w:sz w:val="23"/>
      <w:szCs w:val="23"/>
      <w:u w:val="none"/>
    </w:rPr>
  </w:style>
  <w:style w:type="character" w:customStyle="1" w:styleId="stbilgiveyaaltbilgi10pt3">
    <w:name w:val="Üst bilgi veya alt bilgi + 10 pt3"/>
    <w:aliases w:val="Kalın Değil4"/>
    <w:uiPriority w:val="99"/>
    <w:rsid w:val="00A81419"/>
    <w:rPr>
      <w:rFonts w:ascii="Times New Roman" w:hAnsi="Times New Roman" w:cs="Times New Roman"/>
      <w:b w:val="0"/>
      <w:bCs w:val="0"/>
      <w:sz w:val="20"/>
      <w:szCs w:val="20"/>
      <w:u w:val="none"/>
    </w:rPr>
  </w:style>
  <w:style w:type="character" w:customStyle="1" w:styleId="GvdemetniKkBykHarf1">
    <w:name w:val="Gövde metni + Küçük Büyük Harf1"/>
    <w:uiPriority w:val="99"/>
    <w:rsid w:val="00A81419"/>
    <w:rPr>
      <w:rFonts w:ascii="Times New Roman" w:hAnsi="Times New Roman" w:cs="Times New Roman"/>
      <w:smallCaps/>
      <w:sz w:val="21"/>
      <w:szCs w:val="21"/>
      <w:u w:val="none"/>
    </w:rPr>
  </w:style>
  <w:style w:type="character" w:customStyle="1" w:styleId="Gvdemetni710pt2">
    <w:name w:val="Gövde metni (7) + 10 pt2"/>
    <w:uiPriority w:val="99"/>
    <w:rsid w:val="00A81419"/>
    <w:rPr>
      <w:rFonts w:ascii="Times New Roman" w:hAnsi="Times New Roman" w:cs="Times New Roman"/>
      <w:b/>
      <w:bCs/>
      <w:sz w:val="20"/>
      <w:szCs w:val="20"/>
      <w:u w:val="single"/>
    </w:rPr>
  </w:style>
  <w:style w:type="character" w:customStyle="1" w:styleId="Gvdemetni142">
    <w:name w:val="Gövde metni (14)"/>
    <w:uiPriority w:val="99"/>
    <w:rsid w:val="00A81419"/>
  </w:style>
  <w:style w:type="character" w:customStyle="1" w:styleId="Gvdemetni3011pt1">
    <w:name w:val="Gövde metni (30) + 11 pt1"/>
    <w:uiPriority w:val="99"/>
    <w:rsid w:val="00A81419"/>
    <w:rPr>
      <w:rFonts w:ascii="Arial" w:hAnsi="Arial" w:cs="Arial"/>
      <w:b/>
      <w:bCs/>
      <w:sz w:val="22"/>
      <w:szCs w:val="22"/>
      <w:u w:val="none"/>
    </w:rPr>
  </w:style>
  <w:style w:type="character" w:customStyle="1" w:styleId="Gvdemetni143">
    <w:name w:val="Gövde metni (14)3"/>
    <w:uiPriority w:val="99"/>
    <w:rsid w:val="00A81419"/>
    <w:rPr>
      <w:rFonts w:ascii="Times New Roman" w:hAnsi="Times New Roman" w:cs="Times New Roman"/>
      <w:b/>
      <w:bCs/>
      <w:i/>
      <w:iCs/>
      <w:sz w:val="20"/>
      <w:szCs w:val="20"/>
      <w:u w:val="single"/>
    </w:rPr>
  </w:style>
  <w:style w:type="character" w:customStyle="1" w:styleId="Balk63KkBykHarf">
    <w:name w:val="Başlık #6 (3) + Küçük Büyük Harf"/>
    <w:uiPriority w:val="99"/>
    <w:rsid w:val="00A81419"/>
    <w:rPr>
      <w:rFonts w:ascii="Times New Roman" w:hAnsi="Times New Roman" w:cs="Times New Roman"/>
      <w:smallCaps/>
      <w:sz w:val="21"/>
      <w:szCs w:val="21"/>
      <w:u w:val="none"/>
    </w:rPr>
  </w:style>
  <w:style w:type="character" w:customStyle="1" w:styleId="Balk6310pt">
    <w:name w:val="Başlık #6 (3) + 10 pt"/>
    <w:aliases w:val="Kalın12,İtalik8"/>
    <w:uiPriority w:val="99"/>
    <w:rsid w:val="00A81419"/>
    <w:rPr>
      <w:rFonts w:ascii="Times New Roman" w:hAnsi="Times New Roman" w:cs="Times New Roman"/>
      <w:b/>
      <w:bCs/>
      <w:i/>
      <w:iCs/>
      <w:sz w:val="20"/>
      <w:szCs w:val="20"/>
      <w:u w:val="none"/>
    </w:rPr>
  </w:style>
  <w:style w:type="character" w:customStyle="1" w:styleId="Balk6310pt1">
    <w:name w:val="Başlık #6 (3) + 10 pt1"/>
    <w:aliases w:val="Kalın11"/>
    <w:uiPriority w:val="99"/>
    <w:rsid w:val="00A81419"/>
    <w:rPr>
      <w:rFonts w:ascii="Times New Roman" w:hAnsi="Times New Roman" w:cs="Times New Roman"/>
      <w:b/>
      <w:bCs/>
      <w:noProof/>
      <w:sz w:val="20"/>
      <w:szCs w:val="20"/>
      <w:u w:val="none"/>
    </w:rPr>
  </w:style>
  <w:style w:type="character" w:customStyle="1" w:styleId="Gvdemetni10pt5">
    <w:name w:val="Gövde metni + 10 pt5"/>
    <w:aliases w:val="Kalın10,İtalik7"/>
    <w:uiPriority w:val="99"/>
    <w:rsid w:val="00A81419"/>
    <w:rPr>
      <w:rFonts w:ascii="Times New Roman" w:hAnsi="Times New Roman" w:cs="Times New Roman"/>
      <w:b/>
      <w:bCs/>
      <w:i/>
      <w:iCs/>
      <w:sz w:val="20"/>
      <w:szCs w:val="20"/>
      <w:u w:val="none"/>
    </w:rPr>
  </w:style>
  <w:style w:type="character" w:customStyle="1" w:styleId="Gvdemetni10pt4">
    <w:name w:val="Gövde metni + 10 pt4"/>
    <w:aliases w:val="Kalın9"/>
    <w:uiPriority w:val="99"/>
    <w:rsid w:val="00A81419"/>
    <w:rPr>
      <w:rFonts w:ascii="Times New Roman" w:hAnsi="Times New Roman" w:cs="Times New Roman"/>
      <w:b/>
      <w:bCs/>
      <w:noProof/>
      <w:sz w:val="20"/>
      <w:szCs w:val="20"/>
      <w:u w:val="none"/>
    </w:rPr>
  </w:style>
  <w:style w:type="character" w:customStyle="1" w:styleId="Gvdemetni920">
    <w:name w:val="Gövde metni + 92"/>
    <w:aliases w:val="5 pt10,Kalın8,İtalik6"/>
    <w:uiPriority w:val="99"/>
    <w:rsid w:val="00A81419"/>
    <w:rPr>
      <w:rFonts w:ascii="Times New Roman" w:hAnsi="Times New Roman" w:cs="Times New Roman"/>
      <w:b/>
      <w:bCs/>
      <w:i/>
      <w:iCs/>
      <w:sz w:val="19"/>
      <w:szCs w:val="19"/>
      <w:u w:val="none"/>
    </w:rPr>
  </w:style>
  <w:style w:type="character" w:customStyle="1" w:styleId="Balk62KkBykHarf">
    <w:name w:val="Başlık #6 (2) + Küçük Büyük Harf"/>
    <w:uiPriority w:val="99"/>
    <w:rsid w:val="00A81419"/>
    <w:rPr>
      <w:rFonts w:ascii="Times New Roman" w:hAnsi="Times New Roman" w:cs="Times New Roman"/>
      <w:b/>
      <w:bCs/>
      <w:smallCaps/>
      <w:sz w:val="20"/>
      <w:szCs w:val="20"/>
      <w:u w:val="none"/>
    </w:rPr>
  </w:style>
  <w:style w:type="character" w:customStyle="1" w:styleId="Balk629">
    <w:name w:val="Başlık #6 (2) + 9"/>
    <w:aliases w:val="5 pt9,İtalik5"/>
    <w:uiPriority w:val="99"/>
    <w:rsid w:val="00A81419"/>
    <w:rPr>
      <w:rFonts w:ascii="Times New Roman" w:hAnsi="Times New Roman" w:cs="Times New Roman"/>
      <w:b/>
      <w:bCs/>
      <w:i/>
      <w:iCs/>
      <w:sz w:val="19"/>
      <w:szCs w:val="19"/>
      <w:u w:val="none"/>
    </w:rPr>
  </w:style>
  <w:style w:type="character" w:customStyle="1" w:styleId="Balk6210">
    <w:name w:val="Başlık #6 (2) + 10"/>
    <w:aliases w:val="5 pt8,Kalın Değil3"/>
    <w:uiPriority w:val="99"/>
    <w:rsid w:val="00A81419"/>
    <w:rPr>
      <w:rFonts w:ascii="Times New Roman" w:hAnsi="Times New Roman" w:cs="Times New Roman"/>
      <w:b w:val="0"/>
      <w:bCs w:val="0"/>
      <w:noProof/>
      <w:sz w:val="21"/>
      <w:szCs w:val="21"/>
      <w:u w:val="none"/>
    </w:rPr>
  </w:style>
  <w:style w:type="character" w:customStyle="1" w:styleId="Balk622">
    <w:name w:val="Başlık #6 (2)"/>
    <w:uiPriority w:val="99"/>
    <w:rsid w:val="00A81419"/>
    <w:rPr>
      <w:rFonts w:ascii="Times New Roman" w:hAnsi="Times New Roman" w:cs="Times New Roman"/>
      <w:b/>
      <w:bCs/>
      <w:sz w:val="20"/>
      <w:szCs w:val="20"/>
      <w:u w:val="single"/>
    </w:rPr>
  </w:style>
  <w:style w:type="character" w:customStyle="1" w:styleId="Gvdemetni65">
    <w:name w:val="Gövde metni (6)"/>
    <w:uiPriority w:val="99"/>
    <w:rsid w:val="00A81419"/>
  </w:style>
  <w:style w:type="character" w:customStyle="1" w:styleId="Gvdemetni6talik4">
    <w:name w:val="Gövde metni (6) + İtalik4"/>
    <w:uiPriority w:val="99"/>
    <w:rsid w:val="00A81419"/>
    <w:rPr>
      <w:rFonts w:ascii="Times New Roman" w:hAnsi="Times New Roman" w:cs="Times New Roman"/>
      <w:b/>
      <w:bCs/>
      <w:i/>
      <w:iCs/>
      <w:sz w:val="20"/>
      <w:szCs w:val="20"/>
      <w:u w:val="none"/>
    </w:rPr>
  </w:style>
  <w:style w:type="character" w:customStyle="1" w:styleId="Gvdemetni630">
    <w:name w:val="Gövde metni (6)3"/>
    <w:uiPriority w:val="99"/>
    <w:rsid w:val="00A81419"/>
    <w:rPr>
      <w:rFonts w:ascii="Times New Roman" w:hAnsi="Times New Roman" w:cs="Times New Roman"/>
      <w:b/>
      <w:bCs/>
      <w:sz w:val="20"/>
      <w:szCs w:val="20"/>
      <w:u w:val="single"/>
    </w:rPr>
  </w:style>
  <w:style w:type="character" w:customStyle="1" w:styleId="Gvdemetni6talik3">
    <w:name w:val="Gövde metni (6) + İtalik3"/>
    <w:uiPriority w:val="99"/>
    <w:rsid w:val="00A81419"/>
    <w:rPr>
      <w:rFonts w:ascii="Times New Roman" w:hAnsi="Times New Roman" w:cs="Times New Roman"/>
      <w:b/>
      <w:bCs/>
      <w:i/>
      <w:iCs/>
      <w:sz w:val="20"/>
      <w:szCs w:val="20"/>
      <w:u w:val="single"/>
    </w:rPr>
  </w:style>
  <w:style w:type="character" w:customStyle="1" w:styleId="stbilgiveyaaltbilgi2">
    <w:name w:val="Üst bilgi veya alt bilgi2"/>
    <w:uiPriority w:val="99"/>
    <w:rsid w:val="00A81419"/>
  </w:style>
  <w:style w:type="character" w:customStyle="1" w:styleId="Gvdemetni7LucidaSansUnicode">
    <w:name w:val="Gövde metni (7) + Lucida Sans Unicode"/>
    <w:aliases w:val="113,5 pt7,Kalın Değil2"/>
    <w:uiPriority w:val="99"/>
    <w:rsid w:val="00A81419"/>
    <w:rPr>
      <w:rFonts w:ascii="Lucida Sans Unicode" w:hAnsi="Lucida Sans Unicode" w:cs="Lucida Sans Unicode"/>
      <w:b w:val="0"/>
      <w:bCs w:val="0"/>
      <w:noProof/>
      <w:sz w:val="23"/>
      <w:szCs w:val="23"/>
      <w:u w:val="none"/>
    </w:rPr>
  </w:style>
  <w:style w:type="character" w:customStyle="1" w:styleId="Gvdemetni710pt1">
    <w:name w:val="Gövde metni (7) + 10 pt1"/>
    <w:aliases w:val="Küçük Büyük Harf4"/>
    <w:uiPriority w:val="99"/>
    <w:rsid w:val="00A81419"/>
    <w:rPr>
      <w:rFonts w:ascii="Times New Roman" w:hAnsi="Times New Roman" w:cs="Times New Roman"/>
      <w:b/>
      <w:bCs/>
      <w:smallCaps/>
      <w:sz w:val="20"/>
      <w:szCs w:val="20"/>
      <w:u w:val="none"/>
    </w:rPr>
  </w:style>
  <w:style w:type="character" w:customStyle="1" w:styleId="Gvdemetni9pt1">
    <w:name w:val="Gövde metni + 9 pt1"/>
    <w:aliases w:val="İtalik4"/>
    <w:uiPriority w:val="99"/>
    <w:rsid w:val="00A81419"/>
    <w:rPr>
      <w:rFonts w:ascii="Times New Roman" w:hAnsi="Times New Roman" w:cs="Times New Roman"/>
      <w:i/>
      <w:iCs/>
      <w:sz w:val="18"/>
      <w:szCs w:val="18"/>
      <w:u w:val="none"/>
    </w:rPr>
  </w:style>
  <w:style w:type="character" w:customStyle="1" w:styleId="Gvdemetni918">
    <w:name w:val="Gövde metni + 91"/>
    <w:aliases w:val="5 pt6,Küçük Büyük Harf3"/>
    <w:uiPriority w:val="99"/>
    <w:rsid w:val="00A81419"/>
    <w:rPr>
      <w:rFonts w:ascii="Times New Roman" w:hAnsi="Times New Roman" w:cs="Times New Roman"/>
      <w:smallCaps/>
      <w:sz w:val="19"/>
      <w:szCs w:val="19"/>
      <w:u w:val="none"/>
    </w:rPr>
  </w:style>
  <w:style w:type="character" w:customStyle="1" w:styleId="Gvdemetni510pt7">
    <w:name w:val="Gövde metni (5) + 10 pt7"/>
    <w:uiPriority w:val="99"/>
    <w:rsid w:val="00A81419"/>
    <w:rPr>
      <w:rFonts w:ascii="Times New Roman" w:hAnsi="Times New Roman" w:cs="Times New Roman"/>
      <w:sz w:val="20"/>
      <w:szCs w:val="20"/>
      <w:u w:val="none"/>
    </w:rPr>
  </w:style>
  <w:style w:type="character" w:customStyle="1" w:styleId="Gvdemetni56pt1">
    <w:name w:val="Gövde metni (5) + 6 pt1"/>
    <w:uiPriority w:val="99"/>
    <w:rsid w:val="00A81419"/>
    <w:rPr>
      <w:rFonts w:ascii="Times New Roman" w:hAnsi="Times New Roman" w:cs="Times New Roman"/>
      <w:noProof/>
      <w:sz w:val="12"/>
      <w:szCs w:val="12"/>
      <w:u w:val="none"/>
    </w:rPr>
  </w:style>
  <w:style w:type="character" w:customStyle="1" w:styleId="Gvdemetni510pt6">
    <w:name w:val="Gövde metni (5) + 10 pt6"/>
    <w:uiPriority w:val="99"/>
    <w:rsid w:val="00A81419"/>
    <w:rPr>
      <w:rFonts w:ascii="Times New Roman" w:hAnsi="Times New Roman" w:cs="Times New Roman"/>
      <w:sz w:val="20"/>
      <w:szCs w:val="20"/>
      <w:u w:val="single"/>
    </w:rPr>
  </w:style>
  <w:style w:type="character" w:customStyle="1" w:styleId="Balk530">
    <w:name w:val="Başlık #5 (3)_"/>
    <w:link w:val="Balk531"/>
    <w:uiPriority w:val="99"/>
    <w:locked/>
    <w:rsid w:val="00A81419"/>
    <w:rPr>
      <w:rFonts w:ascii="Times New Roman" w:hAnsi="Times New Roman" w:cs="Times New Roman"/>
      <w:b/>
      <w:bCs/>
      <w:sz w:val="20"/>
      <w:szCs w:val="20"/>
      <w:shd w:val="clear" w:color="auto" w:fill="FFFFFF"/>
    </w:rPr>
  </w:style>
  <w:style w:type="character" w:customStyle="1" w:styleId="Gvdemetni510pt5">
    <w:name w:val="Gövde metni (5) + 10 pt5"/>
    <w:aliases w:val="Küçük Büyük Harf2"/>
    <w:uiPriority w:val="99"/>
    <w:rsid w:val="00A81419"/>
    <w:rPr>
      <w:rFonts w:ascii="Times New Roman" w:hAnsi="Times New Roman" w:cs="Times New Roman"/>
      <w:smallCaps/>
      <w:sz w:val="20"/>
      <w:szCs w:val="20"/>
      <w:u w:val="none"/>
    </w:rPr>
  </w:style>
  <w:style w:type="character" w:customStyle="1" w:styleId="Gvdemetni1420">
    <w:name w:val="Gövde metni (14)2"/>
    <w:uiPriority w:val="99"/>
    <w:rsid w:val="00A81419"/>
  </w:style>
  <w:style w:type="character" w:customStyle="1" w:styleId="Balk1Arial1">
    <w:name w:val="Başlık #1 + Arial1"/>
    <w:aliases w:val="112,5 pt5,Kalın7,0 pt boşluk bırakılıyor1"/>
    <w:uiPriority w:val="99"/>
    <w:rsid w:val="00A81419"/>
    <w:rPr>
      <w:rFonts w:ascii="Arial" w:hAnsi="Arial" w:cs="Arial"/>
      <w:b/>
      <w:bCs/>
      <w:spacing w:val="0"/>
      <w:sz w:val="23"/>
      <w:szCs w:val="23"/>
      <w:u w:val="none"/>
    </w:rPr>
  </w:style>
  <w:style w:type="character" w:customStyle="1" w:styleId="Gvdemetni10pt3">
    <w:name w:val="Gövde metni + 10 pt3"/>
    <w:aliases w:val="Kalın6"/>
    <w:uiPriority w:val="99"/>
    <w:rsid w:val="00A81419"/>
    <w:rPr>
      <w:rFonts w:ascii="Times New Roman" w:hAnsi="Times New Roman" w:cs="Times New Roman"/>
      <w:b/>
      <w:bCs/>
      <w:sz w:val="20"/>
      <w:szCs w:val="20"/>
      <w:u w:val="none"/>
    </w:rPr>
  </w:style>
  <w:style w:type="character" w:customStyle="1" w:styleId="Gvdemetni10pt2">
    <w:name w:val="Gövde metni + 10 pt2"/>
    <w:uiPriority w:val="99"/>
    <w:rsid w:val="00A81419"/>
    <w:rPr>
      <w:rFonts w:ascii="Times New Roman" w:hAnsi="Times New Roman" w:cs="Times New Roman"/>
      <w:sz w:val="20"/>
      <w:szCs w:val="20"/>
      <w:u w:val="none"/>
    </w:rPr>
  </w:style>
  <w:style w:type="character" w:customStyle="1" w:styleId="Gvdemetni821">
    <w:name w:val="Gövde metni + 82"/>
    <w:aliases w:val="5 pt4,Kalın5,İtalik3"/>
    <w:uiPriority w:val="99"/>
    <w:rsid w:val="00A81419"/>
    <w:rPr>
      <w:rFonts w:ascii="Times New Roman" w:hAnsi="Times New Roman" w:cs="Times New Roman"/>
      <w:b/>
      <w:bCs/>
      <w:i/>
      <w:iCs/>
      <w:sz w:val="17"/>
      <w:szCs w:val="17"/>
      <w:u w:val="none"/>
    </w:rPr>
  </w:style>
  <w:style w:type="character" w:customStyle="1" w:styleId="Gvdemetni620">
    <w:name w:val="Gövde metni (6)2"/>
    <w:uiPriority w:val="99"/>
    <w:rsid w:val="00A81419"/>
  </w:style>
  <w:style w:type="character" w:customStyle="1" w:styleId="Gvdemetni6talik2">
    <w:name w:val="Gövde metni (6) + İtalik2"/>
    <w:uiPriority w:val="99"/>
    <w:rsid w:val="00A81419"/>
    <w:rPr>
      <w:rFonts w:ascii="Times New Roman" w:hAnsi="Times New Roman" w:cs="Times New Roman"/>
      <w:b/>
      <w:bCs/>
      <w:i/>
      <w:iCs/>
      <w:sz w:val="20"/>
      <w:szCs w:val="20"/>
      <w:u w:val="single"/>
    </w:rPr>
  </w:style>
  <w:style w:type="character" w:customStyle="1" w:styleId="Gvdemetni6talik1">
    <w:name w:val="Gövde metni (6) + İtalik1"/>
    <w:uiPriority w:val="99"/>
    <w:rsid w:val="00A81419"/>
    <w:rPr>
      <w:rFonts w:ascii="Times New Roman" w:hAnsi="Times New Roman" w:cs="Times New Roman"/>
      <w:b/>
      <w:bCs/>
      <w:i/>
      <w:iCs/>
      <w:sz w:val="20"/>
      <w:szCs w:val="20"/>
      <w:u w:val="none"/>
    </w:rPr>
  </w:style>
  <w:style w:type="character" w:customStyle="1" w:styleId="Gvdemetni510pt4">
    <w:name w:val="Gövde metni (5) + 10 pt4"/>
    <w:aliases w:val="Kalın4"/>
    <w:uiPriority w:val="99"/>
    <w:rsid w:val="00A81419"/>
    <w:rPr>
      <w:rFonts w:ascii="Times New Roman" w:hAnsi="Times New Roman" w:cs="Times New Roman"/>
      <w:b/>
      <w:bCs/>
      <w:sz w:val="20"/>
      <w:szCs w:val="20"/>
      <w:u w:val="none"/>
    </w:rPr>
  </w:style>
  <w:style w:type="character" w:customStyle="1" w:styleId="Gvdemetni510pt3">
    <w:name w:val="Gövde metni (5) + 10 pt3"/>
    <w:aliases w:val="Kalın3"/>
    <w:uiPriority w:val="99"/>
    <w:rsid w:val="00A81419"/>
    <w:rPr>
      <w:rFonts w:ascii="Times New Roman" w:hAnsi="Times New Roman" w:cs="Times New Roman"/>
      <w:b/>
      <w:bCs/>
      <w:sz w:val="20"/>
      <w:szCs w:val="20"/>
      <w:u w:val="single"/>
    </w:rPr>
  </w:style>
  <w:style w:type="character" w:customStyle="1" w:styleId="Resimyazs39Exact">
    <w:name w:val="Resim yazısı (39) Exact"/>
    <w:link w:val="Resimyazs39"/>
    <w:uiPriority w:val="99"/>
    <w:locked/>
    <w:rsid w:val="00A81419"/>
    <w:rPr>
      <w:rFonts w:ascii="Arial" w:hAnsi="Arial" w:cs="Arial"/>
      <w:b/>
      <w:bCs/>
      <w:spacing w:val="2"/>
      <w:sz w:val="21"/>
      <w:szCs w:val="21"/>
      <w:shd w:val="clear" w:color="auto" w:fill="FFFFFF"/>
    </w:rPr>
  </w:style>
  <w:style w:type="character" w:customStyle="1" w:styleId="Gvdemetni190ptbolukbraklyorExact1">
    <w:name w:val="Gövde metni (19) + 0 pt boşluk bırakılıyor Exact1"/>
    <w:uiPriority w:val="99"/>
    <w:rsid w:val="00A81419"/>
    <w:rPr>
      <w:rFonts w:ascii="Arial" w:hAnsi="Arial" w:cs="Arial"/>
      <w:b/>
      <w:bCs/>
      <w:sz w:val="18"/>
      <w:szCs w:val="18"/>
      <w:u w:val="none"/>
    </w:rPr>
  </w:style>
  <w:style w:type="character" w:customStyle="1" w:styleId="Gvdemetni302">
    <w:name w:val="Gövde metni (30)"/>
    <w:uiPriority w:val="99"/>
    <w:rsid w:val="00A81419"/>
  </w:style>
  <w:style w:type="character" w:customStyle="1" w:styleId="Gvdemetni307">
    <w:name w:val="Gövde metni (30) + 7"/>
    <w:aliases w:val="5 pt3"/>
    <w:uiPriority w:val="99"/>
    <w:rsid w:val="00A81419"/>
    <w:rPr>
      <w:rFonts w:ascii="Arial" w:hAnsi="Arial" w:cs="Arial"/>
      <w:b/>
      <w:bCs/>
      <w:noProof/>
      <w:sz w:val="15"/>
      <w:szCs w:val="15"/>
      <w:u w:val="none"/>
    </w:rPr>
  </w:style>
  <w:style w:type="character" w:customStyle="1" w:styleId="Resimyazs2810pt1">
    <w:name w:val="Resim yazısı (28) + 10 pt1"/>
    <w:uiPriority w:val="99"/>
    <w:rsid w:val="00A81419"/>
    <w:rPr>
      <w:rFonts w:ascii="Times New Roman" w:hAnsi="Times New Roman" w:cs="Times New Roman"/>
      <w:sz w:val="20"/>
      <w:szCs w:val="20"/>
      <w:u w:val="none"/>
    </w:rPr>
  </w:style>
  <w:style w:type="character" w:customStyle="1" w:styleId="Gvdemetni510pt2">
    <w:name w:val="Gövde metni (5) + 10 pt2"/>
    <w:uiPriority w:val="99"/>
    <w:rsid w:val="00A81419"/>
    <w:rPr>
      <w:rFonts w:ascii="Times New Roman" w:hAnsi="Times New Roman" w:cs="Times New Roman"/>
      <w:sz w:val="20"/>
      <w:szCs w:val="20"/>
      <w:u w:val="single"/>
    </w:rPr>
  </w:style>
  <w:style w:type="character" w:customStyle="1" w:styleId="Gvdemetni510pt1">
    <w:name w:val="Gövde metni (5) + 10 pt1"/>
    <w:uiPriority w:val="99"/>
    <w:rsid w:val="00A81419"/>
    <w:rPr>
      <w:rFonts w:ascii="Times New Roman" w:hAnsi="Times New Roman" w:cs="Times New Roman"/>
      <w:noProof/>
      <w:sz w:val="20"/>
      <w:szCs w:val="20"/>
      <w:u w:val="none"/>
    </w:rPr>
  </w:style>
  <w:style w:type="character" w:customStyle="1" w:styleId="stbilgiveyaaltbilgi10pt2">
    <w:name w:val="Üst bilgi veya alt bilgi + 10 pt2"/>
    <w:aliases w:val="Kalın Değil1"/>
    <w:uiPriority w:val="99"/>
    <w:rsid w:val="00A81419"/>
    <w:rPr>
      <w:rFonts w:ascii="Times New Roman" w:hAnsi="Times New Roman" w:cs="Times New Roman"/>
      <w:b w:val="0"/>
      <w:bCs w:val="0"/>
      <w:sz w:val="20"/>
      <w:szCs w:val="20"/>
      <w:u w:val="none"/>
    </w:rPr>
  </w:style>
  <w:style w:type="character" w:customStyle="1" w:styleId="Gvdemetni6Arial">
    <w:name w:val="Gövde metni (6) + Arial"/>
    <w:aliases w:val="13 pt3,İtalik2"/>
    <w:uiPriority w:val="99"/>
    <w:rsid w:val="00A81419"/>
    <w:rPr>
      <w:rFonts w:ascii="Arial" w:hAnsi="Arial" w:cs="Arial"/>
      <w:b/>
      <w:bCs/>
      <w:i/>
      <w:iCs/>
      <w:sz w:val="26"/>
      <w:szCs w:val="26"/>
      <w:u w:val="none"/>
    </w:rPr>
  </w:style>
  <w:style w:type="character" w:customStyle="1" w:styleId="Gvdemetni5LucidaSansUnicode">
    <w:name w:val="Gövde metni (5) + Lucida Sans Unicode"/>
    <w:aliases w:val="111,5 pt2"/>
    <w:uiPriority w:val="99"/>
    <w:rsid w:val="00A81419"/>
    <w:rPr>
      <w:rFonts w:ascii="Lucida Sans Unicode" w:hAnsi="Lucida Sans Unicode" w:cs="Lucida Sans Unicode"/>
      <w:sz w:val="23"/>
      <w:szCs w:val="23"/>
      <w:u w:val="none"/>
    </w:rPr>
  </w:style>
  <w:style w:type="character" w:customStyle="1" w:styleId="Tabloyazs16">
    <w:name w:val="Tablo yazısı (16)_"/>
    <w:link w:val="Tabloyazs160"/>
    <w:uiPriority w:val="99"/>
    <w:locked/>
    <w:rsid w:val="00A81419"/>
    <w:rPr>
      <w:rFonts w:ascii="Times New Roman" w:hAnsi="Times New Roman" w:cs="Times New Roman"/>
      <w:b/>
      <w:bCs/>
      <w:i/>
      <w:iCs/>
      <w:sz w:val="20"/>
      <w:szCs w:val="20"/>
      <w:shd w:val="clear" w:color="auto" w:fill="FFFFFF"/>
    </w:rPr>
  </w:style>
  <w:style w:type="character" w:customStyle="1" w:styleId="Tabloyazs16Arial">
    <w:name w:val="Tablo yazısı (16) + Arial"/>
    <w:aliases w:val="13 pt2"/>
    <w:uiPriority w:val="99"/>
    <w:rsid w:val="00A81419"/>
    <w:rPr>
      <w:rFonts w:ascii="Arial" w:hAnsi="Arial" w:cs="Arial"/>
      <w:b/>
      <w:bCs/>
      <w:i/>
      <w:iCs/>
      <w:sz w:val="26"/>
      <w:szCs w:val="26"/>
      <w:u w:val="none"/>
    </w:rPr>
  </w:style>
  <w:style w:type="character" w:customStyle="1" w:styleId="stbilgiveyaaltbilgi10pt1">
    <w:name w:val="Üst bilgi veya alt bilgi + 10 pt1"/>
    <w:aliases w:val="İtalik1"/>
    <w:uiPriority w:val="99"/>
    <w:rsid w:val="00A81419"/>
    <w:rPr>
      <w:rFonts w:ascii="Times New Roman" w:hAnsi="Times New Roman" w:cs="Times New Roman"/>
      <w:b/>
      <w:bCs/>
      <w:i/>
      <w:iCs/>
      <w:sz w:val="20"/>
      <w:szCs w:val="20"/>
      <w:u w:val="none"/>
    </w:rPr>
  </w:style>
  <w:style w:type="character" w:customStyle="1" w:styleId="Gvdemetni14Arial">
    <w:name w:val="Gövde metni (14) + Arial"/>
    <w:aliases w:val="13 pt1"/>
    <w:uiPriority w:val="99"/>
    <w:rsid w:val="00A81419"/>
    <w:rPr>
      <w:rFonts w:ascii="Arial" w:hAnsi="Arial" w:cs="Arial"/>
      <w:b/>
      <w:bCs/>
      <w:i/>
      <w:iCs/>
      <w:sz w:val="26"/>
      <w:szCs w:val="26"/>
      <w:u w:val="none"/>
    </w:rPr>
  </w:style>
  <w:style w:type="character" w:customStyle="1" w:styleId="Gvdemetni815">
    <w:name w:val="Gövde metni + 81"/>
    <w:aliases w:val="5 pt1,Kalın2"/>
    <w:uiPriority w:val="99"/>
    <w:rsid w:val="00A81419"/>
    <w:rPr>
      <w:rFonts w:ascii="Times New Roman" w:hAnsi="Times New Roman" w:cs="Times New Roman"/>
      <w:b/>
      <w:bCs/>
      <w:sz w:val="17"/>
      <w:szCs w:val="17"/>
      <w:u w:val="none"/>
    </w:rPr>
  </w:style>
  <w:style w:type="character" w:customStyle="1" w:styleId="Gvdemetni59pt1">
    <w:name w:val="Gövde metni (5) + 9 pt1"/>
    <w:aliases w:val="Kalın1"/>
    <w:uiPriority w:val="99"/>
    <w:rsid w:val="00A81419"/>
    <w:rPr>
      <w:rFonts w:ascii="Times New Roman" w:hAnsi="Times New Roman" w:cs="Times New Roman"/>
      <w:b/>
      <w:bCs/>
      <w:sz w:val="18"/>
      <w:szCs w:val="18"/>
      <w:u w:val="none"/>
    </w:rPr>
  </w:style>
  <w:style w:type="character" w:customStyle="1" w:styleId="Gvdemetni10pt1">
    <w:name w:val="Gövde metni + 10 pt1"/>
    <w:aliases w:val="Küçük Büyük Harf1"/>
    <w:uiPriority w:val="99"/>
    <w:rsid w:val="00A81419"/>
    <w:rPr>
      <w:rFonts w:ascii="Times New Roman" w:hAnsi="Times New Roman" w:cs="Times New Roman"/>
      <w:smallCaps/>
      <w:sz w:val="20"/>
      <w:szCs w:val="20"/>
      <w:u w:val="none"/>
    </w:rPr>
  </w:style>
  <w:style w:type="paragraph" w:customStyle="1" w:styleId="Dipnot1">
    <w:name w:val="Dipnot1"/>
    <w:basedOn w:val="Normal"/>
    <w:link w:val="Dipnot"/>
    <w:uiPriority w:val="99"/>
    <w:rsid w:val="00A81419"/>
    <w:pPr>
      <w:widowControl w:val="0"/>
      <w:shd w:val="clear" w:color="auto" w:fill="FFFFFF"/>
      <w:spacing w:after="0" w:line="250" w:lineRule="exact"/>
      <w:jc w:val="both"/>
    </w:pPr>
    <w:rPr>
      <w:rFonts w:ascii="Times New Roman" w:hAnsi="Times New Roman" w:cs="Times New Roman"/>
      <w:sz w:val="21"/>
      <w:szCs w:val="21"/>
    </w:rPr>
  </w:style>
  <w:style w:type="paragraph" w:customStyle="1" w:styleId="Balk521">
    <w:name w:val="Başlık #5 (2)1"/>
    <w:basedOn w:val="Normal"/>
    <w:link w:val="Balk52"/>
    <w:uiPriority w:val="99"/>
    <w:rsid w:val="00A81419"/>
    <w:pPr>
      <w:widowControl w:val="0"/>
      <w:shd w:val="clear" w:color="auto" w:fill="FFFFFF"/>
      <w:spacing w:before="420" w:after="60" w:line="240" w:lineRule="atLeast"/>
      <w:jc w:val="both"/>
      <w:outlineLvl w:val="4"/>
    </w:pPr>
    <w:rPr>
      <w:rFonts w:ascii="Times New Roman" w:hAnsi="Times New Roman" w:cs="Times New Roman"/>
      <w:b/>
      <w:bCs/>
      <w:sz w:val="19"/>
      <w:szCs w:val="19"/>
    </w:rPr>
  </w:style>
  <w:style w:type="paragraph" w:customStyle="1" w:styleId="Dipnot20">
    <w:name w:val="Dipnot (2)"/>
    <w:basedOn w:val="Normal"/>
    <w:link w:val="Dipnot2"/>
    <w:uiPriority w:val="99"/>
    <w:rsid w:val="00A81419"/>
    <w:pPr>
      <w:widowControl w:val="0"/>
      <w:shd w:val="clear" w:color="auto" w:fill="FFFFFF"/>
      <w:spacing w:after="60" w:line="240" w:lineRule="atLeast"/>
      <w:jc w:val="both"/>
    </w:pPr>
    <w:rPr>
      <w:rFonts w:ascii="Times New Roman" w:hAnsi="Times New Roman" w:cs="Times New Roman"/>
      <w:sz w:val="21"/>
      <w:szCs w:val="21"/>
    </w:rPr>
  </w:style>
  <w:style w:type="paragraph" w:customStyle="1" w:styleId="Dipnot30">
    <w:name w:val="Dipnot (3)"/>
    <w:basedOn w:val="Normal"/>
    <w:link w:val="Dipnot3"/>
    <w:uiPriority w:val="99"/>
    <w:rsid w:val="00A81419"/>
    <w:pPr>
      <w:widowControl w:val="0"/>
      <w:shd w:val="clear" w:color="auto" w:fill="FFFFFF"/>
      <w:spacing w:after="0" w:line="178" w:lineRule="exact"/>
      <w:jc w:val="right"/>
    </w:pPr>
    <w:rPr>
      <w:rFonts w:ascii="Times New Roman" w:hAnsi="Times New Roman" w:cs="Times New Roman"/>
      <w:b/>
      <w:bCs/>
      <w:sz w:val="14"/>
      <w:szCs w:val="14"/>
    </w:rPr>
  </w:style>
  <w:style w:type="paragraph" w:customStyle="1" w:styleId="Dipnot40">
    <w:name w:val="Dipnot (4)"/>
    <w:basedOn w:val="Normal"/>
    <w:link w:val="Dipnot4"/>
    <w:uiPriority w:val="99"/>
    <w:rsid w:val="00A81419"/>
    <w:pPr>
      <w:widowControl w:val="0"/>
      <w:shd w:val="clear" w:color="auto" w:fill="FFFFFF"/>
      <w:spacing w:after="300" w:line="240" w:lineRule="atLeast"/>
      <w:jc w:val="right"/>
    </w:pPr>
    <w:rPr>
      <w:rFonts w:ascii="Arial" w:hAnsi="Arial" w:cs="Arial"/>
      <w:b/>
      <w:bCs/>
      <w:sz w:val="14"/>
      <w:szCs w:val="14"/>
    </w:rPr>
  </w:style>
  <w:style w:type="paragraph" w:customStyle="1" w:styleId="Gvdemetni31">
    <w:name w:val="Gövde metni (3)1"/>
    <w:basedOn w:val="Normal"/>
    <w:link w:val="Gvdemetni3"/>
    <w:uiPriority w:val="99"/>
    <w:rsid w:val="00A81419"/>
    <w:pPr>
      <w:widowControl w:val="0"/>
      <w:shd w:val="clear" w:color="auto" w:fill="FFFFFF"/>
      <w:spacing w:after="60" w:line="240" w:lineRule="atLeast"/>
      <w:jc w:val="both"/>
    </w:pPr>
    <w:rPr>
      <w:rFonts w:ascii="Times New Roman" w:hAnsi="Times New Roman" w:cs="Times New Roman"/>
      <w:sz w:val="19"/>
      <w:szCs w:val="19"/>
    </w:rPr>
  </w:style>
  <w:style w:type="paragraph" w:customStyle="1" w:styleId="Gvdemetni1">
    <w:name w:val="Gövde metni1"/>
    <w:basedOn w:val="Normal"/>
    <w:link w:val="Gvdemetni"/>
    <w:rsid w:val="00A81419"/>
    <w:pPr>
      <w:widowControl w:val="0"/>
      <w:shd w:val="clear" w:color="auto" w:fill="FFFFFF"/>
      <w:spacing w:after="300" w:line="269" w:lineRule="exact"/>
      <w:ind w:hanging="720"/>
      <w:jc w:val="both"/>
    </w:pPr>
    <w:rPr>
      <w:rFonts w:ascii="Times New Roman" w:hAnsi="Times New Roman" w:cs="Times New Roman"/>
      <w:sz w:val="21"/>
      <w:szCs w:val="21"/>
    </w:rPr>
  </w:style>
  <w:style w:type="paragraph" w:customStyle="1" w:styleId="Balk11">
    <w:name w:val="Başlık #1"/>
    <w:basedOn w:val="Normal"/>
    <w:link w:val="Balk10"/>
    <w:uiPriority w:val="99"/>
    <w:rsid w:val="00A81419"/>
    <w:pPr>
      <w:widowControl w:val="0"/>
      <w:shd w:val="clear" w:color="auto" w:fill="FFFFFF"/>
      <w:spacing w:before="300" w:after="300" w:line="240" w:lineRule="atLeast"/>
      <w:jc w:val="both"/>
      <w:outlineLvl w:val="0"/>
    </w:pPr>
    <w:rPr>
      <w:rFonts w:ascii="Times New Roman" w:hAnsi="Times New Roman" w:cs="Times New Roman"/>
      <w:spacing w:val="20"/>
      <w:sz w:val="27"/>
      <w:szCs w:val="27"/>
    </w:rPr>
  </w:style>
  <w:style w:type="paragraph" w:customStyle="1" w:styleId="Tabloyazs21">
    <w:name w:val="Tablo yazısı (2)1"/>
    <w:basedOn w:val="Normal"/>
    <w:link w:val="Tabloyazs2"/>
    <w:uiPriority w:val="99"/>
    <w:rsid w:val="00A81419"/>
    <w:pPr>
      <w:widowControl w:val="0"/>
      <w:shd w:val="clear" w:color="auto" w:fill="FFFFFF"/>
      <w:spacing w:after="0" w:line="283" w:lineRule="exact"/>
      <w:jc w:val="both"/>
    </w:pPr>
    <w:rPr>
      <w:rFonts w:ascii="Times New Roman" w:hAnsi="Times New Roman" w:cs="Times New Roman"/>
      <w:sz w:val="21"/>
      <w:szCs w:val="21"/>
    </w:rPr>
  </w:style>
  <w:style w:type="paragraph" w:customStyle="1" w:styleId="Balk31">
    <w:name w:val="Başlık #31"/>
    <w:basedOn w:val="Normal"/>
    <w:link w:val="Balk30"/>
    <w:uiPriority w:val="99"/>
    <w:rsid w:val="00A81419"/>
    <w:pPr>
      <w:widowControl w:val="0"/>
      <w:shd w:val="clear" w:color="auto" w:fill="FFFFFF"/>
      <w:spacing w:before="300" w:after="300" w:line="240" w:lineRule="atLeast"/>
      <w:jc w:val="both"/>
      <w:outlineLvl w:val="2"/>
    </w:pPr>
    <w:rPr>
      <w:rFonts w:ascii="Times New Roman" w:hAnsi="Times New Roman" w:cs="Times New Roman"/>
      <w:sz w:val="19"/>
      <w:szCs w:val="19"/>
    </w:rPr>
  </w:style>
  <w:style w:type="paragraph" w:customStyle="1" w:styleId="stbilgiveyaaltbilgi1">
    <w:name w:val="Üst bilgi veya alt bilgi1"/>
    <w:basedOn w:val="Normal"/>
    <w:link w:val="stbilgiveyaaltbilgi"/>
    <w:uiPriority w:val="99"/>
    <w:rsid w:val="00A81419"/>
    <w:pPr>
      <w:widowControl w:val="0"/>
      <w:shd w:val="clear" w:color="auto" w:fill="FFFFFF"/>
      <w:spacing w:after="0" w:line="240" w:lineRule="atLeast"/>
      <w:jc w:val="both"/>
    </w:pPr>
    <w:rPr>
      <w:rFonts w:ascii="Times New Roman" w:hAnsi="Times New Roman" w:cs="Times New Roman"/>
      <w:b/>
      <w:bCs/>
      <w:sz w:val="19"/>
      <w:szCs w:val="19"/>
    </w:rPr>
  </w:style>
  <w:style w:type="paragraph" w:customStyle="1" w:styleId="Gvdemetni21">
    <w:name w:val="Gövde metni (2)1"/>
    <w:basedOn w:val="Normal"/>
    <w:link w:val="Gvdemetni2"/>
    <w:uiPriority w:val="99"/>
    <w:rsid w:val="00A81419"/>
    <w:pPr>
      <w:widowControl w:val="0"/>
      <w:shd w:val="clear" w:color="auto" w:fill="FFFFFF"/>
      <w:spacing w:after="60" w:line="240" w:lineRule="atLeast"/>
      <w:jc w:val="center"/>
    </w:pPr>
    <w:rPr>
      <w:rFonts w:ascii="Times New Roman" w:hAnsi="Times New Roman" w:cs="Times New Roman"/>
      <w:b/>
      <w:bCs/>
      <w:sz w:val="27"/>
      <w:szCs w:val="27"/>
    </w:rPr>
  </w:style>
  <w:style w:type="paragraph" w:customStyle="1" w:styleId="Gvdemetni40">
    <w:name w:val="Gövde metni (4)"/>
    <w:basedOn w:val="Normal"/>
    <w:link w:val="Gvdemetni4"/>
    <w:uiPriority w:val="99"/>
    <w:rsid w:val="00A81419"/>
    <w:pPr>
      <w:widowControl w:val="0"/>
      <w:shd w:val="clear" w:color="auto" w:fill="FFFFFF"/>
      <w:spacing w:after="300" w:line="240" w:lineRule="atLeast"/>
      <w:jc w:val="both"/>
    </w:pPr>
    <w:rPr>
      <w:rFonts w:ascii="Times New Roman" w:hAnsi="Times New Roman" w:cs="Times New Roman"/>
      <w:spacing w:val="20"/>
      <w:sz w:val="27"/>
      <w:szCs w:val="27"/>
    </w:rPr>
  </w:style>
  <w:style w:type="paragraph" w:customStyle="1" w:styleId="Resimyazs0">
    <w:name w:val="Resim yazısı"/>
    <w:basedOn w:val="Normal"/>
    <w:link w:val="Resimyazs"/>
    <w:uiPriority w:val="99"/>
    <w:rsid w:val="00A81419"/>
    <w:pPr>
      <w:widowControl w:val="0"/>
      <w:shd w:val="clear" w:color="auto" w:fill="FFFFFF"/>
      <w:spacing w:after="0" w:line="240" w:lineRule="atLeast"/>
      <w:jc w:val="both"/>
    </w:pPr>
    <w:rPr>
      <w:rFonts w:ascii="Times New Roman" w:hAnsi="Times New Roman" w:cs="Times New Roman"/>
      <w:sz w:val="19"/>
      <w:szCs w:val="19"/>
    </w:rPr>
  </w:style>
  <w:style w:type="paragraph" w:customStyle="1" w:styleId="Balk41">
    <w:name w:val="Başlık #4"/>
    <w:basedOn w:val="Normal"/>
    <w:link w:val="Balk40"/>
    <w:uiPriority w:val="99"/>
    <w:rsid w:val="00A81419"/>
    <w:pPr>
      <w:widowControl w:val="0"/>
      <w:shd w:val="clear" w:color="auto" w:fill="FFFFFF"/>
      <w:spacing w:before="360" w:after="240" w:line="240" w:lineRule="atLeast"/>
      <w:jc w:val="both"/>
      <w:outlineLvl w:val="3"/>
    </w:pPr>
    <w:rPr>
      <w:rFonts w:ascii="Times New Roman" w:hAnsi="Times New Roman" w:cs="Times New Roman"/>
      <w:sz w:val="19"/>
      <w:szCs w:val="19"/>
    </w:rPr>
  </w:style>
  <w:style w:type="paragraph" w:customStyle="1" w:styleId="Gvdemetni51">
    <w:name w:val="Gövde metni (5)1"/>
    <w:basedOn w:val="Normal"/>
    <w:link w:val="Gvdemetni5"/>
    <w:uiPriority w:val="99"/>
    <w:rsid w:val="00A81419"/>
    <w:pPr>
      <w:widowControl w:val="0"/>
      <w:shd w:val="clear" w:color="auto" w:fill="FFFFFF"/>
      <w:spacing w:before="300" w:after="0" w:line="298" w:lineRule="exact"/>
      <w:jc w:val="both"/>
    </w:pPr>
    <w:rPr>
      <w:rFonts w:ascii="Times New Roman" w:hAnsi="Times New Roman" w:cs="Times New Roman"/>
    </w:rPr>
  </w:style>
  <w:style w:type="paragraph" w:customStyle="1" w:styleId="Resimyazs2">
    <w:name w:val="Resim yazısı (2)"/>
    <w:basedOn w:val="Normal"/>
    <w:link w:val="Resimyazs2Exact"/>
    <w:uiPriority w:val="99"/>
    <w:rsid w:val="00A81419"/>
    <w:pPr>
      <w:widowControl w:val="0"/>
      <w:shd w:val="clear" w:color="auto" w:fill="FFFFFF"/>
      <w:spacing w:after="180" w:line="240" w:lineRule="exact"/>
      <w:jc w:val="center"/>
    </w:pPr>
    <w:rPr>
      <w:rFonts w:ascii="Times New Roman" w:hAnsi="Times New Roman" w:cs="Times New Roman"/>
      <w:b/>
      <w:bCs/>
      <w:spacing w:val="8"/>
      <w:sz w:val="18"/>
      <w:szCs w:val="18"/>
    </w:rPr>
  </w:style>
  <w:style w:type="paragraph" w:customStyle="1" w:styleId="Gvdemetni61">
    <w:name w:val="Gövde metni (6)1"/>
    <w:basedOn w:val="Normal"/>
    <w:link w:val="Gvdemetni6"/>
    <w:uiPriority w:val="99"/>
    <w:rsid w:val="00A81419"/>
    <w:pPr>
      <w:widowControl w:val="0"/>
      <w:shd w:val="clear" w:color="auto" w:fill="FFFFFF"/>
      <w:spacing w:after="0" w:line="245" w:lineRule="exact"/>
      <w:jc w:val="center"/>
    </w:pPr>
    <w:rPr>
      <w:rFonts w:ascii="Times New Roman" w:hAnsi="Times New Roman" w:cs="Times New Roman"/>
      <w:b/>
      <w:bCs/>
      <w:sz w:val="20"/>
      <w:szCs w:val="20"/>
    </w:rPr>
  </w:style>
  <w:style w:type="paragraph" w:customStyle="1" w:styleId="Balk21">
    <w:name w:val="Başlık #21"/>
    <w:basedOn w:val="Normal"/>
    <w:link w:val="Balk20"/>
    <w:uiPriority w:val="99"/>
    <w:rsid w:val="00A81419"/>
    <w:pPr>
      <w:widowControl w:val="0"/>
      <w:shd w:val="clear" w:color="auto" w:fill="FFFFFF"/>
      <w:spacing w:before="600" w:after="540" w:line="240" w:lineRule="atLeast"/>
      <w:jc w:val="both"/>
      <w:outlineLvl w:val="1"/>
    </w:pPr>
    <w:rPr>
      <w:rFonts w:ascii="Arial" w:hAnsi="Arial" w:cs="Arial"/>
      <w:b/>
      <w:bCs/>
      <w:sz w:val="23"/>
      <w:szCs w:val="23"/>
    </w:rPr>
  </w:style>
  <w:style w:type="paragraph" w:customStyle="1" w:styleId="Resimyazs31">
    <w:name w:val="Resim yazısı (3)1"/>
    <w:basedOn w:val="Normal"/>
    <w:link w:val="Resimyazs3"/>
    <w:uiPriority w:val="99"/>
    <w:rsid w:val="00A81419"/>
    <w:pPr>
      <w:widowControl w:val="0"/>
      <w:shd w:val="clear" w:color="auto" w:fill="FFFFFF"/>
      <w:spacing w:after="0" w:line="240" w:lineRule="atLeast"/>
      <w:jc w:val="both"/>
    </w:pPr>
    <w:rPr>
      <w:rFonts w:ascii="Times New Roman" w:hAnsi="Times New Roman" w:cs="Times New Roman"/>
      <w:sz w:val="12"/>
      <w:szCs w:val="12"/>
    </w:rPr>
  </w:style>
  <w:style w:type="paragraph" w:customStyle="1" w:styleId="Tabloyazs1">
    <w:name w:val="Tablo yazısı1"/>
    <w:basedOn w:val="Normal"/>
    <w:link w:val="Tabloyazs"/>
    <w:uiPriority w:val="99"/>
    <w:rsid w:val="00A81419"/>
    <w:pPr>
      <w:widowControl w:val="0"/>
      <w:shd w:val="clear" w:color="auto" w:fill="FFFFFF"/>
      <w:spacing w:after="0" w:line="240" w:lineRule="atLeast"/>
      <w:ind w:hanging="320"/>
      <w:jc w:val="both"/>
    </w:pPr>
    <w:rPr>
      <w:rFonts w:ascii="Times New Roman" w:hAnsi="Times New Roman" w:cs="Times New Roman"/>
      <w:sz w:val="19"/>
      <w:szCs w:val="19"/>
    </w:rPr>
  </w:style>
  <w:style w:type="paragraph" w:customStyle="1" w:styleId="Gvdemetni71">
    <w:name w:val="Gövde metni (7)1"/>
    <w:basedOn w:val="Normal"/>
    <w:link w:val="Gvdemetni7"/>
    <w:uiPriority w:val="99"/>
    <w:rsid w:val="00A81419"/>
    <w:pPr>
      <w:widowControl w:val="0"/>
      <w:shd w:val="clear" w:color="auto" w:fill="FFFFFF"/>
      <w:spacing w:before="480" w:after="120" w:line="240" w:lineRule="atLeast"/>
      <w:jc w:val="both"/>
    </w:pPr>
    <w:rPr>
      <w:rFonts w:ascii="Times New Roman" w:hAnsi="Times New Roman" w:cs="Times New Roman"/>
      <w:b/>
      <w:bCs/>
      <w:sz w:val="19"/>
      <w:szCs w:val="19"/>
    </w:rPr>
  </w:style>
  <w:style w:type="paragraph" w:customStyle="1" w:styleId="stbilgiveyaaltbilgi40">
    <w:name w:val="Üst bilgi veya alt bilgi (4)"/>
    <w:basedOn w:val="Normal"/>
    <w:link w:val="stbilgiveyaaltbilgi4"/>
    <w:uiPriority w:val="99"/>
    <w:rsid w:val="00A81419"/>
    <w:pPr>
      <w:widowControl w:val="0"/>
      <w:shd w:val="clear" w:color="auto" w:fill="FFFFFF"/>
      <w:spacing w:after="0" w:line="235" w:lineRule="exact"/>
      <w:jc w:val="both"/>
    </w:pPr>
    <w:rPr>
      <w:rFonts w:ascii="Times New Roman" w:hAnsi="Times New Roman" w:cs="Times New Roman"/>
      <w:b/>
      <w:bCs/>
      <w:sz w:val="18"/>
      <w:szCs w:val="18"/>
    </w:rPr>
  </w:style>
  <w:style w:type="paragraph" w:customStyle="1" w:styleId="Gvdemetni81">
    <w:name w:val="Gövde metni (8)1"/>
    <w:basedOn w:val="Normal"/>
    <w:link w:val="Gvdemetni80"/>
    <w:uiPriority w:val="99"/>
    <w:rsid w:val="00A81419"/>
    <w:pPr>
      <w:widowControl w:val="0"/>
      <w:shd w:val="clear" w:color="auto" w:fill="FFFFFF"/>
      <w:spacing w:after="300" w:line="240" w:lineRule="atLeast"/>
      <w:jc w:val="both"/>
    </w:pPr>
    <w:rPr>
      <w:rFonts w:ascii="Times New Roman" w:hAnsi="Times New Roman" w:cs="Times New Roman"/>
      <w:sz w:val="12"/>
      <w:szCs w:val="12"/>
    </w:rPr>
  </w:style>
  <w:style w:type="paragraph" w:customStyle="1" w:styleId="Balk51">
    <w:name w:val="Başlık #51"/>
    <w:basedOn w:val="Normal"/>
    <w:link w:val="Balk50"/>
    <w:uiPriority w:val="99"/>
    <w:rsid w:val="00A81419"/>
    <w:pPr>
      <w:widowControl w:val="0"/>
      <w:shd w:val="clear" w:color="auto" w:fill="FFFFFF"/>
      <w:spacing w:before="240" w:after="0" w:line="269" w:lineRule="exact"/>
      <w:jc w:val="both"/>
      <w:outlineLvl w:val="4"/>
    </w:pPr>
    <w:rPr>
      <w:rFonts w:ascii="Times New Roman" w:hAnsi="Times New Roman" w:cs="Times New Roman"/>
      <w:b/>
      <w:bCs/>
      <w:sz w:val="18"/>
      <w:szCs w:val="18"/>
    </w:rPr>
  </w:style>
  <w:style w:type="paragraph" w:customStyle="1" w:styleId="Balk421">
    <w:name w:val="Başlık #4 (2)1"/>
    <w:basedOn w:val="Normal"/>
    <w:link w:val="Balk42"/>
    <w:uiPriority w:val="99"/>
    <w:rsid w:val="00A81419"/>
    <w:pPr>
      <w:widowControl w:val="0"/>
      <w:shd w:val="clear" w:color="auto" w:fill="FFFFFF"/>
      <w:spacing w:before="420" w:after="0" w:line="432" w:lineRule="exact"/>
      <w:jc w:val="both"/>
      <w:outlineLvl w:val="3"/>
    </w:pPr>
    <w:rPr>
      <w:rFonts w:ascii="Times New Roman" w:hAnsi="Times New Roman" w:cs="Times New Roman"/>
      <w:b/>
      <w:bCs/>
      <w:sz w:val="19"/>
      <w:szCs w:val="19"/>
    </w:rPr>
  </w:style>
  <w:style w:type="paragraph" w:customStyle="1" w:styleId="Balk321">
    <w:name w:val="Başlık #3 (2)1"/>
    <w:basedOn w:val="Normal"/>
    <w:link w:val="Balk320"/>
    <w:uiPriority w:val="99"/>
    <w:rsid w:val="00A81419"/>
    <w:pPr>
      <w:widowControl w:val="0"/>
      <w:shd w:val="clear" w:color="auto" w:fill="FFFFFF"/>
      <w:spacing w:before="300" w:after="120" w:line="245" w:lineRule="exact"/>
      <w:ind w:hanging="360"/>
      <w:jc w:val="both"/>
      <w:outlineLvl w:val="2"/>
    </w:pPr>
    <w:rPr>
      <w:rFonts w:ascii="Times New Roman" w:hAnsi="Times New Roman" w:cs="Times New Roman"/>
      <w:b/>
      <w:bCs/>
      <w:sz w:val="19"/>
      <w:szCs w:val="19"/>
    </w:rPr>
  </w:style>
  <w:style w:type="paragraph" w:customStyle="1" w:styleId="Balk61">
    <w:name w:val="Başlık #61"/>
    <w:basedOn w:val="Normal"/>
    <w:link w:val="Balk60"/>
    <w:uiPriority w:val="99"/>
    <w:rsid w:val="00A81419"/>
    <w:pPr>
      <w:widowControl w:val="0"/>
      <w:shd w:val="clear" w:color="auto" w:fill="FFFFFF"/>
      <w:spacing w:before="60" w:after="180" w:line="240" w:lineRule="atLeast"/>
      <w:jc w:val="both"/>
      <w:outlineLvl w:val="5"/>
    </w:pPr>
    <w:rPr>
      <w:rFonts w:ascii="Times New Roman" w:hAnsi="Times New Roman" w:cs="Times New Roman"/>
      <w:b/>
      <w:bCs/>
      <w:sz w:val="18"/>
      <w:szCs w:val="18"/>
    </w:rPr>
  </w:style>
  <w:style w:type="paragraph" w:customStyle="1" w:styleId="Gvdemetni91">
    <w:name w:val="Gövde metni (9)"/>
    <w:basedOn w:val="Normal"/>
    <w:link w:val="Gvdemetni90"/>
    <w:uiPriority w:val="99"/>
    <w:rsid w:val="00A81419"/>
    <w:pPr>
      <w:widowControl w:val="0"/>
      <w:shd w:val="clear" w:color="auto" w:fill="FFFFFF"/>
      <w:spacing w:before="180" w:after="180" w:line="240" w:lineRule="atLeast"/>
      <w:jc w:val="both"/>
    </w:pPr>
    <w:rPr>
      <w:rFonts w:ascii="Times New Roman" w:hAnsi="Times New Roman" w:cs="Times New Roman"/>
      <w:b/>
      <w:bCs/>
      <w:sz w:val="18"/>
      <w:szCs w:val="18"/>
    </w:rPr>
  </w:style>
  <w:style w:type="paragraph" w:customStyle="1" w:styleId="Gvdemetni101">
    <w:name w:val="Gövde metni (10)1"/>
    <w:basedOn w:val="Normal"/>
    <w:link w:val="Gvdemetni10"/>
    <w:uiPriority w:val="99"/>
    <w:rsid w:val="00A81419"/>
    <w:pPr>
      <w:widowControl w:val="0"/>
      <w:shd w:val="clear" w:color="auto" w:fill="FFFFFF"/>
      <w:spacing w:before="180" w:after="360" w:line="240" w:lineRule="atLeast"/>
      <w:jc w:val="both"/>
    </w:pPr>
    <w:rPr>
      <w:rFonts w:ascii="Arial" w:hAnsi="Arial" w:cs="Arial"/>
      <w:sz w:val="19"/>
      <w:szCs w:val="19"/>
    </w:rPr>
  </w:style>
  <w:style w:type="paragraph" w:customStyle="1" w:styleId="Resimyazs51">
    <w:name w:val="Resim yazısı (5)1"/>
    <w:basedOn w:val="Normal"/>
    <w:link w:val="Resimyazs5"/>
    <w:uiPriority w:val="99"/>
    <w:rsid w:val="00A81419"/>
    <w:pPr>
      <w:widowControl w:val="0"/>
      <w:shd w:val="clear" w:color="auto" w:fill="FFFFFF"/>
      <w:spacing w:after="0" w:line="240" w:lineRule="atLeast"/>
      <w:jc w:val="both"/>
    </w:pPr>
    <w:rPr>
      <w:rFonts w:ascii="Century Schoolbook" w:hAnsi="Century Schoolbook" w:cs="Century Schoolbook"/>
      <w:sz w:val="10"/>
      <w:szCs w:val="10"/>
    </w:rPr>
  </w:style>
  <w:style w:type="paragraph" w:customStyle="1" w:styleId="Gvdemetni111">
    <w:name w:val="Gövde metni (11)1"/>
    <w:basedOn w:val="Normal"/>
    <w:link w:val="Gvdemetni11"/>
    <w:uiPriority w:val="99"/>
    <w:rsid w:val="00A81419"/>
    <w:pPr>
      <w:widowControl w:val="0"/>
      <w:shd w:val="clear" w:color="auto" w:fill="FFFFFF"/>
      <w:spacing w:after="240" w:line="240" w:lineRule="atLeast"/>
      <w:jc w:val="both"/>
    </w:pPr>
    <w:rPr>
      <w:rFonts w:ascii="Times New Roman" w:hAnsi="Times New Roman" w:cs="Times New Roman"/>
      <w:sz w:val="18"/>
      <w:szCs w:val="18"/>
    </w:rPr>
  </w:style>
  <w:style w:type="paragraph" w:customStyle="1" w:styleId="Resimyazs6">
    <w:name w:val="Resim yazısı (6)"/>
    <w:basedOn w:val="Normal"/>
    <w:link w:val="Resimyazs6Exact"/>
    <w:uiPriority w:val="99"/>
    <w:rsid w:val="00A81419"/>
    <w:pPr>
      <w:widowControl w:val="0"/>
      <w:shd w:val="clear" w:color="auto" w:fill="FFFFFF"/>
      <w:spacing w:after="0" w:line="240" w:lineRule="atLeast"/>
      <w:jc w:val="both"/>
    </w:pPr>
    <w:rPr>
      <w:rFonts w:ascii="Century Schoolbook" w:hAnsi="Century Schoolbook" w:cs="Century Schoolbook"/>
      <w:spacing w:val="4"/>
      <w:sz w:val="15"/>
      <w:szCs w:val="15"/>
    </w:rPr>
  </w:style>
  <w:style w:type="paragraph" w:customStyle="1" w:styleId="Gvdemetni12">
    <w:name w:val="Gövde metni (12)"/>
    <w:basedOn w:val="Normal"/>
    <w:link w:val="Gvdemetni12Exact"/>
    <w:uiPriority w:val="99"/>
    <w:rsid w:val="00A81419"/>
    <w:pPr>
      <w:widowControl w:val="0"/>
      <w:shd w:val="clear" w:color="auto" w:fill="FFFFFF"/>
      <w:spacing w:before="120" w:after="0" w:line="240" w:lineRule="atLeast"/>
      <w:jc w:val="both"/>
    </w:pPr>
    <w:rPr>
      <w:rFonts w:ascii="Times New Roman" w:hAnsi="Times New Roman" w:cs="Times New Roman"/>
      <w:b/>
      <w:bCs/>
      <w:spacing w:val="14"/>
      <w:sz w:val="21"/>
      <w:szCs w:val="21"/>
    </w:rPr>
  </w:style>
  <w:style w:type="paragraph" w:customStyle="1" w:styleId="Resimyazs71">
    <w:name w:val="Resim yazısı (7)1"/>
    <w:basedOn w:val="Normal"/>
    <w:link w:val="Resimyazs7"/>
    <w:uiPriority w:val="99"/>
    <w:rsid w:val="00A81419"/>
    <w:pPr>
      <w:widowControl w:val="0"/>
      <w:shd w:val="clear" w:color="auto" w:fill="FFFFFF"/>
      <w:spacing w:after="0" w:line="240" w:lineRule="atLeast"/>
      <w:jc w:val="both"/>
    </w:pPr>
    <w:rPr>
      <w:rFonts w:ascii="Times New Roman" w:hAnsi="Times New Roman" w:cs="Times New Roman"/>
      <w:sz w:val="16"/>
      <w:szCs w:val="16"/>
    </w:rPr>
  </w:style>
  <w:style w:type="paragraph" w:customStyle="1" w:styleId="Resimyazs81">
    <w:name w:val="Resim yazısı (8)1"/>
    <w:basedOn w:val="Normal"/>
    <w:link w:val="Resimyazs8"/>
    <w:uiPriority w:val="99"/>
    <w:rsid w:val="00A81419"/>
    <w:pPr>
      <w:widowControl w:val="0"/>
      <w:shd w:val="clear" w:color="auto" w:fill="FFFFFF"/>
      <w:spacing w:after="0" w:line="240" w:lineRule="atLeast"/>
      <w:jc w:val="both"/>
    </w:pPr>
    <w:rPr>
      <w:rFonts w:ascii="Arial" w:hAnsi="Arial" w:cs="Arial"/>
      <w:b/>
      <w:bCs/>
      <w:sz w:val="14"/>
      <w:szCs w:val="14"/>
    </w:rPr>
  </w:style>
  <w:style w:type="paragraph" w:customStyle="1" w:styleId="Gvdemetni131">
    <w:name w:val="Gövde metni (13)1"/>
    <w:basedOn w:val="Normal"/>
    <w:link w:val="Gvdemetni13"/>
    <w:uiPriority w:val="99"/>
    <w:rsid w:val="00A81419"/>
    <w:pPr>
      <w:widowControl w:val="0"/>
      <w:shd w:val="clear" w:color="auto" w:fill="FFFFFF"/>
      <w:spacing w:before="300" w:after="120" w:line="240" w:lineRule="atLeast"/>
      <w:jc w:val="both"/>
    </w:pPr>
    <w:rPr>
      <w:rFonts w:ascii="Times New Roman" w:hAnsi="Times New Roman" w:cs="Times New Roman"/>
      <w:sz w:val="16"/>
      <w:szCs w:val="16"/>
    </w:rPr>
  </w:style>
  <w:style w:type="paragraph" w:customStyle="1" w:styleId="Gvdemetni141">
    <w:name w:val="Gövde metni (14)1"/>
    <w:basedOn w:val="Normal"/>
    <w:link w:val="Gvdemetni14"/>
    <w:uiPriority w:val="99"/>
    <w:rsid w:val="00A81419"/>
    <w:pPr>
      <w:widowControl w:val="0"/>
      <w:shd w:val="clear" w:color="auto" w:fill="FFFFFF"/>
      <w:spacing w:before="300" w:after="0" w:line="250" w:lineRule="exact"/>
      <w:jc w:val="both"/>
    </w:pPr>
    <w:rPr>
      <w:rFonts w:ascii="Times New Roman" w:hAnsi="Times New Roman" w:cs="Times New Roman"/>
      <w:b/>
      <w:bCs/>
      <w:i/>
      <w:iCs/>
      <w:sz w:val="20"/>
      <w:szCs w:val="20"/>
    </w:rPr>
  </w:style>
  <w:style w:type="paragraph" w:customStyle="1" w:styleId="Gvdemetni151">
    <w:name w:val="Gövde metni (15)1"/>
    <w:basedOn w:val="Normal"/>
    <w:link w:val="Gvdemetni15"/>
    <w:uiPriority w:val="99"/>
    <w:rsid w:val="00A81419"/>
    <w:pPr>
      <w:widowControl w:val="0"/>
      <w:shd w:val="clear" w:color="auto" w:fill="FFFFFF"/>
      <w:spacing w:before="180" w:after="180" w:line="240" w:lineRule="atLeast"/>
      <w:jc w:val="both"/>
    </w:pPr>
    <w:rPr>
      <w:rFonts w:ascii="Times New Roman" w:hAnsi="Times New Roman" w:cs="Times New Roman"/>
      <w:sz w:val="20"/>
      <w:szCs w:val="20"/>
    </w:rPr>
  </w:style>
  <w:style w:type="paragraph" w:customStyle="1" w:styleId="Resimyazs90">
    <w:name w:val="Resim yazısı (9)"/>
    <w:basedOn w:val="Normal"/>
    <w:link w:val="Resimyazs9"/>
    <w:uiPriority w:val="99"/>
    <w:rsid w:val="00A81419"/>
    <w:pPr>
      <w:widowControl w:val="0"/>
      <w:shd w:val="clear" w:color="auto" w:fill="FFFFFF"/>
      <w:spacing w:after="120" w:line="240" w:lineRule="atLeast"/>
      <w:jc w:val="both"/>
    </w:pPr>
    <w:rPr>
      <w:rFonts w:ascii="Candara" w:hAnsi="Candara" w:cs="Candara"/>
      <w:b/>
      <w:bCs/>
      <w:sz w:val="18"/>
      <w:szCs w:val="18"/>
    </w:rPr>
  </w:style>
  <w:style w:type="paragraph" w:customStyle="1" w:styleId="Resimyazs100">
    <w:name w:val="Resim yazısı (10)"/>
    <w:basedOn w:val="Normal"/>
    <w:link w:val="Resimyazs10"/>
    <w:uiPriority w:val="99"/>
    <w:rsid w:val="00A81419"/>
    <w:pPr>
      <w:widowControl w:val="0"/>
      <w:shd w:val="clear" w:color="auto" w:fill="FFFFFF"/>
      <w:spacing w:before="120" w:after="0" w:line="240" w:lineRule="atLeast"/>
      <w:jc w:val="both"/>
    </w:pPr>
    <w:rPr>
      <w:rFonts w:ascii="Candara" w:hAnsi="Candara" w:cs="Candara"/>
      <w:sz w:val="15"/>
      <w:szCs w:val="15"/>
    </w:rPr>
  </w:style>
  <w:style w:type="paragraph" w:customStyle="1" w:styleId="Gvdemetni160">
    <w:name w:val="Gövde metni (16)"/>
    <w:basedOn w:val="Normal"/>
    <w:link w:val="Gvdemetni16Exact"/>
    <w:uiPriority w:val="99"/>
    <w:rsid w:val="00A81419"/>
    <w:pPr>
      <w:widowControl w:val="0"/>
      <w:shd w:val="clear" w:color="auto" w:fill="FFFFFF"/>
      <w:spacing w:after="0" w:line="240" w:lineRule="atLeast"/>
      <w:jc w:val="both"/>
    </w:pPr>
    <w:rPr>
      <w:rFonts w:ascii="Times New Roman" w:hAnsi="Times New Roman" w:cs="Times New Roman"/>
      <w:b/>
      <w:bCs/>
      <w:noProof/>
      <w:sz w:val="34"/>
      <w:szCs w:val="34"/>
    </w:rPr>
  </w:style>
  <w:style w:type="paragraph" w:customStyle="1" w:styleId="Resimyazs111">
    <w:name w:val="Resim yazısı (11)1"/>
    <w:basedOn w:val="Normal"/>
    <w:link w:val="Resimyazs11"/>
    <w:uiPriority w:val="99"/>
    <w:rsid w:val="00A81419"/>
    <w:pPr>
      <w:widowControl w:val="0"/>
      <w:shd w:val="clear" w:color="auto" w:fill="FFFFFF"/>
      <w:spacing w:after="0" w:line="240" w:lineRule="atLeast"/>
      <w:jc w:val="both"/>
    </w:pPr>
    <w:rPr>
      <w:rFonts w:ascii="Arial" w:hAnsi="Arial" w:cs="Arial"/>
      <w:sz w:val="12"/>
      <w:szCs w:val="12"/>
    </w:rPr>
  </w:style>
  <w:style w:type="paragraph" w:customStyle="1" w:styleId="Gvdemetni171">
    <w:name w:val="Gövde metni (17)1"/>
    <w:basedOn w:val="Normal"/>
    <w:link w:val="Gvdemetni170"/>
    <w:uiPriority w:val="99"/>
    <w:rsid w:val="00A81419"/>
    <w:pPr>
      <w:widowControl w:val="0"/>
      <w:shd w:val="clear" w:color="auto" w:fill="FFFFFF"/>
      <w:spacing w:before="480" w:after="180" w:line="240" w:lineRule="atLeast"/>
      <w:jc w:val="both"/>
    </w:pPr>
    <w:rPr>
      <w:rFonts w:ascii="Times New Roman" w:hAnsi="Times New Roman" w:cs="Times New Roman"/>
      <w:sz w:val="12"/>
      <w:szCs w:val="12"/>
    </w:rPr>
  </w:style>
  <w:style w:type="paragraph" w:customStyle="1" w:styleId="Resimyazs121">
    <w:name w:val="Resim yazısı (12)1"/>
    <w:basedOn w:val="Normal"/>
    <w:link w:val="Resimyazs12"/>
    <w:uiPriority w:val="99"/>
    <w:rsid w:val="00A81419"/>
    <w:pPr>
      <w:widowControl w:val="0"/>
      <w:shd w:val="clear" w:color="auto" w:fill="FFFFFF"/>
      <w:spacing w:after="0" w:line="240" w:lineRule="atLeast"/>
      <w:jc w:val="both"/>
    </w:pPr>
    <w:rPr>
      <w:rFonts w:ascii="Times New Roman" w:hAnsi="Times New Roman" w:cs="Times New Roman"/>
      <w:sz w:val="18"/>
      <w:szCs w:val="18"/>
    </w:rPr>
  </w:style>
  <w:style w:type="paragraph" w:customStyle="1" w:styleId="Resimyazs131">
    <w:name w:val="Resim yazısı (13)1"/>
    <w:basedOn w:val="Normal"/>
    <w:link w:val="Resimyazs13"/>
    <w:uiPriority w:val="99"/>
    <w:rsid w:val="00A81419"/>
    <w:pPr>
      <w:widowControl w:val="0"/>
      <w:shd w:val="clear" w:color="auto" w:fill="FFFFFF"/>
      <w:spacing w:after="0" w:line="240" w:lineRule="atLeast"/>
      <w:jc w:val="both"/>
    </w:pPr>
    <w:rPr>
      <w:rFonts w:ascii="Candara" w:hAnsi="Candara" w:cs="Candara"/>
      <w:sz w:val="9"/>
      <w:szCs w:val="9"/>
    </w:rPr>
  </w:style>
  <w:style w:type="paragraph" w:customStyle="1" w:styleId="Gvdemetni181">
    <w:name w:val="Gövde metni (18)1"/>
    <w:basedOn w:val="Normal"/>
    <w:link w:val="Gvdemetni180"/>
    <w:uiPriority w:val="99"/>
    <w:rsid w:val="00A81419"/>
    <w:pPr>
      <w:widowControl w:val="0"/>
      <w:shd w:val="clear" w:color="auto" w:fill="FFFFFF"/>
      <w:spacing w:before="300" w:after="300" w:line="240" w:lineRule="atLeast"/>
      <w:jc w:val="both"/>
    </w:pPr>
    <w:rPr>
      <w:rFonts w:ascii="Candara" w:hAnsi="Candara" w:cs="Candara"/>
      <w:sz w:val="9"/>
      <w:szCs w:val="9"/>
    </w:rPr>
  </w:style>
  <w:style w:type="paragraph" w:customStyle="1" w:styleId="Tabloyazs30">
    <w:name w:val="Tablo yazısı (3)"/>
    <w:basedOn w:val="Normal"/>
    <w:link w:val="Tabloyazs3"/>
    <w:uiPriority w:val="99"/>
    <w:rsid w:val="00A81419"/>
    <w:pPr>
      <w:widowControl w:val="0"/>
      <w:shd w:val="clear" w:color="auto" w:fill="FFFFFF"/>
      <w:spacing w:after="0" w:line="211" w:lineRule="exact"/>
      <w:jc w:val="both"/>
    </w:pPr>
    <w:rPr>
      <w:rFonts w:ascii="Times New Roman" w:hAnsi="Times New Roman" w:cs="Times New Roman"/>
      <w:sz w:val="18"/>
      <w:szCs w:val="18"/>
    </w:rPr>
  </w:style>
  <w:style w:type="paragraph" w:customStyle="1" w:styleId="Resimyazs141">
    <w:name w:val="Resim yazısı (14)1"/>
    <w:basedOn w:val="Normal"/>
    <w:link w:val="Resimyazs14"/>
    <w:uiPriority w:val="99"/>
    <w:rsid w:val="00A81419"/>
    <w:pPr>
      <w:widowControl w:val="0"/>
      <w:shd w:val="clear" w:color="auto" w:fill="FFFFFF"/>
      <w:spacing w:after="0" w:line="240" w:lineRule="atLeast"/>
      <w:jc w:val="both"/>
    </w:pPr>
    <w:rPr>
      <w:rFonts w:ascii="Times New Roman" w:hAnsi="Times New Roman" w:cs="Times New Roman"/>
      <w:sz w:val="21"/>
      <w:szCs w:val="21"/>
    </w:rPr>
  </w:style>
  <w:style w:type="paragraph" w:customStyle="1" w:styleId="Resimyazs150">
    <w:name w:val="Resim yazısı (15)"/>
    <w:basedOn w:val="Normal"/>
    <w:link w:val="Resimyazs15"/>
    <w:uiPriority w:val="99"/>
    <w:rsid w:val="00A81419"/>
    <w:pPr>
      <w:widowControl w:val="0"/>
      <w:shd w:val="clear" w:color="auto" w:fill="FFFFFF"/>
      <w:spacing w:after="0" w:line="211" w:lineRule="exact"/>
      <w:ind w:firstLine="1360"/>
      <w:jc w:val="both"/>
    </w:pPr>
    <w:rPr>
      <w:rFonts w:ascii="Arial" w:hAnsi="Arial" w:cs="Arial"/>
      <w:b/>
      <w:bCs/>
      <w:sz w:val="15"/>
      <w:szCs w:val="15"/>
    </w:rPr>
  </w:style>
  <w:style w:type="paragraph" w:customStyle="1" w:styleId="Gvdemetni191">
    <w:name w:val="Gövde metni (19)1"/>
    <w:basedOn w:val="Normal"/>
    <w:link w:val="Gvdemetni190"/>
    <w:uiPriority w:val="99"/>
    <w:rsid w:val="00A81419"/>
    <w:pPr>
      <w:widowControl w:val="0"/>
      <w:shd w:val="clear" w:color="auto" w:fill="FFFFFF"/>
      <w:spacing w:before="240" w:after="0" w:line="250" w:lineRule="exact"/>
      <w:jc w:val="both"/>
    </w:pPr>
    <w:rPr>
      <w:rFonts w:ascii="Arial" w:hAnsi="Arial" w:cs="Arial"/>
      <w:b/>
      <w:bCs/>
      <w:sz w:val="19"/>
      <w:szCs w:val="19"/>
    </w:rPr>
  </w:style>
  <w:style w:type="paragraph" w:customStyle="1" w:styleId="Resimyazs16">
    <w:name w:val="Resim yazısı (16)"/>
    <w:basedOn w:val="Normal"/>
    <w:link w:val="Resimyazs16Exact"/>
    <w:uiPriority w:val="99"/>
    <w:rsid w:val="00A81419"/>
    <w:pPr>
      <w:widowControl w:val="0"/>
      <w:shd w:val="clear" w:color="auto" w:fill="FFFFFF"/>
      <w:spacing w:before="60" w:after="0" w:line="240" w:lineRule="atLeast"/>
      <w:jc w:val="both"/>
    </w:pPr>
    <w:rPr>
      <w:rFonts w:ascii="Sylfaen" w:hAnsi="Sylfaen" w:cs="Sylfaen"/>
      <w:spacing w:val="-22"/>
      <w:sz w:val="14"/>
      <w:szCs w:val="14"/>
    </w:rPr>
  </w:style>
  <w:style w:type="paragraph" w:customStyle="1" w:styleId="Resimyazs170">
    <w:name w:val="Resim yazısı (17)"/>
    <w:basedOn w:val="Normal"/>
    <w:link w:val="Resimyazs17"/>
    <w:uiPriority w:val="99"/>
    <w:rsid w:val="00A81419"/>
    <w:pPr>
      <w:widowControl w:val="0"/>
      <w:shd w:val="clear" w:color="auto" w:fill="FFFFFF"/>
      <w:spacing w:after="0" w:line="206" w:lineRule="exact"/>
      <w:jc w:val="both"/>
    </w:pPr>
    <w:rPr>
      <w:rFonts w:ascii="Arial" w:hAnsi="Arial" w:cs="Arial"/>
      <w:b/>
      <w:bCs/>
      <w:sz w:val="11"/>
      <w:szCs w:val="11"/>
    </w:rPr>
  </w:style>
  <w:style w:type="paragraph" w:customStyle="1" w:styleId="Resimyazs18">
    <w:name w:val="Resim yazısı (18)"/>
    <w:basedOn w:val="Normal"/>
    <w:link w:val="Resimyazs18Exact"/>
    <w:uiPriority w:val="99"/>
    <w:rsid w:val="00A81419"/>
    <w:pPr>
      <w:widowControl w:val="0"/>
      <w:shd w:val="clear" w:color="auto" w:fill="FFFFFF"/>
      <w:spacing w:after="0" w:line="240" w:lineRule="atLeast"/>
      <w:jc w:val="both"/>
    </w:pPr>
    <w:rPr>
      <w:rFonts w:ascii="MS Gothic" w:eastAsia="MS Gothic" w:cs="MS Gothic"/>
      <w:noProof/>
      <w:sz w:val="23"/>
      <w:szCs w:val="23"/>
    </w:rPr>
  </w:style>
  <w:style w:type="paragraph" w:customStyle="1" w:styleId="Resimyazs19">
    <w:name w:val="Resim yazısı (19)"/>
    <w:basedOn w:val="Normal"/>
    <w:link w:val="Resimyazs19Exact"/>
    <w:uiPriority w:val="99"/>
    <w:rsid w:val="00A81419"/>
    <w:pPr>
      <w:widowControl w:val="0"/>
      <w:shd w:val="clear" w:color="auto" w:fill="FFFFFF"/>
      <w:spacing w:after="0" w:line="240" w:lineRule="atLeast"/>
      <w:jc w:val="right"/>
    </w:pPr>
    <w:rPr>
      <w:rFonts w:ascii="Sylfaen" w:hAnsi="Sylfaen" w:cs="Sylfaen"/>
      <w:spacing w:val="2"/>
      <w:sz w:val="8"/>
      <w:szCs w:val="8"/>
    </w:rPr>
  </w:style>
  <w:style w:type="paragraph" w:customStyle="1" w:styleId="Balk330">
    <w:name w:val="Başlık #3 (3)"/>
    <w:basedOn w:val="Normal"/>
    <w:link w:val="Balk33"/>
    <w:uiPriority w:val="99"/>
    <w:rsid w:val="00A81419"/>
    <w:pPr>
      <w:widowControl w:val="0"/>
      <w:shd w:val="clear" w:color="auto" w:fill="FFFFFF"/>
      <w:spacing w:before="6180" w:after="0" w:line="250" w:lineRule="exact"/>
      <w:jc w:val="both"/>
      <w:outlineLvl w:val="2"/>
    </w:pPr>
    <w:rPr>
      <w:rFonts w:ascii="Arial" w:hAnsi="Arial" w:cs="Arial"/>
      <w:b/>
      <w:bCs/>
      <w:sz w:val="19"/>
      <w:szCs w:val="19"/>
    </w:rPr>
  </w:style>
  <w:style w:type="paragraph" w:customStyle="1" w:styleId="Gvdemetni201">
    <w:name w:val="Gövde metni (20)1"/>
    <w:basedOn w:val="Normal"/>
    <w:link w:val="Gvdemetni200"/>
    <w:uiPriority w:val="99"/>
    <w:rsid w:val="00A81419"/>
    <w:pPr>
      <w:widowControl w:val="0"/>
      <w:shd w:val="clear" w:color="auto" w:fill="FFFFFF"/>
      <w:spacing w:before="240" w:after="0" w:line="254" w:lineRule="exact"/>
      <w:jc w:val="both"/>
    </w:pPr>
    <w:rPr>
      <w:rFonts w:ascii="Times New Roman" w:hAnsi="Times New Roman" w:cs="Times New Roman"/>
      <w:i/>
      <w:iCs/>
      <w:sz w:val="21"/>
      <w:szCs w:val="21"/>
    </w:rPr>
  </w:style>
  <w:style w:type="paragraph" w:customStyle="1" w:styleId="Gvdemetni211">
    <w:name w:val="Gövde metni (21)1"/>
    <w:basedOn w:val="Normal"/>
    <w:link w:val="Gvdemetni210"/>
    <w:uiPriority w:val="99"/>
    <w:rsid w:val="00A81419"/>
    <w:pPr>
      <w:widowControl w:val="0"/>
      <w:shd w:val="clear" w:color="auto" w:fill="FFFFFF"/>
      <w:spacing w:after="0" w:line="240" w:lineRule="atLeast"/>
      <w:jc w:val="both"/>
    </w:pPr>
    <w:rPr>
      <w:rFonts w:ascii="Arial" w:hAnsi="Arial" w:cs="Arial"/>
      <w:b/>
      <w:bCs/>
      <w:sz w:val="16"/>
      <w:szCs w:val="16"/>
    </w:rPr>
  </w:style>
  <w:style w:type="paragraph" w:customStyle="1" w:styleId="Gvdemetni22">
    <w:name w:val="Gövde metni (22)"/>
    <w:basedOn w:val="Normal"/>
    <w:link w:val="Gvdemetni22Exact"/>
    <w:uiPriority w:val="99"/>
    <w:rsid w:val="00A81419"/>
    <w:pPr>
      <w:widowControl w:val="0"/>
      <w:shd w:val="clear" w:color="auto" w:fill="FFFFFF"/>
      <w:spacing w:after="0" w:line="240" w:lineRule="atLeast"/>
      <w:jc w:val="both"/>
    </w:pPr>
    <w:rPr>
      <w:rFonts w:ascii="Times New Roman" w:hAnsi="Times New Roman" w:cs="Times New Roman"/>
      <w:noProof/>
      <w:sz w:val="44"/>
      <w:szCs w:val="44"/>
    </w:rPr>
  </w:style>
  <w:style w:type="paragraph" w:customStyle="1" w:styleId="Resimyazs200">
    <w:name w:val="Resim yazısı (20)"/>
    <w:basedOn w:val="Normal"/>
    <w:link w:val="Resimyazs20"/>
    <w:uiPriority w:val="99"/>
    <w:rsid w:val="00A81419"/>
    <w:pPr>
      <w:widowControl w:val="0"/>
      <w:shd w:val="clear" w:color="auto" w:fill="FFFFFF"/>
      <w:spacing w:after="0" w:line="240" w:lineRule="atLeast"/>
      <w:jc w:val="both"/>
    </w:pPr>
    <w:rPr>
      <w:rFonts w:ascii="Arial" w:hAnsi="Arial" w:cs="Arial"/>
      <w:b/>
      <w:bCs/>
      <w:sz w:val="15"/>
      <w:szCs w:val="15"/>
    </w:rPr>
  </w:style>
  <w:style w:type="paragraph" w:customStyle="1" w:styleId="Resimyazs211">
    <w:name w:val="Resim yazısı (21)1"/>
    <w:basedOn w:val="Normal"/>
    <w:link w:val="Resimyazs21"/>
    <w:uiPriority w:val="99"/>
    <w:rsid w:val="00A81419"/>
    <w:pPr>
      <w:widowControl w:val="0"/>
      <w:shd w:val="clear" w:color="auto" w:fill="FFFFFF"/>
      <w:spacing w:after="0" w:line="240" w:lineRule="atLeast"/>
      <w:jc w:val="both"/>
    </w:pPr>
    <w:rPr>
      <w:rFonts w:ascii="Times New Roman" w:hAnsi="Times New Roman" w:cs="Times New Roman"/>
      <w:sz w:val="18"/>
      <w:szCs w:val="18"/>
    </w:rPr>
  </w:style>
  <w:style w:type="paragraph" w:customStyle="1" w:styleId="Resimyazs221">
    <w:name w:val="Resim yazısı (22)1"/>
    <w:basedOn w:val="Normal"/>
    <w:link w:val="Resimyazs22"/>
    <w:uiPriority w:val="99"/>
    <w:rsid w:val="00A81419"/>
    <w:pPr>
      <w:widowControl w:val="0"/>
      <w:shd w:val="clear" w:color="auto" w:fill="FFFFFF"/>
      <w:spacing w:after="0" w:line="240" w:lineRule="atLeast"/>
      <w:jc w:val="both"/>
    </w:pPr>
    <w:rPr>
      <w:rFonts w:ascii="Times New Roman" w:hAnsi="Times New Roman" w:cs="Times New Roman"/>
      <w:b/>
      <w:bCs/>
      <w:sz w:val="17"/>
      <w:szCs w:val="17"/>
    </w:rPr>
  </w:style>
  <w:style w:type="paragraph" w:customStyle="1" w:styleId="Gvdemetni23">
    <w:name w:val="Gövde metni (23)"/>
    <w:basedOn w:val="Normal"/>
    <w:link w:val="Gvdemetni23Exact"/>
    <w:uiPriority w:val="99"/>
    <w:rsid w:val="00A81419"/>
    <w:pPr>
      <w:widowControl w:val="0"/>
      <w:shd w:val="clear" w:color="auto" w:fill="FFFFFF"/>
      <w:spacing w:after="0" w:line="240" w:lineRule="atLeast"/>
      <w:jc w:val="both"/>
    </w:pPr>
    <w:rPr>
      <w:rFonts w:ascii="Arial" w:hAnsi="Arial" w:cs="Arial"/>
      <w:b/>
      <w:bCs/>
      <w:spacing w:val="-6"/>
      <w:sz w:val="27"/>
      <w:szCs w:val="27"/>
    </w:rPr>
  </w:style>
  <w:style w:type="paragraph" w:customStyle="1" w:styleId="Gvdemetni24">
    <w:name w:val="Gövde metni (24)"/>
    <w:basedOn w:val="Normal"/>
    <w:link w:val="Gvdemetni24Exact"/>
    <w:uiPriority w:val="99"/>
    <w:rsid w:val="00A81419"/>
    <w:pPr>
      <w:widowControl w:val="0"/>
      <w:shd w:val="clear" w:color="auto" w:fill="FFFFFF"/>
      <w:spacing w:after="0" w:line="355" w:lineRule="exact"/>
      <w:jc w:val="both"/>
    </w:pPr>
    <w:rPr>
      <w:rFonts w:ascii="Impact" w:hAnsi="Impact" w:cs="Impact"/>
      <w:spacing w:val="5"/>
      <w:sz w:val="20"/>
      <w:szCs w:val="20"/>
    </w:rPr>
  </w:style>
  <w:style w:type="paragraph" w:customStyle="1" w:styleId="Resimyazs23">
    <w:name w:val="Resim yazısı (23)"/>
    <w:basedOn w:val="Normal"/>
    <w:link w:val="Resimyazs23Exact"/>
    <w:uiPriority w:val="99"/>
    <w:rsid w:val="00A81419"/>
    <w:pPr>
      <w:widowControl w:val="0"/>
      <w:shd w:val="clear" w:color="auto" w:fill="FFFFFF"/>
      <w:spacing w:after="0" w:line="240" w:lineRule="atLeast"/>
      <w:jc w:val="both"/>
    </w:pPr>
    <w:rPr>
      <w:rFonts w:ascii="Trebuchet MS" w:hAnsi="Trebuchet MS" w:cs="Trebuchet MS"/>
      <w:b/>
      <w:bCs/>
      <w:spacing w:val="4"/>
      <w:sz w:val="19"/>
      <w:szCs w:val="19"/>
    </w:rPr>
  </w:style>
  <w:style w:type="paragraph" w:customStyle="1" w:styleId="Resimyazs24">
    <w:name w:val="Resim yazısı (24)"/>
    <w:basedOn w:val="Normal"/>
    <w:link w:val="Resimyazs24Exact"/>
    <w:uiPriority w:val="99"/>
    <w:rsid w:val="00A81419"/>
    <w:pPr>
      <w:widowControl w:val="0"/>
      <w:shd w:val="clear" w:color="auto" w:fill="FFFFFF"/>
      <w:spacing w:after="0" w:line="149" w:lineRule="exact"/>
      <w:jc w:val="both"/>
    </w:pPr>
    <w:rPr>
      <w:rFonts w:ascii="Palatino Linotype" w:hAnsi="Palatino Linotype" w:cs="Palatino Linotype"/>
      <w:spacing w:val="-6"/>
      <w:sz w:val="9"/>
      <w:szCs w:val="9"/>
    </w:rPr>
  </w:style>
  <w:style w:type="paragraph" w:customStyle="1" w:styleId="Resimyazs25">
    <w:name w:val="Resim yazısı (25)"/>
    <w:basedOn w:val="Normal"/>
    <w:link w:val="Resimyazs25Exact"/>
    <w:uiPriority w:val="99"/>
    <w:rsid w:val="00A81419"/>
    <w:pPr>
      <w:widowControl w:val="0"/>
      <w:shd w:val="clear" w:color="auto" w:fill="FFFFFF"/>
      <w:spacing w:after="0" w:line="240" w:lineRule="atLeast"/>
      <w:jc w:val="both"/>
    </w:pPr>
    <w:rPr>
      <w:rFonts w:ascii="Times New Roman" w:hAnsi="Times New Roman" w:cs="Times New Roman"/>
      <w:spacing w:val="-4"/>
      <w:sz w:val="21"/>
      <w:szCs w:val="21"/>
    </w:rPr>
  </w:style>
  <w:style w:type="paragraph" w:customStyle="1" w:styleId="Resimyazs26">
    <w:name w:val="Resim yazısı (26)"/>
    <w:basedOn w:val="Normal"/>
    <w:link w:val="Resimyazs26Exact"/>
    <w:uiPriority w:val="99"/>
    <w:rsid w:val="00A81419"/>
    <w:pPr>
      <w:widowControl w:val="0"/>
      <w:shd w:val="clear" w:color="auto" w:fill="FFFFFF"/>
      <w:spacing w:after="0" w:line="283" w:lineRule="exact"/>
      <w:ind w:hanging="280"/>
      <w:jc w:val="both"/>
    </w:pPr>
    <w:rPr>
      <w:rFonts w:ascii="Arial" w:hAnsi="Arial" w:cs="Arial"/>
      <w:b/>
      <w:bCs/>
      <w:spacing w:val="5"/>
      <w:sz w:val="18"/>
      <w:szCs w:val="18"/>
    </w:rPr>
  </w:style>
  <w:style w:type="paragraph" w:customStyle="1" w:styleId="Resimyazs27">
    <w:name w:val="Resim yazısı (27)"/>
    <w:basedOn w:val="Normal"/>
    <w:link w:val="Resimyazs27Exact"/>
    <w:uiPriority w:val="99"/>
    <w:rsid w:val="00A81419"/>
    <w:pPr>
      <w:widowControl w:val="0"/>
      <w:shd w:val="clear" w:color="auto" w:fill="FFFFFF"/>
      <w:spacing w:after="0" w:line="240" w:lineRule="atLeast"/>
      <w:jc w:val="both"/>
    </w:pPr>
    <w:rPr>
      <w:rFonts w:ascii="Arial" w:hAnsi="Arial" w:cs="Arial"/>
      <w:spacing w:val="-6"/>
      <w:sz w:val="21"/>
      <w:szCs w:val="21"/>
    </w:rPr>
  </w:style>
  <w:style w:type="paragraph" w:customStyle="1" w:styleId="Gvdemetni251">
    <w:name w:val="Gövde metni (25)"/>
    <w:basedOn w:val="Normal"/>
    <w:link w:val="Gvdemetni250"/>
    <w:uiPriority w:val="99"/>
    <w:rsid w:val="00A81419"/>
    <w:pPr>
      <w:widowControl w:val="0"/>
      <w:shd w:val="clear" w:color="auto" w:fill="FFFFFF"/>
      <w:spacing w:after="0" w:line="240" w:lineRule="atLeast"/>
      <w:jc w:val="both"/>
    </w:pPr>
    <w:rPr>
      <w:rFonts w:ascii="Arial" w:hAnsi="Arial" w:cs="Arial"/>
      <w:b/>
      <w:bCs/>
      <w:sz w:val="13"/>
      <w:szCs w:val="13"/>
    </w:rPr>
  </w:style>
  <w:style w:type="paragraph" w:customStyle="1" w:styleId="Resimyazs281">
    <w:name w:val="Resim yazısı (28)1"/>
    <w:basedOn w:val="Normal"/>
    <w:link w:val="Resimyazs28"/>
    <w:uiPriority w:val="99"/>
    <w:rsid w:val="00A81419"/>
    <w:pPr>
      <w:widowControl w:val="0"/>
      <w:shd w:val="clear" w:color="auto" w:fill="FFFFFF"/>
      <w:spacing w:after="0" w:line="240" w:lineRule="atLeast"/>
      <w:jc w:val="both"/>
    </w:pPr>
    <w:rPr>
      <w:rFonts w:ascii="Times New Roman" w:hAnsi="Times New Roman" w:cs="Times New Roman"/>
      <w:sz w:val="21"/>
      <w:szCs w:val="21"/>
    </w:rPr>
  </w:style>
  <w:style w:type="paragraph" w:customStyle="1" w:styleId="Resimyazs291">
    <w:name w:val="Resim yazısı (29)1"/>
    <w:basedOn w:val="Normal"/>
    <w:link w:val="Resimyazs29"/>
    <w:uiPriority w:val="99"/>
    <w:rsid w:val="00A81419"/>
    <w:pPr>
      <w:widowControl w:val="0"/>
      <w:shd w:val="clear" w:color="auto" w:fill="FFFFFF"/>
      <w:spacing w:after="0" w:line="240" w:lineRule="atLeast"/>
      <w:jc w:val="both"/>
    </w:pPr>
    <w:rPr>
      <w:rFonts w:ascii="Times New Roman" w:hAnsi="Times New Roman" w:cs="Times New Roman"/>
      <w:b/>
      <w:bCs/>
      <w:sz w:val="13"/>
      <w:szCs w:val="13"/>
    </w:rPr>
  </w:style>
  <w:style w:type="paragraph" w:customStyle="1" w:styleId="Gvdemetni271">
    <w:name w:val="Gövde metni (27)1"/>
    <w:basedOn w:val="Normal"/>
    <w:link w:val="Gvdemetni27"/>
    <w:uiPriority w:val="99"/>
    <w:rsid w:val="00A81419"/>
    <w:pPr>
      <w:widowControl w:val="0"/>
      <w:shd w:val="clear" w:color="auto" w:fill="FFFFFF"/>
      <w:spacing w:after="0" w:line="240" w:lineRule="atLeast"/>
      <w:jc w:val="both"/>
    </w:pPr>
    <w:rPr>
      <w:rFonts w:ascii="Times New Roman" w:hAnsi="Times New Roman" w:cs="Times New Roman"/>
      <w:sz w:val="18"/>
      <w:szCs w:val="18"/>
    </w:rPr>
  </w:style>
  <w:style w:type="paragraph" w:customStyle="1" w:styleId="Gvdemetni280">
    <w:name w:val="Gövde metni (28)"/>
    <w:basedOn w:val="Normal"/>
    <w:link w:val="Gvdemetni28"/>
    <w:uiPriority w:val="99"/>
    <w:rsid w:val="00A81419"/>
    <w:pPr>
      <w:widowControl w:val="0"/>
      <w:shd w:val="clear" w:color="auto" w:fill="FFFFFF"/>
      <w:spacing w:after="0" w:line="240" w:lineRule="atLeast"/>
      <w:jc w:val="both"/>
    </w:pPr>
    <w:rPr>
      <w:rFonts w:ascii="Times New Roman" w:hAnsi="Times New Roman" w:cs="Times New Roman"/>
      <w:b/>
      <w:bCs/>
      <w:sz w:val="14"/>
      <w:szCs w:val="14"/>
    </w:rPr>
  </w:style>
  <w:style w:type="paragraph" w:customStyle="1" w:styleId="Gvdemetni29">
    <w:name w:val="Gövde metni (29)"/>
    <w:basedOn w:val="Normal"/>
    <w:link w:val="Gvdemetni29Exact"/>
    <w:uiPriority w:val="99"/>
    <w:rsid w:val="00A81419"/>
    <w:pPr>
      <w:widowControl w:val="0"/>
      <w:shd w:val="clear" w:color="auto" w:fill="FFFFFF"/>
      <w:spacing w:after="0" w:line="173" w:lineRule="exact"/>
      <w:jc w:val="center"/>
    </w:pPr>
    <w:rPr>
      <w:rFonts w:ascii="Times New Roman" w:hAnsi="Times New Roman" w:cs="Times New Roman"/>
      <w:spacing w:val="1"/>
      <w:sz w:val="13"/>
      <w:szCs w:val="13"/>
    </w:rPr>
  </w:style>
  <w:style w:type="paragraph" w:customStyle="1" w:styleId="Gvdemetni26">
    <w:name w:val="Gövde metni (26)"/>
    <w:basedOn w:val="Normal"/>
    <w:link w:val="Gvdemetni26Exact"/>
    <w:uiPriority w:val="99"/>
    <w:rsid w:val="00A81419"/>
    <w:pPr>
      <w:widowControl w:val="0"/>
      <w:shd w:val="clear" w:color="auto" w:fill="FFFFFF"/>
      <w:spacing w:after="0" w:line="240" w:lineRule="atLeast"/>
      <w:jc w:val="both"/>
    </w:pPr>
    <w:rPr>
      <w:rFonts w:ascii="Times New Roman" w:hAnsi="Times New Roman" w:cs="Times New Roman"/>
      <w:spacing w:val="-6"/>
      <w:sz w:val="17"/>
      <w:szCs w:val="17"/>
    </w:rPr>
  </w:style>
  <w:style w:type="paragraph" w:customStyle="1" w:styleId="Gvdemetni301">
    <w:name w:val="Gövde metni (30)1"/>
    <w:basedOn w:val="Normal"/>
    <w:link w:val="Gvdemetni300"/>
    <w:uiPriority w:val="99"/>
    <w:rsid w:val="00A81419"/>
    <w:pPr>
      <w:widowControl w:val="0"/>
      <w:shd w:val="clear" w:color="auto" w:fill="FFFFFF"/>
      <w:spacing w:before="420" w:after="420" w:line="240" w:lineRule="atLeast"/>
      <w:jc w:val="both"/>
    </w:pPr>
    <w:rPr>
      <w:rFonts w:ascii="Arial" w:hAnsi="Arial" w:cs="Arial"/>
      <w:b/>
      <w:bCs/>
      <w:sz w:val="23"/>
      <w:szCs w:val="23"/>
    </w:rPr>
  </w:style>
  <w:style w:type="paragraph" w:customStyle="1" w:styleId="Gvdemetni312">
    <w:name w:val="Gövde metni (31)"/>
    <w:basedOn w:val="Normal"/>
    <w:link w:val="Gvdemetni311"/>
    <w:uiPriority w:val="99"/>
    <w:rsid w:val="00A81419"/>
    <w:pPr>
      <w:widowControl w:val="0"/>
      <w:shd w:val="clear" w:color="auto" w:fill="FFFFFF"/>
      <w:spacing w:after="0" w:line="269" w:lineRule="exact"/>
      <w:jc w:val="center"/>
    </w:pPr>
    <w:rPr>
      <w:rFonts w:ascii="Times New Roman" w:hAnsi="Times New Roman" w:cs="Times New Roman"/>
      <w:b/>
      <w:bCs/>
    </w:rPr>
  </w:style>
  <w:style w:type="paragraph" w:customStyle="1" w:styleId="Gvdemetni320">
    <w:name w:val="Gövde metni (32)"/>
    <w:basedOn w:val="Normal"/>
    <w:link w:val="Gvdemetni32Exact"/>
    <w:uiPriority w:val="99"/>
    <w:rsid w:val="00A81419"/>
    <w:pPr>
      <w:widowControl w:val="0"/>
      <w:shd w:val="clear" w:color="auto" w:fill="FFFFFF"/>
      <w:spacing w:after="120" w:line="240" w:lineRule="atLeast"/>
      <w:jc w:val="both"/>
    </w:pPr>
    <w:rPr>
      <w:rFonts w:ascii="Times New Roman" w:hAnsi="Times New Roman" w:cs="Times New Roman"/>
      <w:spacing w:val="-4"/>
      <w:sz w:val="20"/>
      <w:szCs w:val="20"/>
    </w:rPr>
  </w:style>
  <w:style w:type="paragraph" w:customStyle="1" w:styleId="Gvdemetni331">
    <w:name w:val="Gövde metni (33)1"/>
    <w:basedOn w:val="Normal"/>
    <w:link w:val="Gvdemetni330"/>
    <w:uiPriority w:val="99"/>
    <w:rsid w:val="00A81419"/>
    <w:pPr>
      <w:widowControl w:val="0"/>
      <w:shd w:val="clear" w:color="auto" w:fill="FFFFFF"/>
      <w:spacing w:before="1320" w:after="240" w:line="240" w:lineRule="atLeast"/>
      <w:jc w:val="both"/>
    </w:pPr>
    <w:rPr>
      <w:rFonts w:ascii="Times New Roman" w:hAnsi="Times New Roman" w:cs="Times New Roman"/>
      <w:b/>
      <w:bCs/>
      <w:sz w:val="18"/>
      <w:szCs w:val="18"/>
    </w:rPr>
  </w:style>
  <w:style w:type="paragraph" w:customStyle="1" w:styleId="Resimyazs301">
    <w:name w:val="Resim yazısı (30)1"/>
    <w:basedOn w:val="Normal"/>
    <w:link w:val="Resimyazs300"/>
    <w:uiPriority w:val="99"/>
    <w:rsid w:val="00A81419"/>
    <w:pPr>
      <w:widowControl w:val="0"/>
      <w:shd w:val="clear" w:color="auto" w:fill="FFFFFF"/>
      <w:spacing w:after="0" w:line="240" w:lineRule="atLeast"/>
      <w:jc w:val="both"/>
    </w:pPr>
    <w:rPr>
      <w:rFonts w:ascii="Arial" w:hAnsi="Arial" w:cs="Arial"/>
      <w:b/>
      <w:bCs/>
      <w:spacing w:val="-10"/>
      <w:sz w:val="18"/>
      <w:szCs w:val="18"/>
    </w:rPr>
  </w:style>
  <w:style w:type="paragraph" w:customStyle="1" w:styleId="Resimyazs310">
    <w:name w:val="Resim yazısı (31)"/>
    <w:basedOn w:val="Normal"/>
    <w:link w:val="Resimyazs31Exact"/>
    <w:uiPriority w:val="99"/>
    <w:rsid w:val="00A81419"/>
    <w:pPr>
      <w:widowControl w:val="0"/>
      <w:shd w:val="clear" w:color="auto" w:fill="FFFFFF"/>
      <w:spacing w:after="0" w:line="240" w:lineRule="atLeast"/>
      <w:jc w:val="both"/>
    </w:pPr>
    <w:rPr>
      <w:rFonts w:ascii="Times New Roman" w:hAnsi="Times New Roman" w:cs="Times New Roman"/>
      <w:b/>
      <w:bCs/>
      <w:spacing w:val="-4"/>
      <w:sz w:val="18"/>
      <w:szCs w:val="18"/>
    </w:rPr>
  </w:style>
  <w:style w:type="paragraph" w:customStyle="1" w:styleId="Gvdemetni340">
    <w:name w:val="Gövde metni (34)"/>
    <w:basedOn w:val="Normal"/>
    <w:link w:val="Gvdemetni34Exact"/>
    <w:uiPriority w:val="99"/>
    <w:rsid w:val="00A81419"/>
    <w:pPr>
      <w:widowControl w:val="0"/>
      <w:shd w:val="clear" w:color="auto" w:fill="FFFFFF"/>
      <w:spacing w:after="0" w:line="240" w:lineRule="atLeast"/>
      <w:jc w:val="both"/>
    </w:pPr>
    <w:rPr>
      <w:rFonts w:ascii="Times New Roman" w:hAnsi="Times New Roman" w:cs="Times New Roman"/>
      <w:b/>
      <w:bCs/>
      <w:sz w:val="16"/>
      <w:szCs w:val="16"/>
    </w:rPr>
  </w:style>
  <w:style w:type="paragraph" w:customStyle="1" w:styleId="Resimyazs321">
    <w:name w:val="Resim yazısı (32)"/>
    <w:basedOn w:val="Normal"/>
    <w:link w:val="Resimyazs320"/>
    <w:uiPriority w:val="99"/>
    <w:rsid w:val="00A81419"/>
    <w:pPr>
      <w:widowControl w:val="0"/>
      <w:shd w:val="clear" w:color="auto" w:fill="FFFFFF"/>
      <w:spacing w:after="0" w:line="240" w:lineRule="atLeast"/>
      <w:jc w:val="both"/>
    </w:pPr>
    <w:rPr>
      <w:rFonts w:ascii="Times New Roman" w:hAnsi="Times New Roman" w:cs="Times New Roman"/>
      <w:b/>
      <w:bCs/>
      <w:sz w:val="15"/>
      <w:szCs w:val="15"/>
    </w:rPr>
  </w:style>
  <w:style w:type="paragraph" w:customStyle="1" w:styleId="Resimyazs331">
    <w:name w:val="Resim yazısı (33)"/>
    <w:basedOn w:val="Normal"/>
    <w:link w:val="Resimyazs330"/>
    <w:uiPriority w:val="99"/>
    <w:rsid w:val="00A81419"/>
    <w:pPr>
      <w:widowControl w:val="0"/>
      <w:shd w:val="clear" w:color="auto" w:fill="FFFFFF"/>
      <w:spacing w:before="60" w:after="0" w:line="240" w:lineRule="atLeast"/>
      <w:jc w:val="right"/>
    </w:pPr>
    <w:rPr>
      <w:rFonts w:ascii="Times New Roman" w:hAnsi="Times New Roman" w:cs="Times New Roman"/>
      <w:b/>
      <w:bCs/>
      <w:sz w:val="16"/>
      <w:szCs w:val="16"/>
    </w:rPr>
  </w:style>
  <w:style w:type="paragraph" w:customStyle="1" w:styleId="Gvdemetni351">
    <w:name w:val="Gövde metni (35)1"/>
    <w:basedOn w:val="Normal"/>
    <w:link w:val="Gvdemetni350"/>
    <w:uiPriority w:val="99"/>
    <w:rsid w:val="00A81419"/>
    <w:pPr>
      <w:widowControl w:val="0"/>
      <w:shd w:val="clear" w:color="auto" w:fill="FFFFFF"/>
      <w:spacing w:after="0" w:line="187" w:lineRule="exact"/>
      <w:jc w:val="both"/>
    </w:pPr>
    <w:rPr>
      <w:rFonts w:ascii="Times New Roman" w:hAnsi="Times New Roman" w:cs="Times New Roman"/>
      <w:sz w:val="20"/>
      <w:szCs w:val="20"/>
    </w:rPr>
  </w:style>
  <w:style w:type="paragraph" w:customStyle="1" w:styleId="Gvdemetni361">
    <w:name w:val="Gövde metni (36)1"/>
    <w:basedOn w:val="Normal"/>
    <w:link w:val="Gvdemetni360"/>
    <w:uiPriority w:val="99"/>
    <w:rsid w:val="00A81419"/>
    <w:pPr>
      <w:widowControl w:val="0"/>
      <w:shd w:val="clear" w:color="auto" w:fill="FFFFFF"/>
      <w:spacing w:after="0" w:line="187" w:lineRule="exact"/>
      <w:jc w:val="both"/>
    </w:pPr>
    <w:rPr>
      <w:rFonts w:ascii="Arial" w:hAnsi="Arial" w:cs="Arial"/>
      <w:sz w:val="17"/>
      <w:szCs w:val="17"/>
    </w:rPr>
  </w:style>
  <w:style w:type="paragraph" w:customStyle="1" w:styleId="Resimyazs341">
    <w:name w:val="Resim yazısı (34)1"/>
    <w:basedOn w:val="Normal"/>
    <w:link w:val="Resimyazs34"/>
    <w:uiPriority w:val="99"/>
    <w:rsid w:val="00A81419"/>
    <w:pPr>
      <w:widowControl w:val="0"/>
      <w:shd w:val="clear" w:color="auto" w:fill="FFFFFF"/>
      <w:spacing w:after="0" w:line="240" w:lineRule="atLeast"/>
      <w:jc w:val="both"/>
    </w:pPr>
    <w:rPr>
      <w:rFonts w:ascii="Times New Roman" w:hAnsi="Times New Roman" w:cs="Times New Roman"/>
      <w:i/>
      <w:iCs/>
      <w:sz w:val="21"/>
      <w:szCs w:val="21"/>
    </w:rPr>
  </w:style>
  <w:style w:type="paragraph" w:customStyle="1" w:styleId="Resimyazs351">
    <w:name w:val="Resim yazısı (35)1"/>
    <w:basedOn w:val="Normal"/>
    <w:link w:val="Resimyazs35"/>
    <w:uiPriority w:val="99"/>
    <w:rsid w:val="00A81419"/>
    <w:pPr>
      <w:widowControl w:val="0"/>
      <w:shd w:val="clear" w:color="auto" w:fill="FFFFFF"/>
      <w:spacing w:after="0" w:line="240" w:lineRule="atLeast"/>
      <w:jc w:val="both"/>
    </w:pPr>
    <w:rPr>
      <w:rFonts w:ascii="Times New Roman" w:hAnsi="Times New Roman" w:cs="Times New Roman"/>
      <w:sz w:val="16"/>
      <w:szCs w:val="16"/>
    </w:rPr>
  </w:style>
  <w:style w:type="paragraph" w:customStyle="1" w:styleId="Gvdemetni371">
    <w:name w:val="Gövde metni (37)1"/>
    <w:basedOn w:val="Normal"/>
    <w:link w:val="Gvdemetni37"/>
    <w:uiPriority w:val="99"/>
    <w:rsid w:val="00A81419"/>
    <w:pPr>
      <w:widowControl w:val="0"/>
      <w:shd w:val="clear" w:color="auto" w:fill="FFFFFF"/>
      <w:spacing w:before="4860" w:after="120" w:line="240" w:lineRule="atLeast"/>
      <w:jc w:val="both"/>
    </w:pPr>
    <w:rPr>
      <w:rFonts w:ascii="Times New Roman" w:hAnsi="Times New Roman" w:cs="Times New Roman"/>
      <w:b/>
      <w:bCs/>
      <w:sz w:val="13"/>
      <w:szCs w:val="13"/>
    </w:rPr>
  </w:style>
  <w:style w:type="paragraph" w:customStyle="1" w:styleId="Gvdemetni39">
    <w:name w:val="Gövde metni (39)"/>
    <w:basedOn w:val="Normal"/>
    <w:link w:val="Gvdemetni39Exact"/>
    <w:uiPriority w:val="99"/>
    <w:rsid w:val="00A81419"/>
    <w:pPr>
      <w:widowControl w:val="0"/>
      <w:shd w:val="clear" w:color="auto" w:fill="FFFFFF"/>
      <w:spacing w:after="0" w:line="240" w:lineRule="atLeast"/>
      <w:jc w:val="both"/>
    </w:pPr>
    <w:rPr>
      <w:rFonts w:ascii="Constantia" w:hAnsi="Constantia" w:cs="Constantia"/>
      <w:sz w:val="27"/>
      <w:szCs w:val="27"/>
    </w:rPr>
  </w:style>
  <w:style w:type="paragraph" w:customStyle="1" w:styleId="Gvdemetni400">
    <w:name w:val="Gövde metni (40)"/>
    <w:basedOn w:val="Normal"/>
    <w:link w:val="Gvdemetni40Exact"/>
    <w:uiPriority w:val="99"/>
    <w:rsid w:val="00A81419"/>
    <w:pPr>
      <w:widowControl w:val="0"/>
      <w:shd w:val="clear" w:color="auto" w:fill="FFFFFF"/>
      <w:spacing w:after="0" w:line="240" w:lineRule="atLeast"/>
      <w:jc w:val="both"/>
    </w:pPr>
    <w:rPr>
      <w:rFonts w:ascii="Times New Roman" w:hAnsi="Times New Roman" w:cs="Times New Roman"/>
      <w:noProof/>
      <w:sz w:val="20"/>
      <w:szCs w:val="20"/>
    </w:rPr>
  </w:style>
  <w:style w:type="paragraph" w:customStyle="1" w:styleId="Gvdemetni381">
    <w:name w:val="Gövde metni (38)1"/>
    <w:basedOn w:val="Normal"/>
    <w:link w:val="Gvdemetni380"/>
    <w:uiPriority w:val="99"/>
    <w:rsid w:val="00A81419"/>
    <w:pPr>
      <w:widowControl w:val="0"/>
      <w:shd w:val="clear" w:color="auto" w:fill="FFFFFF"/>
      <w:spacing w:after="2040" w:line="240" w:lineRule="atLeast"/>
      <w:jc w:val="both"/>
    </w:pPr>
    <w:rPr>
      <w:rFonts w:ascii="Times New Roman" w:hAnsi="Times New Roman" w:cs="Times New Roman"/>
      <w:b/>
      <w:bCs/>
      <w:noProof/>
      <w:w w:val="250"/>
      <w:sz w:val="140"/>
      <w:szCs w:val="140"/>
    </w:rPr>
  </w:style>
  <w:style w:type="paragraph" w:customStyle="1" w:styleId="Gvdemetni41">
    <w:name w:val="Gövde metni (41)"/>
    <w:basedOn w:val="Normal"/>
    <w:link w:val="Gvdemetni41Exact"/>
    <w:uiPriority w:val="99"/>
    <w:rsid w:val="00A81419"/>
    <w:pPr>
      <w:widowControl w:val="0"/>
      <w:shd w:val="clear" w:color="auto" w:fill="FFFFFF"/>
      <w:spacing w:after="0" w:line="240" w:lineRule="atLeast"/>
      <w:jc w:val="both"/>
    </w:pPr>
    <w:rPr>
      <w:rFonts w:ascii="Franklin Gothic Heavy" w:hAnsi="Franklin Gothic Heavy" w:cs="Franklin Gothic Heavy"/>
      <w:noProof/>
      <w:sz w:val="62"/>
      <w:szCs w:val="62"/>
    </w:rPr>
  </w:style>
  <w:style w:type="paragraph" w:customStyle="1" w:styleId="Tabloyazs4">
    <w:name w:val="Tablo yazısı (4)"/>
    <w:basedOn w:val="Normal"/>
    <w:link w:val="Tabloyazs4Exact"/>
    <w:uiPriority w:val="99"/>
    <w:rsid w:val="00A81419"/>
    <w:pPr>
      <w:widowControl w:val="0"/>
      <w:shd w:val="clear" w:color="auto" w:fill="FFFFFF"/>
      <w:spacing w:after="0" w:line="240" w:lineRule="atLeast"/>
      <w:jc w:val="both"/>
    </w:pPr>
    <w:rPr>
      <w:rFonts w:ascii="Arial" w:hAnsi="Arial" w:cs="Arial"/>
      <w:b/>
      <w:bCs/>
      <w:spacing w:val="1"/>
      <w:sz w:val="18"/>
      <w:szCs w:val="18"/>
    </w:rPr>
  </w:style>
  <w:style w:type="paragraph" w:customStyle="1" w:styleId="Tabloyazs5">
    <w:name w:val="Tablo yazısı (5)"/>
    <w:basedOn w:val="Normal"/>
    <w:link w:val="Tabloyazs5Exact"/>
    <w:uiPriority w:val="99"/>
    <w:rsid w:val="00A81419"/>
    <w:pPr>
      <w:widowControl w:val="0"/>
      <w:shd w:val="clear" w:color="auto" w:fill="FFFFFF"/>
      <w:spacing w:after="0" w:line="110" w:lineRule="exact"/>
      <w:jc w:val="both"/>
    </w:pPr>
    <w:rPr>
      <w:rFonts w:ascii="Times New Roman" w:hAnsi="Times New Roman" w:cs="Times New Roman"/>
      <w:spacing w:val="5"/>
      <w:sz w:val="10"/>
      <w:szCs w:val="10"/>
    </w:rPr>
  </w:style>
  <w:style w:type="paragraph" w:customStyle="1" w:styleId="Tabloyazs6">
    <w:name w:val="Tablo yazısı (6)"/>
    <w:basedOn w:val="Normal"/>
    <w:link w:val="Tabloyazs6Exact"/>
    <w:uiPriority w:val="99"/>
    <w:rsid w:val="00A81419"/>
    <w:pPr>
      <w:widowControl w:val="0"/>
      <w:shd w:val="clear" w:color="auto" w:fill="FFFFFF"/>
      <w:spacing w:after="0" w:line="134" w:lineRule="exact"/>
      <w:jc w:val="center"/>
    </w:pPr>
    <w:rPr>
      <w:rFonts w:ascii="Times New Roman" w:hAnsi="Times New Roman" w:cs="Times New Roman"/>
      <w:spacing w:val="-2"/>
      <w:sz w:val="14"/>
      <w:szCs w:val="14"/>
    </w:rPr>
  </w:style>
  <w:style w:type="paragraph" w:customStyle="1" w:styleId="Gvdemetni42">
    <w:name w:val="Gövde metni (42)"/>
    <w:basedOn w:val="Normal"/>
    <w:link w:val="Gvdemetni42Exact"/>
    <w:uiPriority w:val="99"/>
    <w:rsid w:val="00A81419"/>
    <w:pPr>
      <w:widowControl w:val="0"/>
      <w:shd w:val="clear" w:color="auto" w:fill="FFFFFF"/>
      <w:spacing w:after="60" w:line="240" w:lineRule="atLeast"/>
      <w:jc w:val="both"/>
    </w:pPr>
    <w:rPr>
      <w:rFonts w:ascii="Times New Roman" w:hAnsi="Times New Roman" w:cs="Times New Roman"/>
      <w:spacing w:val="5"/>
      <w:sz w:val="10"/>
      <w:szCs w:val="10"/>
    </w:rPr>
  </w:style>
  <w:style w:type="paragraph" w:customStyle="1" w:styleId="Gvdemetni43">
    <w:name w:val="Gövde metni (43)"/>
    <w:basedOn w:val="Normal"/>
    <w:link w:val="Gvdemetni43Exact"/>
    <w:uiPriority w:val="99"/>
    <w:rsid w:val="00A81419"/>
    <w:pPr>
      <w:widowControl w:val="0"/>
      <w:shd w:val="clear" w:color="auto" w:fill="FFFFFF"/>
      <w:spacing w:after="0" w:line="240" w:lineRule="atLeast"/>
      <w:ind w:hanging="280"/>
      <w:jc w:val="both"/>
    </w:pPr>
    <w:rPr>
      <w:rFonts w:ascii="Arial" w:hAnsi="Arial" w:cs="Arial"/>
      <w:b/>
      <w:bCs/>
      <w:sz w:val="12"/>
      <w:szCs w:val="12"/>
    </w:rPr>
  </w:style>
  <w:style w:type="paragraph" w:customStyle="1" w:styleId="Gvdemetni44">
    <w:name w:val="Gövde metni (44)"/>
    <w:basedOn w:val="Normal"/>
    <w:link w:val="Gvdemetni44Exact"/>
    <w:uiPriority w:val="99"/>
    <w:rsid w:val="00A81419"/>
    <w:pPr>
      <w:widowControl w:val="0"/>
      <w:shd w:val="clear" w:color="auto" w:fill="FFFFFF"/>
      <w:spacing w:after="0" w:line="240" w:lineRule="atLeast"/>
      <w:jc w:val="both"/>
    </w:pPr>
    <w:rPr>
      <w:rFonts w:ascii="Georgia" w:hAnsi="Georgia" w:cs="Georgia"/>
      <w:sz w:val="20"/>
      <w:szCs w:val="20"/>
    </w:rPr>
  </w:style>
  <w:style w:type="paragraph" w:customStyle="1" w:styleId="Gvdemetni45">
    <w:name w:val="Gövde metni (45)"/>
    <w:basedOn w:val="Normal"/>
    <w:link w:val="Gvdemetni45Exact"/>
    <w:uiPriority w:val="99"/>
    <w:rsid w:val="00A81419"/>
    <w:pPr>
      <w:widowControl w:val="0"/>
      <w:shd w:val="clear" w:color="auto" w:fill="FFFFFF"/>
      <w:spacing w:after="0" w:line="240" w:lineRule="atLeast"/>
      <w:jc w:val="both"/>
    </w:pPr>
    <w:rPr>
      <w:rFonts w:ascii="Lucida Sans Unicode" w:hAnsi="Lucida Sans Unicode" w:cs="Lucida Sans Unicode"/>
      <w:noProof/>
      <w:sz w:val="38"/>
      <w:szCs w:val="38"/>
    </w:rPr>
  </w:style>
  <w:style w:type="paragraph" w:customStyle="1" w:styleId="Gvdemetni46">
    <w:name w:val="Gövde metni (46)"/>
    <w:basedOn w:val="Normal"/>
    <w:link w:val="Gvdemetni46Exact"/>
    <w:uiPriority w:val="99"/>
    <w:rsid w:val="00A81419"/>
    <w:pPr>
      <w:widowControl w:val="0"/>
      <w:shd w:val="clear" w:color="auto" w:fill="FFFFFF"/>
      <w:spacing w:after="0" w:line="163" w:lineRule="exact"/>
      <w:jc w:val="both"/>
    </w:pPr>
    <w:rPr>
      <w:rFonts w:ascii="Arial" w:hAnsi="Arial" w:cs="Arial"/>
      <w:b/>
      <w:bCs/>
      <w:sz w:val="12"/>
      <w:szCs w:val="12"/>
    </w:rPr>
  </w:style>
  <w:style w:type="paragraph" w:customStyle="1" w:styleId="Gvdemetni47">
    <w:name w:val="Gövde metni (47)"/>
    <w:basedOn w:val="Normal"/>
    <w:link w:val="Gvdemetni47Exact"/>
    <w:uiPriority w:val="99"/>
    <w:rsid w:val="00A81419"/>
    <w:pPr>
      <w:widowControl w:val="0"/>
      <w:shd w:val="clear" w:color="auto" w:fill="FFFFFF"/>
      <w:spacing w:after="0" w:line="240" w:lineRule="atLeast"/>
      <w:jc w:val="both"/>
    </w:pPr>
    <w:rPr>
      <w:rFonts w:ascii="Times New Roman" w:hAnsi="Times New Roman" w:cs="Times New Roman"/>
      <w:spacing w:val="10"/>
      <w:sz w:val="13"/>
      <w:szCs w:val="13"/>
    </w:rPr>
  </w:style>
  <w:style w:type="paragraph" w:customStyle="1" w:styleId="Gvdemetni48">
    <w:name w:val="Gövde metni (48)"/>
    <w:basedOn w:val="Normal"/>
    <w:link w:val="Gvdemetni48Exact"/>
    <w:uiPriority w:val="99"/>
    <w:rsid w:val="00A81419"/>
    <w:pPr>
      <w:widowControl w:val="0"/>
      <w:shd w:val="clear" w:color="auto" w:fill="FFFFFF"/>
      <w:spacing w:after="0" w:line="240" w:lineRule="atLeast"/>
      <w:jc w:val="both"/>
    </w:pPr>
    <w:rPr>
      <w:rFonts w:ascii="Georgia" w:hAnsi="Georgia" w:cs="Georgia"/>
      <w:i/>
      <w:iCs/>
      <w:noProof/>
      <w:sz w:val="20"/>
      <w:szCs w:val="20"/>
    </w:rPr>
  </w:style>
  <w:style w:type="paragraph" w:customStyle="1" w:styleId="Gvdemetni49">
    <w:name w:val="Gövde metni (49)"/>
    <w:basedOn w:val="Normal"/>
    <w:link w:val="Gvdemetni49Exact"/>
    <w:uiPriority w:val="99"/>
    <w:rsid w:val="00A81419"/>
    <w:pPr>
      <w:widowControl w:val="0"/>
      <w:shd w:val="clear" w:color="auto" w:fill="FFFFFF"/>
      <w:spacing w:after="0" w:line="240" w:lineRule="atLeast"/>
      <w:jc w:val="both"/>
    </w:pPr>
    <w:rPr>
      <w:rFonts w:ascii="Arial" w:hAnsi="Arial" w:cs="Arial"/>
      <w:i/>
      <w:iCs/>
      <w:noProof/>
      <w:sz w:val="20"/>
      <w:szCs w:val="20"/>
    </w:rPr>
  </w:style>
  <w:style w:type="paragraph" w:customStyle="1" w:styleId="Gvdemetni500">
    <w:name w:val="Gövde metni (50)"/>
    <w:basedOn w:val="Normal"/>
    <w:link w:val="Gvdemetni50Exact"/>
    <w:uiPriority w:val="99"/>
    <w:rsid w:val="00A81419"/>
    <w:pPr>
      <w:widowControl w:val="0"/>
      <w:shd w:val="clear" w:color="auto" w:fill="FFFFFF"/>
      <w:spacing w:after="0" w:line="240" w:lineRule="atLeast"/>
      <w:jc w:val="both"/>
    </w:pPr>
    <w:rPr>
      <w:rFonts w:ascii="Arial" w:hAnsi="Arial" w:cs="Arial"/>
      <w:spacing w:val="-2"/>
      <w:sz w:val="11"/>
      <w:szCs w:val="11"/>
    </w:rPr>
  </w:style>
  <w:style w:type="paragraph" w:customStyle="1" w:styleId="Tabloyazs80">
    <w:name w:val="Tablo yazısı (8)"/>
    <w:basedOn w:val="Normal"/>
    <w:link w:val="Tabloyazs8Exact"/>
    <w:uiPriority w:val="99"/>
    <w:rsid w:val="00A81419"/>
    <w:pPr>
      <w:widowControl w:val="0"/>
      <w:shd w:val="clear" w:color="auto" w:fill="FFFFFF"/>
      <w:spacing w:after="0" w:line="226" w:lineRule="exact"/>
      <w:jc w:val="both"/>
    </w:pPr>
    <w:rPr>
      <w:rFonts w:ascii="Arial" w:hAnsi="Arial" w:cs="Arial"/>
      <w:spacing w:val="-2"/>
      <w:sz w:val="11"/>
      <w:szCs w:val="11"/>
    </w:rPr>
  </w:style>
  <w:style w:type="paragraph" w:customStyle="1" w:styleId="Tabloyazs9">
    <w:name w:val="Tablo yazısı (9)"/>
    <w:basedOn w:val="Normal"/>
    <w:link w:val="Tabloyazs9Exact"/>
    <w:uiPriority w:val="99"/>
    <w:rsid w:val="00A81419"/>
    <w:pPr>
      <w:widowControl w:val="0"/>
      <w:shd w:val="clear" w:color="auto" w:fill="FFFFFF"/>
      <w:spacing w:after="0" w:line="240" w:lineRule="atLeast"/>
      <w:jc w:val="both"/>
    </w:pPr>
    <w:rPr>
      <w:rFonts w:ascii="Times New Roman" w:hAnsi="Times New Roman" w:cs="Times New Roman"/>
      <w:i/>
      <w:iCs/>
      <w:spacing w:val="23"/>
      <w:sz w:val="19"/>
      <w:szCs w:val="19"/>
    </w:rPr>
  </w:style>
  <w:style w:type="paragraph" w:customStyle="1" w:styleId="Tabloyazs10">
    <w:name w:val="Tablo yazısı (10)"/>
    <w:basedOn w:val="Normal"/>
    <w:link w:val="Tabloyazs10Exact"/>
    <w:uiPriority w:val="99"/>
    <w:rsid w:val="00A81419"/>
    <w:pPr>
      <w:widowControl w:val="0"/>
      <w:shd w:val="clear" w:color="auto" w:fill="FFFFFF"/>
      <w:spacing w:after="0" w:line="240" w:lineRule="atLeast"/>
      <w:jc w:val="both"/>
    </w:pPr>
    <w:rPr>
      <w:rFonts w:ascii="Times New Roman" w:hAnsi="Times New Roman" w:cs="Times New Roman"/>
      <w:sz w:val="14"/>
      <w:szCs w:val="14"/>
    </w:rPr>
  </w:style>
  <w:style w:type="paragraph" w:customStyle="1" w:styleId="Tabloyazs71">
    <w:name w:val="Tablo yazısı (7)1"/>
    <w:basedOn w:val="Normal"/>
    <w:link w:val="Tabloyazs7"/>
    <w:uiPriority w:val="99"/>
    <w:rsid w:val="00A81419"/>
    <w:pPr>
      <w:widowControl w:val="0"/>
      <w:shd w:val="clear" w:color="auto" w:fill="FFFFFF"/>
      <w:spacing w:after="0" w:line="182" w:lineRule="exact"/>
      <w:jc w:val="both"/>
    </w:pPr>
    <w:rPr>
      <w:rFonts w:ascii="Times New Roman" w:hAnsi="Times New Roman" w:cs="Times New Roman"/>
      <w:sz w:val="20"/>
      <w:szCs w:val="20"/>
    </w:rPr>
  </w:style>
  <w:style w:type="paragraph" w:customStyle="1" w:styleId="Resimyazs360">
    <w:name w:val="Resim yazısı (36)"/>
    <w:basedOn w:val="Normal"/>
    <w:link w:val="Resimyazs36"/>
    <w:uiPriority w:val="99"/>
    <w:rsid w:val="00A81419"/>
    <w:pPr>
      <w:widowControl w:val="0"/>
      <w:shd w:val="clear" w:color="auto" w:fill="FFFFFF"/>
      <w:spacing w:after="0" w:line="240" w:lineRule="atLeast"/>
      <w:jc w:val="both"/>
    </w:pPr>
    <w:rPr>
      <w:rFonts w:ascii="Arial" w:hAnsi="Arial" w:cs="Arial"/>
      <w:b/>
      <w:bCs/>
      <w:sz w:val="15"/>
      <w:szCs w:val="15"/>
    </w:rPr>
  </w:style>
  <w:style w:type="paragraph" w:customStyle="1" w:styleId="Resimyazs371">
    <w:name w:val="Resim yazısı (37)1"/>
    <w:basedOn w:val="Normal"/>
    <w:link w:val="Resimyazs37"/>
    <w:uiPriority w:val="99"/>
    <w:rsid w:val="00A81419"/>
    <w:pPr>
      <w:widowControl w:val="0"/>
      <w:shd w:val="clear" w:color="auto" w:fill="FFFFFF"/>
      <w:spacing w:after="0" w:line="283" w:lineRule="exact"/>
      <w:jc w:val="both"/>
    </w:pPr>
    <w:rPr>
      <w:rFonts w:ascii="Arial" w:hAnsi="Arial" w:cs="Arial"/>
      <w:b/>
      <w:bCs/>
      <w:sz w:val="14"/>
      <w:szCs w:val="14"/>
    </w:rPr>
  </w:style>
  <w:style w:type="paragraph" w:customStyle="1" w:styleId="Gvdemetni521">
    <w:name w:val="Gövde metni (52)"/>
    <w:basedOn w:val="Normal"/>
    <w:link w:val="Gvdemetni52Exact"/>
    <w:uiPriority w:val="99"/>
    <w:rsid w:val="00A81419"/>
    <w:pPr>
      <w:widowControl w:val="0"/>
      <w:shd w:val="clear" w:color="auto" w:fill="FFFFFF"/>
      <w:spacing w:after="0" w:line="110" w:lineRule="exact"/>
      <w:jc w:val="right"/>
    </w:pPr>
    <w:rPr>
      <w:rFonts w:ascii="Times New Roman" w:hAnsi="Times New Roman" w:cs="Times New Roman"/>
      <w:spacing w:val="-4"/>
      <w:sz w:val="15"/>
      <w:szCs w:val="15"/>
    </w:rPr>
  </w:style>
  <w:style w:type="paragraph" w:customStyle="1" w:styleId="Gvdemetni513">
    <w:name w:val="Gövde metni (51)"/>
    <w:basedOn w:val="Normal"/>
    <w:link w:val="Gvdemetni512"/>
    <w:uiPriority w:val="99"/>
    <w:rsid w:val="00A81419"/>
    <w:pPr>
      <w:widowControl w:val="0"/>
      <w:shd w:val="clear" w:color="auto" w:fill="FFFFFF"/>
      <w:spacing w:before="480" w:after="0" w:line="240" w:lineRule="atLeast"/>
      <w:jc w:val="both"/>
    </w:pPr>
    <w:rPr>
      <w:rFonts w:ascii="Impact" w:hAnsi="Impact" w:cs="Impact"/>
      <w:spacing w:val="20"/>
      <w:sz w:val="14"/>
      <w:szCs w:val="14"/>
    </w:rPr>
  </w:style>
  <w:style w:type="paragraph" w:customStyle="1" w:styleId="Tabloyazs110">
    <w:name w:val="Tablo yazısı (11)"/>
    <w:basedOn w:val="Normal"/>
    <w:link w:val="Tabloyazs11"/>
    <w:uiPriority w:val="99"/>
    <w:rsid w:val="00A81419"/>
    <w:pPr>
      <w:widowControl w:val="0"/>
      <w:shd w:val="clear" w:color="auto" w:fill="FFFFFF"/>
      <w:spacing w:after="0" w:line="240" w:lineRule="atLeast"/>
      <w:jc w:val="both"/>
    </w:pPr>
    <w:rPr>
      <w:rFonts w:ascii="Franklin Gothic Heavy" w:hAnsi="Franklin Gothic Heavy" w:cs="Franklin Gothic Heavy"/>
      <w:sz w:val="15"/>
      <w:szCs w:val="15"/>
    </w:rPr>
  </w:style>
  <w:style w:type="paragraph" w:customStyle="1" w:styleId="Tabloyazs120">
    <w:name w:val="Tablo yazısı (12)"/>
    <w:basedOn w:val="Normal"/>
    <w:link w:val="Tabloyazs12"/>
    <w:uiPriority w:val="99"/>
    <w:rsid w:val="00A81419"/>
    <w:pPr>
      <w:widowControl w:val="0"/>
      <w:shd w:val="clear" w:color="auto" w:fill="FFFFFF"/>
      <w:spacing w:after="0" w:line="240" w:lineRule="atLeast"/>
      <w:jc w:val="both"/>
    </w:pPr>
    <w:rPr>
      <w:rFonts w:ascii="Times New Roman" w:hAnsi="Times New Roman" w:cs="Times New Roman"/>
      <w:sz w:val="16"/>
      <w:szCs w:val="16"/>
    </w:rPr>
  </w:style>
  <w:style w:type="paragraph" w:customStyle="1" w:styleId="Tabloyazs130">
    <w:name w:val="Tablo yazısı (13)"/>
    <w:basedOn w:val="Normal"/>
    <w:link w:val="Tabloyazs13"/>
    <w:uiPriority w:val="99"/>
    <w:rsid w:val="00A81419"/>
    <w:pPr>
      <w:widowControl w:val="0"/>
      <w:shd w:val="clear" w:color="auto" w:fill="FFFFFF"/>
      <w:spacing w:after="0" w:line="240" w:lineRule="atLeast"/>
      <w:jc w:val="both"/>
    </w:pPr>
    <w:rPr>
      <w:rFonts w:ascii="Arial" w:hAnsi="Arial" w:cs="Arial"/>
      <w:b/>
      <w:bCs/>
      <w:sz w:val="15"/>
      <w:szCs w:val="15"/>
    </w:rPr>
  </w:style>
  <w:style w:type="paragraph" w:customStyle="1" w:styleId="Tabloyazs140">
    <w:name w:val="Tablo yazısı (14)"/>
    <w:basedOn w:val="Normal"/>
    <w:link w:val="Tabloyazs14"/>
    <w:uiPriority w:val="99"/>
    <w:rsid w:val="00A81419"/>
    <w:pPr>
      <w:widowControl w:val="0"/>
      <w:shd w:val="clear" w:color="auto" w:fill="FFFFFF"/>
      <w:spacing w:after="0" w:line="240" w:lineRule="atLeast"/>
      <w:jc w:val="both"/>
    </w:pPr>
    <w:rPr>
      <w:rFonts w:ascii="Times New Roman" w:hAnsi="Times New Roman" w:cs="Times New Roman"/>
      <w:b/>
      <w:bCs/>
      <w:sz w:val="16"/>
      <w:szCs w:val="16"/>
    </w:rPr>
  </w:style>
  <w:style w:type="paragraph" w:customStyle="1" w:styleId="Tabloyazs150">
    <w:name w:val="Tablo yazısı (15)"/>
    <w:basedOn w:val="Normal"/>
    <w:link w:val="Tabloyazs15"/>
    <w:uiPriority w:val="99"/>
    <w:rsid w:val="00A81419"/>
    <w:pPr>
      <w:widowControl w:val="0"/>
      <w:shd w:val="clear" w:color="auto" w:fill="FFFFFF"/>
      <w:spacing w:after="0" w:line="240" w:lineRule="atLeast"/>
      <w:jc w:val="both"/>
    </w:pPr>
    <w:rPr>
      <w:rFonts w:ascii="Times New Roman" w:hAnsi="Times New Roman" w:cs="Times New Roman"/>
      <w:sz w:val="16"/>
      <w:szCs w:val="16"/>
    </w:rPr>
  </w:style>
  <w:style w:type="paragraph" w:customStyle="1" w:styleId="Resimyazs380">
    <w:name w:val="Resim yazısı (38)"/>
    <w:basedOn w:val="Normal"/>
    <w:link w:val="Resimyazs38"/>
    <w:uiPriority w:val="99"/>
    <w:rsid w:val="00A81419"/>
    <w:pPr>
      <w:widowControl w:val="0"/>
      <w:shd w:val="clear" w:color="auto" w:fill="FFFFFF"/>
      <w:spacing w:after="0" w:line="240" w:lineRule="atLeast"/>
      <w:jc w:val="both"/>
    </w:pPr>
    <w:rPr>
      <w:rFonts w:ascii="Arial" w:hAnsi="Arial" w:cs="Arial"/>
      <w:b/>
      <w:bCs/>
      <w:sz w:val="15"/>
      <w:szCs w:val="15"/>
    </w:rPr>
  </w:style>
  <w:style w:type="paragraph" w:customStyle="1" w:styleId="Balk621">
    <w:name w:val="Başlık #6 (2)1"/>
    <w:basedOn w:val="Normal"/>
    <w:link w:val="Balk620"/>
    <w:uiPriority w:val="99"/>
    <w:rsid w:val="00A81419"/>
    <w:pPr>
      <w:widowControl w:val="0"/>
      <w:shd w:val="clear" w:color="auto" w:fill="FFFFFF"/>
      <w:spacing w:before="300" w:after="60" w:line="240" w:lineRule="atLeast"/>
      <w:ind w:hanging="700"/>
      <w:jc w:val="both"/>
      <w:outlineLvl w:val="5"/>
    </w:pPr>
    <w:rPr>
      <w:rFonts w:ascii="Times New Roman" w:hAnsi="Times New Roman" w:cs="Times New Roman"/>
      <w:b/>
      <w:bCs/>
      <w:sz w:val="20"/>
      <w:szCs w:val="20"/>
    </w:rPr>
  </w:style>
  <w:style w:type="paragraph" w:customStyle="1" w:styleId="Balk630">
    <w:name w:val="Başlık #6 (3)"/>
    <w:basedOn w:val="Normal"/>
    <w:link w:val="Balk63"/>
    <w:uiPriority w:val="99"/>
    <w:rsid w:val="00A81419"/>
    <w:pPr>
      <w:widowControl w:val="0"/>
      <w:shd w:val="clear" w:color="auto" w:fill="FFFFFF"/>
      <w:spacing w:before="300" w:after="240" w:line="254" w:lineRule="exact"/>
      <w:ind w:hanging="540"/>
      <w:jc w:val="both"/>
      <w:outlineLvl w:val="5"/>
    </w:pPr>
    <w:rPr>
      <w:rFonts w:ascii="Times New Roman" w:hAnsi="Times New Roman" w:cs="Times New Roman"/>
      <w:sz w:val="21"/>
      <w:szCs w:val="21"/>
    </w:rPr>
  </w:style>
  <w:style w:type="paragraph" w:customStyle="1" w:styleId="Balk531">
    <w:name w:val="Başlık #5 (3)"/>
    <w:basedOn w:val="Normal"/>
    <w:link w:val="Balk530"/>
    <w:uiPriority w:val="99"/>
    <w:rsid w:val="00A81419"/>
    <w:pPr>
      <w:widowControl w:val="0"/>
      <w:shd w:val="clear" w:color="auto" w:fill="FFFFFF"/>
      <w:spacing w:before="180" w:after="0" w:line="259" w:lineRule="exact"/>
      <w:jc w:val="both"/>
      <w:outlineLvl w:val="4"/>
    </w:pPr>
    <w:rPr>
      <w:rFonts w:ascii="Times New Roman" w:hAnsi="Times New Roman" w:cs="Times New Roman"/>
      <w:b/>
      <w:bCs/>
      <w:sz w:val="20"/>
      <w:szCs w:val="20"/>
    </w:rPr>
  </w:style>
  <w:style w:type="paragraph" w:customStyle="1" w:styleId="Resimyazs39">
    <w:name w:val="Resim yazısı (39)"/>
    <w:basedOn w:val="Normal"/>
    <w:link w:val="Resimyazs39Exact"/>
    <w:uiPriority w:val="99"/>
    <w:rsid w:val="00A81419"/>
    <w:pPr>
      <w:widowControl w:val="0"/>
      <w:shd w:val="clear" w:color="auto" w:fill="FFFFFF"/>
      <w:spacing w:after="0" w:line="240" w:lineRule="atLeast"/>
      <w:jc w:val="both"/>
    </w:pPr>
    <w:rPr>
      <w:rFonts w:ascii="Arial" w:hAnsi="Arial" w:cs="Arial"/>
      <w:b/>
      <w:bCs/>
      <w:spacing w:val="2"/>
      <w:sz w:val="21"/>
      <w:szCs w:val="21"/>
    </w:rPr>
  </w:style>
  <w:style w:type="paragraph" w:customStyle="1" w:styleId="Tabloyazs160">
    <w:name w:val="Tablo yazısı (16)"/>
    <w:basedOn w:val="Normal"/>
    <w:link w:val="Tabloyazs16"/>
    <w:uiPriority w:val="99"/>
    <w:rsid w:val="00A81419"/>
    <w:pPr>
      <w:widowControl w:val="0"/>
      <w:shd w:val="clear" w:color="auto" w:fill="FFFFFF"/>
      <w:spacing w:after="0" w:line="240" w:lineRule="atLeast"/>
      <w:jc w:val="both"/>
    </w:pPr>
    <w:rPr>
      <w:rFonts w:ascii="Times New Roman" w:hAnsi="Times New Roman" w:cs="Times New Roman"/>
      <w:b/>
      <w:bCs/>
      <w:i/>
      <w:iCs/>
      <w:sz w:val="20"/>
      <w:szCs w:val="20"/>
    </w:rPr>
  </w:style>
  <w:style w:type="paragraph" w:styleId="T4">
    <w:name w:val="toc 4"/>
    <w:basedOn w:val="Normal"/>
    <w:next w:val="Normal"/>
    <w:uiPriority w:val="39"/>
    <w:rsid w:val="00A81419"/>
    <w:pPr>
      <w:widowControl w:val="0"/>
      <w:shd w:val="clear" w:color="auto" w:fill="FFFFFF"/>
      <w:spacing w:before="60" w:after="0" w:line="326" w:lineRule="exact"/>
      <w:ind w:hanging="1140"/>
      <w:jc w:val="both"/>
    </w:pPr>
    <w:rPr>
      <w:rFonts w:ascii="Times New Roman" w:eastAsia="Times New Roman" w:hAnsi="Times New Roman" w:cs="Times New Roman"/>
      <w:kern w:val="0"/>
      <w:sz w:val="19"/>
      <w:szCs w:val="19"/>
      <w:lang w:eastAsia="tr-TR"/>
      <w14:ligatures w14:val="none"/>
    </w:rPr>
  </w:style>
  <w:style w:type="paragraph" w:styleId="T5">
    <w:name w:val="toc 5"/>
    <w:basedOn w:val="Normal"/>
    <w:next w:val="Normal"/>
    <w:uiPriority w:val="39"/>
    <w:rsid w:val="00A81419"/>
    <w:pPr>
      <w:widowControl w:val="0"/>
      <w:shd w:val="clear" w:color="auto" w:fill="FFFFFF"/>
      <w:spacing w:before="60" w:after="0" w:line="326" w:lineRule="exact"/>
      <w:ind w:hanging="1140"/>
      <w:jc w:val="both"/>
    </w:pPr>
    <w:rPr>
      <w:rFonts w:ascii="Times New Roman" w:eastAsia="Times New Roman" w:hAnsi="Times New Roman" w:cs="Times New Roman"/>
      <w:kern w:val="0"/>
      <w:sz w:val="19"/>
      <w:szCs w:val="19"/>
      <w:lang w:eastAsia="tr-TR"/>
      <w14:ligatures w14:val="none"/>
    </w:rPr>
  </w:style>
  <w:style w:type="paragraph" w:styleId="T6">
    <w:name w:val="toc 6"/>
    <w:basedOn w:val="Normal"/>
    <w:next w:val="Normal"/>
    <w:uiPriority w:val="39"/>
    <w:rsid w:val="00A81419"/>
    <w:pPr>
      <w:widowControl w:val="0"/>
      <w:shd w:val="clear" w:color="auto" w:fill="FFFFFF"/>
      <w:spacing w:before="60" w:after="0" w:line="326" w:lineRule="exact"/>
      <w:ind w:hanging="1140"/>
      <w:jc w:val="both"/>
    </w:pPr>
    <w:rPr>
      <w:rFonts w:ascii="Times New Roman" w:eastAsia="Times New Roman" w:hAnsi="Times New Roman" w:cs="Times New Roman"/>
      <w:kern w:val="0"/>
      <w:sz w:val="19"/>
      <w:szCs w:val="19"/>
      <w:lang w:eastAsia="tr-TR"/>
      <w14:ligatures w14:val="none"/>
    </w:rPr>
  </w:style>
  <w:style w:type="table" w:customStyle="1" w:styleId="TabloKlavuzu6">
    <w:name w:val="Tablo Kılavuzu6"/>
    <w:basedOn w:val="NormalTablo"/>
    <w:next w:val="TabloKlavuzu"/>
    <w:uiPriority w:val="39"/>
    <w:rsid w:val="00A81419"/>
    <w:pPr>
      <w:spacing w:after="0" w:line="240" w:lineRule="auto"/>
    </w:pPr>
    <w:rPr>
      <w:rFonts w:ascii="Courier New" w:eastAsia="Times New Roman" w:hAnsi="Courier New" w:cs="Courier New"/>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yaz111">
    <w:name w:val="Altyazı111"/>
    <w:basedOn w:val="Normal"/>
    <w:next w:val="Normal"/>
    <w:unhideWhenUsed/>
    <w:qFormat/>
    <w:rsid w:val="00A81419"/>
    <w:pPr>
      <w:spacing w:after="0" w:line="360" w:lineRule="auto"/>
      <w:jc w:val="both"/>
    </w:pPr>
    <w:rPr>
      <w:rFonts w:ascii="Times New Roman" w:hAnsi="Times New Roman" w:cs="Calibri"/>
      <w:b/>
      <w:iCs/>
      <w:color w:val="000000"/>
      <w:kern w:val="0"/>
      <w:sz w:val="24"/>
      <w:szCs w:val="18"/>
      <w:lang w:val="en-US"/>
      <w14:ligatures w14:val="none"/>
    </w:rPr>
  </w:style>
  <w:style w:type="character" w:customStyle="1" w:styleId="ResimYazsChar">
    <w:name w:val="Resim Yazısı Char"/>
    <w:aliases w:val="Subtitle Char,Annex Char,Caption Char Char,Caption Char1 Char Char,Caption Char Char Char Char,Caption Char2 Char1 Char Char Char,Caption Char1 Char Char Char Char Char,Caption Char Char Char Char Char Char Char,Altyazı1 Char"/>
    <w:basedOn w:val="VarsaylanParagrafYazTipi"/>
    <w:link w:val="ResimYazs4"/>
    <w:rsid w:val="00A81419"/>
    <w:rPr>
      <w:rFonts w:ascii="Times New Roman" w:eastAsia="Calibri" w:hAnsi="Times New Roman" w:cs="Calibri"/>
      <w:b/>
      <w:iCs/>
      <w:color w:val="000000"/>
      <w:sz w:val="24"/>
      <w:szCs w:val="18"/>
      <w:lang w:val="en-US" w:eastAsia="en-US"/>
    </w:rPr>
  </w:style>
  <w:style w:type="paragraph" w:styleId="GvdeMetnia">
    <w:name w:val="Body Text"/>
    <w:basedOn w:val="Normal"/>
    <w:link w:val="GvdeMetniChar"/>
    <w:uiPriority w:val="1"/>
    <w:qFormat/>
    <w:rsid w:val="00A81419"/>
    <w:pPr>
      <w:widowControl w:val="0"/>
      <w:autoSpaceDE w:val="0"/>
      <w:autoSpaceDN w:val="0"/>
      <w:spacing w:after="0" w:line="276" w:lineRule="auto"/>
      <w:jc w:val="both"/>
    </w:pPr>
    <w:rPr>
      <w:rFonts w:ascii="Times New Roman" w:eastAsia="Times New Roman" w:hAnsi="Times New Roman" w:cs="Times New Roman"/>
      <w:kern w:val="0"/>
      <w14:ligatures w14:val="none"/>
    </w:rPr>
  </w:style>
  <w:style w:type="character" w:customStyle="1" w:styleId="GvdeMetniChar">
    <w:name w:val="Gövde Metni Char"/>
    <w:basedOn w:val="VarsaylanParagrafYazTipi"/>
    <w:link w:val="GvdeMetnia"/>
    <w:uiPriority w:val="1"/>
    <w:rsid w:val="00A81419"/>
    <w:rPr>
      <w:rFonts w:ascii="Times New Roman" w:eastAsia="Times New Roman" w:hAnsi="Times New Roman" w:cs="Times New Roman"/>
      <w:kern w:val="0"/>
      <w14:ligatures w14:val="none"/>
    </w:rPr>
  </w:style>
  <w:style w:type="numbering" w:customStyle="1" w:styleId="ListeYok11">
    <w:name w:val="Liste Yok11"/>
    <w:next w:val="ListeYok"/>
    <w:uiPriority w:val="99"/>
    <w:semiHidden/>
    <w:unhideWhenUsed/>
    <w:rsid w:val="00A81419"/>
  </w:style>
  <w:style w:type="paragraph" w:customStyle="1" w:styleId="Maddemleci">
    <w:name w:val="Madde İmleci"/>
    <w:basedOn w:val="ListeParagraf"/>
    <w:link w:val="MaddemleciChar"/>
    <w:qFormat/>
    <w:rsid w:val="00A81419"/>
    <w:pPr>
      <w:widowControl w:val="0"/>
      <w:tabs>
        <w:tab w:val="left" w:pos="567"/>
      </w:tabs>
      <w:spacing w:after="240" w:line="240" w:lineRule="auto"/>
      <w:ind w:left="1308" w:hanging="283"/>
      <w:jc w:val="both"/>
    </w:pPr>
    <w:rPr>
      <w:rFonts w:ascii="Times New Roman" w:eastAsia="Times New Roman" w:hAnsi="Times New Roman" w:cs="Times New Roman"/>
      <w:spacing w:val="2"/>
      <w:kern w:val="0"/>
      <w:position w:val="-1"/>
      <w:lang w:val="en-US"/>
      <w14:ligatures w14:val="none"/>
    </w:rPr>
  </w:style>
  <w:style w:type="character" w:customStyle="1" w:styleId="ListeParagrafChar">
    <w:name w:val="Liste Paragraf Char"/>
    <w:aliases w:val="üçüncü başlık Char,PROVERE 1 Char,Listenabsatz1 Char,Bullet List Paragraph Char,Level 1 Bullet Char,Bullet List Char,Table of contents numbered Char,Liststycke SKL Char,Normal bullet 2 Char,Bullet list Char,Bullet Points Char"/>
    <w:link w:val="ListeParagraf"/>
    <w:uiPriority w:val="1"/>
    <w:qFormat/>
    <w:rsid w:val="00A81419"/>
  </w:style>
  <w:style w:type="character" w:customStyle="1" w:styleId="MaddemleciChar">
    <w:name w:val="Madde İmleci Char"/>
    <w:link w:val="Maddemleci"/>
    <w:rsid w:val="00A81419"/>
    <w:rPr>
      <w:rFonts w:ascii="Times New Roman" w:eastAsia="Times New Roman" w:hAnsi="Times New Roman" w:cs="Times New Roman"/>
      <w:spacing w:val="2"/>
      <w:kern w:val="0"/>
      <w:position w:val="-1"/>
      <w:lang w:val="en-US"/>
      <w14:ligatures w14:val="none"/>
    </w:rPr>
  </w:style>
  <w:style w:type="table" w:customStyle="1" w:styleId="TabloKlavuzu11">
    <w:name w:val="Tablo Kılavuzu11"/>
    <w:basedOn w:val="NormalTablo"/>
    <w:next w:val="TabloKlavuzu"/>
    <w:uiPriority w:val="59"/>
    <w:rsid w:val="00A81419"/>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aliases w:val="Şekil"/>
    <w:uiPriority w:val="20"/>
    <w:qFormat/>
    <w:rsid w:val="00A81419"/>
    <w:rPr>
      <w:rFonts w:ascii="Times New Roman" w:hAnsi="Times New Roman"/>
      <w:sz w:val="22"/>
    </w:rPr>
  </w:style>
  <w:style w:type="character" w:styleId="HafifVurgulama">
    <w:name w:val="Subtle Emphasis"/>
    <w:aliases w:val="Sayfa Kenarı"/>
    <w:uiPriority w:val="19"/>
    <w:qFormat/>
    <w:rsid w:val="00A81419"/>
    <w:rPr>
      <w:rFonts w:ascii="Times New Roman" w:hAnsi="Times New Roman"/>
      <w:b/>
      <w:caps w:val="0"/>
      <w:smallCaps w:val="0"/>
      <w:strike w:val="0"/>
      <w:dstrike w:val="0"/>
      <w:vanish w:val="0"/>
      <w:color w:val="0000FF"/>
      <w:kern w:val="0"/>
      <w:sz w:val="20"/>
      <w:vertAlign w:val="baseline"/>
    </w:rPr>
  </w:style>
  <w:style w:type="paragraph" w:customStyle="1" w:styleId="styaz">
    <w:name w:val="Üstyazı"/>
    <w:basedOn w:val="ResimYazs4"/>
    <w:link w:val="styazChar"/>
    <w:qFormat/>
    <w:rsid w:val="00A81419"/>
    <w:pPr>
      <w:widowControl w:val="0"/>
      <w:tabs>
        <w:tab w:val="left" w:pos="1134"/>
      </w:tabs>
      <w:spacing w:before="120" w:after="120"/>
      <w:ind w:left="1134" w:hanging="1134"/>
    </w:pPr>
    <w:rPr>
      <w:rFonts w:eastAsia="Times New Roman" w:cs="Times New Roman"/>
      <w:color w:val="auto"/>
      <w:spacing w:val="2"/>
      <w:kern w:val="0"/>
      <w:sz w:val="20"/>
      <w14:ligatures w14:val="none"/>
    </w:rPr>
  </w:style>
  <w:style w:type="character" w:customStyle="1" w:styleId="styazChar">
    <w:name w:val="Üstyazı Char"/>
    <w:link w:val="styaz"/>
    <w:rsid w:val="00A81419"/>
    <w:rPr>
      <w:rFonts w:ascii="Times New Roman" w:eastAsia="Times New Roman" w:hAnsi="Times New Roman" w:cs="Times New Roman"/>
      <w:b/>
      <w:iCs/>
      <w:spacing w:val="2"/>
      <w:kern w:val="0"/>
      <w:sz w:val="20"/>
      <w:szCs w:val="18"/>
      <w:lang w:val="en-US"/>
      <w14:ligatures w14:val="none"/>
    </w:rPr>
  </w:style>
  <w:style w:type="paragraph" w:customStyle="1" w:styleId="BalkSeviyesiz">
    <w:name w:val="Başlık (Seviyesiz)"/>
    <w:basedOn w:val="AralkYok"/>
    <w:link w:val="BalkSeviyesizChar"/>
    <w:qFormat/>
    <w:rsid w:val="00A81419"/>
    <w:pPr>
      <w:keepNext/>
      <w:keepLines/>
      <w:widowControl w:val="0"/>
      <w:spacing w:after="40" w:line="276" w:lineRule="auto"/>
    </w:pPr>
    <w:rPr>
      <w:rFonts w:ascii="Times New Roman" w:eastAsia="Times New Roman" w:hAnsi="Times New Roman" w:cs="Times New Roman"/>
      <w:b/>
      <w:spacing w:val="2"/>
      <w:kern w:val="0"/>
      <w:lang w:val="en-US"/>
      <w14:ligatures w14:val="none"/>
    </w:rPr>
  </w:style>
  <w:style w:type="character" w:customStyle="1" w:styleId="BalkSeviyesizChar">
    <w:name w:val="Başlık (Seviyesiz) Char"/>
    <w:link w:val="BalkSeviyesiz"/>
    <w:rsid w:val="00A81419"/>
    <w:rPr>
      <w:rFonts w:ascii="Times New Roman" w:eastAsia="Times New Roman" w:hAnsi="Times New Roman" w:cs="Times New Roman"/>
      <w:b/>
      <w:spacing w:val="2"/>
      <w:kern w:val="0"/>
      <w:lang w:val="en-US"/>
      <w14:ligatures w14:val="none"/>
    </w:rPr>
  </w:style>
  <w:style w:type="table" w:customStyle="1" w:styleId="PlainTable21">
    <w:name w:val="Plain Table 21"/>
    <w:basedOn w:val="NormalTablo"/>
    <w:uiPriority w:val="42"/>
    <w:rsid w:val="00A81419"/>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alonMetni">
    <w:name w:val="Balloon Text"/>
    <w:basedOn w:val="Normal"/>
    <w:link w:val="BalonMetniChar"/>
    <w:uiPriority w:val="99"/>
    <w:unhideWhenUsed/>
    <w:rsid w:val="00A81419"/>
    <w:pPr>
      <w:keepNext/>
      <w:keepLines/>
      <w:widowControl w:val="0"/>
      <w:spacing w:after="0" w:line="276" w:lineRule="auto"/>
      <w:jc w:val="both"/>
    </w:pPr>
    <w:rPr>
      <w:rFonts w:ascii="Segoe UI" w:eastAsia="Times New Roman" w:hAnsi="Segoe UI" w:cs="Segoe UI"/>
      <w:spacing w:val="2"/>
      <w:kern w:val="0"/>
      <w:sz w:val="18"/>
      <w:szCs w:val="18"/>
      <w:lang w:val="en-US"/>
      <w14:ligatures w14:val="none"/>
    </w:rPr>
  </w:style>
  <w:style w:type="character" w:customStyle="1" w:styleId="BalonMetniChar">
    <w:name w:val="Balon Metni Char"/>
    <w:basedOn w:val="VarsaylanParagrafYazTipi"/>
    <w:link w:val="BalonMetni"/>
    <w:uiPriority w:val="99"/>
    <w:rsid w:val="00A81419"/>
    <w:rPr>
      <w:rFonts w:ascii="Segoe UI" w:eastAsia="Times New Roman" w:hAnsi="Segoe UI" w:cs="Segoe UI"/>
      <w:spacing w:val="2"/>
      <w:kern w:val="0"/>
      <w:sz w:val="18"/>
      <w:szCs w:val="18"/>
      <w:lang w:val="en-US"/>
      <w14:ligatures w14:val="none"/>
    </w:rPr>
  </w:style>
  <w:style w:type="character" w:customStyle="1" w:styleId="fontstyle01">
    <w:name w:val="fontstyle01"/>
    <w:rsid w:val="00A81419"/>
    <w:rPr>
      <w:rFonts w:ascii="MinionPro-Bold" w:hAnsi="MinionPro-Bold" w:hint="default"/>
      <w:b/>
      <w:bCs/>
      <w:i w:val="0"/>
      <w:iCs w:val="0"/>
      <w:color w:val="000000"/>
      <w:sz w:val="20"/>
      <w:szCs w:val="20"/>
    </w:rPr>
  </w:style>
  <w:style w:type="character" w:styleId="HTMLTanm">
    <w:name w:val="HTML Definition"/>
    <w:basedOn w:val="VarsaylanParagrafYazTipi"/>
    <w:semiHidden/>
    <w:unhideWhenUsed/>
    <w:rsid w:val="00A81419"/>
    <w:rPr>
      <w:i/>
      <w:iCs/>
    </w:rPr>
  </w:style>
  <w:style w:type="paragraph" w:customStyle="1" w:styleId="MET">
    <w:name w:val="MET"/>
    <w:basedOn w:val="Normal"/>
    <w:link w:val="METChar"/>
    <w:qFormat/>
    <w:rsid w:val="00A81419"/>
    <w:pPr>
      <w:spacing w:after="0" w:line="276" w:lineRule="auto"/>
      <w:jc w:val="both"/>
    </w:pPr>
    <w:rPr>
      <w:rFonts w:ascii="Times New Roman" w:eastAsia="Times New Roman" w:hAnsi="Times New Roman" w:cs="Times New Roman"/>
      <w:b/>
      <w:spacing w:val="2"/>
      <w:kern w:val="0"/>
      <w:sz w:val="24"/>
      <w14:ligatures w14:val="none"/>
    </w:rPr>
  </w:style>
  <w:style w:type="character" w:customStyle="1" w:styleId="METChar">
    <w:name w:val="MET Char"/>
    <w:link w:val="MET"/>
    <w:rsid w:val="00A81419"/>
    <w:rPr>
      <w:rFonts w:ascii="Times New Roman" w:eastAsia="Times New Roman" w:hAnsi="Times New Roman" w:cs="Times New Roman"/>
      <w:b/>
      <w:spacing w:val="2"/>
      <w:kern w:val="0"/>
      <w:sz w:val="24"/>
      <w14:ligatures w14:val="none"/>
    </w:rPr>
  </w:style>
  <w:style w:type="paragraph" w:customStyle="1" w:styleId="TBal1">
    <w:name w:val="İÇT Başlığı1"/>
    <w:basedOn w:val="Balk1"/>
    <w:next w:val="Normal"/>
    <w:uiPriority w:val="39"/>
    <w:unhideWhenUsed/>
    <w:qFormat/>
    <w:rsid w:val="00A81419"/>
    <w:pPr>
      <w:spacing w:before="0" w:after="0"/>
      <w:jc w:val="center"/>
      <w:outlineLvl w:val="9"/>
    </w:pPr>
    <w:rPr>
      <w:rFonts w:eastAsia="Times New Roman" w:cs="Times New Roman"/>
      <w:color w:val="2F5496"/>
      <w:kern w:val="0"/>
      <w:szCs w:val="32"/>
      <w:lang w:val="en-US"/>
      <w14:ligatures w14:val="none"/>
    </w:rPr>
  </w:style>
  <w:style w:type="paragraph" w:customStyle="1" w:styleId="SayfaBa">
    <w:name w:val="Sayfa Başı"/>
    <w:basedOn w:val="AralkYok"/>
    <w:link w:val="SayfaBaChar"/>
    <w:qFormat/>
    <w:rsid w:val="00A81419"/>
    <w:pPr>
      <w:pageBreakBefore/>
      <w:widowControl w:val="0"/>
      <w:spacing w:line="276" w:lineRule="auto"/>
      <w:jc w:val="center"/>
    </w:pPr>
    <w:rPr>
      <w:rFonts w:ascii="Times New Roman" w:eastAsia="Times New Roman" w:hAnsi="Times New Roman" w:cs="Times New Roman"/>
      <w:spacing w:val="2"/>
      <w:kern w:val="0"/>
      <w:sz w:val="4"/>
      <w:lang w:val="en-US" w:eastAsia="tr-TR"/>
      <w14:ligatures w14:val="none"/>
    </w:rPr>
  </w:style>
  <w:style w:type="character" w:customStyle="1" w:styleId="SayfaBaChar">
    <w:name w:val="Sayfa Başı Char"/>
    <w:basedOn w:val="AralkYokChar"/>
    <w:link w:val="SayfaBa"/>
    <w:rsid w:val="00A81419"/>
    <w:rPr>
      <w:rFonts w:ascii="Times New Roman" w:eastAsia="Times New Roman" w:hAnsi="Times New Roman" w:cs="Times New Roman"/>
      <w:spacing w:val="2"/>
      <w:kern w:val="0"/>
      <w:sz w:val="4"/>
      <w:lang w:val="en-US" w:eastAsia="tr-TR"/>
      <w14:ligatures w14:val="none"/>
    </w:rPr>
  </w:style>
  <w:style w:type="paragraph" w:styleId="Dzeltme">
    <w:name w:val="Revision"/>
    <w:hidden/>
    <w:uiPriority w:val="99"/>
    <w:semiHidden/>
    <w:rsid w:val="00A81419"/>
    <w:pPr>
      <w:spacing w:after="0" w:line="240" w:lineRule="auto"/>
    </w:pPr>
    <w:rPr>
      <w:rFonts w:ascii="Times New Roman" w:eastAsia="Times New Roman" w:hAnsi="Times New Roman" w:cs="Times New Roman"/>
      <w:spacing w:val="2"/>
      <w:kern w:val="0"/>
      <w:lang w:val="en-US"/>
      <w14:ligatures w14:val="none"/>
    </w:rPr>
  </w:style>
  <w:style w:type="character" w:customStyle="1" w:styleId="UnresolvedMention1">
    <w:name w:val="Unresolved Mention1"/>
    <w:basedOn w:val="VarsaylanParagrafYazTipi"/>
    <w:uiPriority w:val="99"/>
    <w:semiHidden/>
    <w:unhideWhenUsed/>
    <w:rsid w:val="00A81419"/>
    <w:rPr>
      <w:color w:val="605E5C"/>
      <w:shd w:val="clear" w:color="auto" w:fill="E1DFDD"/>
    </w:rPr>
  </w:style>
  <w:style w:type="character" w:customStyle="1" w:styleId="alt-edited">
    <w:name w:val="alt-edited"/>
    <w:rsid w:val="00A81419"/>
  </w:style>
  <w:style w:type="paragraph" w:styleId="ListeMaddemi">
    <w:name w:val="List Bullet"/>
    <w:basedOn w:val="Normal"/>
    <w:unhideWhenUsed/>
    <w:rsid w:val="00A81419"/>
    <w:pPr>
      <w:widowControl w:val="0"/>
      <w:numPr>
        <w:numId w:val="59"/>
      </w:numPr>
      <w:spacing w:after="240" w:line="276" w:lineRule="auto"/>
      <w:contextualSpacing/>
      <w:jc w:val="both"/>
    </w:pPr>
    <w:rPr>
      <w:rFonts w:ascii="Times New Roman" w:eastAsia="Times New Roman" w:hAnsi="Times New Roman" w:cs="Times New Roman"/>
      <w:spacing w:val="2"/>
      <w:kern w:val="0"/>
      <w14:ligatures w14:val="none"/>
    </w:rPr>
  </w:style>
  <w:style w:type="numbering" w:customStyle="1" w:styleId="ListeYok111">
    <w:name w:val="Liste Yok111"/>
    <w:next w:val="ListeYok"/>
    <w:uiPriority w:val="99"/>
    <w:semiHidden/>
    <w:unhideWhenUsed/>
    <w:rsid w:val="00A81419"/>
  </w:style>
  <w:style w:type="numbering" w:customStyle="1" w:styleId="ListeYok21">
    <w:name w:val="Liste Yok21"/>
    <w:next w:val="ListeYok"/>
    <w:uiPriority w:val="99"/>
    <w:semiHidden/>
    <w:unhideWhenUsed/>
    <w:rsid w:val="00A81419"/>
  </w:style>
  <w:style w:type="numbering" w:customStyle="1" w:styleId="ListeYok3">
    <w:name w:val="Liste Yok3"/>
    <w:next w:val="ListeYok"/>
    <w:uiPriority w:val="99"/>
    <w:semiHidden/>
    <w:unhideWhenUsed/>
    <w:rsid w:val="00A81419"/>
  </w:style>
  <w:style w:type="numbering" w:customStyle="1" w:styleId="ListeYok4">
    <w:name w:val="Liste Yok4"/>
    <w:next w:val="ListeYok"/>
    <w:uiPriority w:val="99"/>
    <w:semiHidden/>
    <w:unhideWhenUsed/>
    <w:rsid w:val="00A81419"/>
  </w:style>
  <w:style w:type="numbering" w:customStyle="1" w:styleId="ListeYok5">
    <w:name w:val="Liste Yok5"/>
    <w:next w:val="ListeYok"/>
    <w:uiPriority w:val="99"/>
    <w:semiHidden/>
    <w:unhideWhenUsed/>
    <w:rsid w:val="00A81419"/>
  </w:style>
  <w:style w:type="numbering" w:customStyle="1" w:styleId="ListeYok6">
    <w:name w:val="Liste Yok6"/>
    <w:next w:val="ListeYok"/>
    <w:uiPriority w:val="99"/>
    <w:semiHidden/>
    <w:unhideWhenUsed/>
    <w:rsid w:val="00A81419"/>
  </w:style>
  <w:style w:type="numbering" w:customStyle="1" w:styleId="ListeYok7">
    <w:name w:val="Liste Yok7"/>
    <w:next w:val="ListeYok"/>
    <w:uiPriority w:val="99"/>
    <w:semiHidden/>
    <w:unhideWhenUsed/>
    <w:rsid w:val="00A81419"/>
  </w:style>
  <w:style w:type="paragraph" w:customStyle="1" w:styleId="Balk110">
    <w:name w:val="Başlık 11"/>
    <w:basedOn w:val="Normal"/>
    <w:next w:val="Normal"/>
    <w:autoRedefine/>
    <w:uiPriority w:val="9"/>
    <w:qFormat/>
    <w:rsid w:val="00A81419"/>
    <w:pPr>
      <w:keepNext/>
      <w:keepLines/>
      <w:spacing w:before="240" w:after="240" w:line="276" w:lineRule="auto"/>
      <w:ind w:left="720" w:hanging="360"/>
      <w:jc w:val="both"/>
      <w:outlineLvl w:val="0"/>
    </w:pPr>
    <w:rPr>
      <w:rFonts w:ascii="Arial" w:eastAsia="Times New Roman" w:hAnsi="Arial" w:cs="Times New Roman"/>
      <w:b/>
      <w:kern w:val="0"/>
      <w:sz w:val="28"/>
      <w:szCs w:val="32"/>
      <w14:ligatures w14:val="none"/>
    </w:rPr>
  </w:style>
  <w:style w:type="numbering" w:customStyle="1" w:styleId="ListeYok8">
    <w:name w:val="Liste Yok8"/>
    <w:next w:val="ListeYok"/>
    <w:uiPriority w:val="99"/>
    <w:semiHidden/>
    <w:unhideWhenUsed/>
    <w:rsid w:val="00A81419"/>
  </w:style>
  <w:style w:type="character" w:customStyle="1" w:styleId="Heading1Char1">
    <w:name w:val="Heading 1 Char1"/>
    <w:aliases w:val="Başlık 1 Char1"/>
    <w:basedOn w:val="VarsaylanParagrafYazTipi"/>
    <w:uiPriority w:val="9"/>
    <w:rsid w:val="00A81419"/>
    <w:rPr>
      <w:rFonts w:ascii="Calibri Light" w:eastAsia="Times New Roman" w:hAnsi="Calibri Light" w:cs="Times New Roman"/>
      <w:color w:val="2F5496"/>
      <w:spacing w:val="2"/>
      <w:sz w:val="32"/>
      <w:szCs w:val="32"/>
    </w:rPr>
  </w:style>
  <w:style w:type="character" w:customStyle="1" w:styleId="Heading2Char1">
    <w:name w:val="Heading 2 Char1"/>
    <w:aliases w:val="Başlık 2 Char1"/>
    <w:basedOn w:val="VarsaylanParagrafYazTipi"/>
    <w:rsid w:val="00A81419"/>
    <w:rPr>
      <w:rFonts w:ascii="Calibri Light" w:eastAsia="Times New Roman" w:hAnsi="Calibri Light" w:cs="Times New Roman"/>
      <w:color w:val="2F5496"/>
      <w:spacing w:val="2"/>
      <w:sz w:val="26"/>
      <w:szCs w:val="26"/>
    </w:rPr>
  </w:style>
  <w:style w:type="character" w:customStyle="1" w:styleId="Heading3Char1">
    <w:name w:val="Heading 3 Char1"/>
    <w:aliases w:val="Başlık 3 Char1,H3 Char,0 Char"/>
    <w:basedOn w:val="VarsaylanParagrafYazTipi"/>
    <w:rsid w:val="00A81419"/>
    <w:rPr>
      <w:rFonts w:ascii="Calibri Light" w:eastAsia="Times New Roman" w:hAnsi="Calibri Light" w:cs="Times New Roman"/>
      <w:color w:val="1F3763"/>
      <w:spacing w:val="2"/>
      <w:sz w:val="24"/>
      <w:szCs w:val="24"/>
    </w:rPr>
  </w:style>
  <w:style w:type="character" w:customStyle="1" w:styleId="Heading4Char1">
    <w:name w:val="Heading 4 Char1"/>
    <w:aliases w:val="Başlık 4 Char1"/>
    <w:basedOn w:val="VarsaylanParagrafYazTipi"/>
    <w:uiPriority w:val="9"/>
    <w:semiHidden/>
    <w:rsid w:val="00A81419"/>
    <w:rPr>
      <w:rFonts w:ascii="Calibri Light" w:eastAsia="Times New Roman" w:hAnsi="Calibri Light" w:cs="Times New Roman"/>
      <w:i/>
      <w:iCs/>
      <w:color w:val="2F5496"/>
      <w:spacing w:val="2"/>
      <w:sz w:val="22"/>
      <w:szCs w:val="22"/>
    </w:rPr>
  </w:style>
  <w:style w:type="character" w:customStyle="1" w:styleId="Heading6Char1">
    <w:name w:val="Heading 6 Char1"/>
    <w:aliases w:val="Başlık 5 Char1"/>
    <w:basedOn w:val="VarsaylanParagrafYazTipi"/>
    <w:rsid w:val="00A81419"/>
    <w:rPr>
      <w:rFonts w:ascii="Calibri Light" w:eastAsia="Times New Roman" w:hAnsi="Calibri Light" w:cs="Times New Roman"/>
      <w:color w:val="1F3763"/>
      <w:spacing w:val="2"/>
      <w:sz w:val="22"/>
      <w:szCs w:val="22"/>
    </w:rPr>
  </w:style>
  <w:style w:type="character" w:customStyle="1" w:styleId="TitleChar1">
    <w:name w:val="Title Char1"/>
    <w:aliases w:val="Tablo İçi Char1"/>
    <w:basedOn w:val="VarsaylanParagrafYazTipi"/>
    <w:uiPriority w:val="10"/>
    <w:rsid w:val="00A81419"/>
    <w:rPr>
      <w:rFonts w:ascii="Calibri Light" w:eastAsia="Times New Roman" w:hAnsi="Calibri Light" w:cs="Times New Roman"/>
      <w:spacing w:val="-10"/>
      <w:kern w:val="28"/>
      <w:sz w:val="56"/>
      <w:szCs w:val="56"/>
    </w:rPr>
  </w:style>
  <w:style w:type="character" w:customStyle="1" w:styleId="SzlkAltBalChar">
    <w:name w:val="Sözlük Alt Başlığı Char"/>
    <w:link w:val="SzlkAltBal"/>
    <w:locked/>
    <w:rsid w:val="00A81419"/>
    <w:rPr>
      <w:rFonts w:ascii="Arial" w:hAnsi="Arial" w:cs="Arial"/>
      <w:b/>
      <w:spacing w:val="2"/>
      <w:sz w:val="28"/>
      <w:szCs w:val="28"/>
    </w:rPr>
  </w:style>
  <w:style w:type="paragraph" w:customStyle="1" w:styleId="SzlkAltBal">
    <w:name w:val="Sözlük Alt Başlığı"/>
    <w:basedOn w:val="Normal"/>
    <w:link w:val="SzlkAltBalChar"/>
    <w:qFormat/>
    <w:rsid w:val="00A81419"/>
    <w:pPr>
      <w:keepNext/>
      <w:keepLines/>
      <w:widowControl w:val="0"/>
      <w:tabs>
        <w:tab w:val="left" w:pos="567"/>
      </w:tabs>
      <w:spacing w:after="200" w:line="276" w:lineRule="auto"/>
      <w:jc w:val="both"/>
    </w:pPr>
    <w:rPr>
      <w:rFonts w:ascii="Arial" w:hAnsi="Arial" w:cs="Arial"/>
      <w:b/>
      <w:spacing w:val="2"/>
      <w:sz w:val="28"/>
      <w:szCs w:val="28"/>
    </w:rPr>
  </w:style>
  <w:style w:type="paragraph" w:customStyle="1" w:styleId="font5">
    <w:name w:val="font5"/>
    <w:basedOn w:val="Normal"/>
    <w:rsid w:val="00A81419"/>
    <w:pP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font6">
    <w:name w:val="font6"/>
    <w:basedOn w:val="Normal"/>
    <w:rsid w:val="00A81419"/>
    <w:pP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font7">
    <w:name w:val="font7"/>
    <w:basedOn w:val="Normal"/>
    <w:rsid w:val="00A81419"/>
    <w:pPr>
      <w:spacing w:before="100" w:beforeAutospacing="1" w:after="100" w:afterAutospacing="1" w:line="276" w:lineRule="auto"/>
      <w:jc w:val="both"/>
    </w:pPr>
    <w:rPr>
      <w:rFonts w:ascii="Times New Roman" w:eastAsia="Times New Roman" w:hAnsi="Times New Roman" w:cs="Times New Roman"/>
      <w:i/>
      <w:iCs/>
      <w:kern w:val="0"/>
      <w:sz w:val="20"/>
      <w:szCs w:val="20"/>
      <w:lang w:val="en-US"/>
      <w14:ligatures w14:val="none"/>
    </w:rPr>
  </w:style>
  <w:style w:type="paragraph" w:customStyle="1" w:styleId="font8">
    <w:name w:val="font8"/>
    <w:basedOn w:val="Normal"/>
    <w:rsid w:val="00A81419"/>
    <w:pP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font9">
    <w:name w:val="font9"/>
    <w:basedOn w:val="Normal"/>
    <w:rsid w:val="00A81419"/>
    <w:pPr>
      <w:spacing w:before="100" w:beforeAutospacing="1" w:after="100" w:afterAutospacing="1" w:line="276" w:lineRule="auto"/>
      <w:jc w:val="both"/>
    </w:pPr>
    <w:rPr>
      <w:rFonts w:ascii="Times New Roman" w:eastAsia="Times New Roman" w:hAnsi="Times New Roman" w:cs="Times New Roman"/>
      <w:color w:val="9C5700"/>
      <w:kern w:val="0"/>
      <w:sz w:val="20"/>
      <w:szCs w:val="20"/>
      <w:lang w:val="en-US"/>
      <w14:ligatures w14:val="none"/>
    </w:rPr>
  </w:style>
  <w:style w:type="paragraph" w:customStyle="1" w:styleId="font10">
    <w:name w:val="font10"/>
    <w:basedOn w:val="Normal"/>
    <w:rsid w:val="00A81419"/>
    <w:pPr>
      <w:spacing w:before="100" w:beforeAutospacing="1" w:after="100" w:afterAutospacing="1" w:line="276" w:lineRule="auto"/>
      <w:jc w:val="both"/>
    </w:pPr>
    <w:rPr>
      <w:rFonts w:ascii="Times New Roman" w:eastAsia="Times New Roman" w:hAnsi="Times New Roman" w:cs="Times New Roman"/>
      <w:color w:val="9C5700"/>
      <w:kern w:val="0"/>
      <w:sz w:val="20"/>
      <w:szCs w:val="20"/>
      <w:lang w:val="en-US"/>
      <w14:ligatures w14:val="none"/>
    </w:rPr>
  </w:style>
  <w:style w:type="paragraph" w:customStyle="1" w:styleId="font11">
    <w:name w:val="font11"/>
    <w:basedOn w:val="Normal"/>
    <w:rsid w:val="00A81419"/>
    <w:pPr>
      <w:spacing w:before="100" w:beforeAutospacing="1" w:after="100" w:afterAutospacing="1" w:line="276" w:lineRule="auto"/>
      <w:jc w:val="both"/>
    </w:pPr>
    <w:rPr>
      <w:rFonts w:ascii="Times New Roman" w:eastAsia="Times New Roman" w:hAnsi="Times New Roman" w:cs="Times New Roman"/>
      <w:color w:val="9C5700"/>
      <w:kern w:val="0"/>
      <w:sz w:val="20"/>
      <w:szCs w:val="20"/>
      <w:lang w:val="en-US"/>
      <w14:ligatures w14:val="none"/>
    </w:rPr>
  </w:style>
  <w:style w:type="paragraph" w:customStyle="1" w:styleId="font12">
    <w:name w:val="font12"/>
    <w:basedOn w:val="Normal"/>
    <w:rsid w:val="00A81419"/>
    <w:pPr>
      <w:spacing w:before="100" w:beforeAutospacing="1" w:after="100" w:afterAutospacing="1" w:line="276" w:lineRule="auto"/>
      <w:jc w:val="both"/>
    </w:pPr>
    <w:rPr>
      <w:rFonts w:ascii="TimesNewRomanPSMT" w:eastAsia="Times New Roman" w:hAnsi="TimesNewRomanPSMT" w:cs="Times New Roman"/>
      <w:color w:val="000000"/>
      <w:kern w:val="0"/>
      <w:sz w:val="20"/>
      <w:szCs w:val="20"/>
      <w:lang w:val="en-US"/>
      <w14:ligatures w14:val="none"/>
    </w:rPr>
  </w:style>
  <w:style w:type="paragraph" w:customStyle="1" w:styleId="font13">
    <w:name w:val="font13"/>
    <w:basedOn w:val="Normal"/>
    <w:rsid w:val="00A81419"/>
    <w:pPr>
      <w:spacing w:before="100" w:beforeAutospacing="1" w:after="100" w:afterAutospacing="1" w:line="276" w:lineRule="auto"/>
      <w:jc w:val="both"/>
    </w:pPr>
    <w:rPr>
      <w:rFonts w:ascii="TimesNewRomanPSMT" w:eastAsia="Times New Roman" w:hAnsi="TimesNewRomanPSMT" w:cs="Times New Roman"/>
      <w:color w:val="000000"/>
      <w:kern w:val="0"/>
      <w:sz w:val="14"/>
      <w:szCs w:val="14"/>
      <w:lang w:val="en-US"/>
      <w14:ligatures w14:val="none"/>
    </w:rPr>
  </w:style>
  <w:style w:type="paragraph" w:customStyle="1" w:styleId="xl63">
    <w:name w:val="xl63"/>
    <w:basedOn w:val="Normal"/>
    <w:rsid w:val="00A81419"/>
    <w:pP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xl64">
    <w:name w:val="xl64"/>
    <w:basedOn w:val="Normal"/>
    <w:rsid w:val="00A81419"/>
    <w:pPr>
      <w:spacing w:before="100" w:beforeAutospacing="1" w:after="100" w:afterAutospacing="1" w:line="276" w:lineRule="auto"/>
      <w:jc w:val="both"/>
      <w:textAlignment w:val="top"/>
    </w:pPr>
    <w:rPr>
      <w:rFonts w:ascii="Times New Roman" w:eastAsia="Times New Roman" w:hAnsi="Times New Roman" w:cs="Times New Roman"/>
      <w:kern w:val="0"/>
      <w:sz w:val="20"/>
      <w:szCs w:val="20"/>
      <w:lang w:val="en-US"/>
      <w14:ligatures w14:val="none"/>
    </w:rPr>
  </w:style>
  <w:style w:type="paragraph" w:customStyle="1" w:styleId="xl65">
    <w:name w:val="xl65"/>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TimesNewRomanPS-BoldMT" w:eastAsia="Times New Roman" w:hAnsi="TimesNewRomanPS-BoldMT" w:cs="Times New Roman"/>
      <w:b/>
      <w:bCs/>
      <w:color w:val="000000"/>
      <w:kern w:val="0"/>
      <w:sz w:val="18"/>
      <w:szCs w:val="18"/>
      <w:lang w:val="en-US"/>
      <w14:ligatures w14:val="none"/>
    </w:rPr>
  </w:style>
  <w:style w:type="paragraph" w:customStyle="1" w:styleId="xl66">
    <w:name w:val="xl66"/>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TimesNewRomanPS-BoldMT" w:eastAsia="Times New Roman" w:hAnsi="TimesNewRomanPS-BoldMT" w:cs="Times New Roman"/>
      <w:b/>
      <w:bCs/>
      <w:color w:val="000000"/>
      <w:kern w:val="0"/>
      <w:sz w:val="20"/>
      <w:szCs w:val="20"/>
      <w:lang w:val="en-US"/>
      <w14:ligatures w14:val="none"/>
    </w:rPr>
  </w:style>
  <w:style w:type="paragraph" w:customStyle="1" w:styleId="xl67">
    <w:name w:val="xl67"/>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Times New Roman" w:eastAsia="Times New Roman" w:hAnsi="Times New Roman" w:cs="Times New Roman"/>
      <w:kern w:val="0"/>
      <w:sz w:val="20"/>
      <w:szCs w:val="20"/>
      <w:lang w:val="en-US"/>
      <w14:ligatures w14:val="none"/>
    </w:rPr>
  </w:style>
  <w:style w:type="paragraph" w:customStyle="1" w:styleId="xl68">
    <w:name w:val="xl68"/>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xl69">
    <w:name w:val="xl69"/>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Times New Roman" w:eastAsia="Times New Roman" w:hAnsi="Times New Roman" w:cs="Times New Roman"/>
      <w:kern w:val="0"/>
      <w:sz w:val="20"/>
      <w:szCs w:val="20"/>
      <w:lang w:val="en-US"/>
      <w14:ligatures w14:val="none"/>
    </w:rPr>
  </w:style>
  <w:style w:type="paragraph" w:customStyle="1" w:styleId="xl70">
    <w:name w:val="xl70"/>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xl71">
    <w:name w:val="xl71"/>
    <w:basedOn w:val="Normal"/>
    <w:rsid w:val="00A814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top"/>
    </w:pPr>
    <w:rPr>
      <w:rFonts w:ascii="Times New Roman" w:eastAsia="Times New Roman" w:hAnsi="Times New Roman" w:cs="Times New Roman"/>
      <w:kern w:val="0"/>
      <w:sz w:val="20"/>
      <w:szCs w:val="20"/>
      <w:lang w:val="en-US"/>
      <w14:ligatures w14:val="none"/>
    </w:rPr>
  </w:style>
  <w:style w:type="paragraph" w:customStyle="1" w:styleId="xl72">
    <w:name w:val="xl72"/>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Arial" w:eastAsia="Times New Roman" w:hAnsi="Arial" w:cs="Arial"/>
      <w:color w:val="444444"/>
      <w:kern w:val="0"/>
      <w:sz w:val="17"/>
      <w:szCs w:val="17"/>
      <w:lang w:val="en-US"/>
      <w14:ligatures w14:val="none"/>
    </w:rPr>
  </w:style>
  <w:style w:type="paragraph" w:customStyle="1" w:styleId="xl73">
    <w:name w:val="xl73"/>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pPr>
    <w:rPr>
      <w:rFonts w:ascii="Arial" w:eastAsia="Times New Roman" w:hAnsi="Arial" w:cs="Arial"/>
      <w:color w:val="222222"/>
      <w:kern w:val="0"/>
      <w:sz w:val="21"/>
      <w:szCs w:val="21"/>
      <w:lang w:val="en-US"/>
      <w14:ligatures w14:val="none"/>
    </w:rPr>
  </w:style>
  <w:style w:type="paragraph" w:customStyle="1" w:styleId="xl74">
    <w:name w:val="xl74"/>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Times New Roman" w:eastAsia="Times New Roman" w:hAnsi="Times New Roman" w:cs="Times New Roman"/>
      <w:color w:val="9C5700"/>
      <w:kern w:val="0"/>
      <w:sz w:val="20"/>
      <w:szCs w:val="20"/>
      <w:lang w:val="en-US"/>
      <w14:ligatures w14:val="none"/>
    </w:rPr>
  </w:style>
  <w:style w:type="paragraph" w:customStyle="1" w:styleId="xl75">
    <w:name w:val="xl75"/>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pPr>
    <w:rPr>
      <w:rFonts w:ascii="Times New Roman" w:eastAsia="Times New Roman" w:hAnsi="Times New Roman" w:cs="Times New Roman"/>
      <w:kern w:val="0"/>
      <w:sz w:val="20"/>
      <w:szCs w:val="20"/>
      <w:lang w:val="en-US"/>
      <w14:ligatures w14:val="none"/>
    </w:rPr>
  </w:style>
  <w:style w:type="paragraph" w:customStyle="1" w:styleId="xl76">
    <w:name w:val="xl76"/>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Times New Roman" w:eastAsia="Times New Roman" w:hAnsi="Times New Roman" w:cs="Times New Roman"/>
      <w:color w:val="222222"/>
      <w:kern w:val="0"/>
      <w:sz w:val="20"/>
      <w:szCs w:val="20"/>
      <w:lang w:val="en-US"/>
      <w14:ligatures w14:val="none"/>
    </w:rPr>
  </w:style>
  <w:style w:type="paragraph" w:customStyle="1" w:styleId="xl77">
    <w:name w:val="xl77"/>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pPr>
    <w:rPr>
      <w:rFonts w:ascii="Times New Roman" w:eastAsia="Times New Roman" w:hAnsi="Times New Roman" w:cs="Times New Roman"/>
      <w:color w:val="222222"/>
      <w:kern w:val="0"/>
      <w:sz w:val="20"/>
      <w:szCs w:val="20"/>
      <w:lang w:val="en-US"/>
      <w14:ligatures w14:val="none"/>
    </w:rPr>
  </w:style>
  <w:style w:type="paragraph" w:customStyle="1" w:styleId="xl78">
    <w:name w:val="xl78"/>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TimesNewRomanPSMT" w:eastAsia="Times New Roman" w:hAnsi="TimesNewRomanPSMT" w:cs="Times New Roman"/>
      <w:color w:val="000000"/>
      <w:kern w:val="0"/>
      <w:sz w:val="18"/>
      <w:szCs w:val="18"/>
      <w:lang w:val="en-US"/>
      <w14:ligatures w14:val="none"/>
    </w:rPr>
  </w:style>
  <w:style w:type="paragraph" w:customStyle="1" w:styleId="xl79">
    <w:name w:val="xl79"/>
    <w:basedOn w:val="Normal"/>
    <w:rsid w:val="00A81419"/>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rFonts w:ascii="TimesNewRomanPSMT" w:eastAsia="Times New Roman" w:hAnsi="TimesNewRomanPSMT" w:cs="Times New Roman"/>
      <w:color w:val="000000"/>
      <w:kern w:val="0"/>
      <w:sz w:val="20"/>
      <w:szCs w:val="20"/>
      <w:lang w:val="en-US"/>
      <w14:ligatures w14:val="none"/>
    </w:rPr>
  </w:style>
  <w:style w:type="table" w:customStyle="1" w:styleId="TabloKlavuzu21">
    <w:name w:val="Tablo Kılavuzu21"/>
    <w:basedOn w:val="NormalTablo"/>
    <w:next w:val="TabloKlavuzu"/>
    <w:uiPriority w:val="39"/>
    <w:rsid w:val="00A81419"/>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next w:val="TabloKlavuzu"/>
    <w:uiPriority w:val="39"/>
    <w:rsid w:val="00A81419"/>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0">
    <w:name w:val="Çözümlenmeyen Bahsetme1"/>
    <w:basedOn w:val="VarsaylanParagrafYazTipi"/>
    <w:uiPriority w:val="99"/>
    <w:semiHidden/>
    <w:unhideWhenUsed/>
    <w:rsid w:val="00A81419"/>
    <w:rPr>
      <w:color w:val="605E5C"/>
      <w:shd w:val="clear" w:color="auto" w:fill="E1DFDD"/>
    </w:rPr>
  </w:style>
  <w:style w:type="paragraph" w:customStyle="1" w:styleId="Default">
    <w:name w:val="Default"/>
    <w:qFormat/>
    <w:rsid w:val="00A81419"/>
    <w:pPr>
      <w:autoSpaceDE w:val="0"/>
      <w:autoSpaceDN w:val="0"/>
      <w:adjustRightInd w:val="0"/>
      <w:spacing w:after="0" w:line="240" w:lineRule="auto"/>
    </w:pPr>
    <w:rPr>
      <w:rFonts w:ascii="Arial" w:eastAsia="Times New Roman" w:hAnsi="Arial" w:cs="Arial"/>
      <w:color w:val="000000"/>
      <w:kern w:val="0"/>
      <w:sz w:val="24"/>
      <w:szCs w:val="24"/>
      <w:lang w:eastAsia="ja-JP"/>
    </w:rPr>
  </w:style>
  <w:style w:type="numbering" w:customStyle="1" w:styleId="ListeYok9">
    <w:name w:val="Liste Yok9"/>
    <w:next w:val="ListeYok"/>
    <w:uiPriority w:val="99"/>
    <w:semiHidden/>
    <w:unhideWhenUsed/>
    <w:rsid w:val="00A81419"/>
  </w:style>
  <w:style w:type="table" w:customStyle="1" w:styleId="TabloKlavuzu41">
    <w:name w:val="Tablo Kılavuzu41"/>
    <w:basedOn w:val="NormalTablo"/>
    <w:next w:val="TabloKlavuzu"/>
    <w:uiPriority w:val="39"/>
    <w:rsid w:val="00A8141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45ptKaln">
    <w:name w:val="Gövde metni + 4;5 pt;Kalın"/>
    <w:basedOn w:val="Gvdemetni"/>
    <w:rsid w:val="00A81419"/>
    <w:rPr>
      <w:rFonts w:ascii="Arial Narrow" w:eastAsia="Arial Narrow" w:hAnsi="Arial Narrow" w:cs="Arial Narrow"/>
      <w:b/>
      <w:bCs/>
      <w:color w:val="000000"/>
      <w:spacing w:val="0"/>
      <w:w w:val="100"/>
      <w:position w:val="0"/>
      <w:sz w:val="9"/>
      <w:szCs w:val="9"/>
      <w:shd w:val="clear" w:color="auto" w:fill="FFFFFF"/>
      <w:lang w:val="tr-TR"/>
    </w:rPr>
  </w:style>
  <w:style w:type="paragraph" w:customStyle="1" w:styleId="ekilYazs">
    <w:name w:val="Şekil Yazısı"/>
    <w:basedOn w:val="ResimYazs4"/>
    <w:link w:val="ekilYazsChar"/>
    <w:qFormat/>
    <w:rsid w:val="00A81419"/>
    <w:pPr>
      <w:jc w:val="both"/>
    </w:pPr>
    <w:rPr>
      <w:rFonts w:cs="Times New Roman"/>
      <w:b w:val="0"/>
      <w:i/>
      <w:kern w:val="0"/>
      <w14:ligatures w14:val="none"/>
    </w:rPr>
  </w:style>
  <w:style w:type="character" w:customStyle="1" w:styleId="ekilYazsChar">
    <w:name w:val="Şekil Yazısı Char"/>
    <w:basedOn w:val="ResimYazsChar"/>
    <w:link w:val="ekilYazs"/>
    <w:rsid w:val="00A81419"/>
    <w:rPr>
      <w:rFonts w:ascii="Times New Roman" w:eastAsia="Calibri" w:hAnsi="Times New Roman" w:cs="Times New Roman"/>
      <w:b w:val="0"/>
      <w:i/>
      <w:iCs/>
      <w:color w:val="000000"/>
      <w:kern w:val="0"/>
      <w:sz w:val="24"/>
      <w:szCs w:val="18"/>
      <w:lang w:val="en-US" w:eastAsia="en-US"/>
      <w14:ligatures w14:val="none"/>
    </w:rPr>
  </w:style>
  <w:style w:type="paragraph" w:styleId="SonnotMetni">
    <w:name w:val="endnote text"/>
    <w:basedOn w:val="Normal"/>
    <w:link w:val="SonnotMetniChar"/>
    <w:uiPriority w:val="99"/>
    <w:semiHidden/>
    <w:unhideWhenUsed/>
    <w:rsid w:val="00A81419"/>
    <w:pPr>
      <w:widowControl w:val="0"/>
      <w:spacing w:after="0" w:line="276" w:lineRule="auto"/>
      <w:jc w:val="both"/>
    </w:pPr>
    <w:rPr>
      <w:rFonts w:ascii="Times New Roman" w:eastAsia="Times New Roman" w:hAnsi="Times New Roman" w:cs="Times New Roman"/>
      <w:spacing w:val="2"/>
      <w:kern w:val="0"/>
      <w:sz w:val="20"/>
      <w:szCs w:val="20"/>
      <w:lang w:val="en-US"/>
      <w14:ligatures w14:val="none"/>
    </w:rPr>
  </w:style>
  <w:style w:type="character" w:customStyle="1" w:styleId="SonnotMetniChar">
    <w:name w:val="Sonnot Metni Char"/>
    <w:basedOn w:val="VarsaylanParagrafYazTipi"/>
    <w:link w:val="SonnotMetni"/>
    <w:uiPriority w:val="99"/>
    <w:semiHidden/>
    <w:rsid w:val="00A81419"/>
    <w:rPr>
      <w:rFonts w:ascii="Times New Roman" w:eastAsia="Times New Roman" w:hAnsi="Times New Roman" w:cs="Times New Roman"/>
      <w:spacing w:val="2"/>
      <w:kern w:val="0"/>
      <w:sz w:val="20"/>
      <w:szCs w:val="20"/>
      <w:lang w:val="en-US"/>
      <w14:ligatures w14:val="none"/>
    </w:rPr>
  </w:style>
  <w:style w:type="character" w:styleId="SonnotBavurusu">
    <w:name w:val="endnote reference"/>
    <w:basedOn w:val="VarsaylanParagrafYazTipi"/>
    <w:uiPriority w:val="99"/>
    <w:semiHidden/>
    <w:unhideWhenUsed/>
    <w:rsid w:val="00A81419"/>
    <w:rPr>
      <w:vertAlign w:val="superscript"/>
    </w:rPr>
  </w:style>
  <w:style w:type="table" w:customStyle="1" w:styleId="KlavuzuTablo4-Vurgu51">
    <w:name w:val="Kılavuzu Tablo 4 - Vurgu 51"/>
    <w:basedOn w:val="NormalTablo"/>
    <w:uiPriority w:val="49"/>
    <w:rsid w:val="00A81419"/>
    <w:pPr>
      <w:spacing w:after="0" w:line="240" w:lineRule="auto"/>
    </w:pPr>
    <w:rPr>
      <w:rFonts w:ascii="Times New Roman" w:eastAsia="Calibri" w:hAnsi="Times New Roman" w:cs="Times New Roman"/>
      <w:kern w:val="0"/>
      <w:sz w:val="24"/>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7Renkli-Vurgu51">
    <w:name w:val="Kılavuz Tablo 7 Renkli - Vurgu 51"/>
    <w:basedOn w:val="NormalTablo"/>
    <w:uiPriority w:val="52"/>
    <w:rsid w:val="00A81419"/>
    <w:pPr>
      <w:spacing w:after="0" w:line="240" w:lineRule="auto"/>
    </w:pPr>
    <w:rPr>
      <w:rFonts w:ascii="Times New Roman" w:eastAsia="Calibri" w:hAnsi="Times New Roman" w:cs="Times New Roman"/>
      <w:color w:val="2E74B5"/>
      <w:kern w:val="0"/>
      <w:sz w:val="24"/>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uTablo4-Vurgu31">
    <w:name w:val="Kılavuzu Tablo 4 - Vurgu 31"/>
    <w:basedOn w:val="NormalTablo"/>
    <w:uiPriority w:val="49"/>
    <w:rsid w:val="00A81419"/>
    <w:pPr>
      <w:spacing w:after="0" w:line="240" w:lineRule="auto"/>
    </w:pPr>
    <w:rPr>
      <w:rFonts w:ascii="Times New Roman" w:eastAsia="Calibri" w:hAnsi="Times New Roman" w:cs="Times New Roman"/>
      <w:kern w:val="0"/>
      <w:sz w:val="24"/>
      <w:lang w:val="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ontstyle21">
    <w:name w:val="fontstyle21"/>
    <w:basedOn w:val="VarsaylanParagrafYazTipi"/>
    <w:rsid w:val="00A81419"/>
    <w:rPr>
      <w:rFonts w:ascii="TimesNewRomanPSMT" w:hAnsi="TimesNewRomanPSMT" w:hint="default"/>
      <w:b w:val="0"/>
      <w:bCs w:val="0"/>
      <w:i w:val="0"/>
      <w:iCs w:val="0"/>
      <w:color w:val="000000"/>
      <w:sz w:val="22"/>
      <w:szCs w:val="22"/>
    </w:rPr>
  </w:style>
  <w:style w:type="paragraph" w:customStyle="1" w:styleId="ft">
    <w:name w:val="ft"/>
    <w:aliases w:val="hd,hd1,hd2,hd3,hd4,hd11,hd21,hd31,hd5,hd12,hd22,hd32,hd6,hd13,hd23,hd33,hd7,hd14,hd24,hd34,hd8,hd15,hd25,hd35"/>
    <w:basedOn w:val="Normal"/>
    <w:next w:val="letistbilgisi"/>
    <w:link w:val="AltbilgiChar"/>
    <w:rsid w:val="00A81419"/>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jc w:val="both"/>
    </w:pPr>
    <w:rPr>
      <w:rFonts w:ascii="Times New Roman" w:eastAsia="Calibri" w:hAnsi="Times New Roman" w:cs="Times New Roman"/>
      <w:b/>
      <w:kern w:val="0"/>
      <w:sz w:val="24"/>
      <w:szCs w:val="24"/>
      <w:lang w:val="en-GB"/>
      <w14:ligatures w14:val="none"/>
    </w:rPr>
  </w:style>
  <w:style w:type="character" w:styleId="SayfaNumaras">
    <w:name w:val="page number"/>
    <w:basedOn w:val="VarsaylanParagrafYazTipi"/>
    <w:semiHidden/>
    <w:rsid w:val="00A81419"/>
  </w:style>
  <w:style w:type="paragraph" w:styleId="BelgeBalantlar">
    <w:name w:val="Document Map"/>
    <w:basedOn w:val="Normal"/>
    <w:link w:val="BelgeBalantlarChar"/>
    <w:semiHidden/>
    <w:rsid w:val="00A81419"/>
    <w:pPr>
      <w:shd w:val="clear" w:color="auto" w:fill="000080"/>
      <w:spacing w:after="0" w:line="276" w:lineRule="auto"/>
      <w:jc w:val="both"/>
    </w:pPr>
    <w:rPr>
      <w:rFonts w:ascii="Tahoma" w:eastAsia="Times New Roman" w:hAnsi="Tahoma" w:cs="Tahoma"/>
      <w:kern w:val="0"/>
      <w:sz w:val="20"/>
      <w:szCs w:val="20"/>
      <w:lang w:val="en-GB"/>
      <w14:ligatures w14:val="none"/>
    </w:rPr>
  </w:style>
  <w:style w:type="character" w:customStyle="1" w:styleId="BelgeBalantlarChar">
    <w:name w:val="Belge Bağlantıları Char"/>
    <w:basedOn w:val="VarsaylanParagrafYazTipi"/>
    <w:link w:val="BelgeBalantlar"/>
    <w:semiHidden/>
    <w:rsid w:val="00A81419"/>
    <w:rPr>
      <w:rFonts w:ascii="Tahoma" w:eastAsia="Times New Roman" w:hAnsi="Tahoma" w:cs="Tahoma"/>
      <w:kern w:val="0"/>
      <w:sz w:val="20"/>
      <w:szCs w:val="20"/>
      <w:shd w:val="clear" w:color="auto" w:fill="000080"/>
      <w:lang w:val="en-GB"/>
      <w14:ligatures w14:val="none"/>
    </w:rPr>
  </w:style>
  <w:style w:type="paragraph" w:styleId="T7">
    <w:name w:val="toc 7"/>
    <w:basedOn w:val="Normal"/>
    <w:next w:val="Normal"/>
    <w:autoRedefine/>
    <w:uiPriority w:val="39"/>
    <w:rsid w:val="00A81419"/>
    <w:pPr>
      <w:tabs>
        <w:tab w:val="left" w:pos="3119"/>
        <w:tab w:val="right" w:leader="dot" w:pos="8495"/>
      </w:tabs>
      <w:spacing w:after="0" w:line="276" w:lineRule="auto"/>
      <w:ind w:left="2970" w:hanging="1760"/>
      <w:jc w:val="both"/>
    </w:pPr>
    <w:rPr>
      <w:rFonts w:ascii="Times New Roman" w:eastAsia="Times New Roman" w:hAnsi="Times New Roman" w:cs="Times New Roman"/>
      <w:noProof/>
      <w:kern w:val="0"/>
      <w:sz w:val="20"/>
      <w:szCs w:val="24"/>
      <w:lang w:val="en-GB"/>
      <w14:ligatures w14:val="none"/>
    </w:rPr>
  </w:style>
  <w:style w:type="paragraph" w:styleId="T8">
    <w:name w:val="toc 8"/>
    <w:basedOn w:val="Normal"/>
    <w:next w:val="Normal"/>
    <w:autoRedefine/>
    <w:uiPriority w:val="39"/>
    <w:rsid w:val="00A81419"/>
    <w:pPr>
      <w:spacing w:after="0" w:line="276" w:lineRule="auto"/>
      <w:ind w:left="1400"/>
      <w:jc w:val="both"/>
    </w:pPr>
    <w:rPr>
      <w:rFonts w:ascii="Times New Roman" w:eastAsia="Times New Roman" w:hAnsi="Times New Roman" w:cs="Times New Roman"/>
      <w:kern w:val="0"/>
      <w:sz w:val="18"/>
      <w:szCs w:val="18"/>
      <w:lang w:val="en-GB"/>
      <w14:ligatures w14:val="none"/>
    </w:rPr>
  </w:style>
  <w:style w:type="paragraph" w:styleId="T9">
    <w:name w:val="toc 9"/>
    <w:basedOn w:val="Normal"/>
    <w:next w:val="Normal"/>
    <w:autoRedefine/>
    <w:uiPriority w:val="39"/>
    <w:rsid w:val="00A81419"/>
    <w:pPr>
      <w:spacing w:after="0" w:line="276" w:lineRule="auto"/>
      <w:ind w:left="1600"/>
      <w:jc w:val="both"/>
    </w:pPr>
    <w:rPr>
      <w:rFonts w:ascii="Times New Roman" w:eastAsia="Times New Roman" w:hAnsi="Times New Roman" w:cs="Times New Roman"/>
      <w:kern w:val="0"/>
      <w:sz w:val="18"/>
      <w:szCs w:val="18"/>
      <w:lang w:val="en-GB"/>
      <w14:ligatures w14:val="none"/>
    </w:rPr>
  </w:style>
  <w:style w:type="paragraph" w:customStyle="1" w:styleId="Captioncomment">
    <w:name w:val="Caption comment"/>
    <w:basedOn w:val="Normal"/>
    <w:next w:val="Normal"/>
    <w:link w:val="CaptioncommentChar"/>
    <w:rsid w:val="00A81419"/>
    <w:pPr>
      <w:keepNext/>
      <w:keepLines/>
      <w:widowControl w:val="0"/>
      <w:spacing w:after="0" w:line="260" w:lineRule="atLeast"/>
      <w:jc w:val="both"/>
    </w:pPr>
    <w:rPr>
      <w:rFonts w:ascii="Times New Roman" w:eastAsia="Times New Roman" w:hAnsi="Times New Roman" w:cs="Times New Roman"/>
      <w:kern w:val="24"/>
      <w:szCs w:val="24"/>
      <w:lang w:val="en-GB"/>
      <w14:ligatures w14:val="none"/>
    </w:rPr>
  </w:style>
  <w:style w:type="paragraph" w:styleId="Liste2">
    <w:name w:val="List 2"/>
    <w:basedOn w:val="Normal"/>
    <w:semiHidden/>
    <w:rsid w:val="00A81419"/>
    <w:pPr>
      <w:spacing w:after="0" w:line="276" w:lineRule="auto"/>
      <w:ind w:left="566" w:hanging="283"/>
      <w:jc w:val="both"/>
    </w:pPr>
    <w:rPr>
      <w:rFonts w:ascii="Times New Roman" w:eastAsia="Times New Roman" w:hAnsi="Times New Roman" w:cs="Times New Roman"/>
      <w:kern w:val="0"/>
      <w:szCs w:val="24"/>
      <w:lang w:val="en-GB"/>
      <w14:ligatures w14:val="none"/>
    </w:rPr>
  </w:style>
  <w:style w:type="paragraph" w:customStyle="1" w:styleId="Tabletitle">
    <w:name w:val="Table title"/>
    <w:basedOn w:val="Normal"/>
    <w:next w:val="Normal"/>
    <w:rsid w:val="00A81419"/>
    <w:pPr>
      <w:keepNext/>
      <w:spacing w:after="0" w:line="276" w:lineRule="auto"/>
      <w:jc w:val="center"/>
    </w:pPr>
    <w:rPr>
      <w:rFonts w:ascii="Arial" w:eastAsia="Times New Roman" w:hAnsi="Arial" w:cs="Times New Roman"/>
      <w:b/>
      <w:kern w:val="0"/>
      <w:sz w:val="28"/>
      <w:szCs w:val="20"/>
      <w:lang w:val="en-GB" w:eastAsia="zh-CN"/>
      <w14:ligatures w14:val="none"/>
    </w:rPr>
  </w:style>
  <w:style w:type="paragraph" w:customStyle="1" w:styleId="Style10ptRoseCentered">
    <w:name w:val="Style 10 pt Rose Centered"/>
    <w:basedOn w:val="Normal"/>
    <w:autoRedefine/>
    <w:rsid w:val="00A81419"/>
    <w:pPr>
      <w:spacing w:after="0" w:line="276" w:lineRule="auto"/>
      <w:jc w:val="center"/>
    </w:pPr>
    <w:rPr>
      <w:rFonts w:ascii="Times New Roman" w:eastAsia="Times New Roman" w:hAnsi="Times New Roman" w:cs="Times New Roman"/>
      <w:color w:val="FF0000"/>
      <w:kern w:val="0"/>
      <w:szCs w:val="24"/>
      <w:lang w:val="en-GB"/>
      <w14:ligatures w14:val="none"/>
    </w:rPr>
  </w:style>
  <w:style w:type="paragraph" w:styleId="Dizin1">
    <w:name w:val="index 1"/>
    <w:basedOn w:val="Normal"/>
    <w:next w:val="Normal"/>
    <w:autoRedefine/>
    <w:semiHidden/>
    <w:rsid w:val="00A81419"/>
    <w:pPr>
      <w:widowControl w:val="0"/>
      <w:tabs>
        <w:tab w:val="right" w:leader="dot" w:pos="9360"/>
      </w:tabs>
      <w:suppressAutoHyphens/>
      <w:spacing w:after="0" w:line="276" w:lineRule="auto"/>
      <w:ind w:left="1440" w:right="720" w:hanging="1440"/>
      <w:jc w:val="both"/>
    </w:pPr>
    <w:rPr>
      <w:rFonts w:ascii="Futura Book" w:eastAsia="Times New Roman" w:hAnsi="Futura Book" w:cs="Times New Roman"/>
      <w:kern w:val="0"/>
      <w:szCs w:val="24"/>
      <w:lang w:val="en-GB"/>
      <w14:ligatures w14:val="none"/>
    </w:rPr>
  </w:style>
  <w:style w:type="paragraph" w:customStyle="1" w:styleId="Footerlandscape">
    <w:name w:val="Footer landscape"/>
    <w:rsid w:val="00A81419"/>
    <w:pPr>
      <w:pBdr>
        <w:top w:val="single" w:sz="4" w:space="1" w:color="auto"/>
      </w:pBdr>
      <w:tabs>
        <w:tab w:val="center" w:pos="7088"/>
        <w:tab w:val="right" w:pos="14572"/>
      </w:tabs>
      <w:spacing w:after="0" w:line="240" w:lineRule="auto"/>
    </w:pPr>
    <w:rPr>
      <w:rFonts w:ascii="Times New Roman" w:eastAsia="Times New Roman" w:hAnsi="Times New Roman" w:cs="Times New Roman"/>
      <w:b/>
      <w:kern w:val="0"/>
      <w:sz w:val="20"/>
      <w:szCs w:val="24"/>
      <w:lang w:val="en-GB"/>
      <w14:ligatures w14:val="none"/>
    </w:rPr>
  </w:style>
  <w:style w:type="paragraph" w:customStyle="1" w:styleId="Headerlandscape">
    <w:name w:val="Header landscape"/>
    <w:rsid w:val="00A81419"/>
    <w:pPr>
      <w:pBdr>
        <w:bottom w:val="single" w:sz="4" w:space="1" w:color="auto"/>
      </w:pBdr>
      <w:tabs>
        <w:tab w:val="center" w:pos="7088"/>
        <w:tab w:val="right" w:pos="14572"/>
      </w:tabs>
      <w:spacing w:after="0" w:line="240" w:lineRule="auto"/>
    </w:pPr>
    <w:rPr>
      <w:rFonts w:ascii="Times New Roman" w:eastAsia="Times New Roman" w:hAnsi="Times New Roman" w:cs="Times New Roman"/>
      <w:b/>
      <w:kern w:val="0"/>
      <w:sz w:val="20"/>
      <w:szCs w:val="24"/>
      <w:lang w:val="en-GB"/>
      <w14:ligatures w14:val="none"/>
    </w:rPr>
  </w:style>
  <w:style w:type="numbering" w:styleId="111111">
    <w:name w:val="Outline List 2"/>
    <w:basedOn w:val="ListeYok"/>
    <w:semiHidden/>
    <w:rsid w:val="00A81419"/>
    <w:pPr>
      <w:numPr>
        <w:numId w:val="63"/>
      </w:numPr>
    </w:pPr>
  </w:style>
  <w:style w:type="paragraph" w:styleId="bekMetni">
    <w:name w:val="Block Text"/>
    <w:basedOn w:val="Normal"/>
    <w:uiPriority w:val="99"/>
    <w:rsid w:val="00A81419"/>
    <w:pPr>
      <w:spacing w:after="0" w:line="276" w:lineRule="auto"/>
      <w:ind w:left="343" w:right="613"/>
      <w:jc w:val="both"/>
    </w:pPr>
    <w:rPr>
      <w:rFonts w:ascii="Times New Roman" w:eastAsia="Times New Roman" w:hAnsi="Times New Roman" w:cs="Times New Roman"/>
      <w:kern w:val="0"/>
      <w:sz w:val="24"/>
      <w:szCs w:val="24"/>
      <w:lang w:val="en-GB"/>
      <w14:ligatures w14:val="none"/>
    </w:rPr>
  </w:style>
  <w:style w:type="paragraph" w:styleId="GvdeMetni2b">
    <w:name w:val="Body Text 2"/>
    <w:basedOn w:val="Normal"/>
    <w:link w:val="GvdeMetni2Char"/>
    <w:rsid w:val="00A81419"/>
    <w:pPr>
      <w:spacing w:after="0" w:line="276" w:lineRule="auto"/>
      <w:jc w:val="both"/>
    </w:pPr>
    <w:rPr>
      <w:rFonts w:ascii="Times New Roman" w:eastAsia="Times New Roman" w:hAnsi="Times New Roman" w:cs="Times New Roman"/>
      <w:kern w:val="0"/>
      <w:sz w:val="24"/>
      <w:szCs w:val="24"/>
      <w:lang w:val="en-GB"/>
      <w14:ligatures w14:val="none"/>
    </w:rPr>
  </w:style>
  <w:style w:type="character" w:customStyle="1" w:styleId="GvdeMetni2Char">
    <w:name w:val="Gövde Metni 2 Char"/>
    <w:basedOn w:val="VarsaylanParagrafYazTipi"/>
    <w:link w:val="GvdeMetni2b"/>
    <w:rsid w:val="00A81419"/>
    <w:rPr>
      <w:rFonts w:ascii="Times New Roman" w:eastAsia="Times New Roman" w:hAnsi="Times New Roman" w:cs="Times New Roman"/>
      <w:kern w:val="0"/>
      <w:sz w:val="24"/>
      <w:szCs w:val="24"/>
      <w:lang w:val="en-GB"/>
      <w14:ligatures w14:val="none"/>
    </w:rPr>
  </w:style>
  <w:style w:type="paragraph" w:styleId="GvdeMetni3b">
    <w:name w:val="Body Text 3"/>
    <w:basedOn w:val="Normal"/>
    <w:link w:val="GvdeMetni3Char"/>
    <w:rsid w:val="00A81419"/>
    <w:pPr>
      <w:spacing w:after="0" w:line="276" w:lineRule="auto"/>
      <w:ind w:right="613"/>
      <w:jc w:val="both"/>
    </w:pPr>
    <w:rPr>
      <w:rFonts w:ascii="Times New Roman" w:eastAsia="Times New Roman" w:hAnsi="Times New Roman" w:cs="Times New Roman"/>
      <w:kern w:val="0"/>
      <w:sz w:val="24"/>
      <w:szCs w:val="24"/>
      <w:lang w:val="en-GB"/>
      <w14:ligatures w14:val="none"/>
    </w:rPr>
  </w:style>
  <w:style w:type="character" w:customStyle="1" w:styleId="GvdeMetni3Char">
    <w:name w:val="Gövde Metni 3 Char"/>
    <w:basedOn w:val="VarsaylanParagrafYazTipi"/>
    <w:link w:val="GvdeMetni3b"/>
    <w:rsid w:val="00A81419"/>
    <w:rPr>
      <w:rFonts w:ascii="Times New Roman" w:eastAsia="Times New Roman" w:hAnsi="Times New Roman" w:cs="Times New Roman"/>
      <w:kern w:val="0"/>
      <w:sz w:val="24"/>
      <w:szCs w:val="24"/>
      <w:lang w:val="en-GB"/>
      <w14:ligatures w14:val="none"/>
    </w:rPr>
  </w:style>
  <w:style w:type="paragraph" w:styleId="DzMetin">
    <w:name w:val="Plain Text"/>
    <w:basedOn w:val="Normal"/>
    <w:link w:val="DzMetinChar"/>
    <w:semiHidden/>
    <w:rsid w:val="00A81419"/>
    <w:pPr>
      <w:spacing w:after="0" w:line="276" w:lineRule="auto"/>
      <w:jc w:val="both"/>
    </w:pPr>
    <w:rPr>
      <w:rFonts w:ascii="Times New Roman" w:eastAsia="Times New Roman" w:hAnsi="Times New Roman" w:cs="Courier New"/>
      <w:kern w:val="0"/>
      <w:sz w:val="20"/>
      <w:szCs w:val="20"/>
      <w:lang w:val="en-GB"/>
      <w14:ligatures w14:val="none"/>
    </w:rPr>
  </w:style>
  <w:style w:type="character" w:customStyle="1" w:styleId="DzMetinChar">
    <w:name w:val="Düz Metin Char"/>
    <w:basedOn w:val="VarsaylanParagrafYazTipi"/>
    <w:link w:val="DzMetin"/>
    <w:semiHidden/>
    <w:rsid w:val="00A81419"/>
    <w:rPr>
      <w:rFonts w:ascii="Times New Roman" w:eastAsia="Times New Roman" w:hAnsi="Times New Roman" w:cs="Courier New"/>
      <w:kern w:val="0"/>
      <w:sz w:val="20"/>
      <w:szCs w:val="20"/>
      <w:lang w:val="en-GB"/>
      <w14:ligatures w14:val="none"/>
    </w:rPr>
  </w:style>
  <w:style w:type="table" w:customStyle="1" w:styleId="EIPPCBTable">
    <w:name w:val="EIPPCB Table"/>
    <w:basedOn w:val="NormalTablo"/>
    <w:rsid w:val="00A81419"/>
    <w:pPr>
      <w:spacing w:after="0" w:line="240" w:lineRule="auto"/>
      <w:jc w:val="center"/>
    </w:pPr>
    <w:rPr>
      <w:rFonts w:ascii="Times New Roman" w:eastAsia="Times New Roman" w:hAnsi="Times New Roman" w:cs="Times New Roman"/>
      <w:kern w:val="0"/>
      <w:szCs w:val="20"/>
      <w:lang w:eastAsia="tr-TR"/>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jc w:val="center"/>
      </w:pPr>
      <w:rPr>
        <w:rFonts w:ascii="Times New Roman" w:hAnsi="Times New Roman"/>
        <w:b/>
        <w:sz w:val="22"/>
        <w:u w:val="none"/>
      </w:rPr>
    </w:tblStylePr>
    <w:tblStylePr w:type="lastRow">
      <w:pPr>
        <w:jc w:val="center"/>
      </w:pPr>
      <w:rPr>
        <w:rFonts w:ascii="Times New Roman" w:hAnsi="Times New Roman"/>
        <w:i/>
        <w:sz w:val="18"/>
      </w:rPr>
    </w:tblStylePr>
    <w:tblStylePr w:type="firstCol">
      <w:pPr>
        <w:jc w:val="left"/>
      </w:pPr>
      <w:rPr>
        <w:b/>
      </w:rPr>
    </w:tblStylePr>
  </w:style>
  <w:style w:type="table" w:customStyle="1" w:styleId="TableEIPPCB">
    <w:name w:val="Table EIPPCB"/>
    <w:basedOn w:val="NormalTablo"/>
    <w:rsid w:val="00A81419"/>
    <w:pPr>
      <w:spacing w:after="0" w:line="240" w:lineRule="auto"/>
    </w:pPr>
    <w:rPr>
      <w:rFonts w:ascii="Times New Roman" w:eastAsia="Times New Roman" w:hAnsi="Times New Roman" w:cs="Times New Roman"/>
      <w:kern w:val="0"/>
      <w:szCs w:val="20"/>
      <w:lang w:eastAsia="tr-TR"/>
      <w14:ligatures w14:val="none"/>
    </w:rPr>
    <w:tblPr/>
  </w:style>
  <w:style w:type="paragraph" w:customStyle="1" w:styleId="Captioncomments">
    <w:name w:val="Caption comments"/>
    <w:basedOn w:val="Normal"/>
    <w:next w:val="Normal"/>
    <w:link w:val="CaptioncommentsChar"/>
    <w:rsid w:val="00A81419"/>
    <w:pPr>
      <w:spacing w:after="0" w:line="276" w:lineRule="auto"/>
      <w:jc w:val="both"/>
    </w:pPr>
    <w:rPr>
      <w:rFonts w:ascii="Times New Roman" w:eastAsia="Times New Roman" w:hAnsi="Times New Roman" w:cs="Times New Roman"/>
      <w:b/>
      <w:kern w:val="0"/>
      <w:sz w:val="20"/>
      <w:szCs w:val="20"/>
      <w:lang w:val="en-GB" w:eastAsia="zh-CN"/>
      <w14:ligatures w14:val="none"/>
    </w:rPr>
  </w:style>
  <w:style w:type="numbering" w:customStyle="1" w:styleId="Letterlist">
    <w:name w:val="Letterlist"/>
    <w:basedOn w:val="ListeYok"/>
    <w:rsid w:val="00A81419"/>
    <w:pPr>
      <w:numPr>
        <w:numId w:val="65"/>
      </w:numPr>
    </w:pPr>
  </w:style>
  <w:style w:type="paragraph" w:customStyle="1" w:styleId="Footerpotrait">
    <w:name w:val="Footer potrait"/>
    <w:basedOn w:val="Altbilgi"/>
    <w:rsid w:val="00A81419"/>
    <w:pPr>
      <w:pBdr>
        <w:top w:val="single" w:sz="4" w:space="1" w:color="auto"/>
      </w:pBdr>
      <w:tabs>
        <w:tab w:val="clear" w:pos="4536"/>
        <w:tab w:val="clear" w:pos="9072"/>
        <w:tab w:val="center" w:pos="4253"/>
        <w:tab w:val="right" w:pos="8505"/>
      </w:tabs>
      <w:spacing w:line="276" w:lineRule="auto"/>
      <w:jc w:val="both"/>
    </w:pPr>
    <w:rPr>
      <w:rFonts w:ascii="Times New Roman" w:eastAsia="Times New Roman" w:hAnsi="Times New Roman" w:cs="Times New Roman"/>
      <w:b/>
      <w:kern w:val="0"/>
      <w:sz w:val="20"/>
      <w:szCs w:val="24"/>
      <w:lang w:val="en-GB"/>
      <w14:ligatures w14:val="none"/>
    </w:rPr>
  </w:style>
  <w:style w:type="paragraph" w:customStyle="1" w:styleId="StyleHeading2Linespacing15lines">
    <w:name w:val="Style Heading 2 + Line spacing:  1.5 lines"/>
    <w:basedOn w:val="Balk2"/>
    <w:rsid w:val="00A81419"/>
    <w:pPr>
      <w:pageBreakBefore/>
      <w:spacing w:before="0" w:after="240" w:line="360" w:lineRule="auto"/>
      <w:jc w:val="both"/>
    </w:pPr>
    <w:rPr>
      <w:rFonts w:ascii="Arial" w:eastAsia="Times New Roman" w:hAnsi="Arial" w:cs="Times New Roman"/>
      <w:bCs/>
      <w:kern w:val="0"/>
      <w:sz w:val="28"/>
      <w:szCs w:val="20"/>
      <w:lang w:val="en-GB" w:eastAsia="zh-CN"/>
      <w14:ligatures w14:val="none"/>
    </w:rPr>
  </w:style>
  <w:style w:type="paragraph" w:styleId="DizinBal">
    <w:name w:val="index heading"/>
    <w:basedOn w:val="Normal"/>
    <w:next w:val="Dizin1"/>
    <w:semiHidden/>
    <w:rsid w:val="00A81419"/>
    <w:pPr>
      <w:spacing w:after="0" w:line="276" w:lineRule="auto"/>
      <w:jc w:val="both"/>
    </w:pPr>
    <w:rPr>
      <w:rFonts w:ascii="Times New Roman" w:eastAsia="Times New Roman" w:hAnsi="Times New Roman" w:cs="Times New Roman"/>
      <w:kern w:val="0"/>
      <w:szCs w:val="24"/>
      <w:lang w:val="en-GB"/>
      <w14:ligatures w14:val="none"/>
    </w:rPr>
  </w:style>
  <w:style w:type="numbering" w:customStyle="1" w:styleId="Numberlist">
    <w:name w:val="Numberlist"/>
    <w:basedOn w:val="ListeYok"/>
    <w:rsid w:val="00A81419"/>
    <w:pPr>
      <w:numPr>
        <w:numId w:val="77"/>
      </w:numPr>
    </w:pPr>
  </w:style>
  <w:style w:type="numbering" w:customStyle="1" w:styleId="01FirstBullets">
    <w:name w:val="01. First Bullets"/>
    <w:basedOn w:val="ListeYok"/>
    <w:rsid w:val="00A81419"/>
    <w:pPr>
      <w:numPr>
        <w:numId w:val="60"/>
      </w:numPr>
    </w:pPr>
  </w:style>
  <w:style w:type="numbering" w:customStyle="1" w:styleId="02SecondBullets">
    <w:name w:val="02. Second Bullets"/>
    <w:basedOn w:val="ListeYok"/>
    <w:rsid w:val="00A81419"/>
    <w:pPr>
      <w:numPr>
        <w:numId w:val="61"/>
      </w:numPr>
    </w:pPr>
  </w:style>
  <w:style w:type="numbering" w:customStyle="1" w:styleId="03ThirdBullet">
    <w:name w:val="03. Third Bullet"/>
    <w:rsid w:val="00A81419"/>
    <w:pPr>
      <w:numPr>
        <w:numId w:val="62"/>
      </w:numPr>
    </w:pPr>
  </w:style>
  <w:style w:type="paragraph" w:customStyle="1" w:styleId="TableBullets">
    <w:name w:val="Table Bullets"/>
    <w:basedOn w:val="Normal"/>
    <w:link w:val="TableBulletsChar"/>
    <w:rsid w:val="00A81419"/>
    <w:pPr>
      <w:numPr>
        <w:numId w:val="81"/>
      </w:numPr>
      <w:spacing w:after="0" w:line="276" w:lineRule="auto"/>
      <w:jc w:val="both"/>
    </w:pPr>
    <w:rPr>
      <w:rFonts w:ascii="Times New Roman" w:eastAsia="Times New Roman" w:hAnsi="Times New Roman" w:cs="Times New Roman"/>
      <w:kern w:val="0"/>
      <w:sz w:val="20"/>
      <w:szCs w:val="20"/>
      <w:lang w:val="en-GB" w:eastAsia="en-GB"/>
      <w14:ligatures w14:val="none"/>
    </w:rPr>
  </w:style>
  <w:style w:type="paragraph" w:styleId="E-postamzas">
    <w:name w:val="E-mail Signature"/>
    <w:basedOn w:val="Normal"/>
    <w:link w:val="E-postamzasChar"/>
    <w:semiHidden/>
    <w:rsid w:val="00A81419"/>
    <w:pPr>
      <w:spacing w:after="0" w:line="276" w:lineRule="auto"/>
      <w:jc w:val="both"/>
    </w:pPr>
    <w:rPr>
      <w:rFonts w:ascii="Times New Roman" w:eastAsia="Times New Roman" w:hAnsi="Times New Roman" w:cs="Times New Roman"/>
      <w:kern w:val="0"/>
      <w:szCs w:val="24"/>
      <w:lang w:val="en-GB"/>
      <w14:ligatures w14:val="none"/>
    </w:rPr>
  </w:style>
  <w:style w:type="character" w:customStyle="1" w:styleId="E-postamzasChar">
    <w:name w:val="E-posta İmzası Char"/>
    <w:basedOn w:val="VarsaylanParagrafYazTipi"/>
    <w:link w:val="E-postamzas"/>
    <w:semiHidden/>
    <w:rsid w:val="00A81419"/>
    <w:rPr>
      <w:rFonts w:ascii="Times New Roman" w:eastAsia="Times New Roman" w:hAnsi="Times New Roman" w:cs="Times New Roman"/>
      <w:kern w:val="0"/>
      <w:szCs w:val="24"/>
      <w:lang w:val="en-GB"/>
      <w14:ligatures w14:val="none"/>
    </w:rPr>
  </w:style>
  <w:style w:type="paragraph" w:customStyle="1" w:styleId="Heading5Blue">
    <w:name w:val="Heading 5 + Blue"/>
    <w:basedOn w:val="Balk5"/>
    <w:link w:val="Heading5BlueChar"/>
    <w:rsid w:val="00A81419"/>
    <w:pPr>
      <w:keepLines w:val="0"/>
      <w:numPr>
        <w:ilvl w:val="4"/>
      </w:numPr>
      <w:spacing w:before="0" w:after="240" w:line="276" w:lineRule="auto"/>
      <w:ind w:left="1440" w:hanging="1080"/>
    </w:pPr>
    <w:rPr>
      <w:rFonts w:ascii="Arial" w:eastAsia="Times New Roman" w:hAnsi="Arial" w:cs="Times New Roman"/>
      <w:b/>
      <w:bCs/>
      <w:color w:val="0000FF"/>
      <w:spacing w:val="2"/>
      <w:kern w:val="0"/>
      <w:sz w:val="24"/>
      <w:lang w:val="en-GB" w:eastAsia="zh-CN"/>
      <w14:ligatures w14:val="none"/>
    </w:rPr>
  </w:style>
  <w:style w:type="paragraph" w:customStyle="1" w:styleId="LettersTechniques">
    <w:name w:val="Letters_Techniques"/>
    <w:basedOn w:val="Normal"/>
    <w:rsid w:val="00A81419"/>
    <w:pPr>
      <w:numPr>
        <w:numId w:val="66"/>
      </w:numPr>
      <w:tabs>
        <w:tab w:val="left" w:pos="567"/>
      </w:tabs>
      <w:spacing w:after="0" w:line="276" w:lineRule="auto"/>
      <w:jc w:val="both"/>
    </w:pPr>
    <w:rPr>
      <w:rFonts w:ascii="Times New Roman" w:eastAsia="Times New Roman" w:hAnsi="Times New Roman" w:cs="Times New Roman"/>
      <w:kern w:val="0"/>
      <w:lang w:val="en-GB"/>
      <w14:ligatures w14:val="none"/>
    </w:rPr>
  </w:style>
  <w:style w:type="numbering" w:customStyle="1" w:styleId="StyleNumbered">
    <w:name w:val="Style Numbered"/>
    <w:basedOn w:val="ListeYok"/>
    <w:rsid w:val="00A81419"/>
    <w:pPr>
      <w:numPr>
        <w:numId w:val="80"/>
      </w:numPr>
    </w:pPr>
  </w:style>
  <w:style w:type="character" w:customStyle="1" w:styleId="Heading5BlueChar">
    <w:name w:val="Heading 5 + Blue Char"/>
    <w:basedOn w:val="Heading6Char1"/>
    <w:link w:val="Heading5Blue"/>
    <w:rsid w:val="00A81419"/>
    <w:rPr>
      <w:rFonts w:ascii="Arial" w:eastAsia="Times New Roman" w:hAnsi="Arial" w:cs="Times New Roman"/>
      <w:b/>
      <w:bCs/>
      <w:color w:val="0000FF"/>
      <w:spacing w:val="2"/>
      <w:kern w:val="0"/>
      <w:sz w:val="24"/>
      <w:szCs w:val="22"/>
      <w:lang w:val="en-GB" w:eastAsia="zh-CN"/>
      <w14:ligatures w14:val="none"/>
    </w:rPr>
  </w:style>
  <w:style w:type="paragraph" w:customStyle="1" w:styleId="Standard">
    <w:name w:val="Standard"/>
    <w:basedOn w:val="Normal"/>
    <w:next w:val="Normal"/>
    <w:rsid w:val="00A81419"/>
    <w:pPr>
      <w:autoSpaceDE w:val="0"/>
      <w:autoSpaceDN w:val="0"/>
      <w:adjustRightInd w:val="0"/>
      <w:spacing w:after="0" w:line="276" w:lineRule="auto"/>
      <w:jc w:val="both"/>
    </w:pPr>
    <w:rPr>
      <w:rFonts w:ascii="Arial" w:eastAsia="Times New Roman" w:hAnsi="Arial" w:cs="Times New Roman"/>
      <w:kern w:val="0"/>
      <w:sz w:val="24"/>
      <w:szCs w:val="24"/>
      <w:lang w:val="en-GB"/>
      <w14:ligatures w14:val="none"/>
    </w:rPr>
  </w:style>
  <w:style w:type="paragraph" w:customStyle="1" w:styleId="Heading6Blue">
    <w:name w:val="Heading 6 + Blue"/>
    <w:basedOn w:val="Balk6"/>
    <w:rsid w:val="00A81419"/>
    <w:pPr>
      <w:keepLines w:val="0"/>
      <w:tabs>
        <w:tab w:val="left" w:pos="1985"/>
      </w:tabs>
      <w:spacing w:before="0" w:line="276" w:lineRule="auto"/>
    </w:pPr>
    <w:rPr>
      <w:rFonts w:ascii="Arial" w:eastAsia="Times New Roman" w:hAnsi="Arial" w:cs="Times New Roman"/>
      <w:b/>
      <w:iCs w:val="0"/>
      <w:color w:val="0000FF"/>
      <w:kern w:val="0"/>
      <w:sz w:val="20"/>
      <w:szCs w:val="20"/>
      <w:lang w:val="en-GB" w:eastAsia="zh-CN"/>
      <w14:ligatures w14:val="none"/>
    </w:rPr>
  </w:style>
  <w:style w:type="character" w:customStyle="1" w:styleId="CaptioncommentsChar">
    <w:name w:val="Caption comments Char"/>
    <w:basedOn w:val="VarsaylanParagrafYazTipi"/>
    <w:link w:val="Captioncomments"/>
    <w:rsid w:val="00A81419"/>
    <w:rPr>
      <w:rFonts w:ascii="Times New Roman" w:eastAsia="Times New Roman" w:hAnsi="Times New Roman" w:cs="Times New Roman"/>
      <w:b/>
      <w:kern w:val="0"/>
      <w:sz w:val="20"/>
      <w:szCs w:val="20"/>
      <w:lang w:val="en-GB" w:eastAsia="zh-CN"/>
      <w14:ligatures w14:val="none"/>
    </w:rPr>
  </w:style>
  <w:style w:type="paragraph" w:styleId="GvdeMetniGirintisi3">
    <w:name w:val="Body Text Indent 3"/>
    <w:basedOn w:val="Normal"/>
    <w:link w:val="GvdeMetniGirintisi3Char"/>
    <w:rsid w:val="00A81419"/>
    <w:pPr>
      <w:tabs>
        <w:tab w:val="left" w:pos="137"/>
      </w:tabs>
      <w:spacing w:after="0" w:line="276" w:lineRule="auto"/>
      <w:ind w:left="137" w:hanging="137"/>
      <w:jc w:val="both"/>
    </w:pPr>
    <w:rPr>
      <w:rFonts w:ascii="Times New Roman" w:eastAsia="Times New Roman" w:hAnsi="Times New Roman" w:cs="Times New Roman"/>
      <w:kern w:val="0"/>
      <w:szCs w:val="24"/>
      <w:lang w:val="en-GB"/>
      <w14:ligatures w14:val="none"/>
    </w:rPr>
  </w:style>
  <w:style w:type="character" w:customStyle="1" w:styleId="GvdeMetniGirintisi3Char">
    <w:name w:val="Gövde Metni Girintisi 3 Char"/>
    <w:basedOn w:val="VarsaylanParagrafYazTipi"/>
    <w:link w:val="GvdeMetniGirintisi3"/>
    <w:rsid w:val="00A81419"/>
    <w:rPr>
      <w:rFonts w:ascii="Times New Roman" w:eastAsia="Times New Roman" w:hAnsi="Times New Roman" w:cs="Times New Roman"/>
      <w:kern w:val="0"/>
      <w:szCs w:val="24"/>
      <w:lang w:val="en-GB"/>
      <w14:ligatures w14:val="none"/>
    </w:rPr>
  </w:style>
  <w:style w:type="paragraph" w:customStyle="1" w:styleId="StandardEnglish">
    <w:name w:val="Standard English"/>
    <w:basedOn w:val="Normal"/>
    <w:rsid w:val="00A81419"/>
    <w:pPr>
      <w:spacing w:before="120" w:after="240" w:line="276" w:lineRule="auto"/>
      <w:jc w:val="both"/>
    </w:pPr>
    <w:rPr>
      <w:rFonts w:ascii="Times New Roman" w:eastAsia="Times New Roman" w:hAnsi="Times New Roman" w:cs="Times New Roman"/>
      <w:kern w:val="0"/>
      <w:sz w:val="24"/>
      <w:szCs w:val="24"/>
      <w:lang w:val="en-GB" w:eastAsia="de-DE"/>
      <w14:ligatures w14:val="none"/>
    </w:rPr>
  </w:style>
  <w:style w:type="paragraph" w:customStyle="1" w:styleId="Heading1notnumbered">
    <w:name w:val="Heading 1 not numbered"/>
    <w:basedOn w:val="Balk1"/>
    <w:next w:val="Normal"/>
    <w:rsid w:val="00A81419"/>
    <w:pPr>
      <w:spacing w:before="0" w:after="240" w:line="360" w:lineRule="auto"/>
      <w:jc w:val="center"/>
    </w:pPr>
    <w:rPr>
      <w:rFonts w:ascii="Arial" w:eastAsia="Times New Roman" w:hAnsi="Arial" w:cs="Times New Roman"/>
      <w:b w:val="0"/>
      <w:bCs/>
      <w:kern w:val="28"/>
      <w:sz w:val="28"/>
      <w:szCs w:val="28"/>
      <w:lang w:val="en-GB" w:eastAsia="zh-CN"/>
      <w14:ligatures w14:val="none"/>
    </w:rPr>
  </w:style>
  <w:style w:type="paragraph" w:customStyle="1" w:styleId="Style9ptRedLeft0cmHanging051cm">
    <w:name w:val="Style 9 pt Red Left:  0 cm Hanging:  051 cm"/>
    <w:basedOn w:val="Normal"/>
    <w:rsid w:val="00A81419"/>
    <w:pPr>
      <w:spacing w:after="0" w:line="276" w:lineRule="auto"/>
      <w:ind w:left="284" w:hanging="284"/>
      <w:jc w:val="both"/>
    </w:pPr>
    <w:rPr>
      <w:rFonts w:ascii="Times New Roman" w:eastAsia="Times New Roman" w:hAnsi="Times New Roman" w:cs="Times New Roman"/>
      <w:color w:val="FF0000"/>
      <w:kern w:val="0"/>
      <w:sz w:val="18"/>
      <w:szCs w:val="24"/>
      <w:lang w:val="en-GB"/>
      <w14:ligatures w14:val="none"/>
    </w:rPr>
  </w:style>
  <w:style w:type="paragraph" w:styleId="GvdeMetniGirintisi">
    <w:name w:val="Body Text Indent"/>
    <w:basedOn w:val="Normal"/>
    <w:link w:val="GvdeMetniGirintisiChar"/>
    <w:rsid w:val="00A81419"/>
    <w:pPr>
      <w:spacing w:after="0" w:line="276" w:lineRule="auto"/>
      <w:ind w:left="2160"/>
      <w:jc w:val="both"/>
    </w:pPr>
    <w:rPr>
      <w:rFonts w:ascii="Arial" w:eastAsia="Times New Roman" w:hAnsi="Arial" w:cs="Times New Roman"/>
      <w:kern w:val="0"/>
      <w:sz w:val="24"/>
      <w:szCs w:val="24"/>
      <w:lang w:val="en-GB"/>
      <w14:ligatures w14:val="none"/>
    </w:rPr>
  </w:style>
  <w:style w:type="character" w:customStyle="1" w:styleId="GvdeMetniGirintisiChar">
    <w:name w:val="Gövde Metni Girintisi Char"/>
    <w:basedOn w:val="VarsaylanParagrafYazTipi"/>
    <w:link w:val="GvdeMetniGirintisi"/>
    <w:rsid w:val="00A81419"/>
    <w:rPr>
      <w:rFonts w:ascii="Arial" w:eastAsia="Times New Roman" w:hAnsi="Arial" w:cs="Times New Roman"/>
      <w:kern w:val="0"/>
      <w:sz w:val="24"/>
      <w:szCs w:val="24"/>
      <w:lang w:val="en-GB"/>
      <w14:ligatures w14:val="none"/>
    </w:rPr>
  </w:style>
  <w:style w:type="paragraph" w:styleId="GvdeMetnilkGirintisi">
    <w:name w:val="Body Text First Indent"/>
    <w:basedOn w:val="GvdeMetnia"/>
    <w:link w:val="GvdeMetnilkGirintisiChar"/>
    <w:rsid w:val="00A81419"/>
    <w:pPr>
      <w:widowControl/>
      <w:autoSpaceDE/>
      <w:autoSpaceDN/>
      <w:spacing w:after="240"/>
      <w:ind w:firstLine="210"/>
    </w:pPr>
    <w:rPr>
      <w:szCs w:val="24"/>
      <w:lang w:val="en-GB"/>
    </w:rPr>
  </w:style>
  <w:style w:type="character" w:customStyle="1" w:styleId="GvdeMetnilkGirintisiChar">
    <w:name w:val="Gövde Metni İlk Girintisi Char"/>
    <w:basedOn w:val="GvdeMetniChar"/>
    <w:link w:val="GvdeMetnilkGirintisi"/>
    <w:rsid w:val="00A81419"/>
    <w:rPr>
      <w:rFonts w:ascii="Times New Roman" w:eastAsia="Times New Roman" w:hAnsi="Times New Roman" w:cs="Times New Roman"/>
      <w:kern w:val="0"/>
      <w:szCs w:val="24"/>
      <w:lang w:val="en-GB"/>
      <w14:ligatures w14:val="none"/>
    </w:rPr>
  </w:style>
  <w:style w:type="paragraph" w:styleId="Kapan">
    <w:name w:val="Closing"/>
    <w:basedOn w:val="Normal"/>
    <w:link w:val="KapanChar"/>
    <w:rsid w:val="00A81419"/>
    <w:pPr>
      <w:spacing w:after="0" w:line="276" w:lineRule="auto"/>
      <w:ind w:left="4320"/>
      <w:jc w:val="both"/>
    </w:pPr>
    <w:rPr>
      <w:rFonts w:ascii="Times New Roman" w:eastAsia="Times New Roman" w:hAnsi="Times New Roman" w:cs="Times New Roman"/>
      <w:kern w:val="0"/>
      <w:szCs w:val="24"/>
      <w:lang w:val="en-GB"/>
      <w14:ligatures w14:val="none"/>
    </w:rPr>
  </w:style>
  <w:style w:type="character" w:customStyle="1" w:styleId="KapanChar">
    <w:name w:val="Kapanış Char"/>
    <w:basedOn w:val="VarsaylanParagrafYazTipi"/>
    <w:link w:val="Kapan"/>
    <w:rsid w:val="00A81419"/>
    <w:rPr>
      <w:rFonts w:ascii="Times New Roman" w:eastAsia="Times New Roman" w:hAnsi="Times New Roman" w:cs="Times New Roman"/>
      <w:kern w:val="0"/>
      <w:szCs w:val="24"/>
      <w:lang w:val="en-GB"/>
      <w14:ligatures w14:val="none"/>
    </w:rPr>
  </w:style>
  <w:style w:type="paragraph" w:styleId="Tarih">
    <w:name w:val="Date"/>
    <w:basedOn w:val="Normal"/>
    <w:next w:val="Normal"/>
    <w:link w:val="TarihChar"/>
    <w:semiHidden/>
    <w:rsid w:val="00A81419"/>
    <w:pPr>
      <w:spacing w:after="0" w:line="276" w:lineRule="auto"/>
      <w:jc w:val="both"/>
    </w:pPr>
    <w:rPr>
      <w:rFonts w:ascii="Times New Roman" w:eastAsia="Times New Roman" w:hAnsi="Times New Roman" w:cs="Times New Roman"/>
      <w:kern w:val="0"/>
      <w:szCs w:val="24"/>
      <w:lang w:val="en-GB"/>
      <w14:ligatures w14:val="none"/>
    </w:rPr>
  </w:style>
  <w:style w:type="character" w:customStyle="1" w:styleId="TarihChar">
    <w:name w:val="Tarih Char"/>
    <w:basedOn w:val="VarsaylanParagrafYazTipi"/>
    <w:link w:val="Tarih"/>
    <w:semiHidden/>
    <w:rsid w:val="00A81419"/>
    <w:rPr>
      <w:rFonts w:ascii="Times New Roman" w:eastAsia="Times New Roman" w:hAnsi="Times New Roman" w:cs="Times New Roman"/>
      <w:kern w:val="0"/>
      <w:szCs w:val="24"/>
      <w:lang w:val="en-GB"/>
      <w14:ligatures w14:val="none"/>
    </w:rPr>
  </w:style>
  <w:style w:type="paragraph" w:styleId="MektupAdresi">
    <w:name w:val="envelope address"/>
    <w:basedOn w:val="Normal"/>
    <w:rsid w:val="00A81419"/>
    <w:pPr>
      <w:framePr w:w="7920" w:h="1980" w:hRule="exact" w:hSpace="180" w:wrap="auto" w:hAnchor="page" w:xAlign="center" w:yAlign="bottom"/>
      <w:spacing w:after="0" w:line="276" w:lineRule="auto"/>
      <w:ind w:left="2880"/>
      <w:jc w:val="both"/>
    </w:pPr>
    <w:rPr>
      <w:rFonts w:ascii="Arial" w:eastAsia="Times New Roman" w:hAnsi="Arial" w:cs="Times New Roman"/>
      <w:kern w:val="0"/>
      <w:sz w:val="24"/>
      <w:szCs w:val="24"/>
      <w:lang w:val="en-GB"/>
      <w14:ligatures w14:val="none"/>
    </w:rPr>
  </w:style>
  <w:style w:type="paragraph" w:styleId="ZarfDn">
    <w:name w:val="envelope return"/>
    <w:basedOn w:val="Normal"/>
    <w:rsid w:val="00A81419"/>
    <w:pPr>
      <w:spacing w:after="0" w:line="276" w:lineRule="auto"/>
      <w:jc w:val="both"/>
    </w:pPr>
    <w:rPr>
      <w:rFonts w:ascii="Arial" w:eastAsia="Times New Roman" w:hAnsi="Arial" w:cs="Times New Roman"/>
      <w:kern w:val="0"/>
      <w:szCs w:val="24"/>
      <w:lang w:val="en-GB"/>
      <w14:ligatures w14:val="none"/>
    </w:rPr>
  </w:style>
  <w:style w:type="paragraph" w:styleId="Dizin2">
    <w:name w:val="index 2"/>
    <w:basedOn w:val="Normal"/>
    <w:next w:val="Normal"/>
    <w:autoRedefine/>
    <w:semiHidden/>
    <w:rsid w:val="00A81419"/>
    <w:pPr>
      <w:spacing w:after="0" w:line="276" w:lineRule="auto"/>
      <w:ind w:left="440" w:hanging="220"/>
      <w:jc w:val="both"/>
    </w:pPr>
    <w:rPr>
      <w:rFonts w:ascii="Times New Roman" w:eastAsia="Times New Roman" w:hAnsi="Times New Roman" w:cs="Times New Roman"/>
      <w:kern w:val="0"/>
      <w:szCs w:val="24"/>
      <w:lang w:val="en-GB"/>
      <w14:ligatures w14:val="none"/>
    </w:rPr>
  </w:style>
  <w:style w:type="paragraph" w:styleId="Dizin3">
    <w:name w:val="index 3"/>
    <w:basedOn w:val="Normal"/>
    <w:next w:val="Normal"/>
    <w:autoRedefine/>
    <w:semiHidden/>
    <w:rsid w:val="00A81419"/>
    <w:pPr>
      <w:spacing w:after="0" w:line="276" w:lineRule="auto"/>
      <w:ind w:left="660" w:hanging="220"/>
      <w:jc w:val="both"/>
    </w:pPr>
    <w:rPr>
      <w:rFonts w:ascii="Times New Roman" w:eastAsia="Times New Roman" w:hAnsi="Times New Roman" w:cs="Times New Roman"/>
      <w:kern w:val="0"/>
      <w:szCs w:val="24"/>
      <w:lang w:val="en-GB"/>
      <w14:ligatures w14:val="none"/>
    </w:rPr>
  </w:style>
  <w:style w:type="paragraph" w:styleId="Dizin4">
    <w:name w:val="index 4"/>
    <w:basedOn w:val="Normal"/>
    <w:next w:val="Normal"/>
    <w:autoRedefine/>
    <w:semiHidden/>
    <w:rsid w:val="00A81419"/>
    <w:pPr>
      <w:spacing w:after="0" w:line="276" w:lineRule="auto"/>
      <w:ind w:left="880" w:hanging="220"/>
      <w:jc w:val="both"/>
    </w:pPr>
    <w:rPr>
      <w:rFonts w:ascii="Times New Roman" w:eastAsia="Times New Roman" w:hAnsi="Times New Roman" w:cs="Times New Roman"/>
      <w:kern w:val="0"/>
      <w:szCs w:val="24"/>
      <w:lang w:val="en-GB"/>
      <w14:ligatures w14:val="none"/>
    </w:rPr>
  </w:style>
  <w:style w:type="paragraph" w:styleId="Dizin5">
    <w:name w:val="index 5"/>
    <w:basedOn w:val="Normal"/>
    <w:next w:val="Normal"/>
    <w:autoRedefine/>
    <w:semiHidden/>
    <w:rsid w:val="00A81419"/>
    <w:pPr>
      <w:spacing w:after="0" w:line="276" w:lineRule="auto"/>
      <w:ind w:left="1100" w:hanging="220"/>
      <w:jc w:val="both"/>
    </w:pPr>
    <w:rPr>
      <w:rFonts w:ascii="Times New Roman" w:eastAsia="Times New Roman" w:hAnsi="Times New Roman" w:cs="Times New Roman"/>
      <w:kern w:val="0"/>
      <w:szCs w:val="24"/>
      <w:lang w:val="en-GB"/>
      <w14:ligatures w14:val="none"/>
    </w:rPr>
  </w:style>
  <w:style w:type="paragraph" w:styleId="Dizin6">
    <w:name w:val="index 6"/>
    <w:basedOn w:val="Normal"/>
    <w:next w:val="Normal"/>
    <w:autoRedefine/>
    <w:semiHidden/>
    <w:rsid w:val="00A81419"/>
    <w:pPr>
      <w:spacing w:after="0" w:line="276" w:lineRule="auto"/>
      <w:ind w:left="1320" w:hanging="220"/>
      <w:jc w:val="both"/>
    </w:pPr>
    <w:rPr>
      <w:rFonts w:ascii="Times New Roman" w:eastAsia="Times New Roman" w:hAnsi="Times New Roman" w:cs="Times New Roman"/>
      <w:kern w:val="0"/>
      <w:szCs w:val="24"/>
      <w:lang w:val="en-GB"/>
      <w14:ligatures w14:val="none"/>
    </w:rPr>
  </w:style>
  <w:style w:type="paragraph" w:styleId="Dizin7">
    <w:name w:val="index 7"/>
    <w:basedOn w:val="Normal"/>
    <w:next w:val="Normal"/>
    <w:autoRedefine/>
    <w:semiHidden/>
    <w:rsid w:val="00A81419"/>
    <w:pPr>
      <w:spacing w:after="0" w:line="276" w:lineRule="auto"/>
      <w:ind w:left="1540" w:hanging="220"/>
      <w:jc w:val="both"/>
    </w:pPr>
    <w:rPr>
      <w:rFonts w:ascii="Times New Roman" w:eastAsia="Times New Roman" w:hAnsi="Times New Roman" w:cs="Times New Roman"/>
      <w:kern w:val="0"/>
      <w:szCs w:val="24"/>
      <w:lang w:val="en-GB"/>
      <w14:ligatures w14:val="none"/>
    </w:rPr>
  </w:style>
  <w:style w:type="paragraph" w:styleId="Dizin8">
    <w:name w:val="index 8"/>
    <w:basedOn w:val="Normal"/>
    <w:next w:val="Normal"/>
    <w:autoRedefine/>
    <w:semiHidden/>
    <w:rsid w:val="00A81419"/>
    <w:pPr>
      <w:spacing w:after="0" w:line="276" w:lineRule="auto"/>
      <w:ind w:left="1760" w:hanging="220"/>
      <w:jc w:val="both"/>
    </w:pPr>
    <w:rPr>
      <w:rFonts w:ascii="Times New Roman" w:eastAsia="Times New Roman" w:hAnsi="Times New Roman" w:cs="Times New Roman"/>
      <w:kern w:val="0"/>
      <w:szCs w:val="24"/>
      <w:lang w:val="en-GB"/>
      <w14:ligatures w14:val="none"/>
    </w:rPr>
  </w:style>
  <w:style w:type="paragraph" w:styleId="Dizin9">
    <w:name w:val="index 9"/>
    <w:basedOn w:val="Normal"/>
    <w:next w:val="Normal"/>
    <w:autoRedefine/>
    <w:semiHidden/>
    <w:rsid w:val="00A81419"/>
    <w:pPr>
      <w:spacing w:after="0" w:line="276" w:lineRule="auto"/>
      <w:ind w:left="1980" w:hanging="220"/>
      <w:jc w:val="both"/>
    </w:pPr>
    <w:rPr>
      <w:rFonts w:ascii="Times New Roman" w:eastAsia="Times New Roman" w:hAnsi="Times New Roman" w:cs="Times New Roman"/>
      <w:kern w:val="0"/>
      <w:szCs w:val="24"/>
      <w:lang w:val="en-GB"/>
      <w14:ligatures w14:val="none"/>
    </w:rPr>
  </w:style>
  <w:style w:type="paragraph" w:styleId="Liste">
    <w:name w:val="List"/>
    <w:basedOn w:val="Normal"/>
    <w:semiHidden/>
    <w:rsid w:val="00A81419"/>
    <w:pPr>
      <w:spacing w:after="0" w:line="276" w:lineRule="auto"/>
      <w:ind w:left="283" w:hanging="283"/>
      <w:jc w:val="both"/>
    </w:pPr>
    <w:rPr>
      <w:rFonts w:ascii="Times New Roman" w:eastAsia="Times New Roman" w:hAnsi="Times New Roman" w:cs="Times New Roman"/>
      <w:kern w:val="0"/>
      <w:szCs w:val="24"/>
      <w:lang w:val="en-GB"/>
      <w14:ligatures w14:val="none"/>
    </w:rPr>
  </w:style>
  <w:style w:type="paragraph" w:styleId="Liste3">
    <w:name w:val="List 3"/>
    <w:basedOn w:val="Normal"/>
    <w:semiHidden/>
    <w:rsid w:val="00A81419"/>
    <w:pPr>
      <w:spacing w:after="0" w:line="276" w:lineRule="auto"/>
      <w:ind w:left="849" w:hanging="283"/>
      <w:jc w:val="both"/>
    </w:pPr>
    <w:rPr>
      <w:rFonts w:ascii="Times New Roman" w:eastAsia="Times New Roman" w:hAnsi="Times New Roman" w:cs="Times New Roman"/>
      <w:kern w:val="0"/>
      <w:szCs w:val="24"/>
      <w:lang w:val="en-GB"/>
      <w14:ligatures w14:val="none"/>
    </w:rPr>
  </w:style>
  <w:style w:type="paragraph" w:styleId="Liste4">
    <w:name w:val="List 4"/>
    <w:basedOn w:val="Normal"/>
    <w:semiHidden/>
    <w:rsid w:val="00A81419"/>
    <w:pPr>
      <w:spacing w:after="0" w:line="276" w:lineRule="auto"/>
      <w:ind w:left="1132" w:hanging="283"/>
      <w:jc w:val="both"/>
    </w:pPr>
    <w:rPr>
      <w:rFonts w:ascii="Times New Roman" w:eastAsia="Times New Roman" w:hAnsi="Times New Roman" w:cs="Times New Roman"/>
      <w:kern w:val="0"/>
      <w:szCs w:val="24"/>
      <w:lang w:val="en-GB"/>
      <w14:ligatures w14:val="none"/>
    </w:rPr>
  </w:style>
  <w:style w:type="paragraph" w:styleId="Liste5">
    <w:name w:val="List 5"/>
    <w:basedOn w:val="Normal"/>
    <w:semiHidden/>
    <w:rsid w:val="00A81419"/>
    <w:pPr>
      <w:spacing w:after="0" w:line="276" w:lineRule="auto"/>
      <w:ind w:left="1415" w:hanging="283"/>
      <w:jc w:val="both"/>
    </w:pPr>
    <w:rPr>
      <w:rFonts w:ascii="Times New Roman" w:eastAsia="Times New Roman" w:hAnsi="Times New Roman" w:cs="Times New Roman"/>
      <w:kern w:val="0"/>
      <w:szCs w:val="24"/>
      <w:lang w:val="en-GB"/>
      <w14:ligatures w14:val="none"/>
    </w:rPr>
  </w:style>
  <w:style w:type="paragraph" w:customStyle="1" w:styleId="ListBullet1">
    <w:name w:val="List Bullet 1"/>
    <w:basedOn w:val="Normal"/>
    <w:rsid w:val="00A81419"/>
    <w:pPr>
      <w:tabs>
        <w:tab w:val="num" w:pos="765"/>
      </w:tabs>
      <w:spacing w:after="240" w:line="276" w:lineRule="auto"/>
      <w:ind w:left="765" w:hanging="283"/>
      <w:jc w:val="both"/>
    </w:pPr>
    <w:rPr>
      <w:rFonts w:ascii="Times New Roman" w:eastAsia="Times New Roman" w:hAnsi="Times New Roman" w:cs="Times New Roman"/>
      <w:kern w:val="0"/>
      <w:sz w:val="24"/>
      <w:szCs w:val="24"/>
      <w:lang w:val="en-GB"/>
      <w14:ligatures w14:val="none"/>
    </w:rPr>
  </w:style>
  <w:style w:type="paragraph" w:styleId="ListeMaddemi2">
    <w:name w:val="List Bullet 2"/>
    <w:basedOn w:val="Normal"/>
    <w:semiHidden/>
    <w:rsid w:val="00A81419"/>
    <w:pPr>
      <w:numPr>
        <w:numId w:val="67"/>
      </w:numPr>
      <w:spacing w:after="0" w:line="276" w:lineRule="auto"/>
      <w:jc w:val="both"/>
    </w:pPr>
    <w:rPr>
      <w:rFonts w:ascii="Times New Roman" w:eastAsia="Times New Roman" w:hAnsi="Times New Roman" w:cs="Times New Roman"/>
      <w:kern w:val="0"/>
      <w:szCs w:val="24"/>
      <w:lang w:val="en-GB"/>
      <w14:ligatures w14:val="none"/>
    </w:rPr>
  </w:style>
  <w:style w:type="paragraph" w:styleId="ListeMaddemi3">
    <w:name w:val="List Bullet 3"/>
    <w:basedOn w:val="Normal"/>
    <w:semiHidden/>
    <w:rsid w:val="00A81419"/>
    <w:pPr>
      <w:numPr>
        <w:numId w:val="68"/>
      </w:numPr>
      <w:spacing w:after="0" w:line="276" w:lineRule="auto"/>
      <w:jc w:val="both"/>
    </w:pPr>
    <w:rPr>
      <w:rFonts w:ascii="Times New Roman" w:eastAsia="Times New Roman" w:hAnsi="Times New Roman" w:cs="Times New Roman"/>
      <w:kern w:val="0"/>
      <w:szCs w:val="24"/>
      <w:lang w:val="en-GB"/>
      <w14:ligatures w14:val="none"/>
    </w:rPr>
  </w:style>
  <w:style w:type="paragraph" w:styleId="ListeMaddemi4">
    <w:name w:val="List Bullet 4"/>
    <w:basedOn w:val="Normal"/>
    <w:semiHidden/>
    <w:rsid w:val="00A81419"/>
    <w:pPr>
      <w:numPr>
        <w:numId w:val="69"/>
      </w:numPr>
      <w:spacing w:after="0" w:line="276" w:lineRule="auto"/>
      <w:jc w:val="both"/>
    </w:pPr>
    <w:rPr>
      <w:rFonts w:ascii="Times New Roman" w:eastAsia="Times New Roman" w:hAnsi="Times New Roman" w:cs="Times New Roman"/>
      <w:kern w:val="0"/>
      <w:szCs w:val="24"/>
      <w:lang w:val="en-GB"/>
      <w14:ligatures w14:val="none"/>
    </w:rPr>
  </w:style>
  <w:style w:type="paragraph" w:styleId="ListeMaddemi5">
    <w:name w:val="List Bullet 5"/>
    <w:basedOn w:val="Normal"/>
    <w:semiHidden/>
    <w:rsid w:val="00A81419"/>
    <w:pPr>
      <w:numPr>
        <w:numId w:val="70"/>
      </w:numPr>
      <w:spacing w:after="0" w:line="276" w:lineRule="auto"/>
      <w:jc w:val="both"/>
    </w:pPr>
    <w:rPr>
      <w:rFonts w:ascii="Times New Roman" w:eastAsia="Times New Roman" w:hAnsi="Times New Roman" w:cs="Times New Roman"/>
      <w:kern w:val="0"/>
      <w:szCs w:val="24"/>
      <w:lang w:val="en-GB"/>
      <w14:ligatures w14:val="none"/>
    </w:rPr>
  </w:style>
  <w:style w:type="paragraph" w:styleId="ListeDevam">
    <w:name w:val="List Continue"/>
    <w:basedOn w:val="Normal"/>
    <w:semiHidden/>
    <w:rsid w:val="00A81419"/>
    <w:pPr>
      <w:spacing w:after="240" w:line="276" w:lineRule="auto"/>
      <w:ind w:left="283"/>
      <w:jc w:val="both"/>
    </w:pPr>
    <w:rPr>
      <w:rFonts w:ascii="Times New Roman" w:eastAsia="Times New Roman" w:hAnsi="Times New Roman" w:cs="Times New Roman"/>
      <w:kern w:val="0"/>
      <w:szCs w:val="24"/>
      <w:lang w:val="en-GB"/>
      <w14:ligatures w14:val="none"/>
    </w:rPr>
  </w:style>
  <w:style w:type="paragraph" w:styleId="ListeDevam2">
    <w:name w:val="List Continue 2"/>
    <w:basedOn w:val="Normal"/>
    <w:semiHidden/>
    <w:rsid w:val="00A81419"/>
    <w:pPr>
      <w:spacing w:after="240" w:line="276" w:lineRule="auto"/>
      <w:ind w:left="566"/>
      <w:jc w:val="both"/>
    </w:pPr>
    <w:rPr>
      <w:rFonts w:ascii="Times New Roman" w:eastAsia="Times New Roman" w:hAnsi="Times New Roman" w:cs="Times New Roman"/>
      <w:kern w:val="0"/>
      <w:szCs w:val="24"/>
      <w:lang w:val="en-GB"/>
      <w14:ligatures w14:val="none"/>
    </w:rPr>
  </w:style>
  <w:style w:type="paragraph" w:styleId="ListeDevam3">
    <w:name w:val="List Continue 3"/>
    <w:basedOn w:val="Normal"/>
    <w:semiHidden/>
    <w:rsid w:val="00A81419"/>
    <w:pPr>
      <w:spacing w:after="240" w:line="276" w:lineRule="auto"/>
      <w:ind w:left="849"/>
      <w:jc w:val="both"/>
    </w:pPr>
    <w:rPr>
      <w:rFonts w:ascii="Times New Roman" w:eastAsia="Times New Roman" w:hAnsi="Times New Roman" w:cs="Times New Roman"/>
      <w:kern w:val="0"/>
      <w:szCs w:val="24"/>
      <w:lang w:val="en-GB"/>
      <w14:ligatures w14:val="none"/>
    </w:rPr>
  </w:style>
  <w:style w:type="paragraph" w:styleId="ListeDevam4">
    <w:name w:val="List Continue 4"/>
    <w:basedOn w:val="Normal"/>
    <w:semiHidden/>
    <w:rsid w:val="00A81419"/>
    <w:pPr>
      <w:spacing w:after="240" w:line="276" w:lineRule="auto"/>
      <w:ind w:left="1132"/>
      <w:jc w:val="both"/>
    </w:pPr>
    <w:rPr>
      <w:rFonts w:ascii="Times New Roman" w:eastAsia="Times New Roman" w:hAnsi="Times New Roman" w:cs="Times New Roman"/>
      <w:kern w:val="0"/>
      <w:szCs w:val="24"/>
      <w:lang w:val="en-GB"/>
      <w14:ligatures w14:val="none"/>
    </w:rPr>
  </w:style>
  <w:style w:type="paragraph" w:styleId="ListeDevam5">
    <w:name w:val="List Continue 5"/>
    <w:basedOn w:val="Normal"/>
    <w:semiHidden/>
    <w:rsid w:val="00A81419"/>
    <w:pPr>
      <w:spacing w:after="240" w:line="276" w:lineRule="auto"/>
      <w:ind w:left="1415"/>
      <w:jc w:val="both"/>
    </w:pPr>
    <w:rPr>
      <w:rFonts w:ascii="Times New Roman" w:eastAsia="Times New Roman" w:hAnsi="Times New Roman" w:cs="Times New Roman"/>
      <w:kern w:val="0"/>
      <w:szCs w:val="24"/>
      <w:lang w:val="en-GB"/>
      <w14:ligatures w14:val="none"/>
    </w:rPr>
  </w:style>
  <w:style w:type="paragraph" w:styleId="ListeNumaras">
    <w:name w:val="List Number"/>
    <w:basedOn w:val="Normal"/>
    <w:semiHidden/>
    <w:rsid w:val="00A81419"/>
    <w:pPr>
      <w:numPr>
        <w:numId w:val="71"/>
      </w:numPr>
      <w:spacing w:after="0" w:line="276" w:lineRule="auto"/>
      <w:jc w:val="both"/>
    </w:pPr>
    <w:rPr>
      <w:rFonts w:ascii="Times New Roman" w:eastAsia="Times New Roman" w:hAnsi="Times New Roman" w:cs="Times New Roman"/>
      <w:kern w:val="0"/>
      <w:szCs w:val="24"/>
      <w:lang w:val="en-GB"/>
      <w14:ligatures w14:val="none"/>
    </w:rPr>
  </w:style>
  <w:style w:type="paragraph" w:customStyle="1" w:styleId="ListNumber1">
    <w:name w:val="List Number 1"/>
    <w:basedOn w:val="Normal"/>
    <w:rsid w:val="00A81419"/>
    <w:pPr>
      <w:tabs>
        <w:tab w:val="num" w:pos="1191"/>
      </w:tabs>
      <w:spacing w:after="240" w:line="276" w:lineRule="auto"/>
      <w:ind w:left="1191" w:hanging="709"/>
      <w:jc w:val="both"/>
    </w:pPr>
    <w:rPr>
      <w:rFonts w:ascii="Times New Roman" w:eastAsia="Times New Roman" w:hAnsi="Times New Roman" w:cs="Times New Roman"/>
      <w:kern w:val="0"/>
      <w:sz w:val="24"/>
      <w:szCs w:val="24"/>
      <w:lang w:val="en-GB"/>
      <w14:ligatures w14:val="none"/>
    </w:rPr>
  </w:style>
  <w:style w:type="paragraph" w:styleId="ListeNumaras2">
    <w:name w:val="List Number 2"/>
    <w:basedOn w:val="Normal"/>
    <w:semiHidden/>
    <w:rsid w:val="00A81419"/>
    <w:pPr>
      <w:numPr>
        <w:numId w:val="72"/>
      </w:numPr>
      <w:spacing w:after="0" w:line="276" w:lineRule="auto"/>
      <w:jc w:val="both"/>
    </w:pPr>
    <w:rPr>
      <w:rFonts w:ascii="Times New Roman" w:eastAsia="Times New Roman" w:hAnsi="Times New Roman" w:cs="Times New Roman"/>
      <w:kern w:val="0"/>
      <w:szCs w:val="24"/>
      <w:lang w:val="en-GB"/>
      <w14:ligatures w14:val="none"/>
    </w:rPr>
  </w:style>
  <w:style w:type="paragraph" w:styleId="ListeNumaras3">
    <w:name w:val="List Number 3"/>
    <w:basedOn w:val="Normal"/>
    <w:semiHidden/>
    <w:rsid w:val="00A81419"/>
    <w:pPr>
      <w:numPr>
        <w:numId w:val="73"/>
      </w:numPr>
      <w:spacing w:after="0" w:line="276" w:lineRule="auto"/>
      <w:jc w:val="both"/>
    </w:pPr>
    <w:rPr>
      <w:rFonts w:ascii="Times New Roman" w:eastAsia="Times New Roman" w:hAnsi="Times New Roman" w:cs="Times New Roman"/>
      <w:kern w:val="0"/>
      <w:szCs w:val="24"/>
      <w:lang w:val="en-GB"/>
      <w14:ligatures w14:val="none"/>
    </w:rPr>
  </w:style>
  <w:style w:type="paragraph" w:styleId="ListeNumaras4">
    <w:name w:val="List Number 4"/>
    <w:basedOn w:val="Normal"/>
    <w:semiHidden/>
    <w:rsid w:val="00A81419"/>
    <w:pPr>
      <w:numPr>
        <w:numId w:val="74"/>
      </w:numPr>
      <w:spacing w:after="0" w:line="276" w:lineRule="auto"/>
      <w:jc w:val="both"/>
    </w:pPr>
    <w:rPr>
      <w:rFonts w:ascii="Times New Roman" w:eastAsia="Times New Roman" w:hAnsi="Times New Roman" w:cs="Times New Roman"/>
      <w:kern w:val="0"/>
      <w:szCs w:val="24"/>
      <w:lang w:val="en-GB"/>
      <w14:ligatures w14:val="none"/>
    </w:rPr>
  </w:style>
  <w:style w:type="paragraph" w:styleId="ListeNumaras5">
    <w:name w:val="List Number 5"/>
    <w:basedOn w:val="Normal"/>
    <w:semiHidden/>
    <w:rsid w:val="00A81419"/>
    <w:pPr>
      <w:numPr>
        <w:numId w:val="75"/>
      </w:numPr>
      <w:spacing w:after="0" w:line="276" w:lineRule="auto"/>
      <w:jc w:val="both"/>
    </w:pPr>
    <w:rPr>
      <w:rFonts w:ascii="Times New Roman" w:eastAsia="Times New Roman" w:hAnsi="Times New Roman" w:cs="Times New Roman"/>
      <w:kern w:val="0"/>
      <w:szCs w:val="24"/>
      <w:lang w:val="en-GB"/>
      <w14:ligatures w14:val="none"/>
    </w:rPr>
  </w:style>
  <w:style w:type="paragraph" w:styleId="MakroMetni">
    <w:name w:val="macro"/>
    <w:link w:val="MakroMetniChar"/>
    <w:semiHidden/>
    <w:rsid w:val="00A8141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kern w:val="0"/>
      <w:sz w:val="20"/>
      <w:szCs w:val="20"/>
      <w:lang w:val="en-GB"/>
      <w14:ligatures w14:val="none"/>
    </w:rPr>
  </w:style>
  <w:style w:type="character" w:customStyle="1" w:styleId="MakroMetniChar">
    <w:name w:val="Makro Metni Char"/>
    <w:basedOn w:val="VarsaylanParagrafYazTipi"/>
    <w:link w:val="MakroMetni"/>
    <w:semiHidden/>
    <w:rsid w:val="00A81419"/>
    <w:rPr>
      <w:rFonts w:ascii="Courier New" w:eastAsia="Times New Roman" w:hAnsi="Courier New" w:cs="Times New Roman"/>
      <w:kern w:val="0"/>
      <w:sz w:val="20"/>
      <w:szCs w:val="20"/>
      <w:lang w:val="en-GB"/>
      <w14:ligatures w14:val="none"/>
    </w:rPr>
  </w:style>
  <w:style w:type="paragraph" w:styleId="NormalGirinti">
    <w:name w:val="Normal Indent"/>
    <w:basedOn w:val="Normal"/>
    <w:semiHidden/>
    <w:rsid w:val="00A81419"/>
    <w:pPr>
      <w:spacing w:after="0" w:line="276" w:lineRule="auto"/>
      <w:ind w:left="720"/>
      <w:jc w:val="both"/>
    </w:pPr>
    <w:rPr>
      <w:rFonts w:ascii="Times New Roman" w:eastAsia="Times New Roman" w:hAnsi="Times New Roman" w:cs="Times New Roman"/>
      <w:kern w:val="0"/>
      <w:szCs w:val="24"/>
      <w:lang w:val="en-GB"/>
      <w14:ligatures w14:val="none"/>
    </w:rPr>
  </w:style>
  <w:style w:type="paragraph" w:styleId="NotBal">
    <w:name w:val="Note Heading"/>
    <w:basedOn w:val="Normal"/>
    <w:next w:val="Normal"/>
    <w:link w:val="NotBalChar"/>
    <w:semiHidden/>
    <w:rsid w:val="00A81419"/>
    <w:pPr>
      <w:spacing w:after="0" w:line="276" w:lineRule="auto"/>
      <w:jc w:val="both"/>
    </w:pPr>
    <w:rPr>
      <w:rFonts w:ascii="Times New Roman" w:eastAsia="Times New Roman" w:hAnsi="Times New Roman" w:cs="Times New Roman"/>
      <w:kern w:val="0"/>
      <w:szCs w:val="24"/>
      <w:lang w:val="en-GB"/>
      <w14:ligatures w14:val="none"/>
    </w:rPr>
  </w:style>
  <w:style w:type="character" w:customStyle="1" w:styleId="NotBalChar">
    <w:name w:val="Not Başlığı Char"/>
    <w:basedOn w:val="VarsaylanParagrafYazTipi"/>
    <w:link w:val="NotBal"/>
    <w:semiHidden/>
    <w:rsid w:val="00A81419"/>
    <w:rPr>
      <w:rFonts w:ascii="Times New Roman" w:eastAsia="Times New Roman" w:hAnsi="Times New Roman" w:cs="Times New Roman"/>
      <w:kern w:val="0"/>
      <w:szCs w:val="24"/>
      <w:lang w:val="en-GB"/>
      <w14:ligatures w14:val="none"/>
    </w:rPr>
  </w:style>
  <w:style w:type="paragraph" w:styleId="Selamlama">
    <w:name w:val="Salutation"/>
    <w:basedOn w:val="Normal"/>
    <w:next w:val="Normal"/>
    <w:link w:val="SelamlamaChar"/>
    <w:semiHidden/>
    <w:rsid w:val="00A81419"/>
    <w:pPr>
      <w:spacing w:after="0" w:line="276" w:lineRule="auto"/>
      <w:jc w:val="both"/>
    </w:pPr>
    <w:rPr>
      <w:rFonts w:ascii="Times New Roman" w:eastAsia="Times New Roman" w:hAnsi="Times New Roman" w:cs="Times New Roman"/>
      <w:kern w:val="0"/>
      <w:szCs w:val="24"/>
      <w:lang w:val="en-GB"/>
      <w14:ligatures w14:val="none"/>
    </w:rPr>
  </w:style>
  <w:style w:type="character" w:customStyle="1" w:styleId="SelamlamaChar">
    <w:name w:val="Selamlama Char"/>
    <w:basedOn w:val="VarsaylanParagrafYazTipi"/>
    <w:link w:val="Selamlama"/>
    <w:semiHidden/>
    <w:rsid w:val="00A81419"/>
    <w:rPr>
      <w:rFonts w:ascii="Times New Roman" w:eastAsia="Times New Roman" w:hAnsi="Times New Roman" w:cs="Times New Roman"/>
      <w:kern w:val="0"/>
      <w:szCs w:val="24"/>
      <w:lang w:val="en-GB"/>
      <w14:ligatures w14:val="none"/>
    </w:rPr>
  </w:style>
  <w:style w:type="paragraph" w:styleId="mza">
    <w:name w:val="Signature"/>
    <w:basedOn w:val="Normal"/>
    <w:link w:val="mzaChar"/>
    <w:semiHidden/>
    <w:rsid w:val="00A81419"/>
    <w:pPr>
      <w:spacing w:after="0" w:line="276" w:lineRule="auto"/>
      <w:ind w:left="4252"/>
      <w:jc w:val="both"/>
    </w:pPr>
    <w:rPr>
      <w:rFonts w:ascii="Times New Roman" w:eastAsia="Times New Roman" w:hAnsi="Times New Roman" w:cs="Times New Roman"/>
      <w:kern w:val="0"/>
      <w:szCs w:val="24"/>
      <w:lang w:val="en-GB"/>
      <w14:ligatures w14:val="none"/>
    </w:rPr>
  </w:style>
  <w:style w:type="character" w:customStyle="1" w:styleId="mzaChar">
    <w:name w:val="İmza Char"/>
    <w:basedOn w:val="VarsaylanParagrafYazTipi"/>
    <w:link w:val="mza"/>
    <w:semiHidden/>
    <w:rsid w:val="00A81419"/>
    <w:rPr>
      <w:rFonts w:ascii="Times New Roman" w:eastAsia="Times New Roman" w:hAnsi="Times New Roman" w:cs="Times New Roman"/>
      <w:kern w:val="0"/>
      <w:szCs w:val="24"/>
      <w:lang w:val="en-GB"/>
      <w14:ligatures w14:val="none"/>
    </w:rPr>
  </w:style>
  <w:style w:type="paragraph" w:customStyle="1" w:styleId="StandardWeb">
    <w:name w:val="Standard (Web)"/>
    <w:basedOn w:val="Normal"/>
    <w:rsid w:val="00A81419"/>
    <w:pPr>
      <w:spacing w:before="100" w:after="100" w:line="276" w:lineRule="auto"/>
      <w:jc w:val="both"/>
    </w:pPr>
    <w:rPr>
      <w:rFonts w:ascii="Times New Roman" w:eastAsia="Times New Roman" w:hAnsi="Times New Roman" w:cs="Times New Roman"/>
      <w:kern w:val="0"/>
      <w:szCs w:val="24"/>
      <w:lang w:val="en-GB"/>
      <w14:ligatures w14:val="none"/>
    </w:rPr>
  </w:style>
  <w:style w:type="paragraph" w:styleId="Kaynaka">
    <w:name w:val="table of authorities"/>
    <w:basedOn w:val="Normal"/>
    <w:next w:val="Normal"/>
    <w:semiHidden/>
    <w:rsid w:val="00A81419"/>
    <w:pPr>
      <w:spacing w:after="0" w:line="276" w:lineRule="auto"/>
      <w:ind w:left="220" w:hanging="220"/>
      <w:jc w:val="both"/>
    </w:pPr>
    <w:rPr>
      <w:rFonts w:ascii="Times New Roman" w:eastAsia="Times New Roman" w:hAnsi="Times New Roman" w:cs="Times New Roman"/>
      <w:kern w:val="0"/>
      <w:szCs w:val="24"/>
      <w:lang w:val="en-GB"/>
      <w14:ligatures w14:val="none"/>
    </w:rPr>
  </w:style>
  <w:style w:type="paragraph" w:styleId="KaynakaBal">
    <w:name w:val="toa heading"/>
    <w:basedOn w:val="Normal"/>
    <w:next w:val="Normal"/>
    <w:semiHidden/>
    <w:rsid w:val="00A81419"/>
    <w:pPr>
      <w:spacing w:before="120" w:after="0" w:line="276" w:lineRule="auto"/>
      <w:jc w:val="both"/>
    </w:pPr>
    <w:rPr>
      <w:rFonts w:ascii="Arial" w:eastAsia="Times New Roman" w:hAnsi="Arial" w:cs="Times New Roman"/>
      <w:b/>
      <w:kern w:val="0"/>
      <w:sz w:val="24"/>
      <w:szCs w:val="24"/>
      <w:lang w:val="en-GB"/>
      <w14:ligatures w14:val="none"/>
    </w:rPr>
  </w:style>
  <w:style w:type="paragraph" w:customStyle="1" w:styleId="Appendix1">
    <w:name w:val="Appendix 1"/>
    <w:basedOn w:val="Balk1"/>
    <w:next w:val="Normal"/>
    <w:rsid w:val="00A81419"/>
    <w:pPr>
      <w:spacing w:before="0" w:after="0" w:line="360" w:lineRule="auto"/>
      <w:jc w:val="both"/>
    </w:pPr>
    <w:rPr>
      <w:rFonts w:ascii="Arial" w:eastAsia="Times New Roman" w:hAnsi="Arial" w:cs="Times New Roman"/>
      <w:b w:val="0"/>
      <w:caps/>
      <w:kern w:val="28"/>
      <w:sz w:val="28"/>
      <w:szCs w:val="20"/>
      <w:lang w:val="en-US" w:eastAsia="zh-CN"/>
      <w14:ligatures w14:val="none"/>
    </w:rPr>
  </w:style>
  <w:style w:type="paragraph" w:customStyle="1" w:styleId="Appendix2">
    <w:name w:val="Appendix 2"/>
    <w:basedOn w:val="Balk2"/>
    <w:next w:val="Normal"/>
    <w:rsid w:val="00A81419"/>
    <w:pPr>
      <w:pageBreakBefore/>
      <w:spacing w:before="240" w:after="240" w:line="360" w:lineRule="auto"/>
      <w:jc w:val="both"/>
    </w:pPr>
    <w:rPr>
      <w:rFonts w:ascii="Book Antiqua" w:eastAsia="Times New Roman" w:hAnsi="Book Antiqua" w:cs="Times New Roman"/>
      <w:b/>
      <w:i/>
      <w:kern w:val="0"/>
      <w:sz w:val="28"/>
      <w:szCs w:val="24"/>
      <w:lang w:val="en-US" w:eastAsia="zh-CN"/>
      <w14:ligatures w14:val="none"/>
    </w:rPr>
  </w:style>
  <w:style w:type="paragraph" w:customStyle="1" w:styleId="Appendix3">
    <w:name w:val="Appendix 3"/>
    <w:basedOn w:val="Balk3"/>
    <w:next w:val="Normal"/>
    <w:rsid w:val="00A81419"/>
    <w:pPr>
      <w:keepLines w:val="0"/>
      <w:spacing w:before="240" w:after="0" w:line="360" w:lineRule="auto"/>
      <w:jc w:val="both"/>
    </w:pPr>
    <w:rPr>
      <w:rFonts w:ascii="Arial" w:eastAsia="Times New Roman" w:hAnsi="Arial" w:cs="Times New Roman"/>
      <w:b w:val="0"/>
      <w:i/>
      <w:kern w:val="0"/>
      <w:szCs w:val="20"/>
      <w:lang w:val="en-US" w:eastAsia="zh-CN"/>
      <w14:ligatures w14:val="none"/>
    </w:rPr>
  </w:style>
  <w:style w:type="paragraph" w:customStyle="1" w:styleId="Appendix4">
    <w:name w:val="Appendix 4"/>
    <w:basedOn w:val="Balk4"/>
    <w:next w:val="Normal"/>
    <w:rsid w:val="00A81419"/>
    <w:pPr>
      <w:keepLines w:val="0"/>
      <w:pageBreakBefore/>
      <w:spacing w:before="60" w:after="120" w:line="360" w:lineRule="auto"/>
      <w:jc w:val="both"/>
    </w:pPr>
    <w:rPr>
      <w:rFonts w:ascii="Verdana" w:eastAsia="Times New Roman" w:hAnsi="Verdana" w:cs="Times New Roman"/>
      <w:iCs w:val="0"/>
      <w:smallCaps/>
      <w:color w:val="auto"/>
      <w:kern w:val="0"/>
      <w:lang w:val="en-AU" w:eastAsia="zh-CN"/>
      <w14:ligatures w14:val="none"/>
    </w:rPr>
  </w:style>
  <w:style w:type="paragraph" w:customStyle="1" w:styleId="Bullet1">
    <w:name w:val="Bullet1"/>
    <w:basedOn w:val="NormalText"/>
    <w:rsid w:val="00A81419"/>
    <w:pPr>
      <w:numPr>
        <w:numId w:val="64"/>
      </w:numPr>
      <w:tabs>
        <w:tab w:val="clear" w:pos="720"/>
      </w:tabs>
      <w:ind w:left="0" w:firstLine="0"/>
    </w:pPr>
  </w:style>
  <w:style w:type="paragraph" w:customStyle="1" w:styleId="NormalInitial">
    <w:name w:val="Normal Initial"/>
    <w:basedOn w:val="Normal"/>
    <w:next w:val="NormalText"/>
    <w:rsid w:val="00A81419"/>
    <w:pPr>
      <w:spacing w:before="60" w:after="60" w:line="276" w:lineRule="auto"/>
      <w:jc w:val="both"/>
    </w:pPr>
    <w:rPr>
      <w:rFonts w:ascii="Times New Roman" w:eastAsia="Times New Roman" w:hAnsi="Times New Roman" w:cs="Times New Roman"/>
      <w:kern w:val="24"/>
      <w:szCs w:val="24"/>
      <w:lang w:val="en-GB"/>
      <w14:ligatures w14:val="none"/>
    </w:rPr>
  </w:style>
  <w:style w:type="paragraph" w:customStyle="1" w:styleId="Bullet2">
    <w:name w:val="Bullet2"/>
    <w:basedOn w:val="NormalInitial"/>
    <w:rsid w:val="00A81419"/>
    <w:pPr>
      <w:numPr>
        <w:ilvl w:val="1"/>
        <w:numId w:val="64"/>
      </w:numPr>
      <w:tabs>
        <w:tab w:val="left" w:pos="851"/>
      </w:tabs>
    </w:pPr>
  </w:style>
  <w:style w:type="paragraph" w:customStyle="1" w:styleId="CoverTitle">
    <w:name w:val="Cover Title"/>
    <w:basedOn w:val="Normal"/>
    <w:rsid w:val="00A81419"/>
    <w:pPr>
      <w:framePr w:hSpace="181" w:wrap="notBeside" w:hAnchor="margin" w:x="2156" w:y="5671"/>
      <w:spacing w:after="60" w:line="276" w:lineRule="auto"/>
      <w:jc w:val="both"/>
    </w:pPr>
    <w:rPr>
      <w:rFonts w:ascii="Arial Narrow" w:eastAsia="Times New Roman" w:hAnsi="Arial Narrow" w:cs="Times New Roman"/>
      <w:b/>
      <w:smallCaps/>
      <w:kern w:val="28"/>
      <w:sz w:val="56"/>
      <w:szCs w:val="24"/>
      <w:lang w:val="en-GB"/>
      <w14:ligatures w14:val="none"/>
    </w:rPr>
  </w:style>
  <w:style w:type="paragraph" w:customStyle="1" w:styleId="CoverType">
    <w:name w:val="Cover Type"/>
    <w:basedOn w:val="Normal"/>
    <w:rsid w:val="00A81419"/>
    <w:pPr>
      <w:framePr w:hSpace="181" w:wrap="notBeside" w:hAnchor="margin" w:x="2156" w:y="5671"/>
      <w:spacing w:before="120" w:after="0" w:line="276" w:lineRule="auto"/>
      <w:jc w:val="both"/>
    </w:pPr>
    <w:rPr>
      <w:rFonts w:ascii="Arial Narrow" w:eastAsia="Times New Roman" w:hAnsi="Arial Narrow" w:cs="Times New Roman"/>
      <w:kern w:val="28"/>
      <w:sz w:val="48"/>
      <w:szCs w:val="24"/>
      <w:lang w:val="en-GB"/>
      <w14:ligatures w14:val="none"/>
    </w:rPr>
  </w:style>
  <w:style w:type="paragraph" w:customStyle="1" w:styleId="HeadingTOC">
    <w:name w:val="Heading TOC"/>
    <w:basedOn w:val="Normal"/>
    <w:next w:val="Normal"/>
    <w:rsid w:val="00A81419"/>
    <w:pPr>
      <w:keepNext/>
      <w:keepLines/>
      <w:pageBreakBefore/>
      <w:spacing w:before="680" w:after="60" w:line="276" w:lineRule="auto"/>
      <w:jc w:val="both"/>
    </w:pPr>
    <w:rPr>
      <w:rFonts w:ascii="Century Gothic" w:eastAsia="Times New Roman" w:hAnsi="Century Gothic" w:cs="Times New Roman"/>
      <w:caps/>
      <w:kern w:val="28"/>
      <w:sz w:val="28"/>
      <w:szCs w:val="24"/>
      <w:lang w:val="en-GB"/>
      <w14:ligatures w14:val="none"/>
    </w:rPr>
  </w:style>
  <w:style w:type="paragraph" w:customStyle="1" w:styleId="Overview">
    <w:name w:val="Overview"/>
    <w:basedOn w:val="NormalInitial"/>
    <w:rsid w:val="00A81419"/>
    <w:pPr>
      <w:jc w:val="left"/>
    </w:pPr>
    <w:rPr>
      <w:b/>
      <w:i/>
      <w:sz w:val="24"/>
    </w:rPr>
  </w:style>
  <w:style w:type="paragraph" w:customStyle="1" w:styleId="ExecutiveSummarylevel2nonumber">
    <w:name w:val="Executive Summary level 2 no number"/>
    <w:basedOn w:val="ExecutiveSummarylevel2"/>
    <w:link w:val="ExecutiveSummarylevel2nonumberChar"/>
    <w:rsid w:val="00A81419"/>
    <w:pPr>
      <w:ind w:left="510" w:firstLine="0"/>
    </w:pPr>
  </w:style>
  <w:style w:type="paragraph" w:customStyle="1" w:styleId="MyHeading1">
    <w:name w:val="MyHeading 1"/>
    <w:basedOn w:val="Normal"/>
    <w:rsid w:val="00A81419"/>
    <w:pPr>
      <w:spacing w:after="0" w:line="276" w:lineRule="auto"/>
      <w:jc w:val="both"/>
    </w:pPr>
    <w:rPr>
      <w:rFonts w:ascii="Times New Roman" w:eastAsia="Times New Roman" w:hAnsi="Times New Roman" w:cs="Times New Roman"/>
      <w:kern w:val="0"/>
      <w:szCs w:val="24"/>
      <w:lang w:val="en-GB"/>
      <w14:ligatures w14:val="none"/>
    </w:rPr>
  </w:style>
  <w:style w:type="paragraph" w:customStyle="1" w:styleId="NormalItem">
    <w:name w:val="Normal Item"/>
    <w:basedOn w:val="Normal"/>
    <w:rsid w:val="00A81419"/>
    <w:pPr>
      <w:numPr>
        <w:numId w:val="76"/>
      </w:numPr>
      <w:spacing w:after="240" w:line="276" w:lineRule="auto"/>
      <w:jc w:val="both"/>
    </w:pPr>
    <w:rPr>
      <w:rFonts w:ascii="Times New Roman" w:eastAsia="Times New Roman" w:hAnsi="Times New Roman" w:cs="Times New Roman"/>
      <w:kern w:val="0"/>
      <w:szCs w:val="24"/>
      <w:lang w:val="en-GB"/>
      <w14:ligatures w14:val="none"/>
    </w:rPr>
  </w:style>
  <w:style w:type="paragraph" w:customStyle="1" w:styleId="Questions">
    <w:name w:val="Questions"/>
    <w:basedOn w:val="Overview"/>
    <w:rsid w:val="00A81419"/>
  </w:style>
  <w:style w:type="paragraph" w:customStyle="1" w:styleId="AppendixStyle">
    <w:name w:val="Appendix Style"/>
    <w:rsid w:val="00A81419"/>
    <w:pPr>
      <w:spacing w:after="0" w:line="240" w:lineRule="auto"/>
    </w:pPr>
    <w:rPr>
      <w:rFonts w:ascii="Arial" w:eastAsia="Times New Roman" w:hAnsi="Arial" w:cs="Times New Roman"/>
      <w:b/>
      <w:kern w:val="28"/>
      <w:sz w:val="26"/>
      <w:szCs w:val="26"/>
      <w:lang w:val="en-GB"/>
      <w14:ligatures w14:val="none"/>
    </w:rPr>
  </w:style>
  <w:style w:type="paragraph" w:customStyle="1" w:styleId="HeadingTitle">
    <w:name w:val="Heading Title"/>
    <w:basedOn w:val="Balk1"/>
    <w:next w:val="Normal"/>
    <w:rsid w:val="00A81419"/>
    <w:pPr>
      <w:spacing w:before="0" w:after="240" w:line="360" w:lineRule="auto"/>
      <w:jc w:val="center"/>
    </w:pPr>
    <w:rPr>
      <w:rFonts w:ascii="Arial" w:eastAsia="Times New Roman" w:hAnsi="Arial" w:cs="Times New Roman"/>
      <w:b w:val="0"/>
      <w:bCs/>
      <w:kern w:val="28"/>
      <w:sz w:val="28"/>
      <w:szCs w:val="20"/>
      <w:lang w:val="en-GB" w:eastAsia="zh-CN"/>
      <w14:ligatures w14:val="none"/>
    </w:rPr>
  </w:style>
  <w:style w:type="paragraph" w:styleId="HTMLAdresi">
    <w:name w:val="HTML Address"/>
    <w:basedOn w:val="Normal"/>
    <w:link w:val="HTMLAdresiChar"/>
    <w:semiHidden/>
    <w:rsid w:val="00A81419"/>
    <w:pPr>
      <w:spacing w:after="0" w:line="276" w:lineRule="auto"/>
      <w:jc w:val="both"/>
    </w:pPr>
    <w:rPr>
      <w:rFonts w:ascii="Times New Roman" w:eastAsia="Times New Roman" w:hAnsi="Times New Roman" w:cs="Times New Roman"/>
      <w:i/>
      <w:iCs/>
      <w:kern w:val="0"/>
      <w:szCs w:val="24"/>
      <w:lang w:val="en-GB"/>
      <w14:ligatures w14:val="none"/>
    </w:rPr>
  </w:style>
  <w:style w:type="character" w:customStyle="1" w:styleId="HTMLAdresiChar">
    <w:name w:val="HTML Adresi Char"/>
    <w:basedOn w:val="VarsaylanParagrafYazTipi"/>
    <w:link w:val="HTMLAdresi"/>
    <w:semiHidden/>
    <w:rsid w:val="00A81419"/>
    <w:rPr>
      <w:rFonts w:ascii="Times New Roman" w:eastAsia="Times New Roman" w:hAnsi="Times New Roman" w:cs="Times New Roman"/>
      <w:i/>
      <w:iCs/>
      <w:kern w:val="0"/>
      <w:szCs w:val="24"/>
      <w:lang w:val="en-GB"/>
      <w14:ligatures w14:val="none"/>
    </w:rPr>
  </w:style>
  <w:style w:type="character" w:styleId="HTMLCite">
    <w:name w:val="HTML Cite"/>
    <w:semiHidden/>
    <w:rsid w:val="00A81419"/>
    <w:rPr>
      <w:i/>
      <w:iCs/>
    </w:rPr>
  </w:style>
  <w:style w:type="character" w:styleId="HTMLKodu">
    <w:name w:val="HTML Code"/>
    <w:semiHidden/>
    <w:rsid w:val="00A81419"/>
    <w:rPr>
      <w:rFonts w:ascii="Courier New" w:hAnsi="Courier New" w:cs="Courier New"/>
      <w:sz w:val="20"/>
      <w:szCs w:val="20"/>
    </w:rPr>
  </w:style>
  <w:style w:type="character" w:styleId="HTMLKlavye">
    <w:name w:val="HTML Keyboard"/>
    <w:semiHidden/>
    <w:rsid w:val="00A81419"/>
    <w:rPr>
      <w:rFonts w:ascii="Courier New" w:hAnsi="Courier New" w:cs="Courier New"/>
      <w:sz w:val="20"/>
      <w:szCs w:val="20"/>
    </w:rPr>
  </w:style>
  <w:style w:type="character" w:styleId="HTMLrnek">
    <w:name w:val="HTML Sample"/>
    <w:semiHidden/>
    <w:rsid w:val="00A81419"/>
    <w:rPr>
      <w:rFonts w:ascii="Courier New" w:hAnsi="Courier New" w:cs="Courier New"/>
    </w:rPr>
  </w:style>
  <w:style w:type="character" w:styleId="HTMLDaktilo">
    <w:name w:val="HTML Typewriter"/>
    <w:semiHidden/>
    <w:rsid w:val="00A81419"/>
    <w:rPr>
      <w:rFonts w:ascii="Courier New" w:hAnsi="Courier New" w:cs="Courier New"/>
      <w:sz w:val="20"/>
      <w:szCs w:val="20"/>
    </w:rPr>
  </w:style>
  <w:style w:type="character" w:styleId="HTMLDeiken">
    <w:name w:val="HTML Variable"/>
    <w:semiHidden/>
    <w:rsid w:val="00A81419"/>
    <w:rPr>
      <w:i/>
      <w:iCs/>
    </w:rPr>
  </w:style>
  <w:style w:type="character" w:styleId="SatrNumaras">
    <w:name w:val="line number"/>
    <w:basedOn w:val="VarsaylanParagrafYazTipi"/>
    <w:semiHidden/>
    <w:rsid w:val="00A81419"/>
  </w:style>
  <w:style w:type="table" w:styleId="Tablo3Befektler1">
    <w:name w:val="Table 3D effects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semiHidden/>
    <w:rsid w:val="00A81419"/>
    <w:pPr>
      <w:spacing w:after="240" w:line="240" w:lineRule="auto"/>
      <w:jc w:val="both"/>
    </w:pPr>
    <w:rPr>
      <w:rFonts w:ascii="Times New Roman" w:eastAsia="Times New Roman" w:hAnsi="Times New Roman" w:cs="Times New Roman"/>
      <w:color w:val="000080"/>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semiHidden/>
    <w:rsid w:val="00A81419"/>
    <w:pPr>
      <w:spacing w:after="240" w:line="240" w:lineRule="auto"/>
      <w:jc w:val="both"/>
    </w:pPr>
    <w:rPr>
      <w:rFonts w:ascii="Times New Roman" w:eastAsia="Times New Roman" w:hAnsi="Times New Roman" w:cs="Times New Roman"/>
      <w:color w:val="FFFFFF"/>
      <w:kern w:val="0"/>
      <w:sz w:val="20"/>
      <w:szCs w:val="20"/>
      <w:lang w:eastAsia="tr-TR"/>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semiHidden/>
    <w:rsid w:val="00A81419"/>
    <w:pPr>
      <w:spacing w:after="240" w:line="240" w:lineRule="auto"/>
      <w:jc w:val="both"/>
    </w:pPr>
    <w:rPr>
      <w:rFonts w:ascii="Times New Roman" w:eastAsia="Times New Roman" w:hAnsi="Times New Roman" w:cs="Times New Roman"/>
      <w:b/>
      <w:bCs/>
      <w:kern w:val="0"/>
      <w:sz w:val="20"/>
      <w:szCs w:val="20"/>
      <w:lang w:eastAsia="tr-TR"/>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semiHidden/>
    <w:rsid w:val="00A81419"/>
    <w:pPr>
      <w:spacing w:after="240" w:line="240" w:lineRule="auto"/>
      <w:jc w:val="both"/>
    </w:pPr>
    <w:rPr>
      <w:rFonts w:ascii="Times New Roman" w:eastAsia="Times New Roman" w:hAnsi="Times New Roman" w:cs="Times New Roman"/>
      <w:b/>
      <w:bCs/>
      <w:kern w:val="0"/>
      <w:sz w:val="20"/>
      <w:szCs w:val="20"/>
      <w:lang w:eastAsia="tr-TR"/>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semiHidden/>
    <w:rsid w:val="00A81419"/>
    <w:pPr>
      <w:spacing w:after="240" w:line="240" w:lineRule="auto"/>
      <w:jc w:val="both"/>
    </w:pPr>
    <w:rPr>
      <w:rFonts w:ascii="Times New Roman" w:eastAsia="Times New Roman" w:hAnsi="Times New Roman" w:cs="Times New Roman"/>
      <w:b/>
      <w:bCs/>
      <w:kern w:val="0"/>
      <w:sz w:val="20"/>
      <w:szCs w:val="20"/>
      <w:lang w:eastAsia="tr-TR"/>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1">
    <w:name w:val="Table Grid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semiHidden/>
    <w:rsid w:val="00A81419"/>
    <w:pPr>
      <w:spacing w:after="240" w:line="240" w:lineRule="auto"/>
      <w:jc w:val="both"/>
    </w:pPr>
    <w:rPr>
      <w:rFonts w:ascii="Times New Roman" w:eastAsia="Times New Roman" w:hAnsi="Times New Roman" w:cs="Times New Roman"/>
      <w:b/>
      <w:bCs/>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Underline">
    <w:name w:val="Underline"/>
    <w:basedOn w:val="Normal"/>
    <w:next w:val="Normal"/>
    <w:rsid w:val="00A81419"/>
    <w:pPr>
      <w:spacing w:after="0" w:line="276" w:lineRule="auto"/>
      <w:jc w:val="both"/>
    </w:pPr>
    <w:rPr>
      <w:rFonts w:ascii="Times New Roman" w:eastAsia="Times New Roman" w:hAnsi="Times New Roman" w:cs="Times New Roman"/>
      <w:kern w:val="0"/>
      <w:szCs w:val="24"/>
      <w:u w:val="single"/>
      <w:lang w:val="en-GB"/>
      <w14:ligatures w14:val="none"/>
    </w:rPr>
  </w:style>
  <w:style w:type="paragraph" w:styleId="GvdeMetniGirintisi2">
    <w:name w:val="Body Text Indent 2"/>
    <w:basedOn w:val="Normal"/>
    <w:link w:val="GvdeMetniGirintisi2Char"/>
    <w:rsid w:val="00A81419"/>
    <w:pPr>
      <w:spacing w:after="0" w:line="276" w:lineRule="auto"/>
      <w:ind w:left="2880"/>
      <w:jc w:val="both"/>
    </w:pPr>
    <w:rPr>
      <w:rFonts w:ascii="Arial" w:eastAsia="Times New Roman" w:hAnsi="Arial" w:cs="Times New Roman"/>
      <w:kern w:val="0"/>
      <w:sz w:val="24"/>
      <w:szCs w:val="24"/>
      <w:lang w:val="en-GB"/>
      <w14:ligatures w14:val="none"/>
    </w:rPr>
  </w:style>
  <w:style w:type="character" w:customStyle="1" w:styleId="GvdeMetniGirintisi2Char">
    <w:name w:val="Gövde Metni Girintisi 2 Char"/>
    <w:basedOn w:val="VarsaylanParagrafYazTipi"/>
    <w:link w:val="GvdeMetniGirintisi2"/>
    <w:rsid w:val="00A81419"/>
    <w:rPr>
      <w:rFonts w:ascii="Arial" w:eastAsia="Times New Roman" w:hAnsi="Arial" w:cs="Times New Roman"/>
      <w:kern w:val="0"/>
      <w:sz w:val="24"/>
      <w:szCs w:val="24"/>
      <w:lang w:val="en-GB"/>
      <w14:ligatures w14:val="none"/>
    </w:rPr>
  </w:style>
  <w:style w:type="paragraph" w:customStyle="1" w:styleId="BodyText21">
    <w:name w:val="Body Text 21"/>
    <w:basedOn w:val="Normal"/>
    <w:rsid w:val="00A81419"/>
    <w:pPr>
      <w:spacing w:before="120" w:after="240" w:line="312" w:lineRule="auto"/>
      <w:jc w:val="both"/>
    </w:pPr>
    <w:rPr>
      <w:rFonts w:ascii="Times New Roman" w:eastAsia="Times New Roman" w:hAnsi="Times New Roman" w:cs="Times New Roman"/>
      <w:i/>
      <w:kern w:val="0"/>
      <w:sz w:val="24"/>
      <w:szCs w:val="24"/>
      <w:lang w:val="en-GB"/>
      <w14:ligatures w14:val="none"/>
    </w:rPr>
  </w:style>
  <w:style w:type="paragraph" w:customStyle="1" w:styleId="BodyText22">
    <w:name w:val="Body Text 22"/>
    <w:basedOn w:val="Normal"/>
    <w:rsid w:val="00A81419"/>
    <w:pPr>
      <w:spacing w:before="120" w:after="240" w:line="312" w:lineRule="auto"/>
      <w:ind w:left="425"/>
      <w:jc w:val="both"/>
    </w:pPr>
    <w:rPr>
      <w:rFonts w:ascii="Times New Roman" w:eastAsia="Times New Roman" w:hAnsi="Times New Roman" w:cs="Times New Roman"/>
      <w:kern w:val="0"/>
      <w:sz w:val="24"/>
      <w:szCs w:val="24"/>
      <w:lang w:val="en-GB"/>
      <w14:ligatures w14:val="none"/>
    </w:rPr>
  </w:style>
  <w:style w:type="paragraph" w:styleId="GvdeMetnilkGirintisi2">
    <w:name w:val="Body Text First Indent 2"/>
    <w:basedOn w:val="GvdeMetniGirintisi"/>
    <w:link w:val="GvdeMetnilkGirintisi2Char"/>
    <w:rsid w:val="00A81419"/>
    <w:pPr>
      <w:spacing w:after="120"/>
      <w:ind w:left="360" w:firstLine="210"/>
    </w:pPr>
  </w:style>
  <w:style w:type="character" w:customStyle="1" w:styleId="GvdeMetnilkGirintisi2Char">
    <w:name w:val="Gövde Metni İlk Girintisi 2 Char"/>
    <w:basedOn w:val="GvdeMetniGirintisiChar"/>
    <w:link w:val="GvdeMetnilkGirintisi2"/>
    <w:rsid w:val="00A81419"/>
    <w:rPr>
      <w:rFonts w:ascii="Arial" w:eastAsia="Times New Roman" w:hAnsi="Arial" w:cs="Times New Roman"/>
      <w:kern w:val="0"/>
      <w:sz w:val="24"/>
      <w:szCs w:val="24"/>
      <w:lang w:val="en-GB"/>
      <w14:ligatures w14:val="none"/>
    </w:rPr>
  </w:style>
  <w:style w:type="paragraph" w:customStyle="1" w:styleId="CreateOutlineLevel">
    <w:name w:val="CreateOutlineLevel"/>
    <w:basedOn w:val="Normal"/>
    <w:rsid w:val="00A81419"/>
    <w:pPr>
      <w:spacing w:after="0" w:line="276" w:lineRule="auto"/>
      <w:jc w:val="both"/>
      <w:outlineLvl w:val="0"/>
    </w:pPr>
    <w:rPr>
      <w:rFonts w:ascii="Times New Roman" w:eastAsia="Times New Roman" w:hAnsi="Times New Roman" w:cs="Times New Roman"/>
      <w:kern w:val="0"/>
      <w:szCs w:val="24"/>
      <w:lang w:val="en-US"/>
      <w14:ligatures w14:val="none"/>
    </w:rPr>
  </w:style>
  <w:style w:type="paragraph" w:customStyle="1" w:styleId="p11">
    <w:name w:val="p11"/>
    <w:basedOn w:val="Normal"/>
    <w:rsid w:val="00A81419"/>
    <w:pPr>
      <w:tabs>
        <w:tab w:val="left" w:pos="900"/>
      </w:tabs>
      <w:spacing w:after="0" w:line="280" w:lineRule="atLeast"/>
      <w:ind w:left="540"/>
      <w:jc w:val="both"/>
    </w:pPr>
    <w:rPr>
      <w:rFonts w:ascii="Times New Roman" w:eastAsia="Times New Roman" w:hAnsi="Times New Roman" w:cs="Times New Roman"/>
      <w:kern w:val="0"/>
      <w:szCs w:val="24"/>
      <w:lang w:val="it-IT"/>
      <w14:ligatures w14:val="none"/>
    </w:rPr>
  </w:style>
  <w:style w:type="paragraph" w:customStyle="1" w:styleId="p13">
    <w:name w:val="p13"/>
    <w:basedOn w:val="Normal"/>
    <w:rsid w:val="00A81419"/>
    <w:pPr>
      <w:tabs>
        <w:tab w:val="left" w:pos="720"/>
      </w:tabs>
      <w:spacing w:after="0" w:line="240" w:lineRule="atLeast"/>
      <w:jc w:val="both"/>
    </w:pPr>
    <w:rPr>
      <w:rFonts w:ascii="Times New Roman" w:eastAsia="Times New Roman" w:hAnsi="Times New Roman" w:cs="Times New Roman"/>
      <w:kern w:val="0"/>
      <w:szCs w:val="24"/>
      <w:lang w:val="it-IT"/>
      <w14:ligatures w14:val="none"/>
    </w:rPr>
  </w:style>
  <w:style w:type="paragraph" w:customStyle="1" w:styleId="p12">
    <w:name w:val="p12"/>
    <w:basedOn w:val="Normal"/>
    <w:rsid w:val="00A81419"/>
    <w:pPr>
      <w:tabs>
        <w:tab w:val="left" w:pos="5020"/>
      </w:tabs>
      <w:spacing w:after="0" w:line="240" w:lineRule="atLeast"/>
      <w:ind w:left="3580"/>
      <w:jc w:val="both"/>
    </w:pPr>
    <w:rPr>
      <w:rFonts w:ascii="Times New Roman" w:eastAsia="Times New Roman" w:hAnsi="Times New Roman" w:cs="Times New Roman"/>
      <w:kern w:val="0"/>
      <w:szCs w:val="24"/>
      <w:lang w:val="it-IT"/>
      <w14:ligatures w14:val="none"/>
    </w:rPr>
  </w:style>
  <w:style w:type="paragraph" w:customStyle="1" w:styleId="p14">
    <w:name w:val="p14"/>
    <w:basedOn w:val="Normal"/>
    <w:rsid w:val="00A81419"/>
    <w:pPr>
      <w:tabs>
        <w:tab w:val="left" w:pos="1280"/>
      </w:tabs>
      <w:spacing w:after="0" w:line="240" w:lineRule="atLeast"/>
      <w:ind w:left="160"/>
      <w:jc w:val="both"/>
    </w:pPr>
    <w:rPr>
      <w:rFonts w:ascii="Times New Roman" w:eastAsia="Times New Roman" w:hAnsi="Times New Roman" w:cs="Times New Roman"/>
      <w:kern w:val="0"/>
      <w:szCs w:val="24"/>
      <w:lang w:val="it-IT"/>
      <w14:ligatures w14:val="none"/>
    </w:rPr>
  </w:style>
  <w:style w:type="paragraph" w:customStyle="1" w:styleId="p28">
    <w:name w:val="p28"/>
    <w:basedOn w:val="Normal"/>
    <w:rsid w:val="00A81419"/>
    <w:pPr>
      <w:tabs>
        <w:tab w:val="left" w:pos="520"/>
      </w:tabs>
      <w:spacing w:after="0" w:line="240" w:lineRule="atLeast"/>
      <w:ind w:left="920"/>
      <w:jc w:val="both"/>
    </w:pPr>
    <w:rPr>
      <w:rFonts w:ascii="Times New Roman" w:eastAsia="Times New Roman" w:hAnsi="Times New Roman" w:cs="Times New Roman"/>
      <w:kern w:val="0"/>
      <w:szCs w:val="24"/>
      <w:lang w:val="it-IT"/>
      <w14:ligatures w14:val="none"/>
    </w:rPr>
  </w:style>
  <w:style w:type="paragraph" w:customStyle="1" w:styleId="p19">
    <w:name w:val="p19"/>
    <w:basedOn w:val="Normal"/>
    <w:rsid w:val="00A81419"/>
    <w:pPr>
      <w:spacing w:after="0" w:line="240" w:lineRule="atLeast"/>
      <w:ind w:left="144" w:hanging="288"/>
      <w:jc w:val="both"/>
    </w:pPr>
    <w:rPr>
      <w:rFonts w:ascii="Times New Roman" w:eastAsia="Times New Roman" w:hAnsi="Times New Roman" w:cs="Times New Roman"/>
      <w:kern w:val="0"/>
      <w:szCs w:val="24"/>
      <w:lang w:val="it-IT"/>
      <w14:ligatures w14:val="none"/>
    </w:rPr>
  </w:style>
  <w:style w:type="paragraph" w:customStyle="1" w:styleId="p20">
    <w:name w:val="p20"/>
    <w:basedOn w:val="Normal"/>
    <w:rsid w:val="00A81419"/>
    <w:pPr>
      <w:spacing w:after="0" w:line="240" w:lineRule="atLeast"/>
      <w:ind w:left="100"/>
      <w:jc w:val="both"/>
    </w:pPr>
    <w:rPr>
      <w:rFonts w:ascii="Times New Roman" w:eastAsia="Times New Roman" w:hAnsi="Times New Roman" w:cs="Times New Roman"/>
      <w:kern w:val="0"/>
      <w:szCs w:val="24"/>
      <w:lang w:val="it-IT"/>
      <w14:ligatures w14:val="none"/>
    </w:rPr>
  </w:style>
  <w:style w:type="paragraph" w:customStyle="1" w:styleId="c9">
    <w:name w:val="c9"/>
    <w:basedOn w:val="Normal"/>
    <w:rsid w:val="00A81419"/>
    <w:pPr>
      <w:spacing w:after="0" w:line="240" w:lineRule="atLeast"/>
      <w:jc w:val="center"/>
    </w:pPr>
    <w:rPr>
      <w:rFonts w:ascii="Times New Roman" w:eastAsia="Times New Roman" w:hAnsi="Times New Roman" w:cs="Times New Roman"/>
      <w:kern w:val="0"/>
      <w:szCs w:val="24"/>
      <w:lang w:val="it-IT"/>
      <w14:ligatures w14:val="none"/>
    </w:rPr>
  </w:style>
  <w:style w:type="paragraph" w:customStyle="1" w:styleId="p18">
    <w:name w:val="p18"/>
    <w:basedOn w:val="Normal"/>
    <w:rsid w:val="00A81419"/>
    <w:pPr>
      <w:tabs>
        <w:tab w:val="left" w:pos="840"/>
        <w:tab w:val="left" w:pos="2600"/>
      </w:tabs>
      <w:spacing w:after="0" w:line="240" w:lineRule="atLeast"/>
      <w:ind w:left="1152" w:hanging="1728"/>
      <w:jc w:val="both"/>
    </w:pPr>
    <w:rPr>
      <w:rFonts w:ascii="Times New Roman" w:eastAsia="Times New Roman" w:hAnsi="Times New Roman" w:cs="Times New Roman"/>
      <w:kern w:val="0"/>
      <w:szCs w:val="24"/>
      <w:lang w:val="it-IT"/>
      <w14:ligatures w14:val="none"/>
    </w:rPr>
  </w:style>
  <w:style w:type="paragraph" w:customStyle="1" w:styleId="p21">
    <w:name w:val="p21"/>
    <w:basedOn w:val="Normal"/>
    <w:rsid w:val="00A81419"/>
    <w:pPr>
      <w:tabs>
        <w:tab w:val="left" w:pos="520"/>
      </w:tabs>
      <w:spacing w:after="0" w:line="240" w:lineRule="atLeast"/>
      <w:ind w:left="920"/>
      <w:jc w:val="both"/>
    </w:pPr>
    <w:rPr>
      <w:rFonts w:ascii="Times New Roman" w:eastAsia="Times New Roman" w:hAnsi="Times New Roman" w:cs="Times New Roman"/>
      <w:kern w:val="0"/>
      <w:szCs w:val="24"/>
      <w:lang w:val="it-IT"/>
      <w14:ligatures w14:val="none"/>
    </w:rPr>
  </w:style>
  <w:style w:type="paragraph" w:customStyle="1" w:styleId="p22">
    <w:name w:val="p22"/>
    <w:basedOn w:val="Normal"/>
    <w:rsid w:val="00A81419"/>
    <w:pPr>
      <w:spacing w:after="0" w:line="280" w:lineRule="atLeast"/>
      <w:ind w:left="900"/>
      <w:jc w:val="both"/>
    </w:pPr>
    <w:rPr>
      <w:rFonts w:ascii="Times New Roman" w:eastAsia="Times New Roman" w:hAnsi="Times New Roman" w:cs="Times New Roman"/>
      <w:kern w:val="0"/>
      <w:szCs w:val="24"/>
      <w:lang w:val="it-IT"/>
      <w14:ligatures w14:val="none"/>
    </w:rPr>
  </w:style>
  <w:style w:type="paragraph" w:customStyle="1" w:styleId="p5">
    <w:name w:val="p5"/>
    <w:basedOn w:val="Normal"/>
    <w:rsid w:val="00A81419"/>
    <w:pPr>
      <w:tabs>
        <w:tab w:val="left" w:pos="1160"/>
      </w:tabs>
      <w:spacing w:after="0" w:line="240" w:lineRule="atLeast"/>
      <w:ind w:left="280"/>
      <w:jc w:val="both"/>
    </w:pPr>
    <w:rPr>
      <w:rFonts w:ascii="Times New Roman" w:eastAsia="Times New Roman" w:hAnsi="Times New Roman" w:cs="Times New Roman"/>
      <w:kern w:val="0"/>
      <w:szCs w:val="24"/>
      <w:lang w:val="it-IT"/>
      <w14:ligatures w14:val="none"/>
    </w:rPr>
  </w:style>
  <w:style w:type="paragraph" w:customStyle="1" w:styleId="p6">
    <w:name w:val="p6"/>
    <w:basedOn w:val="Normal"/>
    <w:rsid w:val="00A81419"/>
    <w:pPr>
      <w:tabs>
        <w:tab w:val="left" w:pos="1140"/>
        <w:tab w:val="left" w:pos="1680"/>
      </w:tabs>
      <w:spacing w:after="0" w:line="240" w:lineRule="atLeast"/>
      <w:ind w:left="288" w:hanging="576"/>
      <w:jc w:val="both"/>
    </w:pPr>
    <w:rPr>
      <w:rFonts w:ascii="Times New Roman" w:eastAsia="Times New Roman" w:hAnsi="Times New Roman" w:cs="Times New Roman"/>
      <w:kern w:val="0"/>
      <w:szCs w:val="24"/>
      <w:lang w:val="it-IT"/>
      <w14:ligatures w14:val="none"/>
    </w:rPr>
  </w:style>
  <w:style w:type="paragraph" w:customStyle="1" w:styleId="p4">
    <w:name w:val="p4"/>
    <w:basedOn w:val="Normal"/>
    <w:rsid w:val="00A81419"/>
    <w:pPr>
      <w:tabs>
        <w:tab w:val="left" w:pos="720"/>
      </w:tabs>
      <w:spacing w:after="0" w:line="240" w:lineRule="atLeast"/>
      <w:jc w:val="both"/>
    </w:pPr>
    <w:rPr>
      <w:rFonts w:ascii="Times New Roman" w:eastAsia="Times New Roman" w:hAnsi="Times New Roman" w:cs="Times New Roman"/>
      <w:kern w:val="0"/>
      <w:szCs w:val="24"/>
      <w:lang w:val="it-IT"/>
      <w14:ligatures w14:val="none"/>
    </w:rPr>
  </w:style>
  <w:style w:type="paragraph" w:customStyle="1" w:styleId="p9">
    <w:name w:val="p9"/>
    <w:basedOn w:val="Normal"/>
    <w:rsid w:val="00A81419"/>
    <w:pPr>
      <w:tabs>
        <w:tab w:val="left" w:pos="4680"/>
      </w:tabs>
      <w:spacing w:after="0" w:line="240" w:lineRule="atLeast"/>
      <w:ind w:left="3312" w:hanging="4032"/>
      <w:jc w:val="both"/>
    </w:pPr>
    <w:rPr>
      <w:rFonts w:ascii="Times New Roman" w:eastAsia="Times New Roman" w:hAnsi="Times New Roman" w:cs="Times New Roman"/>
      <w:kern w:val="0"/>
      <w:szCs w:val="24"/>
      <w:lang w:val="it-IT"/>
      <w14:ligatures w14:val="none"/>
    </w:rPr>
  </w:style>
  <w:style w:type="paragraph" w:customStyle="1" w:styleId="ExecutiveSummarylevel1nonumber">
    <w:name w:val="Executive Summary level 1 no number"/>
    <w:basedOn w:val="ExecutiveSummarylevel1"/>
    <w:link w:val="ExecutiveSummarylevel1nonumberChar"/>
    <w:rsid w:val="00A81419"/>
    <w:pPr>
      <w:spacing w:after="60"/>
      <w:ind w:firstLine="0"/>
    </w:pPr>
    <w:rPr>
      <w:rFonts w:ascii="Times New Roman" w:eastAsia="Times New Roman" w:hAnsi="Times New Roman" w:cs="Times New Roman"/>
      <w:kern w:val="0"/>
      <w:sz w:val="20"/>
      <w:szCs w:val="20"/>
      <w14:ligatures w14:val="none"/>
    </w:rPr>
  </w:style>
  <w:style w:type="paragraph" w:customStyle="1" w:styleId="p24">
    <w:name w:val="p24"/>
    <w:basedOn w:val="Normal"/>
    <w:rsid w:val="00A81419"/>
    <w:pPr>
      <w:tabs>
        <w:tab w:val="left" w:pos="540"/>
        <w:tab w:val="left" w:pos="1000"/>
      </w:tabs>
      <w:spacing w:after="0" w:line="240" w:lineRule="atLeast"/>
      <w:ind w:left="432" w:hanging="432"/>
      <w:jc w:val="both"/>
    </w:pPr>
    <w:rPr>
      <w:rFonts w:ascii="Times New Roman" w:eastAsia="Times New Roman" w:hAnsi="Times New Roman" w:cs="Times New Roman"/>
      <w:kern w:val="0"/>
      <w:sz w:val="24"/>
      <w:szCs w:val="24"/>
      <w:lang w:val="it-IT"/>
      <w14:ligatures w14:val="none"/>
    </w:rPr>
  </w:style>
  <w:style w:type="paragraph" w:customStyle="1" w:styleId="p2">
    <w:name w:val="p2"/>
    <w:basedOn w:val="Normal"/>
    <w:rsid w:val="00A81419"/>
    <w:pPr>
      <w:tabs>
        <w:tab w:val="left" w:pos="1140"/>
      </w:tabs>
      <w:spacing w:after="0" w:line="240" w:lineRule="atLeast"/>
      <w:ind w:left="300"/>
      <w:jc w:val="both"/>
    </w:pPr>
    <w:rPr>
      <w:rFonts w:ascii="Times New Roman" w:eastAsia="Times New Roman" w:hAnsi="Times New Roman" w:cs="Times New Roman"/>
      <w:kern w:val="0"/>
      <w:sz w:val="24"/>
      <w:szCs w:val="24"/>
      <w:lang w:val="it-IT"/>
      <w14:ligatures w14:val="none"/>
    </w:rPr>
  </w:style>
  <w:style w:type="paragraph" w:customStyle="1" w:styleId="p7">
    <w:name w:val="p7"/>
    <w:basedOn w:val="Normal"/>
    <w:rsid w:val="00A81419"/>
    <w:pPr>
      <w:spacing w:after="0" w:line="240" w:lineRule="atLeast"/>
      <w:ind w:left="280"/>
      <w:jc w:val="both"/>
    </w:pPr>
    <w:rPr>
      <w:rFonts w:ascii="Times New Roman" w:eastAsia="Times New Roman" w:hAnsi="Times New Roman" w:cs="Times New Roman"/>
      <w:kern w:val="0"/>
      <w:sz w:val="24"/>
      <w:szCs w:val="24"/>
      <w:lang w:val="it-IT"/>
      <w14:ligatures w14:val="none"/>
    </w:rPr>
  </w:style>
  <w:style w:type="paragraph" w:customStyle="1" w:styleId="p8">
    <w:name w:val="p8"/>
    <w:basedOn w:val="Normal"/>
    <w:rsid w:val="00A81419"/>
    <w:pPr>
      <w:tabs>
        <w:tab w:val="left" w:pos="720"/>
      </w:tabs>
      <w:spacing w:after="0" w:line="240" w:lineRule="atLeast"/>
      <w:jc w:val="both"/>
    </w:pPr>
    <w:rPr>
      <w:rFonts w:ascii="Times New Roman" w:eastAsia="Times New Roman" w:hAnsi="Times New Roman" w:cs="Times New Roman"/>
      <w:kern w:val="0"/>
      <w:sz w:val="24"/>
      <w:szCs w:val="24"/>
      <w:lang w:val="it-IT"/>
      <w14:ligatures w14:val="none"/>
    </w:rPr>
  </w:style>
  <w:style w:type="paragraph" w:customStyle="1" w:styleId="p10">
    <w:name w:val="p10"/>
    <w:basedOn w:val="Normal"/>
    <w:rsid w:val="00A81419"/>
    <w:pPr>
      <w:tabs>
        <w:tab w:val="left" w:pos="540"/>
      </w:tabs>
      <w:spacing w:after="0" w:line="240" w:lineRule="atLeast"/>
      <w:ind w:left="900"/>
      <w:jc w:val="both"/>
    </w:pPr>
    <w:rPr>
      <w:rFonts w:ascii="Times New Roman" w:eastAsia="Times New Roman" w:hAnsi="Times New Roman" w:cs="Times New Roman"/>
      <w:kern w:val="0"/>
      <w:sz w:val="24"/>
      <w:szCs w:val="24"/>
      <w:lang w:val="it-IT"/>
      <w14:ligatures w14:val="none"/>
    </w:rPr>
  </w:style>
  <w:style w:type="paragraph" w:customStyle="1" w:styleId="p15">
    <w:name w:val="p15"/>
    <w:basedOn w:val="Normal"/>
    <w:rsid w:val="00A81419"/>
    <w:pPr>
      <w:tabs>
        <w:tab w:val="left" w:pos="1740"/>
      </w:tabs>
      <w:spacing w:after="0" w:line="240" w:lineRule="atLeast"/>
      <w:ind w:left="300"/>
      <w:jc w:val="both"/>
    </w:pPr>
    <w:rPr>
      <w:rFonts w:ascii="Times New Roman" w:eastAsia="Times New Roman" w:hAnsi="Times New Roman" w:cs="Times New Roman"/>
      <w:kern w:val="0"/>
      <w:sz w:val="24"/>
      <w:szCs w:val="24"/>
      <w:lang w:val="it-IT"/>
      <w14:ligatures w14:val="none"/>
    </w:rPr>
  </w:style>
  <w:style w:type="paragraph" w:customStyle="1" w:styleId="p16">
    <w:name w:val="p16"/>
    <w:basedOn w:val="Normal"/>
    <w:rsid w:val="00A81419"/>
    <w:pPr>
      <w:tabs>
        <w:tab w:val="left" w:pos="280"/>
        <w:tab w:val="left" w:pos="1060"/>
      </w:tabs>
      <w:spacing w:after="0" w:line="240" w:lineRule="atLeast"/>
      <w:ind w:left="432" w:hanging="720"/>
      <w:jc w:val="both"/>
    </w:pPr>
    <w:rPr>
      <w:rFonts w:ascii="Times New Roman" w:eastAsia="Times New Roman" w:hAnsi="Times New Roman" w:cs="Times New Roman"/>
      <w:kern w:val="0"/>
      <w:sz w:val="24"/>
      <w:szCs w:val="24"/>
      <w:lang w:val="it-IT"/>
      <w14:ligatures w14:val="none"/>
    </w:rPr>
  </w:style>
  <w:style w:type="paragraph" w:customStyle="1" w:styleId="p17">
    <w:name w:val="p17"/>
    <w:basedOn w:val="Normal"/>
    <w:rsid w:val="00A81419"/>
    <w:pPr>
      <w:tabs>
        <w:tab w:val="left" w:pos="1280"/>
        <w:tab w:val="left" w:pos="1540"/>
      </w:tabs>
      <w:spacing w:after="0" w:line="440" w:lineRule="atLeast"/>
      <w:ind w:left="144" w:firstLine="288"/>
      <w:jc w:val="both"/>
    </w:pPr>
    <w:rPr>
      <w:rFonts w:ascii="Times New Roman" w:eastAsia="Times New Roman" w:hAnsi="Times New Roman" w:cs="Times New Roman"/>
      <w:kern w:val="0"/>
      <w:sz w:val="24"/>
      <w:szCs w:val="24"/>
      <w:lang w:val="it-IT"/>
      <w14:ligatures w14:val="none"/>
    </w:rPr>
  </w:style>
  <w:style w:type="paragraph" w:customStyle="1" w:styleId="LearningObjectives">
    <w:name w:val="Learning Objectives"/>
    <w:basedOn w:val="Overview"/>
    <w:rsid w:val="00A81419"/>
  </w:style>
  <w:style w:type="paragraph" w:customStyle="1" w:styleId="tabstandard2p">
    <w:name w:val="tab_standard_2p"/>
    <w:basedOn w:val="Normal"/>
    <w:rsid w:val="00A81419"/>
    <w:pPr>
      <w:spacing w:before="40" w:after="40" w:line="276" w:lineRule="auto"/>
      <w:jc w:val="both"/>
    </w:pPr>
    <w:rPr>
      <w:rFonts w:ascii="Times New Roman" w:eastAsia="Times New Roman" w:hAnsi="Times New Roman" w:cs="Times New Roman"/>
      <w:kern w:val="0"/>
      <w:szCs w:val="24"/>
      <w:lang w:val="en-GB"/>
      <w14:ligatures w14:val="none"/>
    </w:rPr>
  </w:style>
  <w:style w:type="character" w:customStyle="1" w:styleId="ExecutiveSummarylevel1Char">
    <w:name w:val="Executive Summary level 1 Char"/>
    <w:basedOn w:val="VarsaylanParagrafYazTipi"/>
    <w:link w:val="ExecutiveSummarylevel1"/>
    <w:rsid w:val="00A81419"/>
    <w:rPr>
      <w:color w:val="008000"/>
      <w:spacing w:val="-2"/>
      <w:lang w:val="en-GB"/>
    </w:rPr>
  </w:style>
  <w:style w:type="character" w:customStyle="1" w:styleId="CharChar">
    <w:name w:val="Char Char"/>
    <w:basedOn w:val="VarsaylanParagrafYazTipi"/>
    <w:rsid w:val="00A81419"/>
    <w:rPr>
      <w:rFonts w:ascii="Arial" w:hAnsi="Arial"/>
      <w:b/>
      <w:sz w:val="24"/>
      <w:szCs w:val="24"/>
      <w:lang w:val="en-GB" w:eastAsia="zh-CN" w:bidi="ar-SA"/>
    </w:rPr>
  </w:style>
  <w:style w:type="paragraph" w:customStyle="1" w:styleId="ExecutiveSummarylevel1">
    <w:name w:val="Executive Summary level 1"/>
    <w:basedOn w:val="Normal"/>
    <w:link w:val="ExecutiveSummarylevel1Char"/>
    <w:rsid w:val="00A81419"/>
    <w:pPr>
      <w:spacing w:after="240" w:line="276" w:lineRule="auto"/>
      <w:ind w:left="227" w:hanging="227"/>
      <w:jc w:val="both"/>
    </w:pPr>
    <w:rPr>
      <w:color w:val="008000"/>
      <w:spacing w:val="-2"/>
      <w:lang w:val="en-GB"/>
    </w:rPr>
  </w:style>
  <w:style w:type="paragraph" w:customStyle="1" w:styleId="ExecutiveSummarylevel2">
    <w:name w:val="Executive Summary level 2"/>
    <w:basedOn w:val="Normal"/>
    <w:link w:val="ExecutiveSummarylevel2Char"/>
    <w:rsid w:val="00A81419"/>
    <w:pPr>
      <w:spacing w:after="240" w:line="276" w:lineRule="auto"/>
      <w:ind w:left="488" w:hanging="261"/>
      <w:jc w:val="both"/>
    </w:pPr>
    <w:rPr>
      <w:rFonts w:ascii="Times New Roman" w:eastAsia="Times New Roman" w:hAnsi="Times New Roman" w:cs="Times New Roman"/>
      <w:color w:val="008000"/>
      <w:spacing w:val="-2"/>
      <w:kern w:val="0"/>
      <w:sz w:val="20"/>
      <w:szCs w:val="20"/>
      <w:lang w:val="en-GB"/>
      <w14:ligatures w14:val="none"/>
    </w:rPr>
  </w:style>
  <w:style w:type="paragraph" w:customStyle="1" w:styleId="CaptioncommentsCharCharCharCharCharCharCharCharCharChar">
    <w:name w:val="Caption comments Char Char Char Char Char Char Char Char Char Char"/>
    <w:basedOn w:val="Normal"/>
    <w:rsid w:val="00A81419"/>
    <w:pPr>
      <w:spacing w:after="0" w:line="276" w:lineRule="auto"/>
      <w:jc w:val="both"/>
    </w:pPr>
    <w:rPr>
      <w:rFonts w:ascii="Times New Roman" w:eastAsia="Times New Roman" w:hAnsi="Times New Roman" w:cs="Times New Roman"/>
      <w:b/>
      <w:kern w:val="0"/>
      <w:szCs w:val="24"/>
      <w:lang w:val="en-GB"/>
      <w14:ligatures w14:val="none"/>
    </w:rPr>
  </w:style>
  <w:style w:type="paragraph" w:customStyle="1" w:styleId="Formatvorlage1">
    <w:name w:val="Formatvorlage1"/>
    <w:basedOn w:val="Normal"/>
    <w:rsid w:val="00A81419"/>
    <w:pPr>
      <w:spacing w:after="0" w:line="360" w:lineRule="auto"/>
      <w:jc w:val="both"/>
    </w:pPr>
    <w:rPr>
      <w:rFonts w:ascii="Arial" w:eastAsia="Times New Roman" w:hAnsi="Arial" w:cs="Times New Roman"/>
      <w:kern w:val="0"/>
      <w:szCs w:val="24"/>
      <w:lang w:val="en-GB"/>
      <w14:ligatures w14:val="none"/>
    </w:rPr>
  </w:style>
  <w:style w:type="paragraph" w:customStyle="1" w:styleId="ExecutiveSummarylevel3">
    <w:name w:val="Executive Summary level 3"/>
    <w:basedOn w:val="Normal"/>
    <w:rsid w:val="00A81419"/>
    <w:pPr>
      <w:tabs>
        <w:tab w:val="left" w:pos="508"/>
      </w:tabs>
      <w:spacing w:after="0" w:line="276" w:lineRule="auto"/>
      <w:ind w:left="794" w:hanging="284"/>
      <w:jc w:val="both"/>
    </w:pPr>
    <w:rPr>
      <w:rFonts w:ascii="Times New Roman" w:eastAsia="Times New Roman" w:hAnsi="Times New Roman" w:cs="Times New Roman"/>
      <w:color w:val="008000"/>
      <w:spacing w:val="-2"/>
      <w:kern w:val="0"/>
      <w:sz w:val="20"/>
      <w:szCs w:val="20"/>
      <w:lang w:val="en-GB"/>
      <w14:ligatures w14:val="none"/>
    </w:rPr>
  </w:style>
  <w:style w:type="character" w:customStyle="1" w:styleId="ExecutiveSummarylevel1nonumberChar">
    <w:name w:val="Executive Summary level 1 no number Char"/>
    <w:basedOn w:val="ExecutiveSummarylevel1Char"/>
    <w:link w:val="ExecutiveSummarylevel1nonumber"/>
    <w:rsid w:val="00A81419"/>
    <w:rPr>
      <w:rFonts w:ascii="Times New Roman" w:eastAsia="Times New Roman" w:hAnsi="Times New Roman" w:cs="Times New Roman"/>
      <w:color w:val="008000"/>
      <w:spacing w:val="-2"/>
      <w:kern w:val="0"/>
      <w:sz w:val="20"/>
      <w:szCs w:val="20"/>
      <w:lang w:val="en-GB"/>
      <w14:ligatures w14:val="none"/>
    </w:rPr>
  </w:style>
  <w:style w:type="paragraph" w:customStyle="1" w:styleId="standard10">
    <w:name w:val="standard10"/>
    <w:basedOn w:val="Normal"/>
    <w:rsid w:val="00A81419"/>
    <w:pPr>
      <w:spacing w:after="0" w:line="312" w:lineRule="auto"/>
      <w:jc w:val="both"/>
    </w:pPr>
    <w:rPr>
      <w:rFonts w:ascii="Times New Roman" w:eastAsia="Times New Roman" w:hAnsi="Times New Roman" w:cs="Times New Roman"/>
      <w:kern w:val="0"/>
      <w:sz w:val="24"/>
      <w:szCs w:val="24"/>
      <w:lang w:val="en-GB"/>
      <w14:ligatures w14:val="none"/>
    </w:rPr>
  </w:style>
  <w:style w:type="character" w:customStyle="1" w:styleId="ExecutiveSummarylevel2Char">
    <w:name w:val="Executive Summary level 2 Char"/>
    <w:basedOn w:val="VarsaylanParagrafYazTipi"/>
    <w:link w:val="ExecutiveSummarylevel2"/>
    <w:rsid w:val="00A81419"/>
    <w:rPr>
      <w:rFonts w:ascii="Times New Roman" w:eastAsia="Times New Roman" w:hAnsi="Times New Roman" w:cs="Times New Roman"/>
      <w:color w:val="008000"/>
      <w:spacing w:val="-2"/>
      <w:kern w:val="0"/>
      <w:sz w:val="20"/>
      <w:szCs w:val="20"/>
      <w:lang w:val="en-GB"/>
      <w14:ligatures w14:val="none"/>
    </w:rPr>
  </w:style>
  <w:style w:type="character" w:customStyle="1" w:styleId="ExecutiveSummarylevel2nonumberChar">
    <w:name w:val="Executive Summary level 2 no number Char"/>
    <w:basedOn w:val="ExecutiveSummarylevel2Char"/>
    <w:link w:val="ExecutiveSummarylevel2nonumber"/>
    <w:rsid w:val="00A81419"/>
    <w:rPr>
      <w:rFonts w:ascii="Times New Roman" w:eastAsia="Times New Roman" w:hAnsi="Times New Roman" w:cs="Times New Roman"/>
      <w:color w:val="008000"/>
      <w:spacing w:val="-2"/>
      <w:kern w:val="0"/>
      <w:sz w:val="20"/>
      <w:szCs w:val="20"/>
      <w:lang w:val="en-GB"/>
      <w14:ligatures w14:val="none"/>
    </w:rPr>
  </w:style>
  <w:style w:type="character" w:customStyle="1" w:styleId="CharChar1">
    <w:name w:val="Char Char1"/>
    <w:basedOn w:val="VarsaylanParagrafYazTipi"/>
    <w:rsid w:val="00A81419"/>
    <w:rPr>
      <w:rFonts w:ascii="Arial" w:hAnsi="Arial"/>
      <w:lang w:val="en-GB" w:eastAsia="zh-CN" w:bidi="ar-SA"/>
    </w:rPr>
  </w:style>
  <w:style w:type="character" w:customStyle="1" w:styleId="CharChar3">
    <w:name w:val="Char Char3"/>
    <w:basedOn w:val="VarsaylanParagrafYazTipi"/>
    <w:rsid w:val="00A81419"/>
    <w:rPr>
      <w:rFonts w:ascii="Arial" w:hAnsi="Arial"/>
      <w:b/>
      <w:sz w:val="22"/>
      <w:szCs w:val="24"/>
      <w:lang w:val="en-GB" w:eastAsia="zh-CN" w:bidi="ar-SA"/>
    </w:rPr>
  </w:style>
  <w:style w:type="character" w:customStyle="1" w:styleId="CharChar4">
    <w:name w:val="Char Char4"/>
    <w:basedOn w:val="VarsaylanParagrafYazTipi"/>
    <w:rsid w:val="00A81419"/>
    <w:rPr>
      <w:rFonts w:ascii="Arial" w:hAnsi="Arial"/>
      <w:b/>
      <w:sz w:val="24"/>
      <w:lang w:val="en-GB" w:eastAsia="zh-CN" w:bidi="ar-SA"/>
    </w:rPr>
  </w:style>
  <w:style w:type="character" w:customStyle="1" w:styleId="CharChar5">
    <w:name w:val="Char Char5"/>
    <w:basedOn w:val="VarsaylanParagrafYazTipi"/>
    <w:rsid w:val="00A81419"/>
    <w:rPr>
      <w:rFonts w:ascii="Arial" w:hAnsi="Arial"/>
      <w:b/>
      <w:sz w:val="28"/>
      <w:lang w:val="en-GB" w:eastAsia="zh-CN" w:bidi="ar-SA"/>
    </w:rPr>
  </w:style>
  <w:style w:type="character" w:customStyle="1" w:styleId="CharChar6">
    <w:name w:val="Char Char6"/>
    <w:basedOn w:val="VarsaylanParagrafYazTipi"/>
    <w:rsid w:val="00A81419"/>
    <w:rPr>
      <w:rFonts w:ascii="Arial" w:hAnsi="Arial"/>
      <w:b/>
      <w:caps/>
      <w:kern w:val="28"/>
      <w:sz w:val="28"/>
      <w:lang w:val="en-GB" w:eastAsia="zh-CN" w:bidi="ar-SA"/>
    </w:rPr>
  </w:style>
  <w:style w:type="character" w:customStyle="1" w:styleId="Heading5CharChar">
    <w:name w:val="Heading 5 Char Char"/>
    <w:basedOn w:val="VarsaylanParagrafYazTipi"/>
    <w:rsid w:val="00A81419"/>
    <w:rPr>
      <w:rFonts w:ascii="Arial" w:hAnsi="Arial"/>
      <w:b/>
      <w:sz w:val="22"/>
      <w:szCs w:val="24"/>
      <w:lang w:val="en-GB" w:eastAsia="zh-CN" w:bidi="ar-SA"/>
    </w:rPr>
  </w:style>
  <w:style w:type="paragraph" w:customStyle="1" w:styleId="StyleHeading1">
    <w:name w:val="Style Heading 1"/>
    <w:basedOn w:val="Balk1"/>
    <w:link w:val="StyleHeading1Char"/>
    <w:rsid w:val="00A81419"/>
    <w:pPr>
      <w:spacing w:before="0" w:after="240" w:line="360" w:lineRule="auto"/>
      <w:jc w:val="center"/>
    </w:pPr>
    <w:rPr>
      <w:rFonts w:ascii="Arial" w:eastAsia="Times New Roman" w:hAnsi="Arial" w:cs="Times New Roman"/>
      <w:b w:val="0"/>
      <w:bCs/>
      <w:color w:val="000000"/>
      <w:kern w:val="28"/>
      <w:sz w:val="28"/>
      <w:szCs w:val="28"/>
      <w:lang w:val="en-GB" w:eastAsia="zh-CN"/>
      <w14:ligatures w14:val="none"/>
    </w:rPr>
  </w:style>
  <w:style w:type="paragraph" w:customStyle="1" w:styleId="StyleHeading1Blue">
    <w:name w:val="Style Heading 1 + Blue"/>
    <w:basedOn w:val="Balk1"/>
    <w:rsid w:val="00A81419"/>
    <w:pPr>
      <w:spacing w:before="0" w:after="240" w:line="360" w:lineRule="auto"/>
      <w:jc w:val="center"/>
    </w:pPr>
    <w:rPr>
      <w:rFonts w:ascii="Arial" w:eastAsia="Times New Roman" w:hAnsi="Arial" w:cs="Times New Roman"/>
      <w:b w:val="0"/>
      <w:bCs/>
      <w:kern w:val="28"/>
      <w:sz w:val="28"/>
      <w:szCs w:val="20"/>
      <w:lang w:val="en-GB" w:eastAsia="zh-CN"/>
      <w14:ligatures w14:val="none"/>
    </w:rPr>
  </w:style>
  <w:style w:type="character" w:customStyle="1" w:styleId="StyleHeading1Char">
    <w:name w:val="Style Heading 1 Char"/>
    <w:basedOn w:val="Balk1Char"/>
    <w:link w:val="StyleHeading1"/>
    <w:rsid w:val="00A81419"/>
    <w:rPr>
      <w:rFonts w:ascii="Arial" w:eastAsia="Times New Roman" w:hAnsi="Arial" w:cs="Times New Roman"/>
      <w:b w:val="0"/>
      <w:bCs/>
      <w:color w:val="000000"/>
      <w:kern w:val="28"/>
      <w:sz w:val="28"/>
      <w:szCs w:val="28"/>
      <w:lang w:val="en-GB" w:eastAsia="zh-CN"/>
      <w14:ligatures w14:val="none"/>
    </w:rPr>
  </w:style>
  <w:style w:type="paragraph" w:customStyle="1" w:styleId="StyleHeading2">
    <w:name w:val="Style Heading 2"/>
    <w:basedOn w:val="Balk2"/>
    <w:link w:val="StyleHeading2Char"/>
    <w:autoRedefine/>
    <w:rsid w:val="00A81419"/>
    <w:pPr>
      <w:pageBreakBefore/>
      <w:spacing w:before="0" w:after="240" w:line="360" w:lineRule="auto"/>
      <w:jc w:val="both"/>
    </w:pPr>
    <w:rPr>
      <w:rFonts w:ascii="Arial" w:eastAsia="Times New Roman" w:hAnsi="Arial" w:cs="Times New Roman"/>
      <w:color w:val="2F5496"/>
      <w:spacing w:val="2"/>
      <w:kern w:val="0"/>
      <w:sz w:val="28"/>
      <w:szCs w:val="28"/>
      <w:lang w:val="en-GB" w:eastAsia="zh-CN"/>
      <w14:ligatures w14:val="none"/>
    </w:rPr>
  </w:style>
  <w:style w:type="character" w:customStyle="1" w:styleId="StyleHeading2Char">
    <w:name w:val="Style Heading 2 Char"/>
    <w:basedOn w:val="Heading2Char1"/>
    <w:link w:val="StyleHeading2"/>
    <w:rsid w:val="00A81419"/>
    <w:rPr>
      <w:rFonts w:ascii="Arial" w:eastAsia="Times New Roman" w:hAnsi="Arial" w:cs="Times New Roman"/>
      <w:color w:val="2F5496"/>
      <w:spacing w:val="2"/>
      <w:kern w:val="0"/>
      <w:sz w:val="28"/>
      <w:szCs w:val="28"/>
      <w:lang w:val="en-GB" w:eastAsia="zh-CN"/>
      <w14:ligatures w14:val="none"/>
    </w:rPr>
  </w:style>
  <w:style w:type="paragraph" w:customStyle="1" w:styleId="StyleHeading3">
    <w:name w:val="Style Heading 3"/>
    <w:basedOn w:val="Balk3"/>
    <w:link w:val="StyleHeading3Char"/>
    <w:autoRedefine/>
    <w:rsid w:val="00A81419"/>
    <w:pPr>
      <w:keepLines w:val="0"/>
      <w:spacing w:before="0" w:after="0" w:line="360" w:lineRule="auto"/>
      <w:jc w:val="both"/>
    </w:pPr>
    <w:rPr>
      <w:rFonts w:ascii="Arial" w:eastAsia="Times New Roman" w:hAnsi="Arial" w:cs="Times New Roman"/>
      <w:i/>
      <w:kern w:val="28"/>
      <w:szCs w:val="24"/>
      <w:lang w:val="en-GB" w:eastAsia="zh-CN"/>
      <w14:ligatures w14:val="none"/>
    </w:rPr>
  </w:style>
  <w:style w:type="paragraph" w:customStyle="1" w:styleId="StyleHeading3Blue">
    <w:name w:val="Style Heading 3 +Blue"/>
    <w:basedOn w:val="Balk3"/>
    <w:link w:val="StyleHeading3BlueChar"/>
    <w:autoRedefine/>
    <w:rsid w:val="00A81419"/>
    <w:pPr>
      <w:keepLines w:val="0"/>
      <w:spacing w:before="0" w:after="0" w:line="360" w:lineRule="auto"/>
      <w:jc w:val="both"/>
    </w:pPr>
    <w:rPr>
      <w:rFonts w:ascii="Arial" w:eastAsia="Times New Roman" w:hAnsi="Arial" w:cs="Times New Roman"/>
      <w:i/>
      <w:color w:val="0000FF"/>
      <w:kern w:val="28"/>
      <w:szCs w:val="24"/>
      <w:lang w:val="en-GB" w:eastAsia="zh-CN"/>
      <w14:ligatures w14:val="none"/>
    </w:rPr>
  </w:style>
  <w:style w:type="character" w:customStyle="1" w:styleId="StyleHeading3BlueChar">
    <w:name w:val="Style Heading 3 +Blue Char"/>
    <w:basedOn w:val="CharChar4"/>
    <w:link w:val="StyleHeading3Blue"/>
    <w:rsid w:val="00A81419"/>
    <w:rPr>
      <w:rFonts w:ascii="Arial" w:eastAsia="Times New Roman" w:hAnsi="Arial" w:cs="Times New Roman"/>
      <w:b w:val="0"/>
      <w:i/>
      <w:color w:val="0000FF"/>
      <w:kern w:val="28"/>
      <w:sz w:val="24"/>
      <w:szCs w:val="24"/>
      <w:lang w:val="en-GB" w:eastAsia="zh-CN" w:bidi="ar-SA"/>
      <w14:ligatures w14:val="none"/>
    </w:rPr>
  </w:style>
  <w:style w:type="paragraph" w:customStyle="1" w:styleId="StyleHeading3Blue0">
    <w:name w:val="Style Heading 3 Blue"/>
    <w:basedOn w:val="Balk3"/>
    <w:link w:val="StyleHeading3BlueChar0"/>
    <w:autoRedefine/>
    <w:rsid w:val="00A81419"/>
    <w:pPr>
      <w:keepLines w:val="0"/>
      <w:spacing w:before="0" w:after="0" w:line="360" w:lineRule="auto"/>
      <w:jc w:val="both"/>
    </w:pPr>
    <w:rPr>
      <w:rFonts w:ascii="Arial" w:eastAsia="Times New Roman" w:hAnsi="Arial" w:cs="Times New Roman"/>
      <w:i/>
      <w:color w:val="0000FF"/>
      <w:kern w:val="28"/>
      <w:szCs w:val="24"/>
      <w:lang w:val="en-GB" w:eastAsia="zh-CN"/>
      <w14:ligatures w14:val="none"/>
    </w:rPr>
  </w:style>
  <w:style w:type="character" w:customStyle="1" w:styleId="StyleHeading3BlueChar0">
    <w:name w:val="Style Heading 3 Blue Char"/>
    <w:basedOn w:val="CharChar4"/>
    <w:link w:val="StyleHeading3Blue0"/>
    <w:rsid w:val="00A81419"/>
    <w:rPr>
      <w:rFonts w:ascii="Arial" w:eastAsia="Times New Roman" w:hAnsi="Arial" w:cs="Times New Roman"/>
      <w:b w:val="0"/>
      <w:i/>
      <w:color w:val="0000FF"/>
      <w:kern w:val="28"/>
      <w:sz w:val="24"/>
      <w:szCs w:val="24"/>
      <w:lang w:val="en-GB" w:eastAsia="zh-CN" w:bidi="ar-SA"/>
      <w14:ligatures w14:val="none"/>
    </w:rPr>
  </w:style>
  <w:style w:type="character" w:customStyle="1" w:styleId="StyleHeading3Char">
    <w:name w:val="Style Heading 3 Char"/>
    <w:basedOn w:val="CharChar4"/>
    <w:link w:val="StyleHeading3"/>
    <w:rsid w:val="00A81419"/>
    <w:rPr>
      <w:rFonts w:ascii="Arial" w:eastAsia="Times New Roman" w:hAnsi="Arial" w:cs="Times New Roman"/>
      <w:b w:val="0"/>
      <w:i/>
      <w:kern w:val="28"/>
      <w:sz w:val="24"/>
      <w:szCs w:val="24"/>
      <w:lang w:val="en-GB" w:eastAsia="zh-CN" w:bidi="ar-SA"/>
      <w14:ligatures w14:val="none"/>
    </w:rPr>
  </w:style>
  <w:style w:type="paragraph" w:customStyle="1" w:styleId="StyleHeading4">
    <w:name w:val="Style Heading 4"/>
    <w:basedOn w:val="Balk4"/>
    <w:link w:val="StyleHeading4Char"/>
    <w:autoRedefine/>
    <w:rsid w:val="00A81419"/>
    <w:pPr>
      <w:keepLines w:val="0"/>
      <w:spacing w:before="0" w:after="120" w:line="360" w:lineRule="auto"/>
      <w:jc w:val="both"/>
    </w:pPr>
    <w:rPr>
      <w:rFonts w:ascii="Arial" w:hAnsi="Arial" w:cs="Arial"/>
      <w:iCs w:val="0"/>
      <w:color w:val="000000"/>
      <w:kern w:val="0"/>
      <w:sz w:val="24"/>
      <w:szCs w:val="24"/>
      <w:lang w:val="en-GB" w:eastAsia="zh-CN"/>
      <w14:ligatures w14:val="none"/>
    </w:rPr>
  </w:style>
  <w:style w:type="paragraph" w:customStyle="1" w:styleId="StyleHeading40">
    <w:name w:val="Style Heading 4 +"/>
    <w:basedOn w:val="Balk4"/>
    <w:link w:val="StyleHeading4Char0"/>
    <w:autoRedefine/>
    <w:rsid w:val="00A81419"/>
    <w:pPr>
      <w:keepLines w:val="0"/>
      <w:spacing w:before="0" w:after="120" w:line="360" w:lineRule="auto"/>
      <w:jc w:val="both"/>
    </w:pPr>
    <w:rPr>
      <w:rFonts w:ascii="Arial" w:hAnsi="Arial" w:cs="Times New Roman"/>
      <w:iCs w:val="0"/>
      <w:color w:val="000000"/>
      <w:kern w:val="0"/>
      <w:sz w:val="24"/>
      <w:szCs w:val="24"/>
      <w:lang w:val="en-GB" w:eastAsia="zh-CN"/>
      <w14:ligatures w14:val="none"/>
    </w:rPr>
  </w:style>
  <w:style w:type="paragraph" w:customStyle="1" w:styleId="StyleHeading4Blue">
    <w:name w:val="Style Heading 4 +  Blue"/>
    <w:basedOn w:val="Balk4"/>
    <w:link w:val="StyleHeading4BlueChar"/>
    <w:autoRedefine/>
    <w:rsid w:val="00A81419"/>
    <w:pPr>
      <w:keepLines w:val="0"/>
      <w:spacing w:before="0" w:after="120" w:line="360" w:lineRule="auto"/>
      <w:jc w:val="both"/>
    </w:pPr>
    <w:rPr>
      <w:rFonts w:ascii="Arial" w:hAnsi="Arial" w:cs="Times New Roman"/>
      <w:iCs w:val="0"/>
      <w:color w:val="0000FF"/>
      <w:kern w:val="0"/>
      <w:sz w:val="24"/>
      <w:szCs w:val="24"/>
      <w:lang w:val="en-GB" w:eastAsia="zh-CN"/>
      <w14:ligatures w14:val="none"/>
    </w:rPr>
  </w:style>
  <w:style w:type="character" w:customStyle="1" w:styleId="StyleHeading4BlueChar">
    <w:name w:val="Style Heading 4 +  Blue Char"/>
    <w:basedOn w:val="Balk4Char"/>
    <w:link w:val="StyleHeading4Blue"/>
    <w:rsid w:val="00A81419"/>
    <w:rPr>
      <w:rFonts w:ascii="Arial" w:eastAsiaTheme="majorEastAsia" w:hAnsi="Arial" w:cs="Times New Roman"/>
      <w:i/>
      <w:iCs w:val="0"/>
      <w:color w:val="0000FF"/>
      <w:kern w:val="0"/>
      <w:sz w:val="24"/>
      <w:szCs w:val="24"/>
      <w:lang w:val="en-GB" w:eastAsia="zh-CN"/>
      <w14:ligatures w14:val="none"/>
    </w:rPr>
  </w:style>
  <w:style w:type="paragraph" w:customStyle="1" w:styleId="StyleHeading4BlueStrikethrough">
    <w:name w:val="Style Heading 4 +  Blue Strikethrough"/>
    <w:basedOn w:val="Balk4"/>
    <w:autoRedefine/>
    <w:rsid w:val="00A81419"/>
    <w:pPr>
      <w:keepLines w:val="0"/>
      <w:spacing w:before="0" w:after="120" w:line="360" w:lineRule="auto"/>
      <w:jc w:val="both"/>
    </w:pPr>
    <w:rPr>
      <w:rFonts w:ascii="Arial" w:eastAsia="Times New Roman" w:hAnsi="Arial" w:cs="Times New Roman"/>
      <w:bCs/>
      <w:iCs w:val="0"/>
      <w:strike/>
      <w:color w:val="0000FF"/>
      <w:kern w:val="0"/>
      <w:lang w:val="en-GB" w:eastAsia="zh-CN"/>
      <w14:ligatures w14:val="none"/>
    </w:rPr>
  </w:style>
  <w:style w:type="character" w:customStyle="1" w:styleId="StyleHeading4Char0">
    <w:name w:val="Style Heading 4 + Char"/>
    <w:basedOn w:val="Balk4Char"/>
    <w:link w:val="StyleHeading40"/>
    <w:rsid w:val="00A81419"/>
    <w:rPr>
      <w:rFonts w:ascii="Arial" w:eastAsiaTheme="majorEastAsia" w:hAnsi="Arial" w:cs="Times New Roman"/>
      <w:i/>
      <w:iCs w:val="0"/>
      <w:color w:val="000000"/>
      <w:kern w:val="0"/>
      <w:sz w:val="24"/>
      <w:szCs w:val="24"/>
      <w:lang w:val="en-GB" w:eastAsia="zh-CN"/>
      <w14:ligatures w14:val="none"/>
    </w:rPr>
  </w:style>
  <w:style w:type="paragraph" w:customStyle="1" w:styleId="StyleHeading4TimesNewRomanBlueStrikethrough">
    <w:name w:val="Style Heading 4 + Times New Roman Blue Strikethrough"/>
    <w:basedOn w:val="Balk4"/>
    <w:link w:val="StyleHeading4TimesNewRomanBlueStrikethroughChar"/>
    <w:autoRedefine/>
    <w:rsid w:val="00A81419"/>
    <w:pPr>
      <w:keepLines w:val="0"/>
      <w:spacing w:before="0" w:after="120" w:line="360" w:lineRule="auto"/>
      <w:jc w:val="both"/>
    </w:pPr>
    <w:rPr>
      <w:rFonts w:ascii="Arial" w:hAnsi="Arial" w:cs="Times New Roman"/>
      <w:iCs w:val="0"/>
      <w:strike/>
      <w:color w:val="0000FF"/>
      <w:kern w:val="0"/>
      <w:sz w:val="24"/>
      <w:szCs w:val="24"/>
      <w:lang w:val="en-GB" w:eastAsia="zh-CN"/>
      <w14:ligatures w14:val="none"/>
    </w:rPr>
  </w:style>
  <w:style w:type="character" w:customStyle="1" w:styleId="StyleHeading4TimesNewRomanBlueStrikethroughChar">
    <w:name w:val="Style Heading 4 + Times New Roman Blue Strikethrough Char"/>
    <w:basedOn w:val="Balk4Char"/>
    <w:link w:val="StyleHeading4TimesNewRomanBlueStrikethrough"/>
    <w:rsid w:val="00A81419"/>
    <w:rPr>
      <w:rFonts w:ascii="Arial" w:eastAsiaTheme="majorEastAsia" w:hAnsi="Arial" w:cs="Times New Roman"/>
      <w:i/>
      <w:iCs w:val="0"/>
      <w:strike/>
      <w:color w:val="0000FF"/>
      <w:kern w:val="0"/>
      <w:sz w:val="24"/>
      <w:szCs w:val="24"/>
      <w:lang w:val="en-GB" w:eastAsia="zh-CN"/>
      <w14:ligatures w14:val="none"/>
    </w:rPr>
  </w:style>
  <w:style w:type="character" w:customStyle="1" w:styleId="StyleHeading4Char">
    <w:name w:val="Style Heading 4 Char"/>
    <w:basedOn w:val="Balk4Char"/>
    <w:link w:val="StyleHeading4"/>
    <w:rsid w:val="00A81419"/>
    <w:rPr>
      <w:rFonts w:ascii="Arial" w:eastAsiaTheme="majorEastAsia" w:hAnsi="Arial" w:cs="Arial"/>
      <w:i/>
      <w:iCs w:val="0"/>
      <w:color w:val="000000"/>
      <w:kern w:val="0"/>
      <w:sz w:val="24"/>
      <w:szCs w:val="24"/>
      <w:lang w:val="en-GB" w:eastAsia="zh-CN"/>
      <w14:ligatures w14:val="none"/>
    </w:rPr>
  </w:style>
  <w:style w:type="paragraph" w:customStyle="1" w:styleId="StyleHeading5">
    <w:name w:val="Style Heading 5 +"/>
    <w:basedOn w:val="Balk5"/>
    <w:link w:val="StyleHeading5Char"/>
    <w:autoRedefine/>
    <w:rsid w:val="00A81419"/>
    <w:pPr>
      <w:keepLines w:val="0"/>
      <w:numPr>
        <w:ilvl w:val="4"/>
      </w:numPr>
      <w:tabs>
        <w:tab w:val="left" w:pos="1701"/>
      </w:tabs>
      <w:spacing w:before="0" w:after="240" w:line="276" w:lineRule="auto"/>
      <w:ind w:left="1440" w:hanging="1080"/>
    </w:pPr>
    <w:rPr>
      <w:rFonts w:ascii="Arial" w:eastAsia="Times New Roman" w:hAnsi="Arial" w:cs="Times New Roman"/>
      <w:b/>
      <w:bCs/>
      <w:color w:val="0000FF"/>
      <w:spacing w:val="2"/>
      <w:kern w:val="0"/>
      <w:sz w:val="24"/>
      <w:lang w:val="en-GB" w:eastAsia="zh-CN"/>
      <w14:ligatures w14:val="none"/>
    </w:rPr>
  </w:style>
  <w:style w:type="paragraph" w:customStyle="1" w:styleId="StyleHeading511pt">
    <w:name w:val="Style Heading 5 +  11 pt"/>
    <w:basedOn w:val="Balk5"/>
    <w:autoRedefine/>
    <w:rsid w:val="00A81419"/>
    <w:pPr>
      <w:keepLines w:val="0"/>
      <w:numPr>
        <w:ilvl w:val="4"/>
      </w:numPr>
      <w:tabs>
        <w:tab w:val="left" w:pos="1701"/>
      </w:tabs>
      <w:spacing w:before="0" w:after="240" w:line="276" w:lineRule="auto"/>
      <w:ind w:left="1440" w:hanging="1080"/>
    </w:pPr>
    <w:rPr>
      <w:rFonts w:ascii="Arial" w:eastAsia="Times New Roman" w:hAnsi="Arial" w:cs="Times New Roman"/>
      <w:b/>
      <w:bCs/>
      <w:color w:val="auto"/>
      <w:kern w:val="0"/>
      <w:sz w:val="20"/>
      <w:lang w:val="en-GB" w:eastAsia="zh-CN"/>
      <w14:ligatures w14:val="none"/>
    </w:rPr>
  </w:style>
  <w:style w:type="paragraph" w:customStyle="1" w:styleId="StyleHeading5Blue">
    <w:name w:val="Style Heading 5 +  Blue"/>
    <w:basedOn w:val="Balk5"/>
    <w:autoRedefine/>
    <w:rsid w:val="00A81419"/>
    <w:pPr>
      <w:keepLines w:val="0"/>
      <w:numPr>
        <w:ilvl w:val="4"/>
      </w:numPr>
      <w:tabs>
        <w:tab w:val="left" w:pos="1701"/>
      </w:tabs>
      <w:spacing w:before="0" w:after="240" w:line="276" w:lineRule="auto"/>
      <w:ind w:left="1440" w:hanging="1080"/>
    </w:pPr>
    <w:rPr>
      <w:rFonts w:ascii="Arial" w:eastAsia="Times New Roman" w:hAnsi="Arial" w:cs="Times New Roman"/>
      <w:b/>
      <w:bCs/>
      <w:color w:val="0000FF"/>
      <w:kern w:val="0"/>
      <w:sz w:val="20"/>
      <w:szCs w:val="20"/>
      <w:lang w:val="en-GB" w:eastAsia="zh-CN"/>
      <w14:ligatures w14:val="none"/>
    </w:rPr>
  </w:style>
  <w:style w:type="character" w:customStyle="1" w:styleId="StyleHeading5Char">
    <w:name w:val="Style Heading 5 + Char"/>
    <w:basedOn w:val="Heading6Char1"/>
    <w:link w:val="StyleHeading5"/>
    <w:rsid w:val="00A81419"/>
    <w:rPr>
      <w:rFonts w:ascii="Arial" w:eastAsia="Times New Roman" w:hAnsi="Arial" w:cs="Times New Roman"/>
      <w:b/>
      <w:bCs/>
      <w:color w:val="0000FF"/>
      <w:spacing w:val="2"/>
      <w:kern w:val="0"/>
      <w:sz w:val="24"/>
      <w:szCs w:val="22"/>
      <w:lang w:val="en-GB" w:eastAsia="zh-CN"/>
      <w14:ligatures w14:val="none"/>
    </w:rPr>
  </w:style>
  <w:style w:type="paragraph" w:customStyle="1" w:styleId="StyleHeading6">
    <w:name w:val="Style Heading 6"/>
    <w:basedOn w:val="Balk6"/>
    <w:link w:val="StyleHeading6Char"/>
    <w:autoRedefine/>
    <w:rsid w:val="00A81419"/>
    <w:pPr>
      <w:keepLines w:val="0"/>
      <w:tabs>
        <w:tab w:val="left" w:pos="1985"/>
      </w:tabs>
      <w:spacing w:before="0" w:line="276" w:lineRule="auto"/>
    </w:pPr>
    <w:rPr>
      <w:rFonts w:ascii="Arial" w:eastAsia="Times New Roman" w:hAnsi="Arial" w:cs="Times New Roman"/>
      <w:i w:val="0"/>
      <w:spacing w:val="2"/>
      <w:kern w:val="0"/>
      <w:sz w:val="20"/>
      <w:lang w:val="en-GB" w:eastAsia="zh-CN"/>
      <w14:ligatures w14:val="none"/>
    </w:rPr>
  </w:style>
  <w:style w:type="character" w:customStyle="1" w:styleId="StyleHeading6Char">
    <w:name w:val="Style Heading 6 Char"/>
    <w:basedOn w:val="Balk6Char"/>
    <w:link w:val="StyleHeading6"/>
    <w:rsid w:val="00A81419"/>
    <w:rPr>
      <w:rFonts w:ascii="Arial" w:eastAsia="Times New Roman" w:hAnsi="Arial" w:cs="Times New Roman"/>
      <w:i w:val="0"/>
      <w:iCs/>
      <w:color w:val="595959" w:themeColor="text1" w:themeTint="A6"/>
      <w:spacing w:val="2"/>
      <w:kern w:val="0"/>
      <w:sz w:val="20"/>
      <w:lang w:val="en-GB" w:eastAsia="zh-CN"/>
      <w14:ligatures w14:val="none"/>
    </w:rPr>
  </w:style>
  <w:style w:type="paragraph" w:customStyle="1" w:styleId="AbstractTitle">
    <w:name w:val="Abstract Title"/>
    <w:basedOn w:val="Normal"/>
    <w:next w:val="Normal"/>
    <w:rsid w:val="00A81419"/>
    <w:pPr>
      <w:spacing w:before="360" w:after="180" w:line="276" w:lineRule="auto"/>
      <w:jc w:val="center"/>
    </w:pPr>
    <w:rPr>
      <w:rFonts w:ascii="Times New Roman" w:eastAsia="Times New Roman" w:hAnsi="Times New Roman" w:cs="Times New Roman"/>
      <w:b/>
      <w:kern w:val="24"/>
      <w:sz w:val="28"/>
      <w:szCs w:val="24"/>
      <w:lang w:val="en-GB"/>
      <w14:ligatures w14:val="none"/>
    </w:rPr>
  </w:style>
  <w:style w:type="paragraph" w:customStyle="1" w:styleId="BodyTextKeepCharChar">
    <w:name w:val="Body Text Keep Char Char"/>
    <w:basedOn w:val="GvdeMetnia"/>
    <w:next w:val="GvdeMetnia"/>
    <w:rsid w:val="00A81419"/>
    <w:pPr>
      <w:keepNext/>
      <w:widowControl/>
      <w:autoSpaceDE/>
      <w:autoSpaceDN/>
      <w:spacing w:after="240"/>
    </w:pPr>
    <w:rPr>
      <w:rFonts w:ascii="Garamond" w:hAnsi="Garamond"/>
      <w:spacing w:val="-5"/>
      <w:szCs w:val="24"/>
      <w:lang w:val="en-US"/>
    </w:rPr>
  </w:style>
  <w:style w:type="character" w:customStyle="1" w:styleId="BodyTextKeepCharCharChar">
    <w:name w:val="Body Text Keep Char Char Char"/>
    <w:basedOn w:val="VarsaylanParagrafYazTipi"/>
    <w:rsid w:val="00A81419"/>
    <w:rPr>
      <w:rFonts w:ascii="Garamond" w:hAnsi="Garamond"/>
      <w:spacing w:val="-5"/>
      <w:sz w:val="24"/>
      <w:lang w:val="en-US" w:eastAsia="en-US" w:bidi="ar-SA"/>
    </w:rPr>
  </w:style>
  <w:style w:type="paragraph" w:customStyle="1" w:styleId="NormalText">
    <w:name w:val="Normal Text"/>
    <w:basedOn w:val="Normal"/>
    <w:link w:val="NormalTextChar"/>
    <w:rsid w:val="00A81419"/>
    <w:pPr>
      <w:spacing w:before="60" w:after="60" w:line="276" w:lineRule="auto"/>
      <w:jc w:val="both"/>
    </w:pPr>
    <w:rPr>
      <w:rFonts w:ascii="Times New Roman" w:eastAsia="Times New Roman" w:hAnsi="Times New Roman" w:cs="Times New Roman"/>
      <w:kern w:val="24"/>
      <w:szCs w:val="20"/>
      <w:lang w:val="en-GB"/>
      <w14:ligatures w14:val="none"/>
    </w:rPr>
  </w:style>
  <w:style w:type="paragraph" w:customStyle="1" w:styleId="featurecontent">
    <w:name w:val="featurecontent"/>
    <w:basedOn w:val="Normal"/>
    <w:rsid w:val="00A81419"/>
    <w:pPr>
      <w:spacing w:before="100" w:beforeAutospacing="1" w:after="100" w:afterAutospacing="1" w:line="276" w:lineRule="auto"/>
      <w:jc w:val="both"/>
    </w:pPr>
    <w:rPr>
      <w:rFonts w:ascii="Verdana" w:eastAsia="Times New Roman" w:hAnsi="Verdana" w:cs="Times New Roman"/>
      <w:color w:val="333366"/>
      <w:kern w:val="0"/>
      <w:sz w:val="16"/>
      <w:szCs w:val="16"/>
      <w:lang w:val="el-GR" w:eastAsia="el-GR"/>
      <w14:ligatures w14:val="none"/>
    </w:rPr>
  </w:style>
  <w:style w:type="paragraph" w:customStyle="1" w:styleId="featureheader">
    <w:name w:val="featureheader"/>
    <w:basedOn w:val="Normal"/>
    <w:rsid w:val="00A81419"/>
    <w:pPr>
      <w:spacing w:before="100" w:beforeAutospacing="1" w:after="100" w:afterAutospacing="1" w:line="276" w:lineRule="auto"/>
      <w:jc w:val="both"/>
    </w:pPr>
    <w:rPr>
      <w:rFonts w:ascii="Verdana" w:eastAsia="Times New Roman" w:hAnsi="Verdana" w:cs="Times New Roman"/>
      <w:b/>
      <w:bCs/>
      <w:color w:val="000000"/>
      <w:kern w:val="0"/>
      <w:sz w:val="19"/>
      <w:szCs w:val="19"/>
      <w:lang w:val="el-GR" w:eastAsia="el-GR"/>
      <w14:ligatures w14:val="none"/>
    </w:rPr>
  </w:style>
  <w:style w:type="paragraph" w:customStyle="1" w:styleId="Heading3H30Char">
    <w:name w:val="Heading 3.H3.0 Char"/>
    <w:basedOn w:val="Balk1"/>
    <w:next w:val="NormalInitial"/>
    <w:rsid w:val="00A81419"/>
    <w:pPr>
      <w:keepNext w:val="0"/>
      <w:autoSpaceDE w:val="0"/>
      <w:autoSpaceDN w:val="0"/>
      <w:spacing w:before="120" w:after="240" w:line="360" w:lineRule="auto"/>
      <w:ind w:left="567"/>
      <w:jc w:val="both"/>
      <w:outlineLvl w:val="2"/>
    </w:pPr>
    <w:rPr>
      <w:rFonts w:ascii="Arial" w:eastAsia="Times New Roman" w:hAnsi="Arial" w:cs="Times New Roman"/>
      <w:bCs/>
      <w:kern w:val="28"/>
      <w:sz w:val="28"/>
      <w:szCs w:val="24"/>
      <w:lang w:val="en-GB" w:eastAsia="el-GR"/>
      <w14:ligatures w14:val="none"/>
    </w:rPr>
  </w:style>
  <w:style w:type="paragraph" w:customStyle="1" w:styleId="headtitle">
    <w:name w:val="headtitle"/>
    <w:basedOn w:val="Normal"/>
    <w:rsid w:val="00A81419"/>
    <w:pPr>
      <w:spacing w:before="100" w:beforeAutospacing="1" w:after="100" w:afterAutospacing="1" w:line="276" w:lineRule="auto"/>
      <w:jc w:val="both"/>
    </w:pPr>
    <w:rPr>
      <w:rFonts w:ascii="Arial" w:eastAsia="Times New Roman" w:hAnsi="Arial" w:cs="Arial"/>
      <w:b/>
      <w:bCs/>
      <w:color w:val="000066"/>
      <w:kern w:val="0"/>
      <w:sz w:val="21"/>
      <w:szCs w:val="21"/>
      <w:lang w:val="el-GR" w:eastAsia="el-GR"/>
      <w14:ligatures w14:val="none"/>
    </w:rPr>
  </w:style>
  <w:style w:type="character" w:customStyle="1" w:styleId="NormalTextChar">
    <w:name w:val="Normal Text Char"/>
    <w:link w:val="NormalText"/>
    <w:rsid w:val="00A81419"/>
    <w:rPr>
      <w:rFonts w:ascii="Times New Roman" w:eastAsia="Times New Roman" w:hAnsi="Times New Roman" w:cs="Times New Roman"/>
      <w:kern w:val="24"/>
      <w:szCs w:val="20"/>
      <w:lang w:val="en-GB"/>
      <w14:ligatures w14:val="none"/>
    </w:rPr>
  </w:style>
  <w:style w:type="paragraph" w:customStyle="1" w:styleId="StyleHeading1Before0pt">
    <w:name w:val="Style Heading 1 + Before:  0 pt"/>
    <w:basedOn w:val="Balk1"/>
    <w:rsid w:val="00A81419"/>
    <w:pPr>
      <w:spacing w:before="0" w:after="240" w:line="360" w:lineRule="auto"/>
      <w:jc w:val="center"/>
    </w:pPr>
    <w:rPr>
      <w:rFonts w:ascii="Arial" w:eastAsia="Times New Roman" w:hAnsi="Arial" w:cs="Times New Roman"/>
      <w:b w:val="0"/>
      <w:bCs/>
      <w:kern w:val="28"/>
      <w:sz w:val="22"/>
      <w:szCs w:val="20"/>
      <w:lang w:val="en-GB" w:eastAsia="zh-CN"/>
      <w14:ligatures w14:val="none"/>
    </w:rPr>
  </w:style>
  <w:style w:type="paragraph" w:customStyle="1" w:styleId="StyleHeading2Bold">
    <w:name w:val="Style Heading 2 + Bold"/>
    <w:basedOn w:val="Balk2"/>
    <w:rsid w:val="00A81419"/>
    <w:pPr>
      <w:pageBreakBefore/>
      <w:spacing w:before="0" w:after="240" w:line="360" w:lineRule="auto"/>
      <w:jc w:val="both"/>
    </w:pPr>
    <w:rPr>
      <w:rFonts w:ascii="Arial" w:eastAsia="Times New Roman" w:hAnsi="Arial" w:cs="Times New Roman"/>
      <w:bCs/>
      <w:kern w:val="0"/>
      <w:sz w:val="28"/>
      <w:szCs w:val="20"/>
      <w:lang w:val="en-GB" w:eastAsia="zh-CN"/>
      <w14:ligatures w14:val="none"/>
    </w:rPr>
  </w:style>
  <w:style w:type="paragraph" w:customStyle="1" w:styleId="StyleHeading5Before0ptAfter6pt">
    <w:name w:val="Style Heading 5 + Before:  0 pt After:  6 pt"/>
    <w:basedOn w:val="Balk5"/>
    <w:rsid w:val="00A81419"/>
    <w:pPr>
      <w:keepLines w:val="0"/>
      <w:numPr>
        <w:ilvl w:val="4"/>
        <w:numId w:val="78"/>
      </w:numPr>
      <w:tabs>
        <w:tab w:val="left" w:pos="1701"/>
      </w:tabs>
      <w:spacing w:before="0" w:after="120" w:line="276" w:lineRule="auto"/>
    </w:pPr>
    <w:rPr>
      <w:rFonts w:ascii="Arial" w:eastAsia="Times New Roman" w:hAnsi="Arial" w:cs="Times New Roman"/>
      <w:b/>
      <w:color w:val="auto"/>
      <w:kern w:val="0"/>
      <w:sz w:val="20"/>
      <w:szCs w:val="20"/>
      <w:lang w:val="en-GB" w:eastAsia="zh-CN"/>
      <w14:ligatures w14:val="none"/>
    </w:rPr>
  </w:style>
  <w:style w:type="paragraph" w:customStyle="1" w:styleId="StyleHeading5Left0Firstline0">
    <w:name w:val="Style Heading 5 + Left:  0&quot; First line:  0&quot;"/>
    <w:basedOn w:val="Balk5"/>
    <w:rsid w:val="00A81419"/>
    <w:pPr>
      <w:keepLines w:val="0"/>
      <w:numPr>
        <w:ilvl w:val="4"/>
        <w:numId w:val="79"/>
      </w:numPr>
      <w:tabs>
        <w:tab w:val="left" w:pos="1701"/>
      </w:tabs>
      <w:spacing w:before="100" w:beforeAutospacing="1" w:after="100" w:afterAutospacing="1" w:line="276" w:lineRule="auto"/>
      <w:outlineLvl w:val="9"/>
    </w:pPr>
    <w:rPr>
      <w:rFonts w:ascii="Arial" w:eastAsia="Times New Roman" w:hAnsi="Arial" w:cs="Times New Roman"/>
      <w:b/>
      <w:color w:val="auto"/>
      <w:kern w:val="0"/>
      <w:sz w:val="20"/>
      <w:szCs w:val="20"/>
      <w:lang w:val="en-GB" w:eastAsia="zh-CN"/>
      <w14:ligatures w14:val="none"/>
    </w:rPr>
  </w:style>
  <w:style w:type="paragraph" w:customStyle="1" w:styleId="StyleNormalTextLeft102cmFirstline0cm">
    <w:name w:val="Style Normal Text + Left:  102 cm First line:  0 cm"/>
    <w:basedOn w:val="NormalText"/>
    <w:rsid w:val="00A81419"/>
    <w:pPr>
      <w:ind w:left="576"/>
    </w:pPr>
    <w:rPr>
      <w:szCs w:val="24"/>
    </w:rPr>
  </w:style>
  <w:style w:type="paragraph" w:customStyle="1" w:styleId="StyleStyleHeading5">
    <w:name w:val="Style Style Heading 5"/>
    <w:basedOn w:val="StyleHeading5Before0ptAfter6pt"/>
    <w:rsid w:val="00A81419"/>
    <w:pPr>
      <w:numPr>
        <w:ilvl w:val="0"/>
        <w:numId w:val="0"/>
      </w:numPr>
    </w:pPr>
    <w:rPr>
      <w:color w:val="000000"/>
    </w:rPr>
  </w:style>
  <w:style w:type="paragraph" w:customStyle="1" w:styleId="StyleTOC1After6pt">
    <w:name w:val="Style TOC 1 + After:  6 pt"/>
    <w:basedOn w:val="T1"/>
    <w:autoRedefine/>
    <w:rsid w:val="00A81419"/>
    <w:pPr>
      <w:tabs>
        <w:tab w:val="left" w:pos="425"/>
        <w:tab w:val="left" w:pos="480"/>
        <w:tab w:val="right" w:leader="dot" w:pos="8494"/>
        <w:tab w:val="right" w:leader="dot" w:pos="10195"/>
      </w:tabs>
      <w:spacing w:before="120" w:after="0"/>
      <w:ind w:left="425" w:hanging="425"/>
      <w:jc w:val="both"/>
    </w:pPr>
    <w:rPr>
      <w:b/>
      <w:caps/>
      <w:noProof/>
      <w:sz w:val="20"/>
      <w:szCs w:val="20"/>
      <w:lang w:val="en-GB" w:eastAsia="zh-CN"/>
    </w:rPr>
  </w:style>
  <w:style w:type="paragraph" w:customStyle="1" w:styleId="TableL01">
    <w:name w:val="Table L0.1"/>
    <w:basedOn w:val="Normal"/>
    <w:rsid w:val="00A81419"/>
    <w:pPr>
      <w:keepLines/>
      <w:spacing w:before="20" w:after="20" w:line="276" w:lineRule="auto"/>
      <w:ind w:left="57" w:right="57"/>
      <w:jc w:val="both"/>
    </w:pPr>
    <w:rPr>
      <w:rFonts w:ascii="Times New Roman" w:eastAsia="Times New Roman" w:hAnsi="Times New Roman" w:cs="Times New Roman"/>
      <w:kern w:val="0"/>
      <w:szCs w:val="24"/>
      <w:lang w:val="en-GB"/>
      <w14:ligatures w14:val="none"/>
    </w:rPr>
  </w:style>
  <w:style w:type="paragraph" w:customStyle="1" w:styleId="TOC232">
    <w:name w:val="TOC 232"/>
    <w:basedOn w:val="Normal"/>
    <w:rsid w:val="00A81419"/>
    <w:pPr>
      <w:numPr>
        <w:ilvl w:val="1"/>
        <w:numId w:val="82"/>
      </w:numPr>
      <w:spacing w:after="0" w:line="276" w:lineRule="auto"/>
      <w:jc w:val="both"/>
    </w:pPr>
    <w:rPr>
      <w:rFonts w:ascii="Times New Roman" w:eastAsia="Times New Roman" w:hAnsi="Times New Roman" w:cs="Times New Roman"/>
      <w:kern w:val="0"/>
      <w:szCs w:val="24"/>
      <w:lang w:val="en-GB"/>
      <w14:ligatures w14:val="none"/>
    </w:rPr>
  </w:style>
  <w:style w:type="character" w:customStyle="1" w:styleId="CaptioncommentChar">
    <w:name w:val="Caption comment Char"/>
    <w:link w:val="Captioncomment"/>
    <w:rsid w:val="00A81419"/>
    <w:rPr>
      <w:rFonts w:ascii="Times New Roman" w:eastAsia="Times New Roman" w:hAnsi="Times New Roman" w:cs="Times New Roman"/>
      <w:kern w:val="24"/>
      <w:szCs w:val="24"/>
      <w:lang w:val="en-GB"/>
      <w14:ligatures w14:val="none"/>
    </w:rPr>
  </w:style>
  <w:style w:type="paragraph" w:customStyle="1" w:styleId="StyleExecutiveSummarylevel2Left09cmFirstline0cm">
    <w:name w:val="Style Executive Summary level 2 + Left:  0.9 cm First line:  0 cm"/>
    <w:basedOn w:val="ExecutiveSummarylevel2"/>
    <w:rsid w:val="00A81419"/>
    <w:pPr>
      <w:spacing w:line="260" w:lineRule="exact"/>
      <w:ind w:left="510" w:firstLine="0"/>
    </w:pPr>
  </w:style>
  <w:style w:type="character" w:customStyle="1" w:styleId="TableBulletsChar">
    <w:name w:val="Table Bullets Char"/>
    <w:link w:val="TableBullets"/>
    <w:rsid w:val="00A81419"/>
    <w:rPr>
      <w:rFonts w:ascii="Times New Roman" w:eastAsia="Times New Roman" w:hAnsi="Times New Roman" w:cs="Times New Roman"/>
      <w:kern w:val="0"/>
      <w:sz w:val="20"/>
      <w:szCs w:val="20"/>
      <w:lang w:val="en-GB" w:eastAsia="en-GB"/>
      <w14:ligatures w14:val="none"/>
    </w:rPr>
  </w:style>
  <w:style w:type="character" w:styleId="HTMLKsaltmas">
    <w:name w:val="HTML Acronym"/>
    <w:basedOn w:val="VarsaylanParagrafYazTipi"/>
    <w:semiHidden/>
    <w:rsid w:val="00A81419"/>
  </w:style>
  <w:style w:type="character" w:customStyle="1" w:styleId="ftCarCar">
    <w:name w:val="ft Car Car"/>
    <w:basedOn w:val="VarsaylanParagrafYazTipi"/>
    <w:rsid w:val="00A81419"/>
    <w:rPr>
      <w:b/>
      <w:szCs w:val="24"/>
      <w:lang w:val="en-GB" w:eastAsia="en-US" w:bidi="ar-SA"/>
    </w:rPr>
  </w:style>
  <w:style w:type="character" w:customStyle="1" w:styleId="H3Car">
    <w:name w:val="H3 Car"/>
    <w:aliases w:val="0 Car Car"/>
    <w:basedOn w:val="VarsaylanParagrafYazTipi"/>
    <w:rsid w:val="00A81419"/>
    <w:rPr>
      <w:rFonts w:ascii="Arial" w:hAnsi="Arial"/>
      <w:b/>
      <w:sz w:val="24"/>
      <w:lang w:val="en-GB" w:eastAsia="zh-CN" w:bidi="ar-SA"/>
    </w:rPr>
  </w:style>
  <w:style w:type="paragraph" w:customStyle="1" w:styleId="captioncomments0">
    <w:name w:val="captioncomments"/>
    <w:basedOn w:val="Normal"/>
    <w:rsid w:val="00A81419"/>
    <w:pPr>
      <w:spacing w:before="100" w:beforeAutospacing="1" w:after="100" w:afterAutospacing="1" w:line="276" w:lineRule="auto"/>
      <w:jc w:val="both"/>
    </w:pPr>
    <w:rPr>
      <w:rFonts w:ascii="Times New Roman" w:eastAsia="Times New Roman" w:hAnsi="Times New Roman" w:cs="Times New Roman"/>
      <w:kern w:val="0"/>
      <w:sz w:val="24"/>
      <w:szCs w:val="24"/>
      <w:lang w:val="en-GB" w:eastAsia="en-GB"/>
      <w14:ligatures w14:val="none"/>
    </w:rPr>
  </w:style>
  <w:style w:type="paragraph" w:customStyle="1" w:styleId="InsideAddress">
    <w:name w:val="Inside Address"/>
    <w:basedOn w:val="Normal"/>
    <w:rsid w:val="00A81419"/>
    <w:pPr>
      <w:spacing w:after="0" w:line="276" w:lineRule="auto"/>
      <w:jc w:val="both"/>
    </w:pPr>
    <w:rPr>
      <w:rFonts w:ascii="Times New Roman" w:eastAsia="Times New Roman" w:hAnsi="Times New Roman" w:cs="Times New Roman"/>
      <w:kern w:val="0"/>
      <w:szCs w:val="24"/>
      <w:lang w:val="en-GB"/>
      <w14:ligatures w14:val="none"/>
    </w:rPr>
  </w:style>
  <w:style w:type="paragraph" w:customStyle="1" w:styleId="ReferenceLine">
    <w:name w:val="Reference Line"/>
    <w:basedOn w:val="GvdeMetnia"/>
    <w:rsid w:val="00A81419"/>
    <w:pPr>
      <w:widowControl/>
      <w:autoSpaceDE/>
      <w:autoSpaceDN/>
      <w:spacing w:after="240"/>
    </w:pPr>
    <w:rPr>
      <w:szCs w:val="24"/>
      <w:lang w:val="en-GB"/>
    </w:rPr>
  </w:style>
  <w:style w:type="paragraph" w:customStyle="1" w:styleId="TabelTekst">
    <w:name w:val="Tabel Tekst"/>
    <w:basedOn w:val="Normal"/>
    <w:rsid w:val="00A81419"/>
    <w:pPr>
      <w:keepLines/>
      <w:spacing w:after="0" w:line="240" w:lineRule="atLeast"/>
      <w:jc w:val="both"/>
    </w:pPr>
    <w:rPr>
      <w:rFonts w:ascii="Times New Roman" w:eastAsia="Times New Roman" w:hAnsi="Times New Roman" w:cs="Times New Roman"/>
      <w:kern w:val="24"/>
      <w:szCs w:val="24"/>
      <w:lang w:val="en-GB"/>
      <w14:ligatures w14:val="none"/>
    </w:rPr>
  </w:style>
  <w:style w:type="paragraph" w:customStyle="1" w:styleId="ZCom">
    <w:name w:val="Z_Com"/>
    <w:basedOn w:val="Normal"/>
    <w:next w:val="ZDGName"/>
    <w:rsid w:val="00A81419"/>
    <w:pPr>
      <w:widowControl w:val="0"/>
      <w:spacing w:after="0" w:line="276" w:lineRule="auto"/>
      <w:ind w:right="85"/>
      <w:jc w:val="both"/>
    </w:pPr>
    <w:rPr>
      <w:rFonts w:ascii="Arial" w:eastAsia="Times New Roman" w:hAnsi="Arial" w:cs="Times New Roman"/>
      <w:snapToGrid w:val="0"/>
      <w:kern w:val="0"/>
      <w:sz w:val="24"/>
      <w:szCs w:val="24"/>
      <w:lang w:val="en-GB"/>
      <w14:ligatures w14:val="none"/>
    </w:rPr>
  </w:style>
  <w:style w:type="paragraph" w:customStyle="1" w:styleId="ReferenceTable">
    <w:name w:val="Reference Table"/>
    <w:basedOn w:val="Normal"/>
    <w:rsid w:val="00A81419"/>
    <w:pPr>
      <w:spacing w:after="240" w:line="276" w:lineRule="auto"/>
      <w:ind w:left="454" w:hanging="454"/>
      <w:jc w:val="both"/>
    </w:pPr>
    <w:rPr>
      <w:rFonts w:ascii="Arial" w:eastAsia="Times New Roman" w:hAnsi="Arial" w:cs="Times New Roman"/>
      <w:kern w:val="0"/>
      <w:sz w:val="20"/>
      <w:szCs w:val="24"/>
      <w:lang w:val="fr-FR"/>
      <w14:ligatures w14:val="none"/>
    </w:rPr>
  </w:style>
  <w:style w:type="paragraph" w:customStyle="1" w:styleId="ZDGName">
    <w:name w:val="Z_DGName"/>
    <w:basedOn w:val="Normal"/>
    <w:rsid w:val="00A81419"/>
    <w:pPr>
      <w:widowControl w:val="0"/>
      <w:spacing w:after="0" w:line="276" w:lineRule="auto"/>
      <w:ind w:right="85"/>
      <w:jc w:val="both"/>
    </w:pPr>
    <w:rPr>
      <w:rFonts w:ascii="Arial" w:eastAsia="Times New Roman" w:hAnsi="Arial" w:cs="Times New Roman"/>
      <w:snapToGrid w:val="0"/>
      <w:kern w:val="0"/>
      <w:sz w:val="16"/>
      <w:szCs w:val="24"/>
      <w:lang w:val="en-GB"/>
      <w14:ligatures w14:val="none"/>
    </w:rPr>
  </w:style>
  <w:style w:type="paragraph" w:customStyle="1" w:styleId="Tabell">
    <w:name w:val="Tabell"/>
    <w:basedOn w:val="Normal"/>
    <w:rsid w:val="00A81419"/>
    <w:pPr>
      <w:spacing w:after="0" w:line="276" w:lineRule="auto"/>
      <w:jc w:val="both"/>
    </w:pPr>
    <w:rPr>
      <w:rFonts w:ascii="Arial" w:eastAsia="Times New Roman" w:hAnsi="Arial" w:cs="Times New Roman"/>
      <w:kern w:val="0"/>
      <w:szCs w:val="24"/>
      <w:lang w:val="sv-SE"/>
      <w14:ligatures w14:val="none"/>
    </w:rPr>
  </w:style>
  <w:style w:type="paragraph" w:customStyle="1" w:styleId="Tabellen">
    <w:name w:val="Tabellen"/>
    <w:basedOn w:val="Normal"/>
    <w:rsid w:val="00A81419"/>
    <w:pPr>
      <w:tabs>
        <w:tab w:val="left" w:pos="1134"/>
      </w:tabs>
      <w:spacing w:before="120" w:after="0" w:line="276" w:lineRule="auto"/>
      <w:jc w:val="both"/>
    </w:pPr>
    <w:rPr>
      <w:rFonts w:ascii="Times New Roman" w:eastAsia="Times New Roman" w:hAnsi="Times New Roman" w:cs="Times New Roman"/>
      <w:kern w:val="0"/>
      <w:szCs w:val="24"/>
      <w:lang w:val="en-GB"/>
      <w14:ligatures w14:val="none"/>
    </w:rPr>
  </w:style>
  <w:style w:type="paragraph" w:customStyle="1" w:styleId="Absatz">
    <w:name w:val="Absatz"/>
    <w:basedOn w:val="Normal"/>
    <w:rsid w:val="00A81419"/>
    <w:pPr>
      <w:spacing w:after="240" w:line="360" w:lineRule="exact"/>
      <w:jc w:val="both"/>
    </w:pPr>
    <w:rPr>
      <w:rFonts w:ascii="Times New Roman" w:eastAsia="Times New Roman" w:hAnsi="Times New Roman" w:cs="Times New Roman"/>
      <w:kern w:val="0"/>
      <w:sz w:val="24"/>
      <w:szCs w:val="24"/>
      <w:lang w:val="en-GB"/>
      <w14:ligatures w14:val="none"/>
    </w:rPr>
  </w:style>
  <w:style w:type="paragraph" w:customStyle="1" w:styleId="BeschriftungB1">
    <w:name w:val="Beschriftung.B 1"/>
    <w:basedOn w:val="Normal"/>
    <w:next w:val="Normal"/>
    <w:rsid w:val="00A81419"/>
    <w:pPr>
      <w:spacing w:before="60" w:after="240" w:line="276" w:lineRule="auto"/>
      <w:ind w:left="1191" w:hanging="1191"/>
      <w:jc w:val="both"/>
    </w:pPr>
    <w:rPr>
      <w:rFonts w:ascii="Times New Roman" w:eastAsia="Times New Roman" w:hAnsi="Times New Roman" w:cs="Times New Roman"/>
      <w:b/>
      <w:kern w:val="0"/>
      <w:sz w:val="24"/>
      <w:szCs w:val="24"/>
      <w:lang w:val="en-GB"/>
      <w14:ligatures w14:val="none"/>
    </w:rPr>
  </w:style>
  <w:style w:type="paragraph" w:customStyle="1" w:styleId="PleugerBildunterschriften">
    <w:name w:val="PleugerBildunterschriften"/>
    <w:basedOn w:val="GvdeMetnia"/>
    <w:autoRedefine/>
    <w:rsid w:val="00A81419"/>
    <w:pPr>
      <w:widowControl/>
      <w:autoSpaceDE/>
      <w:autoSpaceDN/>
      <w:spacing w:before="120" w:after="240" w:line="300" w:lineRule="auto"/>
    </w:pPr>
    <w:rPr>
      <w:rFonts w:ascii="Arial" w:hAnsi="Arial"/>
      <w:szCs w:val="24"/>
      <w:lang w:val="en-GB"/>
    </w:rPr>
  </w:style>
  <w:style w:type="paragraph" w:customStyle="1" w:styleId="Quelle">
    <w:name w:val="Quelle"/>
    <w:basedOn w:val="Normal"/>
    <w:next w:val="Normal"/>
    <w:rsid w:val="00A81419"/>
    <w:pPr>
      <w:spacing w:after="0" w:line="240" w:lineRule="atLeast"/>
      <w:jc w:val="both"/>
    </w:pPr>
    <w:rPr>
      <w:rFonts w:ascii="Times New Roman" w:eastAsia="Times New Roman" w:hAnsi="Times New Roman" w:cs="Times New Roman"/>
      <w:kern w:val="0"/>
      <w:szCs w:val="24"/>
      <w:lang w:val="en-GB"/>
      <w14:ligatures w14:val="none"/>
    </w:rPr>
  </w:style>
  <w:style w:type="paragraph" w:customStyle="1" w:styleId="Tabelle">
    <w:name w:val="Tabelle"/>
    <w:basedOn w:val="Normal"/>
    <w:rsid w:val="00A81419"/>
    <w:pPr>
      <w:keepNext/>
      <w:widowControl w:val="0"/>
      <w:tabs>
        <w:tab w:val="right" w:pos="720"/>
        <w:tab w:val="left" w:pos="1080"/>
      </w:tabs>
      <w:spacing w:before="40" w:after="40" w:line="240" w:lineRule="atLeast"/>
      <w:jc w:val="both"/>
    </w:pPr>
    <w:rPr>
      <w:rFonts w:ascii="Arial" w:eastAsia="Times New Roman" w:hAnsi="Arial" w:cs="Times New Roman"/>
      <w:kern w:val="0"/>
      <w:sz w:val="18"/>
      <w:szCs w:val="24"/>
      <w:lang w:val="de-DE" w:eastAsia="de-DE"/>
      <w14:ligatures w14:val="none"/>
    </w:rPr>
  </w:style>
  <w:style w:type="paragraph" w:customStyle="1" w:styleId="VR-fett-M">
    <w:name w:val="VR-fett-M"/>
    <w:basedOn w:val="Normal"/>
    <w:rsid w:val="00A81419"/>
    <w:pPr>
      <w:tabs>
        <w:tab w:val="left" w:pos="1134"/>
        <w:tab w:val="left" w:pos="2268"/>
        <w:tab w:val="left" w:pos="3402"/>
        <w:tab w:val="left" w:pos="4536"/>
        <w:tab w:val="left" w:pos="5670"/>
        <w:tab w:val="left" w:pos="6804"/>
        <w:tab w:val="left" w:pos="7938"/>
        <w:tab w:val="left" w:pos="9072"/>
      </w:tabs>
      <w:spacing w:after="0" w:line="276" w:lineRule="auto"/>
      <w:jc w:val="both"/>
    </w:pPr>
    <w:rPr>
      <w:rFonts w:ascii="Arial" w:eastAsia="Times New Roman" w:hAnsi="Arial" w:cs="Times New Roman"/>
      <w:b/>
      <w:kern w:val="0"/>
      <w:szCs w:val="24"/>
      <w:lang w:val="de-CH"/>
      <w14:ligatures w14:val="none"/>
    </w:rPr>
  </w:style>
  <w:style w:type="character" w:customStyle="1" w:styleId="AltbilgiChar">
    <w:name w:val="Altbilgi Char"/>
    <w:aliases w:val="ft Char"/>
    <w:basedOn w:val="VarsaylanParagrafYazTipi"/>
    <w:link w:val="ft"/>
    <w:rsid w:val="00A81419"/>
    <w:rPr>
      <w:rFonts w:ascii="Times New Roman" w:eastAsia="Calibri" w:hAnsi="Times New Roman" w:cs="Times New Roman"/>
      <w:b/>
      <w:kern w:val="0"/>
      <w:sz w:val="24"/>
      <w:szCs w:val="24"/>
      <w:shd w:val="pct20" w:color="auto" w:fill="auto"/>
      <w:lang w:val="en-GB"/>
      <w14:ligatures w14:val="none"/>
    </w:rPr>
  </w:style>
  <w:style w:type="table" w:customStyle="1" w:styleId="TablaWeb11">
    <w:name w:val="Tabla Web 1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21">
    <w:name w:val="Tabla Web 2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31">
    <w:name w:val="Tabla Web 31"/>
    <w:basedOn w:val="NormalTablo"/>
    <w:semiHidden/>
    <w:rsid w:val="00A81419"/>
    <w:pPr>
      <w:spacing w:after="240" w:line="240" w:lineRule="auto"/>
      <w:jc w:val="both"/>
    </w:pPr>
    <w:rPr>
      <w:rFonts w:ascii="Times New Roman" w:eastAsia="Times New Roman" w:hAnsi="Times New Roman" w:cs="Times New Roman"/>
      <w:kern w:val="0"/>
      <w:sz w:val="20"/>
      <w:szCs w:val="20"/>
      <w:lang w:eastAsia="tr-TR"/>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rrafomanual">
    <w:name w:val="Párrafo manual"/>
    <w:basedOn w:val="Normal"/>
    <w:rsid w:val="00A81419"/>
    <w:pPr>
      <w:spacing w:after="240" w:line="276" w:lineRule="auto"/>
      <w:ind w:firstLine="567"/>
      <w:jc w:val="both"/>
    </w:pPr>
    <w:rPr>
      <w:rFonts w:ascii="Times New Roman" w:eastAsia="Times New Roman" w:hAnsi="Times New Roman" w:cs="Times New Roman"/>
      <w:kern w:val="0"/>
      <w:szCs w:val="24"/>
      <w:lang w:val="en-US"/>
      <w14:ligatures w14:val="none"/>
    </w:rPr>
  </w:style>
  <w:style w:type="paragraph" w:customStyle="1" w:styleId="Point0">
    <w:name w:val="Point 0"/>
    <w:basedOn w:val="Normal"/>
    <w:rsid w:val="00A81419"/>
    <w:pPr>
      <w:spacing w:before="120" w:after="240" w:line="360" w:lineRule="auto"/>
      <w:ind w:left="850" w:hanging="850"/>
      <w:jc w:val="both"/>
    </w:pPr>
    <w:rPr>
      <w:rFonts w:ascii="Times New Roman" w:eastAsia="Times New Roman" w:hAnsi="Times New Roman" w:cs="Times New Roman"/>
      <w:kern w:val="0"/>
      <w:sz w:val="24"/>
      <w:szCs w:val="20"/>
      <w:lang w:val="en-GB"/>
      <w14:ligatures w14:val="none"/>
    </w:rPr>
  </w:style>
  <w:style w:type="paragraph" w:customStyle="1" w:styleId="tablebullets0">
    <w:name w:val="tablebullets"/>
    <w:basedOn w:val="Normal"/>
    <w:rsid w:val="00A81419"/>
    <w:pPr>
      <w:spacing w:before="100" w:beforeAutospacing="1" w:after="100" w:afterAutospacing="1" w:line="276" w:lineRule="auto"/>
      <w:jc w:val="both"/>
    </w:pPr>
    <w:rPr>
      <w:rFonts w:ascii="Times New Roman" w:eastAsia="Times New Roman" w:hAnsi="Times New Roman" w:cs="Times New Roman"/>
      <w:kern w:val="0"/>
      <w:sz w:val="24"/>
      <w:szCs w:val="24"/>
      <w:lang w:val="en-GB" w:eastAsia="en-GB"/>
      <w14:ligatures w14:val="none"/>
    </w:rPr>
  </w:style>
  <w:style w:type="paragraph" w:customStyle="1" w:styleId="Captiontable">
    <w:name w:val="Caption table"/>
    <w:basedOn w:val="ResimYazs4"/>
    <w:link w:val="CaptiontableChar"/>
    <w:rsid w:val="00A81419"/>
    <w:pPr>
      <w:tabs>
        <w:tab w:val="left" w:pos="1418"/>
      </w:tabs>
      <w:spacing w:after="120"/>
      <w:ind w:left="1418" w:hanging="1418"/>
      <w:contextualSpacing/>
      <w:jc w:val="both"/>
    </w:pPr>
    <w:rPr>
      <w:rFonts w:cs="Times New Roman"/>
      <w:bCs/>
      <w:iCs w:val="0"/>
      <w:kern w:val="0"/>
      <w:lang w:val="fr-FR"/>
      <w14:ligatures w14:val="none"/>
    </w:rPr>
  </w:style>
  <w:style w:type="paragraph" w:customStyle="1" w:styleId="Captionpicture">
    <w:name w:val="Caption picture"/>
    <w:basedOn w:val="ResimYazs4"/>
    <w:link w:val="CaptionpictureChar"/>
    <w:rsid w:val="00A81419"/>
    <w:pPr>
      <w:tabs>
        <w:tab w:val="left" w:pos="1418"/>
      </w:tabs>
      <w:spacing w:before="120" w:after="0"/>
      <w:ind w:left="1418" w:hanging="1418"/>
      <w:contextualSpacing/>
      <w:jc w:val="both"/>
    </w:pPr>
    <w:rPr>
      <w:rFonts w:cs="Times New Roman"/>
      <w:bCs/>
      <w:iCs w:val="0"/>
      <w:kern w:val="0"/>
      <w:lang w:val="fr-FR"/>
      <w14:ligatures w14:val="none"/>
    </w:rPr>
  </w:style>
  <w:style w:type="character" w:customStyle="1" w:styleId="CaptiontableChar">
    <w:name w:val="Caption table Char"/>
    <w:basedOn w:val="ResimYazsChar"/>
    <w:link w:val="Captiontable"/>
    <w:rsid w:val="00A81419"/>
    <w:rPr>
      <w:rFonts w:ascii="Times New Roman" w:eastAsia="Calibri" w:hAnsi="Times New Roman" w:cs="Times New Roman"/>
      <w:b/>
      <w:bCs/>
      <w:iCs w:val="0"/>
      <w:color w:val="000000"/>
      <w:kern w:val="0"/>
      <w:sz w:val="24"/>
      <w:szCs w:val="18"/>
      <w:lang w:val="fr-FR" w:eastAsia="en-US"/>
      <w14:ligatures w14:val="none"/>
    </w:rPr>
  </w:style>
  <w:style w:type="character" w:customStyle="1" w:styleId="CaptionpictureChar">
    <w:name w:val="Caption picture Char"/>
    <w:basedOn w:val="ResimYazsChar"/>
    <w:link w:val="Captionpicture"/>
    <w:rsid w:val="00A81419"/>
    <w:rPr>
      <w:rFonts w:ascii="Times New Roman" w:eastAsia="Calibri" w:hAnsi="Times New Roman" w:cs="Times New Roman"/>
      <w:b/>
      <w:bCs/>
      <w:iCs w:val="0"/>
      <w:color w:val="000000"/>
      <w:kern w:val="0"/>
      <w:sz w:val="24"/>
      <w:szCs w:val="18"/>
      <w:lang w:val="fr-FR" w:eastAsia="en-US"/>
      <w14:ligatures w14:val="none"/>
    </w:rPr>
  </w:style>
  <w:style w:type="paragraph" w:customStyle="1" w:styleId="Considrant">
    <w:name w:val="Considérant"/>
    <w:basedOn w:val="Normal"/>
    <w:rsid w:val="00A81419"/>
    <w:pPr>
      <w:numPr>
        <w:numId w:val="83"/>
      </w:numPr>
      <w:spacing w:before="120" w:after="240" w:line="276" w:lineRule="auto"/>
      <w:jc w:val="both"/>
    </w:pPr>
    <w:rPr>
      <w:rFonts w:ascii="Times New Roman" w:eastAsia="Times New Roman" w:hAnsi="Times New Roman" w:cs="Times New Roman"/>
      <w:kern w:val="0"/>
      <w:sz w:val="24"/>
      <w:szCs w:val="24"/>
      <w:lang w:val="en-GB" w:eastAsia="de-DE"/>
      <w14:ligatures w14:val="none"/>
    </w:rPr>
  </w:style>
  <w:style w:type="paragraph" w:customStyle="1" w:styleId="Fait">
    <w:name w:val="Fait à"/>
    <w:basedOn w:val="Normal"/>
    <w:next w:val="Institutionquisigne"/>
    <w:rsid w:val="00A81419"/>
    <w:pPr>
      <w:keepNext/>
      <w:spacing w:before="120" w:after="0" w:line="276" w:lineRule="auto"/>
      <w:jc w:val="both"/>
    </w:pPr>
    <w:rPr>
      <w:rFonts w:ascii="Times New Roman" w:eastAsia="Times New Roman" w:hAnsi="Times New Roman" w:cs="Times New Roman"/>
      <w:kern w:val="0"/>
      <w:sz w:val="24"/>
      <w:szCs w:val="24"/>
      <w:lang w:val="en-GB" w:eastAsia="de-DE"/>
      <w14:ligatures w14:val="none"/>
    </w:rPr>
  </w:style>
  <w:style w:type="paragraph" w:customStyle="1" w:styleId="Formuledadoption">
    <w:name w:val="Formule d'adoption"/>
    <w:basedOn w:val="Normal"/>
    <w:next w:val="Titrearticle"/>
    <w:rsid w:val="00A81419"/>
    <w:pPr>
      <w:keepNext/>
      <w:spacing w:before="120" w:after="240" w:line="276" w:lineRule="auto"/>
      <w:jc w:val="both"/>
    </w:pPr>
    <w:rPr>
      <w:rFonts w:ascii="Times New Roman" w:eastAsia="Times New Roman" w:hAnsi="Times New Roman" w:cs="Times New Roman"/>
      <w:kern w:val="0"/>
      <w:sz w:val="24"/>
      <w:szCs w:val="24"/>
      <w:lang w:val="en-GB" w:eastAsia="de-DE"/>
      <w14:ligatures w14:val="none"/>
    </w:rPr>
  </w:style>
  <w:style w:type="paragraph" w:customStyle="1" w:styleId="Institutionquiagit">
    <w:name w:val="Institution qui agit"/>
    <w:basedOn w:val="Normal"/>
    <w:next w:val="Normal"/>
    <w:rsid w:val="00A81419"/>
    <w:pPr>
      <w:keepNext/>
      <w:spacing w:before="600" w:after="240" w:line="276" w:lineRule="auto"/>
      <w:jc w:val="both"/>
    </w:pPr>
    <w:rPr>
      <w:rFonts w:ascii="Times New Roman" w:eastAsia="Times New Roman" w:hAnsi="Times New Roman" w:cs="Times New Roman"/>
      <w:kern w:val="0"/>
      <w:sz w:val="24"/>
      <w:szCs w:val="24"/>
      <w:lang w:val="en-GB" w:eastAsia="de-DE"/>
      <w14:ligatures w14:val="none"/>
    </w:rPr>
  </w:style>
  <w:style w:type="paragraph" w:customStyle="1" w:styleId="Institutionquisigne">
    <w:name w:val="Institution qui signe"/>
    <w:basedOn w:val="Normal"/>
    <w:next w:val="Personnequisigne"/>
    <w:rsid w:val="00A81419"/>
    <w:pPr>
      <w:keepNext/>
      <w:tabs>
        <w:tab w:val="left" w:pos="4252"/>
      </w:tabs>
      <w:spacing w:before="720" w:after="0" w:line="276" w:lineRule="auto"/>
      <w:jc w:val="both"/>
    </w:pPr>
    <w:rPr>
      <w:rFonts w:ascii="Times New Roman" w:eastAsia="Times New Roman" w:hAnsi="Times New Roman" w:cs="Times New Roman"/>
      <w:i/>
      <w:kern w:val="0"/>
      <w:sz w:val="24"/>
      <w:szCs w:val="24"/>
      <w:lang w:val="en-GB" w:eastAsia="de-DE"/>
      <w14:ligatures w14:val="none"/>
    </w:rPr>
  </w:style>
  <w:style w:type="paragraph" w:customStyle="1" w:styleId="Personnequisigne">
    <w:name w:val="Personne qui signe"/>
    <w:basedOn w:val="Normal"/>
    <w:next w:val="Institutionquisigne"/>
    <w:rsid w:val="00A81419"/>
    <w:pPr>
      <w:tabs>
        <w:tab w:val="left" w:pos="4252"/>
      </w:tabs>
      <w:spacing w:after="0" w:line="276" w:lineRule="auto"/>
      <w:jc w:val="both"/>
    </w:pPr>
    <w:rPr>
      <w:rFonts w:ascii="Times New Roman" w:eastAsia="Times New Roman" w:hAnsi="Times New Roman" w:cs="Times New Roman"/>
      <w:i/>
      <w:kern w:val="0"/>
      <w:sz w:val="24"/>
      <w:szCs w:val="24"/>
      <w:lang w:val="en-GB" w:eastAsia="de-DE"/>
      <w14:ligatures w14:val="none"/>
    </w:rPr>
  </w:style>
  <w:style w:type="paragraph" w:customStyle="1" w:styleId="Sous-titreobjet">
    <w:name w:val="Sous-titre objet"/>
    <w:basedOn w:val="Normal"/>
    <w:rsid w:val="00A81419"/>
    <w:pPr>
      <w:spacing w:after="0" w:line="276" w:lineRule="auto"/>
      <w:jc w:val="center"/>
    </w:pPr>
    <w:rPr>
      <w:rFonts w:ascii="Times New Roman" w:eastAsia="Times New Roman" w:hAnsi="Times New Roman" w:cs="Times New Roman"/>
      <w:b/>
      <w:kern w:val="0"/>
      <w:sz w:val="24"/>
      <w:szCs w:val="24"/>
      <w:lang w:val="en-GB" w:eastAsia="de-DE"/>
      <w14:ligatures w14:val="none"/>
    </w:rPr>
  </w:style>
  <w:style w:type="paragraph" w:customStyle="1" w:styleId="Statut">
    <w:name w:val="Statut"/>
    <w:basedOn w:val="Normal"/>
    <w:next w:val="Typedudocument"/>
    <w:rsid w:val="00A81419"/>
    <w:pPr>
      <w:spacing w:before="360" w:after="0" w:line="276" w:lineRule="auto"/>
      <w:jc w:val="center"/>
    </w:pPr>
    <w:rPr>
      <w:rFonts w:ascii="Times New Roman" w:eastAsia="Times New Roman" w:hAnsi="Times New Roman" w:cs="Times New Roman"/>
      <w:kern w:val="0"/>
      <w:sz w:val="24"/>
      <w:szCs w:val="24"/>
      <w:lang w:val="en-GB" w:eastAsia="de-DE"/>
      <w14:ligatures w14:val="none"/>
    </w:rPr>
  </w:style>
  <w:style w:type="paragraph" w:customStyle="1" w:styleId="Titrearticle">
    <w:name w:val="Titre article"/>
    <w:basedOn w:val="Normal"/>
    <w:next w:val="Normal"/>
    <w:rsid w:val="00A81419"/>
    <w:pPr>
      <w:keepNext/>
      <w:spacing w:before="360" w:after="240" w:line="276" w:lineRule="auto"/>
      <w:jc w:val="center"/>
    </w:pPr>
    <w:rPr>
      <w:rFonts w:ascii="Times New Roman" w:eastAsia="Times New Roman" w:hAnsi="Times New Roman" w:cs="Times New Roman"/>
      <w:i/>
      <w:kern w:val="0"/>
      <w:sz w:val="24"/>
      <w:szCs w:val="24"/>
      <w:lang w:val="en-GB" w:eastAsia="de-DE"/>
      <w14:ligatures w14:val="none"/>
    </w:rPr>
  </w:style>
  <w:style w:type="paragraph" w:customStyle="1" w:styleId="Titreobjet">
    <w:name w:val="Titre objet"/>
    <w:basedOn w:val="Normal"/>
    <w:next w:val="Sous-titreobjet"/>
    <w:rsid w:val="00A81419"/>
    <w:pPr>
      <w:spacing w:before="360" w:after="360" w:line="276" w:lineRule="auto"/>
      <w:jc w:val="center"/>
    </w:pPr>
    <w:rPr>
      <w:rFonts w:ascii="Times New Roman" w:eastAsia="Times New Roman" w:hAnsi="Times New Roman" w:cs="Times New Roman"/>
      <w:b/>
      <w:kern w:val="0"/>
      <w:sz w:val="24"/>
      <w:szCs w:val="24"/>
      <w:lang w:val="en-GB" w:eastAsia="de-DE"/>
      <w14:ligatures w14:val="none"/>
    </w:rPr>
  </w:style>
  <w:style w:type="paragraph" w:customStyle="1" w:styleId="Typedudocument">
    <w:name w:val="Type du document"/>
    <w:basedOn w:val="Normal"/>
    <w:next w:val="Normal"/>
    <w:rsid w:val="00A81419"/>
    <w:pPr>
      <w:spacing w:before="360" w:after="0" w:line="276" w:lineRule="auto"/>
      <w:jc w:val="center"/>
    </w:pPr>
    <w:rPr>
      <w:rFonts w:ascii="Times New Roman" w:eastAsia="Times New Roman" w:hAnsi="Times New Roman" w:cs="Times New Roman"/>
      <w:b/>
      <w:kern w:val="0"/>
      <w:sz w:val="24"/>
      <w:szCs w:val="24"/>
      <w:lang w:val="en-GB" w:eastAsia="de-DE"/>
      <w14:ligatures w14:val="none"/>
    </w:rPr>
  </w:style>
  <w:style w:type="paragraph" w:customStyle="1" w:styleId="NumPar1">
    <w:name w:val="NumPar 1"/>
    <w:basedOn w:val="Balk1"/>
    <w:next w:val="Normal"/>
    <w:rsid w:val="00A81419"/>
    <w:pPr>
      <w:keepNext w:val="0"/>
      <w:keepLines w:val="0"/>
      <w:tabs>
        <w:tab w:val="num" w:pos="480"/>
      </w:tabs>
      <w:spacing w:before="0" w:after="240" w:line="360" w:lineRule="auto"/>
      <w:ind w:left="480" w:hanging="480"/>
      <w:jc w:val="both"/>
      <w:outlineLvl w:val="9"/>
    </w:pPr>
    <w:rPr>
      <w:rFonts w:eastAsia="Times New Roman" w:cs="Times New Roman"/>
      <w:caps/>
      <w:kern w:val="0"/>
      <w:szCs w:val="20"/>
      <w:lang w:val="en-GB"/>
      <w14:ligatures w14:val="none"/>
    </w:rPr>
  </w:style>
  <w:style w:type="character" w:customStyle="1" w:styleId="st">
    <w:name w:val="st"/>
    <w:basedOn w:val="VarsaylanParagrafYazTipi"/>
    <w:rsid w:val="00A81419"/>
  </w:style>
  <w:style w:type="paragraph" w:customStyle="1" w:styleId="letistBilgisi1">
    <w:name w:val="İleti Üst Bilgisi1"/>
    <w:basedOn w:val="Normal"/>
    <w:next w:val="letistbilgisi"/>
    <w:link w:val="letistBilgisiChar"/>
    <w:uiPriority w:val="99"/>
    <w:semiHidden/>
    <w:unhideWhenUsed/>
    <w:rsid w:val="00A81419"/>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jc w:val="both"/>
    </w:pPr>
    <w:rPr>
      <w:rFonts w:ascii="Calibri Light" w:eastAsia="Times New Roman" w:hAnsi="Calibri Light" w:cs="Times New Roman"/>
      <w:kern w:val="0"/>
      <w:sz w:val="24"/>
      <w:szCs w:val="24"/>
      <w:lang w:eastAsia="tr-TR"/>
      <w14:ligatures w14:val="none"/>
    </w:rPr>
  </w:style>
  <w:style w:type="character" w:customStyle="1" w:styleId="letistBilgisiChar">
    <w:name w:val="İleti Üst Bilgisi Char"/>
    <w:basedOn w:val="VarsaylanParagrafYazTipi"/>
    <w:link w:val="letistBilgisi1"/>
    <w:uiPriority w:val="99"/>
    <w:semiHidden/>
    <w:rsid w:val="00A81419"/>
    <w:rPr>
      <w:rFonts w:ascii="Calibri Light" w:eastAsia="Times New Roman" w:hAnsi="Calibri Light" w:cs="Times New Roman"/>
      <w:kern w:val="0"/>
      <w:sz w:val="24"/>
      <w:szCs w:val="24"/>
      <w:shd w:val="pct20" w:color="auto" w:fill="auto"/>
      <w:lang w:eastAsia="tr-TR"/>
      <w14:ligatures w14:val="none"/>
    </w:rPr>
  </w:style>
  <w:style w:type="paragraph" w:customStyle="1" w:styleId="TBal2">
    <w:name w:val="İÇT Başlığı2"/>
    <w:basedOn w:val="Balk1"/>
    <w:next w:val="Normal"/>
    <w:uiPriority w:val="39"/>
    <w:unhideWhenUsed/>
    <w:qFormat/>
    <w:rsid w:val="00A81419"/>
    <w:pPr>
      <w:spacing w:before="0" w:after="240"/>
      <w:jc w:val="center"/>
      <w:outlineLvl w:val="9"/>
    </w:pPr>
    <w:rPr>
      <w:rFonts w:eastAsia="Times New Roman" w:cs="Times New Roman"/>
      <w:color w:val="2F5496"/>
      <w:kern w:val="0"/>
      <w:szCs w:val="32"/>
      <w:lang w:val="en-US"/>
      <w14:ligatures w14:val="none"/>
    </w:rPr>
  </w:style>
  <w:style w:type="character" w:customStyle="1" w:styleId="fontstyle31">
    <w:name w:val="fontstyle31"/>
    <w:basedOn w:val="VarsaylanParagrafYazTipi"/>
    <w:rsid w:val="00A81419"/>
    <w:rPr>
      <w:rFonts w:ascii="Calibri" w:hAnsi="Calibri" w:cs="Calibri" w:hint="default"/>
      <w:b w:val="0"/>
      <w:bCs w:val="0"/>
      <w:i w:val="0"/>
      <w:iCs w:val="0"/>
      <w:color w:val="000000"/>
      <w:sz w:val="22"/>
      <w:szCs w:val="22"/>
    </w:rPr>
  </w:style>
  <w:style w:type="character" w:customStyle="1" w:styleId="fontstyle41">
    <w:name w:val="fontstyle41"/>
    <w:basedOn w:val="VarsaylanParagrafYazTipi"/>
    <w:rsid w:val="00A81419"/>
    <w:rPr>
      <w:rFonts w:ascii="TimesNewRomanPS-BoldItalicMT" w:hAnsi="TimesNewRomanPS-BoldItalicMT" w:hint="default"/>
      <w:b/>
      <w:bCs/>
      <w:i/>
      <w:iCs/>
      <w:color w:val="000000"/>
      <w:sz w:val="24"/>
      <w:szCs w:val="24"/>
    </w:rPr>
  </w:style>
  <w:style w:type="paragraph" w:customStyle="1" w:styleId="Latinnumaralandrma">
    <w:name w:val="Latin numaralandırma"/>
    <w:basedOn w:val="ListeParagraf"/>
    <w:link w:val="LatinnumaralandrmaChar"/>
    <w:qFormat/>
    <w:rsid w:val="00A81419"/>
    <w:pPr>
      <w:numPr>
        <w:numId w:val="84"/>
      </w:numPr>
      <w:tabs>
        <w:tab w:val="num" w:pos="1080"/>
      </w:tabs>
      <w:spacing w:before="120" w:after="120" w:line="240" w:lineRule="auto"/>
      <w:jc w:val="both"/>
    </w:pPr>
    <w:rPr>
      <w:rFonts w:ascii="Times New Roman" w:eastAsia="Calibri" w:hAnsi="Times New Roman" w:cs="Times New Roman"/>
      <w:spacing w:val="2"/>
      <w:kern w:val="0"/>
      <w:position w:val="-1"/>
      <w:sz w:val="24"/>
      <w:szCs w:val="24"/>
      <w:lang w:val="en-US"/>
      <w14:ligatures w14:val="none"/>
    </w:rPr>
  </w:style>
  <w:style w:type="character" w:customStyle="1" w:styleId="LatinnumaralandrmaChar">
    <w:name w:val="Latin numaralandırma Char"/>
    <w:basedOn w:val="ListeParagrafChar"/>
    <w:link w:val="Latinnumaralandrma"/>
    <w:rsid w:val="00A81419"/>
    <w:rPr>
      <w:rFonts w:ascii="Times New Roman" w:eastAsia="Calibri" w:hAnsi="Times New Roman" w:cs="Times New Roman"/>
      <w:spacing w:val="2"/>
      <w:kern w:val="0"/>
      <w:position w:val="-1"/>
      <w:sz w:val="24"/>
      <w:szCs w:val="24"/>
      <w:lang w:val="en-US"/>
      <w14:ligatures w14:val="none"/>
    </w:rPr>
  </w:style>
  <w:style w:type="character" w:customStyle="1" w:styleId="zmlenmeyenBahsetme2">
    <w:name w:val="Çözümlenmeyen Bahsetme2"/>
    <w:basedOn w:val="VarsaylanParagrafYazTipi"/>
    <w:uiPriority w:val="99"/>
    <w:semiHidden/>
    <w:unhideWhenUsed/>
    <w:rsid w:val="00A81419"/>
    <w:rPr>
      <w:color w:val="605E5C"/>
      <w:shd w:val="clear" w:color="auto" w:fill="E1DFDD"/>
    </w:rPr>
  </w:style>
  <w:style w:type="paragraph" w:customStyle="1" w:styleId="letistBilgisi2">
    <w:name w:val="İleti Üst Bilgisi2"/>
    <w:basedOn w:val="Normal"/>
    <w:next w:val="letistbilgisi"/>
    <w:link w:val="letistBilgisiChar1"/>
    <w:uiPriority w:val="99"/>
    <w:semiHidden/>
    <w:unhideWhenUsed/>
    <w:rsid w:val="00A81419"/>
    <w:pPr>
      <w:widowControl w:val="0"/>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jc w:val="both"/>
    </w:pPr>
    <w:rPr>
      <w:rFonts w:ascii="Calibri Light" w:eastAsia="Times New Roman" w:hAnsi="Calibri Light" w:cs="Times New Roman"/>
      <w:color w:val="000000"/>
      <w:sz w:val="24"/>
      <w:szCs w:val="24"/>
    </w:rPr>
  </w:style>
  <w:style w:type="character" w:customStyle="1" w:styleId="letistBilgisiChar1">
    <w:name w:val="İleti Üst Bilgisi Char1"/>
    <w:basedOn w:val="VarsaylanParagrafYazTipi"/>
    <w:link w:val="letistBilgisi2"/>
    <w:uiPriority w:val="99"/>
    <w:semiHidden/>
    <w:rsid w:val="00A81419"/>
    <w:rPr>
      <w:rFonts w:ascii="Calibri Light" w:eastAsia="Times New Roman" w:hAnsi="Calibri Light" w:cs="Times New Roman"/>
      <w:color w:val="000000"/>
      <w:sz w:val="24"/>
      <w:szCs w:val="24"/>
      <w:shd w:val="pct20" w:color="auto" w:fill="auto"/>
    </w:rPr>
  </w:style>
  <w:style w:type="numbering" w:customStyle="1" w:styleId="ListeYok10">
    <w:name w:val="Liste Yok10"/>
    <w:next w:val="ListeYok"/>
    <w:uiPriority w:val="99"/>
    <w:semiHidden/>
    <w:unhideWhenUsed/>
    <w:rsid w:val="00A81419"/>
  </w:style>
  <w:style w:type="table" w:customStyle="1" w:styleId="TabloKlavuzu51">
    <w:name w:val="Tablo Kılavuzu51"/>
    <w:basedOn w:val="NormalTablo"/>
    <w:next w:val="TabloKlavuzu"/>
    <w:uiPriority w:val="39"/>
    <w:rsid w:val="00A81419"/>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uTablo4-Vurgu511">
    <w:name w:val="Kılavuzu Tablo 4 - Vurgu 511"/>
    <w:basedOn w:val="NormalTablo"/>
    <w:uiPriority w:val="49"/>
    <w:rsid w:val="00A81419"/>
    <w:pPr>
      <w:spacing w:after="0" w:line="240" w:lineRule="auto"/>
    </w:pPr>
    <w:rPr>
      <w:rFonts w:ascii="Times New Roman" w:eastAsia="Calibri" w:hAnsi="Times New Roman" w:cs="Times New Roman"/>
      <w:kern w:val="0"/>
      <w:sz w:val="24"/>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7Renkli-Vurgu511">
    <w:name w:val="Kılavuz Tablo 7 Renkli - Vurgu 511"/>
    <w:basedOn w:val="NormalTablo"/>
    <w:uiPriority w:val="52"/>
    <w:rsid w:val="00A81419"/>
    <w:pPr>
      <w:spacing w:after="0" w:line="240" w:lineRule="auto"/>
    </w:pPr>
    <w:rPr>
      <w:rFonts w:ascii="Times New Roman" w:eastAsia="Calibri" w:hAnsi="Times New Roman" w:cs="Times New Roman"/>
      <w:color w:val="2E74B5"/>
      <w:kern w:val="0"/>
      <w:sz w:val="24"/>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uTablo4-Vurgu311">
    <w:name w:val="Kılavuzu Tablo 4 - Vurgu 311"/>
    <w:basedOn w:val="NormalTablo"/>
    <w:uiPriority w:val="49"/>
    <w:rsid w:val="00A81419"/>
    <w:pPr>
      <w:spacing w:after="0" w:line="240" w:lineRule="auto"/>
    </w:pPr>
    <w:rPr>
      <w:rFonts w:ascii="Times New Roman" w:eastAsia="Calibri" w:hAnsi="Times New Roman" w:cs="Times New Roman"/>
      <w:kern w:val="0"/>
      <w:sz w:val="24"/>
      <w:lang w:val="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1111111">
    <w:name w:val="1 / 1.1 / 1.1.11"/>
    <w:basedOn w:val="ListeYok"/>
    <w:next w:val="111111"/>
    <w:semiHidden/>
    <w:rsid w:val="00A81419"/>
    <w:pPr>
      <w:numPr>
        <w:numId w:val="49"/>
      </w:numPr>
    </w:pPr>
  </w:style>
  <w:style w:type="numbering" w:customStyle="1" w:styleId="Letterlist1">
    <w:name w:val="Letterlist1"/>
    <w:basedOn w:val="ListeYok"/>
    <w:rsid w:val="00A81419"/>
    <w:pPr>
      <w:numPr>
        <w:numId w:val="50"/>
      </w:numPr>
    </w:pPr>
  </w:style>
  <w:style w:type="numbering" w:customStyle="1" w:styleId="Numberlist1">
    <w:name w:val="Numberlist1"/>
    <w:basedOn w:val="ListeYok"/>
    <w:rsid w:val="00A81419"/>
  </w:style>
  <w:style w:type="numbering" w:customStyle="1" w:styleId="01FirstBullets1">
    <w:name w:val="01. First Bullets1"/>
    <w:basedOn w:val="ListeYok"/>
    <w:rsid w:val="00A81419"/>
    <w:pPr>
      <w:numPr>
        <w:numId w:val="100"/>
      </w:numPr>
    </w:pPr>
  </w:style>
  <w:style w:type="numbering" w:customStyle="1" w:styleId="02SecondBullets1">
    <w:name w:val="02. Second Bullets1"/>
    <w:basedOn w:val="ListeYok"/>
    <w:rsid w:val="00A81419"/>
    <w:pPr>
      <w:numPr>
        <w:numId w:val="47"/>
      </w:numPr>
    </w:pPr>
  </w:style>
  <w:style w:type="numbering" w:customStyle="1" w:styleId="03ThirdBullet1">
    <w:name w:val="03. Third Bullet1"/>
    <w:rsid w:val="00A81419"/>
    <w:pPr>
      <w:numPr>
        <w:numId w:val="48"/>
      </w:numPr>
    </w:pPr>
  </w:style>
  <w:style w:type="numbering" w:customStyle="1" w:styleId="StyleNumbered1">
    <w:name w:val="Style Numbered1"/>
    <w:basedOn w:val="ListeYok"/>
    <w:rsid w:val="00A81419"/>
    <w:pPr>
      <w:numPr>
        <w:numId w:val="56"/>
      </w:numPr>
    </w:pPr>
  </w:style>
  <w:style w:type="character" w:customStyle="1" w:styleId="Heading3Char">
    <w:name w:val="Heading 3 Char"/>
    <w:basedOn w:val="VarsaylanParagrafYazTipi"/>
    <w:rsid w:val="00A81419"/>
    <w:rPr>
      <w:rFonts w:ascii="Arial" w:hAnsi="Arial"/>
      <w:b/>
      <w:sz w:val="24"/>
      <w:lang w:val="en-GB" w:eastAsia="zh-CN" w:bidi="ar-SA"/>
    </w:rPr>
  </w:style>
  <w:style w:type="character" w:customStyle="1" w:styleId="Heading2Char">
    <w:name w:val="Heading 2 Char"/>
    <w:basedOn w:val="VarsaylanParagrafYazTipi"/>
    <w:rsid w:val="00A81419"/>
    <w:rPr>
      <w:rFonts w:ascii="Arial" w:hAnsi="Arial"/>
      <w:b/>
      <w:sz w:val="28"/>
      <w:szCs w:val="24"/>
      <w:lang w:val="en-GB" w:eastAsia="en-US" w:bidi="ar-SA"/>
    </w:rPr>
  </w:style>
  <w:style w:type="paragraph" w:customStyle="1" w:styleId="Altyaz2">
    <w:name w:val="Altyazı2"/>
    <w:basedOn w:val="Normal"/>
    <w:next w:val="Normal"/>
    <w:uiPriority w:val="11"/>
    <w:qFormat/>
    <w:rsid w:val="00A81419"/>
    <w:pPr>
      <w:numPr>
        <w:ilvl w:val="1"/>
      </w:numPr>
      <w:spacing w:line="276" w:lineRule="auto"/>
      <w:jc w:val="both"/>
    </w:pPr>
    <w:rPr>
      <w:rFonts w:ascii="Calibri" w:eastAsia="Times New Roman" w:hAnsi="Calibri" w:cs="Times New Roman"/>
      <w:color w:val="5A5A5A"/>
      <w:spacing w:val="15"/>
      <w:kern w:val="0"/>
      <w14:ligatures w14:val="none"/>
    </w:rPr>
  </w:style>
  <w:style w:type="character" w:customStyle="1" w:styleId="AltyazChar1">
    <w:name w:val="Altyazı Char1"/>
    <w:basedOn w:val="VarsaylanParagrafYazTipi"/>
    <w:uiPriority w:val="11"/>
    <w:rsid w:val="00A81419"/>
    <w:rPr>
      <w:rFonts w:ascii="Calibri" w:eastAsia="Times New Roman" w:hAnsi="Calibri" w:cs="Arial"/>
      <w:color w:val="5A5A5A"/>
      <w:spacing w:val="15"/>
      <w:sz w:val="22"/>
      <w:szCs w:val="22"/>
    </w:rPr>
  </w:style>
  <w:style w:type="numbering" w:customStyle="1" w:styleId="ListeYok12">
    <w:name w:val="Liste Yok12"/>
    <w:next w:val="ListeYok"/>
    <w:uiPriority w:val="99"/>
    <w:semiHidden/>
    <w:unhideWhenUsed/>
    <w:rsid w:val="00A81419"/>
  </w:style>
  <w:style w:type="table" w:customStyle="1" w:styleId="TabloKlavuzu61">
    <w:name w:val="Tablo Kılavuzu61"/>
    <w:basedOn w:val="NormalTablo"/>
    <w:next w:val="TabloKlavuzu"/>
    <w:rsid w:val="00A81419"/>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uTablo4-Vurgu512">
    <w:name w:val="Kılavuzu Tablo 4 - Vurgu 512"/>
    <w:basedOn w:val="NormalTablo"/>
    <w:uiPriority w:val="49"/>
    <w:rsid w:val="00A81419"/>
    <w:pPr>
      <w:spacing w:after="0" w:line="240" w:lineRule="auto"/>
    </w:pPr>
    <w:rPr>
      <w:rFonts w:ascii="Times New Roman" w:eastAsia="Calibri" w:hAnsi="Times New Roman" w:cs="Times New Roman"/>
      <w:kern w:val="0"/>
      <w:sz w:val="24"/>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7Renkli-Vurgu512">
    <w:name w:val="Kılavuz Tablo 7 Renkli - Vurgu 512"/>
    <w:basedOn w:val="NormalTablo"/>
    <w:uiPriority w:val="52"/>
    <w:rsid w:val="00A81419"/>
    <w:pPr>
      <w:spacing w:after="0" w:line="240" w:lineRule="auto"/>
    </w:pPr>
    <w:rPr>
      <w:rFonts w:ascii="Times New Roman" w:eastAsia="Calibri" w:hAnsi="Times New Roman" w:cs="Times New Roman"/>
      <w:color w:val="2E74B5"/>
      <w:kern w:val="0"/>
      <w:sz w:val="24"/>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uTablo4-Vurgu312">
    <w:name w:val="Kılavuzu Tablo 4 - Vurgu 312"/>
    <w:basedOn w:val="NormalTablo"/>
    <w:uiPriority w:val="49"/>
    <w:rsid w:val="00A81419"/>
    <w:pPr>
      <w:spacing w:after="0" w:line="240" w:lineRule="auto"/>
    </w:pPr>
    <w:rPr>
      <w:rFonts w:ascii="Times New Roman" w:eastAsia="Calibri" w:hAnsi="Times New Roman" w:cs="Times New Roman"/>
      <w:kern w:val="0"/>
      <w:sz w:val="24"/>
      <w:lang w:val="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1111112">
    <w:name w:val="1 / 1.1 / 1.1.12"/>
    <w:basedOn w:val="ListeYok"/>
    <w:next w:val="111111"/>
    <w:semiHidden/>
    <w:rsid w:val="00A81419"/>
    <w:pPr>
      <w:numPr>
        <w:numId w:val="54"/>
      </w:numPr>
    </w:pPr>
  </w:style>
  <w:style w:type="numbering" w:customStyle="1" w:styleId="Letterlist2">
    <w:name w:val="Letterlist2"/>
    <w:basedOn w:val="ListeYok"/>
    <w:rsid w:val="00A81419"/>
    <w:pPr>
      <w:numPr>
        <w:numId w:val="55"/>
      </w:numPr>
    </w:pPr>
  </w:style>
  <w:style w:type="numbering" w:customStyle="1" w:styleId="Numberlist2">
    <w:name w:val="Numberlist2"/>
    <w:basedOn w:val="ListeYok"/>
    <w:rsid w:val="00A81419"/>
    <w:pPr>
      <w:numPr>
        <w:numId w:val="57"/>
      </w:numPr>
    </w:pPr>
  </w:style>
  <w:style w:type="numbering" w:customStyle="1" w:styleId="01FirstBullets2">
    <w:name w:val="01. First Bullets2"/>
    <w:basedOn w:val="ListeYok"/>
    <w:rsid w:val="00A81419"/>
    <w:pPr>
      <w:numPr>
        <w:numId w:val="51"/>
      </w:numPr>
    </w:pPr>
  </w:style>
  <w:style w:type="numbering" w:customStyle="1" w:styleId="02SecondBullets2">
    <w:name w:val="02. Second Bullets2"/>
    <w:basedOn w:val="ListeYok"/>
    <w:rsid w:val="00A81419"/>
    <w:pPr>
      <w:numPr>
        <w:numId w:val="52"/>
      </w:numPr>
    </w:pPr>
  </w:style>
  <w:style w:type="numbering" w:customStyle="1" w:styleId="03ThirdBullet2">
    <w:name w:val="03. Third Bullet2"/>
    <w:rsid w:val="00A81419"/>
    <w:pPr>
      <w:numPr>
        <w:numId w:val="53"/>
      </w:numPr>
    </w:pPr>
  </w:style>
  <w:style w:type="numbering" w:customStyle="1" w:styleId="StyleNumbered2">
    <w:name w:val="Style Numbered2"/>
    <w:basedOn w:val="ListeYok"/>
    <w:rsid w:val="00A81419"/>
    <w:pPr>
      <w:numPr>
        <w:numId w:val="58"/>
      </w:numPr>
    </w:pPr>
  </w:style>
  <w:style w:type="numbering" w:customStyle="1" w:styleId="GeerliListe1">
    <w:name w:val="Geçerli Liste1"/>
    <w:uiPriority w:val="99"/>
    <w:rsid w:val="00A81419"/>
    <w:pPr>
      <w:numPr>
        <w:numId w:val="87"/>
      </w:numPr>
    </w:pPr>
  </w:style>
  <w:style w:type="numbering" w:customStyle="1" w:styleId="GeerliListe2">
    <w:name w:val="Geçerli Liste2"/>
    <w:uiPriority w:val="99"/>
    <w:rsid w:val="00A81419"/>
    <w:pPr>
      <w:numPr>
        <w:numId w:val="88"/>
      </w:numPr>
    </w:pPr>
  </w:style>
  <w:style w:type="numbering" w:customStyle="1" w:styleId="GeerliListe3">
    <w:name w:val="Geçerli Liste3"/>
    <w:uiPriority w:val="99"/>
    <w:rsid w:val="00A81419"/>
    <w:pPr>
      <w:numPr>
        <w:numId w:val="89"/>
      </w:numPr>
    </w:pPr>
  </w:style>
  <w:style w:type="numbering" w:customStyle="1" w:styleId="GeerliListe4">
    <w:name w:val="Geçerli Liste4"/>
    <w:uiPriority w:val="99"/>
    <w:rsid w:val="00A81419"/>
    <w:pPr>
      <w:numPr>
        <w:numId w:val="90"/>
      </w:numPr>
    </w:pPr>
  </w:style>
  <w:style w:type="numbering" w:customStyle="1" w:styleId="GeerliListe5">
    <w:name w:val="Geçerli Liste5"/>
    <w:uiPriority w:val="99"/>
    <w:rsid w:val="00A81419"/>
    <w:pPr>
      <w:numPr>
        <w:numId w:val="91"/>
      </w:numPr>
    </w:pPr>
  </w:style>
  <w:style w:type="numbering" w:customStyle="1" w:styleId="GeerliListe6">
    <w:name w:val="Geçerli Liste6"/>
    <w:uiPriority w:val="99"/>
    <w:rsid w:val="00A81419"/>
    <w:pPr>
      <w:numPr>
        <w:numId w:val="92"/>
      </w:numPr>
    </w:pPr>
  </w:style>
  <w:style w:type="numbering" w:customStyle="1" w:styleId="GeerliListe7">
    <w:name w:val="Geçerli Liste7"/>
    <w:uiPriority w:val="99"/>
    <w:rsid w:val="00A81419"/>
    <w:pPr>
      <w:numPr>
        <w:numId w:val="93"/>
      </w:numPr>
    </w:pPr>
  </w:style>
  <w:style w:type="numbering" w:customStyle="1" w:styleId="GeerliListe8">
    <w:name w:val="Geçerli Liste8"/>
    <w:uiPriority w:val="99"/>
    <w:rsid w:val="00A81419"/>
    <w:pPr>
      <w:numPr>
        <w:numId w:val="94"/>
      </w:numPr>
    </w:pPr>
  </w:style>
  <w:style w:type="numbering" w:customStyle="1" w:styleId="GeerliListe9">
    <w:name w:val="Geçerli Liste9"/>
    <w:uiPriority w:val="99"/>
    <w:rsid w:val="00A81419"/>
    <w:pPr>
      <w:numPr>
        <w:numId w:val="95"/>
      </w:numPr>
    </w:pPr>
  </w:style>
  <w:style w:type="numbering" w:customStyle="1" w:styleId="GeerliListe10">
    <w:name w:val="Geçerli Liste10"/>
    <w:uiPriority w:val="99"/>
    <w:rsid w:val="00A81419"/>
    <w:pPr>
      <w:numPr>
        <w:numId w:val="96"/>
      </w:numPr>
    </w:pPr>
  </w:style>
  <w:style w:type="numbering" w:customStyle="1" w:styleId="GeerliListe11">
    <w:name w:val="Geçerli Liste11"/>
    <w:uiPriority w:val="99"/>
    <w:rsid w:val="00A81419"/>
    <w:pPr>
      <w:numPr>
        <w:numId w:val="97"/>
      </w:numPr>
    </w:pPr>
  </w:style>
  <w:style w:type="numbering" w:customStyle="1" w:styleId="GeerliListe12">
    <w:name w:val="Geçerli Liste12"/>
    <w:uiPriority w:val="99"/>
    <w:rsid w:val="00A81419"/>
    <w:pPr>
      <w:numPr>
        <w:numId w:val="98"/>
      </w:numPr>
    </w:pPr>
  </w:style>
  <w:style w:type="numbering" w:customStyle="1" w:styleId="GeerliListe13">
    <w:name w:val="Geçerli Liste13"/>
    <w:uiPriority w:val="99"/>
    <w:rsid w:val="00A81419"/>
    <w:pPr>
      <w:numPr>
        <w:numId w:val="99"/>
      </w:numPr>
    </w:pPr>
  </w:style>
  <w:style w:type="numbering" w:customStyle="1" w:styleId="GeerliListe14">
    <w:name w:val="Geçerli Liste14"/>
    <w:uiPriority w:val="99"/>
    <w:rsid w:val="00A81419"/>
    <w:pPr>
      <w:numPr>
        <w:numId w:val="101"/>
      </w:numPr>
    </w:pPr>
  </w:style>
  <w:style w:type="numbering" w:customStyle="1" w:styleId="GeerliListe15">
    <w:name w:val="Geçerli Liste15"/>
    <w:uiPriority w:val="99"/>
    <w:rsid w:val="00A81419"/>
    <w:pPr>
      <w:numPr>
        <w:numId w:val="102"/>
      </w:numPr>
    </w:pPr>
  </w:style>
  <w:style w:type="paragraph" w:customStyle="1" w:styleId="Normaltext0">
    <w:name w:val="Normal text"/>
    <w:basedOn w:val="Normal"/>
    <w:link w:val="NormaltextChar0"/>
    <w:autoRedefine/>
    <w:qFormat/>
    <w:rsid w:val="00A81419"/>
    <w:pPr>
      <w:spacing w:after="120" w:line="276" w:lineRule="auto"/>
      <w:jc w:val="both"/>
    </w:pPr>
    <w:rPr>
      <w:rFonts w:ascii="Times New Roman" w:hAnsi="Times New Roman" w:cs="Calibri"/>
      <w:iCs/>
      <w:kern w:val="0"/>
      <w:sz w:val="24"/>
      <w:szCs w:val="18"/>
      <w:lang w:eastAsia="de-DE"/>
      <w14:ligatures w14:val="none"/>
    </w:rPr>
  </w:style>
  <w:style w:type="character" w:customStyle="1" w:styleId="NormaltextChar0">
    <w:name w:val="Normal text Char"/>
    <w:basedOn w:val="VarsaylanParagrafYazTipi"/>
    <w:link w:val="Normaltext0"/>
    <w:rsid w:val="00A81419"/>
    <w:rPr>
      <w:rFonts w:ascii="Times New Roman" w:hAnsi="Times New Roman" w:cs="Calibri"/>
      <w:iCs/>
      <w:kern w:val="0"/>
      <w:sz w:val="24"/>
      <w:szCs w:val="18"/>
      <w:lang w:eastAsia="de-DE"/>
      <w14:ligatures w14:val="none"/>
    </w:rPr>
  </w:style>
  <w:style w:type="numbering" w:customStyle="1" w:styleId="GeerliListe16">
    <w:name w:val="Geçerli Liste16"/>
    <w:uiPriority w:val="99"/>
    <w:rsid w:val="00A81419"/>
    <w:pPr>
      <w:numPr>
        <w:numId w:val="104"/>
      </w:numPr>
    </w:pPr>
  </w:style>
  <w:style w:type="numbering" w:customStyle="1" w:styleId="GeerliListe17">
    <w:name w:val="Geçerli Liste17"/>
    <w:uiPriority w:val="99"/>
    <w:rsid w:val="00A81419"/>
    <w:pPr>
      <w:numPr>
        <w:numId w:val="112"/>
      </w:numPr>
    </w:pPr>
  </w:style>
  <w:style w:type="paragraph" w:styleId="ResimYazs4">
    <w:name w:val="caption"/>
    <w:aliases w:val="Subtitle,Annex,Caption Char,Caption Char1 Char,Caption Char Char Char,Caption Char2 Char1 Char Char,Caption Char1 Char Char Char Char,Caption Char Char Char Char Char Char,Caption Char Char1 Char Char Char,Altyazı1,Altyazı11"/>
    <w:basedOn w:val="Normal"/>
    <w:next w:val="Normal"/>
    <w:link w:val="ResimYazsChar"/>
    <w:unhideWhenUsed/>
    <w:qFormat/>
    <w:rsid w:val="00A81419"/>
    <w:pPr>
      <w:spacing w:after="200" w:line="240" w:lineRule="auto"/>
    </w:pPr>
    <w:rPr>
      <w:rFonts w:ascii="Times New Roman" w:eastAsia="Calibri" w:hAnsi="Times New Roman" w:cs="Calibri"/>
      <w:b/>
      <w:iCs/>
      <w:color w:val="000000"/>
      <w:sz w:val="24"/>
      <w:szCs w:val="18"/>
      <w:lang w:val="en-US"/>
    </w:rPr>
  </w:style>
  <w:style w:type="paragraph" w:styleId="letistbilgisi">
    <w:name w:val="Message Header"/>
    <w:basedOn w:val="Normal"/>
    <w:link w:val="letistbilgisiChar0"/>
    <w:uiPriority w:val="99"/>
    <w:semiHidden/>
    <w:unhideWhenUsed/>
    <w:rsid w:val="00A8141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letistbilgisiChar0">
    <w:name w:val="İleti Üstbilgisi Char"/>
    <w:basedOn w:val="VarsaylanParagrafYazTipi"/>
    <w:link w:val="letistbilgisi"/>
    <w:uiPriority w:val="99"/>
    <w:semiHidden/>
    <w:rsid w:val="00A81419"/>
    <w:rPr>
      <w:rFonts w:asciiTheme="majorHAnsi" w:eastAsiaTheme="majorEastAsia" w:hAnsiTheme="majorHAnsi" w:cstheme="majorBidi"/>
      <w:sz w:val="24"/>
      <w:szCs w:val="24"/>
      <w:shd w:val="pct20" w:color="auto" w:fill="auto"/>
    </w:rPr>
  </w:style>
  <w:style w:type="numbering" w:customStyle="1" w:styleId="ListeYok13">
    <w:name w:val="Liste Yok13"/>
    <w:next w:val="ListeYok"/>
    <w:uiPriority w:val="99"/>
    <w:semiHidden/>
    <w:unhideWhenUsed/>
    <w:rsid w:val="00AF60E3"/>
  </w:style>
  <w:style w:type="table" w:customStyle="1" w:styleId="TabloKlavuzu7">
    <w:name w:val="Tablo Kılavuzu7"/>
    <w:basedOn w:val="NormalTablo"/>
    <w:next w:val="TabloKlavuzu"/>
    <w:uiPriority w:val="39"/>
    <w:rsid w:val="00AF60E3"/>
    <w:pPr>
      <w:spacing w:after="0" w:line="240" w:lineRule="auto"/>
    </w:pPr>
    <w:rPr>
      <w:rFonts w:ascii="Courier New" w:eastAsia="Times New Roman" w:hAnsi="Courier New" w:cs="Courier New"/>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4">
    <w:name w:val="Liste Yok14"/>
    <w:next w:val="ListeYok"/>
    <w:uiPriority w:val="99"/>
    <w:semiHidden/>
    <w:unhideWhenUsed/>
    <w:rsid w:val="00AF60E3"/>
  </w:style>
  <w:style w:type="table" w:customStyle="1" w:styleId="TabloKlavuzu12">
    <w:name w:val="Tablo Kılavuzu12"/>
    <w:basedOn w:val="NormalTablo"/>
    <w:next w:val="TabloKlavuzu"/>
    <w:uiPriority w:val="59"/>
    <w:rsid w:val="00AF60E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2">
    <w:name w:val="Liste Yok112"/>
    <w:next w:val="ListeYok"/>
    <w:uiPriority w:val="99"/>
    <w:semiHidden/>
    <w:unhideWhenUsed/>
    <w:rsid w:val="00AF60E3"/>
  </w:style>
  <w:style w:type="numbering" w:customStyle="1" w:styleId="ListeYok22">
    <w:name w:val="Liste Yok22"/>
    <w:next w:val="ListeYok"/>
    <w:uiPriority w:val="99"/>
    <w:semiHidden/>
    <w:unhideWhenUsed/>
    <w:rsid w:val="00AF60E3"/>
  </w:style>
  <w:style w:type="numbering" w:customStyle="1" w:styleId="ListeYok31">
    <w:name w:val="Liste Yok31"/>
    <w:next w:val="ListeYok"/>
    <w:uiPriority w:val="99"/>
    <w:semiHidden/>
    <w:unhideWhenUsed/>
    <w:rsid w:val="00AF60E3"/>
  </w:style>
  <w:style w:type="numbering" w:customStyle="1" w:styleId="ListeYok41">
    <w:name w:val="Liste Yok41"/>
    <w:next w:val="ListeYok"/>
    <w:uiPriority w:val="99"/>
    <w:semiHidden/>
    <w:unhideWhenUsed/>
    <w:rsid w:val="00AF60E3"/>
  </w:style>
  <w:style w:type="numbering" w:customStyle="1" w:styleId="ListeYok51">
    <w:name w:val="Liste Yok51"/>
    <w:next w:val="ListeYok"/>
    <w:uiPriority w:val="99"/>
    <w:semiHidden/>
    <w:unhideWhenUsed/>
    <w:rsid w:val="00AF60E3"/>
  </w:style>
  <w:style w:type="numbering" w:customStyle="1" w:styleId="ListeYok61">
    <w:name w:val="Liste Yok61"/>
    <w:next w:val="ListeYok"/>
    <w:uiPriority w:val="99"/>
    <w:semiHidden/>
    <w:unhideWhenUsed/>
    <w:rsid w:val="00AF60E3"/>
  </w:style>
  <w:style w:type="numbering" w:customStyle="1" w:styleId="ListeYok71">
    <w:name w:val="Liste Yok71"/>
    <w:next w:val="ListeYok"/>
    <w:uiPriority w:val="99"/>
    <w:semiHidden/>
    <w:unhideWhenUsed/>
    <w:rsid w:val="00AF60E3"/>
  </w:style>
  <w:style w:type="numbering" w:customStyle="1" w:styleId="ListeYok81">
    <w:name w:val="Liste Yok81"/>
    <w:next w:val="ListeYok"/>
    <w:uiPriority w:val="99"/>
    <w:semiHidden/>
    <w:unhideWhenUsed/>
    <w:rsid w:val="00AF60E3"/>
  </w:style>
  <w:style w:type="table" w:customStyle="1" w:styleId="TabloKlavuzu22">
    <w:name w:val="Tablo Kılavuzu22"/>
    <w:basedOn w:val="NormalTablo"/>
    <w:next w:val="TabloKlavuzu"/>
    <w:uiPriority w:val="39"/>
    <w:rsid w:val="00AF60E3"/>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uiPriority w:val="39"/>
    <w:rsid w:val="00AF60E3"/>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1">
    <w:name w:val="Liste Yok91"/>
    <w:next w:val="ListeYok"/>
    <w:uiPriority w:val="99"/>
    <w:semiHidden/>
    <w:unhideWhenUsed/>
    <w:rsid w:val="00AF60E3"/>
  </w:style>
  <w:style w:type="table" w:customStyle="1" w:styleId="TabloKlavuzu42">
    <w:name w:val="Tablo Kılavuzu42"/>
    <w:basedOn w:val="NormalTablo"/>
    <w:next w:val="TabloKlavuzu"/>
    <w:uiPriority w:val="39"/>
    <w:rsid w:val="00AF60E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ListeYok"/>
    <w:next w:val="111111"/>
    <w:semiHidden/>
    <w:rsid w:val="00AF60E3"/>
  </w:style>
  <w:style w:type="numbering" w:customStyle="1" w:styleId="Letterlist3">
    <w:name w:val="Letterlist3"/>
    <w:basedOn w:val="ListeYok"/>
    <w:rsid w:val="00AF60E3"/>
  </w:style>
  <w:style w:type="numbering" w:customStyle="1" w:styleId="Numberlist3">
    <w:name w:val="Numberlist3"/>
    <w:basedOn w:val="ListeYok"/>
    <w:rsid w:val="00AF60E3"/>
  </w:style>
  <w:style w:type="numbering" w:customStyle="1" w:styleId="01FirstBullets3">
    <w:name w:val="01. First Bullets3"/>
    <w:basedOn w:val="ListeYok"/>
    <w:rsid w:val="00AF60E3"/>
  </w:style>
  <w:style w:type="numbering" w:customStyle="1" w:styleId="02SecondBullets3">
    <w:name w:val="02. Second Bullets3"/>
    <w:basedOn w:val="ListeYok"/>
    <w:rsid w:val="00AF60E3"/>
  </w:style>
  <w:style w:type="numbering" w:customStyle="1" w:styleId="03ThirdBullet3">
    <w:name w:val="03. Third Bullet3"/>
    <w:rsid w:val="00AF60E3"/>
  </w:style>
  <w:style w:type="numbering" w:customStyle="1" w:styleId="StyleNumbered3">
    <w:name w:val="Style Numbered3"/>
    <w:basedOn w:val="ListeYok"/>
    <w:rsid w:val="00AF60E3"/>
  </w:style>
  <w:style w:type="numbering" w:customStyle="1" w:styleId="ListeYok101">
    <w:name w:val="Liste Yok101"/>
    <w:next w:val="ListeYok"/>
    <w:uiPriority w:val="99"/>
    <w:semiHidden/>
    <w:unhideWhenUsed/>
    <w:rsid w:val="00AF60E3"/>
  </w:style>
  <w:style w:type="table" w:customStyle="1" w:styleId="TabloKlavuzu52">
    <w:name w:val="Tablo Kılavuzu52"/>
    <w:basedOn w:val="NormalTablo"/>
    <w:next w:val="TabloKlavuzu"/>
    <w:uiPriority w:val="39"/>
    <w:rsid w:val="00AF60E3"/>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ListeYok"/>
    <w:next w:val="111111"/>
    <w:semiHidden/>
    <w:rsid w:val="00AF60E3"/>
  </w:style>
  <w:style w:type="numbering" w:customStyle="1" w:styleId="Letterlist11">
    <w:name w:val="Letterlist11"/>
    <w:basedOn w:val="ListeYok"/>
    <w:rsid w:val="00AF60E3"/>
  </w:style>
  <w:style w:type="numbering" w:customStyle="1" w:styleId="Numberlist11">
    <w:name w:val="Numberlist11"/>
    <w:basedOn w:val="ListeYok"/>
    <w:rsid w:val="00AF60E3"/>
  </w:style>
  <w:style w:type="numbering" w:customStyle="1" w:styleId="01FirstBullets11">
    <w:name w:val="01. First Bullets11"/>
    <w:basedOn w:val="ListeYok"/>
    <w:rsid w:val="00AF60E3"/>
  </w:style>
  <w:style w:type="numbering" w:customStyle="1" w:styleId="02SecondBullets11">
    <w:name w:val="02. Second Bullets11"/>
    <w:basedOn w:val="ListeYok"/>
    <w:rsid w:val="00AF60E3"/>
  </w:style>
  <w:style w:type="numbering" w:customStyle="1" w:styleId="03ThirdBullet11">
    <w:name w:val="03. Third Bullet11"/>
    <w:rsid w:val="00AF60E3"/>
  </w:style>
  <w:style w:type="numbering" w:customStyle="1" w:styleId="StyleNumbered11">
    <w:name w:val="Style Numbered11"/>
    <w:basedOn w:val="ListeYok"/>
    <w:rsid w:val="00AF60E3"/>
  </w:style>
  <w:style w:type="numbering" w:customStyle="1" w:styleId="ListeYok121">
    <w:name w:val="Liste Yok121"/>
    <w:next w:val="ListeYok"/>
    <w:uiPriority w:val="99"/>
    <w:semiHidden/>
    <w:unhideWhenUsed/>
    <w:rsid w:val="00AF60E3"/>
  </w:style>
  <w:style w:type="table" w:customStyle="1" w:styleId="TabloKlavuzu62">
    <w:name w:val="Tablo Kılavuzu62"/>
    <w:basedOn w:val="NormalTablo"/>
    <w:next w:val="TabloKlavuzu"/>
    <w:rsid w:val="00AF60E3"/>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
    <w:name w:val="1 / 1.1 / 1.1.121"/>
    <w:basedOn w:val="ListeYok"/>
    <w:next w:val="111111"/>
    <w:semiHidden/>
    <w:rsid w:val="00AF60E3"/>
  </w:style>
  <w:style w:type="numbering" w:customStyle="1" w:styleId="Letterlist21">
    <w:name w:val="Letterlist21"/>
    <w:basedOn w:val="ListeYok"/>
    <w:rsid w:val="00AF60E3"/>
  </w:style>
  <w:style w:type="numbering" w:customStyle="1" w:styleId="Numberlist21">
    <w:name w:val="Numberlist21"/>
    <w:basedOn w:val="ListeYok"/>
    <w:rsid w:val="00AF60E3"/>
  </w:style>
  <w:style w:type="numbering" w:customStyle="1" w:styleId="01FirstBullets21">
    <w:name w:val="01. First Bullets21"/>
    <w:basedOn w:val="ListeYok"/>
    <w:rsid w:val="00AF60E3"/>
  </w:style>
  <w:style w:type="numbering" w:customStyle="1" w:styleId="02SecondBullets21">
    <w:name w:val="02. Second Bullets21"/>
    <w:basedOn w:val="ListeYok"/>
    <w:rsid w:val="00AF60E3"/>
  </w:style>
  <w:style w:type="numbering" w:customStyle="1" w:styleId="03ThirdBullet21">
    <w:name w:val="03. Third Bullet21"/>
    <w:rsid w:val="00AF60E3"/>
  </w:style>
  <w:style w:type="numbering" w:customStyle="1" w:styleId="StyleNumbered21">
    <w:name w:val="Style Numbered21"/>
    <w:basedOn w:val="ListeYok"/>
    <w:rsid w:val="00AF60E3"/>
  </w:style>
  <w:style w:type="numbering" w:customStyle="1" w:styleId="GeerliListe18">
    <w:name w:val="Geçerli Liste18"/>
    <w:uiPriority w:val="99"/>
    <w:rsid w:val="00AF60E3"/>
  </w:style>
  <w:style w:type="numbering" w:customStyle="1" w:styleId="GeerliListe21">
    <w:name w:val="Geçerli Liste21"/>
    <w:uiPriority w:val="99"/>
    <w:rsid w:val="00AF60E3"/>
  </w:style>
  <w:style w:type="numbering" w:customStyle="1" w:styleId="GeerliListe31">
    <w:name w:val="Geçerli Liste31"/>
    <w:uiPriority w:val="99"/>
    <w:rsid w:val="00AF60E3"/>
  </w:style>
  <w:style w:type="numbering" w:customStyle="1" w:styleId="GeerliListe41">
    <w:name w:val="Geçerli Liste41"/>
    <w:uiPriority w:val="99"/>
    <w:rsid w:val="00AF60E3"/>
  </w:style>
  <w:style w:type="numbering" w:customStyle="1" w:styleId="GeerliListe51">
    <w:name w:val="Geçerli Liste51"/>
    <w:uiPriority w:val="99"/>
    <w:rsid w:val="00AF60E3"/>
  </w:style>
  <w:style w:type="numbering" w:customStyle="1" w:styleId="GeerliListe61">
    <w:name w:val="Geçerli Liste61"/>
    <w:uiPriority w:val="99"/>
    <w:rsid w:val="00AF60E3"/>
  </w:style>
  <w:style w:type="numbering" w:customStyle="1" w:styleId="GeerliListe71">
    <w:name w:val="Geçerli Liste71"/>
    <w:uiPriority w:val="99"/>
    <w:rsid w:val="00AF60E3"/>
  </w:style>
  <w:style w:type="numbering" w:customStyle="1" w:styleId="GeerliListe81">
    <w:name w:val="Geçerli Liste81"/>
    <w:uiPriority w:val="99"/>
    <w:rsid w:val="00AF60E3"/>
  </w:style>
  <w:style w:type="numbering" w:customStyle="1" w:styleId="GeerliListe91">
    <w:name w:val="Geçerli Liste91"/>
    <w:uiPriority w:val="99"/>
    <w:rsid w:val="00AF60E3"/>
  </w:style>
  <w:style w:type="numbering" w:customStyle="1" w:styleId="GeerliListe101">
    <w:name w:val="Geçerli Liste101"/>
    <w:uiPriority w:val="99"/>
    <w:rsid w:val="00AF60E3"/>
  </w:style>
  <w:style w:type="numbering" w:customStyle="1" w:styleId="GeerliListe111">
    <w:name w:val="Geçerli Liste111"/>
    <w:uiPriority w:val="99"/>
    <w:rsid w:val="00AF60E3"/>
  </w:style>
  <w:style w:type="numbering" w:customStyle="1" w:styleId="GeerliListe121">
    <w:name w:val="Geçerli Liste121"/>
    <w:uiPriority w:val="99"/>
    <w:rsid w:val="00AF60E3"/>
  </w:style>
  <w:style w:type="numbering" w:customStyle="1" w:styleId="GeerliListe131">
    <w:name w:val="Geçerli Liste131"/>
    <w:uiPriority w:val="99"/>
    <w:rsid w:val="00AF60E3"/>
  </w:style>
  <w:style w:type="numbering" w:customStyle="1" w:styleId="GeerliListe141">
    <w:name w:val="Geçerli Liste141"/>
    <w:uiPriority w:val="99"/>
    <w:rsid w:val="00AF60E3"/>
  </w:style>
  <w:style w:type="numbering" w:customStyle="1" w:styleId="GeerliListe151">
    <w:name w:val="Geçerli Liste151"/>
    <w:uiPriority w:val="99"/>
    <w:rsid w:val="00AF60E3"/>
  </w:style>
  <w:style w:type="numbering" w:customStyle="1" w:styleId="GeerliListe161">
    <w:name w:val="Geçerli Liste161"/>
    <w:uiPriority w:val="99"/>
    <w:rsid w:val="00AF60E3"/>
  </w:style>
  <w:style w:type="numbering" w:customStyle="1" w:styleId="ListeYok15">
    <w:name w:val="Liste Yok15"/>
    <w:next w:val="ListeYok"/>
    <w:uiPriority w:val="99"/>
    <w:semiHidden/>
    <w:unhideWhenUsed/>
    <w:rsid w:val="0055515A"/>
  </w:style>
  <w:style w:type="table" w:customStyle="1" w:styleId="TabloKlavuzu8">
    <w:name w:val="Tablo Kılavuzu8"/>
    <w:basedOn w:val="NormalTablo"/>
    <w:next w:val="TabloKlavuzu"/>
    <w:rsid w:val="0055515A"/>
    <w:pPr>
      <w:spacing w:after="0" w:line="240" w:lineRule="auto"/>
    </w:pPr>
    <w:rPr>
      <w:rFonts w:ascii="Calibri" w:eastAsia="Calibri" w:hAnsi="Calibri" w:cs="Calibri"/>
      <w:kern w:val="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3-Vurgu64">
    <w:name w:val="Kılavuz Tablo 3 - Vurgu 64"/>
    <w:basedOn w:val="NormalTablo"/>
    <w:next w:val="KlavuzTablo3-Vurgu6"/>
    <w:uiPriority w:val="48"/>
    <w:rsid w:val="0055515A"/>
    <w:pPr>
      <w:spacing w:after="0" w:line="240" w:lineRule="auto"/>
    </w:pPr>
    <w:rPr>
      <w:rFonts w:ascii="Calibri" w:eastAsia="Calibri" w:hAnsi="Calibri" w:cs="Calibri"/>
      <w:kern w:val="0"/>
      <w:lang w:eastAsia="tr-TR"/>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numbering" w:customStyle="1" w:styleId="ListeYok16">
    <w:name w:val="Liste Yok16"/>
    <w:next w:val="ListeYok"/>
    <w:uiPriority w:val="99"/>
    <w:semiHidden/>
    <w:unhideWhenUsed/>
    <w:rsid w:val="00567E52"/>
  </w:style>
  <w:style w:type="table" w:customStyle="1" w:styleId="TabloKlavuzu9">
    <w:name w:val="Tablo Kılavuzu9"/>
    <w:basedOn w:val="NormalTablo"/>
    <w:next w:val="TabloKlavuzu"/>
    <w:uiPriority w:val="39"/>
    <w:rsid w:val="00567E52"/>
    <w:pPr>
      <w:spacing w:after="0" w:line="240" w:lineRule="auto"/>
    </w:pPr>
    <w:rPr>
      <w:rFonts w:ascii="Courier New" w:eastAsia="Times New Roman" w:hAnsi="Courier New" w:cs="Courier New"/>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7">
    <w:name w:val="Liste Yok17"/>
    <w:next w:val="ListeYok"/>
    <w:uiPriority w:val="99"/>
    <w:semiHidden/>
    <w:unhideWhenUsed/>
    <w:rsid w:val="00567E52"/>
  </w:style>
  <w:style w:type="table" w:customStyle="1" w:styleId="TabloKlavuzu13">
    <w:name w:val="Tablo Kılavuzu13"/>
    <w:basedOn w:val="NormalTablo"/>
    <w:next w:val="TabloKlavuzu"/>
    <w:uiPriority w:val="59"/>
    <w:rsid w:val="00567E5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3">
    <w:name w:val="Liste Yok113"/>
    <w:next w:val="ListeYok"/>
    <w:uiPriority w:val="99"/>
    <w:semiHidden/>
    <w:unhideWhenUsed/>
    <w:rsid w:val="00567E52"/>
  </w:style>
  <w:style w:type="numbering" w:customStyle="1" w:styleId="ListeYok23">
    <w:name w:val="Liste Yok23"/>
    <w:next w:val="ListeYok"/>
    <w:uiPriority w:val="99"/>
    <w:semiHidden/>
    <w:unhideWhenUsed/>
    <w:rsid w:val="00567E52"/>
  </w:style>
  <w:style w:type="numbering" w:customStyle="1" w:styleId="ListeYok32">
    <w:name w:val="Liste Yok32"/>
    <w:next w:val="ListeYok"/>
    <w:uiPriority w:val="99"/>
    <w:semiHidden/>
    <w:unhideWhenUsed/>
    <w:rsid w:val="00567E52"/>
  </w:style>
  <w:style w:type="numbering" w:customStyle="1" w:styleId="ListeYok42">
    <w:name w:val="Liste Yok42"/>
    <w:next w:val="ListeYok"/>
    <w:uiPriority w:val="99"/>
    <w:semiHidden/>
    <w:unhideWhenUsed/>
    <w:rsid w:val="00567E52"/>
  </w:style>
  <w:style w:type="numbering" w:customStyle="1" w:styleId="ListeYok52">
    <w:name w:val="Liste Yok52"/>
    <w:next w:val="ListeYok"/>
    <w:uiPriority w:val="99"/>
    <w:semiHidden/>
    <w:unhideWhenUsed/>
    <w:rsid w:val="00567E52"/>
  </w:style>
  <w:style w:type="numbering" w:customStyle="1" w:styleId="ListeYok62">
    <w:name w:val="Liste Yok62"/>
    <w:next w:val="ListeYok"/>
    <w:uiPriority w:val="99"/>
    <w:semiHidden/>
    <w:unhideWhenUsed/>
    <w:rsid w:val="00567E52"/>
  </w:style>
  <w:style w:type="numbering" w:customStyle="1" w:styleId="ListeYok72">
    <w:name w:val="Liste Yok72"/>
    <w:next w:val="ListeYok"/>
    <w:uiPriority w:val="99"/>
    <w:semiHidden/>
    <w:unhideWhenUsed/>
    <w:rsid w:val="00567E52"/>
  </w:style>
  <w:style w:type="numbering" w:customStyle="1" w:styleId="ListeYok82">
    <w:name w:val="Liste Yok82"/>
    <w:next w:val="ListeYok"/>
    <w:uiPriority w:val="99"/>
    <w:semiHidden/>
    <w:unhideWhenUsed/>
    <w:rsid w:val="00567E52"/>
  </w:style>
  <w:style w:type="table" w:customStyle="1" w:styleId="TabloKlavuzu23">
    <w:name w:val="Tablo Kılavuzu23"/>
    <w:basedOn w:val="NormalTablo"/>
    <w:next w:val="TabloKlavuzu"/>
    <w:uiPriority w:val="39"/>
    <w:rsid w:val="00567E52"/>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3">
    <w:name w:val="Tablo Kılavuzu33"/>
    <w:basedOn w:val="NormalTablo"/>
    <w:next w:val="TabloKlavuzu"/>
    <w:uiPriority w:val="39"/>
    <w:rsid w:val="00567E52"/>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2">
    <w:name w:val="Liste Yok92"/>
    <w:next w:val="ListeYok"/>
    <w:uiPriority w:val="99"/>
    <w:semiHidden/>
    <w:unhideWhenUsed/>
    <w:rsid w:val="00567E52"/>
  </w:style>
  <w:style w:type="table" w:customStyle="1" w:styleId="TabloKlavuzu43">
    <w:name w:val="Tablo Kılavuzu43"/>
    <w:basedOn w:val="NormalTablo"/>
    <w:next w:val="TabloKlavuzu"/>
    <w:uiPriority w:val="39"/>
    <w:rsid w:val="00567E5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ListeYok"/>
    <w:next w:val="111111"/>
    <w:semiHidden/>
    <w:rsid w:val="00567E52"/>
  </w:style>
  <w:style w:type="numbering" w:customStyle="1" w:styleId="Letterlist4">
    <w:name w:val="Letterlist4"/>
    <w:basedOn w:val="ListeYok"/>
    <w:rsid w:val="00567E52"/>
  </w:style>
  <w:style w:type="numbering" w:customStyle="1" w:styleId="Numberlist4">
    <w:name w:val="Numberlist4"/>
    <w:basedOn w:val="ListeYok"/>
    <w:rsid w:val="00567E52"/>
  </w:style>
  <w:style w:type="numbering" w:customStyle="1" w:styleId="01FirstBullets4">
    <w:name w:val="01. First Bullets4"/>
    <w:basedOn w:val="ListeYok"/>
    <w:rsid w:val="00567E52"/>
  </w:style>
  <w:style w:type="numbering" w:customStyle="1" w:styleId="02SecondBullets4">
    <w:name w:val="02. Second Bullets4"/>
    <w:basedOn w:val="ListeYok"/>
    <w:rsid w:val="00567E52"/>
  </w:style>
  <w:style w:type="numbering" w:customStyle="1" w:styleId="03ThirdBullet4">
    <w:name w:val="03. Third Bullet4"/>
    <w:rsid w:val="00567E52"/>
  </w:style>
  <w:style w:type="numbering" w:customStyle="1" w:styleId="StyleNumbered4">
    <w:name w:val="Style Numbered4"/>
    <w:basedOn w:val="ListeYok"/>
    <w:rsid w:val="00567E52"/>
  </w:style>
  <w:style w:type="numbering" w:customStyle="1" w:styleId="ListeYok102">
    <w:name w:val="Liste Yok102"/>
    <w:next w:val="ListeYok"/>
    <w:uiPriority w:val="99"/>
    <w:semiHidden/>
    <w:unhideWhenUsed/>
    <w:rsid w:val="00567E52"/>
  </w:style>
  <w:style w:type="table" w:customStyle="1" w:styleId="TabloKlavuzu53">
    <w:name w:val="Tablo Kılavuzu53"/>
    <w:basedOn w:val="NormalTablo"/>
    <w:next w:val="TabloKlavuzu"/>
    <w:uiPriority w:val="39"/>
    <w:rsid w:val="00567E5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ListeYok"/>
    <w:next w:val="111111"/>
    <w:semiHidden/>
    <w:rsid w:val="00567E52"/>
  </w:style>
  <w:style w:type="numbering" w:customStyle="1" w:styleId="Letterlist12">
    <w:name w:val="Letterlist12"/>
    <w:basedOn w:val="ListeYok"/>
    <w:rsid w:val="00567E52"/>
  </w:style>
  <w:style w:type="numbering" w:customStyle="1" w:styleId="Numberlist12">
    <w:name w:val="Numberlist12"/>
    <w:basedOn w:val="ListeYok"/>
    <w:rsid w:val="00567E52"/>
  </w:style>
  <w:style w:type="numbering" w:customStyle="1" w:styleId="01FirstBullets12">
    <w:name w:val="01. First Bullets12"/>
    <w:basedOn w:val="ListeYok"/>
    <w:rsid w:val="00567E52"/>
  </w:style>
  <w:style w:type="numbering" w:customStyle="1" w:styleId="02SecondBullets12">
    <w:name w:val="02. Second Bullets12"/>
    <w:basedOn w:val="ListeYok"/>
    <w:rsid w:val="00567E52"/>
  </w:style>
  <w:style w:type="numbering" w:customStyle="1" w:styleId="03ThirdBullet12">
    <w:name w:val="03. Third Bullet12"/>
    <w:rsid w:val="00567E52"/>
  </w:style>
  <w:style w:type="numbering" w:customStyle="1" w:styleId="StyleNumbered12">
    <w:name w:val="Style Numbered12"/>
    <w:basedOn w:val="ListeYok"/>
    <w:rsid w:val="00567E52"/>
  </w:style>
  <w:style w:type="numbering" w:customStyle="1" w:styleId="ListeYok122">
    <w:name w:val="Liste Yok122"/>
    <w:next w:val="ListeYok"/>
    <w:uiPriority w:val="99"/>
    <w:semiHidden/>
    <w:unhideWhenUsed/>
    <w:rsid w:val="00567E52"/>
  </w:style>
  <w:style w:type="table" w:customStyle="1" w:styleId="TabloKlavuzu63">
    <w:name w:val="Tablo Kılavuzu63"/>
    <w:basedOn w:val="NormalTablo"/>
    <w:next w:val="TabloKlavuzu"/>
    <w:rsid w:val="00567E5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ListeYok"/>
    <w:next w:val="111111"/>
    <w:semiHidden/>
    <w:rsid w:val="00567E52"/>
  </w:style>
  <w:style w:type="numbering" w:customStyle="1" w:styleId="Letterlist22">
    <w:name w:val="Letterlist22"/>
    <w:basedOn w:val="ListeYok"/>
    <w:rsid w:val="00567E52"/>
  </w:style>
  <w:style w:type="numbering" w:customStyle="1" w:styleId="Numberlist22">
    <w:name w:val="Numberlist22"/>
    <w:basedOn w:val="ListeYok"/>
    <w:rsid w:val="00567E52"/>
  </w:style>
  <w:style w:type="numbering" w:customStyle="1" w:styleId="01FirstBullets22">
    <w:name w:val="01. First Bullets22"/>
    <w:basedOn w:val="ListeYok"/>
    <w:rsid w:val="00567E52"/>
  </w:style>
  <w:style w:type="numbering" w:customStyle="1" w:styleId="02SecondBullets22">
    <w:name w:val="02. Second Bullets22"/>
    <w:basedOn w:val="ListeYok"/>
    <w:rsid w:val="00567E52"/>
  </w:style>
  <w:style w:type="numbering" w:customStyle="1" w:styleId="03ThirdBullet22">
    <w:name w:val="03. Third Bullet22"/>
    <w:rsid w:val="00567E52"/>
  </w:style>
  <w:style w:type="numbering" w:customStyle="1" w:styleId="StyleNumbered22">
    <w:name w:val="Style Numbered22"/>
    <w:basedOn w:val="ListeYok"/>
    <w:rsid w:val="00567E52"/>
  </w:style>
  <w:style w:type="numbering" w:customStyle="1" w:styleId="GeerliListe19">
    <w:name w:val="Geçerli Liste19"/>
    <w:uiPriority w:val="99"/>
    <w:rsid w:val="00567E52"/>
  </w:style>
  <w:style w:type="numbering" w:customStyle="1" w:styleId="GeerliListe22">
    <w:name w:val="Geçerli Liste22"/>
    <w:uiPriority w:val="99"/>
    <w:rsid w:val="00567E52"/>
  </w:style>
  <w:style w:type="numbering" w:customStyle="1" w:styleId="GeerliListe32">
    <w:name w:val="Geçerli Liste32"/>
    <w:uiPriority w:val="99"/>
    <w:rsid w:val="00567E52"/>
  </w:style>
  <w:style w:type="numbering" w:customStyle="1" w:styleId="GeerliListe42">
    <w:name w:val="Geçerli Liste42"/>
    <w:uiPriority w:val="99"/>
    <w:rsid w:val="00567E52"/>
  </w:style>
  <w:style w:type="numbering" w:customStyle="1" w:styleId="GeerliListe52">
    <w:name w:val="Geçerli Liste52"/>
    <w:uiPriority w:val="99"/>
    <w:rsid w:val="00567E52"/>
  </w:style>
  <w:style w:type="numbering" w:customStyle="1" w:styleId="GeerliListe62">
    <w:name w:val="Geçerli Liste62"/>
    <w:uiPriority w:val="99"/>
    <w:rsid w:val="00567E52"/>
  </w:style>
  <w:style w:type="numbering" w:customStyle="1" w:styleId="GeerliListe72">
    <w:name w:val="Geçerli Liste72"/>
    <w:uiPriority w:val="99"/>
    <w:rsid w:val="00567E52"/>
  </w:style>
  <w:style w:type="numbering" w:customStyle="1" w:styleId="GeerliListe82">
    <w:name w:val="Geçerli Liste82"/>
    <w:uiPriority w:val="99"/>
    <w:rsid w:val="00567E52"/>
  </w:style>
  <w:style w:type="numbering" w:customStyle="1" w:styleId="GeerliListe92">
    <w:name w:val="Geçerli Liste92"/>
    <w:uiPriority w:val="99"/>
    <w:rsid w:val="00567E52"/>
  </w:style>
  <w:style w:type="numbering" w:customStyle="1" w:styleId="GeerliListe102">
    <w:name w:val="Geçerli Liste102"/>
    <w:uiPriority w:val="99"/>
    <w:rsid w:val="00567E52"/>
  </w:style>
  <w:style w:type="numbering" w:customStyle="1" w:styleId="GeerliListe112">
    <w:name w:val="Geçerli Liste112"/>
    <w:uiPriority w:val="99"/>
    <w:rsid w:val="00567E52"/>
  </w:style>
  <w:style w:type="numbering" w:customStyle="1" w:styleId="GeerliListe122">
    <w:name w:val="Geçerli Liste122"/>
    <w:uiPriority w:val="99"/>
    <w:rsid w:val="00567E52"/>
  </w:style>
  <w:style w:type="numbering" w:customStyle="1" w:styleId="GeerliListe132">
    <w:name w:val="Geçerli Liste132"/>
    <w:uiPriority w:val="99"/>
    <w:rsid w:val="00567E52"/>
  </w:style>
  <w:style w:type="numbering" w:customStyle="1" w:styleId="GeerliListe142">
    <w:name w:val="Geçerli Liste142"/>
    <w:uiPriority w:val="99"/>
    <w:rsid w:val="00567E52"/>
  </w:style>
  <w:style w:type="numbering" w:customStyle="1" w:styleId="GeerliListe152">
    <w:name w:val="Geçerli Liste152"/>
    <w:uiPriority w:val="99"/>
    <w:rsid w:val="00567E52"/>
  </w:style>
  <w:style w:type="numbering" w:customStyle="1" w:styleId="GeerliListe162">
    <w:name w:val="Geçerli Liste162"/>
    <w:uiPriority w:val="99"/>
    <w:rsid w:val="00567E52"/>
  </w:style>
  <w:style w:type="numbering" w:customStyle="1" w:styleId="GeerliListe171">
    <w:name w:val="Geçerli Liste171"/>
    <w:uiPriority w:val="99"/>
    <w:rsid w:val="00567E52"/>
  </w:style>
  <w:style w:type="numbering" w:customStyle="1" w:styleId="ListeYok18">
    <w:name w:val="Liste Yok18"/>
    <w:next w:val="ListeYok"/>
    <w:uiPriority w:val="99"/>
    <w:semiHidden/>
    <w:unhideWhenUsed/>
    <w:rsid w:val="002C07D9"/>
  </w:style>
  <w:style w:type="table" w:customStyle="1" w:styleId="TabloKlavuzu10">
    <w:name w:val="Tablo Kılavuzu10"/>
    <w:basedOn w:val="NormalTablo"/>
    <w:next w:val="TabloKlavuzu"/>
    <w:uiPriority w:val="39"/>
    <w:rsid w:val="002C07D9"/>
    <w:pPr>
      <w:spacing w:after="0" w:line="240" w:lineRule="auto"/>
    </w:pPr>
    <w:rPr>
      <w:rFonts w:ascii="Courier New" w:eastAsia="Times New Roman" w:hAnsi="Courier New" w:cs="Courier New"/>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9">
    <w:name w:val="Liste Yok19"/>
    <w:next w:val="ListeYok"/>
    <w:uiPriority w:val="99"/>
    <w:semiHidden/>
    <w:unhideWhenUsed/>
    <w:rsid w:val="002C07D9"/>
  </w:style>
  <w:style w:type="table" w:customStyle="1" w:styleId="TabloKlavuzu14">
    <w:name w:val="Tablo Kılavuzu14"/>
    <w:basedOn w:val="NormalTablo"/>
    <w:next w:val="TabloKlavuzu"/>
    <w:uiPriority w:val="59"/>
    <w:rsid w:val="002C07D9"/>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4">
    <w:name w:val="Liste Yok114"/>
    <w:next w:val="ListeYok"/>
    <w:uiPriority w:val="99"/>
    <w:semiHidden/>
    <w:unhideWhenUsed/>
    <w:rsid w:val="002C07D9"/>
  </w:style>
  <w:style w:type="numbering" w:customStyle="1" w:styleId="ListeYok24">
    <w:name w:val="Liste Yok24"/>
    <w:next w:val="ListeYok"/>
    <w:uiPriority w:val="99"/>
    <w:semiHidden/>
    <w:unhideWhenUsed/>
    <w:rsid w:val="002C07D9"/>
  </w:style>
  <w:style w:type="numbering" w:customStyle="1" w:styleId="ListeYok33">
    <w:name w:val="Liste Yok33"/>
    <w:next w:val="ListeYok"/>
    <w:uiPriority w:val="99"/>
    <w:semiHidden/>
    <w:unhideWhenUsed/>
    <w:rsid w:val="002C07D9"/>
  </w:style>
  <w:style w:type="numbering" w:customStyle="1" w:styleId="ListeYok43">
    <w:name w:val="Liste Yok43"/>
    <w:next w:val="ListeYok"/>
    <w:uiPriority w:val="99"/>
    <w:semiHidden/>
    <w:unhideWhenUsed/>
    <w:rsid w:val="002C07D9"/>
  </w:style>
  <w:style w:type="numbering" w:customStyle="1" w:styleId="ListeYok53">
    <w:name w:val="Liste Yok53"/>
    <w:next w:val="ListeYok"/>
    <w:uiPriority w:val="99"/>
    <w:semiHidden/>
    <w:unhideWhenUsed/>
    <w:rsid w:val="002C07D9"/>
  </w:style>
  <w:style w:type="numbering" w:customStyle="1" w:styleId="ListeYok63">
    <w:name w:val="Liste Yok63"/>
    <w:next w:val="ListeYok"/>
    <w:uiPriority w:val="99"/>
    <w:semiHidden/>
    <w:unhideWhenUsed/>
    <w:rsid w:val="002C07D9"/>
  </w:style>
  <w:style w:type="numbering" w:customStyle="1" w:styleId="ListeYok73">
    <w:name w:val="Liste Yok73"/>
    <w:next w:val="ListeYok"/>
    <w:uiPriority w:val="99"/>
    <w:semiHidden/>
    <w:unhideWhenUsed/>
    <w:rsid w:val="002C07D9"/>
  </w:style>
  <w:style w:type="numbering" w:customStyle="1" w:styleId="ListeYok83">
    <w:name w:val="Liste Yok83"/>
    <w:next w:val="ListeYok"/>
    <w:uiPriority w:val="99"/>
    <w:semiHidden/>
    <w:unhideWhenUsed/>
    <w:rsid w:val="002C07D9"/>
  </w:style>
  <w:style w:type="table" w:customStyle="1" w:styleId="TabloKlavuzu24">
    <w:name w:val="Tablo Kılavuzu24"/>
    <w:basedOn w:val="NormalTablo"/>
    <w:next w:val="TabloKlavuzu"/>
    <w:uiPriority w:val="39"/>
    <w:rsid w:val="002C07D9"/>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4">
    <w:name w:val="Tablo Kılavuzu34"/>
    <w:basedOn w:val="NormalTablo"/>
    <w:next w:val="TabloKlavuzu"/>
    <w:uiPriority w:val="39"/>
    <w:rsid w:val="002C07D9"/>
    <w:pPr>
      <w:spacing w:after="0" w:line="240" w:lineRule="auto"/>
    </w:pPr>
    <w:rPr>
      <w:rFonts w:eastAsia="Times New Roman"/>
      <w:kern w:val="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3">
    <w:name w:val="Liste Yok93"/>
    <w:next w:val="ListeYok"/>
    <w:uiPriority w:val="99"/>
    <w:semiHidden/>
    <w:unhideWhenUsed/>
    <w:rsid w:val="002C07D9"/>
  </w:style>
  <w:style w:type="table" w:customStyle="1" w:styleId="TabloKlavuzu44">
    <w:name w:val="Tablo Kılavuzu44"/>
    <w:basedOn w:val="NormalTablo"/>
    <w:next w:val="TabloKlavuzu"/>
    <w:uiPriority w:val="39"/>
    <w:rsid w:val="002C07D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1 / 1.1 / 1.1.15"/>
    <w:basedOn w:val="ListeYok"/>
    <w:next w:val="111111"/>
    <w:semiHidden/>
    <w:rsid w:val="002C07D9"/>
  </w:style>
  <w:style w:type="numbering" w:customStyle="1" w:styleId="Letterlist5">
    <w:name w:val="Letterlist5"/>
    <w:basedOn w:val="ListeYok"/>
    <w:rsid w:val="002C07D9"/>
  </w:style>
  <w:style w:type="numbering" w:customStyle="1" w:styleId="Numberlist5">
    <w:name w:val="Numberlist5"/>
    <w:basedOn w:val="ListeYok"/>
    <w:rsid w:val="002C07D9"/>
  </w:style>
  <w:style w:type="numbering" w:customStyle="1" w:styleId="01FirstBullets5">
    <w:name w:val="01. First Bullets5"/>
    <w:basedOn w:val="ListeYok"/>
    <w:rsid w:val="002C07D9"/>
  </w:style>
  <w:style w:type="numbering" w:customStyle="1" w:styleId="02SecondBullets5">
    <w:name w:val="02. Second Bullets5"/>
    <w:basedOn w:val="ListeYok"/>
    <w:rsid w:val="002C07D9"/>
  </w:style>
  <w:style w:type="numbering" w:customStyle="1" w:styleId="03ThirdBullet5">
    <w:name w:val="03. Third Bullet5"/>
    <w:rsid w:val="002C07D9"/>
  </w:style>
  <w:style w:type="numbering" w:customStyle="1" w:styleId="StyleNumbered5">
    <w:name w:val="Style Numbered5"/>
    <w:basedOn w:val="ListeYok"/>
    <w:rsid w:val="002C07D9"/>
  </w:style>
  <w:style w:type="numbering" w:customStyle="1" w:styleId="ListeYok103">
    <w:name w:val="Liste Yok103"/>
    <w:next w:val="ListeYok"/>
    <w:uiPriority w:val="99"/>
    <w:semiHidden/>
    <w:unhideWhenUsed/>
    <w:rsid w:val="002C07D9"/>
  </w:style>
  <w:style w:type="table" w:customStyle="1" w:styleId="TabloKlavuzu54">
    <w:name w:val="Tablo Kılavuzu54"/>
    <w:basedOn w:val="NormalTablo"/>
    <w:next w:val="TabloKlavuzu"/>
    <w:uiPriority w:val="39"/>
    <w:rsid w:val="002C07D9"/>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
    <w:name w:val="1 / 1.1 / 1.1.113"/>
    <w:basedOn w:val="ListeYok"/>
    <w:next w:val="111111"/>
    <w:semiHidden/>
    <w:rsid w:val="002C07D9"/>
  </w:style>
  <w:style w:type="numbering" w:customStyle="1" w:styleId="Letterlist13">
    <w:name w:val="Letterlist13"/>
    <w:basedOn w:val="ListeYok"/>
    <w:rsid w:val="002C07D9"/>
  </w:style>
  <w:style w:type="numbering" w:customStyle="1" w:styleId="Numberlist13">
    <w:name w:val="Numberlist13"/>
    <w:basedOn w:val="ListeYok"/>
    <w:rsid w:val="002C07D9"/>
  </w:style>
  <w:style w:type="numbering" w:customStyle="1" w:styleId="01FirstBullets13">
    <w:name w:val="01. First Bullets13"/>
    <w:basedOn w:val="ListeYok"/>
    <w:rsid w:val="002C07D9"/>
  </w:style>
  <w:style w:type="numbering" w:customStyle="1" w:styleId="02SecondBullets13">
    <w:name w:val="02. Second Bullets13"/>
    <w:basedOn w:val="ListeYok"/>
    <w:rsid w:val="002C07D9"/>
  </w:style>
  <w:style w:type="numbering" w:customStyle="1" w:styleId="03ThirdBullet13">
    <w:name w:val="03. Third Bullet13"/>
    <w:rsid w:val="002C07D9"/>
  </w:style>
  <w:style w:type="numbering" w:customStyle="1" w:styleId="StyleNumbered13">
    <w:name w:val="Style Numbered13"/>
    <w:basedOn w:val="ListeYok"/>
    <w:rsid w:val="002C07D9"/>
  </w:style>
  <w:style w:type="numbering" w:customStyle="1" w:styleId="ListeYok123">
    <w:name w:val="Liste Yok123"/>
    <w:next w:val="ListeYok"/>
    <w:uiPriority w:val="99"/>
    <w:semiHidden/>
    <w:unhideWhenUsed/>
    <w:rsid w:val="002C07D9"/>
  </w:style>
  <w:style w:type="table" w:customStyle="1" w:styleId="TabloKlavuzu64">
    <w:name w:val="Tablo Kılavuzu64"/>
    <w:basedOn w:val="NormalTablo"/>
    <w:next w:val="TabloKlavuzu"/>
    <w:rsid w:val="002C07D9"/>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
    <w:name w:val="1 / 1.1 / 1.1.123"/>
    <w:basedOn w:val="ListeYok"/>
    <w:next w:val="111111"/>
    <w:semiHidden/>
    <w:rsid w:val="002C07D9"/>
  </w:style>
  <w:style w:type="numbering" w:customStyle="1" w:styleId="Letterlist23">
    <w:name w:val="Letterlist23"/>
    <w:basedOn w:val="ListeYok"/>
    <w:rsid w:val="002C07D9"/>
  </w:style>
  <w:style w:type="numbering" w:customStyle="1" w:styleId="Numberlist23">
    <w:name w:val="Numberlist23"/>
    <w:basedOn w:val="ListeYok"/>
    <w:rsid w:val="002C07D9"/>
  </w:style>
  <w:style w:type="numbering" w:customStyle="1" w:styleId="01FirstBullets23">
    <w:name w:val="01. First Bullets23"/>
    <w:basedOn w:val="ListeYok"/>
    <w:rsid w:val="002C07D9"/>
  </w:style>
  <w:style w:type="numbering" w:customStyle="1" w:styleId="02SecondBullets23">
    <w:name w:val="02. Second Bullets23"/>
    <w:basedOn w:val="ListeYok"/>
    <w:rsid w:val="002C07D9"/>
  </w:style>
  <w:style w:type="numbering" w:customStyle="1" w:styleId="03ThirdBullet23">
    <w:name w:val="03. Third Bullet23"/>
    <w:rsid w:val="002C07D9"/>
  </w:style>
  <w:style w:type="numbering" w:customStyle="1" w:styleId="StyleNumbered23">
    <w:name w:val="Style Numbered23"/>
    <w:basedOn w:val="ListeYok"/>
    <w:rsid w:val="002C07D9"/>
  </w:style>
  <w:style w:type="numbering" w:customStyle="1" w:styleId="GeerliListe110">
    <w:name w:val="Geçerli Liste110"/>
    <w:uiPriority w:val="99"/>
    <w:rsid w:val="002C07D9"/>
  </w:style>
  <w:style w:type="numbering" w:customStyle="1" w:styleId="GeerliListe23">
    <w:name w:val="Geçerli Liste23"/>
    <w:uiPriority w:val="99"/>
    <w:rsid w:val="002C07D9"/>
  </w:style>
  <w:style w:type="numbering" w:customStyle="1" w:styleId="GeerliListe33">
    <w:name w:val="Geçerli Liste33"/>
    <w:uiPriority w:val="99"/>
    <w:rsid w:val="002C07D9"/>
  </w:style>
  <w:style w:type="numbering" w:customStyle="1" w:styleId="GeerliListe43">
    <w:name w:val="Geçerli Liste43"/>
    <w:uiPriority w:val="99"/>
    <w:rsid w:val="002C07D9"/>
  </w:style>
  <w:style w:type="numbering" w:customStyle="1" w:styleId="GeerliListe53">
    <w:name w:val="Geçerli Liste53"/>
    <w:uiPriority w:val="99"/>
    <w:rsid w:val="002C07D9"/>
  </w:style>
  <w:style w:type="numbering" w:customStyle="1" w:styleId="GeerliListe63">
    <w:name w:val="Geçerli Liste63"/>
    <w:uiPriority w:val="99"/>
    <w:rsid w:val="002C07D9"/>
  </w:style>
  <w:style w:type="numbering" w:customStyle="1" w:styleId="GeerliListe73">
    <w:name w:val="Geçerli Liste73"/>
    <w:uiPriority w:val="99"/>
    <w:rsid w:val="002C07D9"/>
  </w:style>
  <w:style w:type="numbering" w:customStyle="1" w:styleId="GeerliListe83">
    <w:name w:val="Geçerli Liste83"/>
    <w:uiPriority w:val="99"/>
    <w:rsid w:val="002C07D9"/>
  </w:style>
  <w:style w:type="numbering" w:customStyle="1" w:styleId="GeerliListe93">
    <w:name w:val="Geçerli Liste93"/>
    <w:uiPriority w:val="99"/>
    <w:rsid w:val="002C07D9"/>
  </w:style>
  <w:style w:type="numbering" w:customStyle="1" w:styleId="GeerliListe103">
    <w:name w:val="Geçerli Liste103"/>
    <w:uiPriority w:val="99"/>
    <w:rsid w:val="002C07D9"/>
  </w:style>
  <w:style w:type="numbering" w:customStyle="1" w:styleId="GeerliListe113">
    <w:name w:val="Geçerli Liste113"/>
    <w:uiPriority w:val="99"/>
    <w:rsid w:val="002C07D9"/>
  </w:style>
  <w:style w:type="numbering" w:customStyle="1" w:styleId="GeerliListe123">
    <w:name w:val="Geçerli Liste123"/>
    <w:uiPriority w:val="99"/>
    <w:rsid w:val="002C07D9"/>
  </w:style>
  <w:style w:type="numbering" w:customStyle="1" w:styleId="GeerliListe133">
    <w:name w:val="Geçerli Liste133"/>
    <w:uiPriority w:val="99"/>
    <w:rsid w:val="002C07D9"/>
  </w:style>
  <w:style w:type="numbering" w:customStyle="1" w:styleId="GeerliListe143">
    <w:name w:val="Geçerli Liste143"/>
    <w:uiPriority w:val="99"/>
    <w:rsid w:val="002C07D9"/>
  </w:style>
  <w:style w:type="numbering" w:customStyle="1" w:styleId="GeerliListe153">
    <w:name w:val="Geçerli Liste153"/>
    <w:uiPriority w:val="99"/>
    <w:rsid w:val="002C07D9"/>
  </w:style>
  <w:style w:type="numbering" w:customStyle="1" w:styleId="GeerliListe163">
    <w:name w:val="Geçerli Liste163"/>
    <w:uiPriority w:val="99"/>
    <w:rsid w:val="002C07D9"/>
  </w:style>
  <w:style w:type="numbering" w:customStyle="1" w:styleId="ListeYok20">
    <w:name w:val="Liste Yok20"/>
    <w:next w:val="ListeYok"/>
    <w:uiPriority w:val="99"/>
    <w:semiHidden/>
    <w:unhideWhenUsed/>
    <w:rsid w:val="00FF45DE"/>
  </w:style>
  <w:style w:type="paragraph" w:customStyle="1" w:styleId="Projecttitletable">
    <w:name w:val="Project title table"/>
    <w:basedOn w:val="Normal"/>
    <w:link w:val="ProjecttitletableChar"/>
    <w:autoRedefine/>
    <w:qFormat/>
    <w:rsid w:val="00FF45DE"/>
    <w:pPr>
      <w:spacing w:after="0" w:line="276" w:lineRule="auto"/>
    </w:pPr>
    <w:rPr>
      <w:rFonts w:ascii="Times New Roman" w:hAnsi="Times New Roman" w:cs="Calibri"/>
      <w:kern w:val="0"/>
      <w:sz w:val="20"/>
      <w:lang w:val="en-US" w:bidi="en-US"/>
      <w14:ligatures w14:val="none"/>
    </w:rPr>
  </w:style>
  <w:style w:type="character" w:customStyle="1" w:styleId="ProjecttitletableChar">
    <w:name w:val="Project title table Char"/>
    <w:basedOn w:val="VarsaylanParagrafYazTipi"/>
    <w:link w:val="Projecttitletable"/>
    <w:rsid w:val="00FF45DE"/>
    <w:rPr>
      <w:rFonts w:ascii="Times New Roman" w:hAnsi="Times New Roman" w:cs="Calibri"/>
      <w:kern w:val="0"/>
      <w:sz w:val="20"/>
      <w:lang w:val="en-US" w:bidi="en-US"/>
      <w14:ligatures w14:val="none"/>
    </w:rPr>
  </w:style>
  <w:style w:type="character" w:customStyle="1" w:styleId="Bahset1">
    <w:name w:val="Bahset1"/>
    <w:basedOn w:val="VarsaylanParagrafYazTipi"/>
    <w:uiPriority w:val="99"/>
    <w:unhideWhenUsed/>
    <w:rsid w:val="00FF45DE"/>
    <w:rPr>
      <w:color w:val="2B579A"/>
      <w:shd w:val="clear" w:color="auto" w:fill="E1DFDD"/>
    </w:rPr>
  </w:style>
  <w:style w:type="table" w:customStyle="1" w:styleId="TableGrid1">
    <w:name w:val="Table Grid1"/>
    <w:basedOn w:val="NormalTablo"/>
    <w:uiPriority w:val="39"/>
    <w:rsid w:val="00FF45DE"/>
    <w:pPr>
      <w:spacing w:after="0" w:line="240" w:lineRule="auto"/>
    </w:pPr>
    <w:rPr>
      <w:rFonts w:ascii="Times New Roman" w:hAnsi="Times New Roman"/>
      <w:kern w:val="0"/>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color w:val="FFFFFF"/>
        <w:sz w:val="22"/>
      </w:rPr>
      <w:tblPr/>
      <w:trPr>
        <w:tblHeader/>
      </w:trPr>
      <w:tcPr>
        <w:shd w:val="clear" w:color="auto" w:fill="404040"/>
      </w:tcPr>
    </w:tblStylePr>
    <w:tblStylePr w:type="lastRow">
      <w:rPr>
        <w:rFonts w:ascii="Times New Roman" w:hAnsi="Times New Roman"/>
        <w:sz w:val="22"/>
      </w:rPr>
    </w:tblStylePr>
    <w:tblStylePr w:type="firstCol">
      <w:rPr>
        <w:rFonts w:ascii="Times New Roman" w:hAnsi="Times New Roman"/>
        <w:b/>
        <w:sz w:val="22"/>
      </w:rPr>
      <w:tblPr/>
      <w:tcPr>
        <w:shd w:val="clear" w:color="auto" w:fill="FFFFFF"/>
      </w:tcPr>
    </w:tblStylePr>
    <w:tblStylePr w:type="lastCol">
      <w:rPr>
        <w:rFonts w:ascii="Times New Roman" w:hAnsi="Times New Roman"/>
        <w:sz w:val="22"/>
      </w:rPr>
    </w:tblStylePr>
    <w:tblStylePr w:type="band1Vert">
      <w:rPr>
        <w:rFonts w:ascii="Times New Roman" w:hAnsi="Times New Roman"/>
        <w:sz w:val="22"/>
      </w:rPr>
    </w:tblStylePr>
    <w:tblStylePr w:type="band2Vert">
      <w:rPr>
        <w:rFonts w:ascii="Times New Roman" w:hAnsi="Times New Roman"/>
        <w:sz w:val="22"/>
      </w:rPr>
    </w:tblStylePr>
    <w:tblStylePr w:type="band1Horz">
      <w:rPr>
        <w:rFonts w:ascii="Times New Roman" w:hAnsi="Times New Roman"/>
        <w:sz w:val="22"/>
      </w:rPr>
    </w:tblStylePr>
    <w:tblStylePr w:type="band2Horz">
      <w:rPr>
        <w:rFonts w:ascii="Times New Roman" w:hAnsi="Times New Roman"/>
        <w:sz w:val="22"/>
      </w:rPr>
    </w:tblStylePr>
  </w:style>
  <w:style w:type="paragraph" w:customStyle="1" w:styleId="Glossaryofterms">
    <w:name w:val="Glossary of terms"/>
    <w:basedOn w:val="Normal"/>
    <w:link w:val="GlossaryoftermsChar"/>
    <w:autoRedefine/>
    <w:qFormat/>
    <w:rsid w:val="00FF45DE"/>
    <w:pPr>
      <w:spacing w:before="40" w:after="40" w:line="360" w:lineRule="auto"/>
    </w:pPr>
    <w:rPr>
      <w:rFonts w:ascii="Times New Roman" w:hAnsi="Times New Roman" w:cs="Calibri"/>
      <w:kern w:val="0"/>
      <w:lang w:val="en-GB"/>
      <w14:ligatures w14:val="none"/>
    </w:rPr>
  </w:style>
  <w:style w:type="character" w:customStyle="1" w:styleId="GlossaryoftermsChar">
    <w:name w:val="Glossary of terms Char"/>
    <w:basedOn w:val="VarsaylanParagrafYazTipi"/>
    <w:link w:val="Glossaryofterms"/>
    <w:rsid w:val="00FF45DE"/>
    <w:rPr>
      <w:rFonts w:ascii="Times New Roman" w:hAnsi="Times New Roman" w:cs="Calibri"/>
      <w:kern w:val="0"/>
      <w:lang w:val="en-GB"/>
      <w14:ligatures w14:val="none"/>
    </w:rPr>
  </w:style>
  <w:style w:type="table" w:customStyle="1" w:styleId="TableGrid2">
    <w:name w:val="Table Grid2"/>
    <w:basedOn w:val="NormalTablo"/>
    <w:next w:val="TabloKlavuzu"/>
    <w:uiPriority w:val="39"/>
    <w:rsid w:val="00FF45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5">
    <w:name w:val="Tablo Kılavuzu15"/>
    <w:basedOn w:val="NormalTablo"/>
    <w:next w:val="TabloKlavuzu"/>
    <w:uiPriority w:val="39"/>
    <w:rsid w:val="00FF45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portTable">
    <w:name w:val="ReportTable"/>
    <w:basedOn w:val="KlavuzuTablo41"/>
    <w:uiPriority w:val="99"/>
    <w:rsid w:val="00FF45DE"/>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uTablo41">
    <w:name w:val="Kılavuzu Tablo 41"/>
    <w:basedOn w:val="NormalTablo"/>
    <w:uiPriority w:val="49"/>
    <w:rsid w:val="00FF45DE"/>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31">
    <w:name w:val="Liste Tablo 31"/>
    <w:basedOn w:val="NormalTablo"/>
    <w:uiPriority w:val="48"/>
    <w:rsid w:val="00FF45DE"/>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Table-Text">
    <w:name w:val="Table-Text"/>
    <w:basedOn w:val="Normal"/>
    <w:link w:val="Table-TextChar"/>
    <w:autoRedefine/>
    <w:qFormat/>
    <w:rsid w:val="00FF45DE"/>
    <w:pPr>
      <w:spacing w:after="0" w:line="240" w:lineRule="auto"/>
    </w:pPr>
    <w:rPr>
      <w:rFonts w:ascii="Times New Roman" w:hAnsi="Times New Roman"/>
      <w:kern w:val="0"/>
      <w:sz w:val="20"/>
      <w:lang w:val="en-US"/>
      <w14:ligatures w14:val="none"/>
    </w:rPr>
  </w:style>
  <w:style w:type="character" w:customStyle="1" w:styleId="Table-TextChar">
    <w:name w:val="Table-Text Char"/>
    <w:basedOn w:val="VarsaylanParagrafYazTipi"/>
    <w:link w:val="Table-Text"/>
    <w:rsid w:val="00FF45DE"/>
    <w:rPr>
      <w:rFonts w:ascii="Times New Roman" w:hAnsi="Times New Roman"/>
      <w:kern w:val="0"/>
      <w:sz w:val="20"/>
      <w:lang w:val="en-US"/>
      <w14:ligatures w14:val="none"/>
    </w:rPr>
  </w:style>
  <w:style w:type="paragraph" w:customStyle="1" w:styleId="TextBullet">
    <w:name w:val="Text Bullet"/>
    <w:basedOn w:val="Normal"/>
    <w:link w:val="TextBulletChar"/>
    <w:autoRedefine/>
    <w:qFormat/>
    <w:rsid w:val="00FF45DE"/>
    <w:pPr>
      <w:numPr>
        <w:numId w:val="122"/>
      </w:numPr>
      <w:spacing w:after="0" w:line="360" w:lineRule="auto"/>
      <w:contextualSpacing/>
      <w:jc w:val="both"/>
    </w:pPr>
    <w:rPr>
      <w:rFonts w:ascii="Times New Roman" w:hAnsi="Times New Roman" w:cs="Calibri"/>
      <w:color w:val="000000"/>
      <w:kern w:val="0"/>
      <w:sz w:val="24"/>
      <w:lang w:val="en-GB"/>
      <w14:ligatures w14:val="none"/>
    </w:rPr>
  </w:style>
  <w:style w:type="character" w:customStyle="1" w:styleId="TextBulletChar">
    <w:name w:val="Text Bullet Char"/>
    <w:basedOn w:val="VarsaylanParagrafYazTipi"/>
    <w:link w:val="TextBullet"/>
    <w:rsid w:val="00FF45DE"/>
    <w:rPr>
      <w:rFonts w:ascii="Times New Roman" w:hAnsi="Times New Roman" w:cs="Calibri"/>
      <w:color w:val="000000"/>
      <w:kern w:val="0"/>
      <w:sz w:val="24"/>
      <w:lang w:val="en-GB"/>
      <w14:ligatures w14:val="none"/>
    </w:rPr>
  </w:style>
  <w:style w:type="table" w:customStyle="1" w:styleId="ListTable31">
    <w:name w:val="List Table 31"/>
    <w:basedOn w:val="NormalTablo"/>
    <w:uiPriority w:val="48"/>
    <w:rsid w:val="00FF45DE"/>
    <w:pPr>
      <w:numPr>
        <w:numId w:val="6"/>
      </w:num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character" w:customStyle="1" w:styleId="Bahset2">
    <w:name w:val="Bahset2"/>
    <w:basedOn w:val="VarsaylanParagrafYazTipi"/>
    <w:uiPriority w:val="99"/>
    <w:unhideWhenUsed/>
    <w:rsid w:val="00FF45DE"/>
    <w:rPr>
      <w:color w:val="2B579A"/>
      <w:shd w:val="clear" w:color="auto" w:fill="E1DFDD"/>
    </w:rPr>
  </w:style>
  <w:style w:type="paragraph" w:customStyle="1" w:styleId="HDFootnote">
    <w:name w:val="HD_Footnote"/>
    <w:qFormat/>
    <w:rsid w:val="00FF45DE"/>
    <w:pPr>
      <w:spacing w:after="200" w:line="276" w:lineRule="auto"/>
    </w:pPr>
    <w:rPr>
      <w:rFonts w:eastAsia="Times New Roman"/>
      <w:kern w:val="0"/>
      <w:sz w:val="16"/>
      <w:lang w:val="en-GB" w:bidi="en-US"/>
      <w14:ligatures w14:val="none"/>
    </w:rPr>
  </w:style>
  <w:style w:type="paragraph" w:customStyle="1" w:styleId="paragraph">
    <w:name w:val="paragraph"/>
    <w:basedOn w:val="Normal"/>
    <w:rsid w:val="00FF45D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eop">
    <w:name w:val="eop"/>
    <w:basedOn w:val="VarsaylanParagrafYazTipi"/>
    <w:rsid w:val="00FF45DE"/>
  </w:style>
  <w:style w:type="character" w:customStyle="1" w:styleId="normaltextrun">
    <w:name w:val="normaltextrun"/>
    <w:basedOn w:val="VarsaylanParagrafYazTipi"/>
    <w:rsid w:val="00FF45DE"/>
  </w:style>
  <w:style w:type="character" w:customStyle="1" w:styleId="equationplaceholdertext">
    <w:name w:val="equationplaceholdertext"/>
    <w:basedOn w:val="VarsaylanParagrafYazTipi"/>
    <w:rsid w:val="00FF45DE"/>
  </w:style>
  <w:style w:type="character" w:customStyle="1" w:styleId="scxw263059263">
    <w:name w:val="scxw263059263"/>
    <w:basedOn w:val="VarsaylanParagrafYazTipi"/>
    <w:rsid w:val="00FF45DE"/>
  </w:style>
  <w:style w:type="character" w:customStyle="1" w:styleId="mo">
    <w:name w:val="mo"/>
    <w:basedOn w:val="VarsaylanParagrafYazTipi"/>
    <w:rsid w:val="00FF45DE"/>
  </w:style>
  <w:style w:type="character" w:customStyle="1" w:styleId="mi">
    <w:name w:val="mi"/>
    <w:basedOn w:val="VarsaylanParagrafYazTipi"/>
    <w:rsid w:val="00FF45DE"/>
  </w:style>
  <w:style w:type="character" w:customStyle="1" w:styleId="mn">
    <w:name w:val="mn"/>
    <w:basedOn w:val="VarsaylanParagrafYazTipi"/>
    <w:rsid w:val="00FF45DE"/>
  </w:style>
  <w:style w:type="character" w:customStyle="1" w:styleId="mjxassistivemathml">
    <w:name w:val="mjx_assistive_mathml"/>
    <w:basedOn w:val="VarsaylanParagrafYazTipi"/>
    <w:rsid w:val="00FF45DE"/>
  </w:style>
  <w:style w:type="character" w:customStyle="1" w:styleId="scxw147860125">
    <w:name w:val="scxw147860125"/>
    <w:basedOn w:val="VarsaylanParagrafYazTipi"/>
    <w:rsid w:val="00FF45DE"/>
  </w:style>
  <w:style w:type="paragraph" w:customStyle="1" w:styleId="Tablefonttype">
    <w:name w:val="Table font type"/>
    <w:basedOn w:val="Normal"/>
    <w:link w:val="TablefonttypeChar"/>
    <w:autoRedefine/>
    <w:qFormat/>
    <w:rsid w:val="00FF45DE"/>
    <w:pPr>
      <w:framePr w:hSpace="180" w:wrap="around" w:vAnchor="text" w:hAnchor="text" w:y="-83"/>
      <w:spacing w:after="0" w:line="276" w:lineRule="auto"/>
      <w:contextualSpacing/>
      <w:jc w:val="both"/>
    </w:pPr>
    <w:rPr>
      <w:rFonts w:ascii="Times New Roman" w:eastAsia="Times New Roman" w:hAnsi="Times New Roman" w:cs="Times New Roman"/>
      <w:color w:val="000000"/>
      <w:kern w:val="0"/>
      <w:szCs w:val="24"/>
      <w:lang w:val="en-US" w:bidi="en-US"/>
      <w14:ligatures w14:val="none"/>
    </w:rPr>
  </w:style>
  <w:style w:type="character" w:customStyle="1" w:styleId="TablefonttypeChar">
    <w:name w:val="Table font type Char"/>
    <w:basedOn w:val="VarsaylanParagrafYazTipi"/>
    <w:link w:val="Tablefonttype"/>
    <w:rsid w:val="00FF45DE"/>
    <w:rPr>
      <w:rFonts w:ascii="Times New Roman" w:eastAsia="Times New Roman" w:hAnsi="Times New Roman" w:cs="Times New Roman"/>
      <w:color w:val="000000"/>
      <w:kern w:val="0"/>
      <w:szCs w:val="24"/>
      <w:lang w:val="en-US" w:bidi="en-US"/>
      <w14:ligatures w14:val="none"/>
    </w:rPr>
  </w:style>
  <w:style w:type="paragraph" w:styleId="Kaynaka0">
    <w:name w:val="Bibliography"/>
    <w:basedOn w:val="Normal"/>
    <w:next w:val="Normal"/>
    <w:uiPriority w:val="37"/>
    <w:unhideWhenUsed/>
    <w:rsid w:val="00FF45DE"/>
    <w:pPr>
      <w:spacing w:after="0" w:line="360" w:lineRule="auto"/>
      <w:jc w:val="both"/>
    </w:pPr>
    <w:rPr>
      <w:rFonts w:ascii="Times New Roman" w:hAnsi="Times New Roman" w:cs="Calibri"/>
      <w:kern w:val="0"/>
      <w:sz w:val="24"/>
      <w:lang w:val="en-US"/>
      <w14:ligatures w14:val="none"/>
    </w:rPr>
  </w:style>
  <w:style w:type="character" w:customStyle="1" w:styleId="A1">
    <w:name w:val="A1"/>
    <w:uiPriority w:val="99"/>
    <w:rsid w:val="00FF45DE"/>
    <w:rPr>
      <w:rFonts w:cs="PF DinDisplay Pro"/>
      <w:b/>
      <w:bCs/>
      <w:color w:val="000000"/>
    </w:rPr>
  </w:style>
  <w:style w:type="paragraph" w:customStyle="1" w:styleId="TableCaption">
    <w:name w:val="Table Caption"/>
    <w:basedOn w:val="ResimYazs4"/>
    <w:link w:val="TableCaptionChar"/>
    <w:qFormat/>
    <w:rsid w:val="00FF45DE"/>
    <w:pPr>
      <w:keepNext/>
      <w:spacing w:before="360" w:after="120"/>
    </w:pPr>
    <w:rPr>
      <w:kern w:val="0"/>
      <w14:ligatures w14:val="none"/>
    </w:rPr>
  </w:style>
  <w:style w:type="character" w:customStyle="1" w:styleId="TableCaptionChar">
    <w:name w:val="Table Caption Char"/>
    <w:basedOn w:val="ResimYazsChar"/>
    <w:link w:val="TableCaption"/>
    <w:rsid w:val="00FF45DE"/>
    <w:rPr>
      <w:rFonts w:ascii="Times New Roman" w:eastAsia="Calibri" w:hAnsi="Times New Roman" w:cs="Calibri"/>
      <w:b/>
      <w:iCs/>
      <w:color w:val="000000"/>
      <w:kern w:val="0"/>
      <w:sz w:val="24"/>
      <w:szCs w:val="18"/>
      <w:lang w:val="en-US" w:eastAsia="en-US"/>
      <w14:ligatures w14:val="none"/>
    </w:rPr>
  </w:style>
  <w:style w:type="paragraph" w:customStyle="1" w:styleId="FigureCaption">
    <w:name w:val="Figure Caption"/>
    <w:basedOn w:val="Normal"/>
    <w:link w:val="FigureCaptionChar"/>
    <w:qFormat/>
    <w:rsid w:val="00FF45DE"/>
    <w:pPr>
      <w:spacing w:before="120" w:after="480" w:line="240" w:lineRule="auto"/>
      <w:jc w:val="both"/>
    </w:pPr>
    <w:rPr>
      <w:rFonts w:ascii="Times New Roman" w:hAnsi="Times New Roman" w:cs="Calibri"/>
      <w:b/>
      <w:kern w:val="0"/>
      <w:sz w:val="24"/>
      <w:lang w:val="en-US"/>
      <w14:ligatures w14:val="none"/>
    </w:rPr>
  </w:style>
  <w:style w:type="character" w:customStyle="1" w:styleId="FigureCaptionChar">
    <w:name w:val="Figure Caption Char"/>
    <w:basedOn w:val="VarsaylanParagrafYazTipi"/>
    <w:link w:val="FigureCaption"/>
    <w:rsid w:val="00FF45DE"/>
    <w:rPr>
      <w:rFonts w:ascii="Times New Roman" w:hAnsi="Times New Roman" w:cs="Calibri"/>
      <w:b/>
      <w:kern w:val="0"/>
      <w:sz w:val="24"/>
      <w:lang w:val="en-US"/>
      <w14:ligatures w14:val="none"/>
    </w:rPr>
  </w:style>
  <w:style w:type="character" w:customStyle="1" w:styleId="y2iqfc">
    <w:name w:val="y2iqfc"/>
    <w:basedOn w:val="VarsaylanParagrafYazTipi"/>
    <w:rsid w:val="00FF45DE"/>
  </w:style>
  <w:style w:type="paragraph" w:customStyle="1" w:styleId="Annexes">
    <w:name w:val="Annexes"/>
    <w:basedOn w:val="Balk2"/>
    <w:link w:val="AnnexesChar"/>
    <w:qFormat/>
    <w:rsid w:val="00FF45DE"/>
    <w:pPr>
      <w:numPr>
        <w:numId w:val="123"/>
      </w:numPr>
      <w:spacing w:before="120" w:after="60" w:line="360" w:lineRule="auto"/>
      <w:jc w:val="both"/>
    </w:pPr>
    <w:rPr>
      <w:b/>
      <w:kern w:val="0"/>
      <w:szCs w:val="26"/>
      <w:lang w:val="en-US"/>
      <w14:ligatures w14:val="none"/>
    </w:rPr>
  </w:style>
  <w:style w:type="character" w:customStyle="1" w:styleId="AnnexesChar">
    <w:name w:val="Annexes Char"/>
    <w:basedOn w:val="Balk2Char"/>
    <w:link w:val="Annexes"/>
    <w:rsid w:val="00FF45DE"/>
    <w:rPr>
      <w:rFonts w:ascii="Times New Roman" w:eastAsiaTheme="majorEastAsia" w:hAnsi="Times New Roman" w:cstheme="majorBidi"/>
      <w:b/>
      <w:color w:val="0F4761" w:themeColor="accent1" w:themeShade="BF"/>
      <w:kern w:val="0"/>
      <w:sz w:val="24"/>
      <w:szCs w:val="26"/>
      <w:lang w:val="en-US"/>
      <w14:ligatures w14:val="none"/>
    </w:rPr>
  </w:style>
  <w:style w:type="paragraph" w:customStyle="1" w:styleId="Table-">
    <w:name w:val="Table -"/>
    <w:basedOn w:val="ListeParagraf"/>
    <w:link w:val="Table-Char"/>
    <w:autoRedefine/>
    <w:qFormat/>
    <w:rsid w:val="00FF45DE"/>
    <w:pPr>
      <w:numPr>
        <w:numId w:val="124"/>
      </w:numPr>
      <w:spacing w:after="0" w:line="276" w:lineRule="auto"/>
      <w:ind w:right="357"/>
    </w:pPr>
    <w:rPr>
      <w:rFonts w:ascii="Times New Roman" w:hAnsi="Times New Roman" w:cs="Calibri"/>
      <w:color w:val="000000"/>
      <w:kern w:val="0"/>
      <w:szCs w:val="20"/>
      <w:lang w:val="en-GB"/>
      <w14:ligatures w14:val="none"/>
    </w:rPr>
  </w:style>
  <w:style w:type="character" w:customStyle="1" w:styleId="Table-Char">
    <w:name w:val="Table - Char"/>
    <w:basedOn w:val="VarsaylanParagrafYazTipi"/>
    <w:link w:val="Table-"/>
    <w:rsid w:val="00FF45DE"/>
    <w:rPr>
      <w:rFonts w:ascii="Times New Roman" w:hAnsi="Times New Roman" w:cs="Calibri"/>
      <w:color w:val="000000"/>
      <w:kern w:val="0"/>
      <w:szCs w:val="20"/>
      <w:lang w:val="en-GB"/>
      <w14:ligatures w14:val="none"/>
    </w:rPr>
  </w:style>
  <w:style w:type="paragraph" w:customStyle="1" w:styleId="Sideheading">
    <w:name w:val="Side heading"/>
    <w:basedOn w:val="Normal"/>
    <w:link w:val="SideheadingChar"/>
    <w:qFormat/>
    <w:rsid w:val="00FF45DE"/>
    <w:pPr>
      <w:spacing w:after="0" w:line="360" w:lineRule="auto"/>
      <w:jc w:val="both"/>
    </w:pPr>
    <w:rPr>
      <w:rFonts w:ascii="Times New Roman" w:hAnsi="Times New Roman" w:cs="Calibri"/>
      <w:b/>
      <w:kern w:val="0"/>
      <w:sz w:val="24"/>
      <w:lang w:val="en-US"/>
      <w14:ligatures w14:val="none"/>
    </w:rPr>
  </w:style>
  <w:style w:type="character" w:customStyle="1" w:styleId="SideheadingChar">
    <w:name w:val="Side heading Char"/>
    <w:basedOn w:val="VarsaylanParagrafYazTipi"/>
    <w:link w:val="Sideheading"/>
    <w:rsid w:val="00FF45DE"/>
    <w:rPr>
      <w:rFonts w:ascii="Times New Roman" w:hAnsi="Times New Roman" w:cs="Calibri"/>
      <w:b/>
      <w:kern w:val="0"/>
      <w:sz w:val="24"/>
      <w:lang w:val="en-US"/>
      <w14:ligatures w14:val="none"/>
    </w:rPr>
  </w:style>
  <w:style w:type="table" w:customStyle="1" w:styleId="TableNormal1">
    <w:name w:val="Table Normal1"/>
    <w:uiPriority w:val="2"/>
    <w:semiHidden/>
    <w:unhideWhenUsed/>
    <w:qFormat/>
    <w:rsid w:val="00FF45DE"/>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45DE"/>
    <w:pPr>
      <w:widowControl w:val="0"/>
      <w:autoSpaceDE w:val="0"/>
      <w:autoSpaceDN w:val="0"/>
      <w:spacing w:after="0" w:line="240" w:lineRule="auto"/>
    </w:pPr>
    <w:rPr>
      <w:rFonts w:ascii="Times New Roman" w:eastAsia="Times New Roman" w:hAnsi="Times New Roman" w:cs="Times New Roman"/>
      <w:kern w:val="0"/>
      <w:sz w:val="24"/>
      <w14:ligatures w14:val="none"/>
    </w:rPr>
  </w:style>
  <w:style w:type="table" w:customStyle="1" w:styleId="TabloKlavuzu16">
    <w:name w:val="Tablo Kılavuzu16"/>
    <w:basedOn w:val="NormalTablo"/>
    <w:next w:val="TabloKlavuzu"/>
    <w:uiPriority w:val="39"/>
    <w:rsid w:val="00FF45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nkliListe-Vurgu11">
    <w:name w:val="Renkli Liste - Vurgu 11"/>
    <w:basedOn w:val="Normal"/>
    <w:qFormat/>
    <w:rsid w:val="00FF45DE"/>
    <w:pPr>
      <w:spacing w:after="60" w:line="252" w:lineRule="auto"/>
      <w:ind w:left="709"/>
    </w:pPr>
    <w:rPr>
      <w:rFonts w:ascii="Times New Roman" w:eastAsia="Times New Roman" w:hAnsi="Times New Roman" w:cs="Calibri"/>
      <w:kern w:val="0"/>
      <w14:ligatures w14:val="none"/>
    </w:rPr>
  </w:style>
  <w:style w:type="paragraph" w:customStyle="1" w:styleId="BulletList">
    <w:name w:val="BulletList"/>
    <w:basedOn w:val="Normal"/>
    <w:link w:val="BulletListChar"/>
    <w:qFormat/>
    <w:rsid w:val="00FF45DE"/>
    <w:pPr>
      <w:numPr>
        <w:numId w:val="125"/>
      </w:numPr>
      <w:spacing w:before="120" w:after="60" w:line="240" w:lineRule="auto"/>
      <w:jc w:val="both"/>
    </w:pPr>
    <w:rPr>
      <w:rFonts w:ascii="Times New Roman" w:eastAsia="Times New Roman" w:hAnsi="Times New Roman" w:cs="Times New Roman"/>
      <w:kern w:val="0"/>
      <w:szCs w:val="24"/>
      <w:lang w:eastAsia="tr-TR"/>
      <w14:ligatures w14:val="none"/>
    </w:rPr>
  </w:style>
  <w:style w:type="character" w:customStyle="1" w:styleId="BulletListChar">
    <w:name w:val="BulletList Char"/>
    <w:link w:val="BulletList"/>
    <w:rsid w:val="00FF45DE"/>
    <w:rPr>
      <w:rFonts w:ascii="Times New Roman" w:eastAsia="Times New Roman" w:hAnsi="Times New Roman" w:cs="Times New Roman"/>
      <w:kern w:val="0"/>
      <w:szCs w:val="24"/>
      <w:lang w:eastAsia="tr-TR"/>
      <w14:ligatures w14:val="none"/>
    </w:rPr>
  </w:style>
  <w:style w:type="character" w:customStyle="1" w:styleId="Mention1">
    <w:name w:val="Mention1"/>
    <w:basedOn w:val="VarsaylanParagrafYazTipi"/>
    <w:uiPriority w:val="99"/>
    <w:unhideWhenUsed/>
    <w:rsid w:val="00FF45DE"/>
    <w:rPr>
      <w:color w:val="2B579A"/>
      <w:shd w:val="clear" w:color="auto" w:fill="E1DFDD"/>
    </w:rPr>
  </w:style>
  <w:style w:type="character" w:customStyle="1" w:styleId="Mention2">
    <w:name w:val="Mention2"/>
    <w:basedOn w:val="VarsaylanParagrafYazTipi"/>
    <w:uiPriority w:val="99"/>
    <w:unhideWhenUsed/>
    <w:rsid w:val="00FF45DE"/>
    <w:rPr>
      <w:color w:val="2B579A"/>
      <w:shd w:val="clear" w:color="auto" w:fill="E1DFDD"/>
    </w:rPr>
  </w:style>
  <w:style w:type="character" w:customStyle="1" w:styleId="Bahset3">
    <w:name w:val="Bahset3"/>
    <w:basedOn w:val="VarsaylanParagrafYazTipi"/>
    <w:uiPriority w:val="99"/>
    <w:unhideWhenUsed/>
    <w:rsid w:val="00FF45DE"/>
    <w:rPr>
      <w:color w:val="2B579A"/>
      <w:shd w:val="clear" w:color="auto" w:fill="E1DFDD"/>
    </w:rPr>
  </w:style>
  <w:style w:type="table" w:customStyle="1" w:styleId="TableNormal0">
    <w:name w:val="Table Normal_0"/>
    <w:uiPriority w:val="2"/>
    <w:semiHidden/>
    <w:unhideWhenUsed/>
    <w:qFormat/>
    <w:rsid w:val="00FF45D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numbering" w:customStyle="1" w:styleId="ListeYok25">
    <w:name w:val="Liste Yok25"/>
    <w:next w:val="ListeYok"/>
    <w:uiPriority w:val="99"/>
    <w:semiHidden/>
    <w:unhideWhenUsed/>
    <w:rsid w:val="000A5D99"/>
  </w:style>
  <w:style w:type="table" w:customStyle="1" w:styleId="TableGrid11">
    <w:name w:val="Table Grid11"/>
    <w:basedOn w:val="NormalTablo"/>
    <w:uiPriority w:val="39"/>
    <w:rsid w:val="000A5D99"/>
    <w:pPr>
      <w:spacing w:after="0" w:line="240" w:lineRule="auto"/>
    </w:pPr>
    <w:rPr>
      <w:rFonts w:ascii="Times New Roman" w:hAnsi="Times New Roman"/>
      <w:kern w:val="0"/>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color w:val="FFFFFF"/>
        <w:sz w:val="22"/>
      </w:rPr>
      <w:tblPr/>
      <w:trPr>
        <w:tblHeader/>
      </w:trPr>
      <w:tcPr>
        <w:shd w:val="clear" w:color="auto" w:fill="404040"/>
      </w:tcPr>
    </w:tblStylePr>
    <w:tblStylePr w:type="lastRow">
      <w:rPr>
        <w:rFonts w:ascii="Times New Roman" w:hAnsi="Times New Roman"/>
        <w:sz w:val="22"/>
      </w:rPr>
    </w:tblStylePr>
    <w:tblStylePr w:type="firstCol">
      <w:rPr>
        <w:rFonts w:ascii="Times New Roman" w:hAnsi="Times New Roman"/>
        <w:b/>
        <w:sz w:val="22"/>
      </w:rPr>
      <w:tblPr/>
      <w:tcPr>
        <w:shd w:val="clear" w:color="auto" w:fill="FFFFFF"/>
      </w:tcPr>
    </w:tblStylePr>
    <w:tblStylePr w:type="lastCol">
      <w:rPr>
        <w:rFonts w:ascii="Times New Roman" w:hAnsi="Times New Roman"/>
        <w:sz w:val="22"/>
      </w:rPr>
    </w:tblStylePr>
    <w:tblStylePr w:type="band1Vert">
      <w:rPr>
        <w:rFonts w:ascii="Times New Roman" w:hAnsi="Times New Roman"/>
        <w:sz w:val="22"/>
      </w:rPr>
    </w:tblStylePr>
    <w:tblStylePr w:type="band2Vert">
      <w:rPr>
        <w:rFonts w:ascii="Times New Roman" w:hAnsi="Times New Roman"/>
        <w:sz w:val="22"/>
      </w:rPr>
    </w:tblStylePr>
    <w:tblStylePr w:type="band1Horz">
      <w:rPr>
        <w:rFonts w:ascii="Times New Roman" w:hAnsi="Times New Roman"/>
        <w:sz w:val="22"/>
      </w:rPr>
    </w:tblStylePr>
    <w:tblStylePr w:type="band2Horz">
      <w:rPr>
        <w:rFonts w:ascii="Times New Roman" w:hAnsi="Times New Roman"/>
        <w:sz w:val="22"/>
      </w:rPr>
    </w:tblStylePr>
  </w:style>
  <w:style w:type="character" w:customStyle="1" w:styleId="Bahset11">
    <w:name w:val="Bahset11"/>
    <w:basedOn w:val="VarsaylanParagrafYazTipi"/>
    <w:uiPriority w:val="99"/>
    <w:unhideWhenUsed/>
    <w:rsid w:val="000A5D99"/>
    <w:rPr>
      <w:color w:val="2B579A"/>
      <w:shd w:val="clear" w:color="auto" w:fill="E1DFDD"/>
    </w:rPr>
  </w:style>
  <w:style w:type="table" w:customStyle="1" w:styleId="TabloKlavuzu17">
    <w:name w:val="Tablo Kılavuzu17"/>
    <w:basedOn w:val="NormalTablo"/>
    <w:next w:val="TabloKlavuzu"/>
    <w:uiPriority w:val="39"/>
    <w:rsid w:val="000A5D9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portTable1">
    <w:name w:val="ReportTable1"/>
    <w:basedOn w:val="KlavuzuTablo4"/>
    <w:uiPriority w:val="99"/>
    <w:rsid w:val="000A5D99"/>
    <w:rPr>
      <w:kern w:val="0"/>
      <w:sz w:val="20"/>
      <w:szCs w:val="20"/>
      <w:lang w:eastAsia="tr-TR"/>
      <w14:ligatures w14:val="none"/>
    </w:rP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uTablo42">
    <w:name w:val="Kılavuzu Tablo 42"/>
    <w:basedOn w:val="NormalTablo"/>
    <w:next w:val="KlavuzuTablo4"/>
    <w:uiPriority w:val="49"/>
    <w:rsid w:val="000A5D99"/>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32">
    <w:name w:val="Liste Tablo 32"/>
    <w:basedOn w:val="NormalTablo"/>
    <w:next w:val="ListeTablo3"/>
    <w:uiPriority w:val="48"/>
    <w:rsid w:val="000A5D99"/>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11">
    <w:name w:val="List Table 311"/>
    <w:basedOn w:val="NormalTablo"/>
    <w:uiPriority w:val="48"/>
    <w:rsid w:val="000A5D99"/>
    <w:pPr>
      <w:numPr>
        <w:numId w:val="6"/>
      </w:numPr>
      <w:spacing w:after="0" w:line="240" w:lineRule="auto"/>
    </w:pPr>
    <w:rPr>
      <w:kern w:val="0"/>
      <w14:ligatures w14:val="none"/>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eTablo311">
    <w:name w:val="Liste Tablo 311"/>
    <w:basedOn w:val="NormalTablo"/>
    <w:uiPriority w:val="48"/>
    <w:rsid w:val="000A5D99"/>
    <w:pPr>
      <w:spacing w:after="0" w:line="240" w:lineRule="auto"/>
    </w:pPr>
    <w:rPr>
      <w:kern w:val="0"/>
      <w14:ligatures w14:val="none"/>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oKlavuzu18">
    <w:name w:val="Tablo Kılavuzu18"/>
    <w:basedOn w:val="NormalTablo"/>
    <w:next w:val="TabloKlavuzu"/>
    <w:uiPriority w:val="39"/>
    <w:rsid w:val="000A5D9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rliListe114">
    <w:name w:val="Geçerli Liste114"/>
    <w:uiPriority w:val="99"/>
    <w:rsid w:val="000A5D99"/>
    <w:pPr>
      <w:numPr>
        <w:numId w:val="196"/>
      </w:numPr>
    </w:pPr>
  </w:style>
  <w:style w:type="numbering" w:customStyle="1" w:styleId="GeerliListe24">
    <w:name w:val="Geçerli Liste24"/>
    <w:uiPriority w:val="99"/>
    <w:rsid w:val="000A5D99"/>
    <w:pPr>
      <w:numPr>
        <w:numId w:val="197"/>
      </w:numPr>
    </w:pPr>
  </w:style>
  <w:style w:type="numbering" w:customStyle="1" w:styleId="GeerliListe34">
    <w:name w:val="Geçerli Liste34"/>
    <w:uiPriority w:val="99"/>
    <w:rsid w:val="000A5D99"/>
    <w:pPr>
      <w:numPr>
        <w:numId w:val="198"/>
      </w:numPr>
    </w:pPr>
  </w:style>
  <w:style w:type="numbering" w:customStyle="1" w:styleId="GeerliListe44">
    <w:name w:val="Geçerli Liste44"/>
    <w:uiPriority w:val="99"/>
    <w:rsid w:val="000A5D99"/>
    <w:pPr>
      <w:numPr>
        <w:numId w:val="199"/>
      </w:numPr>
    </w:pPr>
  </w:style>
  <w:style w:type="numbering" w:customStyle="1" w:styleId="GeerliListe54">
    <w:name w:val="Geçerli Liste54"/>
    <w:uiPriority w:val="99"/>
    <w:rsid w:val="000A5D99"/>
    <w:pPr>
      <w:numPr>
        <w:numId w:val="200"/>
      </w:numPr>
    </w:pPr>
  </w:style>
  <w:style w:type="numbering" w:customStyle="1" w:styleId="GeerliListe64">
    <w:name w:val="Geçerli Liste64"/>
    <w:uiPriority w:val="99"/>
    <w:rsid w:val="000A5D99"/>
    <w:pPr>
      <w:numPr>
        <w:numId w:val="201"/>
      </w:numPr>
    </w:pPr>
  </w:style>
  <w:style w:type="numbering" w:customStyle="1" w:styleId="GeerliListe74">
    <w:name w:val="Geçerli Liste74"/>
    <w:uiPriority w:val="99"/>
    <w:rsid w:val="000A5D99"/>
    <w:pPr>
      <w:numPr>
        <w:numId w:val="202"/>
      </w:numPr>
    </w:pPr>
  </w:style>
  <w:style w:type="numbering" w:customStyle="1" w:styleId="GeerliListe84">
    <w:name w:val="Geçerli Liste84"/>
    <w:uiPriority w:val="99"/>
    <w:rsid w:val="000A5D99"/>
    <w:pPr>
      <w:numPr>
        <w:numId w:val="203"/>
      </w:numPr>
    </w:pPr>
  </w:style>
  <w:style w:type="numbering" w:customStyle="1" w:styleId="GeerliListe94">
    <w:name w:val="Geçerli Liste94"/>
    <w:uiPriority w:val="99"/>
    <w:rsid w:val="000A5D99"/>
    <w:pPr>
      <w:numPr>
        <w:numId w:val="204"/>
      </w:numPr>
    </w:pPr>
  </w:style>
  <w:style w:type="numbering" w:customStyle="1" w:styleId="GeerliListe104">
    <w:name w:val="Geçerli Liste104"/>
    <w:uiPriority w:val="99"/>
    <w:rsid w:val="000A5D99"/>
    <w:pPr>
      <w:numPr>
        <w:numId w:val="205"/>
      </w:numPr>
    </w:pPr>
  </w:style>
  <w:style w:type="numbering" w:customStyle="1" w:styleId="GeerliListe115">
    <w:name w:val="Geçerli Liste115"/>
    <w:uiPriority w:val="99"/>
    <w:rsid w:val="000A5D99"/>
    <w:pPr>
      <w:numPr>
        <w:numId w:val="206"/>
      </w:numPr>
    </w:pPr>
  </w:style>
  <w:style w:type="numbering" w:customStyle="1" w:styleId="GeerliListe124">
    <w:name w:val="Geçerli Liste124"/>
    <w:uiPriority w:val="99"/>
    <w:rsid w:val="000A5D99"/>
    <w:pPr>
      <w:numPr>
        <w:numId w:val="208"/>
      </w:numPr>
    </w:pPr>
  </w:style>
  <w:style w:type="numbering" w:customStyle="1" w:styleId="GeerliListe134">
    <w:name w:val="Geçerli Liste134"/>
    <w:uiPriority w:val="99"/>
    <w:rsid w:val="000A5D99"/>
    <w:pPr>
      <w:numPr>
        <w:numId w:val="209"/>
      </w:numPr>
    </w:pPr>
  </w:style>
  <w:style w:type="numbering" w:customStyle="1" w:styleId="GeerliListe144">
    <w:name w:val="Geçerli Liste144"/>
    <w:uiPriority w:val="99"/>
    <w:rsid w:val="000A5D99"/>
    <w:pPr>
      <w:numPr>
        <w:numId w:val="210"/>
      </w:numPr>
    </w:pPr>
  </w:style>
  <w:style w:type="numbering" w:customStyle="1" w:styleId="GeerliListe154">
    <w:name w:val="Geçerli Liste154"/>
    <w:uiPriority w:val="99"/>
    <w:rsid w:val="000A5D99"/>
    <w:pPr>
      <w:numPr>
        <w:numId w:val="211"/>
      </w:numPr>
    </w:pPr>
  </w:style>
  <w:style w:type="numbering" w:customStyle="1" w:styleId="GeerliListe164">
    <w:name w:val="Geçerli Liste164"/>
    <w:uiPriority w:val="99"/>
    <w:rsid w:val="000A5D99"/>
    <w:pPr>
      <w:numPr>
        <w:numId w:val="212"/>
      </w:numPr>
    </w:pPr>
  </w:style>
  <w:style w:type="numbering" w:customStyle="1" w:styleId="GeerliListe172">
    <w:name w:val="Geçerli Liste172"/>
    <w:uiPriority w:val="99"/>
    <w:rsid w:val="000A5D99"/>
    <w:pPr>
      <w:numPr>
        <w:numId w:val="213"/>
      </w:numPr>
    </w:pPr>
  </w:style>
  <w:style w:type="numbering" w:customStyle="1" w:styleId="GeerliListe181">
    <w:name w:val="Geçerli Liste181"/>
    <w:uiPriority w:val="99"/>
    <w:rsid w:val="000A5D99"/>
    <w:pPr>
      <w:numPr>
        <w:numId w:val="215"/>
      </w:numPr>
    </w:pPr>
  </w:style>
  <w:style w:type="numbering" w:customStyle="1" w:styleId="GeerliListe191">
    <w:name w:val="Geçerli Liste191"/>
    <w:uiPriority w:val="99"/>
    <w:rsid w:val="000A5D99"/>
    <w:pPr>
      <w:numPr>
        <w:numId w:val="216"/>
      </w:numPr>
    </w:pPr>
  </w:style>
  <w:style w:type="numbering" w:customStyle="1" w:styleId="GeerliListe20">
    <w:name w:val="Geçerli Liste20"/>
    <w:uiPriority w:val="99"/>
    <w:rsid w:val="000A5D99"/>
    <w:pPr>
      <w:numPr>
        <w:numId w:val="217"/>
      </w:numPr>
    </w:pPr>
  </w:style>
  <w:style w:type="numbering" w:customStyle="1" w:styleId="GeerliListe211">
    <w:name w:val="Geçerli Liste211"/>
    <w:uiPriority w:val="99"/>
    <w:rsid w:val="000A5D99"/>
    <w:pPr>
      <w:numPr>
        <w:numId w:val="218"/>
      </w:numPr>
    </w:pPr>
  </w:style>
  <w:style w:type="numbering" w:customStyle="1" w:styleId="GeerliListe221">
    <w:name w:val="Geçerli Liste221"/>
    <w:uiPriority w:val="99"/>
    <w:rsid w:val="000A5D99"/>
    <w:pPr>
      <w:numPr>
        <w:numId w:val="219"/>
      </w:numPr>
    </w:pPr>
  </w:style>
  <w:style w:type="table" w:styleId="KlavuzuTablo4">
    <w:name w:val="Grid Table 4"/>
    <w:basedOn w:val="NormalTablo"/>
    <w:uiPriority w:val="49"/>
    <w:rsid w:val="000A5D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3">
    <w:name w:val="List Table 3"/>
    <w:basedOn w:val="NormalTablo"/>
    <w:uiPriority w:val="48"/>
    <w:rsid w:val="000A5D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zmlenmeyenBahsetme3">
    <w:name w:val="Çözümlenmeyen Bahsetme3"/>
    <w:basedOn w:val="VarsaylanParagrafYazTipi"/>
    <w:uiPriority w:val="99"/>
    <w:semiHidden/>
    <w:unhideWhenUsed/>
    <w:rsid w:val="00C07865"/>
    <w:rPr>
      <w:color w:val="605E5C"/>
      <w:shd w:val="clear" w:color="auto" w:fill="E1DFDD"/>
    </w:rPr>
  </w:style>
  <w:style w:type="paragraph" w:customStyle="1" w:styleId="Annexetitreglobale">
    <w:name w:val="Annexe titre (globale)"/>
    <w:basedOn w:val="Normal"/>
    <w:next w:val="Normal"/>
    <w:rsid w:val="00EE24B6"/>
    <w:pPr>
      <w:suppressAutoHyphens/>
      <w:spacing w:before="120" w:after="120" w:line="240" w:lineRule="auto"/>
      <w:jc w:val="center"/>
    </w:pPr>
    <w:rPr>
      <w:rFonts w:ascii="Times New Roman" w:eastAsia="Times New Roman" w:hAnsi="Times New Roman" w:cs="Times New Roman"/>
      <w:b/>
      <w:kern w:val="0"/>
      <w:sz w:val="24"/>
      <w:szCs w:val="24"/>
      <w:u w:val="single"/>
      <w:lang w:val="en-GB" w:eastAsia="ar-SA"/>
      <w14:ligatures w14:val="none"/>
    </w:rPr>
  </w:style>
  <w:style w:type="character" w:customStyle="1" w:styleId="CRMarker">
    <w:name w:val="CR Marker"/>
    <w:rsid w:val="00EE24B6"/>
    <w:rPr>
      <w:rFonts w:ascii="Wingdings" w:hAnsi="Wingdings" w:cs="Wingdings"/>
    </w:rPr>
  </w:style>
  <w:style w:type="table" w:styleId="TabloKlavuzuAk">
    <w:name w:val="Grid Table Light"/>
    <w:basedOn w:val="NormalTablo"/>
    <w:uiPriority w:val="40"/>
    <w:rsid w:val="007829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26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D1F3A-3A8E-4343-A2D2-9F53DD2F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325</Pages>
  <Words>106705</Words>
  <Characters>608223</Characters>
  <Application>Microsoft Office Word</Application>
  <DocSecurity>0</DocSecurity>
  <Lines>5068</Lines>
  <Paragraphs>1427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Uzun</dc:creator>
  <cp:keywords/>
  <dc:description/>
  <cp:lastModifiedBy>Derya GÜNER</cp:lastModifiedBy>
  <cp:revision>2</cp:revision>
  <cp:lastPrinted>2025-09-04T11:39:00Z</cp:lastPrinted>
  <dcterms:created xsi:type="dcterms:W3CDTF">2025-12-01T07:28:00Z</dcterms:created>
  <dcterms:modified xsi:type="dcterms:W3CDTF">2025-12-01T07:28:00Z</dcterms:modified>
</cp:coreProperties>
</file>