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AC7B47" w14:textId="77777777" w:rsidR="00547F7B" w:rsidRPr="00547F7B" w:rsidRDefault="00547F7B" w:rsidP="00547F7B">
      <w:pPr>
        <w:rPr>
          <w:b/>
          <w:bCs/>
        </w:rPr>
      </w:pPr>
      <w:r w:rsidRPr="00547F7B">
        <w:rPr>
          <w:b/>
          <w:bCs/>
        </w:rPr>
        <w:t>Ek:</w:t>
      </w:r>
    </w:p>
    <w:p w14:paraId="6202383E" w14:textId="54DC3BFE" w:rsidR="00547F7B" w:rsidRPr="00547F7B" w:rsidRDefault="00547F7B" w:rsidP="00547F7B">
      <w:pPr>
        <w:jc w:val="center"/>
        <w:rPr>
          <w:b/>
          <w:bCs/>
        </w:rPr>
      </w:pPr>
      <w:r w:rsidRPr="00547F7B">
        <w:rPr>
          <w:b/>
          <w:bCs/>
        </w:rPr>
        <w:t>İTHALATTA HAKSIZ REKABETİN ÖNLENMESİNE İLİŞKİN TEBLİĞ (TEBLİĞ NO: 202</w:t>
      </w:r>
      <w:r w:rsidR="008C0F16">
        <w:rPr>
          <w:b/>
          <w:bCs/>
        </w:rPr>
        <w:t>6/16</w:t>
      </w:r>
      <w:r w:rsidRPr="00547F7B">
        <w:rPr>
          <w:b/>
          <w:bCs/>
        </w:rPr>
        <w:t>)’E DAİR BİLGİLENDİRME RAPORU</w:t>
      </w:r>
    </w:p>
    <w:p w14:paraId="5F633D40" w14:textId="5EAE9BD2" w:rsidR="00CF2FE5" w:rsidRPr="0042354C" w:rsidRDefault="00CF2FE5" w:rsidP="00CF2FE5"/>
    <w:p w14:paraId="7D31B24A" w14:textId="0121038A" w:rsidR="00975C9D" w:rsidRPr="0042354C" w:rsidRDefault="00975C9D" w:rsidP="00975C9D">
      <w:pPr>
        <w:pStyle w:val="Balk1"/>
        <w:spacing w:before="120" w:after="120"/>
        <w:jc w:val="left"/>
        <w:rPr>
          <w:rFonts w:ascii="Times New Roman" w:hAnsi="Times New Roman" w:cs="Times New Roman"/>
          <w:b w:val="0"/>
          <w:bCs w:val="0"/>
          <w:sz w:val="24"/>
          <w:szCs w:val="24"/>
        </w:rPr>
      </w:pPr>
      <w:bookmarkStart w:id="0" w:name="_Toc227682692"/>
      <w:r w:rsidRPr="0042354C">
        <w:rPr>
          <w:rFonts w:ascii="Times New Roman" w:hAnsi="Times New Roman" w:cs="Times New Roman"/>
          <w:bCs w:val="0"/>
          <w:sz w:val="24"/>
          <w:szCs w:val="24"/>
        </w:rPr>
        <w:t xml:space="preserve">1. GENEL </w:t>
      </w:r>
      <w:r w:rsidR="00F11449" w:rsidRPr="0042354C">
        <w:rPr>
          <w:rFonts w:ascii="Times New Roman" w:hAnsi="Times New Roman" w:cs="Times New Roman"/>
          <w:bCs w:val="0"/>
          <w:sz w:val="24"/>
          <w:szCs w:val="24"/>
        </w:rPr>
        <w:t>BİLGİ VE İŞLEMLER</w:t>
      </w:r>
      <w:bookmarkEnd w:id="0"/>
    </w:p>
    <w:p w14:paraId="7691AC41" w14:textId="239CC6B4" w:rsidR="00975C9D" w:rsidRPr="0042354C" w:rsidRDefault="00975C9D" w:rsidP="00975C9D">
      <w:pPr>
        <w:pStyle w:val="Altyaz"/>
        <w:spacing w:before="120" w:after="120"/>
        <w:jc w:val="left"/>
        <w:rPr>
          <w:rFonts w:ascii="Times New Roman" w:hAnsi="Times New Roman"/>
          <w:b/>
          <w:bCs/>
        </w:rPr>
      </w:pPr>
      <w:bookmarkStart w:id="1" w:name="_Toc44517735"/>
      <w:bookmarkStart w:id="2" w:name="_Toc227682693"/>
      <w:r w:rsidRPr="0042354C">
        <w:rPr>
          <w:rFonts w:ascii="Times New Roman" w:hAnsi="Times New Roman"/>
          <w:b/>
        </w:rPr>
        <w:t xml:space="preserve">1.1 </w:t>
      </w:r>
      <w:bookmarkEnd w:id="1"/>
      <w:r w:rsidR="00F11449" w:rsidRPr="0042354C">
        <w:rPr>
          <w:rFonts w:ascii="Times New Roman" w:hAnsi="Times New Roman"/>
          <w:b/>
        </w:rPr>
        <w:t xml:space="preserve">Kapsam ve </w:t>
      </w:r>
      <w:r w:rsidR="00DD793A">
        <w:rPr>
          <w:rFonts w:ascii="Times New Roman" w:hAnsi="Times New Roman"/>
          <w:b/>
        </w:rPr>
        <w:t>y</w:t>
      </w:r>
      <w:r w:rsidR="00F11449" w:rsidRPr="0042354C">
        <w:rPr>
          <w:rFonts w:ascii="Times New Roman" w:hAnsi="Times New Roman"/>
          <w:b/>
        </w:rPr>
        <w:t xml:space="preserve">asal </w:t>
      </w:r>
      <w:r w:rsidR="00DD793A">
        <w:rPr>
          <w:rFonts w:ascii="Times New Roman" w:hAnsi="Times New Roman"/>
          <w:b/>
        </w:rPr>
        <w:t>d</w:t>
      </w:r>
      <w:r w:rsidR="00F11449" w:rsidRPr="0042354C">
        <w:rPr>
          <w:rFonts w:ascii="Times New Roman" w:hAnsi="Times New Roman"/>
          <w:b/>
        </w:rPr>
        <w:t>ayanak</w:t>
      </w:r>
      <w:bookmarkEnd w:id="2"/>
    </w:p>
    <w:p w14:paraId="6A5C3CD3" w14:textId="77777777" w:rsidR="00F11449" w:rsidRPr="0042354C" w:rsidRDefault="00F11449" w:rsidP="00111799">
      <w:pPr>
        <w:pStyle w:val="Default"/>
        <w:numPr>
          <w:ilvl w:val="0"/>
          <w:numId w:val="5"/>
        </w:numPr>
        <w:spacing w:before="120" w:after="120"/>
        <w:ind w:firstLine="0"/>
        <w:jc w:val="both"/>
        <w:rPr>
          <w:color w:val="auto"/>
        </w:rPr>
      </w:pPr>
      <w:bookmarkStart w:id="3" w:name="_Toc44517736"/>
      <w:r w:rsidRPr="0042354C">
        <w:rPr>
          <w:color w:val="auto"/>
        </w:rPr>
        <w:t xml:space="preserve">Bu rapor, 14/6/1989 tarihli ve 3577 sayılı İthalatta Haksız Rekabetin Önlenmesi Hakkında Kanun, 20/10/1999 tarihli ve 99/13482 sayılı Bakanlar Kurulu Kararı ile yürürlüğe konulan İthalatta Haksız Rekabetin Önlenmesi Hakkında Karar ve 30/10/1999 tarihli ve 23861 sayılı Resmî </w:t>
      </w:r>
      <w:proofErr w:type="spellStart"/>
      <w:r w:rsidRPr="0042354C">
        <w:rPr>
          <w:color w:val="auto"/>
        </w:rPr>
        <w:t>Gazete’de</w:t>
      </w:r>
      <w:proofErr w:type="spellEnd"/>
      <w:r w:rsidRPr="0042354C">
        <w:rPr>
          <w:color w:val="auto"/>
        </w:rPr>
        <w:t xml:space="preserve"> yayımlanan İthalatta Haksız Rekabetin Önlenmesi Hakkında Yönetmelik (Yönetmelik) hükümleri çerçevesinde yürütülen nihai gözden geçirme soruşturması (NGGS) sonucunda alınacak karara esas teşkil edecek bilgi ve bulguları içermektedir.</w:t>
      </w:r>
    </w:p>
    <w:p w14:paraId="20DB0DBE" w14:textId="3171A109" w:rsidR="00975C9D" w:rsidRPr="0042354C" w:rsidRDefault="00975C9D" w:rsidP="00202A94">
      <w:pPr>
        <w:pStyle w:val="Altyaz"/>
        <w:numPr>
          <w:ilvl w:val="1"/>
          <w:numId w:val="22"/>
        </w:numPr>
        <w:spacing w:before="120" w:after="120"/>
        <w:jc w:val="left"/>
        <w:rPr>
          <w:rFonts w:ascii="Times New Roman" w:hAnsi="Times New Roman"/>
          <w:b/>
        </w:rPr>
      </w:pPr>
      <w:bookmarkStart w:id="4" w:name="_Toc44517737"/>
      <w:bookmarkStart w:id="5" w:name="_Toc227682694"/>
      <w:bookmarkEnd w:id="3"/>
      <w:r w:rsidRPr="0042354C">
        <w:rPr>
          <w:rFonts w:ascii="Times New Roman" w:hAnsi="Times New Roman"/>
          <w:b/>
        </w:rPr>
        <w:t xml:space="preserve">Mevcut </w:t>
      </w:r>
      <w:r w:rsidR="00DD793A">
        <w:rPr>
          <w:rFonts w:ascii="Times New Roman" w:hAnsi="Times New Roman"/>
          <w:b/>
        </w:rPr>
        <w:t>ö</w:t>
      </w:r>
      <w:r w:rsidRPr="0042354C">
        <w:rPr>
          <w:rFonts w:ascii="Times New Roman" w:hAnsi="Times New Roman"/>
          <w:b/>
        </w:rPr>
        <w:t xml:space="preserve">nlem ve </w:t>
      </w:r>
      <w:r w:rsidR="00DD793A">
        <w:rPr>
          <w:rFonts w:ascii="Times New Roman" w:hAnsi="Times New Roman"/>
          <w:b/>
        </w:rPr>
        <w:t>g</w:t>
      </w:r>
      <w:r w:rsidRPr="0042354C">
        <w:rPr>
          <w:rFonts w:ascii="Times New Roman" w:hAnsi="Times New Roman"/>
          <w:b/>
        </w:rPr>
        <w:t>eçmişi</w:t>
      </w:r>
      <w:bookmarkEnd w:id="4"/>
      <w:bookmarkEnd w:id="5"/>
    </w:p>
    <w:p w14:paraId="45871AB5" w14:textId="0248CA84" w:rsidR="00202A94" w:rsidRPr="0042354C" w:rsidRDefault="00202A94" w:rsidP="00202A94">
      <w:pPr>
        <w:autoSpaceDE w:val="0"/>
        <w:autoSpaceDN w:val="0"/>
        <w:adjustRightInd w:val="0"/>
        <w:spacing w:before="120" w:after="120"/>
        <w:jc w:val="both"/>
        <w:rPr>
          <w:rFonts w:eastAsiaTheme="minorHAnsi"/>
        </w:rPr>
      </w:pPr>
      <w:r w:rsidRPr="0042354C">
        <w:rPr>
          <w:rFonts w:eastAsiaTheme="minorHAnsi"/>
        </w:rPr>
        <w:t xml:space="preserve">(1) </w:t>
      </w:r>
      <w:r w:rsidR="00B2591C" w:rsidRPr="0042354C">
        <w:rPr>
          <w:rFonts w:eastAsiaTheme="minorHAnsi"/>
        </w:rPr>
        <w:t>Çin Halk Cumhuriyeti (</w:t>
      </w:r>
      <w:r w:rsidRPr="0042354C">
        <w:t>ÇHC</w:t>
      </w:r>
      <w:r w:rsidR="00B2591C" w:rsidRPr="0042354C">
        <w:t>)</w:t>
      </w:r>
      <w:r w:rsidRPr="0042354C">
        <w:t xml:space="preserve"> menşeli 7607.11 ve 7607.19</w:t>
      </w:r>
      <w:r w:rsidR="00B2591C" w:rsidRPr="0042354C">
        <w:t xml:space="preserve"> gümrük tarife pozisyonları (GTP)</w:t>
      </w:r>
      <w:r w:rsidRPr="0042354C">
        <w:t xml:space="preserve"> altında sınıflandırılan </w:t>
      </w:r>
      <w:r w:rsidR="00B2591C" w:rsidRPr="0042354C">
        <w:t xml:space="preserve">“alüminyumdan mesnetsiz folyolar” </w:t>
      </w:r>
      <w:r w:rsidRPr="0042354C">
        <w:t xml:space="preserve">ithalatına yönelik olarak </w:t>
      </w:r>
      <w:bookmarkStart w:id="6" w:name="_Hlk181267680"/>
      <w:r w:rsidRPr="0042354C">
        <w:t xml:space="preserve">26/7/2014 tarihli ve 29072 sayılı Resmî </w:t>
      </w:r>
      <w:proofErr w:type="spellStart"/>
      <w:r w:rsidRPr="0042354C">
        <w:t>Gazete’de</w:t>
      </w:r>
      <w:proofErr w:type="spellEnd"/>
      <w:r w:rsidRPr="0042354C">
        <w:t xml:space="preserve"> yayımlanan İthalatta Haksız Rekabetin Önlemesine İlişkin Tebliğ (Tebliğ No: 2014/25) uyarınca CIF bedelin %22’si oranında dampinge karşı önlem yürürlüğe konulmuştur.</w:t>
      </w:r>
      <w:bookmarkEnd w:id="6"/>
    </w:p>
    <w:p w14:paraId="6B1879D4" w14:textId="47DD23A6" w:rsidR="00202A94" w:rsidRPr="0042354C" w:rsidRDefault="00202A94" w:rsidP="00202A94">
      <w:pPr>
        <w:autoSpaceDE w:val="0"/>
        <w:autoSpaceDN w:val="0"/>
        <w:adjustRightInd w:val="0"/>
        <w:spacing w:before="120" w:after="120"/>
        <w:jc w:val="both"/>
        <w:rPr>
          <w:bCs/>
        </w:rPr>
      </w:pPr>
      <w:r w:rsidRPr="0042354C">
        <w:rPr>
          <w:rFonts w:eastAsiaTheme="minorHAnsi"/>
        </w:rPr>
        <w:t xml:space="preserve">(2) </w:t>
      </w:r>
      <w:bookmarkStart w:id="7" w:name="_Hlk181267689"/>
      <w:r w:rsidRPr="0042354C">
        <w:t>Söz konusu önleme ilişkin</w:t>
      </w:r>
      <w:r w:rsidRPr="0042354C">
        <w:rPr>
          <w:rFonts w:eastAsiaTheme="minorHAnsi"/>
        </w:rPr>
        <w:t xml:space="preserve"> yürütülen ilk NGGS, </w:t>
      </w:r>
      <w:bookmarkStart w:id="8" w:name="_Hlk151368301"/>
      <w:r w:rsidRPr="0042354C">
        <w:rPr>
          <w:rFonts w:eastAsiaTheme="minorHAnsi"/>
        </w:rPr>
        <w:t xml:space="preserve">4/1/2020 tarihli ve 30998 sayılı Resmî </w:t>
      </w:r>
      <w:proofErr w:type="spellStart"/>
      <w:r w:rsidRPr="0042354C">
        <w:rPr>
          <w:rFonts w:eastAsiaTheme="minorHAnsi"/>
        </w:rPr>
        <w:t>Gazete’de</w:t>
      </w:r>
      <w:proofErr w:type="spellEnd"/>
      <w:r w:rsidRPr="0042354C">
        <w:rPr>
          <w:rFonts w:eastAsiaTheme="minorHAnsi"/>
        </w:rPr>
        <w:t xml:space="preserve"> yayımlanan İthalatta Haksız Rekabetin Önlenmesine İlişkin Tebliğ (Tebliğ No: 2019/34) </w:t>
      </w:r>
      <w:bookmarkEnd w:id="8"/>
      <w:r w:rsidRPr="0042354C">
        <w:rPr>
          <w:rFonts w:eastAsiaTheme="minorHAnsi"/>
        </w:rPr>
        <w:t xml:space="preserve">ile tamamlanmıştır. Bu kapsamda, </w:t>
      </w:r>
      <w:r w:rsidRPr="0042354C">
        <w:t xml:space="preserve">CIF bedelin %22’si oranındaki dampinge karşı önlemin </w:t>
      </w:r>
      <w:r w:rsidR="009565A9" w:rsidRPr="0042354C">
        <w:t xml:space="preserve">aynı şekilde </w:t>
      </w:r>
      <w:r w:rsidRPr="0042354C">
        <w:rPr>
          <w:bCs/>
        </w:rPr>
        <w:t>uygulanmaya devam edilmesine karar verilmiştir.</w:t>
      </w:r>
      <w:bookmarkEnd w:id="7"/>
    </w:p>
    <w:p w14:paraId="7128FFED" w14:textId="3D35881D" w:rsidR="00F11449" w:rsidRPr="0042354C" w:rsidRDefault="00F11449" w:rsidP="00A458D2">
      <w:pPr>
        <w:pStyle w:val="Altyaz"/>
        <w:numPr>
          <w:ilvl w:val="1"/>
          <w:numId w:val="22"/>
        </w:numPr>
        <w:spacing w:before="120" w:after="120"/>
        <w:jc w:val="left"/>
        <w:rPr>
          <w:rFonts w:ascii="Times New Roman" w:hAnsi="Times New Roman"/>
          <w:b/>
        </w:rPr>
      </w:pPr>
      <w:bookmarkStart w:id="9" w:name="_Toc171346756"/>
      <w:bookmarkStart w:id="10" w:name="_Toc227682695"/>
      <w:r w:rsidRPr="0042354C">
        <w:rPr>
          <w:rFonts w:ascii="Times New Roman" w:hAnsi="Times New Roman"/>
          <w:b/>
        </w:rPr>
        <w:t>Soruşturma</w:t>
      </w:r>
      <w:bookmarkEnd w:id="9"/>
      <w:bookmarkEnd w:id="10"/>
    </w:p>
    <w:p w14:paraId="720A77CF" w14:textId="77777777" w:rsidR="00202A94" w:rsidRPr="0042354C" w:rsidRDefault="00202A94" w:rsidP="00202A94">
      <w:pPr>
        <w:pStyle w:val="Default"/>
        <w:spacing w:before="120" w:after="120"/>
        <w:jc w:val="both"/>
        <w:rPr>
          <w:color w:val="auto"/>
        </w:rPr>
      </w:pPr>
      <w:r w:rsidRPr="0042354C">
        <w:rPr>
          <w:color w:val="auto"/>
        </w:rPr>
        <w:t xml:space="preserve">(1) Yönetmeliğin 35 inci maddesinin ikinci fıkrası hükmünce, 23/7/2024 tarihli ve 32610 sayılı Resmî </w:t>
      </w:r>
      <w:proofErr w:type="spellStart"/>
      <w:r w:rsidRPr="0042354C">
        <w:rPr>
          <w:color w:val="auto"/>
        </w:rPr>
        <w:t>Gazete’de</w:t>
      </w:r>
      <w:proofErr w:type="spellEnd"/>
      <w:r w:rsidRPr="0042354C">
        <w:rPr>
          <w:color w:val="auto"/>
        </w:rPr>
        <w:t xml:space="preserve"> yayımlanan İthalatta Haksız Rekabetin Önlenmesine İlişkin Tebliğ (Tebliğ No: 2024/22) ile mevcut önlemlerin yürürlükte kalma sürelerinin sona ereceği ilan edilmiştir. İlgili ürünün yerli üreticileri tarafından mevzuatta öngörülen süreler içerisinde, önlemin sona ermesinin damping ve zararın devam etmesine veya yeniden meydana gelmesine yol açacağı iddiasını içeren yeterli delillerle desteklenmiş bir başvuru ile NGGS açılması talebinde bulunabilecekleri duyurulmuştur.</w:t>
      </w:r>
    </w:p>
    <w:p w14:paraId="5F57A2B4" w14:textId="3F9D20FC" w:rsidR="00202A94" w:rsidRPr="0042354C" w:rsidRDefault="00202A94" w:rsidP="00202A94">
      <w:pPr>
        <w:pStyle w:val="Default"/>
        <w:spacing w:before="120" w:after="120"/>
        <w:jc w:val="both"/>
        <w:rPr>
          <w:color w:val="auto"/>
        </w:rPr>
      </w:pPr>
      <w:r w:rsidRPr="0042354C">
        <w:rPr>
          <w:color w:val="auto"/>
        </w:rPr>
        <w:t xml:space="preserve">(2) Bu çerçevede, Assan Alüminyum Sanayi ve Ticaret A.Ş. (Assan) tarafından ÇHC menşeli alüminyum folyo ithalatına yönelik NGGS açılması başvurusunda bulunulmuştur. Söz konusu başvuru, Panda Alüminyum A.Ş. (Panda), </w:t>
      </w:r>
      <w:proofErr w:type="spellStart"/>
      <w:r w:rsidRPr="0042354C">
        <w:rPr>
          <w:color w:val="auto"/>
        </w:rPr>
        <w:t>İspak</w:t>
      </w:r>
      <w:proofErr w:type="spellEnd"/>
      <w:r w:rsidRPr="0042354C">
        <w:rPr>
          <w:color w:val="auto"/>
        </w:rPr>
        <w:t xml:space="preserve"> Esnek Ambalaj Sanayi A.Ş. (</w:t>
      </w:r>
      <w:proofErr w:type="spellStart"/>
      <w:r w:rsidRPr="0042354C">
        <w:rPr>
          <w:color w:val="auto"/>
        </w:rPr>
        <w:t>İspak</w:t>
      </w:r>
      <w:proofErr w:type="spellEnd"/>
      <w:r w:rsidRPr="0042354C">
        <w:rPr>
          <w:color w:val="auto"/>
        </w:rPr>
        <w:t>)</w:t>
      </w:r>
      <w:r w:rsidR="00B2591C" w:rsidRPr="0042354C">
        <w:rPr>
          <w:color w:val="auto"/>
        </w:rPr>
        <w:t xml:space="preserve">, </w:t>
      </w:r>
      <w:r w:rsidRPr="0042354C">
        <w:rPr>
          <w:color w:val="auto"/>
        </w:rPr>
        <w:t xml:space="preserve">Sinanlı Ambalaj San. ve Dış Tic. Ltd. Şti. (Sinanlı) </w:t>
      </w:r>
      <w:r w:rsidR="00B2591C" w:rsidRPr="0042354C">
        <w:rPr>
          <w:color w:val="auto"/>
        </w:rPr>
        <w:t>ve</w:t>
      </w:r>
      <w:r w:rsidRPr="0042354C">
        <w:rPr>
          <w:color w:val="auto"/>
        </w:rPr>
        <w:t xml:space="preserve"> </w:t>
      </w:r>
      <w:proofErr w:type="spellStart"/>
      <w:r w:rsidRPr="0042354C">
        <w:rPr>
          <w:color w:val="auto"/>
        </w:rPr>
        <w:t>Asaş</w:t>
      </w:r>
      <w:proofErr w:type="spellEnd"/>
      <w:r w:rsidRPr="0042354C">
        <w:rPr>
          <w:color w:val="auto"/>
        </w:rPr>
        <w:t xml:space="preserve"> Alüminyum Sanayi ve Ticaret A.Ş. (</w:t>
      </w:r>
      <w:proofErr w:type="spellStart"/>
      <w:r w:rsidRPr="0042354C">
        <w:rPr>
          <w:color w:val="auto"/>
        </w:rPr>
        <w:t>Asaş</w:t>
      </w:r>
      <w:proofErr w:type="spellEnd"/>
      <w:r w:rsidRPr="0042354C">
        <w:rPr>
          <w:color w:val="auto"/>
        </w:rPr>
        <w:t>) tarafından desteklenmiştir.</w:t>
      </w:r>
    </w:p>
    <w:p w14:paraId="6B72DE0F" w14:textId="54C919DC" w:rsidR="00202A94" w:rsidRPr="0042354C" w:rsidRDefault="00202A94" w:rsidP="00202A94">
      <w:pPr>
        <w:pStyle w:val="Default"/>
        <w:spacing w:before="120" w:after="120"/>
        <w:jc w:val="both"/>
        <w:rPr>
          <w:color w:val="auto"/>
        </w:rPr>
      </w:pPr>
      <w:r w:rsidRPr="0042354C">
        <w:rPr>
          <w:color w:val="auto"/>
        </w:rPr>
        <w:t xml:space="preserve">(3) </w:t>
      </w:r>
      <w:r w:rsidR="00C8494D" w:rsidRPr="0042354C">
        <w:rPr>
          <w:color w:val="auto"/>
        </w:rPr>
        <w:t xml:space="preserve">Başvuru kapsamında sunulan bilgi ve belgeler, İthalatta Haksız Rekabeti Değerlendirme Kurulu (Kurul) tarafından değerlendirilmiş ve </w:t>
      </w:r>
      <w:r w:rsidR="00EB0F6B" w:rsidRPr="0042354C">
        <w:rPr>
          <w:color w:val="auto"/>
        </w:rPr>
        <w:t xml:space="preserve">ÇHC menşeli </w:t>
      </w:r>
      <w:r w:rsidR="00B2591C" w:rsidRPr="0042354C">
        <w:rPr>
          <w:color w:val="auto"/>
        </w:rPr>
        <w:t>söz konusu ürün</w:t>
      </w:r>
      <w:r w:rsidR="00EB0F6B" w:rsidRPr="0042354C">
        <w:rPr>
          <w:color w:val="auto"/>
        </w:rPr>
        <w:t xml:space="preserve"> ithalatı için yürürlükte bulunan dampinge karşı önleme yönelik </w:t>
      </w:r>
      <w:r w:rsidR="00C8494D" w:rsidRPr="0042354C">
        <w:rPr>
          <w:color w:val="auto"/>
        </w:rPr>
        <w:t>bir NGGS açılmasını haklı kılacak yeterlilikte delillerin mevcudiyetine kanaat getirilmiştir.</w:t>
      </w:r>
    </w:p>
    <w:p w14:paraId="53B300E2" w14:textId="04951B41" w:rsidR="00202A94" w:rsidRPr="0042354C" w:rsidRDefault="00202A94" w:rsidP="00202A94">
      <w:pPr>
        <w:pStyle w:val="Default"/>
        <w:spacing w:before="120" w:after="120"/>
        <w:jc w:val="both"/>
        <w:rPr>
          <w:color w:val="auto"/>
        </w:rPr>
      </w:pPr>
      <w:r w:rsidRPr="0042354C">
        <w:rPr>
          <w:color w:val="auto"/>
        </w:rPr>
        <w:t xml:space="preserve">(4) </w:t>
      </w:r>
      <w:r w:rsidR="00C8494D" w:rsidRPr="0042354C">
        <w:rPr>
          <w:color w:val="auto"/>
        </w:rPr>
        <w:t xml:space="preserve">Bu çerçevede, </w:t>
      </w:r>
      <w:r w:rsidRPr="0042354C">
        <w:rPr>
          <w:color w:val="auto"/>
        </w:rPr>
        <w:t>12</w:t>
      </w:r>
      <w:r w:rsidR="00C8494D" w:rsidRPr="0042354C">
        <w:rPr>
          <w:color w:val="auto"/>
        </w:rPr>
        <w:t>/</w:t>
      </w:r>
      <w:r w:rsidR="00BD7F51" w:rsidRPr="0042354C">
        <w:rPr>
          <w:color w:val="auto"/>
        </w:rPr>
        <w:t>12</w:t>
      </w:r>
      <w:r w:rsidR="00C8494D" w:rsidRPr="0042354C">
        <w:rPr>
          <w:color w:val="auto"/>
        </w:rPr>
        <w:t>/202</w:t>
      </w:r>
      <w:r w:rsidR="00A56025" w:rsidRPr="0042354C">
        <w:rPr>
          <w:color w:val="auto"/>
        </w:rPr>
        <w:t>4</w:t>
      </w:r>
      <w:r w:rsidR="00C8494D" w:rsidRPr="0042354C">
        <w:rPr>
          <w:color w:val="auto"/>
        </w:rPr>
        <w:t xml:space="preserve"> tarihli ve </w:t>
      </w:r>
      <w:r w:rsidRPr="0042354C">
        <w:rPr>
          <w:color w:val="auto"/>
        </w:rPr>
        <w:t>32750</w:t>
      </w:r>
      <w:r w:rsidR="00C8494D" w:rsidRPr="0042354C">
        <w:rPr>
          <w:color w:val="auto"/>
        </w:rPr>
        <w:t xml:space="preserve"> sayılı Resmî </w:t>
      </w:r>
      <w:proofErr w:type="spellStart"/>
      <w:r w:rsidR="00C8494D" w:rsidRPr="0042354C">
        <w:rPr>
          <w:color w:val="auto"/>
        </w:rPr>
        <w:t>Gazete’de</w:t>
      </w:r>
      <w:proofErr w:type="spellEnd"/>
      <w:r w:rsidR="00C8494D" w:rsidRPr="0042354C">
        <w:rPr>
          <w:color w:val="auto"/>
        </w:rPr>
        <w:t xml:space="preserve"> yayımlanan İthalatta Haksız Rekabetin Önlenmesine İlişkin Tebliğ (Tebliğ No: 202</w:t>
      </w:r>
      <w:r w:rsidR="00A56025" w:rsidRPr="0042354C">
        <w:rPr>
          <w:color w:val="auto"/>
        </w:rPr>
        <w:t>4</w:t>
      </w:r>
      <w:r w:rsidR="00C8494D" w:rsidRPr="0042354C">
        <w:rPr>
          <w:color w:val="auto"/>
        </w:rPr>
        <w:t>/</w:t>
      </w:r>
      <w:r w:rsidR="00BD7F51" w:rsidRPr="0042354C">
        <w:rPr>
          <w:color w:val="auto"/>
        </w:rPr>
        <w:t>3</w:t>
      </w:r>
      <w:r w:rsidRPr="0042354C">
        <w:rPr>
          <w:color w:val="auto"/>
        </w:rPr>
        <w:t>8</w:t>
      </w:r>
      <w:r w:rsidR="00C8494D" w:rsidRPr="0042354C">
        <w:rPr>
          <w:color w:val="auto"/>
        </w:rPr>
        <w:t>) uyarınca</w:t>
      </w:r>
      <w:r w:rsidR="00A56025" w:rsidRPr="0042354C">
        <w:rPr>
          <w:color w:val="auto"/>
        </w:rPr>
        <w:t xml:space="preserve"> </w:t>
      </w:r>
      <w:bookmarkStart w:id="11" w:name="_Hlk200461985"/>
      <w:r w:rsidR="00A56025" w:rsidRPr="0042354C">
        <w:rPr>
          <w:color w:val="auto"/>
        </w:rPr>
        <w:t>ÇHC menşeli</w:t>
      </w:r>
      <w:r w:rsidR="007342E0" w:rsidRPr="0042354C">
        <w:rPr>
          <w:color w:val="auto"/>
        </w:rPr>
        <w:t xml:space="preserve"> 7607.11 </w:t>
      </w:r>
      <w:proofErr w:type="spellStart"/>
      <w:r w:rsidR="007342E0" w:rsidRPr="0042354C">
        <w:rPr>
          <w:color w:val="auto"/>
        </w:rPr>
        <w:t>GTP’i</w:t>
      </w:r>
      <w:proofErr w:type="spellEnd"/>
      <w:r w:rsidR="007342E0" w:rsidRPr="0042354C">
        <w:rPr>
          <w:color w:val="auto"/>
        </w:rPr>
        <w:t xml:space="preserve"> altında “kalınlığı 0,2 mm’yi geçmeyen, haddelenmiş fakat daha ileri bir işleme tutulmamış alüminyumdan mesnetsiz yapraklar ve şeritler” ve 7607.19 </w:t>
      </w:r>
      <w:proofErr w:type="spellStart"/>
      <w:r w:rsidR="007342E0" w:rsidRPr="0042354C">
        <w:rPr>
          <w:color w:val="auto"/>
        </w:rPr>
        <w:t>GTP’i</w:t>
      </w:r>
      <w:proofErr w:type="spellEnd"/>
      <w:r w:rsidR="007342E0" w:rsidRPr="0042354C">
        <w:rPr>
          <w:color w:val="auto"/>
        </w:rPr>
        <w:t xml:space="preserve"> altında sınıflandırılan “diğerleri”</w:t>
      </w:r>
      <w:bookmarkEnd w:id="11"/>
      <w:r w:rsidR="007342E0" w:rsidRPr="0042354C">
        <w:rPr>
          <w:color w:val="auto"/>
        </w:rPr>
        <w:t xml:space="preserve"> </w:t>
      </w:r>
      <w:r w:rsidR="005A4F64" w:rsidRPr="0042354C">
        <w:rPr>
          <w:color w:val="auto"/>
        </w:rPr>
        <w:t>ürünü ithalatına yönelik bir NGGS açılmıştır.</w:t>
      </w:r>
      <w:r w:rsidR="00EB0F6B" w:rsidRPr="0042354C">
        <w:rPr>
          <w:color w:val="auto"/>
        </w:rPr>
        <w:t xml:space="preserve"> </w:t>
      </w:r>
    </w:p>
    <w:p w14:paraId="5C53D4C5" w14:textId="2FD85980" w:rsidR="009C2BF4" w:rsidRPr="0042354C" w:rsidRDefault="00202A94" w:rsidP="00202A94">
      <w:pPr>
        <w:pStyle w:val="Default"/>
        <w:spacing w:before="120" w:after="120"/>
        <w:jc w:val="both"/>
        <w:rPr>
          <w:color w:val="auto"/>
        </w:rPr>
      </w:pPr>
      <w:r w:rsidRPr="0042354C">
        <w:rPr>
          <w:color w:val="auto"/>
        </w:rPr>
        <w:lastRenderedPageBreak/>
        <w:t xml:space="preserve">(5) </w:t>
      </w:r>
      <w:r w:rsidR="00AD114C" w:rsidRPr="0042354C">
        <w:rPr>
          <w:color w:val="auto"/>
        </w:rPr>
        <w:t>T.C. Ticaret Bakanlığı (Bakanlık) İthalat Genel Müdürlüğü (Genel Müdürlük) tarafından yürütülen NGGS tamamlanmıştır.</w:t>
      </w:r>
    </w:p>
    <w:p w14:paraId="76879BC1" w14:textId="2D6A6325" w:rsidR="00975C9D" w:rsidRPr="0042354C" w:rsidRDefault="00975C9D" w:rsidP="00975C9D">
      <w:pPr>
        <w:pStyle w:val="Altyaz"/>
        <w:spacing w:before="120" w:after="120"/>
        <w:jc w:val="left"/>
        <w:rPr>
          <w:rFonts w:ascii="Times New Roman" w:hAnsi="Times New Roman"/>
          <w:b/>
          <w:bCs/>
        </w:rPr>
      </w:pPr>
      <w:bookmarkStart w:id="12" w:name="_Toc44517739"/>
      <w:bookmarkStart w:id="13" w:name="_Toc227682696"/>
      <w:r w:rsidRPr="0042354C">
        <w:rPr>
          <w:rFonts w:ascii="Times New Roman" w:hAnsi="Times New Roman"/>
          <w:b/>
        </w:rPr>
        <w:t>1.</w:t>
      </w:r>
      <w:r w:rsidR="00F11449" w:rsidRPr="0042354C">
        <w:rPr>
          <w:rFonts w:ascii="Times New Roman" w:hAnsi="Times New Roman"/>
          <w:b/>
        </w:rPr>
        <w:t>4</w:t>
      </w:r>
      <w:r w:rsidRPr="0042354C">
        <w:rPr>
          <w:rFonts w:ascii="Times New Roman" w:hAnsi="Times New Roman"/>
          <w:b/>
        </w:rPr>
        <w:t xml:space="preserve"> Yerli </w:t>
      </w:r>
      <w:r w:rsidR="00DD793A">
        <w:rPr>
          <w:rFonts w:ascii="Times New Roman" w:hAnsi="Times New Roman"/>
          <w:b/>
        </w:rPr>
        <w:t>ü</w:t>
      </w:r>
      <w:r w:rsidRPr="0042354C">
        <w:rPr>
          <w:rFonts w:ascii="Times New Roman" w:hAnsi="Times New Roman"/>
          <w:b/>
        </w:rPr>
        <w:t>retim</w:t>
      </w:r>
      <w:r w:rsidR="00EE4C49" w:rsidRPr="0042354C">
        <w:rPr>
          <w:rFonts w:ascii="Times New Roman" w:hAnsi="Times New Roman"/>
          <w:b/>
        </w:rPr>
        <w:t xml:space="preserve"> </w:t>
      </w:r>
      <w:r w:rsidR="00DD793A">
        <w:rPr>
          <w:rFonts w:ascii="Times New Roman" w:hAnsi="Times New Roman"/>
          <w:b/>
        </w:rPr>
        <w:t>d</w:t>
      </w:r>
      <w:r w:rsidR="00EE4C49" w:rsidRPr="0042354C">
        <w:rPr>
          <w:rFonts w:ascii="Times New Roman" w:hAnsi="Times New Roman"/>
          <w:b/>
        </w:rPr>
        <w:t xml:space="preserve">alının </w:t>
      </w:r>
      <w:r w:rsidR="00DD793A">
        <w:rPr>
          <w:rFonts w:ascii="Times New Roman" w:hAnsi="Times New Roman"/>
          <w:b/>
        </w:rPr>
        <w:t>t</w:t>
      </w:r>
      <w:r w:rsidRPr="0042354C">
        <w:rPr>
          <w:rFonts w:ascii="Times New Roman" w:hAnsi="Times New Roman"/>
          <w:b/>
        </w:rPr>
        <w:t xml:space="preserve">emsil </w:t>
      </w:r>
      <w:r w:rsidR="00DD793A">
        <w:rPr>
          <w:rFonts w:ascii="Times New Roman" w:hAnsi="Times New Roman"/>
          <w:b/>
        </w:rPr>
        <w:t>y</w:t>
      </w:r>
      <w:r w:rsidRPr="0042354C">
        <w:rPr>
          <w:rFonts w:ascii="Times New Roman" w:hAnsi="Times New Roman"/>
          <w:b/>
        </w:rPr>
        <w:t>eteneği</w:t>
      </w:r>
      <w:bookmarkEnd w:id="12"/>
      <w:bookmarkEnd w:id="13"/>
      <w:r w:rsidRPr="0042354C">
        <w:rPr>
          <w:rFonts w:ascii="Times New Roman" w:hAnsi="Times New Roman"/>
          <w:b/>
        </w:rPr>
        <w:t xml:space="preserve"> </w:t>
      </w:r>
    </w:p>
    <w:p w14:paraId="43AE0C08" w14:textId="74548139" w:rsidR="00202A94" w:rsidRPr="0042354C" w:rsidRDefault="00202A94" w:rsidP="00202A94">
      <w:pPr>
        <w:pStyle w:val="Default"/>
        <w:spacing w:before="120" w:after="120"/>
        <w:jc w:val="both"/>
        <w:rPr>
          <w:noProof/>
          <w:color w:val="auto"/>
        </w:rPr>
      </w:pPr>
      <w:bookmarkStart w:id="14" w:name="_Toc44517740"/>
      <w:r w:rsidRPr="0042354C">
        <w:rPr>
          <w:noProof/>
          <w:color w:val="auto"/>
        </w:rPr>
        <w:t xml:space="preserve">(1) Yerli üretim dalının temsil yeteneği incelenirken, başvuru sahibi Assan firması ve başvuruyu destekleyen </w:t>
      </w:r>
      <w:r w:rsidR="007342E0" w:rsidRPr="0042354C">
        <w:rPr>
          <w:noProof/>
          <w:color w:val="auto"/>
        </w:rPr>
        <w:t>Asaş, İspak, Sinanlı ve Panda</w:t>
      </w:r>
      <w:r w:rsidRPr="0042354C">
        <w:rPr>
          <w:noProof/>
          <w:color w:val="auto"/>
        </w:rPr>
        <w:t xml:space="preserve"> firmalarının </w:t>
      </w:r>
      <w:r w:rsidR="00A458D2" w:rsidRPr="0042354C">
        <w:rPr>
          <w:noProof/>
          <w:color w:val="auto"/>
        </w:rPr>
        <w:t>soruşturma</w:t>
      </w:r>
      <w:r w:rsidRPr="0042354C">
        <w:rPr>
          <w:noProof/>
          <w:color w:val="auto"/>
        </w:rPr>
        <w:t xml:space="preserve"> konusu üründeki üretim rakamı ile aynı ürünün toplam Türkiye üretimi kıyaslanmıştır. </w:t>
      </w:r>
    </w:p>
    <w:p w14:paraId="5D7C8231" w14:textId="2204E655" w:rsidR="00202A94" w:rsidRPr="0042354C" w:rsidRDefault="00202A94" w:rsidP="00202A94">
      <w:pPr>
        <w:pStyle w:val="Default"/>
        <w:spacing w:before="120" w:after="120"/>
        <w:jc w:val="both"/>
        <w:rPr>
          <w:noProof/>
          <w:color w:val="auto"/>
        </w:rPr>
      </w:pPr>
      <w:r w:rsidRPr="0042354C">
        <w:rPr>
          <w:noProof/>
          <w:color w:val="auto"/>
        </w:rPr>
        <w:t xml:space="preserve">(2) Yapılan incelemede, Yönetmeliğin 18 inci maddesi uyarınca yerli üretim dalını temsil etme niteliğine sahip olan </w:t>
      </w:r>
      <w:r w:rsidR="007342E0" w:rsidRPr="0042354C">
        <w:rPr>
          <w:noProof/>
          <w:color w:val="auto"/>
        </w:rPr>
        <w:t>Assan firması</w:t>
      </w:r>
      <w:r w:rsidRPr="0042354C">
        <w:rPr>
          <w:noProof/>
          <w:color w:val="auto"/>
        </w:rPr>
        <w:t xml:space="preserve"> tarafından yapılan</w:t>
      </w:r>
      <w:r w:rsidR="00F25CAB" w:rsidRPr="0042354C">
        <w:rPr>
          <w:noProof/>
          <w:color w:val="auto"/>
        </w:rPr>
        <w:t xml:space="preserve"> ve İspak, Sinanlı ve Panda firmaları tarafından desteklenen</w:t>
      </w:r>
      <w:r w:rsidRPr="0042354C">
        <w:rPr>
          <w:noProof/>
          <w:color w:val="auto"/>
        </w:rPr>
        <w:t xml:space="preserve"> başvurunun, Yönetmeliğin 20 nci maddesi uyarınca yerli üretim dalı adına yapıldığı anlaşılmıştır.</w:t>
      </w:r>
      <w:r w:rsidR="007342E0" w:rsidRPr="0042354C">
        <w:rPr>
          <w:noProof/>
          <w:color w:val="auto"/>
        </w:rPr>
        <w:t xml:space="preserve"> </w:t>
      </w:r>
      <w:r w:rsidRPr="0042354C">
        <w:rPr>
          <w:noProof/>
          <w:color w:val="auto"/>
        </w:rPr>
        <w:t>Anılan firma</w:t>
      </w:r>
      <w:r w:rsidR="00F25CAB" w:rsidRPr="0042354C">
        <w:rPr>
          <w:noProof/>
          <w:color w:val="auto"/>
        </w:rPr>
        <w:t>lar</w:t>
      </w:r>
      <w:r w:rsidRPr="0042354C">
        <w:rPr>
          <w:noProof/>
          <w:color w:val="auto"/>
        </w:rPr>
        <w:t>, bu raporun ilgili bölümlerinde “yerli üretim dalı” olarak anılacaktır.</w:t>
      </w:r>
    </w:p>
    <w:p w14:paraId="7041D9B2" w14:textId="748B3527" w:rsidR="00975C9D" w:rsidRPr="0042354C" w:rsidRDefault="00975C9D" w:rsidP="00975C9D">
      <w:pPr>
        <w:pStyle w:val="Altyaz"/>
        <w:spacing w:before="120" w:after="120"/>
        <w:jc w:val="left"/>
        <w:rPr>
          <w:rFonts w:ascii="Times New Roman" w:hAnsi="Times New Roman"/>
          <w:noProof/>
        </w:rPr>
      </w:pPr>
      <w:bookmarkStart w:id="15" w:name="_Toc227682697"/>
      <w:r w:rsidRPr="0042354C">
        <w:rPr>
          <w:rFonts w:ascii="Times New Roman" w:hAnsi="Times New Roman"/>
          <w:b/>
        </w:rPr>
        <w:t>1.</w:t>
      </w:r>
      <w:r w:rsidR="00F11449" w:rsidRPr="0042354C">
        <w:rPr>
          <w:rFonts w:ascii="Times New Roman" w:hAnsi="Times New Roman"/>
          <w:b/>
        </w:rPr>
        <w:t>5</w:t>
      </w:r>
      <w:r w:rsidRPr="0042354C">
        <w:rPr>
          <w:rFonts w:ascii="Times New Roman" w:hAnsi="Times New Roman"/>
          <w:b/>
        </w:rPr>
        <w:t xml:space="preserve"> </w:t>
      </w:r>
      <w:r w:rsidR="00DD793A">
        <w:rPr>
          <w:rFonts w:ascii="Times New Roman" w:hAnsi="Times New Roman"/>
          <w:b/>
        </w:rPr>
        <w:t>S</w:t>
      </w:r>
      <w:r w:rsidR="00DD793A" w:rsidRPr="0042354C">
        <w:rPr>
          <w:rFonts w:ascii="Times New Roman" w:hAnsi="Times New Roman"/>
          <w:b/>
        </w:rPr>
        <w:t>oruşturma ve gözden geçirme dönemi</w:t>
      </w:r>
      <w:bookmarkEnd w:id="14"/>
      <w:bookmarkEnd w:id="15"/>
      <w:r w:rsidR="00DD793A" w:rsidRPr="0042354C">
        <w:rPr>
          <w:rFonts w:ascii="Times New Roman" w:hAnsi="Times New Roman"/>
          <w:b/>
        </w:rPr>
        <w:t xml:space="preserve"> </w:t>
      </w:r>
    </w:p>
    <w:p w14:paraId="207C159F" w14:textId="74950D42" w:rsidR="008360F4" w:rsidRPr="0042354C" w:rsidRDefault="00975C9D" w:rsidP="00111799">
      <w:pPr>
        <w:pStyle w:val="Default"/>
        <w:numPr>
          <w:ilvl w:val="0"/>
          <w:numId w:val="8"/>
        </w:numPr>
        <w:spacing w:before="120" w:after="120"/>
        <w:jc w:val="both"/>
        <w:rPr>
          <w:noProof/>
          <w:color w:val="auto"/>
        </w:rPr>
      </w:pPr>
      <w:r w:rsidRPr="0042354C">
        <w:rPr>
          <w:noProof/>
          <w:color w:val="auto"/>
        </w:rPr>
        <w:t xml:space="preserve">Mevcut önlemin yürürlükten kalkması durumunda, dampingin </w:t>
      </w:r>
      <w:r w:rsidR="00645D8D" w:rsidRPr="0042354C">
        <w:rPr>
          <w:noProof/>
          <w:color w:val="auto"/>
        </w:rPr>
        <w:t>ve</w:t>
      </w:r>
      <w:r w:rsidRPr="0042354C">
        <w:rPr>
          <w:noProof/>
          <w:color w:val="auto"/>
        </w:rPr>
        <w:t xml:space="preserve"> zararın devam etmesinin veya yeniden meydana gelmesinin muhtemel olup olmadığının tespiti için </w:t>
      </w:r>
      <w:r w:rsidR="0088510B" w:rsidRPr="0042354C">
        <w:rPr>
          <w:color w:val="auto"/>
        </w:rPr>
        <w:t>1/1/2021- 30/6/2024</w:t>
      </w:r>
      <w:r w:rsidRPr="0042354C">
        <w:rPr>
          <w:noProof/>
          <w:color w:val="auto"/>
        </w:rPr>
        <w:t xml:space="preserve"> arasındaki dönem gözden geçirme dönemi olarak alınmıştır.</w:t>
      </w:r>
    </w:p>
    <w:p w14:paraId="1AE249B4" w14:textId="0595E057" w:rsidR="002763B6" w:rsidRPr="0042354C" w:rsidRDefault="0088510B" w:rsidP="00111799">
      <w:pPr>
        <w:pStyle w:val="Default"/>
        <w:numPr>
          <w:ilvl w:val="0"/>
          <w:numId w:val="8"/>
        </w:numPr>
        <w:spacing w:before="120" w:after="120"/>
        <w:jc w:val="both"/>
        <w:rPr>
          <w:noProof/>
          <w:color w:val="auto"/>
        </w:rPr>
      </w:pPr>
      <w:bookmarkStart w:id="16" w:name="_Hlk221550694"/>
      <w:r w:rsidRPr="0042354C">
        <w:rPr>
          <w:color w:val="auto"/>
        </w:rPr>
        <w:t xml:space="preserve">1/7/2023-30/6/2024 </w:t>
      </w:r>
      <w:bookmarkEnd w:id="16"/>
      <w:r w:rsidR="0094184C" w:rsidRPr="0042354C">
        <w:rPr>
          <w:color w:val="auto"/>
        </w:rPr>
        <w:t xml:space="preserve">arasındaki dönem ise </w:t>
      </w:r>
      <w:r w:rsidR="00A66318" w:rsidRPr="0042354C">
        <w:rPr>
          <w:color w:val="auto"/>
        </w:rPr>
        <w:t>s</w:t>
      </w:r>
      <w:r w:rsidR="0094184C" w:rsidRPr="0042354C">
        <w:rPr>
          <w:color w:val="auto"/>
        </w:rPr>
        <w:t xml:space="preserve">oruşturma </w:t>
      </w:r>
      <w:r w:rsidR="00A66318" w:rsidRPr="0042354C">
        <w:rPr>
          <w:color w:val="auto"/>
        </w:rPr>
        <w:t>d</w:t>
      </w:r>
      <w:r w:rsidR="0094184C" w:rsidRPr="0042354C">
        <w:rPr>
          <w:color w:val="auto"/>
        </w:rPr>
        <w:t>önemi (SD) olarak belirlenmiştir.</w:t>
      </w:r>
    </w:p>
    <w:p w14:paraId="64B6EFB7" w14:textId="6573A5E6" w:rsidR="008360F4" w:rsidRPr="0042354C" w:rsidRDefault="008360F4" w:rsidP="008360F4">
      <w:pPr>
        <w:pStyle w:val="Altyaz"/>
        <w:spacing w:before="120" w:after="120"/>
        <w:jc w:val="left"/>
        <w:rPr>
          <w:rFonts w:ascii="Times New Roman" w:hAnsi="Times New Roman"/>
          <w:b/>
        </w:rPr>
      </w:pPr>
      <w:bookmarkStart w:id="17" w:name="_Toc317854277"/>
      <w:bookmarkStart w:id="18" w:name="_Toc101881951"/>
      <w:bookmarkStart w:id="19" w:name="_Toc157613428"/>
      <w:bookmarkStart w:id="20" w:name="_Toc171346759"/>
      <w:bookmarkStart w:id="21" w:name="_Toc227682698"/>
      <w:r w:rsidRPr="0042354C">
        <w:rPr>
          <w:rFonts w:ascii="Times New Roman" w:hAnsi="Times New Roman"/>
          <w:b/>
        </w:rPr>
        <w:t xml:space="preserve">1.6 İlgili </w:t>
      </w:r>
      <w:r w:rsidR="00DD793A" w:rsidRPr="0042354C">
        <w:rPr>
          <w:rFonts w:ascii="Times New Roman" w:hAnsi="Times New Roman"/>
          <w:b/>
        </w:rPr>
        <w:t>tarafların bilgilendirilmesi, dinlenmesi ve bilgilerin değerlendirilmesi</w:t>
      </w:r>
      <w:bookmarkEnd w:id="17"/>
      <w:bookmarkEnd w:id="18"/>
      <w:bookmarkEnd w:id="19"/>
      <w:bookmarkEnd w:id="20"/>
      <w:bookmarkEnd w:id="21"/>
    </w:p>
    <w:p w14:paraId="7AC44F4A" w14:textId="17473070" w:rsidR="00125740" w:rsidRPr="0042354C" w:rsidRDefault="00125740" w:rsidP="00111799">
      <w:pPr>
        <w:pStyle w:val="Default"/>
        <w:numPr>
          <w:ilvl w:val="0"/>
          <w:numId w:val="11"/>
        </w:numPr>
        <w:spacing w:before="120" w:after="120"/>
        <w:ind w:firstLine="0"/>
        <w:jc w:val="both"/>
        <w:rPr>
          <w:color w:val="auto"/>
        </w:rPr>
      </w:pPr>
      <w:bookmarkStart w:id="22" w:name="_Hlk171671495"/>
      <w:r w:rsidRPr="0042354C">
        <w:rPr>
          <w:color w:val="auto"/>
        </w:rPr>
        <w:t xml:space="preserve">Soruşturma açılmasını müteakip, soruşturma konusu ürünün Bakanlık tarafından tespit edilen </w:t>
      </w:r>
      <w:r w:rsidR="00567B58" w:rsidRPr="0042354C">
        <w:rPr>
          <w:color w:val="auto"/>
        </w:rPr>
        <w:t>soruşturma konusu ülkelerde</w:t>
      </w:r>
      <w:r w:rsidRPr="0042354C">
        <w:rPr>
          <w:color w:val="auto"/>
        </w:rPr>
        <w:t xml:space="preserve"> yerleşik üreticilerine/ihracatçılarına, Türkiye’de yerleşik ithalatçılarına ve ayrıca </w:t>
      </w:r>
      <w:r w:rsidR="00567B58" w:rsidRPr="0042354C">
        <w:rPr>
          <w:color w:val="auto"/>
        </w:rPr>
        <w:t>soruşturma konusu ülkelerde</w:t>
      </w:r>
      <w:r w:rsidRPr="0042354C">
        <w:rPr>
          <w:color w:val="auto"/>
        </w:rPr>
        <w:t xml:space="preserve"> yerleşik diğer üreticilere/ihracatçılara iletilebilmesini </w:t>
      </w:r>
      <w:proofErr w:type="spellStart"/>
      <w:r w:rsidRPr="0042354C">
        <w:rPr>
          <w:color w:val="auto"/>
        </w:rPr>
        <w:t>teminen</w:t>
      </w:r>
      <w:proofErr w:type="spellEnd"/>
      <w:r w:rsidRPr="0042354C">
        <w:rPr>
          <w:color w:val="auto"/>
        </w:rPr>
        <w:t xml:space="preserve"> anılan </w:t>
      </w:r>
      <w:r w:rsidR="009C21A9" w:rsidRPr="0042354C">
        <w:rPr>
          <w:color w:val="auto"/>
        </w:rPr>
        <w:t>ülkenin</w:t>
      </w:r>
      <w:r w:rsidRPr="0042354C">
        <w:rPr>
          <w:color w:val="auto"/>
        </w:rPr>
        <w:t xml:space="preserve"> Ankara </w:t>
      </w:r>
      <w:r w:rsidR="009C21A9" w:rsidRPr="0042354C">
        <w:rPr>
          <w:color w:val="auto"/>
        </w:rPr>
        <w:t>Büyükelçiliğine</w:t>
      </w:r>
      <w:r w:rsidRPr="0042354C">
        <w:rPr>
          <w:color w:val="auto"/>
        </w:rPr>
        <w:t xml:space="preserve"> soruşturmanın açılışına ilişkin bildirimde bulunulmuştur.</w:t>
      </w:r>
    </w:p>
    <w:p w14:paraId="5822BBB3" w14:textId="77777777" w:rsidR="00125740" w:rsidRPr="0042354C" w:rsidRDefault="00125740" w:rsidP="00111799">
      <w:pPr>
        <w:pStyle w:val="Default"/>
        <w:numPr>
          <w:ilvl w:val="0"/>
          <w:numId w:val="11"/>
        </w:numPr>
        <w:spacing w:before="120" w:after="120"/>
        <w:ind w:firstLine="0"/>
        <w:jc w:val="both"/>
        <w:rPr>
          <w:color w:val="auto"/>
        </w:rPr>
      </w:pPr>
      <w:r w:rsidRPr="0042354C">
        <w:rPr>
          <w:color w:val="auto"/>
        </w:rPr>
        <w:t>Bildirimde, soruşturma açılış Tebliğine, başvurunun gizli olmayan özetine ve soru formlarına nereden erişilebileceği hususunda bilgi verilmiştir.</w:t>
      </w:r>
    </w:p>
    <w:p w14:paraId="47879892" w14:textId="02FE8F7C" w:rsidR="00125740" w:rsidRPr="0042354C" w:rsidRDefault="00125740" w:rsidP="00111799">
      <w:pPr>
        <w:pStyle w:val="Default"/>
        <w:numPr>
          <w:ilvl w:val="0"/>
          <w:numId w:val="11"/>
        </w:numPr>
        <w:spacing w:before="120" w:after="120"/>
        <w:ind w:firstLine="0"/>
        <w:jc w:val="both"/>
        <w:rPr>
          <w:color w:val="auto"/>
        </w:rPr>
      </w:pPr>
      <w:r w:rsidRPr="0042354C">
        <w:rPr>
          <w:color w:val="auto"/>
        </w:rPr>
        <w:t>Taraflara görüş bildirme ve soru formlarını yanıtlamaları için posta süresi dâhil 37 gün süre tanınmıştır.</w:t>
      </w:r>
    </w:p>
    <w:p w14:paraId="37F4EB03" w14:textId="77777777" w:rsidR="00125740" w:rsidRPr="0042354C" w:rsidRDefault="00125740" w:rsidP="00111799">
      <w:pPr>
        <w:pStyle w:val="Default"/>
        <w:numPr>
          <w:ilvl w:val="0"/>
          <w:numId w:val="11"/>
        </w:numPr>
        <w:spacing w:before="120" w:after="120"/>
        <w:ind w:firstLine="0"/>
        <w:jc w:val="both"/>
        <w:rPr>
          <w:color w:val="auto"/>
        </w:rPr>
      </w:pPr>
      <w:r w:rsidRPr="0042354C">
        <w:rPr>
          <w:color w:val="auto"/>
        </w:rPr>
        <w:t xml:space="preserve">Yerli üretim dalı, soruşturma süresi boyunca Bakanlık ile iş birliği içinde olmuş ve gerektiğinde talep edilen ilave bilgileri temin etmiştir. </w:t>
      </w:r>
    </w:p>
    <w:p w14:paraId="49E8A0FD" w14:textId="7FA87FCD" w:rsidR="00125740" w:rsidRPr="0042354C" w:rsidRDefault="00125740" w:rsidP="00111799">
      <w:pPr>
        <w:pStyle w:val="Default"/>
        <w:numPr>
          <w:ilvl w:val="0"/>
          <w:numId w:val="11"/>
        </w:numPr>
        <w:spacing w:before="120" w:after="120"/>
        <w:ind w:firstLine="0"/>
        <w:jc w:val="both"/>
        <w:rPr>
          <w:color w:val="auto"/>
        </w:rPr>
      </w:pPr>
      <w:r w:rsidRPr="0042354C">
        <w:rPr>
          <w:color w:val="auto"/>
        </w:rPr>
        <w:t>Soruşturma konusu ürünü</w:t>
      </w:r>
      <w:r w:rsidR="004067AB" w:rsidRPr="0042354C">
        <w:rPr>
          <w:color w:val="auto"/>
        </w:rPr>
        <w:t>n</w:t>
      </w:r>
      <w:r w:rsidRPr="0042354C">
        <w:rPr>
          <w:color w:val="auto"/>
        </w:rPr>
        <w:t xml:space="preserve"> </w:t>
      </w:r>
      <w:proofErr w:type="spellStart"/>
      <w:r w:rsidR="00D5585F" w:rsidRPr="0042354C">
        <w:rPr>
          <w:color w:val="auto"/>
        </w:rPr>
        <w:t>ÇHC</w:t>
      </w:r>
      <w:r w:rsidR="0088510B" w:rsidRPr="0042354C">
        <w:rPr>
          <w:color w:val="auto"/>
        </w:rPr>
        <w:t>’den</w:t>
      </w:r>
      <w:proofErr w:type="spellEnd"/>
      <w:r w:rsidR="0088510B" w:rsidRPr="0042354C">
        <w:rPr>
          <w:color w:val="auto"/>
        </w:rPr>
        <w:t xml:space="preserve"> ithalatını</w:t>
      </w:r>
      <w:r w:rsidRPr="0042354C">
        <w:rPr>
          <w:color w:val="auto"/>
        </w:rPr>
        <w:t xml:space="preserve"> gerçekleştirdiği tespit edilen ithalatçı firmalara soruşturma açılışına ilişkin bildirimde bulunulmuş olup </w:t>
      </w:r>
      <w:r w:rsidR="00697295" w:rsidRPr="0042354C">
        <w:rPr>
          <w:color w:val="auto"/>
        </w:rPr>
        <w:t>iki ithalatçı firma soru formlarını zamanında yanıtlayarak Bakanlığa iletmiştir.</w:t>
      </w:r>
    </w:p>
    <w:p w14:paraId="38F6952E" w14:textId="6BEC96A2" w:rsidR="009C21A9" w:rsidRPr="0042354C" w:rsidRDefault="009C21A9" w:rsidP="009C21A9">
      <w:pPr>
        <w:pStyle w:val="Default"/>
        <w:numPr>
          <w:ilvl w:val="0"/>
          <w:numId w:val="11"/>
        </w:numPr>
        <w:spacing w:before="120" w:after="120"/>
        <w:ind w:firstLine="0"/>
        <w:jc w:val="both"/>
        <w:rPr>
          <w:color w:val="auto"/>
        </w:rPr>
      </w:pPr>
      <w:r w:rsidRPr="0042354C">
        <w:rPr>
          <w:color w:val="auto"/>
        </w:rPr>
        <w:t xml:space="preserve">Benzer şekilde, </w:t>
      </w:r>
      <w:proofErr w:type="spellStart"/>
      <w:r w:rsidRPr="0042354C">
        <w:rPr>
          <w:color w:val="auto"/>
        </w:rPr>
        <w:t>ÇHC’de</w:t>
      </w:r>
      <w:proofErr w:type="spellEnd"/>
      <w:r w:rsidRPr="0042354C">
        <w:rPr>
          <w:color w:val="auto"/>
        </w:rPr>
        <w:t xml:space="preserve"> yerleşik ihracatçı firmalara da soruşturma açılışına ilişkin bildirimde bulunulmuş olup söz konusu firmalardan iş birliği sağlanmamıştır.</w:t>
      </w:r>
    </w:p>
    <w:p w14:paraId="585639CE" w14:textId="3F5CBD5D" w:rsidR="00697295" w:rsidRPr="0042354C" w:rsidRDefault="00697295" w:rsidP="009C21A9">
      <w:pPr>
        <w:pStyle w:val="Default"/>
        <w:numPr>
          <w:ilvl w:val="0"/>
          <w:numId w:val="11"/>
        </w:numPr>
        <w:spacing w:before="120" w:after="120"/>
        <w:ind w:firstLine="0"/>
        <w:jc w:val="both"/>
        <w:rPr>
          <w:color w:val="auto"/>
        </w:rPr>
      </w:pPr>
      <w:r w:rsidRPr="0042354C">
        <w:rPr>
          <w:color w:val="auto"/>
        </w:rPr>
        <w:t xml:space="preserve">Soruşturma konusu ürünün ticaretini gerçekleştiren 1 tacir firma soru formlarını </w:t>
      </w:r>
      <w:r w:rsidR="00A458D2" w:rsidRPr="0042354C">
        <w:rPr>
          <w:color w:val="auto"/>
        </w:rPr>
        <w:t xml:space="preserve">zamanında </w:t>
      </w:r>
      <w:r w:rsidRPr="0042354C">
        <w:rPr>
          <w:color w:val="auto"/>
        </w:rPr>
        <w:t>yanıtlayarak Bakanlığa iletmiştir.</w:t>
      </w:r>
    </w:p>
    <w:p w14:paraId="578F22E9" w14:textId="695E5235" w:rsidR="00AD114C" w:rsidRPr="0042354C" w:rsidRDefault="00AD114C" w:rsidP="009C21A9">
      <w:pPr>
        <w:pStyle w:val="Default"/>
        <w:numPr>
          <w:ilvl w:val="0"/>
          <w:numId w:val="11"/>
        </w:numPr>
        <w:spacing w:before="120" w:after="120"/>
        <w:ind w:firstLine="0"/>
        <w:jc w:val="both"/>
        <w:rPr>
          <w:color w:val="auto"/>
        </w:rPr>
      </w:pPr>
      <w:r w:rsidRPr="0042354C">
        <w:rPr>
          <w:color w:val="auto"/>
        </w:rPr>
        <w:t>9 Nisan 2026 tarihinde Nihai Bildirim Raporu ilgili taraflarla paylaşılmış ve 21 Nisan 2026 tarihinde Kamu Dinleme Toplantısı gerçekleştirilmiştir.</w:t>
      </w:r>
    </w:p>
    <w:p w14:paraId="1DFC8157" w14:textId="6C3F8008" w:rsidR="00162F65" w:rsidRPr="0042354C" w:rsidRDefault="00162F65" w:rsidP="00162F65">
      <w:pPr>
        <w:pStyle w:val="Default"/>
        <w:numPr>
          <w:ilvl w:val="0"/>
          <w:numId w:val="11"/>
        </w:numPr>
        <w:spacing w:before="120" w:after="120"/>
        <w:ind w:firstLine="0"/>
        <w:jc w:val="both"/>
        <w:rPr>
          <w:color w:val="auto"/>
        </w:rPr>
      </w:pPr>
      <w:r w:rsidRPr="0042354C">
        <w:rPr>
          <w:color w:val="auto"/>
        </w:rPr>
        <w:t>Tarafların işbu soruşturma boyunca ortaya koyduğu tüm bilgi, belge ve görüşler incelenmiştir.</w:t>
      </w:r>
    </w:p>
    <w:p w14:paraId="763A51F9" w14:textId="33D453C3" w:rsidR="00A66318" w:rsidRPr="0042354C" w:rsidRDefault="00A66318" w:rsidP="00A66318">
      <w:pPr>
        <w:pStyle w:val="Altyaz"/>
        <w:numPr>
          <w:ilvl w:val="1"/>
          <w:numId w:val="19"/>
        </w:numPr>
        <w:spacing w:before="120" w:after="120"/>
        <w:jc w:val="left"/>
        <w:rPr>
          <w:rFonts w:ascii="Times New Roman" w:hAnsi="Times New Roman"/>
          <w:b/>
        </w:rPr>
      </w:pPr>
      <w:bookmarkStart w:id="23" w:name="_Toc227682699"/>
      <w:r w:rsidRPr="0042354C">
        <w:rPr>
          <w:rFonts w:ascii="Times New Roman" w:hAnsi="Times New Roman"/>
          <w:b/>
        </w:rPr>
        <w:t xml:space="preserve">Yerinde </w:t>
      </w:r>
      <w:r w:rsidR="00DD793A" w:rsidRPr="0042354C">
        <w:rPr>
          <w:rFonts w:ascii="Times New Roman" w:hAnsi="Times New Roman"/>
          <w:b/>
        </w:rPr>
        <w:t>doğrulama incelemesi</w:t>
      </w:r>
      <w:bookmarkEnd w:id="23"/>
    </w:p>
    <w:p w14:paraId="32DCF420" w14:textId="0CE510C7" w:rsidR="00A66318" w:rsidRPr="0042354C" w:rsidRDefault="00A66318" w:rsidP="00A66318">
      <w:pPr>
        <w:pStyle w:val="Default"/>
        <w:spacing w:before="120" w:after="120"/>
        <w:jc w:val="both"/>
        <w:rPr>
          <w:color w:val="auto"/>
        </w:rPr>
      </w:pPr>
      <w:r w:rsidRPr="0042354C">
        <w:rPr>
          <w:color w:val="auto"/>
        </w:rPr>
        <w:t xml:space="preserve">(1) Yönetmeliğin 21 inci maddesi çerçevesinde </w:t>
      </w:r>
      <w:r w:rsidR="00202A94" w:rsidRPr="0042354C">
        <w:rPr>
          <w:color w:val="auto"/>
        </w:rPr>
        <w:t xml:space="preserve">11-12 Mart 2026 tarihinde başvuru sahibi Assan </w:t>
      </w:r>
      <w:r w:rsidRPr="0042354C">
        <w:rPr>
          <w:color w:val="auto"/>
        </w:rPr>
        <w:t>firması</w:t>
      </w:r>
      <w:r w:rsidR="00202A94" w:rsidRPr="0042354C">
        <w:rPr>
          <w:color w:val="auto"/>
        </w:rPr>
        <w:t xml:space="preserve"> nezdinde</w:t>
      </w:r>
      <w:r w:rsidRPr="0042354C">
        <w:rPr>
          <w:color w:val="auto"/>
        </w:rPr>
        <w:t xml:space="preserve"> yerinde doğrulama inceleme</w:t>
      </w:r>
      <w:r w:rsidR="005530C0" w:rsidRPr="0042354C">
        <w:rPr>
          <w:color w:val="auto"/>
        </w:rPr>
        <w:t>si</w:t>
      </w:r>
      <w:r w:rsidRPr="0042354C">
        <w:rPr>
          <w:color w:val="auto"/>
        </w:rPr>
        <w:t xml:space="preserve"> gerçekleştirilmiştir.</w:t>
      </w:r>
    </w:p>
    <w:p w14:paraId="0424B21B" w14:textId="7B02935D" w:rsidR="00975C9D" w:rsidRPr="0042354C" w:rsidRDefault="00975C9D" w:rsidP="00975C9D">
      <w:pPr>
        <w:pStyle w:val="Balk1"/>
        <w:spacing w:before="120" w:after="120"/>
        <w:jc w:val="left"/>
        <w:rPr>
          <w:rFonts w:ascii="Times New Roman" w:hAnsi="Times New Roman" w:cs="Times New Roman"/>
          <w:b w:val="0"/>
          <w:bCs w:val="0"/>
          <w:sz w:val="24"/>
          <w:szCs w:val="24"/>
        </w:rPr>
      </w:pPr>
      <w:bookmarkStart w:id="24" w:name="_Toc44517741"/>
      <w:bookmarkStart w:id="25" w:name="_Toc227682700"/>
      <w:bookmarkEnd w:id="22"/>
      <w:r w:rsidRPr="0042354C">
        <w:rPr>
          <w:rFonts w:ascii="Times New Roman" w:hAnsi="Times New Roman" w:cs="Times New Roman"/>
          <w:bCs w:val="0"/>
          <w:sz w:val="24"/>
          <w:szCs w:val="24"/>
        </w:rPr>
        <w:t xml:space="preserve">2. </w:t>
      </w:r>
      <w:r w:rsidR="00125740" w:rsidRPr="0042354C">
        <w:rPr>
          <w:rFonts w:ascii="Times New Roman" w:hAnsi="Times New Roman" w:cs="Times New Roman"/>
          <w:bCs w:val="0"/>
          <w:sz w:val="24"/>
          <w:szCs w:val="24"/>
        </w:rPr>
        <w:t>SORUŞTURMA</w:t>
      </w:r>
      <w:r w:rsidRPr="0042354C">
        <w:rPr>
          <w:rFonts w:ascii="Times New Roman" w:hAnsi="Times New Roman" w:cs="Times New Roman"/>
          <w:bCs w:val="0"/>
          <w:sz w:val="24"/>
          <w:szCs w:val="24"/>
        </w:rPr>
        <w:t xml:space="preserve"> KONUSU ÜRÜN VE BENZER ÜRÜN</w:t>
      </w:r>
      <w:bookmarkEnd w:id="24"/>
      <w:bookmarkEnd w:id="25"/>
    </w:p>
    <w:p w14:paraId="0ED16CF6" w14:textId="5C29702D" w:rsidR="00975C9D" w:rsidRPr="0042354C" w:rsidRDefault="0009074D" w:rsidP="00111799">
      <w:pPr>
        <w:pStyle w:val="Altyaz"/>
        <w:numPr>
          <w:ilvl w:val="1"/>
          <w:numId w:val="10"/>
        </w:numPr>
        <w:spacing w:before="120" w:after="120"/>
        <w:jc w:val="left"/>
        <w:rPr>
          <w:rFonts w:ascii="Times New Roman" w:hAnsi="Times New Roman"/>
          <w:b/>
        </w:rPr>
      </w:pPr>
      <w:bookmarkStart w:id="26" w:name="_Toc227682701"/>
      <w:r w:rsidRPr="0042354C">
        <w:rPr>
          <w:rFonts w:ascii="Times New Roman" w:hAnsi="Times New Roman"/>
          <w:b/>
        </w:rPr>
        <w:t xml:space="preserve">Soruşturma </w:t>
      </w:r>
      <w:r w:rsidR="00DD793A" w:rsidRPr="0042354C">
        <w:rPr>
          <w:rFonts w:ascii="Times New Roman" w:hAnsi="Times New Roman"/>
          <w:b/>
        </w:rPr>
        <w:t>konusu ürün ve benzer ürün</w:t>
      </w:r>
      <w:bookmarkEnd w:id="26"/>
    </w:p>
    <w:p w14:paraId="7E36C2B9" w14:textId="46B4FC97" w:rsidR="00202A94" w:rsidRPr="0042354C" w:rsidRDefault="00202A94" w:rsidP="00202A94">
      <w:pPr>
        <w:spacing w:before="120" w:after="120"/>
        <w:jc w:val="both"/>
        <w:rPr>
          <w:noProof/>
          <w:lang w:eastAsia="tr-TR"/>
        </w:rPr>
      </w:pPr>
      <w:r w:rsidRPr="0042354C">
        <w:t xml:space="preserve">(1) Soruşturma konusu ürün, </w:t>
      </w:r>
      <w:bookmarkStart w:id="27" w:name="OLE_LINK1"/>
      <w:r w:rsidRPr="0042354C">
        <w:t xml:space="preserve">7607.11 gümrük tarife pozisyonu (GTP) altında kayıtlı “kalınlığı 0,2 mm’yi geçmeyen, haddelenmiş fakat daha ileri bir işleme tutulmamış alüminyumdan mesnetsiz yapraklar ve şeritler” ve 7607.19 </w:t>
      </w:r>
      <w:bookmarkEnd w:id="27"/>
      <w:r w:rsidRPr="0042354C">
        <w:t>GTP altında kayıtlı “</w:t>
      </w:r>
      <w:proofErr w:type="spellStart"/>
      <w:r w:rsidRPr="0042354C">
        <w:t>diğerleri”dir</w:t>
      </w:r>
      <w:proofErr w:type="spellEnd"/>
      <w:r w:rsidRPr="0042354C">
        <w:t>.</w:t>
      </w:r>
      <w:r w:rsidR="00F25CAB" w:rsidRPr="0042354C">
        <w:t xml:space="preserve"> Soruşturma konusu ürün, işbu raporda “alüminyum folyo” olarak anılacaktır.</w:t>
      </w:r>
    </w:p>
    <w:p w14:paraId="2EE2E1B3" w14:textId="77777777" w:rsidR="00202A94" w:rsidRPr="0042354C" w:rsidRDefault="00202A94" w:rsidP="00202A94">
      <w:pPr>
        <w:spacing w:before="120" w:after="120"/>
        <w:jc w:val="both"/>
        <w:rPr>
          <w:noProof/>
          <w:lang w:eastAsia="tr-TR"/>
        </w:rPr>
      </w:pPr>
      <w:r w:rsidRPr="0042354C">
        <w:rPr>
          <w:noProof/>
        </w:rPr>
        <w:t>(2) Soruşturmaya konu alüminyum folyoların kullanım alanları çok çeşitli olup en önemlileri, mutfak folyosu, buruşuk kap folyosu, esnek ambalaj folyosu, finstok ve diğer teknik kullanım alanlarıdır (kablo folyosu vs.).</w:t>
      </w:r>
    </w:p>
    <w:p w14:paraId="041818D1" w14:textId="7C549922" w:rsidR="00202A94" w:rsidRPr="0042354C" w:rsidRDefault="00202A94" w:rsidP="00202A94">
      <w:pPr>
        <w:spacing w:before="120" w:after="120"/>
        <w:jc w:val="both"/>
      </w:pPr>
      <w:r w:rsidRPr="0042354C">
        <w:rPr>
          <w:noProof/>
          <w:lang w:eastAsia="tr-TR"/>
        </w:rPr>
        <w:t xml:space="preserve">(3) </w:t>
      </w:r>
      <w:r w:rsidRPr="0042354C">
        <w:t>Ürünün üretim süreci genel olarak, 0</w:t>
      </w:r>
      <w:r w:rsidR="009565A9" w:rsidRPr="0042354C">
        <w:t>,</w:t>
      </w:r>
      <w:r w:rsidRPr="0042354C">
        <w:t xml:space="preserve">2 mm veya biraz daha kalın haddelenmiş yassı alüminyum </w:t>
      </w:r>
      <w:proofErr w:type="gramStart"/>
      <w:r w:rsidRPr="0042354C">
        <w:t>girdisinin  (</w:t>
      </w:r>
      <w:proofErr w:type="spellStart"/>
      <w:proofErr w:type="gramEnd"/>
      <w:r w:rsidRPr="0042354C">
        <w:t>folyostok</w:t>
      </w:r>
      <w:proofErr w:type="spellEnd"/>
      <w:r w:rsidRPr="0042354C">
        <w:t>) folyo hadde tezgahlarının merdaneleri arasından geçirilerek istenen kalınlığa indirilmesi ile gerçekleştirilir. Her bir hadde pasında ulaşılabilecek ezme oranı sınırlı olduğu için, birden fazla kez haddeleme gerekebilmektedir. Çok ince folyoların haddelenmesi mümkün olmadığı için bu folyolar son hadde pasından önce üst üste çift kat haline getirilerek beraberce haddelenir ve daha sonra folyo ayırıcı tezgahlarda tekrar iki ayrı bobine sarılır. Aynı tezgahlarda geniş bobinleri müşteri taleplerine göre daha dar şeritlere dilme işlemi de yapılmaktadır. Son işlem olarak, bobinler yumuşatılır ve yüzey yağlarının uçurulması amaçlı ısıl işleme tabi tutularak paketlemeye hazır hale getirilir.</w:t>
      </w:r>
    </w:p>
    <w:p w14:paraId="5938E2AE" w14:textId="1EE6CD21" w:rsidR="00FC6649" w:rsidRPr="0042354C" w:rsidRDefault="00FC6649" w:rsidP="00202A94">
      <w:pPr>
        <w:spacing w:before="120" w:after="120"/>
        <w:jc w:val="both"/>
      </w:pPr>
      <w:r w:rsidRPr="0042354C">
        <w:t xml:space="preserve">(4) Bir ithalatçı firma tarafından 6,3 mikron kalınlığında ve 1.400-1.600 mm en aralığında Türkiye’de yerli üretimin bulunmadığı iddia edilmiştir. Yerli üretim dalı ve destekleyen yerli üreticiler tarafından bahsi geçen ürünün teknik olarak üretiminin bulunduğu ancak kullanıcı firmalar tarafından talep oluşmadığı belirtilmiştir. Bazı yerli üretici firmalar tarafından 6 mikron kalınlığa kadar ve 2.000 mm </w:t>
      </w:r>
      <w:proofErr w:type="spellStart"/>
      <w:r w:rsidRPr="0042354C">
        <w:t>en’e</w:t>
      </w:r>
      <w:proofErr w:type="spellEnd"/>
      <w:r w:rsidRPr="0042354C">
        <w:t xml:space="preserve"> kadar üretim bulunduğu belirtilmiştir. </w:t>
      </w:r>
    </w:p>
    <w:p w14:paraId="2B7CBE3A" w14:textId="5D806B0D" w:rsidR="00202A94" w:rsidRPr="0042354C" w:rsidRDefault="00202A94" w:rsidP="00202A94">
      <w:pPr>
        <w:autoSpaceDE w:val="0"/>
        <w:autoSpaceDN w:val="0"/>
        <w:adjustRightInd w:val="0"/>
        <w:spacing w:before="120" w:after="120"/>
        <w:jc w:val="both"/>
      </w:pPr>
      <w:r w:rsidRPr="0042354C">
        <w:rPr>
          <w:noProof/>
          <w:lang w:eastAsia="tr-TR"/>
        </w:rPr>
        <w:t>(</w:t>
      </w:r>
      <w:r w:rsidR="003B5F24" w:rsidRPr="0042354C">
        <w:rPr>
          <w:noProof/>
          <w:lang w:eastAsia="tr-TR"/>
        </w:rPr>
        <w:t>5</w:t>
      </w:r>
      <w:r w:rsidRPr="0042354C">
        <w:rPr>
          <w:noProof/>
          <w:lang w:eastAsia="tr-TR"/>
        </w:rPr>
        <w:t xml:space="preserve">) </w:t>
      </w:r>
      <w:r w:rsidR="00AD114C" w:rsidRPr="0042354C">
        <w:rPr>
          <w:noProof/>
          <w:lang w:eastAsia="tr-TR"/>
        </w:rPr>
        <w:t xml:space="preserve">İthalatta Haksız Rekabetin Önlenmesine İlişkin Tebliğ (Tebliğ No: </w:t>
      </w:r>
      <w:r w:rsidRPr="0042354C">
        <w:t>2014/25</w:t>
      </w:r>
      <w:r w:rsidR="00AD114C" w:rsidRPr="0042354C">
        <w:t xml:space="preserve">) </w:t>
      </w:r>
      <w:r w:rsidRPr="0042354C">
        <w:t xml:space="preserve">ile sonuçlandırılan esas soruşturmada başvuru sahibi yerli üretici tarafından üretilen ürünler ile önleme konu ülkeler menşeli ürünler arasında ürünlerin fiziksel özellikleri, kullanım alanları, dağıtım kanalları, müşteriler ve hitap ettikleri pazarlar bakımından “benzer ürün” tanımı açısından ayrım yaratan herhangi bir farklılık bulunmadığı tespit edilmiştir. Bu defa da ilgili başvuru kapsamında yapılan değerlendirmede Yönetmeliğin </w:t>
      </w:r>
      <w:proofErr w:type="gramStart"/>
      <w:r w:rsidRPr="0042354C">
        <w:t>4 üncü</w:t>
      </w:r>
      <w:proofErr w:type="gramEnd"/>
      <w:r w:rsidRPr="0042354C">
        <w:t xml:space="preserve"> maddesi çerçevesinde benzer ürüne yönelik tespiti değiştirecek herhangi bir bulguya rastlanmamıştır.</w:t>
      </w:r>
    </w:p>
    <w:p w14:paraId="52BCD800" w14:textId="748A76B0" w:rsidR="00975C9D" w:rsidRPr="0042354C" w:rsidRDefault="00975C9D" w:rsidP="00975C9D">
      <w:pPr>
        <w:pStyle w:val="Altyaz"/>
        <w:spacing w:before="120" w:after="120"/>
        <w:jc w:val="left"/>
        <w:rPr>
          <w:rFonts w:ascii="Times New Roman" w:hAnsi="Times New Roman"/>
          <w:b/>
        </w:rPr>
      </w:pPr>
      <w:bookmarkStart w:id="28" w:name="_Toc44517743"/>
      <w:bookmarkStart w:id="29" w:name="_Toc227682702"/>
      <w:r w:rsidRPr="0042354C">
        <w:rPr>
          <w:rFonts w:ascii="Times New Roman" w:hAnsi="Times New Roman"/>
          <w:b/>
        </w:rPr>
        <w:t xml:space="preserve">2.2 Ürünün </w:t>
      </w:r>
      <w:r w:rsidR="00DD793A" w:rsidRPr="0042354C">
        <w:rPr>
          <w:rFonts w:ascii="Times New Roman" w:hAnsi="Times New Roman"/>
          <w:b/>
        </w:rPr>
        <w:t>ithalinde uygulanan gümrük vergisi ve diğer yükümlülükler</w:t>
      </w:r>
      <w:bookmarkEnd w:id="28"/>
      <w:bookmarkEnd w:id="29"/>
    </w:p>
    <w:p w14:paraId="0924D466" w14:textId="6DAEE8B4" w:rsidR="00202A94" w:rsidRPr="0042354C" w:rsidRDefault="00202A94" w:rsidP="00202A94">
      <w:pPr>
        <w:pStyle w:val="Default"/>
        <w:numPr>
          <w:ilvl w:val="0"/>
          <w:numId w:val="3"/>
        </w:numPr>
        <w:spacing w:before="120" w:after="120"/>
        <w:jc w:val="both"/>
        <w:rPr>
          <w:color w:val="auto"/>
        </w:rPr>
      </w:pPr>
      <w:r w:rsidRPr="0042354C">
        <w:rPr>
          <w:color w:val="auto"/>
        </w:rPr>
        <w:t>Mer’i İthalat Rejimi Kararı çerçevesinde, soruşturma konusu “alüminyum folyo” ürününün ithalatında uygulanan gümrük vergisi oranları aşağıdaki tabloda sunulmuştur.</w:t>
      </w:r>
    </w:p>
    <w:p w14:paraId="7CA16D1B" w14:textId="77777777" w:rsidR="00202A94" w:rsidRPr="0042354C" w:rsidRDefault="00202A94" w:rsidP="00202A94">
      <w:pPr>
        <w:pStyle w:val="Default"/>
        <w:numPr>
          <w:ilvl w:val="0"/>
          <w:numId w:val="3"/>
        </w:numPr>
        <w:spacing w:before="120" w:after="120"/>
        <w:jc w:val="both"/>
        <w:rPr>
          <w:color w:val="auto"/>
        </w:rPr>
      </w:pPr>
      <w:r w:rsidRPr="0042354C">
        <w:rPr>
          <w:color w:val="auto"/>
        </w:rPr>
        <w:t xml:space="preserve">Buna göre, soruşturma konusu ürünün ÇHC menşeli olanları için %7,5 oranında gümrük vergisi uygulanmaktadır. İnceleme dönemi boyunca da aynı oranlarda gümrük vergisi uygulanmıştır. </w:t>
      </w:r>
    </w:p>
    <w:p w14:paraId="25D49692" w14:textId="5316032F" w:rsidR="00202A94" w:rsidRPr="0042354C" w:rsidRDefault="00202A94" w:rsidP="00202A94">
      <w:pPr>
        <w:pStyle w:val="Default"/>
        <w:spacing w:before="120" w:after="120"/>
        <w:jc w:val="both"/>
        <w:rPr>
          <w:color w:val="auto"/>
        </w:rPr>
      </w:pPr>
      <w:r w:rsidRPr="0042354C">
        <w:rPr>
          <w:b/>
          <w:bCs/>
          <w:color w:val="auto"/>
        </w:rPr>
        <w:t>Tablo 1: Gümrük Vergisi Oranları</w:t>
      </w:r>
    </w:p>
    <w:tbl>
      <w:tblPr>
        <w:tblW w:w="5081" w:type="pct"/>
        <w:tblCellMar>
          <w:left w:w="70" w:type="dxa"/>
          <w:right w:w="70" w:type="dxa"/>
        </w:tblCellMar>
        <w:tblLook w:val="04A0" w:firstRow="1" w:lastRow="0" w:firstColumn="1" w:lastColumn="0" w:noHBand="0" w:noVBand="1"/>
      </w:tblPr>
      <w:tblGrid>
        <w:gridCol w:w="1612"/>
        <w:gridCol w:w="3479"/>
        <w:gridCol w:w="621"/>
        <w:gridCol w:w="343"/>
        <w:gridCol w:w="400"/>
        <w:gridCol w:w="400"/>
        <w:gridCol w:w="558"/>
        <w:gridCol w:w="557"/>
        <w:gridCol w:w="558"/>
        <w:gridCol w:w="392"/>
      </w:tblGrid>
      <w:tr w:rsidR="0042354C" w:rsidRPr="0042354C" w14:paraId="3DBFDB19" w14:textId="77777777" w:rsidTr="008C0F16">
        <w:trPr>
          <w:trHeight w:val="292"/>
          <w:tblHeader/>
        </w:trPr>
        <w:tc>
          <w:tcPr>
            <w:tcW w:w="90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C0E1DF3" w14:textId="77777777" w:rsidR="00F25CAB" w:rsidRPr="0042354C" w:rsidRDefault="00F25CAB">
            <w:pPr>
              <w:jc w:val="center"/>
              <w:rPr>
                <w:b/>
                <w:bCs/>
                <w:sz w:val="20"/>
                <w:szCs w:val="20"/>
                <w:lang w:eastAsia="tr-TR"/>
              </w:rPr>
            </w:pPr>
            <w:r w:rsidRPr="0042354C">
              <w:rPr>
                <w:b/>
                <w:bCs/>
                <w:sz w:val="20"/>
                <w:szCs w:val="20"/>
              </w:rPr>
              <w:t>GTİP</w:t>
            </w:r>
          </w:p>
        </w:tc>
        <w:tc>
          <w:tcPr>
            <w:tcW w:w="195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49FB477" w14:textId="77777777" w:rsidR="00F25CAB" w:rsidRPr="0042354C" w:rsidRDefault="00F25CAB">
            <w:pPr>
              <w:jc w:val="center"/>
              <w:rPr>
                <w:b/>
                <w:bCs/>
                <w:sz w:val="20"/>
                <w:szCs w:val="20"/>
              </w:rPr>
            </w:pPr>
            <w:r w:rsidRPr="0042354C">
              <w:rPr>
                <w:b/>
                <w:bCs/>
                <w:sz w:val="20"/>
                <w:szCs w:val="20"/>
              </w:rPr>
              <w:t>Eşya Tanımı</w:t>
            </w:r>
          </w:p>
        </w:tc>
        <w:tc>
          <w:tcPr>
            <w:tcW w:w="34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DB141E" w14:textId="77777777" w:rsidR="00F25CAB" w:rsidRPr="0042354C" w:rsidRDefault="00F25CAB">
            <w:pPr>
              <w:jc w:val="center"/>
              <w:rPr>
                <w:b/>
                <w:bCs/>
                <w:sz w:val="20"/>
                <w:szCs w:val="20"/>
              </w:rPr>
            </w:pPr>
            <w:r w:rsidRPr="0042354C">
              <w:rPr>
                <w:b/>
                <w:bCs/>
                <w:sz w:val="20"/>
                <w:szCs w:val="20"/>
              </w:rPr>
              <w:t>KDV</w:t>
            </w:r>
          </w:p>
        </w:tc>
        <w:tc>
          <w:tcPr>
            <w:tcW w:w="19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9FA967" w14:textId="77777777" w:rsidR="00F25CAB" w:rsidRPr="0042354C" w:rsidRDefault="00F25CAB">
            <w:pPr>
              <w:jc w:val="center"/>
              <w:rPr>
                <w:b/>
                <w:bCs/>
                <w:sz w:val="20"/>
                <w:szCs w:val="20"/>
              </w:rPr>
            </w:pPr>
            <w:r w:rsidRPr="0042354C">
              <w:rPr>
                <w:b/>
                <w:bCs/>
                <w:sz w:val="20"/>
                <w:szCs w:val="20"/>
              </w:rPr>
              <w:t>1</w:t>
            </w:r>
          </w:p>
        </w:tc>
        <w:tc>
          <w:tcPr>
            <w:tcW w:w="22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0329A79" w14:textId="77777777" w:rsidR="00F25CAB" w:rsidRPr="0042354C" w:rsidRDefault="00F25CAB">
            <w:pPr>
              <w:jc w:val="center"/>
              <w:rPr>
                <w:b/>
                <w:bCs/>
                <w:sz w:val="20"/>
                <w:szCs w:val="20"/>
              </w:rPr>
            </w:pPr>
            <w:r w:rsidRPr="0042354C">
              <w:rPr>
                <w:b/>
                <w:bCs/>
                <w:sz w:val="20"/>
                <w:szCs w:val="20"/>
              </w:rPr>
              <w:t>2</w:t>
            </w:r>
          </w:p>
        </w:tc>
        <w:tc>
          <w:tcPr>
            <w:tcW w:w="22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5D0DCA" w14:textId="77777777" w:rsidR="00F25CAB" w:rsidRPr="0042354C" w:rsidRDefault="00F25CAB">
            <w:pPr>
              <w:jc w:val="center"/>
              <w:rPr>
                <w:b/>
                <w:bCs/>
                <w:sz w:val="20"/>
                <w:szCs w:val="20"/>
              </w:rPr>
            </w:pPr>
            <w:r w:rsidRPr="0042354C">
              <w:rPr>
                <w:b/>
                <w:bCs/>
                <w:sz w:val="20"/>
                <w:szCs w:val="20"/>
              </w:rPr>
              <w:t>3</w:t>
            </w:r>
          </w:p>
        </w:tc>
        <w:tc>
          <w:tcPr>
            <w:tcW w:w="938" w:type="pct"/>
            <w:gridSpan w:val="3"/>
            <w:tcBorders>
              <w:top w:val="single" w:sz="4" w:space="0" w:color="auto"/>
              <w:left w:val="nil"/>
              <w:bottom w:val="single" w:sz="4" w:space="0" w:color="auto"/>
              <w:right w:val="single" w:sz="4" w:space="0" w:color="auto"/>
            </w:tcBorders>
            <w:shd w:val="clear" w:color="auto" w:fill="auto"/>
            <w:noWrap/>
            <w:vAlign w:val="center"/>
            <w:hideMark/>
          </w:tcPr>
          <w:p w14:paraId="6CE6E5B5" w14:textId="77777777" w:rsidR="00F25CAB" w:rsidRPr="0042354C" w:rsidRDefault="00F25CAB">
            <w:pPr>
              <w:jc w:val="center"/>
              <w:rPr>
                <w:b/>
                <w:bCs/>
                <w:sz w:val="20"/>
                <w:szCs w:val="20"/>
              </w:rPr>
            </w:pPr>
            <w:r w:rsidRPr="0042354C">
              <w:rPr>
                <w:b/>
                <w:bCs/>
                <w:sz w:val="20"/>
                <w:szCs w:val="20"/>
              </w:rPr>
              <w:t>GTS ÜLKELERİ</w:t>
            </w:r>
          </w:p>
        </w:tc>
        <w:tc>
          <w:tcPr>
            <w:tcW w:w="22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073D19" w14:textId="77777777" w:rsidR="00F25CAB" w:rsidRPr="0042354C" w:rsidRDefault="00F25CAB">
            <w:pPr>
              <w:jc w:val="center"/>
              <w:rPr>
                <w:b/>
                <w:bCs/>
                <w:sz w:val="20"/>
                <w:szCs w:val="20"/>
              </w:rPr>
            </w:pPr>
            <w:r w:rsidRPr="0042354C">
              <w:rPr>
                <w:b/>
                <w:bCs/>
                <w:sz w:val="20"/>
                <w:szCs w:val="20"/>
              </w:rPr>
              <w:t>7</w:t>
            </w:r>
          </w:p>
        </w:tc>
      </w:tr>
      <w:tr w:rsidR="0042354C" w:rsidRPr="0042354C" w14:paraId="31439B45" w14:textId="77777777" w:rsidTr="008C0F16">
        <w:trPr>
          <w:trHeight w:val="292"/>
          <w:tblHeader/>
        </w:trPr>
        <w:tc>
          <w:tcPr>
            <w:tcW w:w="904" w:type="pct"/>
            <w:vMerge/>
            <w:tcBorders>
              <w:top w:val="single" w:sz="4" w:space="0" w:color="auto"/>
              <w:left w:val="single" w:sz="4" w:space="0" w:color="auto"/>
              <w:bottom w:val="single" w:sz="4" w:space="0" w:color="auto"/>
              <w:right w:val="single" w:sz="4" w:space="0" w:color="auto"/>
            </w:tcBorders>
            <w:vAlign w:val="center"/>
            <w:hideMark/>
          </w:tcPr>
          <w:p w14:paraId="04452108" w14:textId="77777777" w:rsidR="00F25CAB" w:rsidRPr="0042354C" w:rsidRDefault="00F25CAB">
            <w:pPr>
              <w:rPr>
                <w:b/>
                <w:bCs/>
                <w:sz w:val="20"/>
                <w:szCs w:val="20"/>
              </w:rPr>
            </w:pPr>
          </w:p>
        </w:tc>
        <w:tc>
          <w:tcPr>
            <w:tcW w:w="1950" w:type="pct"/>
            <w:vMerge/>
            <w:tcBorders>
              <w:top w:val="single" w:sz="4" w:space="0" w:color="auto"/>
              <w:left w:val="single" w:sz="4" w:space="0" w:color="auto"/>
              <w:bottom w:val="single" w:sz="4" w:space="0" w:color="auto"/>
              <w:right w:val="single" w:sz="4" w:space="0" w:color="auto"/>
            </w:tcBorders>
            <w:vAlign w:val="center"/>
            <w:hideMark/>
          </w:tcPr>
          <w:p w14:paraId="6B10E64D" w14:textId="77777777" w:rsidR="00F25CAB" w:rsidRPr="0042354C" w:rsidRDefault="00F25CAB">
            <w:pPr>
              <w:rPr>
                <w:b/>
                <w:bCs/>
                <w:sz w:val="20"/>
                <w:szCs w:val="20"/>
              </w:rPr>
            </w:pPr>
          </w:p>
        </w:tc>
        <w:tc>
          <w:tcPr>
            <w:tcW w:w="348" w:type="pct"/>
            <w:vMerge/>
            <w:tcBorders>
              <w:top w:val="single" w:sz="4" w:space="0" w:color="auto"/>
              <w:left w:val="single" w:sz="4" w:space="0" w:color="auto"/>
              <w:bottom w:val="single" w:sz="4" w:space="0" w:color="auto"/>
              <w:right w:val="single" w:sz="4" w:space="0" w:color="auto"/>
            </w:tcBorders>
            <w:vAlign w:val="center"/>
            <w:hideMark/>
          </w:tcPr>
          <w:p w14:paraId="0260133C" w14:textId="77777777" w:rsidR="00F25CAB" w:rsidRPr="0042354C" w:rsidRDefault="00F25CAB">
            <w:pPr>
              <w:rPr>
                <w:b/>
                <w:bCs/>
                <w:sz w:val="20"/>
                <w:szCs w:val="20"/>
              </w:rPr>
            </w:pPr>
          </w:p>
        </w:tc>
        <w:tc>
          <w:tcPr>
            <w:tcW w:w="192" w:type="pct"/>
            <w:vMerge/>
            <w:tcBorders>
              <w:top w:val="single" w:sz="4" w:space="0" w:color="auto"/>
              <w:left w:val="single" w:sz="4" w:space="0" w:color="auto"/>
              <w:bottom w:val="single" w:sz="4" w:space="0" w:color="auto"/>
              <w:right w:val="single" w:sz="4" w:space="0" w:color="auto"/>
            </w:tcBorders>
            <w:vAlign w:val="center"/>
            <w:hideMark/>
          </w:tcPr>
          <w:p w14:paraId="3ACE90A1" w14:textId="77777777" w:rsidR="00F25CAB" w:rsidRPr="0042354C" w:rsidRDefault="00F25CAB">
            <w:pPr>
              <w:rPr>
                <w:b/>
                <w:bCs/>
                <w:sz w:val="20"/>
                <w:szCs w:val="20"/>
              </w:rPr>
            </w:pPr>
          </w:p>
        </w:tc>
        <w:tc>
          <w:tcPr>
            <w:tcW w:w="224" w:type="pct"/>
            <w:vMerge/>
            <w:tcBorders>
              <w:top w:val="single" w:sz="4" w:space="0" w:color="auto"/>
              <w:left w:val="single" w:sz="4" w:space="0" w:color="auto"/>
              <w:bottom w:val="single" w:sz="4" w:space="0" w:color="auto"/>
              <w:right w:val="single" w:sz="4" w:space="0" w:color="auto"/>
            </w:tcBorders>
            <w:vAlign w:val="center"/>
            <w:hideMark/>
          </w:tcPr>
          <w:p w14:paraId="218F544C" w14:textId="77777777" w:rsidR="00F25CAB" w:rsidRPr="0042354C" w:rsidRDefault="00F25CAB">
            <w:pPr>
              <w:rPr>
                <w:b/>
                <w:bCs/>
                <w:sz w:val="20"/>
                <w:szCs w:val="20"/>
              </w:rPr>
            </w:pPr>
          </w:p>
        </w:tc>
        <w:tc>
          <w:tcPr>
            <w:tcW w:w="224" w:type="pct"/>
            <w:vMerge/>
            <w:tcBorders>
              <w:top w:val="single" w:sz="4" w:space="0" w:color="auto"/>
              <w:left w:val="single" w:sz="4" w:space="0" w:color="auto"/>
              <w:bottom w:val="single" w:sz="4" w:space="0" w:color="auto"/>
              <w:right w:val="single" w:sz="4" w:space="0" w:color="auto"/>
            </w:tcBorders>
            <w:vAlign w:val="center"/>
            <w:hideMark/>
          </w:tcPr>
          <w:p w14:paraId="12A1AFFE" w14:textId="77777777" w:rsidR="00F25CAB" w:rsidRPr="0042354C" w:rsidRDefault="00F25CAB">
            <w:pPr>
              <w:rPr>
                <w:b/>
                <w:bCs/>
                <w:sz w:val="20"/>
                <w:szCs w:val="20"/>
              </w:rPr>
            </w:pPr>
          </w:p>
        </w:tc>
        <w:tc>
          <w:tcPr>
            <w:tcW w:w="313" w:type="pct"/>
            <w:tcBorders>
              <w:top w:val="nil"/>
              <w:left w:val="nil"/>
              <w:bottom w:val="single" w:sz="4" w:space="0" w:color="auto"/>
              <w:right w:val="single" w:sz="4" w:space="0" w:color="auto"/>
            </w:tcBorders>
            <w:shd w:val="clear" w:color="auto" w:fill="auto"/>
            <w:vAlign w:val="center"/>
            <w:hideMark/>
          </w:tcPr>
          <w:p w14:paraId="5FE96895" w14:textId="77777777" w:rsidR="00F25CAB" w:rsidRPr="0042354C" w:rsidRDefault="00F25CAB">
            <w:pPr>
              <w:jc w:val="center"/>
              <w:rPr>
                <w:b/>
                <w:bCs/>
                <w:sz w:val="20"/>
                <w:szCs w:val="20"/>
              </w:rPr>
            </w:pPr>
            <w:r w:rsidRPr="0042354C">
              <w:rPr>
                <w:b/>
                <w:bCs/>
                <w:sz w:val="20"/>
                <w:szCs w:val="20"/>
              </w:rPr>
              <w:t>4</w:t>
            </w:r>
          </w:p>
        </w:tc>
        <w:tc>
          <w:tcPr>
            <w:tcW w:w="312" w:type="pct"/>
            <w:tcBorders>
              <w:top w:val="nil"/>
              <w:left w:val="nil"/>
              <w:bottom w:val="single" w:sz="4" w:space="0" w:color="auto"/>
              <w:right w:val="single" w:sz="4" w:space="0" w:color="auto"/>
            </w:tcBorders>
            <w:shd w:val="clear" w:color="auto" w:fill="auto"/>
            <w:vAlign w:val="center"/>
            <w:hideMark/>
          </w:tcPr>
          <w:p w14:paraId="185DF6A5" w14:textId="77777777" w:rsidR="00F25CAB" w:rsidRPr="0042354C" w:rsidRDefault="00F25CAB">
            <w:pPr>
              <w:jc w:val="center"/>
              <w:rPr>
                <w:b/>
                <w:bCs/>
                <w:sz w:val="20"/>
                <w:szCs w:val="20"/>
              </w:rPr>
            </w:pPr>
            <w:r w:rsidRPr="0042354C">
              <w:rPr>
                <w:b/>
                <w:bCs/>
                <w:sz w:val="20"/>
                <w:szCs w:val="20"/>
              </w:rPr>
              <w:t>5</w:t>
            </w:r>
          </w:p>
        </w:tc>
        <w:tc>
          <w:tcPr>
            <w:tcW w:w="313" w:type="pct"/>
            <w:tcBorders>
              <w:top w:val="nil"/>
              <w:left w:val="nil"/>
              <w:bottom w:val="single" w:sz="4" w:space="0" w:color="auto"/>
              <w:right w:val="single" w:sz="4" w:space="0" w:color="auto"/>
            </w:tcBorders>
            <w:shd w:val="clear" w:color="auto" w:fill="auto"/>
            <w:vAlign w:val="center"/>
            <w:hideMark/>
          </w:tcPr>
          <w:p w14:paraId="67CBDB99" w14:textId="77777777" w:rsidR="00F25CAB" w:rsidRPr="0042354C" w:rsidRDefault="00F25CAB">
            <w:pPr>
              <w:jc w:val="center"/>
              <w:rPr>
                <w:b/>
                <w:bCs/>
                <w:sz w:val="20"/>
                <w:szCs w:val="20"/>
              </w:rPr>
            </w:pPr>
            <w:r w:rsidRPr="0042354C">
              <w:rPr>
                <w:b/>
                <w:bCs/>
                <w:sz w:val="20"/>
                <w:szCs w:val="20"/>
              </w:rPr>
              <w:t>6</w:t>
            </w: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12B47D9D" w14:textId="77777777" w:rsidR="00F25CAB" w:rsidRPr="0042354C" w:rsidRDefault="00F25CAB">
            <w:pPr>
              <w:rPr>
                <w:b/>
                <w:bCs/>
                <w:sz w:val="20"/>
                <w:szCs w:val="20"/>
              </w:rPr>
            </w:pPr>
          </w:p>
        </w:tc>
      </w:tr>
      <w:tr w:rsidR="0042354C" w:rsidRPr="0042354C" w14:paraId="6BAE64C0" w14:textId="77777777" w:rsidTr="008C0F16">
        <w:trPr>
          <w:trHeight w:val="499"/>
        </w:trPr>
        <w:tc>
          <w:tcPr>
            <w:tcW w:w="904" w:type="pct"/>
            <w:tcBorders>
              <w:top w:val="nil"/>
              <w:left w:val="single" w:sz="4" w:space="0" w:color="auto"/>
              <w:bottom w:val="single" w:sz="4" w:space="0" w:color="auto"/>
              <w:right w:val="single" w:sz="4" w:space="0" w:color="auto"/>
            </w:tcBorders>
            <w:shd w:val="clear" w:color="000000" w:fill="FFFFFF"/>
            <w:hideMark/>
          </w:tcPr>
          <w:p w14:paraId="09A8787E" w14:textId="77777777" w:rsidR="00F25CAB" w:rsidRPr="0042354C" w:rsidRDefault="00F25CAB">
            <w:pPr>
              <w:rPr>
                <w:b/>
                <w:bCs/>
                <w:sz w:val="16"/>
                <w:szCs w:val="16"/>
              </w:rPr>
            </w:pPr>
            <w:r w:rsidRPr="0042354C">
              <w:rPr>
                <w:b/>
                <w:bCs/>
                <w:sz w:val="16"/>
                <w:szCs w:val="16"/>
              </w:rPr>
              <w:t>7607.11.11.00.00</w:t>
            </w:r>
            <w:r w:rsidRPr="0042354C">
              <w:rPr>
                <w:sz w:val="16"/>
                <w:szCs w:val="16"/>
              </w:rPr>
              <w:t>  </w:t>
            </w:r>
          </w:p>
        </w:tc>
        <w:tc>
          <w:tcPr>
            <w:tcW w:w="1950" w:type="pct"/>
            <w:tcBorders>
              <w:top w:val="nil"/>
              <w:left w:val="nil"/>
              <w:bottom w:val="single" w:sz="4" w:space="0" w:color="auto"/>
              <w:right w:val="single" w:sz="4" w:space="0" w:color="auto"/>
            </w:tcBorders>
            <w:shd w:val="clear" w:color="auto" w:fill="auto"/>
            <w:vAlign w:val="center"/>
            <w:hideMark/>
          </w:tcPr>
          <w:p w14:paraId="1F2325C2" w14:textId="77777777" w:rsidR="00F25CAB" w:rsidRPr="0042354C" w:rsidRDefault="00F25CAB">
            <w:pPr>
              <w:jc w:val="center"/>
              <w:rPr>
                <w:sz w:val="20"/>
                <w:szCs w:val="20"/>
              </w:rPr>
            </w:pPr>
            <w:r w:rsidRPr="0042354C">
              <w:rPr>
                <w:sz w:val="20"/>
                <w:szCs w:val="20"/>
              </w:rPr>
              <w:t xml:space="preserve">Ağırlığı 10 </w:t>
            </w:r>
            <w:proofErr w:type="spellStart"/>
            <w:r w:rsidRPr="0042354C">
              <w:rPr>
                <w:sz w:val="20"/>
                <w:szCs w:val="20"/>
              </w:rPr>
              <w:t>kg'yi</w:t>
            </w:r>
            <w:proofErr w:type="spellEnd"/>
            <w:r w:rsidRPr="0042354C">
              <w:rPr>
                <w:sz w:val="20"/>
                <w:szCs w:val="20"/>
              </w:rPr>
              <w:t xml:space="preserve"> geçmeyen rulolar halinde olanlar</w:t>
            </w:r>
          </w:p>
        </w:tc>
        <w:tc>
          <w:tcPr>
            <w:tcW w:w="348" w:type="pct"/>
            <w:tcBorders>
              <w:top w:val="nil"/>
              <w:left w:val="nil"/>
              <w:bottom w:val="single" w:sz="4" w:space="0" w:color="auto"/>
              <w:right w:val="single" w:sz="4" w:space="0" w:color="auto"/>
            </w:tcBorders>
            <w:shd w:val="clear" w:color="auto" w:fill="auto"/>
            <w:vAlign w:val="center"/>
            <w:hideMark/>
          </w:tcPr>
          <w:p w14:paraId="226C4EDB" w14:textId="77777777" w:rsidR="00F25CAB" w:rsidRPr="0042354C" w:rsidRDefault="00F25CAB">
            <w:pPr>
              <w:jc w:val="center"/>
              <w:rPr>
                <w:sz w:val="20"/>
                <w:szCs w:val="20"/>
              </w:rPr>
            </w:pPr>
            <w:r w:rsidRPr="0042354C">
              <w:rPr>
                <w:sz w:val="20"/>
                <w:szCs w:val="20"/>
              </w:rPr>
              <w:t>20</w:t>
            </w:r>
          </w:p>
        </w:tc>
        <w:tc>
          <w:tcPr>
            <w:tcW w:w="192" w:type="pct"/>
            <w:tcBorders>
              <w:top w:val="nil"/>
              <w:left w:val="nil"/>
              <w:bottom w:val="single" w:sz="4" w:space="0" w:color="auto"/>
              <w:right w:val="single" w:sz="4" w:space="0" w:color="auto"/>
            </w:tcBorders>
            <w:shd w:val="clear" w:color="auto" w:fill="auto"/>
            <w:vAlign w:val="center"/>
            <w:hideMark/>
          </w:tcPr>
          <w:p w14:paraId="3019F70F" w14:textId="77777777" w:rsidR="00F25CAB" w:rsidRPr="0042354C" w:rsidRDefault="00F25CAB">
            <w:pPr>
              <w:jc w:val="center"/>
              <w:rPr>
                <w:sz w:val="20"/>
                <w:szCs w:val="20"/>
              </w:rPr>
            </w:pPr>
            <w:r w:rsidRPr="0042354C">
              <w:rPr>
                <w:sz w:val="20"/>
                <w:szCs w:val="20"/>
              </w:rPr>
              <w:t>0</w:t>
            </w:r>
          </w:p>
        </w:tc>
        <w:tc>
          <w:tcPr>
            <w:tcW w:w="224" w:type="pct"/>
            <w:tcBorders>
              <w:top w:val="nil"/>
              <w:left w:val="nil"/>
              <w:bottom w:val="single" w:sz="4" w:space="0" w:color="auto"/>
              <w:right w:val="single" w:sz="4" w:space="0" w:color="auto"/>
            </w:tcBorders>
            <w:shd w:val="clear" w:color="auto" w:fill="auto"/>
            <w:vAlign w:val="center"/>
            <w:hideMark/>
          </w:tcPr>
          <w:p w14:paraId="6F27C992" w14:textId="77777777" w:rsidR="00F25CAB" w:rsidRPr="0042354C" w:rsidRDefault="00F25CAB">
            <w:pPr>
              <w:jc w:val="center"/>
              <w:rPr>
                <w:sz w:val="20"/>
                <w:szCs w:val="20"/>
              </w:rPr>
            </w:pPr>
            <w:r w:rsidRPr="0042354C">
              <w:rPr>
                <w:sz w:val="20"/>
                <w:szCs w:val="20"/>
              </w:rPr>
              <w:t>7,5</w:t>
            </w:r>
          </w:p>
        </w:tc>
        <w:tc>
          <w:tcPr>
            <w:tcW w:w="224" w:type="pct"/>
            <w:tcBorders>
              <w:top w:val="nil"/>
              <w:left w:val="nil"/>
              <w:bottom w:val="single" w:sz="4" w:space="0" w:color="auto"/>
              <w:right w:val="single" w:sz="4" w:space="0" w:color="auto"/>
            </w:tcBorders>
            <w:shd w:val="clear" w:color="auto" w:fill="auto"/>
            <w:vAlign w:val="center"/>
            <w:hideMark/>
          </w:tcPr>
          <w:p w14:paraId="646CDF0C" w14:textId="77777777" w:rsidR="00F25CAB" w:rsidRPr="0042354C" w:rsidRDefault="00F25CAB">
            <w:pPr>
              <w:jc w:val="center"/>
              <w:rPr>
                <w:sz w:val="20"/>
                <w:szCs w:val="20"/>
              </w:rPr>
            </w:pPr>
            <w:r w:rsidRPr="0042354C">
              <w:rPr>
                <w:sz w:val="20"/>
                <w:szCs w:val="20"/>
              </w:rPr>
              <w:t>7,5</w:t>
            </w:r>
          </w:p>
        </w:tc>
        <w:tc>
          <w:tcPr>
            <w:tcW w:w="313" w:type="pct"/>
            <w:tcBorders>
              <w:top w:val="nil"/>
              <w:left w:val="nil"/>
              <w:bottom w:val="single" w:sz="4" w:space="0" w:color="auto"/>
              <w:right w:val="single" w:sz="4" w:space="0" w:color="auto"/>
            </w:tcBorders>
            <w:shd w:val="clear" w:color="auto" w:fill="auto"/>
            <w:vAlign w:val="center"/>
            <w:hideMark/>
          </w:tcPr>
          <w:p w14:paraId="3FB5B6B0" w14:textId="77777777" w:rsidR="00F25CAB" w:rsidRPr="0042354C" w:rsidRDefault="00F25CAB">
            <w:pPr>
              <w:jc w:val="center"/>
              <w:rPr>
                <w:sz w:val="20"/>
                <w:szCs w:val="20"/>
              </w:rPr>
            </w:pPr>
            <w:r w:rsidRPr="0042354C">
              <w:rPr>
                <w:sz w:val="20"/>
                <w:szCs w:val="20"/>
              </w:rPr>
              <w:t>0</w:t>
            </w:r>
          </w:p>
        </w:tc>
        <w:tc>
          <w:tcPr>
            <w:tcW w:w="312" w:type="pct"/>
            <w:tcBorders>
              <w:top w:val="nil"/>
              <w:left w:val="nil"/>
              <w:bottom w:val="single" w:sz="4" w:space="0" w:color="auto"/>
              <w:right w:val="single" w:sz="4" w:space="0" w:color="auto"/>
            </w:tcBorders>
            <w:shd w:val="clear" w:color="auto" w:fill="auto"/>
            <w:vAlign w:val="center"/>
            <w:hideMark/>
          </w:tcPr>
          <w:p w14:paraId="392E43EC" w14:textId="77777777" w:rsidR="00F25CAB" w:rsidRPr="0042354C" w:rsidRDefault="00F25CAB">
            <w:pPr>
              <w:jc w:val="center"/>
              <w:rPr>
                <w:sz w:val="20"/>
                <w:szCs w:val="20"/>
              </w:rPr>
            </w:pPr>
            <w:r w:rsidRPr="0042354C">
              <w:rPr>
                <w:sz w:val="20"/>
                <w:szCs w:val="20"/>
              </w:rPr>
              <w:t>0</w:t>
            </w:r>
          </w:p>
        </w:tc>
        <w:tc>
          <w:tcPr>
            <w:tcW w:w="313" w:type="pct"/>
            <w:tcBorders>
              <w:top w:val="nil"/>
              <w:left w:val="nil"/>
              <w:bottom w:val="single" w:sz="4" w:space="0" w:color="auto"/>
              <w:right w:val="single" w:sz="4" w:space="0" w:color="auto"/>
            </w:tcBorders>
            <w:shd w:val="clear" w:color="auto" w:fill="auto"/>
            <w:vAlign w:val="center"/>
            <w:hideMark/>
          </w:tcPr>
          <w:p w14:paraId="3EF0813D" w14:textId="77777777" w:rsidR="00F25CAB" w:rsidRPr="0042354C" w:rsidRDefault="00F25CAB">
            <w:pPr>
              <w:jc w:val="center"/>
              <w:rPr>
                <w:sz w:val="20"/>
                <w:szCs w:val="20"/>
              </w:rPr>
            </w:pPr>
            <w:r w:rsidRPr="0042354C">
              <w:rPr>
                <w:sz w:val="20"/>
                <w:szCs w:val="20"/>
              </w:rPr>
              <w:t>4</w:t>
            </w:r>
          </w:p>
        </w:tc>
        <w:tc>
          <w:tcPr>
            <w:tcW w:w="222" w:type="pct"/>
            <w:tcBorders>
              <w:top w:val="nil"/>
              <w:left w:val="nil"/>
              <w:bottom w:val="single" w:sz="4" w:space="0" w:color="auto"/>
              <w:right w:val="single" w:sz="4" w:space="0" w:color="auto"/>
            </w:tcBorders>
            <w:shd w:val="clear" w:color="auto" w:fill="auto"/>
            <w:vAlign w:val="center"/>
            <w:hideMark/>
          </w:tcPr>
          <w:p w14:paraId="2B9AC619" w14:textId="77777777" w:rsidR="00F25CAB" w:rsidRPr="0042354C" w:rsidRDefault="00F25CAB">
            <w:pPr>
              <w:jc w:val="center"/>
              <w:rPr>
                <w:sz w:val="20"/>
                <w:szCs w:val="20"/>
              </w:rPr>
            </w:pPr>
            <w:r w:rsidRPr="0042354C">
              <w:rPr>
                <w:sz w:val="20"/>
                <w:szCs w:val="20"/>
              </w:rPr>
              <w:t>7,5</w:t>
            </w:r>
          </w:p>
        </w:tc>
      </w:tr>
      <w:tr w:rsidR="0042354C" w:rsidRPr="0042354C" w14:paraId="570C37E2" w14:textId="77777777" w:rsidTr="008C0F16">
        <w:trPr>
          <w:trHeight w:val="292"/>
        </w:trPr>
        <w:tc>
          <w:tcPr>
            <w:tcW w:w="904" w:type="pct"/>
            <w:tcBorders>
              <w:top w:val="nil"/>
              <w:left w:val="single" w:sz="4" w:space="0" w:color="auto"/>
              <w:bottom w:val="single" w:sz="4" w:space="0" w:color="auto"/>
              <w:right w:val="single" w:sz="4" w:space="0" w:color="auto"/>
            </w:tcBorders>
            <w:shd w:val="clear" w:color="000000" w:fill="FFFFFF"/>
            <w:hideMark/>
          </w:tcPr>
          <w:p w14:paraId="1C5C1862" w14:textId="77777777" w:rsidR="00F25CAB" w:rsidRPr="0042354C" w:rsidRDefault="00F25CAB">
            <w:pPr>
              <w:rPr>
                <w:b/>
                <w:bCs/>
                <w:sz w:val="16"/>
                <w:szCs w:val="16"/>
              </w:rPr>
            </w:pPr>
            <w:r w:rsidRPr="0042354C">
              <w:rPr>
                <w:b/>
                <w:bCs/>
                <w:sz w:val="16"/>
                <w:szCs w:val="16"/>
              </w:rPr>
              <w:t>7607.11.19.00.00</w:t>
            </w:r>
            <w:r w:rsidRPr="0042354C">
              <w:rPr>
                <w:sz w:val="16"/>
                <w:szCs w:val="16"/>
              </w:rPr>
              <w:t>  </w:t>
            </w:r>
          </w:p>
        </w:tc>
        <w:tc>
          <w:tcPr>
            <w:tcW w:w="1950" w:type="pct"/>
            <w:tcBorders>
              <w:top w:val="nil"/>
              <w:left w:val="nil"/>
              <w:bottom w:val="single" w:sz="4" w:space="0" w:color="auto"/>
              <w:right w:val="single" w:sz="4" w:space="0" w:color="auto"/>
            </w:tcBorders>
            <w:shd w:val="clear" w:color="auto" w:fill="auto"/>
            <w:vAlign w:val="center"/>
            <w:hideMark/>
          </w:tcPr>
          <w:p w14:paraId="14201A2E" w14:textId="77777777" w:rsidR="00F25CAB" w:rsidRPr="0042354C" w:rsidRDefault="00F25CAB">
            <w:pPr>
              <w:jc w:val="center"/>
              <w:rPr>
                <w:sz w:val="20"/>
                <w:szCs w:val="20"/>
              </w:rPr>
            </w:pPr>
            <w:r w:rsidRPr="0042354C">
              <w:rPr>
                <w:sz w:val="20"/>
                <w:szCs w:val="20"/>
              </w:rPr>
              <w:t>Diğerleri</w:t>
            </w:r>
          </w:p>
        </w:tc>
        <w:tc>
          <w:tcPr>
            <w:tcW w:w="348" w:type="pct"/>
            <w:tcBorders>
              <w:top w:val="nil"/>
              <w:left w:val="nil"/>
              <w:bottom w:val="single" w:sz="4" w:space="0" w:color="auto"/>
              <w:right w:val="single" w:sz="4" w:space="0" w:color="auto"/>
            </w:tcBorders>
            <w:shd w:val="clear" w:color="auto" w:fill="auto"/>
            <w:vAlign w:val="center"/>
            <w:hideMark/>
          </w:tcPr>
          <w:p w14:paraId="2E99217E" w14:textId="77777777" w:rsidR="00F25CAB" w:rsidRPr="0042354C" w:rsidRDefault="00F25CAB">
            <w:pPr>
              <w:jc w:val="center"/>
              <w:rPr>
                <w:sz w:val="20"/>
                <w:szCs w:val="20"/>
              </w:rPr>
            </w:pPr>
            <w:r w:rsidRPr="0042354C">
              <w:rPr>
                <w:sz w:val="20"/>
                <w:szCs w:val="20"/>
              </w:rPr>
              <w:t>20</w:t>
            </w:r>
          </w:p>
        </w:tc>
        <w:tc>
          <w:tcPr>
            <w:tcW w:w="192" w:type="pct"/>
            <w:tcBorders>
              <w:top w:val="nil"/>
              <w:left w:val="nil"/>
              <w:bottom w:val="single" w:sz="4" w:space="0" w:color="auto"/>
              <w:right w:val="single" w:sz="4" w:space="0" w:color="auto"/>
            </w:tcBorders>
            <w:shd w:val="clear" w:color="auto" w:fill="auto"/>
            <w:vAlign w:val="center"/>
            <w:hideMark/>
          </w:tcPr>
          <w:p w14:paraId="43A69CE4" w14:textId="77777777" w:rsidR="00F25CAB" w:rsidRPr="0042354C" w:rsidRDefault="00F25CAB">
            <w:pPr>
              <w:jc w:val="center"/>
              <w:rPr>
                <w:sz w:val="20"/>
                <w:szCs w:val="20"/>
              </w:rPr>
            </w:pPr>
            <w:r w:rsidRPr="0042354C">
              <w:rPr>
                <w:sz w:val="20"/>
                <w:szCs w:val="20"/>
              </w:rPr>
              <w:t>0</w:t>
            </w:r>
          </w:p>
        </w:tc>
        <w:tc>
          <w:tcPr>
            <w:tcW w:w="224" w:type="pct"/>
            <w:tcBorders>
              <w:top w:val="nil"/>
              <w:left w:val="nil"/>
              <w:bottom w:val="single" w:sz="4" w:space="0" w:color="auto"/>
              <w:right w:val="single" w:sz="4" w:space="0" w:color="auto"/>
            </w:tcBorders>
            <w:shd w:val="clear" w:color="auto" w:fill="auto"/>
            <w:vAlign w:val="center"/>
            <w:hideMark/>
          </w:tcPr>
          <w:p w14:paraId="69DDA08E" w14:textId="77777777" w:rsidR="00F25CAB" w:rsidRPr="0042354C" w:rsidRDefault="00F25CAB">
            <w:pPr>
              <w:jc w:val="center"/>
              <w:rPr>
                <w:sz w:val="20"/>
                <w:szCs w:val="20"/>
              </w:rPr>
            </w:pPr>
            <w:r w:rsidRPr="0042354C">
              <w:rPr>
                <w:sz w:val="20"/>
                <w:szCs w:val="20"/>
              </w:rPr>
              <w:t>7,5</w:t>
            </w:r>
          </w:p>
        </w:tc>
        <w:tc>
          <w:tcPr>
            <w:tcW w:w="224" w:type="pct"/>
            <w:tcBorders>
              <w:top w:val="nil"/>
              <w:left w:val="nil"/>
              <w:bottom w:val="single" w:sz="4" w:space="0" w:color="auto"/>
              <w:right w:val="single" w:sz="4" w:space="0" w:color="auto"/>
            </w:tcBorders>
            <w:shd w:val="clear" w:color="auto" w:fill="auto"/>
            <w:vAlign w:val="center"/>
            <w:hideMark/>
          </w:tcPr>
          <w:p w14:paraId="76655D98" w14:textId="77777777" w:rsidR="00F25CAB" w:rsidRPr="0042354C" w:rsidRDefault="00F25CAB">
            <w:pPr>
              <w:jc w:val="center"/>
              <w:rPr>
                <w:sz w:val="20"/>
                <w:szCs w:val="20"/>
              </w:rPr>
            </w:pPr>
            <w:r w:rsidRPr="0042354C">
              <w:rPr>
                <w:sz w:val="20"/>
                <w:szCs w:val="20"/>
              </w:rPr>
              <w:t>7,5</w:t>
            </w:r>
          </w:p>
        </w:tc>
        <w:tc>
          <w:tcPr>
            <w:tcW w:w="313" w:type="pct"/>
            <w:tcBorders>
              <w:top w:val="nil"/>
              <w:left w:val="nil"/>
              <w:bottom w:val="single" w:sz="4" w:space="0" w:color="auto"/>
              <w:right w:val="single" w:sz="4" w:space="0" w:color="auto"/>
            </w:tcBorders>
            <w:shd w:val="clear" w:color="auto" w:fill="auto"/>
            <w:vAlign w:val="center"/>
            <w:hideMark/>
          </w:tcPr>
          <w:p w14:paraId="29C493A5" w14:textId="77777777" w:rsidR="00F25CAB" w:rsidRPr="0042354C" w:rsidRDefault="00F25CAB">
            <w:pPr>
              <w:jc w:val="center"/>
              <w:rPr>
                <w:sz w:val="20"/>
                <w:szCs w:val="20"/>
              </w:rPr>
            </w:pPr>
            <w:r w:rsidRPr="0042354C">
              <w:rPr>
                <w:sz w:val="20"/>
                <w:szCs w:val="20"/>
              </w:rPr>
              <w:t>0</w:t>
            </w:r>
          </w:p>
        </w:tc>
        <w:tc>
          <w:tcPr>
            <w:tcW w:w="312" w:type="pct"/>
            <w:tcBorders>
              <w:top w:val="nil"/>
              <w:left w:val="nil"/>
              <w:bottom w:val="single" w:sz="4" w:space="0" w:color="auto"/>
              <w:right w:val="single" w:sz="4" w:space="0" w:color="auto"/>
            </w:tcBorders>
            <w:shd w:val="clear" w:color="auto" w:fill="auto"/>
            <w:vAlign w:val="center"/>
            <w:hideMark/>
          </w:tcPr>
          <w:p w14:paraId="7560EB7E" w14:textId="77777777" w:rsidR="00F25CAB" w:rsidRPr="0042354C" w:rsidRDefault="00F25CAB">
            <w:pPr>
              <w:jc w:val="center"/>
              <w:rPr>
                <w:sz w:val="20"/>
                <w:szCs w:val="20"/>
              </w:rPr>
            </w:pPr>
            <w:r w:rsidRPr="0042354C">
              <w:rPr>
                <w:sz w:val="20"/>
                <w:szCs w:val="20"/>
              </w:rPr>
              <w:t>0</w:t>
            </w:r>
          </w:p>
        </w:tc>
        <w:tc>
          <w:tcPr>
            <w:tcW w:w="313" w:type="pct"/>
            <w:tcBorders>
              <w:top w:val="nil"/>
              <w:left w:val="nil"/>
              <w:bottom w:val="single" w:sz="4" w:space="0" w:color="auto"/>
              <w:right w:val="single" w:sz="4" w:space="0" w:color="auto"/>
            </w:tcBorders>
            <w:shd w:val="clear" w:color="auto" w:fill="auto"/>
            <w:vAlign w:val="center"/>
            <w:hideMark/>
          </w:tcPr>
          <w:p w14:paraId="223736B6" w14:textId="77777777" w:rsidR="00F25CAB" w:rsidRPr="0042354C" w:rsidRDefault="00F25CAB">
            <w:pPr>
              <w:jc w:val="center"/>
              <w:rPr>
                <w:sz w:val="20"/>
                <w:szCs w:val="20"/>
              </w:rPr>
            </w:pPr>
            <w:r w:rsidRPr="0042354C">
              <w:rPr>
                <w:sz w:val="20"/>
                <w:szCs w:val="20"/>
              </w:rPr>
              <w:t>4</w:t>
            </w:r>
          </w:p>
        </w:tc>
        <w:tc>
          <w:tcPr>
            <w:tcW w:w="222" w:type="pct"/>
            <w:tcBorders>
              <w:top w:val="nil"/>
              <w:left w:val="nil"/>
              <w:bottom w:val="single" w:sz="4" w:space="0" w:color="auto"/>
              <w:right w:val="single" w:sz="4" w:space="0" w:color="auto"/>
            </w:tcBorders>
            <w:shd w:val="clear" w:color="auto" w:fill="auto"/>
            <w:vAlign w:val="center"/>
            <w:hideMark/>
          </w:tcPr>
          <w:p w14:paraId="3B3ABA5C" w14:textId="77777777" w:rsidR="00F25CAB" w:rsidRPr="0042354C" w:rsidRDefault="00F25CAB">
            <w:pPr>
              <w:jc w:val="center"/>
              <w:rPr>
                <w:sz w:val="20"/>
                <w:szCs w:val="20"/>
              </w:rPr>
            </w:pPr>
            <w:r w:rsidRPr="0042354C">
              <w:rPr>
                <w:sz w:val="20"/>
                <w:szCs w:val="20"/>
              </w:rPr>
              <w:t>7,5</w:t>
            </w:r>
          </w:p>
        </w:tc>
      </w:tr>
      <w:tr w:rsidR="0042354C" w:rsidRPr="0042354C" w14:paraId="29113D29" w14:textId="77777777" w:rsidTr="008C0F16">
        <w:trPr>
          <w:trHeight w:val="499"/>
        </w:trPr>
        <w:tc>
          <w:tcPr>
            <w:tcW w:w="904" w:type="pct"/>
            <w:tcBorders>
              <w:top w:val="nil"/>
              <w:left w:val="single" w:sz="4" w:space="0" w:color="auto"/>
              <w:bottom w:val="single" w:sz="4" w:space="0" w:color="auto"/>
              <w:right w:val="single" w:sz="4" w:space="0" w:color="auto"/>
            </w:tcBorders>
            <w:shd w:val="clear" w:color="000000" w:fill="FFFFFF"/>
            <w:hideMark/>
          </w:tcPr>
          <w:p w14:paraId="0AC8B87D" w14:textId="77777777" w:rsidR="00F25CAB" w:rsidRPr="0042354C" w:rsidRDefault="00F25CAB">
            <w:pPr>
              <w:rPr>
                <w:b/>
                <w:bCs/>
                <w:sz w:val="16"/>
                <w:szCs w:val="16"/>
              </w:rPr>
            </w:pPr>
            <w:r w:rsidRPr="0042354C">
              <w:rPr>
                <w:b/>
                <w:bCs/>
                <w:sz w:val="16"/>
                <w:szCs w:val="16"/>
              </w:rPr>
              <w:t>7607.11.90.00.00</w:t>
            </w:r>
            <w:r w:rsidRPr="0042354C">
              <w:rPr>
                <w:sz w:val="16"/>
                <w:szCs w:val="16"/>
              </w:rPr>
              <w:t>  </w:t>
            </w:r>
          </w:p>
        </w:tc>
        <w:tc>
          <w:tcPr>
            <w:tcW w:w="1950" w:type="pct"/>
            <w:tcBorders>
              <w:top w:val="nil"/>
              <w:left w:val="nil"/>
              <w:bottom w:val="single" w:sz="4" w:space="0" w:color="auto"/>
              <w:right w:val="single" w:sz="4" w:space="0" w:color="auto"/>
            </w:tcBorders>
            <w:shd w:val="clear" w:color="auto" w:fill="auto"/>
            <w:vAlign w:val="center"/>
            <w:hideMark/>
          </w:tcPr>
          <w:p w14:paraId="515A4FA7" w14:textId="77777777" w:rsidR="00F25CAB" w:rsidRPr="0042354C" w:rsidRDefault="00F25CAB">
            <w:pPr>
              <w:jc w:val="center"/>
              <w:rPr>
                <w:sz w:val="20"/>
                <w:szCs w:val="20"/>
              </w:rPr>
            </w:pPr>
            <w:r w:rsidRPr="0042354C">
              <w:rPr>
                <w:sz w:val="20"/>
                <w:szCs w:val="20"/>
              </w:rPr>
              <w:t xml:space="preserve">Kalınlığı 0,021 mm. veya daha </w:t>
            </w:r>
            <w:proofErr w:type="spellStart"/>
            <w:proofErr w:type="gramStart"/>
            <w:r w:rsidRPr="0042354C">
              <w:rPr>
                <w:sz w:val="20"/>
                <w:szCs w:val="20"/>
              </w:rPr>
              <w:t>fazla,fakat</w:t>
            </w:r>
            <w:proofErr w:type="spellEnd"/>
            <w:proofErr w:type="gramEnd"/>
            <w:r w:rsidRPr="0042354C">
              <w:rPr>
                <w:sz w:val="20"/>
                <w:szCs w:val="20"/>
              </w:rPr>
              <w:t xml:space="preserve"> 0,2 mm. </w:t>
            </w:r>
            <w:proofErr w:type="spellStart"/>
            <w:r w:rsidRPr="0042354C">
              <w:rPr>
                <w:sz w:val="20"/>
                <w:szCs w:val="20"/>
              </w:rPr>
              <w:t>yi</w:t>
            </w:r>
            <w:proofErr w:type="spellEnd"/>
            <w:r w:rsidRPr="0042354C">
              <w:rPr>
                <w:sz w:val="20"/>
                <w:szCs w:val="20"/>
              </w:rPr>
              <w:t xml:space="preserve"> geçmeyenler</w:t>
            </w:r>
          </w:p>
        </w:tc>
        <w:tc>
          <w:tcPr>
            <w:tcW w:w="348" w:type="pct"/>
            <w:tcBorders>
              <w:top w:val="nil"/>
              <w:left w:val="nil"/>
              <w:bottom w:val="single" w:sz="4" w:space="0" w:color="auto"/>
              <w:right w:val="single" w:sz="4" w:space="0" w:color="auto"/>
            </w:tcBorders>
            <w:shd w:val="clear" w:color="auto" w:fill="auto"/>
            <w:vAlign w:val="center"/>
            <w:hideMark/>
          </w:tcPr>
          <w:p w14:paraId="10AE9502" w14:textId="77777777" w:rsidR="00F25CAB" w:rsidRPr="0042354C" w:rsidRDefault="00F25CAB">
            <w:pPr>
              <w:jc w:val="center"/>
              <w:rPr>
                <w:sz w:val="20"/>
                <w:szCs w:val="20"/>
              </w:rPr>
            </w:pPr>
            <w:r w:rsidRPr="0042354C">
              <w:rPr>
                <w:sz w:val="20"/>
                <w:szCs w:val="20"/>
              </w:rPr>
              <w:t>20</w:t>
            </w:r>
          </w:p>
        </w:tc>
        <w:tc>
          <w:tcPr>
            <w:tcW w:w="192" w:type="pct"/>
            <w:tcBorders>
              <w:top w:val="nil"/>
              <w:left w:val="nil"/>
              <w:bottom w:val="single" w:sz="4" w:space="0" w:color="auto"/>
              <w:right w:val="single" w:sz="4" w:space="0" w:color="auto"/>
            </w:tcBorders>
            <w:shd w:val="clear" w:color="auto" w:fill="auto"/>
            <w:vAlign w:val="center"/>
            <w:hideMark/>
          </w:tcPr>
          <w:p w14:paraId="14973151" w14:textId="77777777" w:rsidR="00F25CAB" w:rsidRPr="0042354C" w:rsidRDefault="00F25CAB">
            <w:pPr>
              <w:jc w:val="center"/>
              <w:rPr>
                <w:sz w:val="20"/>
                <w:szCs w:val="20"/>
              </w:rPr>
            </w:pPr>
            <w:r w:rsidRPr="0042354C">
              <w:rPr>
                <w:sz w:val="20"/>
                <w:szCs w:val="20"/>
              </w:rPr>
              <w:t>0</w:t>
            </w:r>
          </w:p>
        </w:tc>
        <w:tc>
          <w:tcPr>
            <w:tcW w:w="224" w:type="pct"/>
            <w:tcBorders>
              <w:top w:val="nil"/>
              <w:left w:val="nil"/>
              <w:bottom w:val="single" w:sz="4" w:space="0" w:color="auto"/>
              <w:right w:val="single" w:sz="4" w:space="0" w:color="auto"/>
            </w:tcBorders>
            <w:shd w:val="clear" w:color="auto" w:fill="auto"/>
            <w:vAlign w:val="center"/>
            <w:hideMark/>
          </w:tcPr>
          <w:p w14:paraId="074B9DC3" w14:textId="77777777" w:rsidR="00F25CAB" w:rsidRPr="0042354C" w:rsidRDefault="00F25CAB">
            <w:pPr>
              <w:jc w:val="center"/>
              <w:rPr>
                <w:sz w:val="20"/>
                <w:szCs w:val="20"/>
              </w:rPr>
            </w:pPr>
            <w:r w:rsidRPr="0042354C">
              <w:rPr>
                <w:sz w:val="20"/>
                <w:szCs w:val="20"/>
              </w:rPr>
              <w:t>7,5</w:t>
            </w:r>
          </w:p>
        </w:tc>
        <w:tc>
          <w:tcPr>
            <w:tcW w:w="224" w:type="pct"/>
            <w:tcBorders>
              <w:top w:val="nil"/>
              <w:left w:val="nil"/>
              <w:bottom w:val="single" w:sz="4" w:space="0" w:color="auto"/>
              <w:right w:val="single" w:sz="4" w:space="0" w:color="auto"/>
            </w:tcBorders>
            <w:shd w:val="clear" w:color="auto" w:fill="auto"/>
            <w:vAlign w:val="center"/>
            <w:hideMark/>
          </w:tcPr>
          <w:p w14:paraId="7AEFF131" w14:textId="77777777" w:rsidR="00F25CAB" w:rsidRPr="0042354C" w:rsidRDefault="00F25CAB">
            <w:pPr>
              <w:jc w:val="center"/>
              <w:rPr>
                <w:sz w:val="20"/>
                <w:szCs w:val="20"/>
              </w:rPr>
            </w:pPr>
            <w:r w:rsidRPr="0042354C">
              <w:rPr>
                <w:sz w:val="20"/>
                <w:szCs w:val="20"/>
              </w:rPr>
              <w:t>7,5</w:t>
            </w:r>
          </w:p>
        </w:tc>
        <w:tc>
          <w:tcPr>
            <w:tcW w:w="313" w:type="pct"/>
            <w:tcBorders>
              <w:top w:val="nil"/>
              <w:left w:val="nil"/>
              <w:bottom w:val="single" w:sz="4" w:space="0" w:color="auto"/>
              <w:right w:val="single" w:sz="4" w:space="0" w:color="auto"/>
            </w:tcBorders>
            <w:shd w:val="clear" w:color="auto" w:fill="auto"/>
            <w:vAlign w:val="center"/>
            <w:hideMark/>
          </w:tcPr>
          <w:p w14:paraId="6204DD35" w14:textId="77777777" w:rsidR="00F25CAB" w:rsidRPr="0042354C" w:rsidRDefault="00F25CAB">
            <w:pPr>
              <w:jc w:val="center"/>
              <w:rPr>
                <w:sz w:val="20"/>
                <w:szCs w:val="20"/>
              </w:rPr>
            </w:pPr>
            <w:r w:rsidRPr="0042354C">
              <w:rPr>
                <w:sz w:val="20"/>
                <w:szCs w:val="20"/>
              </w:rPr>
              <w:t>0</w:t>
            </w:r>
          </w:p>
        </w:tc>
        <w:tc>
          <w:tcPr>
            <w:tcW w:w="312" w:type="pct"/>
            <w:tcBorders>
              <w:top w:val="nil"/>
              <w:left w:val="nil"/>
              <w:bottom w:val="single" w:sz="4" w:space="0" w:color="auto"/>
              <w:right w:val="single" w:sz="4" w:space="0" w:color="auto"/>
            </w:tcBorders>
            <w:shd w:val="clear" w:color="auto" w:fill="auto"/>
            <w:vAlign w:val="center"/>
            <w:hideMark/>
          </w:tcPr>
          <w:p w14:paraId="6FA7368F" w14:textId="77777777" w:rsidR="00F25CAB" w:rsidRPr="0042354C" w:rsidRDefault="00F25CAB">
            <w:pPr>
              <w:jc w:val="center"/>
              <w:rPr>
                <w:sz w:val="20"/>
                <w:szCs w:val="20"/>
              </w:rPr>
            </w:pPr>
            <w:r w:rsidRPr="0042354C">
              <w:rPr>
                <w:sz w:val="20"/>
                <w:szCs w:val="20"/>
              </w:rPr>
              <w:t>0</w:t>
            </w:r>
          </w:p>
        </w:tc>
        <w:tc>
          <w:tcPr>
            <w:tcW w:w="313" w:type="pct"/>
            <w:tcBorders>
              <w:top w:val="nil"/>
              <w:left w:val="nil"/>
              <w:bottom w:val="single" w:sz="4" w:space="0" w:color="auto"/>
              <w:right w:val="single" w:sz="4" w:space="0" w:color="auto"/>
            </w:tcBorders>
            <w:shd w:val="clear" w:color="auto" w:fill="auto"/>
            <w:vAlign w:val="center"/>
            <w:hideMark/>
          </w:tcPr>
          <w:p w14:paraId="7CE4F2E6" w14:textId="77777777" w:rsidR="00F25CAB" w:rsidRPr="0042354C" w:rsidRDefault="00F25CAB">
            <w:pPr>
              <w:jc w:val="center"/>
              <w:rPr>
                <w:sz w:val="20"/>
                <w:szCs w:val="20"/>
              </w:rPr>
            </w:pPr>
            <w:r w:rsidRPr="0042354C">
              <w:rPr>
                <w:sz w:val="20"/>
                <w:szCs w:val="20"/>
              </w:rPr>
              <w:t>4</w:t>
            </w:r>
          </w:p>
        </w:tc>
        <w:tc>
          <w:tcPr>
            <w:tcW w:w="222" w:type="pct"/>
            <w:tcBorders>
              <w:top w:val="nil"/>
              <w:left w:val="nil"/>
              <w:bottom w:val="single" w:sz="4" w:space="0" w:color="auto"/>
              <w:right w:val="single" w:sz="4" w:space="0" w:color="auto"/>
            </w:tcBorders>
            <w:shd w:val="clear" w:color="auto" w:fill="auto"/>
            <w:vAlign w:val="center"/>
            <w:hideMark/>
          </w:tcPr>
          <w:p w14:paraId="76475192" w14:textId="77777777" w:rsidR="00F25CAB" w:rsidRPr="0042354C" w:rsidRDefault="00F25CAB">
            <w:pPr>
              <w:jc w:val="center"/>
              <w:rPr>
                <w:sz w:val="20"/>
                <w:szCs w:val="20"/>
              </w:rPr>
            </w:pPr>
            <w:r w:rsidRPr="0042354C">
              <w:rPr>
                <w:sz w:val="20"/>
                <w:szCs w:val="20"/>
              </w:rPr>
              <w:t>7,5</w:t>
            </w:r>
          </w:p>
        </w:tc>
      </w:tr>
      <w:tr w:rsidR="0042354C" w:rsidRPr="0042354C" w14:paraId="7EDEAC4A" w14:textId="77777777" w:rsidTr="008C0F16">
        <w:trPr>
          <w:trHeight w:val="292"/>
        </w:trPr>
        <w:tc>
          <w:tcPr>
            <w:tcW w:w="904" w:type="pct"/>
            <w:tcBorders>
              <w:top w:val="nil"/>
              <w:left w:val="single" w:sz="4" w:space="0" w:color="auto"/>
              <w:bottom w:val="single" w:sz="4" w:space="0" w:color="auto"/>
              <w:right w:val="single" w:sz="4" w:space="0" w:color="auto"/>
            </w:tcBorders>
            <w:shd w:val="clear" w:color="000000" w:fill="FFFFFF"/>
            <w:hideMark/>
          </w:tcPr>
          <w:p w14:paraId="15640FC2" w14:textId="77777777" w:rsidR="00F25CAB" w:rsidRPr="0042354C" w:rsidRDefault="00F25CAB">
            <w:pPr>
              <w:rPr>
                <w:b/>
                <w:bCs/>
                <w:sz w:val="16"/>
                <w:szCs w:val="16"/>
              </w:rPr>
            </w:pPr>
            <w:r w:rsidRPr="0042354C">
              <w:rPr>
                <w:b/>
                <w:bCs/>
                <w:sz w:val="16"/>
                <w:szCs w:val="16"/>
              </w:rPr>
              <w:t>7607.19.10.00.00</w:t>
            </w:r>
            <w:r w:rsidRPr="0042354C">
              <w:rPr>
                <w:sz w:val="16"/>
                <w:szCs w:val="16"/>
              </w:rPr>
              <w:t>  </w:t>
            </w:r>
          </w:p>
        </w:tc>
        <w:tc>
          <w:tcPr>
            <w:tcW w:w="1950" w:type="pct"/>
            <w:tcBorders>
              <w:top w:val="nil"/>
              <w:left w:val="nil"/>
              <w:bottom w:val="single" w:sz="4" w:space="0" w:color="auto"/>
              <w:right w:val="single" w:sz="4" w:space="0" w:color="auto"/>
            </w:tcBorders>
            <w:shd w:val="clear" w:color="auto" w:fill="auto"/>
            <w:vAlign w:val="center"/>
            <w:hideMark/>
          </w:tcPr>
          <w:p w14:paraId="3ABD525B" w14:textId="77777777" w:rsidR="00F25CAB" w:rsidRPr="0042354C" w:rsidRDefault="00F25CAB">
            <w:pPr>
              <w:jc w:val="center"/>
              <w:rPr>
                <w:sz w:val="20"/>
                <w:szCs w:val="20"/>
              </w:rPr>
            </w:pPr>
            <w:r w:rsidRPr="0042354C">
              <w:rPr>
                <w:sz w:val="20"/>
                <w:szCs w:val="20"/>
              </w:rPr>
              <w:t>Kalınlığı 0,021 mm. den az olanlar</w:t>
            </w:r>
          </w:p>
        </w:tc>
        <w:tc>
          <w:tcPr>
            <w:tcW w:w="348" w:type="pct"/>
            <w:tcBorders>
              <w:top w:val="nil"/>
              <w:left w:val="nil"/>
              <w:bottom w:val="single" w:sz="4" w:space="0" w:color="auto"/>
              <w:right w:val="single" w:sz="4" w:space="0" w:color="auto"/>
            </w:tcBorders>
            <w:shd w:val="clear" w:color="auto" w:fill="auto"/>
            <w:vAlign w:val="center"/>
            <w:hideMark/>
          </w:tcPr>
          <w:p w14:paraId="0C0D2E79" w14:textId="77777777" w:rsidR="00F25CAB" w:rsidRPr="0042354C" w:rsidRDefault="00F25CAB">
            <w:pPr>
              <w:jc w:val="center"/>
              <w:rPr>
                <w:sz w:val="20"/>
                <w:szCs w:val="20"/>
              </w:rPr>
            </w:pPr>
            <w:r w:rsidRPr="0042354C">
              <w:rPr>
                <w:sz w:val="20"/>
                <w:szCs w:val="20"/>
              </w:rPr>
              <w:t>20</w:t>
            </w:r>
          </w:p>
        </w:tc>
        <w:tc>
          <w:tcPr>
            <w:tcW w:w="192" w:type="pct"/>
            <w:tcBorders>
              <w:top w:val="nil"/>
              <w:left w:val="nil"/>
              <w:bottom w:val="single" w:sz="4" w:space="0" w:color="auto"/>
              <w:right w:val="single" w:sz="4" w:space="0" w:color="auto"/>
            </w:tcBorders>
            <w:shd w:val="clear" w:color="auto" w:fill="auto"/>
            <w:vAlign w:val="center"/>
            <w:hideMark/>
          </w:tcPr>
          <w:p w14:paraId="70BCA162" w14:textId="77777777" w:rsidR="00F25CAB" w:rsidRPr="0042354C" w:rsidRDefault="00F25CAB">
            <w:pPr>
              <w:jc w:val="center"/>
              <w:rPr>
                <w:sz w:val="20"/>
                <w:szCs w:val="20"/>
              </w:rPr>
            </w:pPr>
            <w:r w:rsidRPr="0042354C">
              <w:rPr>
                <w:sz w:val="20"/>
                <w:szCs w:val="20"/>
              </w:rPr>
              <w:t>0</w:t>
            </w:r>
          </w:p>
        </w:tc>
        <w:tc>
          <w:tcPr>
            <w:tcW w:w="224" w:type="pct"/>
            <w:tcBorders>
              <w:top w:val="nil"/>
              <w:left w:val="nil"/>
              <w:bottom w:val="single" w:sz="4" w:space="0" w:color="auto"/>
              <w:right w:val="single" w:sz="4" w:space="0" w:color="auto"/>
            </w:tcBorders>
            <w:shd w:val="clear" w:color="auto" w:fill="auto"/>
            <w:vAlign w:val="center"/>
            <w:hideMark/>
          </w:tcPr>
          <w:p w14:paraId="0F882D1B" w14:textId="77777777" w:rsidR="00F25CAB" w:rsidRPr="0042354C" w:rsidRDefault="00F25CAB">
            <w:pPr>
              <w:jc w:val="center"/>
              <w:rPr>
                <w:sz w:val="20"/>
                <w:szCs w:val="20"/>
              </w:rPr>
            </w:pPr>
            <w:r w:rsidRPr="0042354C">
              <w:rPr>
                <w:sz w:val="20"/>
                <w:szCs w:val="20"/>
              </w:rPr>
              <w:t>7,5</w:t>
            </w:r>
          </w:p>
        </w:tc>
        <w:tc>
          <w:tcPr>
            <w:tcW w:w="224" w:type="pct"/>
            <w:tcBorders>
              <w:top w:val="nil"/>
              <w:left w:val="nil"/>
              <w:bottom w:val="single" w:sz="4" w:space="0" w:color="auto"/>
              <w:right w:val="single" w:sz="4" w:space="0" w:color="auto"/>
            </w:tcBorders>
            <w:shd w:val="clear" w:color="auto" w:fill="auto"/>
            <w:vAlign w:val="center"/>
            <w:hideMark/>
          </w:tcPr>
          <w:p w14:paraId="76372C10" w14:textId="77777777" w:rsidR="00F25CAB" w:rsidRPr="0042354C" w:rsidRDefault="00F25CAB">
            <w:pPr>
              <w:jc w:val="center"/>
              <w:rPr>
                <w:sz w:val="20"/>
                <w:szCs w:val="20"/>
              </w:rPr>
            </w:pPr>
            <w:r w:rsidRPr="0042354C">
              <w:rPr>
                <w:sz w:val="20"/>
                <w:szCs w:val="20"/>
              </w:rPr>
              <w:t>7,5</w:t>
            </w:r>
          </w:p>
        </w:tc>
        <w:tc>
          <w:tcPr>
            <w:tcW w:w="313" w:type="pct"/>
            <w:tcBorders>
              <w:top w:val="nil"/>
              <w:left w:val="nil"/>
              <w:bottom w:val="single" w:sz="4" w:space="0" w:color="auto"/>
              <w:right w:val="single" w:sz="4" w:space="0" w:color="auto"/>
            </w:tcBorders>
            <w:shd w:val="clear" w:color="auto" w:fill="auto"/>
            <w:vAlign w:val="center"/>
            <w:hideMark/>
          </w:tcPr>
          <w:p w14:paraId="3DA2580D" w14:textId="77777777" w:rsidR="00F25CAB" w:rsidRPr="0042354C" w:rsidRDefault="00F25CAB">
            <w:pPr>
              <w:jc w:val="center"/>
              <w:rPr>
                <w:sz w:val="20"/>
                <w:szCs w:val="20"/>
              </w:rPr>
            </w:pPr>
            <w:r w:rsidRPr="0042354C">
              <w:rPr>
                <w:sz w:val="20"/>
                <w:szCs w:val="20"/>
              </w:rPr>
              <w:t>0</w:t>
            </w:r>
          </w:p>
        </w:tc>
        <w:tc>
          <w:tcPr>
            <w:tcW w:w="312" w:type="pct"/>
            <w:tcBorders>
              <w:top w:val="nil"/>
              <w:left w:val="nil"/>
              <w:bottom w:val="single" w:sz="4" w:space="0" w:color="auto"/>
              <w:right w:val="single" w:sz="4" w:space="0" w:color="auto"/>
            </w:tcBorders>
            <w:shd w:val="clear" w:color="auto" w:fill="auto"/>
            <w:vAlign w:val="center"/>
            <w:hideMark/>
          </w:tcPr>
          <w:p w14:paraId="1818B67A" w14:textId="77777777" w:rsidR="00F25CAB" w:rsidRPr="0042354C" w:rsidRDefault="00F25CAB">
            <w:pPr>
              <w:jc w:val="center"/>
              <w:rPr>
                <w:sz w:val="20"/>
                <w:szCs w:val="20"/>
              </w:rPr>
            </w:pPr>
            <w:r w:rsidRPr="0042354C">
              <w:rPr>
                <w:sz w:val="20"/>
                <w:szCs w:val="20"/>
              </w:rPr>
              <w:t>0</w:t>
            </w:r>
          </w:p>
        </w:tc>
        <w:tc>
          <w:tcPr>
            <w:tcW w:w="313" w:type="pct"/>
            <w:tcBorders>
              <w:top w:val="nil"/>
              <w:left w:val="nil"/>
              <w:bottom w:val="single" w:sz="4" w:space="0" w:color="auto"/>
              <w:right w:val="single" w:sz="4" w:space="0" w:color="auto"/>
            </w:tcBorders>
            <w:shd w:val="clear" w:color="auto" w:fill="auto"/>
            <w:vAlign w:val="center"/>
            <w:hideMark/>
          </w:tcPr>
          <w:p w14:paraId="071D324D" w14:textId="77777777" w:rsidR="00F25CAB" w:rsidRPr="0042354C" w:rsidRDefault="00F25CAB">
            <w:pPr>
              <w:jc w:val="center"/>
              <w:rPr>
                <w:sz w:val="20"/>
                <w:szCs w:val="20"/>
              </w:rPr>
            </w:pPr>
            <w:r w:rsidRPr="0042354C">
              <w:rPr>
                <w:sz w:val="20"/>
                <w:szCs w:val="20"/>
              </w:rPr>
              <w:t>4</w:t>
            </w:r>
          </w:p>
        </w:tc>
        <w:tc>
          <w:tcPr>
            <w:tcW w:w="222" w:type="pct"/>
            <w:tcBorders>
              <w:top w:val="nil"/>
              <w:left w:val="nil"/>
              <w:bottom w:val="single" w:sz="4" w:space="0" w:color="auto"/>
              <w:right w:val="single" w:sz="4" w:space="0" w:color="auto"/>
            </w:tcBorders>
            <w:shd w:val="clear" w:color="auto" w:fill="auto"/>
            <w:vAlign w:val="center"/>
            <w:hideMark/>
          </w:tcPr>
          <w:p w14:paraId="061F6E7F" w14:textId="77777777" w:rsidR="00F25CAB" w:rsidRPr="0042354C" w:rsidRDefault="00F25CAB">
            <w:pPr>
              <w:jc w:val="center"/>
              <w:rPr>
                <w:sz w:val="20"/>
                <w:szCs w:val="20"/>
              </w:rPr>
            </w:pPr>
            <w:r w:rsidRPr="0042354C">
              <w:rPr>
                <w:sz w:val="20"/>
                <w:szCs w:val="20"/>
              </w:rPr>
              <w:t>7,5</w:t>
            </w:r>
          </w:p>
        </w:tc>
      </w:tr>
      <w:tr w:rsidR="0042354C" w:rsidRPr="0042354C" w14:paraId="6151D511" w14:textId="77777777" w:rsidTr="008C0F16">
        <w:trPr>
          <w:trHeight w:val="499"/>
        </w:trPr>
        <w:tc>
          <w:tcPr>
            <w:tcW w:w="904" w:type="pct"/>
            <w:tcBorders>
              <w:top w:val="nil"/>
              <w:left w:val="single" w:sz="4" w:space="0" w:color="auto"/>
              <w:bottom w:val="single" w:sz="4" w:space="0" w:color="auto"/>
              <w:right w:val="single" w:sz="4" w:space="0" w:color="auto"/>
            </w:tcBorders>
            <w:shd w:val="clear" w:color="000000" w:fill="FFFFFF"/>
            <w:hideMark/>
          </w:tcPr>
          <w:p w14:paraId="3F848EE4" w14:textId="77777777" w:rsidR="00F25CAB" w:rsidRPr="0042354C" w:rsidRDefault="00F25CAB">
            <w:pPr>
              <w:rPr>
                <w:b/>
                <w:bCs/>
                <w:sz w:val="16"/>
                <w:szCs w:val="16"/>
              </w:rPr>
            </w:pPr>
            <w:r w:rsidRPr="0042354C">
              <w:rPr>
                <w:b/>
                <w:bCs/>
                <w:sz w:val="16"/>
                <w:szCs w:val="16"/>
              </w:rPr>
              <w:t>7607.19.90.00.00</w:t>
            </w:r>
            <w:r w:rsidRPr="0042354C">
              <w:rPr>
                <w:sz w:val="16"/>
                <w:szCs w:val="16"/>
              </w:rPr>
              <w:t>  </w:t>
            </w:r>
          </w:p>
        </w:tc>
        <w:tc>
          <w:tcPr>
            <w:tcW w:w="1950" w:type="pct"/>
            <w:tcBorders>
              <w:top w:val="nil"/>
              <w:left w:val="nil"/>
              <w:bottom w:val="single" w:sz="4" w:space="0" w:color="auto"/>
              <w:right w:val="single" w:sz="4" w:space="0" w:color="auto"/>
            </w:tcBorders>
            <w:shd w:val="clear" w:color="auto" w:fill="auto"/>
            <w:vAlign w:val="center"/>
            <w:hideMark/>
          </w:tcPr>
          <w:p w14:paraId="5B6A8BFB" w14:textId="77777777" w:rsidR="00F25CAB" w:rsidRPr="0042354C" w:rsidRDefault="00F25CAB">
            <w:pPr>
              <w:jc w:val="center"/>
              <w:rPr>
                <w:sz w:val="20"/>
                <w:szCs w:val="20"/>
              </w:rPr>
            </w:pPr>
            <w:r w:rsidRPr="0042354C">
              <w:rPr>
                <w:sz w:val="20"/>
                <w:szCs w:val="20"/>
              </w:rPr>
              <w:t xml:space="preserve">Kalınlığı 0,021 mm. veya daha </w:t>
            </w:r>
            <w:proofErr w:type="spellStart"/>
            <w:proofErr w:type="gramStart"/>
            <w:r w:rsidRPr="0042354C">
              <w:rPr>
                <w:sz w:val="20"/>
                <w:szCs w:val="20"/>
              </w:rPr>
              <w:t>fazla,fakat</w:t>
            </w:r>
            <w:proofErr w:type="spellEnd"/>
            <w:proofErr w:type="gramEnd"/>
            <w:r w:rsidRPr="0042354C">
              <w:rPr>
                <w:sz w:val="20"/>
                <w:szCs w:val="20"/>
              </w:rPr>
              <w:t xml:space="preserve"> 0,2 mm. </w:t>
            </w:r>
            <w:proofErr w:type="spellStart"/>
            <w:r w:rsidRPr="0042354C">
              <w:rPr>
                <w:sz w:val="20"/>
                <w:szCs w:val="20"/>
              </w:rPr>
              <w:t>yi</w:t>
            </w:r>
            <w:proofErr w:type="spellEnd"/>
            <w:r w:rsidRPr="0042354C">
              <w:rPr>
                <w:sz w:val="20"/>
                <w:szCs w:val="20"/>
              </w:rPr>
              <w:t xml:space="preserve"> geçmeyenler</w:t>
            </w:r>
          </w:p>
        </w:tc>
        <w:tc>
          <w:tcPr>
            <w:tcW w:w="348" w:type="pct"/>
            <w:tcBorders>
              <w:top w:val="nil"/>
              <w:left w:val="nil"/>
              <w:bottom w:val="single" w:sz="4" w:space="0" w:color="auto"/>
              <w:right w:val="single" w:sz="4" w:space="0" w:color="auto"/>
            </w:tcBorders>
            <w:shd w:val="clear" w:color="auto" w:fill="auto"/>
            <w:vAlign w:val="center"/>
            <w:hideMark/>
          </w:tcPr>
          <w:p w14:paraId="2188FD25" w14:textId="77777777" w:rsidR="00F25CAB" w:rsidRPr="0042354C" w:rsidRDefault="00F25CAB">
            <w:pPr>
              <w:jc w:val="center"/>
              <w:rPr>
                <w:sz w:val="20"/>
                <w:szCs w:val="20"/>
              </w:rPr>
            </w:pPr>
            <w:r w:rsidRPr="0042354C">
              <w:rPr>
                <w:sz w:val="20"/>
                <w:szCs w:val="20"/>
              </w:rPr>
              <w:t>20</w:t>
            </w:r>
          </w:p>
        </w:tc>
        <w:tc>
          <w:tcPr>
            <w:tcW w:w="192" w:type="pct"/>
            <w:tcBorders>
              <w:top w:val="nil"/>
              <w:left w:val="nil"/>
              <w:bottom w:val="single" w:sz="4" w:space="0" w:color="auto"/>
              <w:right w:val="single" w:sz="4" w:space="0" w:color="auto"/>
            </w:tcBorders>
            <w:shd w:val="clear" w:color="auto" w:fill="auto"/>
            <w:vAlign w:val="center"/>
            <w:hideMark/>
          </w:tcPr>
          <w:p w14:paraId="1F642991" w14:textId="77777777" w:rsidR="00F25CAB" w:rsidRPr="0042354C" w:rsidRDefault="00F25CAB">
            <w:pPr>
              <w:jc w:val="center"/>
              <w:rPr>
                <w:sz w:val="20"/>
                <w:szCs w:val="20"/>
              </w:rPr>
            </w:pPr>
            <w:r w:rsidRPr="0042354C">
              <w:rPr>
                <w:sz w:val="20"/>
                <w:szCs w:val="20"/>
              </w:rPr>
              <w:t>0</w:t>
            </w:r>
          </w:p>
        </w:tc>
        <w:tc>
          <w:tcPr>
            <w:tcW w:w="224" w:type="pct"/>
            <w:tcBorders>
              <w:top w:val="nil"/>
              <w:left w:val="nil"/>
              <w:bottom w:val="single" w:sz="4" w:space="0" w:color="auto"/>
              <w:right w:val="single" w:sz="4" w:space="0" w:color="auto"/>
            </w:tcBorders>
            <w:shd w:val="clear" w:color="auto" w:fill="auto"/>
            <w:vAlign w:val="center"/>
            <w:hideMark/>
          </w:tcPr>
          <w:p w14:paraId="609B7132" w14:textId="77777777" w:rsidR="00F25CAB" w:rsidRPr="0042354C" w:rsidRDefault="00F25CAB">
            <w:pPr>
              <w:jc w:val="center"/>
              <w:rPr>
                <w:sz w:val="20"/>
                <w:szCs w:val="20"/>
              </w:rPr>
            </w:pPr>
            <w:r w:rsidRPr="0042354C">
              <w:rPr>
                <w:sz w:val="20"/>
                <w:szCs w:val="20"/>
              </w:rPr>
              <w:t>7,5</w:t>
            </w:r>
          </w:p>
        </w:tc>
        <w:tc>
          <w:tcPr>
            <w:tcW w:w="224" w:type="pct"/>
            <w:tcBorders>
              <w:top w:val="nil"/>
              <w:left w:val="nil"/>
              <w:bottom w:val="single" w:sz="4" w:space="0" w:color="auto"/>
              <w:right w:val="single" w:sz="4" w:space="0" w:color="auto"/>
            </w:tcBorders>
            <w:shd w:val="clear" w:color="auto" w:fill="auto"/>
            <w:vAlign w:val="center"/>
            <w:hideMark/>
          </w:tcPr>
          <w:p w14:paraId="46527CFB" w14:textId="77777777" w:rsidR="00F25CAB" w:rsidRPr="0042354C" w:rsidRDefault="00F25CAB">
            <w:pPr>
              <w:jc w:val="center"/>
              <w:rPr>
                <w:sz w:val="20"/>
                <w:szCs w:val="20"/>
              </w:rPr>
            </w:pPr>
            <w:r w:rsidRPr="0042354C">
              <w:rPr>
                <w:sz w:val="20"/>
                <w:szCs w:val="20"/>
              </w:rPr>
              <w:t>7,5</w:t>
            </w:r>
          </w:p>
        </w:tc>
        <w:tc>
          <w:tcPr>
            <w:tcW w:w="313" w:type="pct"/>
            <w:tcBorders>
              <w:top w:val="nil"/>
              <w:left w:val="nil"/>
              <w:bottom w:val="single" w:sz="4" w:space="0" w:color="auto"/>
              <w:right w:val="single" w:sz="4" w:space="0" w:color="auto"/>
            </w:tcBorders>
            <w:shd w:val="clear" w:color="auto" w:fill="auto"/>
            <w:vAlign w:val="center"/>
            <w:hideMark/>
          </w:tcPr>
          <w:p w14:paraId="65917FA6" w14:textId="77777777" w:rsidR="00F25CAB" w:rsidRPr="0042354C" w:rsidRDefault="00F25CAB">
            <w:pPr>
              <w:jc w:val="center"/>
              <w:rPr>
                <w:sz w:val="20"/>
                <w:szCs w:val="20"/>
              </w:rPr>
            </w:pPr>
            <w:r w:rsidRPr="0042354C">
              <w:rPr>
                <w:sz w:val="20"/>
                <w:szCs w:val="20"/>
              </w:rPr>
              <w:t>0</w:t>
            </w:r>
          </w:p>
        </w:tc>
        <w:tc>
          <w:tcPr>
            <w:tcW w:w="312" w:type="pct"/>
            <w:tcBorders>
              <w:top w:val="nil"/>
              <w:left w:val="nil"/>
              <w:bottom w:val="single" w:sz="4" w:space="0" w:color="auto"/>
              <w:right w:val="single" w:sz="4" w:space="0" w:color="auto"/>
            </w:tcBorders>
            <w:shd w:val="clear" w:color="auto" w:fill="auto"/>
            <w:vAlign w:val="center"/>
            <w:hideMark/>
          </w:tcPr>
          <w:p w14:paraId="19DAF4AD" w14:textId="77777777" w:rsidR="00F25CAB" w:rsidRPr="0042354C" w:rsidRDefault="00F25CAB">
            <w:pPr>
              <w:jc w:val="center"/>
              <w:rPr>
                <w:sz w:val="20"/>
                <w:szCs w:val="20"/>
              </w:rPr>
            </w:pPr>
            <w:r w:rsidRPr="0042354C">
              <w:rPr>
                <w:sz w:val="20"/>
                <w:szCs w:val="20"/>
              </w:rPr>
              <w:t>0</w:t>
            </w:r>
          </w:p>
        </w:tc>
        <w:tc>
          <w:tcPr>
            <w:tcW w:w="313" w:type="pct"/>
            <w:tcBorders>
              <w:top w:val="nil"/>
              <w:left w:val="nil"/>
              <w:bottom w:val="single" w:sz="4" w:space="0" w:color="auto"/>
              <w:right w:val="single" w:sz="4" w:space="0" w:color="auto"/>
            </w:tcBorders>
            <w:shd w:val="clear" w:color="auto" w:fill="auto"/>
            <w:vAlign w:val="center"/>
            <w:hideMark/>
          </w:tcPr>
          <w:p w14:paraId="7FE93D80" w14:textId="77777777" w:rsidR="00F25CAB" w:rsidRPr="0042354C" w:rsidRDefault="00F25CAB">
            <w:pPr>
              <w:jc w:val="center"/>
              <w:rPr>
                <w:sz w:val="20"/>
                <w:szCs w:val="20"/>
              </w:rPr>
            </w:pPr>
            <w:r w:rsidRPr="0042354C">
              <w:rPr>
                <w:sz w:val="20"/>
                <w:szCs w:val="20"/>
              </w:rPr>
              <w:t>4</w:t>
            </w:r>
          </w:p>
        </w:tc>
        <w:tc>
          <w:tcPr>
            <w:tcW w:w="222" w:type="pct"/>
            <w:tcBorders>
              <w:top w:val="nil"/>
              <w:left w:val="nil"/>
              <w:bottom w:val="single" w:sz="4" w:space="0" w:color="auto"/>
              <w:right w:val="single" w:sz="4" w:space="0" w:color="auto"/>
            </w:tcBorders>
            <w:shd w:val="clear" w:color="auto" w:fill="auto"/>
            <w:vAlign w:val="center"/>
            <w:hideMark/>
          </w:tcPr>
          <w:p w14:paraId="31E96198" w14:textId="77777777" w:rsidR="00F25CAB" w:rsidRPr="0042354C" w:rsidRDefault="00F25CAB">
            <w:pPr>
              <w:jc w:val="center"/>
              <w:rPr>
                <w:sz w:val="20"/>
                <w:szCs w:val="20"/>
              </w:rPr>
            </w:pPr>
            <w:r w:rsidRPr="0042354C">
              <w:rPr>
                <w:sz w:val="20"/>
                <w:szCs w:val="20"/>
              </w:rPr>
              <w:t>7,5</w:t>
            </w:r>
          </w:p>
        </w:tc>
      </w:tr>
    </w:tbl>
    <w:p w14:paraId="20B4C534" w14:textId="77777777" w:rsidR="00202A94" w:rsidRPr="0042354C" w:rsidRDefault="00202A94" w:rsidP="00202A94">
      <w:pPr>
        <w:pStyle w:val="ListeParagraf"/>
        <w:spacing w:before="120" w:after="120"/>
        <w:ind w:left="0"/>
        <w:jc w:val="both"/>
        <w:rPr>
          <w:sz w:val="18"/>
        </w:rPr>
      </w:pPr>
      <w:r w:rsidRPr="0042354C">
        <w:rPr>
          <w:b/>
          <w:sz w:val="18"/>
        </w:rPr>
        <w:t>Kaynak</w:t>
      </w:r>
      <w:r w:rsidRPr="0042354C">
        <w:rPr>
          <w:sz w:val="18"/>
        </w:rPr>
        <w:t>: İthalat Rejimi 2026</w:t>
      </w:r>
    </w:p>
    <w:p w14:paraId="0366FC06" w14:textId="77777777" w:rsidR="00202A94" w:rsidRPr="0042354C" w:rsidRDefault="00202A94" w:rsidP="00202A94">
      <w:pPr>
        <w:spacing w:before="100" w:beforeAutospacing="1" w:after="100" w:afterAutospacing="1"/>
        <w:jc w:val="both"/>
        <w:rPr>
          <w:sz w:val="18"/>
          <w:szCs w:val="18"/>
          <w:lang w:eastAsia="tr-TR"/>
        </w:rPr>
      </w:pPr>
      <w:bookmarkStart w:id="30" w:name="_Hlk187330197"/>
      <w:r w:rsidRPr="0042354C">
        <w:rPr>
          <w:sz w:val="18"/>
          <w:szCs w:val="18"/>
          <w:lang w:eastAsia="tr-TR"/>
        </w:rPr>
        <w:t xml:space="preserve">1: AB Üyesi Ülkeler, EFTA Üyesi Ülkeler, Serbest Ticaret Anlaşması Ülkeleri: Arnavutluk, Büyük Britanya ve Kuzey İrlanda Birleşik Krallığı, Bosna-Hersek, Fas, Faroe Adaları, Filistin, Gürcistan, Güney Kore, İsrail, Karadağ, Kosova, Kuzey Makedonya Cumhuriyeti, Malezya, Mısır Arap Cumhuriyeti, </w:t>
      </w:r>
      <w:proofErr w:type="spellStart"/>
      <w:r w:rsidRPr="0042354C">
        <w:rPr>
          <w:sz w:val="18"/>
          <w:szCs w:val="18"/>
          <w:lang w:eastAsia="tr-TR"/>
        </w:rPr>
        <w:t>Morityus</w:t>
      </w:r>
      <w:proofErr w:type="spellEnd"/>
      <w:r w:rsidRPr="0042354C">
        <w:rPr>
          <w:sz w:val="18"/>
          <w:szCs w:val="18"/>
          <w:lang w:eastAsia="tr-TR"/>
        </w:rPr>
        <w:t xml:space="preserve">, Moldova, Sırbistan, Singapur Cumhuriyeti, Şili, Tunus. 2: </w:t>
      </w:r>
      <w:proofErr w:type="spellStart"/>
      <w:r w:rsidRPr="0042354C">
        <w:rPr>
          <w:sz w:val="18"/>
          <w:szCs w:val="18"/>
          <w:lang w:eastAsia="tr-TR"/>
        </w:rPr>
        <w:t>Bolivarcı</w:t>
      </w:r>
      <w:proofErr w:type="spellEnd"/>
      <w:r w:rsidRPr="0042354C">
        <w:rPr>
          <w:sz w:val="18"/>
          <w:szCs w:val="18"/>
          <w:lang w:eastAsia="tr-TR"/>
        </w:rPr>
        <w:t xml:space="preserve"> Venezuela Cumhuriyeti. 3: Birleşik Arap Emirlikleri. GTS ÜLKELERİ: </w:t>
      </w:r>
      <w:r w:rsidRPr="0042354C">
        <w:rPr>
          <w:sz w:val="18"/>
          <w:szCs w:val="18"/>
        </w:rPr>
        <w:t xml:space="preserve">Meri İthalat Rejimi Kararı </w:t>
      </w:r>
      <w:r w:rsidRPr="0042354C">
        <w:rPr>
          <w:sz w:val="18"/>
          <w:szCs w:val="18"/>
          <w:lang w:eastAsia="tr-TR"/>
        </w:rPr>
        <w:t>Ek-1’de yer alan Genelleştirilmiş Tercihler Sisteminden Yararlanacak Ülkeler. 4: En Az Gelişmiş Ülkeler. 5: Özel Teşvik Düzenlemelerinden Yararlanacak Ülkeler. 6: Gelişme Yolundaki Ülkeler. 7: Diğer Ülkeler.</w:t>
      </w:r>
      <w:bookmarkEnd w:id="30"/>
    </w:p>
    <w:p w14:paraId="4DAE41E4" w14:textId="57A2F751" w:rsidR="00E40799" w:rsidRPr="0042354C" w:rsidRDefault="00202A94" w:rsidP="00202A94">
      <w:pPr>
        <w:pStyle w:val="ListeParagraf"/>
        <w:spacing w:before="120" w:after="120"/>
        <w:ind w:left="0"/>
        <w:jc w:val="both"/>
        <w:rPr>
          <w:sz w:val="18"/>
          <w:szCs w:val="18"/>
        </w:rPr>
      </w:pPr>
      <w:r w:rsidRPr="0042354C">
        <w:t>(3) 31/12/2020 tarihli ve 335</w:t>
      </w:r>
      <w:r w:rsidR="003C2A09">
        <w:t>1</w:t>
      </w:r>
      <w:r w:rsidRPr="0042354C">
        <w:t xml:space="preserve"> sayılı Cumhurbaşkanı Kararı ile yürürlüğe </w:t>
      </w:r>
      <w:r w:rsidR="003C2A09">
        <w:t>konulan</w:t>
      </w:r>
      <w:r w:rsidRPr="0042354C">
        <w:t xml:space="preserve"> İthalat </w:t>
      </w:r>
      <w:r w:rsidR="003C2A09">
        <w:t xml:space="preserve">İlave Gümrük Vergisi Uygulanmasına İlişkin Karar uyarınca </w:t>
      </w:r>
      <w:r w:rsidRPr="0042354C">
        <w:t xml:space="preserve">7607.11 ve 7607.19 </w:t>
      </w:r>
      <w:proofErr w:type="spellStart"/>
      <w:r w:rsidRPr="0042354C">
        <w:t>GTP’leri</w:t>
      </w:r>
      <w:proofErr w:type="spellEnd"/>
      <w:r w:rsidRPr="0042354C">
        <w:t xml:space="preserve"> altında yer alan </w:t>
      </w:r>
      <w:r w:rsidR="00A458D2" w:rsidRPr="0042354C">
        <w:t>soruşturma</w:t>
      </w:r>
      <w:r w:rsidRPr="0042354C">
        <w:t xml:space="preserve"> konusu ürüne yönelik olarak %5 </w:t>
      </w:r>
      <w:proofErr w:type="gramStart"/>
      <w:r w:rsidRPr="0042354C">
        <w:t>oranında  ilave</w:t>
      </w:r>
      <w:proofErr w:type="gramEnd"/>
      <w:r w:rsidRPr="0042354C">
        <w:t xml:space="preserve"> gümrük vergisi (İGV) yürürlüğe konulmuştur.</w:t>
      </w:r>
      <w:r w:rsidR="0018192F" w:rsidRPr="0042354C">
        <w:t xml:space="preserve"> Anılan İGV uygulaması, 31/12/2025 tarihli ve 10791 sayılı Cumhurbaşkanı Kararı ile yürürlüğe konulan İthalatta İlave Gümrük Vergisi Uygulanmasına İlişkin Kararda Değişiklik Yapılmasına Dair Karar uyarınca uygulanmaya devam etmektedir.</w:t>
      </w:r>
    </w:p>
    <w:p w14:paraId="457C8B08" w14:textId="71D6E888" w:rsidR="00975C9D" w:rsidRPr="0042354C" w:rsidRDefault="00975C9D" w:rsidP="00975C9D">
      <w:pPr>
        <w:pStyle w:val="Balk1"/>
        <w:spacing w:before="120" w:after="120"/>
        <w:jc w:val="left"/>
        <w:rPr>
          <w:rFonts w:ascii="Times New Roman" w:hAnsi="Times New Roman" w:cs="Times New Roman"/>
          <w:bCs w:val="0"/>
          <w:sz w:val="24"/>
          <w:szCs w:val="24"/>
        </w:rPr>
      </w:pPr>
      <w:bookmarkStart w:id="31" w:name="_Toc44517744"/>
      <w:bookmarkStart w:id="32" w:name="_Toc227682703"/>
      <w:r w:rsidRPr="0042354C">
        <w:rPr>
          <w:rFonts w:ascii="Times New Roman" w:hAnsi="Times New Roman" w:cs="Times New Roman"/>
          <w:bCs w:val="0"/>
          <w:sz w:val="24"/>
          <w:szCs w:val="24"/>
        </w:rPr>
        <w:t xml:space="preserve">3. </w:t>
      </w:r>
      <w:bookmarkEnd w:id="31"/>
      <w:r w:rsidR="000361EE" w:rsidRPr="0042354C">
        <w:rPr>
          <w:rFonts w:ascii="Times New Roman" w:hAnsi="Times New Roman" w:cs="Times New Roman"/>
          <w:bCs w:val="0"/>
          <w:sz w:val="24"/>
          <w:szCs w:val="24"/>
        </w:rPr>
        <w:t>DAMPİNGİN DEVAMI VEYA YENİDEN MEYDANA GELMESİ İHTİMALİ</w:t>
      </w:r>
      <w:r w:rsidR="00764E44" w:rsidRPr="0042354C">
        <w:rPr>
          <w:rFonts w:ascii="Times New Roman" w:hAnsi="Times New Roman" w:cs="Times New Roman"/>
          <w:bCs w:val="0"/>
          <w:sz w:val="24"/>
          <w:szCs w:val="24"/>
        </w:rPr>
        <w:t xml:space="preserve"> İDDİASI</w:t>
      </w:r>
      <w:bookmarkEnd w:id="32"/>
    </w:p>
    <w:p w14:paraId="5E7CAA27" w14:textId="6C24D241" w:rsidR="000361EE" w:rsidRPr="0042354C" w:rsidRDefault="000361EE" w:rsidP="000361EE">
      <w:pPr>
        <w:pStyle w:val="Altyaz"/>
        <w:spacing w:before="120" w:after="120"/>
        <w:jc w:val="left"/>
        <w:rPr>
          <w:rFonts w:ascii="Times New Roman" w:hAnsi="Times New Roman"/>
          <w:b/>
        </w:rPr>
      </w:pPr>
      <w:bookmarkStart w:id="33" w:name="_Toc133315936"/>
      <w:bookmarkStart w:id="34" w:name="_Toc171346766"/>
      <w:bookmarkStart w:id="35" w:name="_Toc227682704"/>
      <w:r w:rsidRPr="0042354C">
        <w:rPr>
          <w:rFonts w:ascii="Times New Roman" w:hAnsi="Times New Roman"/>
          <w:b/>
        </w:rPr>
        <w:t xml:space="preserve">3.1 Genel </w:t>
      </w:r>
      <w:r w:rsidR="00DD793A" w:rsidRPr="0042354C">
        <w:rPr>
          <w:rFonts w:ascii="Times New Roman" w:hAnsi="Times New Roman"/>
          <w:b/>
        </w:rPr>
        <w:t>açıklamalar</w:t>
      </w:r>
      <w:bookmarkEnd w:id="33"/>
      <w:bookmarkEnd w:id="34"/>
      <w:bookmarkEnd w:id="35"/>
    </w:p>
    <w:p w14:paraId="6F988995" w14:textId="59C6F6B9" w:rsidR="000361EE" w:rsidRPr="0042354C" w:rsidRDefault="000361EE" w:rsidP="000361EE">
      <w:pPr>
        <w:spacing w:before="120" w:after="120"/>
        <w:jc w:val="both"/>
        <w:rPr>
          <w:bCs/>
        </w:rPr>
      </w:pPr>
      <w:r w:rsidRPr="0042354C">
        <w:rPr>
          <w:bCs/>
        </w:rPr>
        <w:t>(1) Yönetmeliğin 35 inci maddesi çerçevesinde, önlemin yürürlükten kalkması halinde dampingin devam etmesinin veya yeniden meydana gelmesinin muhtemel olup olmadığı incelenmiştir.</w:t>
      </w:r>
    </w:p>
    <w:p w14:paraId="6B2AF73E" w14:textId="366E1DB6" w:rsidR="000361EE" w:rsidRPr="0042354C" w:rsidRDefault="000361EE" w:rsidP="000361EE">
      <w:pPr>
        <w:pStyle w:val="Altyaz"/>
        <w:spacing w:before="120" w:after="120"/>
        <w:jc w:val="left"/>
        <w:rPr>
          <w:rFonts w:ascii="Times New Roman" w:hAnsi="Times New Roman"/>
          <w:b/>
        </w:rPr>
      </w:pPr>
      <w:bookmarkStart w:id="36" w:name="_Toc171346767"/>
      <w:bookmarkStart w:id="37" w:name="_Toc227682705"/>
      <w:r w:rsidRPr="0042354C">
        <w:rPr>
          <w:rFonts w:ascii="Times New Roman" w:hAnsi="Times New Roman"/>
          <w:b/>
        </w:rPr>
        <w:t xml:space="preserve">3.2 Dampingin </w:t>
      </w:r>
      <w:r w:rsidR="00DD793A" w:rsidRPr="0042354C">
        <w:rPr>
          <w:rFonts w:ascii="Times New Roman" w:hAnsi="Times New Roman"/>
          <w:b/>
        </w:rPr>
        <w:t>devam etme ihtimali</w:t>
      </w:r>
      <w:bookmarkEnd w:id="36"/>
      <w:bookmarkEnd w:id="37"/>
    </w:p>
    <w:p w14:paraId="73898DCC" w14:textId="77777777" w:rsidR="000361EE" w:rsidRPr="0042354C" w:rsidRDefault="000361EE" w:rsidP="00111799">
      <w:pPr>
        <w:numPr>
          <w:ilvl w:val="0"/>
          <w:numId w:val="12"/>
        </w:numPr>
        <w:spacing w:before="120" w:after="120"/>
        <w:jc w:val="both"/>
        <w:rPr>
          <w:bCs/>
        </w:rPr>
      </w:pPr>
      <w:r w:rsidRPr="0042354C">
        <w:rPr>
          <w:bCs/>
        </w:rPr>
        <w:t xml:space="preserve">Yönetmeliğin 40 </w:t>
      </w:r>
      <w:proofErr w:type="spellStart"/>
      <w:r w:rsidRPr="0042354C">
        <w:rPr>
          <w:bCs/>
        </w:rPr>
        <w:t>ıncı</w:t>
      </w:r>
      <w:proofErr w:type="spellEnd"/>
      <w:r w:rsidRPr="0042354C">
        <w:rPr>
          <w:bCs/>
        </w:rPr>
        <w:t xml:space="preserve"> ve 41 inci maddeleri çerçevesinde, soruşturma sırasında yeniden bir damping marjı hesaplanmamış, esas soruşturmada hesaplanmış olan damping marjları gösterge olarak dikkate alınmıştır.</w:t>
      </w:r>
    </w:p>
    <w:p w14:paraId="4C23B251" w14:textId="72F46E4C" w:rsidR="00202A94" w:rsidRPr="0042354C" w:rsidRDefault="00202A94" w:rsidP="00202A94">
      <w:pPr>
        <w:pStyle w:val="ListeParagraf"/>
        <w:numPr>
          <w:ilvl w:val="0"/>
          <w:numId w:val="12"/>
        </w:numPr>
        <w:spacing w:before="120" w:after="120"/>
        <w:jc w:val="both"/>
        <w:rPr>
          <w:bCs/>
          <w:lang w:eastAsia="en-US"/>
        </w:rPr>
      </w:pPr>
      <w:r w:rsidRPr="0042354C">
        <w:rPr>
          <w:bCs/>
        </w:rPr>
        <w:t xml:space="preserve">Buna göre, </w:t>
      </w:r>
      <w:r w:rsidR="00946613" w:rsidRPr="0042354C">
        <w:rPr>
          <w:bCs/>
        </w:rPr>
        <w:t>soruşturma</w:t>
      </w:r>
      <w:r w:rsidRPr="0042354C">
        <w:rPr>
          <w:bCs/>
        </w:rPr>
        <w:t xml:space="preserve"> konusu ürünün ÇHC menşeli olanlarına yönelik İthalatta Haksız Rekabetin Önlenmesine İlişkin Tebliğ (Tebliğ No: 2014/25) ile tamamlanan esas damping soruşturmasında CIF bedelin %35’i oranında damping marjı tespit edilmiştir. </w:t>
      </w:r>
    </w:p>
    <w:p w14:paraId="7AE3E5AC" w14:textId="5EA59E07" w:rsidR="000361EE" w:rsidRPr="0042354C" w:rsidRDefault="000361EE" w:rsidP="00111799">
      <w:pPr>
        <w:numPr>
          <w:ilvl w:val="0"/>
          <w:numId w:val="12"/>
        </w:numPr>
        <w:spacing w:before="120" w:after="120"/>
        <w:jc w:val="both"/>
        <w:rPr>
          <w:bCs/>
        </w:rPr>
      </w:pPr>
      <w:r w:rsidRPr="0042354C">
        <w:rPr>
          <w:bCs/>
        </w:rPr>
        <w:t>Mevcut dampinge karşı önlemin hukuki ve idari alt yapısını teşkil eden esas soruşturma esnasında tespit edilen damping marjının, firmaların önlemin yürürlükten kalkması halindeki muhtemel davranışlarını yansıtacak önemli bir gösterge niteliği taşıdığı değerlendirilmektedir.</w:t>
      </w:r>
    </w:p>
    <w:p w14:paraId="26A6ECB2" w14:textId="21A3525B" w:rsidR="000361EE" w:rsidRPr="0042354C" w:rsidRDefault="000361EE" w:rsidP="00B51B21">
      <w:pPr>
        <w:pStyle w:val="Altyaz"/>
        <w:numPr>
          <w:ilvl w:val="1"/>
          <w:numId w:val="23"/>
        </w:numPr>
        <w:spacing w:before="120" w:after="120"/>
        <w:jc w:val="left"/>
        <w:rPr>
          <w:rFonts w:ascii="Times New Roman" w:hAnsi="Times New Roman"/>
          <w:b/>
        </w:rPr>
      </w:pPr>
      <w:bookmarkStart w:id="38" w:name="_Toc101881959"/>
      <w:bookmarkStart w:id="39" w:name="_Toc157613436"/>
      <w:bookmarkStart w:id="40" w:name="_Toc171346768"/>
      <w:bookmarkStart w:id="41" w:name="_Toc227682706"/>
      <w:r w:rsidRPr="0042354C">
        <w:rPr>
          <w:rFonts w:ascii="Times New Roman" w:hAnsi="Times New Roman"/>
          <w:b/>
        </w:rPr>
        <w:t xml:space="preserve">Dampingin </w:t>
      </w:r>
      <w:r w:rsidR="00DD793A" w:rsidRPr="0042354C">
        <w:rPr>
          <w:rFonts w:ascii="Times New Roman" w:hAnsi="Times New Roman"/>
          <w:b/>
        </w:rPr>
        <w:t>yeniden meydana gelmesi ihtimali</w:t>
      </w:r>
      <w:bookmarkEnd w:id="38"/>
      <w:bookmarkEnd w:id="39"/>
      <w:bookmarkEnd w:id="40"/>
      <w:bookmarkEnd w:id="41"/>
    </w:p>
    <w:p w14:paraId="4A24F6B9" w14:textId="2531B8D3" w:rsidR="000361EE" w:rsidRPr="0042354C" w:rsidRDefault="000361EE" w:rsidP="00B51B21">
      <w:pPr>
        <w:pStyle w:val="Default"/>
        <w:numPr>
          <w:ilvl w:val="0"/>
          <w:numId w:val="13"/>
        </w:numPr>
        <w:spacing w:before="120" w:after="120"/>
        <w:jc w:val="both"/>
        <w:rPr>
          <w:color w:val="auto"/>
        </w:rPr>
      </w:pPr>
      <w:r w:rsidRPr="0042354C">
        <w:rPr>
          <w:color w:val="auto"/>
        </w:rPr>
        <w:t>İhracatçı firmaların davranışlarını ve yeniden meydana gelmesi muhtemel olan dampingi göstermesi açısından soruşturma konusu ülke</w:t>
      </w:r>
      <w:r w:rsidR="004067AB" w:rsidRPr="0042354C">
        <w:rPr>
          <w:color w:val="auto"/>
        </w:rPr>
        <w:t>ler</w:t>
      </w:r>
      <w:r w:rsidRPr="0042354C">
        <w:rPr>
          <w:color w:val="auto"/>
        </w:rPr>
        <w:t xml:space="preserve">in Türkiye’ye yönlendirebilecek üretim ve ihracat kapasitesi ile fiyatları önem arz etmektedir. </w:t>
      </w:r>
    </w:p>
    <w:p w14:paraId="170BB7F0" w14:textId="40D2A74E" w:rsidR="00975C9D" w:rsidRPr="0042354C" w:rsidRDefault="000361EE" w:rsidP="00207DE5">
      <w:pPr>
        <w:pStyle w:val="Altyaz"/>
        <w:spacing w:before="120" w:after="120"/>
        <w:jc w:val="left"/>
        <w:rPr>
          <w:rFonts w:ascii="Times New Roman" w:hAnsi="Times New Roman"/>
          <w:b/>
          <w:bCs/>
          <w:lang w:eastAsia="tr-TR"/>
        </w:rPr>
      </w:pPr>
      <w:bookmarkStart w:id="42" w:name="_Toc224135505"/>
      <w:bookmarkStart w:id="43" w:name="_Toc227682707"/>
      <w:r w:rsidRPr="0042354C">
        <w:rPr>
          <w:rFonts w:ascii="Times New Roman" w:hAnsi="Times New Roman"/>
          <w:b/>
          <w:bCs/>
          <w:lang w:eastAsia="tr-TR"/>
        </w:rPr>
        <w:t>3</w:t>
      </w:r>
      <w:r w:rsidR="00207DE5" w:rsidRPr="0042354C">
        <w:rPr>
          <w:rFonts w:ascii="Times New Roman" w:hAnsi="Times New Roman"/>
          <w:b/>
          <w:bCs/>
          <w:lang w:eastAsia="tr-TR"/>
        </w:rPr>
        <w:t>.3</w:t>
      </w:r>
      <w:r w:rsidRPr="0042354C">
        <w:rPr>
          <w:rFonts w:ascii="Times New Roman" w:hAnsi="Times New Roman"/>
          <w:b/>
          <w:bCs/>
          <w:lang w:eastAsia="tr-TR"/>
        </w:rPr>
        <w:t>.1</w:t>
      </w:r>
      <w:r w:rsidR="00207DE5" w:rsidRPr="0042354C">
        <w:rPr>
          <w:rFonts w:ascii="Times New Roman" w:hAnsi="Times New Roman"/>
          <w:b/>
          <w:bCs/>
          <w:lang w:eastAsia="tr-TR"/>
        </w:rPr>
        <w:t xml:space="preserve"> </w:t>
      </w:r>
      <w:r w:rsidRPr="0042354C">
        <w:rPr>
          <w:rFonts w:ascii="Times New Roman" w:hAnsi="Times New Roman"/>
          <w:b/>
          <w:bCs/>
          <w:lang w:eastAsia="tr-TR"/>
        </w:rPr>
        <w:t xml:space="preserve">Soruşturma </w:t>
      </w:r>
      <w:r w:rsidR="00DD793A" w:rsidRPr="0042354C">
        <w:rPr>
          <w:rFonts w:ascii="Times New Roman" w:hAnsi="Times New Roman"/>
          <w:b/>
          <w:bCs/>
          <w:lang w:eastAsia="tr-TR"/>
        </w:rPr>
        <w:t xml:space="preserve">konusu ülkelerin üretim ve ihracat kapasiteleri ile fiyatları </w:t>
      </w:r>
      <w:bookmarkEnd w:id="42"/>
      <w:bookmarkEnd w:id="43"/>
    </w:p>
    <w:p w14:paraId="4D07B876" w14:textId="77777777" w:rsidR="0079262B" w:rsidRPr="0042354C" w:rsidRDefault="00E54DF0" w:rsidP="0079262B">
      <w:pPr>
        <w:numPr>
          <w:ilvl w:val="0"/>
          <w:numId w:val="43"/>
        </w:numPr>
        <w:spacing w:before="120" w:after="120"/>
        <w:jc w:val="both"/>
        <w:rPr>
          <w:bCs/>
        </w:rPr>
      </w:pPr>
      <w:r w:rsidRPr="0042354C">
        <w:rPr>
          <w:bCs/>
        </w:rPr>
        <w:t xml:space="preserve">Soruşturma konusu ülkelerin üretim ve ihracat kabiliyetine ilişkin değerlendirmeler, Uluslararası Ticaret Merkezi’nin (International </w:t>
      </w:r>
      <w:proofErr w:type="spellStart"/>
      <w:r w:rsidRPr="0042354C">
        <w:rPr>
          <w:bCs/>
        </w:rPr>
        <w:t>Trade</w:t>
      </w:r>
      <w:proofErr w:type="spellEnd"/>
      <w:r w:rsidRPr="0042354C">
        <w:rPr>
          <w:bCs/>
        </w:rPr>
        <w:t xml:space="preserve"> Center-ITC) 7607.11 ve 7607.19 </w:t>
      </w:r>
      <w:proofErr w:type="spellStart"/>
      <w:r w:rsidRPr="0042354C">
        <w:rPr>
          <w:bCs/>
        </w:rPr>
        <w:t>GTP’lerine</w:t>
      </w:r>
      <w:proofErr w:type="spellEnd"/>
      <w:r w:rsidRPr="0042354C">
        <w:rPr>
          <w:bCs/>
        </w:rPr>
        <w:t xml:space="preserve"> ilişkin verilerine dayanılarak yapılmıştır. Her ne kadar zarar inceleme dönemi 2021-2023 yılları ile 1/7/2023-30/6/2024 tarihleri arasındaki dönem için inceleniyor olsa </w:t>
      </w:r>
      <w:proofErr w:type="gramStart"/>
      <w:r w:rsidRPr="0042354C">
        <w:rPr>
          <w:bCs/>
        </w:rPr>
        <w:t>da,</w:t>
      </w:r>
      <w:proofErr w:type="gramEnd"/>
      <w:r w:rsidRPr="0042354C">
        <w:rPr>
          <w:bCs/>
        </w:rPr>
        <w:t xml:space="preserve"> parçalı döneme ilişkin veriler </w:t>
      </w:r>
      <w:proofErr w:type="spellStart"/>
      <w:r w:rsidRPr="0042354C">
        <w:rPr>
          <w:bCs/>
        </w:rPr>
        <w:t>ITC’den</w:t>
      </w:r>
      <w:proofErr w:type="spellEnd"/>
      <w:r w:rsidRPr="0042354C">
        <w:rPr>
          <w:bCs/>
        </w:rPr>
        <w:t xml:space="preserve"> elde edilememiştir. Bu çerçevede, 2021-2024 dönemine ait ihracat verileri esas alınmıştır.</w:t>
      </w:r>
    </w:p>
    <w:p w14:paraId="3D175973" w14:textId="77777777" w:rsidR="0079262B" w:rsidRPr="0042354C" w:rsidRDefault="0079262B" w:rsidP="0079262B">
      <w:pPr>
        <w:numPr>
          <w:ilvl w:val="0"/>
          <w:numId w:val="43"/>
        </w:numPr>
        <w:spacing w:before="120" w:after="120"/>
        <w:jc w:val="both"/>
        <w:rPr>
          <w:bCs/>
        </w:rPr>
      </w:pPr>
      <w:r w:rsidRPr="0042354C">
        <w:rPr>
          <w:bCs/>
        </w:rPr>
        <w:t>Soruşturma konusu ürünün dünya ihracatının miktar bazında 2021 yılında 2,58 milyon ton, 2022 yılında 2,74 milyon ton, 2023 yılında 2,28 milyon ton ve 2024 yılında 2,59 milyon ton; değer bazında ise sırasıyla 11,3 milyar ABD doları, 14,4 milyar ABD doları, 11 milyar ABD doları ve 11,5 milyar ABD doları seviyelerinde gerçekleştiği görülmektedir.</w:t>
      </w:r>
    </w:p>
    <w:p w14:paraId="5E120AF4" w14:textId="6FDE4559" w:rsidR="0079262B" w:rsidRPr="0042354C" w:rsidRDefault="0079262B" w:rsidP="0079262B">
      <w:pPr>
        <w:numPr>
          <w:ilvl w:val="0"/>
          <w:numId w:val="43"/>
        </w:numPr>
        <w:spacing w:before="120" w:after="120"/>
        <w:jc w:val="both"/>
        <w:rPr>
          <w:bCs/>
        </w:rPr>
      </w:pPr>
      <w:proofErr w:type="spellStart"/>
      <w:r w:rsidRPr="0042354C">
        <w:rPr>
          <w:bCs/>
        </w:rPr>
        <w:t>ÇHC’nin</w:t>
      </w:r>
      <w:proofErr w:type="spellEnd"/>
      <w:r w:rsidRPr="0042354C">
        <w:rPr>
          <w:bCs/>
        </w:rPr>
        <w:t xml:space="preserve"> dünya geneline yönelik ihracatı miktar bazında 2021 yılında 1,15 milyon ton, 2022 yılında 1,25 milyon ton, 2023 yılında 1,07 milyon ton ve 2024 yılında 1,29 milyon ton; değer bazında ise sırasıyla 4,4 milyar ABD doları, 5,9 milyar ABD doları, 4,3 milyar ABD doları ve 4,8 milyar ABD doları seviyelerinde gerçekleşmiştir.</w:t>
      </w:r>
    </w:p>
    <w:p w14:paraId="29EF193E" w14:textId="610B818C" w:rsidR="0079262B" w:rsidRPr="0042354C" w:rsidRDefault="0079262B" w:rsidP="0079262B">
      <w:pPr>
        <w:numPr>
          <w:ilvl w:val="0"/>
          <w:numId w:val="43"/>
        </w:numPr>
        <w:spacing w:before="120" w:after="120"/>
        <w:jc w:val="both"/>
        <w:rPr>
          <w:bCs/>
        </w:rPr>
      </w:pPr>
      <w:proofErr w:type="spellStart"/>
      <w:r w:rsidRPr="0042354C">
        <w:rPr>
          <w:bCs/>
        </w:rPr>
        <w:t>ÇHC’nin</w:t>
      </w:r>
      <w:proofErr w:type="spellEnd"/>
      <w:r w:rsidRPr="0042354C">
        <w:rPr>
          <w:bCs/>
        </w:rPr>
        <w:t xml:space="preserve"> dünya ihracatından aldığı payın miktar bazında 2021 yılında yaklaşık %45, 2022 yılında %46, 2023 yılında %47 ve 2024 yılında %50 seviyelerinde gerçekleştiği görülmektedir.</w:t>
      </w:r>
    </w:p>
    <w:p w14:paraId="06C134B3" w14:textId="604302F1" w:rsidR="0079262B" w:rsidRPr="0042354C" w:rsidRDefault="0079262B" w:rsidP="0079262B">
      <w:pPr>
        <w:numPr>
          <w:ilvl w:val="0"/>
          <w:numId w:val="43"/>
        </w:numPr>
        <w:spacing w:before="120" w:after="120"/>
        <w:jc w:val="both"/>
        <w:rPr>
          <w:bCs/>
        </w:rPr>
      </w:pPr>
      <w:r w:rsidRPr="0042354C">
        <w:rPr>
          <w:bCs/>
        </w:rPr>
        <w:t xml:space="preserve">Bu çerçevede, </w:t>
      </w:r>
      <w:proofErr w:type="spellStart"/>
      <w:r w:rsidRPr="0042354C">
        <w:rPr>
          <w:bCs/>
        </w:rPr>
        <w:t>ÇHC’nin</w:t>
      </w:r>
      <w:proofErr w:type="spellEnd"/>
      <w:r w:rsidRPr="0042354C">
        <w:rPr>
          <w:bCs/>
        </w:rPr>
        <w:t xml:space="preserve"> incelenen dönemde soruşturma konusu üründe dünya genelinde ana tedarikçi konumunda </w:t>
      </w:r>
      <w:proofErr w:type="gramStart"/>
      <w:r w:rsidRPr="0042354C">
        <w:rPr>
          <w:bCs/>
        </w:rPr>
        <w:t>bulunduğu;</w:t>
      </w:r>
      <w:proofErr w:type="gramEnd"/>
      <w:r w:rsidRPr="0042354C">
        <w:rPr>
          <w:bCs/>
        </w:rPr>
        <w:t xml:space="preserve"> hem miktar hem değer bazında dünya ihracatında ilk sırada yer aldığı ve özellikle 2024 yılında %50 seviyesine yaklaşan payı ile küresel pazardaki ağırlığını artırdığı dikkate alındığında, önemli düzeyde üretim ve ihracat potansiyeline sahip olduğu değerlendirilmektedir.</w:t>
      </w:r>
    </w:p>
    <w:p w14:paraId="6E4AFF4F" w14:textId="308F129C" w:rsidR="006579A1" w:rsidRPr="0042354C" w:rsidRDefault="006579A1" w:rsidP="00D53776">
      <w:pPr>
        <w:pStyle w:val="ListeParagraf"/>
        <w:numPr>
          <w:ilvl w:val="2"/>
          <w:numId w:val="39"/>
        </w:numPr>
        <w:autoSpaceDE w:val="0"/>
        <w:autoSpaceDN w:val="0"/>
        <w:adjustRightInd w:val="0"/>
        <w:spacing w:before="120" w:after="120"/>
        <w:jc w:val="both"/>
        <w:rPr>
          <w:b/>
          <w:bCs/>
        </w:rPr>
      </w:pPr>
      <w:r w:rsidRPr="0042354C">
        <w:rPr>
          <w:b/>
          <w:bCs/>
        </w:rPr>
        <w:t xml:space="preserve">Diğer </w:t>
      </w:r>
      <w:r w:rsidR="00DD793A" w:rsidRPr="0042354C">
        <w:rPr>
          <w:b/>
          <w:bCs/>
        </w:rPr>
        <w:t>ülkeler tarafından uygulanmakta olan dampinge karşı önlemler</w:t>
      </w:r>
    </w:p>
    <w:p w14:paraId="14416CF1" w14:textId="510F173A" w:rsidR="00D53776" w:rsidRPr="0042354C" w:rsidRDefault="00D476EB" w:rsidP="009565A9">
      <w:pPr>
        <w:numPr>
          <w:ilvl w:val="0"/>
          <w:numId w:val="44"/>
        </w:numPr>
        <w:spacing w:before="120" w:after="120"/>
        <w:jc w:val="both"/>
        <w:rPr>
          <w:bCs/>
        </w:rPr>
      </w:pPr>
      <w:r w:rsidRPr="0042354C">
        <w:rPr>
          <w:bCs/>
        </w:rPr>
        <w:t>Soruşturma</w:t>
      </w:r>
      <w:r w:rsidR="006579A1" w:rsidRPr="0042354C">
        <w:rPr>
          <w:bCs/>
        </w:rPr>
        <w:t xml:space="preserve"> konusu üründe </w:t>
      </w:r>
      <w:r w:rsidRPr="0042354C">
        <w:rPr>
          <w:bCs/>
        </w:rPr>
        <w:t>soruşturma</w:t>
      </w:r>
      <w:r w:rsidR="006579A1" w:rsidRPr="0042354C">
        <w:rPr>
          <w:bCs/>
        </w:rPr>
        <w:t xml:space="preserve"> konusu ülkeye diğer ülkeler tarafından uygulanan önlemler, ihracatçı firmaların davranışlarını ve muhtemel olan dampingli ithalatı göstermesi açısından önem taşımaktadır.</w:t>
      </w:r>
    </w:p>
    <w:p w14:paraId="6D5D3119" w14:textId="43A842FB" w:rsidR="006579A1" w:rsidRPr="0042354C" w:rsidRDefault="006579A1" w:rsidP="009565A9">
      <w:pPr>
        <w:numPr>
          <w:ilvl w:val="0"/>
          <w:numId w:val="44"/>
        </w:numPr>
        <w:spacing w:before="120" w:after="120"/>
        <w:jc w:val="both"/>
        <w:rPr>
          <w:bCs/>
        </w:rPr>
      </w:pPr>
      <w:r w:rsidRPr="0042354C">
        <w:rPr>
          <w:bCs/>
        </w:rPr>
        <w:t xml:space="preserve">ÇHC menşeli </w:t>
      </w:r>
      <w:r w:rsidR="004F7EC6" w:rsidRPr="0042354C">
        <w:rPr>
          <w:bCs/>
        </w:rPr>
        <w:t>soruşturma</w:t>
      </w:r>
      <w:r w:rsidRPr="0042354C">
        <w:rPr>
          <w:bCs/>
        </w:rPr>
        <w:t xml:space="preserve"> konusu ürü</w:t>
      </w:r>
      <w:r w:rsidR="006A3F05" w:rsidRPr="0042354C">
        <w:rPr>
          <w:bCs/>
        </w:rPr>
        <w:t>n</w:t>
      </w:r>
      <w:r w:rsidR="005530C0" w:rsidRPr="0042354C">
        <w:rPr>
          <w:bCs/>
        </w:rPr>
        <w:t>e</w:t>
      </w:r>
      <w:r w:rsidR="006A3F05" w:rsidRPr="0042354C">
        <w:rPr>
          <w:bCs/>
        </w:rPr>
        <w:t xml:space="preserve"> </w:t>
      </w:r>
      <w:r w:rsidRPr="0042354C">
        <w:rPr>
          <w:bCs/>
        </w:rPr>
        <w:t xml:space="preserve">ilişkin olarak Arjantin tarafından 9/3/2020 tarihinde %28 oranında, Hindistan tarafından 16/9/2021 tarihinde 398,45 ila 979,99 ABD doları/ton tutarında değişen tutarlarda, Çin </w:t>
      </w:r>
      <w:proofErr w:type="spellStart"/>
      <w:r w:rsidRPr="0042354C">
        <w:rPr>
          <w:bCs/>
        </w:rPr>
        <w:t>Tayvanı</w:t>
      </w:r>
      <w:proofErr w:type="spellEnd"/>
      <w:r w:rsidRPr="0042354C">
        <w:rPr>
          <w:bCs/>
        </w:rPr>
        <w:t xml:space="preserve"> tarafından 31/8/2021 tarihinde %19,42 ila %31,36 arasında değişen oranlarda, Meksika tarafından 27/12/2019 tarihinde 0,17968 ila 1,1634 ABD doları/kg tutarında değişen tutarlarda dampinge karşı önlem yürürlüğe konulmuştur. Benzer şekilde, Avrupa Birliği tarafından ÇHC menşeli </w:t>
      </w:r>
      <w:r w:rsidR="00A458D2" w:rsidRPr="0042354C">
        <w:rPr>
          <w:bCs/>
        </w:rPr>
        <w:t>soruşturma</w:t>
      </w:r>
      <w:r w:rsidRPr="0042354C">
        <w:rPr>
          <w:bCs/>
        </w:rPr>
        <w:t xml:space="preserve"> konusu ürüne ilişkin olarak 13/3/2013 tarihinde %35,6 oranında, 11/10/2021 tarihinde %24,6 oranında ve 8/12/2021 tarihinde %28,5 oranında dampinge karşı önlem yürürlüğe konulmuştur. Ayrıca, ÇHC menşeli </w:t>
      </w:r>
      <w:r w:rsidR="004F7EC6" w:rsidRPr="0042354C">
        <w:rPr>
          <w:bCs/>
        </w:rPr>
        <w:t>soruşturma</w:t>
      </w:r>
      <w:r w:rsidRPr="0042354C">
        <w:rPr>
          <w:bCs/>
        </w:rPr>
        <w:t xml:space="preserve"> konusu ürüne yönelik olarak ABD tarafından 19/4/2018 tarihinde %32,81 ve %105,80 oranlarında dampinge karşı önlem ve 21/5/2018 tarihinde ise %17,14 ila %80,97 arasında firma bazında değişen oranlarda sübvansiyona karşı telafi edici önlem yürürlüğe konulmuştur.</w:t>
      </w:r>
    </w:p>
    <w:p w14:paraId="72433ED6" w14:textId="2A42685D" w:rsidR="00975C9D" w:rsidRPr="0042354C" w:rsidRDefault="00E11109" w:rsidP="00E7731B">
      <w:pPr>
        <w:pStyle w:val="Altyaz"/>
        <w:spacing w:before="120" w:after="120"/>
        <w:jc w:val="both"/>
        <w:rPr>
          <w:rFonts w:ascii="Times New Roman" w:hAnsi="Times New Roman"/>
          <w:b/>
        </w:rPr>
      </w:pPr>
      <w:bookmarkStart w:id="44" w:name="_Toc44517752"/>
      <w:bookmarkStart w:id="45" w:name="_Toc227682708"/>
      <w:r w:rsidRPr="0042354C">
        <w:rPr>
          <w:rFonts w:ascii="Times New Roman" w:hAnsi="Times New Roman"/>
          <w:b/>
        </w:rPr>
        <w:t>3</w:t>
      </w:r>
      <w:r w:rsidR="00975C9D" w:rsidRPr="0042354C">
        <w:rPr>
          <w:rFonts w:ascii="Times New Roman" w:hAnsi="Times New Roman"/>
          <w:b/>
        </w:rPr>
        <w:t>.</w:t>
      </w:r>
      <w:r w:rsidR="00207DE5" w:rsidRPr="0042354C">
        <w:rPr>
          <w:rFonts w:ascii="Times New Roman" w:hAnsi="Times New Roman"/>
          <w:b/>
        </w:rPr>
        <w:t>4</w:t>
      </w:r>
      <w:r w:rsidR="00975C9D" w:rsidRPr="0042354C">
        <w:rPr>
          <w:rFonts w:ascii="Times New Roman" w:hAnsi="Times New Roman"/>
          <w:b/>
        </w:rPr>
        <w:t xml:space="preserve"> Dampingin </w:t>
      </w:r>
      <w:r w:rsidR="00DD793A" w:rsidRPr="0042354C">
        <w:rPr>
          <w:rFonts w:ascii="Times New Roman" w:hAnsi="Times New Roman"/>
          <w:b/>
        </w:rPr>
        <w:t xml:space="preserve">devamı veya yeniden meydana </w:t>
      </w:r>
      <w:proofErr w:type="gramStart"/>
      <w:r w:rsidR="00DD793A" w:rsidRPr="0042354C">
        <w:rPr>
          <w:rFonts w:ascii="Times New Roman" w:hAnsi="Times New Roman"/>
          <w:b/>
        </w:rPr>
        <w:t>gelmesi  ihtimaline</w:t>
      </w:r>
      <w:proofErr w:type="gramEnd"/>
      <w:r w:rsidR="00DD793A" w:rsidRPr="0042354C">
        <w:rPr>
          <w:rFonts w:ascii="Times New Roman" w:hAnsi="Times New Roman"/>
          <w:b/>
        </w:rPr>
        <w:t xml:space="preserve"> ilişkin değerlendirme</w:t>
      </w:r>
      <w:bookmarkEnd w:id="44"/>
      <w:bookmarkEnd w:id="45"/>
    </w:p>
    <w:p w14:paraId="18CE855D" w14:textId="514BB9C0" w:rsidR="00975C9D" w:rsidRPr="0042354C" w:rsidRDefault="00975C9D" w:rsidP="00111799">
      <w:pPr>
        <w:pStyle w:val="Default"/>
        <w:numPr>
          <w:ilvl w:val="0"/>
          <w:numId w:val="16"/>
        </w:numPr>
        <w:spacing w:before="120" w:after="120"/>
        <w:jc w:val="both"/>
        <w:rPr>
          <w:color w:val="auto"/>
        </w:rPr>
      </w:pPr>
      <w:r w:rsidRPr="0042354C">
        <w:rPr>
          <w:color w:val="auto"/>
        </w:rPr>
        <w:t xml:space="preserve"> Yapılan inceleme sonucunda;</w:t>
      </w:r>
    </w:p>
    <w:p w14:paraId="56274D91" w14:textId="7E11D08A" w:rsidR="00D53776" w:rsidRPr="0042354C" w:rsidRDefault="00D53776" w:rsidP="00D53776">
      <w:pPr>
        <w:pStyle w:val="ListeParagraf"/>
        <w:spacing w:before="120" w:after="120"/>
        <w:ind w:left="0" w:firstLine="397"/>
        <w:jc w:val="both"/>
        <w:rPr>
          <w:lang w:eastAsia="en-US"/>
        </w:rPr>
      </w:pPr>
      <w:bookmarkStart w:id="46" w:name="_Toc223945996"/>
      <w:bookmarkStart w:id="47" w:name="_Toc239562543"/>
      <w:bookmarkStart w:id="48" w:name="_Toc44517753"/>
      <w:r w:rsidRPr="0042354C">
        <w:t xml:space="preserve">i.   Önlemin kalkması halinde </w:t>
      </w:r>
      <w:r w:rsidR="00A458D2" w:rsidRPr="0042354C">
        <w:t>soruşturma</w:t>
      </w:r>
      <w:r w:rsidRPr="0042354C">
        <w:t xml:space="preserve"> konusu ülkenin davranışlarını göstermesi açısından önemli bir gösterge niteliğinde olan, esas soruşturmada ÇHC için tespit edilen damping marjının önemli seviyede olduğu,</w:t>
      </w:r>
    </w:p>
    <w:p w14:paraId="3CD789EB" w14:textId="498F32D8" w:rsidR="00D53776" w:rsidRPr="0042354C" w:rsidRDefault="00D53776" w:rsidP="00D53776">
      <w:pPr>
        <w:pStyle w:val="ListeParagraf"/>
        <w:spacing w:before="120" w:after="120"/>
        <w:ind w:left="0" w:firstLine="397"/>
        <w:jc w:val="both"/>
      </w:pPr>
      <w:r w:rsidRPr="0042354C">
        <w:t xml:space="preserve">ii.  </w:t>
      </w:r>
      <w:r w:rsidR="004F7EC6" w:rsidRPr="0042354C">
        <w:t>Soruşturma</w:t>
      </w:r>
      <w:r w:rsidRPr="0042354C">
        <w:t xml:space="preserve"> konusu üründe dünyadaki </w:t>
      </w:r>
      <w:r w:rsidR="00EE3A37" w:rsidRPr="0042354C">
        <w:t xml:space="preserve">en </w:t>
      </w:r>
      <w:r w:rsidRPr="0042354C">
        <w:t xml:space="preserve">önemli tedarikçi ülke olan </w:t>
      </w:r>
      <w:proofErr w:type="spellStart"/>
      <w:r w:rsidRPr="0042354C">
        <w:t>ÇHC’nin</w:t>
      </w:r>
      <w:proofErr w:type="spellEnd"/>
      <w:r w:rsidRPr="0042354C">
        <w:t xml:space="preserve"> halihazırda Türkiye’ye yönlendirebileceği önemli üretim kapasitesinin ve ihracat kabiliyetinin bulunduğu,</w:t>
      </w:r>
    </w:p>
    <w:p w14:paraId="33D2D8D5" w14:textId="21F6D138" w:rsidR="00D53776" w:rsidRPr="0042354C" w:rsidRDefault="00D53776" w:rsidP="00D53776">
      <w:pPr>
        <w:pStyle w:val="ListeParagraf"/>
        <w:spacing w:before="120" w:after="120"/>
        <w:ind w:left="0" w:firstLine="397"/>
        <w:jc w:val="both"/>
      </w:pPr>
      <w:r w:rsidRPr="0042354C">
        <w:t xml:space="preserve">iii.  ÇHC menşeli </w:t>
      </w:r>
      <w:r w:rsidR="004F7EC6" w:rsidRPr="0042354C">
        <w:t>soruşturma</w:t>
      </w:r>
      <w:r w:rsidRPr="0042354C">
        <w:t xml:space="preserve"> konusu ürüne ilişkin olarak Arjantin, Hindistan, Çin </w:t>
      </w:r>
      <w:proofErr w:type="spellStart"/>
      <w:r w:rsidRPr="0042354C">
        <w:t>Tayvanı</w:t>
      </w:r>
      <w:proofErr w:type="spellEnd"/>
      <w:r w:rsidRPr="0042354C">
        <w:t>, Meksika, Avrupa Birliği ve ABD tarafından yürürlüğe konulan dampinge karşı önlemlerin</w:t>
      </w:r>
      <w:r w:rsidR="004F7EC6" w:rsidRPr="0042354C">
        <w:t>/sübvansiyona karşı telafi edici önlemlerin</w:t>
      </w:r>
      <w:r w:rsidRPr="0042354C">
        <w:t xml:space="preserve"> halen yürürlükte olduğu</w:t>
      </w:r>
      <w:r w:rsidR="003C2A09">
        <w:t>,</w:t>
      </w:r>
    </w:p>
    <w:p w14:paraId="3AD542C3" w14:textId="77777777" w:rsidR="00D53776" w:rsidRPr="0042354C" w:rsidRDefault="00D53776" w:rsidP="003C2A09">
      <w:pPr>
        <w:pStyle w:val="ListeParagraf"/>
        <w:spacing w:before="120" w:after="120"/>
        <w:ind w:left="0" w:firstLine="397"/>
        <w:jc w:val="both"/>
      </w:pPr>
      <w:proofErr w:type="gramStart"/>
      <w:r w:rsidRPr="0042354C">
        <w:t>hususları</w:t>
      </w:r>
      <w:proofErr w:type="gramEnd"/>
      <w:r w:rsidRPr="0042354C">
        <w:t xml:space="preserve"> birlikte değerlendirildiğinde, yürürlükteki önlemin kalkması halinde dampingli ithalatın devam etmesinin veya tekrar etmesinin muhtemel olduğu değerlendirilmektedir. </w:t>
      </w:r>
    </w:p>
    <w:p w14:paraId="487A9B7B" w14:textId="1325E300" w:rsidR="008218BE" w:rsidRPr="0042354C" w:rsidRDefault="00E11109" w:rsidP="00B44347">
      <w:pPr>
        <w:pStyle w:val="Balk1"/>
        <w:spacing w:before="120" w:after="120"/>
        <w:jc w:val="left"/>
        <w:rPr>
          <w:rFonts w:ascii="Times New Roman" w:hAnsi="Times New Roman" w:cs="Times New Roman"/>
          <w:bCs w:val="0"/>
          <w:sz w:val="24"/>
          <w:szCs w:val="24"/>
        </w:rPr>
      </w:pPr>
      <w:bookmarkStart w:id="49" w:name="_Toc227682709"/>
      <w:r w:rsidRPr="0042354C">
        <w:rPr>
          <w:rFonts w:ascii="Times New Roman" w:hAnsi="Times New Roman" w:cs="Times New Roman"/>
          <w:bCs w:val="0"/>
          <w:sz w:val="24"/>
          <w:szCs w:val="24"/>
        </w:rPr>
        <w:t>4</w:t>
      </w:r>
      <w:r w:rsidR="007E1CD7" w:rsidRPr="0042354C">
        <w:rPr>
          <w:rFonts w:ascii="Times New Roman" w:hAnsi="Times New Roman" w:cs="Times New Roman"/>
          <w:bCs w:val="0"/>
          <w:sz w:val="24"/>
          <w:szCs w:val="24"/>
        </w:rPr>
        <w:t xml:space="preserve">. </w:t>
      </w:r>
      <w:r w:rsidR="008218BE" w:rsidRPr="0042354C">
        <w:rPr>
          <w:rFonts w:ascii="Times New Roman" w:hAnsi="Times New Roman" w:cs="Times New Roman"/>
          <w:bCs w:val="0"/>
          <w:sz w:val="24"/>
          <w:szCs w:val="24"/>
        </w:rPr>
        <w:t xml:space="preserve">ZARARIN DEVAMI </w:t>
      </w:r>
      <w:r w:rsidR="003435D5" w:rsidRPr="0042354C">
        <w:rPr>
          <w:rFonts w:ascii="Times New Roman" w:hAnsi="Times New Roman" w:cs="Times New Roman"/>
          <w:bCs w:val="0"/>
          <w:sz w:val="24"/>
          <w:szCs w:val="24"/>
        </w:rPr>
        <w:t xml:space="preserve">VEYA YENİDEN </w:t>
      </w:r>
      <w:r w:rsidR="00E7731B" w:rsidRPr="0042354C">
        <w:rPr>
          <w:rFonts w:ascii="Times New Roman" w:hAnsi="Times New Roman" w:cs="Times New Roman"/>
          <w:bCs w:val="0"/>
          <w:sz w:val="24"/>
          <w:szCs w:val="24"/>
        </w:rPr>
        <w:t>MEYDANA GELMESİ</w:t>
      </w:r>
      <w:r w:rsidR="003435D5" w:rsidRPr="0042354C">
        <w:rPr>
          <w:rFonts w:ascii="Times New Roman" w:hAnsi="Times New Roman" w:cs="Times New Roman"/>
          <w:bCs w:val="0"/>
          <w:sz w:val="24"/>
          <w:szCs w:val="24"/>
        </w:rPr>
        <w:t xml:space="preserve"> İHTİMALİ </w:t>
      </w:r>
      <w:r w:rsidR="008218BE" w:rsidRPr="0042354C">
        <w:rPr>
          <w:rFonts w:ascii="Times New Roman" w:hAnsi="Times New Roman" w:cs="Times New Roman"/>
          <w:bCs w:val="0"/>
          <w:sz w:val="24"/>
          <w:szCs w:val="24"/>
        </w:rPr>
        <w:t>İDDİASI</w:t>
      </w:r>
      <w:bookmarkEnd w:id="46"/>
      <w:bookmarkEnd w:id="47"/>
      <w:bookmarkEnd w:id="48"/>
      <w:bookmarkEnd w:id="49"/>
    </w:p>
    <w:p w14:paraId="22AB8D7C" w14:textId="36E723BC" w:rsidR="00DF4CAE" w:rsidRPr="0042354C" w:rsidRDefault="00E11109" w:rsidP="00204549">
      <w:pPr>
        <w:pStyle w:val="Altyaz"/>
        <w:spacing w:before="120" w:after="120"/>
        <w:jc w:val="left"/>
        <w:rPr>
          <w:rFonts w:ascii="Times New Roman" w:hAnsi="Times New Roman"/>
        </w:rPr>
      </w:pPr>
      <w:bookmarkStart w:id="50" w:name="_Toc44517754"/>
      <w:bookmarkStart w:id="51" w:name="_Toc227682710"/>
      <w:bookmarkStart w:id="52" w:name="_Toc239562544"/>
      <w:r w:rsidRPr="0042354C">
        <w:rPr>
          <w:rFonts w:ascii="Times New Roman" w:hAnsi="Times New Roman"/>
          <w:b/>
        </w:rPr>
        <w:t>4</w:t>
      </w:r>
      <w:r w:rsidR="00DF4CAE" w:rsidRPr="0042354C">
        <w:rPr>
          <w:rFonts w:ascii="Times New Roman" w:hAnsi="Times New Roman"/>
          <w:b/>
        </w:rPr>
        <w:t xml:space="preserve">.1 Genel </w:t>
      </w:r>
      <w:r w:rsidR="00DD793A">
        <w:rPr>
          <w:rFonts w:ascii="Times New Roman" w:hAnsi="Times New Roman"/>
          <w:b/>
        </w:rPr>
        <w:t>a</w:t>
      </w:r>
      <w:r w:rsidR="00DF4CAE" w:rsidRPr="0042354C">
        <w:rPr>
          <w:rFonts w:ascii="Times New Roman" w:hAnsi="Times New Roman"/>
          <w:b/>
        </w:rPr>
        <w:t>çıklamalar</w:t>
      </w:r>
      <w:bookmarkEnd w:id="50"/>
      <w:bookmarkEnd w:id="51"/>
    </w:p>
    <w:p w14:paraId="2A5F92AF" w14:textId="339FCBC0" w:rsidR="00DD7679" w:rsidRPr="0042354C" w:rsidRDefault="00DD7679" w:rsidP="00FF2856">
      <w:pPr>
        <w:spacing w:before="120" w:after="120"/>
        <w:jc w:val="both"/>
        <w:rPr>
          <w:bCs/>
        </w:rPr>
      </w:pPr>
      <w:bookmarkStart w:id="53" w:name="_Toc44517755"/>
      <w:r w:rsidRPr="0042354C">
        <w:rPr>
          <w:bCs/>
        </w:rPr>
        <w:t>(1) Yönetmeliğin 35 inci maddesi çerçevesinde,</w:t>
      </w:r>
      <w:r w:rsidR="00ED06BD" w:rsidRPr="0042354C">
        <w:rPr>
          <w:bCs/>
        </w:rPr>
        <w:t xml:space="preserve"> gözden geçirme döneminde yerli üretim dalının ekonomik göstergeleri ve önlemin yürürlükten kalkması halinde zararın devam etmesinin veya yeniden meydana gelmesinin muhtemel olup olmadığı incelenmiştir. </w:t>
      </w:r>
      <w:r w:rsidR="00FF2856" w:rsidRPr="0042354C">
        <w:rPr>
          <w:bCs/>
        </w:rPr>
        <w:t>Bu kapsamda, ithalatın mutlak ve nispi olarak gelişimi, dampingli ithalatın fiyatları ve bu fiyatların yerli üretim dalının fiyatları üzerindeki etkisi incelenmiştir. Ayrıca, yerli üretim dalının ekonomik göstergeleri gözden geçirme dönemi olarak belirlenen 1/1/2021-30/6/2024 aralığı için analiz edilmiştir.</w:t>
      </w:r>
    </w:p>
    <w:p w14:paraId="0DD115DF" w14:textId="04EA5412" w:rsidR="00764E44" w:rsidRPr="0042354C" w:rsidRDefault="00764E44" w:rsidP="00FF2856">
      <w:pPr>
        <w:spacing w:before="120" w:after="120"/>
        <w:jc w:val="both"/>
        <w:rPr>
          <w:bCs/>
        </w:rPr>
      </w:pPr>
      <w:r w:rsidRPr="0042354C">
        <w:rPr>
          <w:bCs/>
        </w:rPr>
        <w:t>(2) Soruşturma konusu ürünün genel ithalatı ve soruşturma konusu ülkelerden yapılan ithalatın incelenmesinde Bakanlık İstatistik Veri Tabanı verileri kullanılmıştır.</w:t>
      </w:r>
    </w:p>
    <w:p w14:paraId="0367E60D" w14:textId="23A2BA68" w:rsidR="008218BE" w:rsidRPr="0042354C" w:rsidRDefault="00E11109" w:rsidP="00B44347">
      <w:pPr>
        <w:pStyle w:val="Balk2"/>
        <w:pBdr>
          <w:top w:val="none" w:sz="0" w:space="0" w:color="auto"/>
          <w:left w:val="none" w:sz="0" w:space="0" w:color="auto"/>
          <w:bottom w:val="none" w:sz="0" w:space="0" w:color="auto"/>
          <w:right w:val="none" w:sz="0" w:space="0" w:color="auto"/>
        </w:pBdr>
        <w:spacing w:before="120" w:after="120"/>
        <w:jc w:val="left"/>
        <w:rPr>
          <w:rFonts w:ascii="Times New Roman" w:hAnsi="Times New Roman"/>
          <w:sz w:val="24"/>
          <w:szCs w:val="24"/>
        </w:rPr>
      </w:pPr>
      <w:bookmarkStart w:id="54" w:name="_Toc227682711"/>
      <w:r w:rsidRPr="0042354C">
        <w:rPr>
          <w:rFonts w:ascii="Times New Roman" w:hAnsi="Times New Roman"/>
          <w:sz w:val="24"/>
          <w:szCs w:val="24"/>
        </w:rPr>
        <w:t>4</w:t>
      </w:r>
      <w:r w:rsidR="00B05BE2" w:rsidRPr="0042354C">
        <w:rPr>
          <w:rFonts w:ascii="Times New Roman" w:hAnsi="Times New Roman"/>
          <w:sz w:val="24"/>
          <w:szCs w:val="24"/>
        </w:rPr>
        <w:t>.</w:t>
      </w:r>
      <w:r w:rsidR="002A484D" w:rsidRPr="0042354C">
        <w:rPr>
          <w:rFonts w:ascii="Times New Roman" w:hAnsi="Times New Roman"/>
          <w:sz w:val="24"/>
          <w:szCs w:val="24"/>
        </w:rPr>
        <w:t>2</w:t>
      </w:r>
      <w:r w:rsidR="008218BE" w:rsidRPr="0042354C">
        <w:rPr>
          <w:rFonts w:ascii="Times New Roman" w:hAnsi="Times New Roman"/>
          <w:sz w:val="24"/>
          <w:szCs w:val="24"/>
        </w:rPr>
        <w:t xml:space="preserve"> </w:t>
      </w:r>
      <w:bookmarkEnd w:id="52"/>
      <w:r w:rsidR="001914DB" w:rsidRPr="0042354C">
        <w:rPr>
          <w:rFonts w:ascii="Times New Roman" w:hAnsi="Times New Roman"/>
          <w:sz w:val="24"/>
          <w:szCs w:val="24"/>
        </w:rPr>
        <w:t xml:space="preserve">Ürünün </w:t>
      </w:r>
      <w:r w:rsidR="00DD793A" w:rsidRPr="0042354C">
        <w:rPr>
          <w:rFonts w:ascii="Times New Roman" w:hAnsi="Times New Roman"/>
          <w:sz w:val="24"/>
          <w:szCs w:val="24"/>
        </w:rPr>
        <w:t xml:space="preserve">genel ithalatının mutlak gelişimi ile fiyatları </w:t>
      </w:r>
      <w:bookmarkEnd w:id="53"/>
      <w:bookmarkEnd w:id="54"/>
    </w:p>
    <w:p w14:paraId="7FF02D5E" w14:textId="5A6FBE16" w:rsidR="00D53776" w:rsidRPr="0042354C" w:rsidRDefault="00D53776" w:rsidP="00D53776">
      <w:pPr>
        <w:spacing w:before="120" w:after="120"/>
        <w:jc w:val="both"/>
        <w:rPr>
          <w:bCs/>
        </w:rPr>
      </w:pPr>
      <w:bookmarkStart w:id="55" w:name="_Toc181262700"/>
      <w:bookmarkStart w:id="56" w:name="_Toc181262826"/>
      <w:bookmarkStart w:id="57" w:name="_Toc239562546"/>
      <w:bookmarkStart w:id="58" w:name="_Toc44517756"/>
      <w:r w:rsidRPr="0042354C">
        <w:rPr>
          <w:bCs/>
        </w:rPr>
        <w:t xml:space="preserve">(1) </w:t>
      </w:r>
      <w:r w:rsidR="004F7EC6" w:rsidRPr="0042354C">
        <w:rPr>
          <w:bCs/>
        </w:rPr>
        <w:t>Soruşturma</w:t>
      </w:r>
      <w:r w:rsidRPr="0042354C">
        <w:rPr>
          <w:bCs/>
        </w:rPr>
        <w:t xml:space="preserve"> konusu ürüne ilişkin genel ithalat istatistiklerine bakıldığında, toplam ithalatın 2021 yılında 33.233 ton, 2022 yılında 39.578 ton, 2023 yılında 32.636 ton ve </w:t>
      </w:r>
      <w:proofErr w:type="spellStart"/>
      <w:r w:rsidRPr="0042354C">
        <w:rPr>
          <w:bCs/>
        </w:rPr>
        <w:t>SD’de</w:t>
      </w:r>
      <w:proofErr w:type="spellEnd"/>
      <w:r w:rsidRPr="0042354C">
        <w:rPr>
          <w:bCs/>
        </w:rPr>
        <w:t xml:space="preserve"> 33.036 ton olarak gerçekleştiği görülmektedir.</w:t>
      </w:r>
      <w:bookmarkEnd w:id="55"/>
      <w:bookmarkEnd w:id="56"/>
      <w:r w:rsidRPr="0042354C">
        <w:rPr>
          <w:bCs/>
        </w:rPr>
        <w:t xml:space="preserve"> </w:t>
      </w:r>
    </w:p>
    <w:p w14:paraId="3C095EDE" w14:textId="1AACFCA3" w:rsidR="00D53776" w:rsidRPr="0042354C" w:rsidRDefault="00D53776" w:rsidP="00D53776">
      <w:pPr>
        <w:spacing w:before="120" w:after="120"/>
        <w:jc w:val="both"/>
        <w:rPr>
          <w:bCs/>
        </w:rPr>
      </w:pPr>
      <w:bookmarkStart w:id="59" w:name="_Toc181262701"/>
      <w:bookmarkStart w:id="60" w:name="_Toc181262827"/>
      <w:r w:rsidRPr="0042354C">
        <w:rPr>
          <w:bCs/>
        </w:rPr>
        <w:t>(2) Söz konusu ithalatın değeri incelenen dönem itibarıyla sırasıyla 147</w:t>
      </w:r>
      <w:r w:rsidR="004F7EC6" w:rsidRPr="0042354C">
        <w:rPr>
          <w:bCs/>
        </w:rPr>
        <w:t>,5 milyon</w:t>
      </w:r>
      <w:r w:rsidRPr="0042354C">
        <w:rPr>
          <w:bCs/>
        </w:rPr>
        <w:t xml:space="preserve"> ABD doları, 213</w:t>
      </w:r>
      <w:r w:rsidR="004F7EC6" w:rsidRPr="0042354C">
        <w:rPr>
          <w:bCs/>
        </w:rPr>
        <w:t>,7 milyon</w:t>
      </w:r>
      <w:r w:rsidRPr="0042354C">
        <w:rPr>
          <w:bCs/>
        </w:rPr>
        <w:t xml:space="preserve"> ABD doları, </w:t>
      </w:r>
      <w:r w:rsidR="004F7EC6" w:rsidRPr="0042354C">
        <w:rPr>
          <w:bCs/>
        </w:rPr>
        <w:t xml:space="preserve">164,7 milyon </w:t>
      </w:r>
      <w:r w:rsidRPr="0042354C">
        <w:rPr>
          <w:bCs/>
        </w:rPr>
        <w:t>ABD doları ve 157</w:t>
      </w:r>
      <w:r w:rsidR="004F7EC6" w:rsidRPr="0042354C">
        <w:rPr>
          <w:bCs/>
        </w:rPr>
        <w:t>,8 milyon</w:t>
      </w:r>
      <w:r w:rsidRPr="0042354C">
        <w:rPr>
          <w:bCs/>
        </w:rPr>
        <w:t xml:space="preserve"> ABD doları seviyelerinde gerçekleşmiştir.</w:t>
      </w:r>
      <w:bookmarkEnd w:id="59"/>
      <w:bookmarkEnd w:id="60"/>
    </w:p>
    <w:p w14:paraId="4E893DE5" w14:textId="77777777" w:rsidR="00D53776" w:rsidRPr="0042354C" w:rsidRDefault="00D53776" w:rsidP="00D53776">
      <w:pPr>
        <w:spacing w:before="120" w:after="120"/>
        <w:jc w:val="both"/>
        <w:rPr>
          <w:bCs/>
        </w:rPr>
      </w:pPr>
      <w:bookmarkStart w:id="61" w:name="_Toc181262702"/>
      <w:bookmarkStart w:id="62" w:name="_Toc181262828"/>
      <w:r w:rsidRPr="0042354C">
        <w:rPr>
          <w:bCs/>
        </w:rPr>
        <w:t>(3) Söz konusu ithalatın ortalama birim fiyatları, incelenen dönem itibarıyla sırasıyla 4.438 ABD doları/ton, 5.400 ABD doları/ton, 5.046 ABD doları/ton ve 4.778 ABD doları/ton olarak gerçekleşmiştir.</w:t>
      </w:r>
      <w:bookmarkEnd w:id="61"/>
      <w:bookmarkEnd w:id="62"/>
    </w:p>
    <w:p w14:paraId="149171B5" w14:textId="6472669C" w:rsidR="002933FF" w:rsidRPr="0042354C" w:rsidRDefault="00E11109" w:rsidP="00B44347">
      <w:pPr>
        <w:pStyle w:val="Altyaz"/>
        <w:spacing w:before="120" w:after="120"/>
        <w:jc w:val="left"/>
        <w:rPr>
          <w:rFonts w:ascii="Times New Roman" w:hAnsi="Times New Roman"/>
          <w:b/>
        </w:rPr>
      </w:pPr>
      <w:bookmarkStart w:id="63" w:name="_Toc227682712"/>
      <w:r w:rsidRPr="0042354C">
        <w:rPr>
          <w:rFonts w:ascii="Times New Roman" w:hAnsi="Times New Roman"/>
          <w:b/>
        </w:rPr>
        <w:t>4</w:t>
      </w:r>
      <w:r w:rsidR="008218BE" w:rsidRPr="0042354C">
        <w:rPr>
          <w:rFonts w:ascii="Times New Roman" w:hAnsi="Times New Roman"/>
          <w:b/>
        </w:rPr>
        <w:t>.</w:t>
      </w:r>
      <w:r w:rsidR="003A60EA" w:rsidRPr="0042354C">
        <w:rPr>
          <w:rFonts w:ascii="Times New Roman" w:hAnsi="Times New Roman"/>
          <w:b/>
        </w:rPr>
        <w:t>3</w:t>
      </w:r>
      <w:r w:rsidR="008218BE" w:rsidRPr="0042354C">
        <w:rPr>
          <w:rFonts w:ascii="Times New Roman" w:hAnsi="Times New Roman"/>
          <w:b/>
        </w:rPr>
        <w:t xml:space="preserve"> </w:t>
      </w:r>
      <w:bookmarkEnd w:id="57"/>
      <w:bookmarkEnd w:id="58"/>
      <w:r w:rsidR="00950F75" w:rsidRPr="0042354C">
        <w:rPr>
          <w:rFonts w:ascii="Times New Roman" w:hAnsi="Times New Roman"/>
          <w:b/>
        </w:rPr>
        <w:t xml:space="preserve">Ürünün </w:t>
      </w:r>
      <w:r w:rsidR="00DD793A" w:rsidRPr="0042354C">
        <w:rPr>
          <w:rFonts w:ascii="Times New Roman" w:hAnsi="Times New Roman"/>
          <w:b/>
        </w:rPr>
        <w:t xml:space="preserve">soruşturma konusu ülkeden gerçekleşen ithalatının mutlak gelişimi ile fiyatları </w:t>
      </w:r>
      <w:bookmarkEnd w:id="63"/>
    </w:p>
    <w:p w14:paraId="77DA831D" w14:textId="043BC7C9" w:rsidR="00D53776" w:rsidRPr="0042354C" w:rsidRDefault="00D53776" w:rsidP="00D53776">
      <w:pPr>
        <w:spacing w:before="120" w:after="120"/>
        <w:jc w:val="both"/>
        <w:rPr>
          <w:bCs/>
        </w:rPr>
      </w:pPr>
      <w:r w:rsidRPr="0042354C">
        <w:rPr>
          <w:bCs/>
        </w:rPr>
        <w:t xml:space="preserve">(1) ÇHC menşeli </w:t>
      </w:r>
      <w:r w:rsidR="004F7EC6" w:rsidRPr="0042354C">
        <w:rPr>
          <w:bCs/>
        </w:rPr>
        <w:t>soruşturma</w:t>
      </w:r>
      <w:r w:rsidRPr="0042354C">
        <w:rPr>
          <w:bCs/>
        </w:rPr>
        <w:t xml:space="preserve"> konusu ürün ithalatı, 2021 yılında 8.489 ton, 2022 yılında 16.225 ton, 2023 yılında 9.468 ton ve </w:t>
      </w:r>
      <w:proofErr w:type="spellStart"/>
      <w:r w:rsidRPr="0042354C">
        <w:rPr>
          <w:bCs/>
        </w:rPr>
        <w:t>SD’de</w:t>
      </w:r>
      <w:proofErr w:type="spellEnd"/>
      <w:r w:rsidRPr="0042354C">
        <w:rPr>
          <w:bCs/>
        </w:rPr>
        <w:t xml:space="preserve"> 9.209 ton olarak gerçekleşmiştir.</w:t>
      </w:r>
    </w:p>
    <w:p w14:paraId="14E4E28E" w14:textId="727B89B8" w:rsidR="00D53776" w:rsidRPr="0042354C" w:rsidRDefault="00D53776" w:rsidP="00D53776">
      <w:pPr>
        <w:spacing w:before="120" w:after="120"/>
        <w:jc w:val="both"/>
        <w:rPr>
          <w:bCs/>
        </w:rPr>
      </w:pPr>
      <w:r w:rsidRPr="0042354C">
        <w:rPr>
          <w:bCs/>
        </w:rPr>
        <w:t xml:space="preserve">(2) Söz konusu ithalatın değeri incelenen dönem itibarıyla sırasıyla </w:t>
      </w:r>
      <w:r w:rsidR="004F7EC6" w:rsidRPr="0042354C">
        <w:rPr>
          <w:bCs/>
        </w:rPr>
        <w:t>31,5 milyon</w:t>
      </w:r>
      <w:r w:rsidRPr="0042354C">
        <w:rPr>
          <w:bCs/>
        </w:rPr>
        <w:t xml:space="preserve"> ABD doları, 76</w:t>
      </w:r>
      <w:r w:rsidR="004F7EC6" w:rsidRPr="0042354C">
        <w:rPr>
          <w:bCs/>
        </w:rPr>
        <w:t>,2 milyon</w:t>
      </w:r>
      <w:r w:rsidRPr="0042354C">
        <w:rPr>
          <w:bCs/>
        </w:rPr>
        <w:t xml:space="preserve"> ABD doları, 3</w:t>
      </w:r>
      <w:r w:rsidR="004F7EC6" w:rsidRPr="0042354C">
        <w:rPr>
          <w:bCs/>
        </w:rPr>
        <w:t xml:space="preserve">7,1 milyon </w:t>
      </w:r>
      <w:r w:rsidRPr="0042354C">
        <w:rPr>
          <w:bCs/>
        </w:rPr>
        <w:t>ABD doları ve 35</w:t>
      </w:r>
      <w:r w:rsidR="004F7EC6" w:rsidRPr="0042354C">
        <w:rPr>
          <w:bCs/>
        </w:rPr>
        <w:t>,2 milyon</w:t>
      </w:r>
      <w:r w:rsidRPr="0042354C">
        <w:rPr>
          <w:bCs/>
        </w:rPr>
        <w:t xml:space="preserve"> ABD doları seviyelerinde gerçekleşmiştir.</w:t>
      </w:r>
    </w:p>
    <w:p w14:paraId="2BD40E2B" w14:textId="77777777" w:rsidR="00D53776" w:rsidRPr="0042354C" w:rsidRDefault="00D53776" w:rsidP="00D53776">
      <w:pPr>
        <w:spacing w:before="120" w:after="120"/>
        <w:jc w:val="both"/>
        <w:rPr>
          <w:bCs/>
        </w:rPr>
      </w:pPr>
      <w:r w:rsidRPr="0042354C">
        <w:rPr>
          <w:bCs/>
        </w:rPr>
        <w:t xml:space="preserve">(3) Söz konusu ithalatın ortalama birim fiyatları, incelenen dönem itibarıyla sırasıyla 3.710 ABD doları/ton, 4.699 ABD doları/ton, 3.918 ABD doları/ton ve 3.826 ABD doları/ton olarak gerçekleşmiştir. </w:t>
      </w:r>
    </w:p>
    <w:p w14:paraId="01306463" w14:textId="5ED15AE3" w:rsidR="00D53776" w:rsidRPr="0042354C" w:rsidRDefault="00D53776" w:rsidP="00D53776">
      <w:pPr>
        <w:spacing w:before="120" w:after="120"/>
        <w:jc w:val="both"/>
        <w:rPr>
          <w:bCs/>
        </w:rPr>
      </w:pPr>
      <w:r w:rsidRPr="0042354C">
        <w:rPr>
          <w:bCs/>
        </w:rPr>
        <w:t>(4) ÇHC menşeli ürün ithalatının toplam ithalat içindeki payı ise 2021 yılında %2</w:t>
      </w:r>
      <w:r w:rsidR="004F7EC6" w:rsidRPr="0042354C">
        <w:rPr>
          <w:bCs/>
        </w:rPr>
        <w:t>6</w:t>
      </w:r>
      <w:r w:rsidRPr="0042354C">
        <w:rPr>
          <w:bCs/>
        </w:rPr>
        <w:t xml:space="preserve">, 2022 yılında %41, 2023 yılında %29 ve </w:t>
      </w:r>
      <w:proofErr w:type="spellStart"/>
      <w:r w:rsidRPr="0042354C">
        <w:rPr>
          <w:bCs/>
        </w:rPr>
        <w:t>SD’de</w:t>
      </w:r>
      <w:proofErr w:type="spellEnd"/>
      <w:r w:rsidRPr="0042354C">
        <w:rPr>
          <w:bCs/>
        </w:rPr>
        <w:t xml:space="preserve"> %2</w:t>
      </w:r>
      <w:r w:rsidR="004F7EC6" w:rsidRPr="0042354C">
        <w:rPr>
          <w:bCs/>
        </w:rPr>
        <w:t>8</w:t>
      </w:r>
      <w:r w:rsidRPr="0042354C">
        <w:rPr>
          <w:bCs/>
        </w:rPr>
        <w:t xml:space="preserve"> değerlerini almıştır. </w:t>
      </w:r>
    </w:p>
    <w:p w14:paraId="6CFCAAEF" w14:textId="2BF58C4A" w:rsidR="006070C3" w:rsidRPr="0042354C" w:rsidRDefault="001914DB" w:rsidP="00111799">
      <w:pPr>
        <w:pStyle w:val="Altyaz"/>
        <w:numPr>
          <w:ilvl w:val="1"/>
          <w:numId w:val="17"/>
        </w:numPr>
        <w:spacing w:before="120" w:after="120"/>
        <w:jc w:val="left"/>
        <w:rPr>
          <w:rFonts w:ascii="Times New Roman" w:hAnsi="Times New Roman"/>
          <w:b/>
        </w:rPr>
      </w:pPr>
      <w:bookmarkStart w:id="64" w:name="_Toc44517757"/>
      <w:bookmarkStart w:id="65" w:name="_Toc227682713"/>
      <w:r w:rsidRPr="0042354C">
        <w:rPr>
          <w:rFonts w:ascii="Times New Roman" w:hAnsi="Times New Roman"/>
          <w:b/>
        </w:rPr>
        <w:t xml:space="preserve">Diğer </w:t>
      </w:r>
      <w:r w:rsidR="00DD793A" w:rsidRPr="0042354C">
        <w:rPr>
          <w:rFonts w:ascii="Times New Roman" w:hAnsi="Times New Roman"/>
          <w:b/>
        </w:rPr>
        <w:t xml:space="preserve">ülkelerden ithalatın mutlak gelişimi ile fiyatları </w:t>
      </w:r>
      <w:bookmarkEnd w:id="64"/>
      <w:bookmarkEnd w:id="65"/>
    </w:p>
    <w:p w14:paraId="28AF88E7" w14:textId="4F592E26" w:rsidR="00D53776" w:rsidRPr="0042354C" w:rsidRDefault="00D53776" w:rsidP="00D53776">
      <w:pPr>
        <w:autoSpaceDE w:val="0"/>
        <w:autoSpaceDN w:val="0"/>
        <w:adjustRightInd w:val="0"/>
        <w:spacing w:before="120" w:after="120"/>
        <w:jc w:val="both"/>
        <w:rPr>
          <w:rFonts w:eastAsiaTheme="minorHAnsi"/>
        </w:rPr>
      </w:pPr>
      <w:bookmarkStart w:id="66" w:name="_Toc44517758"/>
      <w:r w:rsidRPr="0042354C">
        <w:rPr>
          <w:rFonts w:eastAsiaTheme="minorHAnsi"/>
        </w:rPr>
        <w:t xml:space="preserve">(1) </w:t>
      </w:r>
      <w:r w:rsidR="004F7EC6" w:rsidRPr="0042354C">
        <w:rPr>
          <w:rFonts w:eastAsiaTheme="minorHAnsi"/>
        </w:rPr>
        <w:t>Soruşturma</w:t>
      </w:r>
      <w:r w:rsidRPr="0042354C">
        <w:rPr>
          <w:rFonts w:eastAsiaTheme="minorHAnsi"/>
        </w:rPr>
        <w:t xml:space="preserve"> konusu ürünün diğer ülkelerden ithalatı, 2021 yılında 24.744 ton, 2022 yılında 23.353 ton, 2023 yılında 23.168 ton ve </w:t>
      </w:r>
      <w:proofErr w:type="spellStart"/>
      <w:r w:rsidRPr="0042354C">
        <w:rPr>
          <w:rFonts w:eastAsiaTheme="minorHAnsi"/>
        </w:rPr>
        <w:t>SD’de</w:t>
      </w:r>
      <w:proofErr w:type="spellEnd"/>
      <w:r w:rsidRPr="0042354C">
        <w:rPr>
          <w:rFonts w:eastAsiaTheme="minorHAnsi"/>
        </w:rPr>
        <w:t xml:space="preserve"> 23.827 ton olarak gerçekleşmiştir. </w:t>
      </w:r>
    </w:p>
    <w:p w14:paraId="7123BEDC" w14:textId="2097AE73" w:rsidR="00D53776" w:rsidRPr="0042354C" w:rsidRDefault="00D53776" w:rsidP="00D53776">
      <w:pPr>
        <w:spacing w:before="120" w:after="120"/>
        <w:jc w:val="both"/>
      </w:pPr>
      <w:r w:rsidRPr="0042354C">
        <w:rPr>
          <w:rFonts w:eastAsiaTheme="minorHAnsi"/>
        </w:rPr>
        <w:t xml:space="preserve">(2) </w:t>
      </w:r>
      <w:r w:rsidRPr="0042354C">
        <w:t xml:space="preserve">Söz konusu ithalatın değeri incelenen dönem itibarıyla sırasıyla </w:t>
      </w:r>
      <w:r w:rsidRPr="0042354C">
        <w:rPr>
          <w:rFonts w:eastAsiaTheme="minorHAnsi"/>
        </w:rPr>
        <w:t>116</w:t>
      </w:r>
      <w:r w:rsidR="00F7015E" w:rsidRPr="0042354C">
        <w:rPr>
          <w:rFonts w:eastAsiaTheme="minorHAnsi"/>
        </w:rPr>
        <w:t xml:space="preserve"> milyon</w:t>
      </w:r>
      <w:r w:rsidRPr="0042354C">
        <w:rPr>
          <w:rFonts w:eastAsiaTheme="minorHAnsi"/>
        </w:rPr>
        <w:t xml:space="preserve"> ABD doları, 137</w:t>
      </w:r>
      <w:r w:rsidR="00F7015E" w:rsidRPr="0042354C">
        <w:rPr>
          <w:rFonts w:eastAsiaTheme="minorHAnsi"/>
        </w:rPr>
        <w:t>,5 milyon</w:t>
      </w:r>
      <w:r w:rsidRPr="0042354C">
        <w:rPr>
          <w:rFonts w:eastAsiaTheme="minorHAnsi"/>
        </w:rPr>
        <w:t xml:space="preserve"> ABD doları, 127</w:t>
      </w:r>
      <w:r w:rsidR="00F7015E" w:rsidRPr="0042354C">
        <w:rPr>
          <w:rFonts w:eastAsiaTheme="minorHAnsi"/>
        </w:rPr>
        <w:t>,6 milyon</w:t>
      </w:r>
      <w:r w:rsidRPr="0042354C">
        <w:rPr>
          <w:rFonts w:eastAsiaTheme="minorHAnsi"/>
        </w:rPr>
        <w:t xml:space="preserve"> ABD doları ve 122</w:t>
      </w:r>
      <w:r w:rsidR="00F7015E" w:rsidRPr="0042354C">
        <w:rPr>
          <w:rFonts w:eastAsiaTheme="minorHAnsi"/>
        </w:rPr>
        <w:t>,6 milyon</w:t>
      </w:r>
      <w:r w:rsidRPr="0042354C">
        <w:rPr>
          <w:rFonts w:eastAsiaTheme="minorHAnsi"/>
        </w:rPr>
        <w:t xml:space="preserve"> ABD doları değerlerini almıştır.</w:t>
      </w:r>
    </w:p>
    <w:p w14:paraId="035DFFED" w14:textId="77777777" w:rsidR="00D53776" w:rsidRPr="0042354C" w:rsidRDefault="00D53776" w:rsidP="00D53776">
      <w:pPr>
        <w:autoSpaceDE w:val="0"/>
        <w:autoSpaceDN w:val="0"/>
        <w:adjustRightInd w:val="0"/>
        <w:spacing w:before="120" w:after="120"/>
        <w:jc w:val="both"/>
        <w:rPr>
          <w:rFonts w:eastAsiaTheme="minorHAnsi"/>
        </w:rPr>
      </w:pPr>
      <w:r w:rsidRPr="0042354C">
        <w:rPr>
          <w:rFonts w:eastAsiaTheme="minorHAnsi"/>
        </w:rPr>
        <w:t>(3) Söz konusu ithalatın ortalama birim fiyatları, incelenen dönem itibarıyla sırasıyla 4.688 ABD doları/ton, 5.887 ABD doları/ton, 5.507 ABD doları/ton ve 5.145 ABD doları/ton olarak gerçekleşmiştir.</w:t>
      </w:r>
    </w:p>
    <w:p w14:paraId="482FE045" w14:textId="6AA01C28" w:rsidR="00D53776" w:rsidRPr="0042354C" w:rsidRDefault="00D53776" w:rsidP="00D53776">
      <w:pPr>
        <w:autoSpaceDE w:val="0"/>
        <w:autoSpaceDN w:val="0"/>
        <w:adjustRightInd w:val="0"/>
        <w:spacing w:before="120" w:after="120"/>
        <w:jc w:val="both"/>
        <w:rPr>
          <w:rFonts w:eastAsiaTheme="minorHAnsi"/>
        </w:rPr>
      </w:pPr>
      <w:r w:rsidRPr="0042354C">
        <w:rPr>
          <w:rFonts w:eastAsiaTheme="minorHAnsi"/>
        </w:rPr>
        <w:t>(4) Söz konusu ithalatın toplam ithalat içindeki payı ise sırasıyla %74, %59, %71 ve %72</w:t>
      </w:r>
      <w:r w:rsidR="00F7015E" w:rsidRPr="0042354C">
        <w:rPr>
          <w:rFonts w:eastAsiaTheme="minorHAnsi"/>
        </w:rPr>
        <w:t xml:space="preserve"> </w:t>
      </w:r>
      <w:r w:rsidRPr="0042354C">
        <w:rPr>
          <w:rFonts w:eastAsiaTheme="minorHAnsi"/>
        </w:rPr>
        <w:t xml:space="preserve">olarak gerçekleşmiştir. </w:t>
      </w:r>
    </w:p>
    <w:p w14:paraId="23FD835A" w14:textId="1226B9D4" w:rsidR="008218BE" w:rsidRPr="0042354C" w:rsidRDefault="00E11109" w:rsidP="00B44347">
      <w:pPr>
        <w:pStyle w:val="Altyaz"/>
        <w:spacing w:before="120" w:after="120"/>
        <w:jc w:val="left"/>
        <w:rPr>
          <w:rFonts w:ascii="Times New Roman" w:hAnsi="Times New Roman"/>
          <w:b/>
        </w:rPr>
      </w:pPr>
      <w:bookmarkStart w:id="67" w:name="_Toc227682714"/>
      <w:r w:rsidRPr="0042354C">
        <w:rPr>
          <w:rFonts w:ascii="Times New Roman" w:hAnsi="Times New Roman"/>
          <w:b/>
        </w:rPr>
        <w:t>4</w:t>
      </w:r>
      <w:r w:rsidR="006070C3" w:rsidRPr="0042354C">
        <w:rPr>
          <w:rFonts w:ascii="Times New Roman" w:hAnsi="Times New Roman"/>
          <w:b/>
        </w:rPr>
        <w:t>.</w:t>
      </w:r>
      <w:r w:rsidR="003A60EA" w:rsidRPr="0042354C">
        <w:rPr>
          <w:rFonts w:ascii="Times New Roman" w:hAnsi="Times New Roman"/>
          <w:b/>
        </w:rPr>
        <w:t>5</w:t>
      </w:r>
      <w:r w:rsidR="006070C3" w:rsidRPr="0042354C">
        <w:rPr>
          <w:rFonts w:ascii="Times New Roman" w:hAnsi="Times New Roman"/>
          <w:b/>
        </w:rPr>
        <w:t xml:space="preserve"> </w:t>
      </w:r>
      <w:r w:rsidR="001914DB" w:rsidRPr="0042354C">
        <w:rPr>
          <w:rFonts w:ascii="Times New Roman" w:hAnsi="Times New Roman"/>
          <w:b/>
        </w:rPr>
        <w:t xml:space="preserve">İthalatın </w:t>
      </w:r>
      <w:r w:rsidR="00DD793A" w:rsidRPr="0042354C">
        <w:rPr>
          <w:rFonts w:ascii="Times New Roman" w:hAnsi="Times New Roman"/>
          <w:b/>
        </w:rPr>
        <w:t xml:space="preserve">nispi gelişimi </w:t>
      </w:r>
      <w:bookmarkEnd w:id="66"/>
      <w:bookmarkEnd w:id="67"/>
    </w:p>
    <w:p w14:paraId="52E26AC8" w14:textId="098DA919" w:rsidR="00F56F7D" w:rsidRPr="0042354C" w:rsidRDefault="00390F01" w:rsidP="00390F01">
      <w:pPr>
        <w:spacing w:before="120" w:after="120"/>
        <w:jc w:val="both"/>
        <w:rPr>
          <w:bCs/>
        </w:rPr>
      </w:pPr>
      <w:r w:rsidRPr="0042354C">
        <w:rPr>
          <w:bCs/>
        </w:rPr>
        <w:t xml:space="preserve">(1) </w:t>
      </w:r>
      <w:r w:rsidR="00F56F7D" w:rsidRPr="0042354C">
        <w:rPr>
          <w:bCs/>
        </w:rPr>
        <w:t>Önlem konusu ithalatın nispi gelişimini görebilmek için soruşturma konusu ülke</w:t>
      </w:r>
      <w:r w:rsidR="00F1262D" w:rsidRPr="0042354C">
        <w:rPr>
          <w:bCs/>
        </w:rPr>
        <w:t xml:space="preserve">den </w:t>
      </w:r>
      <w:r w:rsidR="00F56F7D" w:rsidRPr="0042354C">
        <w:rPr>
          <w:bCs/>
        </w:rPr>
        <w:t xml:space="preserve">gerçekleştirilen ithalatın toplam Türkiye benzer mal tüketimi içindeki payı incelenmiştir. Bu </w:t>
      </w:r>
      <w:r w:rsidR="00F7015E" w:rsidRPr="0042354C">
        <w:rPr>
          <w:bCs/>
        </w:rPr>
        <w:t>çerçevede</w:t>
      </w:r>
      <w:r w:rsidR="00F56F7D" w:rsidRPr="0042354C">
        <w:rPr>
          <w:bCs/>
        </w:rPr>
        <w:t>, öncelikle yerli üretim dalı ve diğer yerli üretici</w:t>
      </w:r>
      <w:r w:rsidR="00AF043C" w:rsidRPr="0042354C">
        <w:rPr>
          <w:bCs/>
        </w:rPr>
        <w:t>lerin</w:t>
      </w:r>
      <w:r w:rsidR="00F56F7D" w:rsidRPr="0042354C">
        <w:rPr>
          <w:bCs/>
        </w:rPr>
        <w:t xml:space="preserve"> yurt içi satışları ile genel ithalat miktarı toplanarak ilgili yıllarda toplam Türkiye benzer mal tüketimi elde edilmiştir. Yerli üretim dalının yurt içi satışlarının ve soruşturma konusu ülke</w:t>
      </w:r>
      <w:r w:rsidR="00F1262D" w:rsidRPr="0042354C">
        <w:rPr>
          <w:bCs/>
        </w:rPr>
        <w:t>den</w:t>
      </w:r>
      <w:r w:rsidR="00F56F7D" w:rsidRPr="0042354C">
        <w:rPr>
          <w:bCs/>
        </w:rPr>
        <w:t xml:space="preserve"> gerçekleştirilen ithalatın toplam tüketime oranlanmasıyla pazar payları hesaplanmıştır. İncelenen veriler 202</w:t>
      </w:r>
      <w:r w:rsidR="0023253D" w:rsidRPr="0042354C">
        <w:rPr>
          <w:bCs/>
        </w:rPr>
        <w:t>1</w:t>
      </w:r>
      <w:r w:rsidR="00F56F7D" w:rsidRPr="0042354C">
        <w:rPr>
          <w:bCs/>
        </w:rPr>
        <w:t xml:space="preserve"> yılı 100 birim olacak şekilde endekslenmiştir.</w:t>
      </w:r>
    </w:p>
    <w:p w14:paraId="138DB57B" w14:textId="686CF0B9" w:rsidR="00D53776" w:rsidRPr="0042354C" w:rsidRDefault="00D53776" w:rsidP="00D53776">
      <w:pPr>
        <w:spacing w:before="120" w:after="120"/>
        <w:jc w:val="both"/>
        <w:rPr>
          <w:bCs/>
        </w:rPr>
      </w:pPr>
      <w:r w:rsidRPr="0042354C">
        <w:rPr>
          <w:bCs/>
        </w:rPr>
        <w:t>(2) Bu çerçevede, yurt içi tüketim endeksi</w:t>
      </w:r>
      <w:r w:rsidR="00EE3A37" w:rsidRPr="0042354C">
        <w:rPr>
          <w:bCs/>
        </w:rPr>
        <w:t xml:space="preserve"> 2021 yılı</w:t>
      </w:r>
      <w:r w:rsidR="009565A9" w:rsidRPr="0042354C">
        <w:rPr>
          <w:bCs/>
        </w:rPr>
        <w:t>nda</w:t>
      </w:r>
      <w:r w:rsidR="00EE3A37" w:rsidRPr="0042354C">
        <w:rPr>
          <w:bCs/>
        </w:rPr>
        <w:t xml:space="preserve"> 100 </w:t>
      </w:r>
      <w:r w:rsidR="005530C0" w:rsidRPr="0042354C">
        <w:rPr>
          <w:bCs/>
        </w:rPr>
        <w:t xml:space="preserve">olarak </w:t>
      </w:r>
      <w:r w:rsidR="00EE3A37" w:rsidRPr="0042354C">
        <w:rPr>
          <w:bCs/>
        </w:rPr>
        <w:t>birim kabul edildiğinde, 2022 yılında 103 birim, 2023 yılında</w:t>
      </w:r>
      <w:r w:rsidRPr="0042354C">
        <w:rPr>
          <w:bCs/>
        </w:rPr>
        <w:t xml:space="preserve"> </w:t>
      </w:r>
      <w:r w:rsidR="00EE3A37" w:rsidRPr="0042354C">
        <w:rPr>
          <w:bCs/>
        </w:rPr>
        <w:t xml:space="preserve">93 birim, </w:t>
      </w:r>
      <w:proofErr w:type="spellStart"/>
      <w:r w:rsidR="00EE3A37" w:rsidRPr="0042354C">
        <w:rPr>
          <w:bCs/>
        </w:rPr>
        <w:t>SD’de</w:t>
      </w:r>
      <w:proofErr w:type="spellEnd"/>
      <w:r w:rsidR="00EE3A37" w:rsidRPr="0042354C">
        <w:rPr>
          <w:bCs/>
        </w:rPr>
        <w:t xml:space="preserve"> 97 birim seviyelerinde </w:t>
      </w:r>
      <w:r w:rsidRPr="0042354C">
        <w:rPr>
          <w:bCs/>
        </w:rPr>
        <w:t xml:space="preserve">gerçekleşmiştir. </w:t>
      </w:r>
    </w:p>
    <w:p w14:paraId="3E77E57C" w14:textId="070A365C" w:rsidR="00D53776" w:rsidRPr="0042354C" w:rsidRDefault="00D53776" w:rsidP="00D53776">
      <w:pPr>
        <w:spacing w:before="120" w:after="120"/>
        <w:jc w:val="both"/>
        <w:rPr>
          <w:bCs/>
        </w:rPr>
      </w:pPr>
      <w:r w:rsidRPr="0042354C">
        <w:rPr>
          <w:bCs/>
        </w:rPr>
        <w:t xml:space="preserve">(3) ÇHC menşeli ithalatın 2021 yılında 100 birim </w:t>
      </w:r>
      <w:r w:rsidR="009565A9" w:rsidRPr="0042354C">
        <w:rPr>
          <w:bCs/>
        </w:rPr>
        <w:t>olarak</w:t>
      </w:r>
      <w:r w:rsidR="00EE3A37" w:rsidRPr="0042354C">
        <w:rPr>
          <w:bCs/>
        </w:rPr>
        <w:t xml:space="preserve"> kabul edilen</w:t>
      </w:r>
      <w:r w:rsidRPr="0042354C">
        <w:rPr>
          <w:bCs/>
        </w:rPr>
        <w:t xml:space="preserve"> pazar payı endeksi, 2022 yılında 185 birim, 2023 yılında 120 birim ve </w:t>
      </w:r>
      <w:proofErr w:type="spellStart"/>
      <w:r w:rsidRPr="0042354C">
        <w:rPr>
          <w:bCs/>
        </w:rPr>
        <w:t>SD’de</w:t>
      </w:r>
      <w:proofErr w:type="spellEnd"/>
      <w:r w:rsidRPr="0042354C">
        <w:rPr>
          <w:bCs/>
        </w:rPr>
        <w:t xml:space="preserve"> 112 birim olarak gerçekleşmiştir. </w:t>
      </w:r>
    </w:p>
    <w:p w14:paraId="18AB898F" w14:textId="290963BB" w:rsidR="00D53776" w:rsidRPr="0042354C" w:rsidRDefault="00D53776" w:rsidP="00D53776">
      <w:pPr>
        <w:spacing w:before="120" w:after="120"/>
        <w:jc w:val="both"/>
        <w:rPr>
          <w:bCs/>
        </w:rPr>
      </w:pPr>
      <w:r w:rsidRPr="0042354C">
        <w:rPr>
          <w:bCs/>
        </w:rPr>
        <w:t xml:space="preserve">(4) Diğer ülkeler menşeli ithalatın 2021 yılında 100 birim </w:t>
      </w:r>
      <w:r w:rsidR="009565A9" w:rsidRPr="0042354C">
        <w:rPr>
          <w:bCs/>
        </w:rPr>
        <w:t>olarak</w:t>
      </w:r>
      <w:r w:rsidR="00EE3A37" w:rsidRPr="0042354C">
        <w:rPr>
          <w:bCs/>
        </w:rPr>
        <w:t xml:space="preserve"> kabul edilen</w:t>
      </w:r>
      <w:r w:rsidRPr="0042354C">
        <w:rPr>
          <w:bCs/>
        </w:rPr>
        <w:t xml:space="preserve"> pazar payı endeksi, 2022 yılında 9</w:t>
      </w:r>
      <w:r w:rsidR="00EE3A37" w:rsidRPr="0042354C">
        <w:rPr>
          <w:bCs/>
        </w:rPr>
        <w:t>1</w:t>
      </w:r>
      <w:r w:rsidRPr="0042354C">
        <w:rPr>
          <w:bCs/>
        </w:rPr>
        <w:t xml:space="preserve"> birim, 2023 yılında 101 birim olarak gerçekleşmiş ve </w:t>
      </w:r>
      <w:proofErr w:type="spellStart"/>
      <w:r w:rsidRPr="0042354C">
        <w:rPr>
          <w:bCs/>
        </w:rPr>
        <w:t>SD’de</w:t>
      </w:r>
      <w:proofErr w:type="spellEnd"/>
      <w:r w:rsidRPr="0042354C">
        <w:rPr>
          <w:bCs/>
        </w:rPr>
        <w:t xml:space="preserve"> 99 birim olmuştur.</w:t>
      </w:r>
    </w:p>
    <w:p w14:paraId="07C8FFAE" w14:textId="5AF27BCE" w:rsidR="00D53776" w:rsidRPr="0042354C" w:rsidRDefault="00D53776" w:rsidP="00D53776">
      <w:pPr>
        <w:spacing w:before="120" w:after="120"/>
        <w:jc w:val="both"/>
        <w:rPr>
          <w:bCs/>
        </w:rPr>
      </w:pPr>
      <w:r w:rsidRPr="0042354C">
        <w:rPr>
          <w:bCs/>
        </w:rPr>
        <w:t xml:space="preserve">(5) Yerli üretim dalının 2021 yılında 100 birim </w:t>
      </w:r>
      <w:r w:rsidR="009565A9" w:rsidRPr="0042354C">
        <w:rPr>
          <w:bCs/>
        </w:rPr>
        <w:t>olarak</w:t>
      </w:r>
      <w:r w:rsidR="00EE3A37" w:rsidRPr="0042354C">
        <w:rPr>
          <w:bCs/>
        </w:rPr>
        <w:t xml:space="preserve"> kabul edilen</w:t>
      </w:r>
      <w:r w:rsidRPr="0042354C">
        <w:rPr>
          <w:bCs/>
        </w:rPr>
        <w:t xml:space="preserve"> pazar payı endeksi, 2022 yılında 90 birime </w:t>
      </w:r>
      <w:r w:rsidR="00EE3A37" w:rsidRPr="0042354C">
        <w:rPr>
          <w:bCs/>
        </w:rPr>
        <w:t>gerilemiş,</w:t>
      </w:r>
      <w:r w:rsidRPr="0042354C">
        <w:rPr>
          <w:bCs/>
        </w:rPr>
        <w:t xml:space="preserve"> 2023 yılında</w:t>
      </w:r>
      <w:r w:rsidR="00EE3A37" w:rsidRPr="0042354C">
        <w:rPr>
          <w:bCs/>
        </w:rPr>
        <w:t xml:space="preserve"> 104 birim,</w:t>
      </w:r>
      <w:r w:rsidRPr="0042354C">
        <w:rPr>
          <w:bCs/>
        </w:rPr>
        <w:t xml:space="preserve"> </w:t>
      </w:r>
      <w:proofErr w:type="spellStart"/>
      <w:r w:rsidRPr="0042354C">
        <w:rPr>
          <w:bCs/>
        </w:rPr>
        <w:t>SD’de</w:t>
      </w:r>
      <w:proofErr w:type="spellEnd"/>
      <w:r w:rsidRPr="0042354C">
        <w:rPr>
          <w:bCs/>
        </w:rPr>
        <w:t xml:space="preserve"> 10</w:t>
      </w:r>
      <w:r w:rsidR="00EE3A37" w:rsidRPr="0042354C">
        <w:rPr>
          <w:bCs/>
        </w:rPr>
        <w:t>5</w:t>
      </w:r>
      <w:r w:rsidRPr="0042354C">
        <w:rPr>
          <w:bCs/>
        </w:rPr>
        <w:t xml:space="preserve"> birim olarak gerçekleşmiştir.</w:t>
      </w:r>
    </w:p>
    <w:p w14:paraId="450569B0" w14:textId="031F45F1" w:rsidR="00D53776" w:rsidRPr="0042354C" w:rsidRDefault="00D53776" w:rsidP="00D53776">
      <w:pPr>
        <w:spacing w:before="120" w:after="120"/>
        <w:jc w:val="both"/>
        <w:rPr>
          <w:bCs/>
        </w:rPr>
      </w:pPr>
      <w:r w:rsidRPr="0042354C">
        <w:rPr>
          <w:bCs/>
        </w:rPr>
        <w:t>(6) Diğer yerli üreticilerin pazar payı endeksi incelenen dönem itibarıyla sırasıyla 100 birim, 8</w:t>
      </w:r>
      <w:r w:rsidR="00EE3A37" w:rsidRPr="0042354C">
        <w:rPr>
          <w:bCs/>
        </w:rPr>
        <w:t>8</w:t>
      </w:r>
      <w:r w:rsidRPr="0042354C">
        <w:rPr>
          <w:bCs/>
        </w:rPr>
        <w:t xml:space="preserve"> birim, 80 birim ve 87 birim değerlerini almıştır.</w:t>
      </w:r>
    </w:p>
    <w:p w14:paraId="10B4C20B" w14:textId="30F857E6" w:rsidR="005F428E" w:rsidRPr="0042354C" w:rsidRDefault="00E11109" w:rsidP="00B44347">
      <w:pPr>
        <w:pStyle w:val="Altyaz"/>
        <w:spacing w:before="120" w:after="120"/>
        <w:jc w:val="left"/>
        <w:rPr>
          <w:rFonts w:ascii="Times New Roman" w:hAnsi="Times New Roman"/>
          <w:b/>
        </w:rPr>
      </w:pPr>
      <w:bookmarkStart w:id="68" w:name="_Toc44517759"/>
      <w:bookmarkStart w:id="69" w:name="_Toc227682715"/>
      <w:r w:rsidRPr="0042354C">
        <w:rPr>
          <w:rFonts w:ascii="Times New Roman" w:hAnsi="Times New Roman"/>
          <w:b/>
        </w:rPr>
        <w:t>4</w:t>
      </w:r>
      <w:r w:rsidR="002F0E21" w:rsidRPr="0042354C">
        <w:rPr>
          <w:rFonts w:ascii="Times New Roman" w:hAnsi="Times New Roman"/>
          <w:b/>
        </w:rPr>
        <w:t>.</w:t>
      </w:r>
      <w:r w:rsidR="0077262A" w:rsidRPr="0042354C">
        <w:rPr>
          <w:rFonts w:ascii="Times New Roman" w:hAnsi="Times New Roman"/>
          <w:b/>
        </w:rPr>
        <w:t>6</w:t>
      </w:r>
      <w:r w:rsidR="008218BE" w:rsidRPr="0042354C">
        <w:rPr>
          <w:rFonts w:ascii="Times New Roman" w:hAnsi="Times New Roman"/>
          <w:b/>
        </w:rPr>
        <w:t xml:space="preserve"> </w:t>
      </w:r>
      <w:r w:rsidR="000361EE" w:rsidRPr="0042354C">
        <w:rPr>
          <w:rFonts w:ascii="Times New Roman" w:hAnsi="Times New Roman"/>
          <w:b/>
        </w:rPr>
        <w:t xml:space="preserve">Soruşturma </w:t>
      </w:r>
      <w:r w:rsidR="00DD793A" w:rsidRPr="0042354C">
        <w:rPr>
          <w:rFonts w:ascii="Times New Roman" w:hAnsi="Times New Roman"/>
          <w:b/>
        </w:rPr>
        <w:t>konusu ithalatın yerli üretim dalının iç piyasa fiyatları üzerindeki etkisi</w:t>
      </w:r>
      <w:bookmarkEnd w:id="68"/>
      <w:bookmarkEnd w:id="69"/>
      <w:r w:rsidR="00DD793A" w:rsidRPr="0042354C">
        <w:rPr>
          <w:rFonts w:ascii="Times New Roman" w:hAnsi="Times New Roman"/>
          <w:b/>
        </w:rPr>
        <w:t xml:space="preserve"> </w:t>
      </w:r>
    </w:p>
    <w:p w14:paraId="0184E4EF" w14:textId="322B572A" w:rsidR="008218BE" w:rsidRPr="0042354C" w:rsidRDefault="00E11109" w:rsidP="00204549">
      <w:pPr>
        <w:tabs>
          <w:tab w:val="left" w:pos="360"/>
          <w:tab w:val="left" w:pos="720"/>
        </w:tabs>
        <w:spacing w:before="120" w:after="120"/>
        <w:jc w:val="both"/>
        <w:rPr>
          <w:b/>
        </w:rPr>
      </w:pPr>
      <w:r w:rsidRPr="0042354C">
        <w:rPr>
          <w:b/>
        </w:rPr>
        <w:t>4</w:t>
      </w:r>
      <w:r w:rsidR="005F428E" w:rsidRPr="0042354C">
        <w:rPr>
          <w:b/>
        </w:rPr>
        <w:t xml:space="preserve">.6.1 </w:t>
      </w:r>
      <w:r w:rsidR="008218BE" w:rsidRPr="0042354C">
        <w:rPr>
          <w:b/>
        </w:rPr>
        <w:t xml:space="preserve">Fiyat </w:t>
      </w:r>
      <w:r w:rsidR="00DD793A">
        <w:rPr>
          <w:b/>
        </w:rPr>
        <w:t>k</w:t>
      </w:r>
      <w:r w:rsidR="008218BE" w:rsidRPr="0042354C">
        <w:rPr>
          <w:b/>
        </w:rPr>
        <w:t>ırılması</w:t>
      </w:r>
      <w:r w:rsidR="0090139C" w:rsidRPr="0042354C">
        <w:rPr>
          <w:b/>
        </w:rPr>
        <w:t xml:space="preserve"> </w:t>
      </w:r>
    </w:p>
    <w:p w14:paraId="10429D4B" w14:textId="26865D30" w:rsidR="001C4D90" w:rsidRPr="0042354C" w:rsidRDefault="001C4D90" w:rsidP="001C4D90">
      <w:pPr>
        <w:spacing w:before="120" w:after="120"/>
        <w:jc w:val="both"/>
        <w:rPr>
          <w:bCs/>
        </w:rPr>
      </w:pPr>
      <w:r w:rsidRPr="0042354C">
        <w:rPr>
          <w:bCs/>
        </w:rPr>
        <w:t xml:space="preserve">(1) Yönetmeliğin </w:t>
      </w:r>
      <w:proofErr w:type="gramStart"/>
      <w:r w:rsidRPr="0042354C">
        <w:rPr>
          <w:bCs/>
        </w:rPr>
        <w:t xml:space="preserve">17 </w:t>
      </w:r>
      <w:proofErr w:type="spellStart"/>
      <w:r w:rsidRPr="0042354C">
        <w:rPr>
          <w:bCs/>
        </w:rPr>
        <w:t>nci</w:t>
      </w:r>
      <w:proofErr w:type="spellEnd"/>
      <w:proofErr w:type="gramEnd"/>
      <w:r w:rsidRPr="0042354C">
        <w:rPr>
          <w:bCs/>
        </w:rPr>
        <w:t xml:space="preserve"> maddesinin ilgili hükümleri çerçevesinde, dampingli olduğu iddia edilen ithalatın yerli üretim dalının satış fiyatları üzerindeki etkisi değerlendirilirken </w:t>
      </w:r>
      <w:r w:rsidR="00A458D2" w:rsidRPr="0042354C">
        <w:rPr>
          <w:bCs/>
        </w:rPr>
        <w:t>soruşturma</w:t>
      </w:r>
      <w:r w:rsidRPr="0042354C">
        <w:rPr>
          <w:bCs/>
        </w:rPr>
        <w:t xml:space="preserve"> konusu ülkelerden gerçekleştirilen ithalatın yerli üretim dalının fiyatlarını kırıp kırmadığı incelenmiştir. Fiyat kırılması, ithal ürünün ağırlıklı ortalama pazara giriş fiyatının Türkiye piyasasında yerli üretim dalının ağırlıklı ortalama yurt içi birim satış fiyatının yüzde olarak ne kadar altında kaldığını göstermekte olup CIF bedelin yüzdesi olarak hesaplanmaktadır.</w:t>
      </w:r>
    </w:p>
    <w:p w14:paraId="7A8EAFDD" w14:textId="786FB0AF" w:rsidR="00ED52DF" w:rsidRPr="0042354C" w:rsidRDefault="001C4D90" w:rsidP="00ED52DF">
      <w:pPr>
        <w:spacing w:before="120" w:after="120"/>
        <w:jc w:val="both"/>
        <w:rPr>
          <w:bCs/>
        </w:rPr>
      </w:pPr>
      <w:r w:rsidRPr="0042354C">
        <w:rPr>
          <w:bCs/>
        </w:rPr>
        <w:t>(2)</w:t>
      </w:r>
      <w:r w:rsidR="00ED52DF" w:rsidRPr="0042354C">
        <w:rPr>
          <w:bCs/>
        </w:rPr>
        <w:t xml:space="preserve"> Fiyat kırılması hesaplanırken, </w:t>
      </w:r>
      <w:r w:rsidR="005530C0" w:rsidRPr="0042354C">
        <w:rPr>
          <w:bCs/>
        </w:rPr>
        <w:t xml:space="preserve">ağırlıklı </w:t>
      </w:r>
      <w:r w:rsidR="00ED52DF" w:rsidRPr="0042354C">
        <w:rPr>
          <w:bCs/>
        </w:rPr>
        <w:t xml:space="preserve">ortalama CIF ithal birim fiyatının üzerine </w:t>
      </w:r>
      <w:r w:rsidR="00A458D2" w:rsidRPr="0042354C">
        <w:rPr>
          <w:bCs/>
        </w:rPr>
        <w:t>soruşturma</w:t>
      </w:r>
      <w:r w:rsidR="00ED52DF" w:rsidRPr="0042354C">
        <w:rPr>
          <w:bCs/>
        </w:rPr>
        <w:t xml:space="preserve"> konusu ülkeye yönelik uygulanan gümrük vergisi (%7,5) ve 2020 yılından itibaren uygulanmaya başlanan İGV (%5) ile CIF kıymetin %2’si tutarındaki diğer ithalat masrafları eklenerek ürünün Türkiye piyasasına giriş fiyatı bulunmuştur. Bulunan değer ile yerli üretim dalının ağırlıklı ortalama yurt içi birim satış fiyatı karşılaştırılmıştır. </w:t>
      </w:r>
    </w:p>
    <w:p w14:paraId="4EFDA858" w14:textId="77777777" w:rsidR="00ED52DF" w:rsidRPr="0042354C" w:rsidRDefault="00ED52DF" w:rsidP="00ED52DF">
      <w:pPr>
        <w:spacing w:before="120" w:after="120"/>
        <w:jc w:val="both"/>
        <w:rPr>
          <w:bCs/>
        </w:rPr>
      </w:pPr>
      <w:r w:rsidRPr="0042354C">
        <w:rPr>
          <w:bCs/>
        </w:rPr>
        <w:t>(3) Dampinge karşı önlemin söz konusu olmadığı bir ortamda fiyatların hangi düzeyde oluşacağına ilişkin değerlendirmeyi mümkün kılmak amacıyla, anılan fiyatlara dampinge karşı önlemler eklenmemiştir.</w:t>
      </w:r>
    </w:p>
    <w:p w14:paraId="6AD20ECD" w14:textId="6138608C" w:rsidR="008C0F16" w:rsidRDefault="00ED52DF" w:rsidP="008C0F16">
      <w:pPr>
        <w:spacing w:before="120" w:after="120"/>
        <w:jc w:val="both"/>
        <w:rPr>
          <w:bCs/>
        </w:rPr>
      </w:pPr>
      <w:r w:rsidRPr="0042354C">
        <w:rPr>
          <w:bCs/>
        </w:rPr>
        <w:t xml:space="preserve">(4) </w:t>
      </w:r>
      <w:r w:rsidR="008C0F16" w:rsidRPr="008C0F16">
        <w:rPr>
          <w:bCs/>
        </w:rPr>
        <w:t>Bu kapsamda, ÇHC menşeli ithalatın yerli üreticinin fiyatların 2021 ve 2022 yılları ile</w:t>
      </w:r>
      <w:r w:rsidR="008C0F16">
        <w:rPr>
          <w:bCs/>
        </w:rPr>
        <w:t xml:space="preserve"> </w:t>
      </w:r>
      <w:proofErr w:type="spellStart"/>
      <w:r w:rsidR="008C0F16" w:rsidRPr="008C0F16">
        <w:rPr>
          <w:bCs/>
        </w:rPr>
        <w:t>SD’de</w:t>
      </w:r>
      <w:proofErr w:type="spellEnd"/>
      <w:r w:rsidR="008C0F16" w:rsidRPr="008C0F16">
        <w:rPr>
          <w:bCs/>
        </w:rPr>
        <w:t xml:space="preserve"> kırmadığı, 2023 yılında ise 0&lt;X&lt;10 aralığında bir oranda kırdığı tespit edilmiştir.</w:t>
      </w:r>
    </w:p>
    <w:p w14:paraId="05F9D214" w14:textId="1041C4BF" w:rsidR="005F428E" w:rsidRPr="0042354C" w:rsidRDefault="00E11109" w:rsidP="008C0F16">
      <w:pPr>
        <w:spacing w:before="120" w:after="120"/>
        <w:jc w:val="both"/>
      </w:pPr>
      <w:r w:rsidRPr="0042354C">
        <w:rPr>
          <w:b/>
          <w:bCs/>
        </w:rPr>
        <w:t>4</w:t>
      </w:r>
      <w:r w:rsidR="005F428E" w:rsidRPr="0042354C">
        <w:rPr>
          <w:b/>
          <w:bCs/>
        </w:rPr>
        <w:t xml:space="preserve">.6.2 Fiyat </w:t>
      </w:r>
      <w:r w:rsidR="00DD793A">
        <w:rPr>
          <w:b/>
          <w:bCs/>
        </w:rPr>
        <w:t>b</w:t>
      </w:r>
      <w:r w:rsidR="005F428E" w:rsidRPr="0042354C">
        <w:rPr>
          <w:b/>
          <w:bCs/>
        </w:rPr>
        <w:t>askısı</w:t>
      </w:r>
      <w:r w:rsidR="0090139C" w:rsidRPr="0042354C">
        <w:rPr>
          <w:b/>
          <w:bCs/>
        </w:rPr>
        <w:t xml:space="preserve"> </w:t>
      </w:r>
    </w:p>
    <w:p w14:paraId="68F0E14B" w14:textId="08E90728" w:rsidR="001C4D90" w:rsidRPr="0042354C" w:rsidRDefault="001C4D90" w:rsidP="001C4D90">
      <w:pPr>
        <w:spacing w:before="120" w:after="120"/>
        <w:jc w:val="both"/>
        <w:rPr>
          <w:bCs/>
        </w:rPr>
      </w:pPr>
      <w:bookmarkStart w:id="70" w:name="_Toc44517760"/>
      <w:r w:rsidRPr="0042354C">
        <w:rPr>
          <w:bCs/>
        </w:rPr>
        <w:t xml:space="preserve">(1) Yönetmeliğin </w:t>
      </w:r>
      <w:proofErr w:type="gramStart"/>
      <w:r w:rsidRPr="0042354C">
        <w:rPr>
          <w:bCs/>
        </w:rPr>
        <w:t xml:space="preserve">17 </w:t>
      </w:r>
      <w:proofErr w:type="spellStart"/>
      <w:r w:rsidRPr="0042354C">
        <w:rPr>
          <w:bCs/>
        </w:rPr>
        <w:t>nci</w:t>
      </w:r>
      <w:proofErr w:type="spellEnd"/>
      <w:proofErr w:type="gramEnd"/>
      <w:r w:rsidRPr="0042354C">
        <w:rPr>
          <w:bCs/>
        </w:rPr>
        <w:t xml:space="preserve"> maddesinin ilgili hükümleri çerçevesinde, dampingli olduğu iddia edilen ithalatın yerli üretim dalının satış fiyatları üzerindeki etkisi değerlendirilirken </w:t>
      </w:r>
      <w:r w:rsidR="00F1262D" w:rsidRPr="0042354C">
        <w:rPr>
          <w:bCs/>
        </w:rPr>
        <w:t>soruşturma</w:t>
      </w:r>
      <w:r w:rsidRPr="0042354C">
        <w:rPr>
          <w:bCs/>
        </w:rPr>
        <w:t xml:space="preserve"> konusu ülkeden gerçekleştirilen ithalatın yerli üretim dalının fiyatlarına baskı yapıp yapmadığı incelenmiştir. Fiyat baskısı, yerli üretim dalının fiyatlarının dampingli olduğu öne sürülen ithalat sebebiyle baskı altında bulunması ve yerli üreticinin fiyatlarını makul kâr elde edecek şekilde belirleyememesi durumunu ifade etmektedir. Bu kapsamda, </w:t>
      </w:r>
      <w:r w:rsidR="00F1262D" w:rsidRPr="0042354C">
        <w:rPr>
          <w:bCs/>
        </w:rPr>
        <w:t>soruşturmaya</w:t>
      </w:r>
      <w:r w:rsidRPr="0042354C">
        <w:rPr>
          <w:bCs/>
        </w:rPr>
        <w:t xml:space="preserve"> konu ürünün Türkiye pazarına ağırlıklı ortalama giriş fiyatı ile yerli üretim dalının ağırlıklı ortalama ticari maliyetine makul bir kâr oranı (%</w:t>
      </w:r>
      <w:r w:rsidR="008C0F16">
        <w:rPr>
          <w:bCs/>
        </w:rPr>
        <w:t>X</w:t>
      </w:r>
      <w:r w:rsidRPr="0042354C">
        <w:rPr>
          <w:bCs/>
        </w:rPr>
        <w:t>) eklenerek bulunan olması gereken yurt içi birim satış fiyatı karşılaştırılmıştır.</w:t>
      </w:r>
    </w:p>
    <w:p w14:paraId="1D2433D6" w14:textId="77777777" w:rsidR="00ED52DF" w:rsidRPr="0042354C" w:rsidRDefault="00ED52DF" w:rsidP="00ED52DF">
      <w:pPr>
        <w:spacing w:before="120" w:after="120"/>
        <w:jc w:val="both"/>
        <w:rPr>
          <w:bCs/>
        </w:rPr>
      </w:pPr>
      <w:r w:rsidRPr="0042354C">
        <w:rPr>
          <w:bCs/>
        </w:rPr>
        <w:t xml:space="preserve">(2) Fiyat baskısı hesaplanırken, fiyat kırılması hesabında olduğu gibi ithal ürün için gümrük vergileri, ilave gümrük vergisi ve gümrükleme masrafları dahil Türkiye piyasasına giriş fiyatı bulunarak, bu değer yerli üretim dalının olması gereken yurt içi satış fiyatı ile karşılaştırılmıştır. </w:t>
      </w:r>
    </w:p>
    <w:p w14:paraId="10E55D4E" w14:textId="77777777" w:rsidR="00ED52DF" w:rsidRPr="0042354C" w:rsidRDefault="00ED52DF" w:rsidP="00ED52DF">
      <w:pPr>
        <w:spacing w:before="120" w:after="120"/>
        <w:jc w:val="both"/>
        <w:rPr>
          <w:bCs/>
        </w:rPr>
      </w:pPr>
      <w:r w:rsidRPr="0042354C">
        <w:rPr>
          <w:bCs/>
        </w:rPr>
        <w:t xml:space="preserve">(3) Dampinge karşı önlemlerin söz konusu olmadığı bir ortamda fiyatların hangi düzeyde oluşacağına ilişkin değerlendirmeyi mümkün kılmak amacıyla, anılan fiyatlara dampinge karşı önlemler eklenmemiştir. </w:t>
      </w:r>
    </w:p>
    <w:p w14:paraId="4A393487" w14:textId="2446EABF" w:rsidR="00ED52DF" w:rsidRPr="0042354C" w:rsidRDefault="00ED52DF" w:rsidP="008C0F16">
      <w:pPr>
        <w:spacing w:before="120" w:after="120"/>
        <w:jc w:val="both"/>
        <w:rPr>
          <w:bCs/>
        </w:rPr>
      </w:pPr>
      <w:r w:rsidRPr="0042354C">
        <w:rPr>
          <w:bCs/>
        </w:rPr>
        <w:t xml:space="preserve">(4) </w:t>
      </w:r>
      <w:r w:rsidR="008C0F16" w:rsidRPr="008C0F16">
        <w:rPr>
          <w:bCs/>
        </w:rPr>
        <w:t>Bu kapsamda, ÇHC menşeli ithalatın yerli üreticinin fiyatlarını 2021 ve 2022 yıllarında</w:t>
      </w:r>
      <w:r w:rsidR="008C0F16">
        <w:rPr>
          <w:bCs/>
        </w:rPr>
        <w:t xml:space="preserve"> </w:t>
      </w:r>
      <w:r w:rsidR="008C0F16" w:rsidRPr="008C0F16">
        <w:rPr>
          <w:bCs/>
        </w:rPr>
        <w:t xml:space="preserve">baskılamadığı, 2023 yılı ile </w:t>
      </w:r>
      <w:proofErr w:type="spellStart"/>
      <w:r w:rsidR="008C0F16" w:rsidRPr="008C0F16">
        <w:rPr>
          <w:bCs/>
        </w:rPr>
        <w:t>SD’de</w:t>
      </w:r>
      <w:proofErr w:type="spellEnd"/>
      <w:r w:rsidR="008C0F16" w:rsidRPr="008C0F16">
        <w:rPr>
          <w:bCs/>
        </w:rPr>
        <w:t xml:space="preserve"> 0&lt;X&lt;10 aralığında bir oranda baskıladığı tespit</w:t>
      </w:r>
      <w:r w:rsidR="008C0F16">
        <w:rPr>
          <w:bCs/>
        </w:rPr>
        <w:t xml:space="preserve"> </w:t>
      </w:r>
      <w:r w:rsidR="008C0F16" w:rsidRPr="008C0F16">
        <w:rPr>
          <w:bCs/>
        </w:rPr>
        <w:t>edilmiştir.</w:t>
      </w:r>
    </w:p>
    <w:p w14:paraId="755A7BFB" w14:textId="7F03D16B" w:rsidR="008218BE" w:rsidRPr="0042354C" w:rsidRDefault="00E11109" w:rsidP="00A901A0">
      <w:pPr>
        <w:pStyle w:val="Altyaz"/>
        <w:spacing w:before="120" w:after="120"/>
        <w:jc w:val="left"/>
        <w:rPr>
          <w:rFonts w:ascii="Times New Roman" w:hAnsi="Times New Roman"/>
          <w:b/>
        </w:rPr>
      </w:pPr>
      <w:bookmarkStart w:id="71" w:name="_Toc227682716"/>
      <w:r w:rsidRPr="0042354C">
        <w:rPr>
          <w:rFonts w:ascii="Times New Roman" w:hAnsi="Times New Roman"/>
          <w:b/>
        </w:rPr>
        <w:t>4</w:t>
      </w:r>
      <w:r w:rsidR="0077262A" w:rsidRPr="0042354C">
        <w:rPr>
          <w:rFonts w:ascii="Times New Roman" w:hAnsi="Times New Roman"/>
          <w:b/>
        </w:rPr>
        <w:t xml:space="preserve">.7 </w:t>
      </w:r>
      <w:r w:rsidR="003105E3" w:rsidRPr="0042354C">
        <w:rPr>
          <w:rFonts w:ascii="Times New Roman" w:hAnsi="Times New Roman"/>
          <w:b/>
        </w:rPr>
        <w:t xml:space="preserve">Yerli </w:t>
      </w:r>
      <w:r w:rsidR="00DD793A" w:rsidRPr="0042354C">
        <w:rPr>
          <w:rFonts w:ascii="Times New Roman" w:hAnsi="Times New Roman"/>
          <w:b/>
        </w:rPr>
        <w:t>üretim dalının ekonomik göstergeleri</w:t>
      </w:r>
      <w:bookmarkEnd w:id="70"/>
      <w:r w:rsidR="00DD793A" w:rsidRPr="0042354C">
        <w:rPr>
          <w:rFonts w:ascii="Times New Roman" w:hAnsi="Times New Roman"/>
          <w:b/>
        </w:rPr>
        <w:t xml:space="preserve"> </w:t>
      </w:r>
      <w:bookmarkEnd w:id="71"/>
    </w:p>
    <w:p w14:paraId="2D99E9C2" w14:textId="5288EB04" w:rsidR="00884228" w:rsidRPr="0042354C" w:rsidRDefault="00884228" w:rsidP="00E17B2D">
      <w:pPr>
        <w:spacing w:before="120" w:after="120"/>
        <w:jc w:val="both"/>
        <w:rPr>
          <w:bCs/>
        </w:rPr>
      </w:pPr>
      <w:bookmarkStart w:id="72" w:name="_Toc256781012"/>
      <w:bookmarkStart w:id="73" w:name="_Toc258578749"/>
      <w:bookmarkStart w:id="74" w:name="_Toc44517762"/>
      <w:r w:rsidRPr="0042354C">
        <w:rPr>
          <w:bCs/>
        </w:rPr>
        <w:t xml:space="preserve">(1) </w:t>
      </w:r>
      <w:r w:rsidR="00ED52DF" w:rsidRPr="0042354C">
        <w:rPr>
          <w:bCs/>
        </w:rPr>
        <w:t xml:space="preserve">Yerli üretim dalının ekonomik göstergelerinin değerlendirilmesinde, başvuru sahibi yerli üretici Assan firması ile başvuruyu destekleyen Panda, </w:t>
      </w:r>
      <w:proofErr w:type="spellStart"/>
      <w:r w:rsidR="00ED52DF" w:rsidRPr="0042354C">
        <w:rPr>
          <w:bCs/>
        </w:rPr>
        <w:t>İspak</w:t>
      </w:r>
      <w:proofErr w:type="spellEnd"/>
      <w:r w:rsidR="00ED52DF" w:rsidRPr="0042354C">
        <w:rPr>
          <w:bCs/>
        </w:rPr>
        <w:t xml:space="preserve"> ve Sinanlı firmalarının </w:t>
      </w:r>
      <w:r w:rsidRPr="0042354C">
        <w:rPr>
          <w:bCs/>
        </w:rPr>
        <w:t>gözden geçirme dönemi olan 1/1/2021- 30/6/2024 tarihleri arasındaki veriler</w:t>
      </w:r>
      <w:r w:rsidR="00EE3A37" w:rsidRPr="0042354C">
        <w:rPr>
          <w:bCs/>
        </w:rPr>
        <w:t>i</w:t>
      </w:r>
      <w:r w:rsidRPr="0042354C">
        <w:rPr>
          <w:bCs/>
        </w:rPr>
        <w:t xml:space="preserve"> esas alınarak analiz </w:t>
      </w:r>
      <w:r w:rsidR="00EE3A37" w:rsidRPr="0042354C">
        <w:rPr>
          <w:bCs/>
        </w:rPr>
        <w:t>yapılmıştır</w:t>
      </w:r>
      <w:r w:rsidRPr="0042354C">
        <w:rPr>
          <w:bCs/>
        </w:rPr>
        <w:t>.</w:t>
      </w:r>
    </w:p>
    <w:p w14:paraId="77136F49" w14:textId="1300EF78" w:rsidR="00884228" w:rsidRPr="0042354C" w:rsidRDefault="00884228" w:rsidP="00E17B2D">
      <w:pPr>
        <w:spacing w:before="120" w:after="120"/>
        <w:jc w:val="both"/>
        <w:rPr>
          <w:bCs/>
        </w:rPr>
      </w:pPr>
      <w:r w:rsidRPr="0042354C">
        <w:rPr>
          <w:bCs/>
        </w:rPr>
        <w:t>(2) Eğilimin sağlıklı bir şekilde analiz edilebilmesi amacıyla, Türk lirası bazındaki veriler yıllık ortalama Üretici Fiyat Endeksi (ÜFE) kullanılması suretiyle enflasyondan arındırılarak endekslenmiştir.</w:t>
      </w:r>
    </w:p>
    <w:p w14:paraId="6EC8990F" w14:textId="25EF8478" w:rsidR="00884228" w:rsidRPr="0042354C" w:rsidRDefault="00884228" w:rsidP="00E17B2D">
      <w:pPr>
        <w:spacing w:before="120" w:after="120"/>
        <w:jc w:val="both"/>
        <w:rPr>
          <w:bCs/>
        </w:rPr>
      </w:pPr>
      <w:r w:rsidRPr="0042354C">
        <w:rPr>
          <w:bCs/>
        </w:rPr>
        <w:t xml:space="preserve">(3) Ekonomik göstergelerin değerlendirilmesinde, </w:t>
      </w:r>
      <w:r w:rsidR="00B57263" w:rsidRPr="0042354C">
        <w:rPr>
          <w:bCs/>
        </w:rPr>
        <w:t>soruşturma konusu ürün</w:t>
      </w:r>
      <w:r w:rsidRPr="0042354C">
        <w:rPr>
          <w:bCs/>
        </w:rPr>
        <w:t xml:space="preserve">e ait miktar incelemesinde ton ölçü birimi kullanılmıştır. </w:t>
      </w:r>
    </w:p>
    <w:p w14:paraId="2E907891" w14:textId="77777777" w:rsidR="00ED52DF" w:rsidRPr="0042354C" w:rsidRDefault="00ED52DF" w:rsidP="00ED52DF">
      <w:pPr>
        <w:spacing w:before="120" w:after="120"/>
        <w:jc w:val="both"/>
        <w:rPr>
          <w:b/>
          <w:bCs/>
        </w:rPr>
      </w:pPr>
      <w:r w:rsidRPr="0042354C">
        <w:rPr>
          <w:b/>
          <w:bCs/>
        </w:rPr>
        <w:t xml:space="preserve">a) Üretim, kapasite ve kapasite kullanım oranı (KKO) </w:t>
      </w:r>
    </w:p>
    <w:p w14:paraId="776E22EC" w14:textId="64CD3A10" w:rsidR="00ED52DF" w:rsidRPr="0042354C" w:rsidRDefault="00ED52DF" w:rsidP="00ED52DF">
      <w:pPr>
        <w:spacing w:before="120" w:after="120"/>
        <w:jc w:val="both"/>
        <w:rPr>
          <w:bCs/>
        </w:rPr>
      </w:pPr>
      <w:r w:rsidRPr="0042354C">
        <w:rPr>
          <w:bCs/>
        </w:rPr>
        <w:t xml:space="preserve">(1) Yerli üretim dalının </w:t>
      </w:r>
      <w:r w:rsidR="00A458D2" w:rsidRPr="0042354C">
        <w:rPr>
          <w:bCs/>
        </w:rPr>
        <w:t>soruşturma</w:t>
      </w:r>
      <w:r w:rsidRPr="0042354C">
        <w:rPr>
          <w:bCs/>
        </w:rPr>
        <w:t xml:space="preserve"> konusu ürün için 2021 yılında 100 birim olan üretim miktar endeksi, 2022 yılında 105 birim, 2023 yılında 97 birim ve </w:t>
      </w:r>
      <w:proofErr w:type="spellStart"/>
      <w:r w:rsidRPr="0042354C">
        <w:rPr>
          <w:bCs/>
        </w:rPr>
        <w:t>SD’de</w:t>
      </w:r>
      <w:proofErr w:type="spellEnd"/>
      <w:r w:rsidRPr="0042354C">
        <w:rPr>
          <w:bCs/>
        </w:rPr>
        <w:t xml:space="preserve"> 95 birim seviyesinde gerçekleşmiştir. </w:t>
      </w:r>
    </w:p>
    <w:p w14:paraId="573EB490" w14:textId="1E30F84C" w:rsidR="00ED52DF" w:rsidRPr="0042354C" w:rsidRDefault="00ED52DF" w:rsidP="00ED52DF">
      <w:pPr>
        <w:spacing w:before="120" w:after="120"/>
        <w:jc w:val="both"/>
        <w:rPr>
          <w:bCs/>
        </w:rPr>
      </w:pPr>
      <w:r w:rsidRPr="0042354C">
        <w:rPr>
          <w:bCs/>
        </w:rPr>
        <w:t>(2) Yerli üretim dalının kapasite endeksi incelenen dönem itibarıyla sırasıyla 100 birim, 10</w:t>
      </w:r>
      <w:r w:rsidR="00EE3A37" w:rsidRPr="0042354C">
        <w:rPr>
          <w:bCs/>
        </w:rPr>
        <w:t>5</w:t>
      </w:r>
      <w:r w:rsidRPr="0042354C">
        <w:rPr>
          <w:bCs/>
        </w:rPr>
        <w:t xml:space="preserve"> birim, 111 birim ve 114 birim olarak gerçeklemiştir. 2021 yılında 100 birim olan KKO endeksi ise 2022 yılında 10</w:t>
      </w:r>
      <w:r w:rsidR="00EE3A37" w:rsidRPr="0042354C">
        <w:rPr>
          <w:bCs/>
        </w:rPr>
        <w:t>0</w:t>
      </w:r>
      <w:r w:rsidRPr="0042354C">
        <w:rPr>
          <w:bCs/>
        </w:rPr>
        <w:t xml:space="preserve"> birim, 2023 yılında 87 birim ve </w:t>
      </w:r>
      <w:proofErr w:type="spellStart"/>
      <w:r w:rsidRPr="0042354C">
        <w:rPr>
          <w:bCs/>
        </w:rPr>
        <w:t>SD’de</w:t>
      </w:r>
      <w:proofErr w:type="spellEnd"/>
      <w:r w:rsidRPr="0042354C">
        <w:rPr>
          <w:bCs/>
        </w:rPr>
        <w:t xml:space="preserve"> 84 birim olmuştur.</w:t>
      </w:r>
    </w:p>
    <w:p w14:paraId="1BA1E9D5" w14:textId="77777777" w:rsidR="00ED52DF" w:rsidRPr="0042354C" w:rsidRDefault="00ED52DF" w:rsidP="00ED52DF">
      <w:pPr>
        <w:spacing w:before="120" w:after="120"/>
        <w:jc w:val="both"/>
        <w:rPr>
          <w:bCs/>
        </w:rPr>
      </w:pPr>
      <w:r w:rsidRPr="0042354C">
        <w:rPr>
          <w:b/>
          <w:bCs/>
        </w:rPr>
        <w:t>b) Yurt içi ve yurt dışı satışlar</w:t>
      </w:r>
    </w:p>
    <w:p w14:paraId="2D944AF9" w14:textId="4609B187" w:rsidR="00ED52DF" w:rsidRPr="0042354C" w:rsidRDefault="00ED52DF" w:rsidP="00ED52DF">
      <w:pPr>
        <w:spacing w:before="120" w:after="120"/>
        <w:jc w:val="both"/>
        <w:rPr>
          <w:bCs/>
        </w:rPr>
      </w:pPr>
      <w:r w:rsidRPr="0042354C">
        <w:rPr>
          <w:bCs/>
        </w:rPr>
        <w:t xml:space="preserve">(1) Yerli üretim dalının </w:t>
      </w:r>
      <w:r w:rsidR="00545445" w:rsidRPr="0042354C">
        <w:rPr>
          <w:bCs/>
        </w:rPr>
        <w:t>soruşturma</w:t>
      </w:r>
      <w:r w:rsidRPr="0042354C">
        <w:rPr>
          <w:bCs/>
        </w:rPr>
        <w:t xml:space="preserve"> konusu ürün için 2021 yılında 100 birim olarak kabul edilen yurt içi satış miktar endeksi 2022 yılında 9</w:t>
      </w:r>
      <w:r w:rsidR="00EE3A37" w:rsidRPr="0042354C">
        <w:rPr>
          <w:bCs/>
        </w:rPr>
        <w:t>3</w:t>
      </w:r>
      <w:r w:rsidRPr="0042354C">
        <w:rPr>
          <w:bCs/>
        </w:rPr>
        <w:t xml:space="preserve"> birim, 2023 yılında 97 birim ve </w:t>
      </w:r>
      <w:proofErr w:type="spellStart"/>
      <w:r w:rsidRPr="0042354C">
        <w:rPr>
          <w:bCs/>
        </w:rPr>
        <w:t>SD’de</w:t>
      </w:r>
      <w:proofErr w:type="spellEnd"/>
      <w:r w:rsidRPr="0042354C">
        <w:rPr>
          <w:bCs/>
        </w:rPr>
        <w:t xml:space="preserve"> 101 birim seviyesinde gerçekleşmiştir.</w:t>
      </w:r>
    </w:p>
    <w:p w14:paraId="2D0D0DF2" w14:textId="77777777" w:rsidR="00ED52DF" w:rsidRPr="0042354C" w:rsidRDefault="00ED52DF" w:rsidP="00ED52DF">
      <w:pPr>
        <w:spacing w:before="120" w:after="120"/>
        <w:jc w:val="both"/>
        <w:rPr>
          <w:bCs/>
        </w:rPr>
      </w:pPr>
      <w:r w:rsidRPr="0042354C">
        <w:rPr>
          <w:bCs/>
        </w:rPr>
        <w:t xml:space="preserve">(2) Aynı dönemde, yurt içi satış değer endeksi sırasıyla 100 birim, 97 birim, 81 birim ve 82 birim olmuştur. </w:t>
      </w:r>
    </w:p>
    <w:p w14:paraId="68DCCE6F" w14:textId="59C29859" w:rsidR="00ED52DF" w:rsidRPr="0042354C" w:rsidRDefault="00ED52DF" w:rsidP="00ED52DF">
      <w:pPr>
        <w:spacing w:before="120" w:after="120"/>
        <w:jc w:val="both"/>
        <w:rPr>
          <w:bCs/>
        </w:rPr>
      </w:pPr>
      <w:r w:rsidRPr="0042354C">
        <w:rPr>
          <w:bCs/>
        </w:rPr>
        <w:t>(3) Yerli üretim dalının yurt dışı satış miktar endeksi 2021 yılında 100 birim, 2022 yılında 124 birim, 2023 yılında 11</w:t>
      </w:r>
      <w:r w:rsidR="00545445" w:rsidRPr="0042354C">
        <w:rPr>
          <w:bCs/>
        </w:rPr>
        <w:t>2</w:t>
      </w:r>
      <w:r w:rsidRPr="0042354C">
        <w:rPr>
          <w:bCs/>
        </w:rPr>
        <w:t xml:space="preserve"> birim ve </w:t>
      </w:r>
      <w:proofErr w:type="spellStart"/>
      <w:r w:rsidRPr="0042354C">
        <w:rPr>
          <w:bCs/>
        </w:rPr>
        <w:t>SD’de</w:t>
      </w:r>
      <w:proofErr w:type="spellEnd"/>
      <w:r w:rsidRPr="0042354C">
        <w:rPr>
          <w:bCs/>
        </w:rPr>
        <w:t xml:space="preserve"> 10</w:t>
      </w:r>
      <w:r w:rsidR="00545445" w:rsidRPr="0042354C">
        <w:rPr>
          <w:bCs/>
        </w:rPr>
        <w:t>4</w:t>
      </w:r>
      <w:r w:rsidRPr="0042354C">
        <w:rPr>
          <w:bCs/>
        </w:rPr>
        <w:t xml:space="preserve"> birim olarak gerçekleşmiştir.</w:t>
      </w:r>
    </w:p>
    <w:p w14:paraId="79E86A23" w14:textId="77777777" w:rsidR="00ED52DF" w:rsidRPr="0042354C" w:rsidRDefault="00ED52DF" w:rsidP="00ED52DF">
      <w:pPr>
        <w:spacing w:before="120" w:after="120"/>
        <w:jc w:val="both"/>
        <w:rPr>
          <w:bCs/>
        </w:rPr>
      </w:pPr>
      <w:r w:rsidRPr="0042354C">
        <w:rPr>
          <w:bCs/>
        </w:rPr>
        <w:t xml:space="preserve">(4) Aynı dönemde, yurt dışı satış değer endeksi sırasıyla 100 birim, 127 birim, 93 birim ve 82 birim olarak gerçekleşmiştir. </w:t>
      </w:r>
    </w:p>
    <w:p w14:paraId="643CBD8B" w14:textId="77777777" w:rsidR="00ED52DF" w:rsidRPr="0042354C" w:rsidRDefault="00ED52DF" w:rsidP="00ED52DF">
      <w:pPr>
        <w:spacing w:before="120" w:after="120"/>
        <w:jc w:val="both"/>
        <w:rPr>
          <w:b/>
          <w:bCs/>
        </w:rPr>
      </w:pPr>
      <w:r w:rsidRPr="0042354C">
        <w:rPr>
          <w:b/>
          <w:bCs/>
        </w:rPr>
        <w:t xml:space="preserve">c) Yurt içi fiyatlar </w:t>
      </w:r>
    </w:p>
    <w:p w14:paraId="09406F04" w14:textId="14D0DEA6" w:rsidR="00ED52DF" w:rsidRPr="0042354C" w:rsidRDefault="00ED52DF" w:rsidP="00ED52DF">
      <w:pPr>
        <w:spacing w:before="120" w:after="120"/>
        <w:jc w:val="both"/>
        <w:rPr>
          <w:bCs/>
        </w:rPr>
      </w:pPr>
      <w:r w:rsidRPr="0042354C">
        <w:rPr>
          <w:bCs/>
        </w:rPr>
        <w:t xml:space="preserve">(1) Yerli üretim dalının </w:t>
      </w:r>
      <w:r w:rsidR="00545445" w:rsidRPr="0042354C">
        <w:rPr>
          <w:bCs/>
        </w:rPr>
        <w:t>soruşturma</w:t>
      </w:r>
      <w:r w:rsidRPr="0042354C">
        <w:rPr>
          <w:bCs/>
        </w:rPr>
        <w:t xml:space="preserve"> konusu ürün için yurt içi birim satış fiyat endeksi 2021 yılında 100 birim olarak gerçekleşirken 2022 yılında</w:t>
      </w:r>
      <w:r w:rsidR="008F552D" w:rsidRPr="0042354C">
        <w:rPr>
          <w:bCs/>
        </w:rPr>
        <w:t xml:space="preserve"> 104 birime yükselmiş, 2023 yılında 84 birime ve </w:t>
      </w:r>
      <w:proofErr w:type="spellStart"/>
      <w:r w:rsidR="008F552D" w:rsidRPr="0042354C">
        <w:rPr>
          <w:bCs/>
        </w:rPr>
        <w:t>SD’de</w:t>
      </w:r>
      <w:proofErr w:type="spellEnd"/>
      <w:r w:rsidR="008F552D" w:rsidRPr="0042354C">
        <w:rPr>
          <w:bCs/>
        </w:rPr>
        <w:t xml:space="preserve"> 81 birime gerilemiştir.</w:t>
      </w:r>
      <w:r w:rsidRPr="0042354C">
        <w:rPr>
          <w:bCs/>
        </w:rPr>
        <w:t xml:space="preserve"> </w:t>
      </w:r>
    </w:p>
    <w:p w14:paraId="07EFA70D" w14:textId="77777777" w:rsidR="00ED52DF" w:rsidRPr="0042354C" w:rsidRDefault="00ED52DF" w:rsidP="00ED52DF">
      <w:pPr>
        <w:spacing w:before="120" w:after="120"/>
        <w:jc w:val="both"/>
        <w:rPr>
          <w:b/>
          <w:bCs/>
        </w:rPr>
      </w:pPr>
      <w:proofErr w:type="gramStart"/>
      <w:r w:rsidRPr="0042354C">
        <w:rPr>
          <w:b/>
          <w:bCs/>
        </w:rPr>
        <w:t>ç</w:t>
      </w:r>
      <w:proofErr w:type="gramEnd"/>
      <w:r w:rsidRPr="0042354C">
        <w:rPr>
          <w:b/>
          <w:bCs/>
        </w:rPr>
        <w:t xml:space="preserve">) Pazar payı </w:t>
      </w:r>
    </w:p>
    <w:p w14:paraId="0FE852DA" w14:textId="1F92C844" w:rsidR="00ED52DF" w:rsidRPr="0042354C" w:rsidRDefault="00ED52DF" w:rsidP="00ED52DF">
      <w:pPr>
        <w:spacing w:before="120" w:after="120"/>
        <w:jc w:val="both"/>
        <w:rPr>
          <w:bCs/>
        </w:rPr>
      </w:pPr>
      <w:r w:rsidRPr="0042354C">
        <w:rPr>
          <w:bCs/>
        </w:rPr>
        <w:t>(1) Yerli üretim dalının pazar payı endeksi 2021 yılında 100 birim olarak gerçekleşirken 202</w:t>
      </w:r>
      <w:r w:rsidR="005530C0" w:rsidRPr="0042354C">
        <w:rPr>
          <w:bCs/>
        </w:rPr>
        <w:t>2</w:t>
      </w:r>
      <w:r w:rsidRPr="0042354C">
        <w:rPr>
          <w:bCs/>
        </w:rPr>
        <w:t xml:space="preserve"> yılında azalarak 90 birim olmuş ve 2023 yılı</w:t>
      </w:r>
      <w:r w:rsidR="009E300F" w:rsidRPr="0042354C">
        <w:rPr>
          <w:bCs/>
        </w:rPr>
        <w:t xml:space="preserve">nda 104 birim ve </w:t>
      </w:r>
      <w:proofErr w:type="spellStart"/>
      <w:r w:rsidR="009E300F" w:rsidRPr="0042354C">
        <w:rPr>
          <w:bCs/>
        </w:rPr>
        <w:t>SD’de</w:t>
      </w:r>
      <w:proofErr w:type="spellEnd"/>
      <w:r w:rsidR="009E300F" w:rsidRPr="0042354C">
        <w:rPr>
          <w:bCs/>
        </w:rPr>
        <w:t xml:space="preserve"> 105 birim</w:t>
      </w:r>
      <w:r w:rsidRPr="0042354C">
        <w:rPr>
          <w:bCs/>
        </w:rPr>
        <w:t xml:space="preserve"> seviyesinde gerçekleşmiştir.</w:t>
      </w:r>
    </w:p>
    <w:p w14:paraId="5EBF205A" w14:textId="77777777" w:rsidR="00ED52DF" w:rsidRPr="0042354C" w:rsidRDefault="00ED52DF" w:rsidP="00ED52DF">
      <w:pPr>
        <w:spacing w:before="120" w:after="120"/>
        <w:jc w:val="both"/>
        <w:rPr>
          <w:b/>
          <w:bCs/>
        </w:rPr>
      </w:pPr>
      <w:r w:rsidRPr="0042354C">
        <w:rPr>
          <w:b/>
          <w:bCs/>
        </w:rPr>
        <w:t xml:space="preserve">d) Maliyetler ve kârlılık </w:t>
      </w:r>
    </w:p>
    <w:p w14:paraId="65490E82" w14:textId="658D4DD7" w:rsidR="00ED52DF" w:rsidRPr="0042354C" w:rsidRDefault="00ED52DF" w:rsidP="00ED52DF">
      <w:pPr>
        <w:spacing w:before="120" w:after="120"/>
        <w:jc w:val="both"/>
        <w:rPr>
          <w:bCs/>
        </w:rPr>
      </w:pPr>
      <w:r w:rsidRPr="0042354C">
        <w:rPr>
          <w:bCs/>
        </w:rPr>
        <w:t xml:space="preserve">(1) Yerli üretim dalının </w:t>
      </w:r>
      <w:r w:rsidR="006C7F78" w:rsidRPr="0042354C">
        <w:rPr>
          <w:bCs/>
        </w:rPr>
        <w:t>soruşturma</w:t>
      </w:r>
      <w:r w:rsidRPr="0042354C">
        <w:rPr>
          <w:bCs/>
        </w:rPr>
        <w:t xml:space="preserve"> konusu ürün için 2021 yılında 100 birim olan birim sınai maliyet endeksi 2022 yılında 95 birim, 2023 yılında 79 birim, </w:t>
      </w:r>
      <w:proofErr w:type="spellStart"/>
      <w:r w:rsidRPr="0042354C">
        <w:rPr>
          <w:bCs/>
        </w:rPr>
        <w:t>SD’de</w:t>
      </w:r>
      <w:proofErr w:type="spellEnd"/>
      <w:r w:rsidRPr="0042354C">
        <w:rPr>
          <w:bCs/>
        </w:rPr>
        <w:t xml:space="preserve"> 78 birim seviyesine gerilemiş; faaliyet ve finansman giderleri eklenerek hesaplanan ve 2021 yılında 100 birim olarak kabul edilen birim ticari maliyet endeksi 2022 yılında </w:t>
      </w:r>
      <w:r w:rsidR="009565A9" w:rsidRPr="0042354C">
        <w:rPr>
          <w:bCs/>
        </w:rPr>
        <w:t>92</w:t>
      </w:r>
      <w:r w:rsidRPr="0042354C">
        <w:rPr>
          <w:bCs/>
        </w:rPr>
        <w:t xml:space="preserve"> birim, 2023 yılında</w:t>
      </w:r>
      <w:r w:rsidR="006C7F78" w:rsidRPr="0042354C">
        <w:rPr>
          <w:bCs/>
        </w:rPr>
        <w:t xml:space="preserve"> </w:t>
      </w:r>
      <w:r w:rsidR="009565A9" w:rsidRPr="0042354C">
        <w:rPr>
          <w:bCs/>
        </w:rPr>
        <w:t>77</w:t>
      </w:r>
      <w:r w:rsidR="006C7F78" w:rsidRPr="0042354C">
        <w:rPr>
          <w:bCs/>
        </w:rPr>
        <w:t xml:space="preserve"> birim,</w:t>
      </w:r>
      <w:r w:rsidRPr="0042354C">
        <w:rPr>
          <w:bCs/>
        </w:rPr>
        <w:t xml:space="preserve"> </w:t>
      </w:r>
      <w:proofErr w:type="spellStart"/>
      <w:r w:rsidRPr="0042354C">
        <w:rPr>
          <w:bCs/>
        </w:rPr>
        <w:t>SD’de</w:t>
      </w:r>
      <w:proofErr w:type="spellEnd"/>
      <w:r w:rsidRPr="0042354C">
        <w:rPr>
          <w:bCs/>
        </w:rPr>
        <w:t xml:space="preserve"> ise </w:t>
      </w:r>
      <w:r w:rsidR="009565A9" w:rsidRPr="0042354C">
        <w:rPr>
          <w:bCs/>
        </w:rPr>
        <w:t>76</w:t>
      </w:r>
      <w:r w:rsidRPr="0042354C">
        <w:rPr>
          <w:bCs/>
        </w:rPr>
        <w:t xml:space="preserve"> birim olarak gerçekleşmiştir.</w:t>
      </w:r>
    </w:p>
    <w:p w14:paraId="3EBE8E0F" w14:textId="25A563B9" w:rsidR="00ED52DF" w:rsidRPr="0042354C" w:rsidRDefault="00ED52DF" w:rsidP="00ED52DF">
      <w:pPr>
        <w:spacing w:before="120" w:after="120"/>
        <w:jc w:val="both"/>
        <w:rPr>
          <w:bCs/>
        </w:rPr>
      </w:pPr>
      <w:r w:rsidRPr="0042354C">
        <w:rPr>
          <w:bCs/>
        </w:rPr>
        <w:t xml:space="preserve">(2) Yerli üretim dalının </w:t>
      </w:r>
      <w:r w:rsidR="006C7F78" w:rsidRPr="0042354C">
        <w:rPr>
          <w:bCs/>
        </w:rPr>
        <w:t>soruşturma</w:t>
      </w:r>
      <w:r w:rsidRPr="0042354C">
        <w:rPr>
          <w:bCs/>
        </w:rPr>
        <w:t xml:space="preserve"> konusu ürün için gerçekleşen ticari maliyetleri ve yurt içi satış fiyatları dikkate alınarak hesaplanan yurt içi satışlardan birim kârlılık endeksi 2021 yılında 100 birim, 2022 yılında </w:t>
      </w:r>
      <w:r w:rsidR="006C7F78" w:rsidRPr="0042354C">
        <w:rPr>
          <w:bCs/>
        </w:rPr>
        <w:t>395</w:t>
      </w:r>
      <w:r w:rsidRPr="0042354C">
        <w:rPr>
          <w:bCs/>
        </w:rPr>
        <w:t xml:space="preserve"> birim, 2023 yılında </w:t>
      </w:r>
      <w:r w:rsidR="006C7F78" w:rsidRPr="0042354C">
        <w:rPr>
          <w:bCs/>
        </w:rPr>
        <w:t>243</w:t>
      </w:r>
      <w:r w:rsidRPr="0042354C">
        <w:rPr>
          <w:bCs/>
        </w:rPr>
        <w:t xml:space="preserve"> birim ve </w:t>
      </w:r>
      <w:proofErr w:type="spellStart"/>
      <w:r w:rsidRPr="0042354C">
        <w:rPr>
          <w:bCs/>
        </w:rPr>
        <w:t>SD’de</w:t>
      </w:r>
      <w:proofErr w:type="spellEnd"/>
      <w:r w:rsidRPr="0042354C">
        <w:rPr>
          <w:bCs/>
        </w:rPr>
        <w:t xml:space="preserve"> 1</w:t>
      </w:r>
      <w:r w:rsidR="006C7F78" w:rsidRPr="0042354C">
        <w:rPr>
          <w:bCs/>
        </w:rPr>
        <w:t>97</w:t>
      </w:r>
      <w:r w:rsidRPr="0042354C">
        <w:rPr>
          <w:bCs/>
        </w:rPr>
        <w:t xml:space="preserve"> birim olarak gerçekleşmiştir. </w:t>
      </w:r>
    </w:p>
    <w:p w14:paraId="2F5CA074" w14:textId="3F185676" w:rsidR="00ED52DF" w:rsidRPr="0042354C" w:rsidRDefault="00ED52DF" w:rsidP="00ED52DF">
      <w:pPr>
        <w:spacing w:before="120" w:after="120"/>
        <w:jc w:val="both"/>
        <w:rPr>
          <w:bCs/>
        </w:rPr>
      </w:pPr>
      <w:r w:rsidRPr="0042354C">
        <w:rPr>
          <w:bCs/>
        </w:rPr>
        <w:t>(3) Yurt dışı satışlardan birim kârlılık endeksi 2021 yılında</w:t>
      </w:r>
      <w:r w:rsidR="006C7F78" w:rsidRPr="0042354C">
        <w:rPr>
          <w:bCs/>
        </w:rPr>
        <w:t xml:space="preserve"> 100 birim, 2022 yılında 685 birim, 2023 yılında 404 birim ve </w:t>
      </w:r>
      <w:proofErr w:type="spellStart"/>
      <w:r w:rsidR="006C7F78" w:rsidRPr="0042354C">
        <w:rPr>
          <w:bCs/>
        </w:rPr>
        <w:t>SD’de</w:t>
      </w:r>
      <w:proofErr w:type="spellEnd"/>
      <w:r w:rsidR="006C7F78" w:rsidRPr="0042354C">
        <w:rPr>
          <w:bCs/>
        </w:rPr>
        <w:t xml:space="preserve"> 215 birim</w:t>
      </w:r>
      <w:r w:rsidRPr="0042354C">
        <w:rPr>
          <w:bCs/>
        </w:rPr>
        <w:t xml:space="preserve"> olarak gerçekleşmiştir. </w:t>
      </w:r>
    </w:p>
    <w:p w14:paraId="0F84552A" w14:textId="7F6C9920" w:rsidR="00ED52DF" w:rsidRPr="0042354C" w:rsidRDefault="00ED52DF" w:rsidP="00ED52DF">
      <w:pPr>
        <w:spacing w:before="120" w:after="120"/>
        <w:jc w:val="both"/>
        <w:rPr>
          <w:bCs/>
        </w:rPr>
      </w:pPr>
      <w:r w:rsidRPr="0042354C">
        <w:rPr>
          <w:bCs/>
        </w:rPr>
        <w:t>(4) Yerli üretim dalının toplam satışlarının birim kârlılığı ise 2021 yılında 100 birim, 2022 yılında 52</w:t>
      </w:r>
      <w:r w:rsidR="006C7F78" w:rsidRPr="0042354C">
        <w:rPr>
          <w:bCs/>
        </w:rPr>
        <w:t>3</w:t>
      </w:r>
      <w:r w:rsidRPr="0042354C">
        <w:rPr>
          <w:bCs/>
        </w:rPr>
        <w:t xml:space="preserve"> birim, 2023 yılında 317 birim ve </w:t>
      </w:r>
      <w:proofErr w:type="spellStart"/>
      <w:r w:rsidRPr="0042354C">
        <w:rPr>
          <w:bCs/>
        </w:rPr>
        <w:t>SD’de</w:t>
      </w:r>
      <w:proofErr w:type="spellEnd"/>
      <w:r w:rsidRPr="0042354C">
        <w:rPr>
          <w:bCs/>
        </w:rPr>
        <w:t xml:space="preserve"> </w:t>
      </w:r>
      <w:r w:rsidR="006C7F78" w:rsidRPr="0042354C">
        <w:rPr>
          <w:bCs/>
        </w:rPr>
        <w:t>204</w:t>
      </w:r>
      <w:r w:rsidRPr="0042354C">
        <w:rPr>
          <w:bCs/>
        </w:rPr>
        <w:t xml:space="preserve"> birim seviyesindedir. </w:t>
      </w:r>
    </w:p>
    <w:p w14:paraId="10E66FE7" w14:textId="77777777" w:rsidR="00ED52DF" w:rsidRPr="0042354C" w:rsidRDefault="00ED52DF" w:rsidP="00ED52DF">
      <w:pPr>
        <w:spacing w:before="120" w:after="120"/>
        <w:jc w:val="both"/>
        <w:rPr>
          <w:b/>
          <w:bCs/>
        </w:rPr>
      </w:pPr>
      <w:r w:rsidRPr="0042354C">
        <w:rPr>
          <w:b/>
          <w:bCs/>
        </w:rPr>
        <w:t xml:space="preserve">e) Stoklar </w:t>
      </w:r>
    </w:p>
    <w:p w14:paraId="735F9D0C" w14:textId="4A14E237" w:rsidR="00ED52DF" w:rsidRPr="0042354C" w:rsidRDefault="00ED52DF" w:rsidP="00ED52DF">
      <w:pPr>
        <w:spacing w:before="120" w:after="120"/>
        <w:jc w:val="both"/>
        <w:rPr>
          <w:bCs/>
        </w:rPr>
      </w:pPr>
      <w:r w:rsidRPr="0042354C">
        <w:rPr>
          <w:bCs/>
        </w:rPr>
        <w:t xml:space="preserve">(1) Yerli üretim dalının dönem sonu stok miktarı 2021 yılında 100 birim, 2022 yılında 159 birim, 2023 yılında 103 birim ve </w:t>
      </w:r>
      <w:proofErr w:type="spellStart"/>
      <w:r w:rsidRPr="0042354C">
        <w:rPr>
          <w:bCs/>
        </w:rPr>
        <w:t>SD’de</w:t>
      </w:r>
      <w:proofErr w:type="spellEnd"/>
      <w:r w:rsidRPr="0042354C">
        <w:rPr>
          <w:bCs/>
        </w:rPr>
        <w:t xml:space="preserve"> </w:t>
      </w:r>
      <w:r w:rsidR="006C7F78" w:rsidRPr="0042354C">
        <w:rPr>
          <w:bCs/>
        </w:rPr>
        <w:t>107</w:t>
      </w:r>
      <w:r w:rsidRPr="0042354C">
        <w:rPr>
          <w:bCs/>
        </w:rPr>
        <w:t xml:space="preserve"> birim seviyesindedir.</w:t>
      </w:r>
    </w:p>
    <w:p w14:paraId="3618D50A" w14:textId="77777777" w:rsidR="00ED52DF" w:rsidRPr="0042354C" w:rsidRDefault="00ED52DF" w:rsidP="00ED52DF">
      <w:pPr>
        <w:spacing w:before="120" w:after="120"/>
        <w:jc w:val="both"/>
        <w:rPr>
          <w:b/>
          <w:bCs/>
        </w:rPr>
      </w:pPr>
      <w:r w:rsidRPr="0042354C">
        <w:rPr>
          <w:b/>
          <w:bCs/>
        </w:rPr>
        <w:t xml:space="preserve">f) İstihdam </w:t>
      </w:r>
    </w:p>
    <w:p w14:paraId="71B1A7E3" w14:textId="5246CCE4" w:rsidR="00ED52DF" w:rsidRPr="0042354C" w:rsidRDefault="00ED52DF" w:rsidP="00ED52DF">
      <w:pPr>
        <w:spacing w:before="120" w:after="120"/>
        <w:jc w:val="both"/>
        <w:rPr>
          <w:bCs/>
        </w:rPr>
      </w:pPr>
      <w:r w:rsidRPr="0042354C">
        <w:rPr>
          <w:bCs/>
        </w:rPr>
        <w:t xml:space="preserve">(1) Yerli üretim dalının </w:t>
      </w:r>
      <w:r w:rsidR="006C7F78" w:rsidRPr="0042354C">
        <w:rPr>
          <w:bCs/>
        </w:rPr>
        <w:t>soruşturma</w:t>
      </w:r>
      <w:r w:rsidRPr="0042354C">
        <w:rPr>
          <w:bCs/>
        </w:rPr>
        <w:t xml:space="preserve"> konusu ürün üretiminde çalışan işçi sayısı endeksi 2021 yılında 100 birim, 2022</w:t>
      </w:r>
      <w:r w:rsidR="006C7F78" w:rsidRPr="0042354C">
        <w:rPr>
          <w:bCs/>
        </w:rPr>
        <w:t xml:space="preserve"> yılında 109 birim, 2023 yılında 112 birim ve </w:t>
      </w:r>
      <w:proofErr w:type="spellStart"/>
      <w:r w:rsidR="006C7F78" w:rsidRPr="0042354C">
        <w:rPr>
          <w:bCs/>
        </w:rPr>
        <w:t>SD’de</w:t>
      </w:r>
      <w:proofErr w:type="spellEnd"/>
      <w:r w:rsidR="006C7F78" w:rsidRPr="0042354C">
        <w:rPr>
          <w:bCs/>
        </w:rPr>
        <w:t xml:space="preserve"> 112 birim</w:t>
      </w:r>
      <w:r w:rsidRPr="0042354C">
        <w:rPr>
          <w:bCs/>
        </w:rPr>
        <w:t xml:space="preserve"> olarak gerçekleşmiştir.</w:t>
      </w:r>
    </w:p>
    <w:p w14:paraId="4782A5B4" w14:textId="77777777" w:rsidR="00ED52DF" w:rsidRPr="0042354C" w:rsidRDefault="00ED52DF" w:rsidP="00ED52DF">
      <w:pPr>
        <w:spacing w:before="120" w:after="120"/>
        <w:jc w:val="both"/>
        <w:rPr>
          <w:b/>
          <w:bCs/>
        </w:rPr>
      </w:pPr>
      <w:r w:rsidRPr="0042354C">
        <w:rPr>
          <w:b/>
          <w:bCs/>
        </w:rPr>
        <w:t xml:space="preserve">g) Ücretler </w:t>
      </w:r>
    </w:p>
    <w:p w14:paraId="7A1BB624" w14:textId="4D88A670" w:rsidR="00ED52DF" w:rsidRPr="0042354C" w:rsidRDefault="00ED52DF" w:rsidP="00ED52DF">
      <w:pPr>
        <w:spacing w:before="120" w:after="120"/>
        <w:jc w:val="both"/>
        <w:rPr>
          <w:bCs/>
        </w:rPr>
      </w:pPr>
      <w:r w:rsidRPr="0042354C">
        <w:rPr>
          <w:bCs/>
        </w:rPr>
        <w:t xml:space="preserve">(1) </w:t>
      </w:r>
      <w:r w:rsidR="006C7F78" w:rsidRPr="0042354C">
        <w:rPr>
          <w:bCs/>
        </w:rPr>
        <w:t>Soruşturma</w:t>
      </w:r>
      <w:r w:rsidRPr="0042354C">
        <w:rPr>
          <w:bCs/>
        </w:rPr>
        <w:t xml:space="preserve"> konusu ürün üretiminde çalışan bir işçinin aylık brüt ücret endeksi 2021 yılında 100 birim olarak kabul edildiğinde, 2022 yılında 8</w:t>
      </w:r>
      <w:r w:rsidR="006C7F78" w:rsidRPr="0042354C">
        <w:rPr>
          <w:bCs/>
        </w:rPr>
        <w:t>3</w:t>
      </w:r>
      <w:r w:rsidRPr="0042354C">
        <w:rPr>
          <w:bCs/>
        </w:rPr>
        <w:t xml:space="preserve"> birim, 2023 yılında </w:t>
      </w:r>
      <w:r w:rsidR="006C7F78" w:rsidRPr="0042354C">
        <w:rPr>
          <w:bCs/>
        </w:rPr>
        <w:t>114</w:t>
      </w:r>
      <w:r w:rsidRPr="0042354C">
        <w:rPr>
          <w:bCs/>
        </w:rPr>
        <w:t xml:space="preserve"> birim ve </w:t>
      </w:r>
      <w:proofErr w:type="spellStart"/>
      <w:r w:rsidRPr="0042354C">
        <w:rPr>
          <w:bCs/>
        </w:rPr>
        <w:t>SD’de</w:t>
      </w:r>
      <w:proofErr w:type="spellEnd"/>
      <w:r w:rsidRPr="0042354C">
        <w:rPr>
          <w:bCs/>
        </w:rPr>
        <w:t xml:space="preserve"> </w:t>
      </w:r>
      <w:r w:rsidR="006C7F78" w:rsidRPr="0042354C">
        <w:rPr>
          <w:bCs/>
        </w:rPr>
        <w:t>144</w:t>
      </w:r>
      <w:r w:rsidRPr="0042354C">
        <w:rPr>
          <w:bCs/>
        </w:rPr>
        <w:t xml:space="preserve"> birim olarak gerçekleşmiştir. </w:t>
      </w:r>
    </w:p>
    <w:p w14:paraId="1427756C" w14:textId="77777777" w:rsidR="00ED52DF" w:rsidRPr="0042354C" w:rsidRDefault="00ED52DF" w:rsidP="00ED52DF">
      <w:pPr>
        <w:spacing w:before="120" w:after="120"/>
        <w:jc w:val="both"/>
        <w:rPr>
          <w:b/>
          <w:bCs/>
        </w:rPr>
      </w:pPr>
      <w:proofErr w:type="gramStart"/>
      <w:r w:rsidRPr="0042354C">
        <w:rPr>
          <w:b/>
          <w:bCs/>
        </w:rPr>
        <w:t>ğ</w:t>
      </w:r>
      <w:proofErr w:type="gramEnd"/>
      <w:r w:rsidRPr="0042354C">
        <w:rPr>
          <w:b/>
          <w:bCs/>
        </w:rPr>
        <w:t xml:space="preserve">) Verimlilik </w:t>
      </w:r>
    </w:p>
    <w:p w14:paraId="48D06AE7" w14:textId="647F0EC7" w:rsidR="00ED52DF" w:rsidRPr="0042354C" w:rsidRDefault="00ED52DF" w:rsidP="00ED52DF">
      <w:pPr>
        <w:spacing w:before="120" w:after="120"/>
        <w:jc w:val="both"/>
        <w:rPr>
          <w:bCs/>
        </w:rPr>
      </w:pPr>
      <w:r w:rsidRPr="0042354C">
        <w:rPr>
          <w:bCs/>
        </w:rPr>
        <w:t xml:space="preserve">(1) </w:t>
      </w:r>
      <w:r w:rsidR="006C7F78" w:rsidRPr="0042354C">
        <w:rPr>
          <w:bCs/>
        </w:rPr>
        <w:t>Soruşturma</w:t>
      </w:r>
      <w:r w:rsidRPr="0042354C">
        <w:rPr>
          <w:bCs/>
        </w:rPr>
        <w:t xml:space="preserve"> konusu ürün üretiminde çalışan işçi başına düşen üretim miktarını gösteren verimlilik endeksi 2021 yılında 100 birim, 2022 yılında 96 birim, 2023 yılında 8</w:t>
      </w:r>
      <w:r w:rsidR="006C7F78" w:rsidRPr="0042354C">
        <w:rPr>
          <w:bCs/>
        </w:rPr>
        <w:t>7</w:t>
      </w:r>
      <w:r w:rsidRPr="0042354C">
        <w:rPr>
          <w:bCs/>
        </w:rPr>
        <w:t xml:space="preserve"> birim ve </w:t>
      </w:r>
      <w:proofErr w:type="spellStart"/>
      <w:r w:rsidRPr="0042354C">
        <w:rPr>
          <w:bCs/>
        </w:rPr>
        <w:t>SD’de</w:t>
      </w:r>
      <w:proofErr w:type="spellEnd"/>
      <w:r w:rsidRPr="0042354C">
        <w:rPr>
          <w:bCs/>
        </w:rPr>
        <w:t xml:space="preserve">  </w:t>
      </w:r>
      <w:r w:rsidR="006C7F78" w:rsidRPr="0042354C">
        <w:rPr>
          <w:bCs/>
        </w:rPr>
        <w:t>85</w:t>
      </w:r>
      <w:r w:rsidRPr="0042354C">
        <w:rPr>
          <w:bCs/>
        </w:rPr>
        <w:t xml:space="preserve"> birim seviyesindedir.</w:t>
      </w:r>
    </w:p>
    <w:p w14:paraId="7EA2025F" w14:textId="77777777" w:rsidR="00ED52DF" w:rsidRPr="0042354C" w:rsidRDefault="00ED52DF" w:rsidP="00ED52DF">
      <w:pPr>
        <w:spacing w:before="120" w:after="120"/>
        <w:jc w:val="both"/>
        <w:rPr>
          <w:b/>
          <w:bCs/>
        </w:rPr>
      </w:pPr>
      <w:r w:rsidRPr="0042354C">
        <w:rPr>
          <w:b/>
          <w:bCs/>
        </w:rPr>
        <w:t xml:space="preserve">h) Nakit akışı </w:t>
      </w:r>
    </w:p>
    <w:p w14:paraId="2841EA47" w14:textId="3E7598B4" w:rsidR="00ED52DF" w:rsidRPr="0042354C" w:rsidRDefault="00ED52DF" w:rsidP="00ED52DF">
      <w:pPr>
        <w:spacing w:before="120" w:after="120"/>
        <w:jc w:val="both"/>
        <w:rPr>
          <w:bCs/>
        </w:rPr>
      </w:pPr>
      <w:r w:rsidRPr="0042354C">
        <w:rPr>
          <w:bCs/>
        </w:rPr>
        <w:t xml:space="preserve">(1) Yerli üretim dalının </w:t>
      </w:r>
      <w:r w:rsidR="006C7F78" w:rsidRPr="0042354C">
        <w:rPr>
          <w:bCs/>
        </w:rPr>
        <w:t xml:space="preserve">soruşturma </w:t>
      </w:r>
      <w:r w:rsidRPr="0042354C">
        <w:rPr>
          <w:bCs/>
        </w:rPr>
        <w:t>konusu ürüne ilişkin amortisman ve karlılık değerleri dikkate alınarak hesaplanan nakit akışı endeksi incelenen dönem itibarıyla sırasıyla 100 birim, 32</w:t>
      </w:r>
      <w:r w:rsidR="006C7F78" w:rsidRPr="0042354C">
        <w:rPr>
          <w:bCs/>
        </w:rPr>
        <w:t>4</w:t>
      </w:r>
      <w:r w:rsidRPr="0042354C">
        <w:rPr>
          <w:bCs/>
        </w:rPr>
        <w:t xml:space="preserve"> birim, 210 birim ve </w:t>
      </w:r>
      <w:r w:rsidR="006C7F78" w:rsidRPr="0042354C">
        <w:rPr>
          <w:bCs/>
        </w:rPr>
        <w:t>171</w:t>
      </w:r>
      <w:r w:rsidRPr="0042354C">
        <w:rPr>
          <w:bCs/>
        </w:rPr>
        <w:t xml:space="preserve"> birim olarak gerçekleşmiştir. </w:t>
      </w:r>
    </w:p>
    <w:p w14:paraId="03C571B3" w14:textId="77777777" w:rsidR="00ED52DF" w:rsidRPr="0042354C" w:rsidRDefault="00ED52DF" w:rsidP="00ED52DF">
      <w:pPr>
        <w:spacing w:before="120" w:after="120"/>
        <w:jc w:val="both"/>
        <w:rPr>
          <w:b/>
          <w:bCs/>
        </w:rPr>
      </w:pPr>
      <w:r w:rsidRPr="0042354C">
        <w:rPr>
          <w:b/>
          <w:bCs/>
        </w:rPr>
        <w:t xml:space="preserve">ı) Büyüme </w:t>
      </w:r>
    </w:p>
    <w:p w14:paraId="48A79394" w14:textId="01384B27" w:rsidR="00ED52DF" w:rsidRPr="0042354C" w:rsidRDefault="00ED52DF" w:rsidP="00ED52DF">
      <w:pPr>
        <w:spacing w:before="120" w:after="120"/>
        <w:jc w:val="both"/>
        <w:rPr>
          <w:bCs/>
        </w:rPr>
      </w:pPr>
      <w:r w:rsidRPr="0042354C">
        <w:rPr>
          <w:bCs/>
        </w:rPr>
        <w:t xml:space="preserve">(1) Yerli üretim dalının bütün faaliyetlerini kapsayan aktif büyüklük endeksi 2021 yılında 100 birim, 2022 yılında 84 birim, 2023 yılında 98 birim ve </w:t>
      </w:r>
      <w:proofErr w:type="spellStart"/>
      <w:r w:rsidRPr="0042354C">
        <w:rPr>
          <w:bCs/>
        </w:rPr>
        <w:t>SD’de</w:t>
      </w:r>
      <w:proofErr w:type="spellEnd"/>
      <w:r w:rsidRPr="0042354C">
        <w:rPr>
          <w:bCs/>
        </w:rPr>
        <w:t xml:space="preserve"> </w:t>
      </w:r>
      <w:r w:rsidR="006C7F78" w:rsidRPr="0042354C">
        <w:rPr>
          <w:bCs/>
        </w:rPr>
        <w:t>86</w:t>
      </w:r>
      <w:r w:rsidRPr="0042354C">
        <w:rPr>
          <w:bCs/>
        </w:rPr>
        <w:t xml:space="preserve"> birim olarak gerçekleşmiştir. </w:t>
      </w:r>
    </w:p>
    <w:p w14:paraId="5FD56D67" w14:textId="77777777" w:rsidR="00ED52DF" w:rsidRPr="0042354C" w:rsidRDefault="00ED52DF" w:rsidP="00ED52DF">
      <w:pPr>
        <w:spacing w:before="120" w:after="120"/>
        <w:jc w:val="both"/>
        <w:rPr>
          <w:b/>
          <w:bCs/>
        </w:rPr>
      </w:pPr>
      <w:r w:rsidRPr="0042354C">
        <w:rPr>
          <w:b/>
          <w:bCs/>
        </w:rPr>
        <w:t xml:space="preserve"> i) Sermaye artırma yeteneği </w:t>
      </w:r>
    </w:p>
    <w:p w14:paraId="19D3040D" w14:textId="5B03A497" w:rsidR="00ED52DF" w:rsidRPr="0042354C" w:rsidRDefault="00ED52DF" w:rsidP="00ED52DF">
      <w:pPr>
        <w:spacing w:before="120" w:after="120"/>
        <w:jc w:val="both"/>
        <w:rPr>
          <w:bCs/>
        </w:rPr>
      </w:pPr>
      <w:r w:rsidRPr="0042354C">
        <w:rPr>
          <w:bCs/>
        </w:rPr>
        <w:t xml:space="preserve">(1) Yerli üretim dalının öz sermaye endeksi </w:t>
      </w:r>
      <w:r w:rsidR="009565A9" w:rsidRPr="0042354C">
        <w:rPr>
          <w:bCs/>
        </w:rPr>
        <w:t>gözden geçirme</w:t>
      </w:r>
      <w:r w:rsidRPr="0042354C">
        <w:rPr>
          <w:bCs/>
        </w:rPr>
        <w:t xml:space="preserve"> dönem</w:t>
      </w:r>
      <w:r w:rsidR="009565A9" w:rsidRPr="0042354C">
        <w:rPr>
          <w:bCs/>
        </w:rPr>
        <w:t>in</w:t>
      </w:r>
      <w:r w:rsidRPr="0042354C">
        <w:rPr>
          <w:bCs/>
        </w:rPr>
        <w:t>de sırasıyla 100 birim, 105 birim, 16</w:t>
      </w:r>
      <w:r w:rsidR="006C7F78" w:rsidRPr="0042354C">
        <w:rPr>
          <w:bCs/>
        </w:rPr>
        <w:t>2</w:t>
      </w:r>
      <w:r w:rsidRPr="0042354C">
        <w:rPr>
          <w:bCs/>
        </w:rPr>
        <w:t xml:space="preserve"> birim ve </w:t>
      </w:r>
      <w:r w:rsidR="006C7F78" w:rsidRPr="0042354C">
        <w:rPr>
          <w:bCs/>
        </w:rPr>
        <w:t>153</w:t>
      </w:r>
      <w:r w:rsidRPr="0042354C">
        <w:rPr>
          <w:bCs/>
        </w:rPr>
        <w:t xml:space="preserve"> birim olarak gerçekleşmiştir. </w:t>
      </w:r>
    </w:p>
    <w:p w14:paraId="4F4F3552" w14:textId="77777777" w:rsidR="00ED52DF" w:rsidRPr="0042354C" w:rsidRDefault="00ED52DF" w:rsidP="00ED52DF">
      <w:pPr>
        <w:spacing w:before="120" w:after="120"/>
        <w:jc w:val="both"/>
        <w:rPr>
          <w:b/>
          <w:bCs/>
        </w:rPr>
      </w:pPr>
      <w:r w:rsidRPr="0042354C">
        <w:rPr>
          <w:b/>
          <w:bCs/>
        </w:rPr>
        <w:t xml:space="preserve">j) Yatırımları artırma yeteneği </w:t>
      </w:r>
    </w:p>
    <w:p w14:paraId="2CBD7962" w14:textId="286791D6" w:rsidR="00ED52DF" w:rsidRPr="0042354C" w:rsidRDefault="00ED52DF" w:rsidP="00ED52DF">
      <w:pPr>
        <w:spacing w:before="120" w:after="120"/>
        <w:jc w:val="both"/>
        <w:rPr>
          <w:bCs/>
        </w:rPr>
      </w:pPr>
      <w:r w:rsidRPr="0042354C">
        <w:rPr>
          <w:bCs/>
        </w:rPr>
        <w:t xml:space="preserve">(1) Gözden geçirme döneminde yerli üretim dalının bütün faaliyetlerine yönelik olarak yapılan tevsi yatırımların endeksi sırasıyla 100 birim, </w:t>
      </w:r>
      <w:r w:rsidR="006C7F78" w:rsidRPr="0042354C">
        <w:rPr>
          <w:bCs/>
        </w:rPr>
        <w:t>315</w:t>
      </w:r>
      <w:r w:rsidRPr="0042354C">
        <w:rPr>
          <w:bCs/>
        </w:rPr>
        <w:t xml:space="preserve"> birim, </w:t>
      </w:r>
      <w:r w:rsidR="006C7F78" w:rsidRPr="0042354C">
        <w:rPr>
          <w:bCs/>
        </w:rPr>
        <w:t>654</w:t>
      </w:r>
      <w:r w:rsidRPr="0042354C">
        <w:rPr>
          <w:bCs/>
        </w:rPr>
        <w:t xml:space="preserve"> birim ve </w:t>
      </w:r>
      <w:r w:rsidR="006C7F78" w:rsidRPr="0042354C">
        <w:rPr>
          <w:bCs/>
        </w:rPr>
        <w:t>262</w:t>
      </w:r>
      <w:r w:rsidRPr="0042354C">
        <w:rPr>
          <w:bCs/>
        </w:rPr>
        <w:t xml:space="preserve"> birim seviyelerinde gerçekleşmiş</w:t>
      </w:r>
      <w:r w:rsidR="006C7F78" w:rsidRPr="0042354C">
        <w:rPr>
          <w:bCs/>
        </w:rPr>
        <w:t xml:space="preserve">tir. Yenileme yatırımları endeksi ise 2021 yılında 100 birim, 2022 yılında 273 birim, 2023 yılında 360 birim ve </w:t>
      </w:r>
      <w:proofErr w:type="spellStart"/>
      <w:r w:rsidR="006C7F78" w:rsidRPr="0042354C">
        <w:rPr>
          <w:bCs/>
        </w:rPr>
        <w:t>SD’de</w:t>
      </w:r>
      <w:proofErr w:type="spellEnd"/>
      <w:r w:rsidR="006C7F78" w:rsidRPr="0042354C">
        <w:rPr>
          <w:bCs/>
        </w:rPr>
        <w:t xml:space="preserve"> 237 birim olarak gerçekleşmiştir.</w:t>
      </w:r>
    </w:p>
    <w:p w14:paraId="7BE68255" w14:textId="47D80EB8" w:rsidR="00ED52DF" w:rsidRPr="0042354C" w:rsidRDefault="00ED52DF" w:rsidP="00ED52DF">
      <w:pPr>
        <w:spacing w:before="120" w:after="120"/>
        <w:jc w:val="both"/>
        <w:rPr>
          <w:bCs/>
        </w:rPr>
      </w:pPr>
      <w:r w:rsidRPr="0042354C">
        <w:rPr>
          <w:bCs/>
        </w:rPr>
        <w:t xml:space="preserve">(2) Yerli üretim dalının yatırımlarının geri dönüş oranı (dönem karı/öz sermaye) aynı dönemde sırasıyla 100 birim, 224 birim, 88 birim ve </w:t>
      </w:r>
      <w:r w:rsidR="006C7F78" w:rsidRPr="0042354C">
        <w:rPr>
          <w:bCs/>
        </w:rPr>
        <w:t>51</w:t>
      </w:r>
      <w:r w:rsidRPr="0042354C">
        <w:rPr>
          <w:bCs/>
        </w:rPr>
        <w:t xml:space="preserve"> birim olmuştur. </w:t>
      </w:r>
    </w:p>
    <w:p w14:paraId="145C80C6" w14:textId="7B632D39" w:rsidR="00884228" w:rsidRPr="0042354C" w:rsidRDefault="007C44D5" w:rsidP="00A901A0">
      <w:pPr>
        <w:pStyle w:val="Altyaz"/>
        <w:spacing w:before="120" w:after="120"/>
        <w:jc w:val="left"/>
        <w:rPr>
          <w:rFonts w:ascii="Times New Roman" w:hAnsi="Times New Roman"/>
          <w:b/>
        </w:rPr>
      </w:pPr>
      <w:bookmarkStart w:id="75" w:name="_Toc33093919"/>
      <w:bookmarkStart w:id="76" w:name="_Toc184303593"/>
      <w:bookmarkStart w:id="77" w:name="_Toc227682717"/>
      <w:bookmarkEnd w:id="72"/>
      <w:bookmarkEnd w:id="73"/>
      <w:r w:rsidRPr="0042354C">
        <w:rPr>
          <w:rFonts w:ascii="Times New Roman" w:hAnsi="Times New Roman"/>
          <w:b/>
        </w:rPr>
        <w:t>4</w:t>
      </w:r>
      <w:r w:rsidR="00884228" w:rsidRPr="0042354C">
        <w:rPr>
          <w:rFonts w:ascii="Times New Roman" w:hAnsi="Times New Roman"/>
          <w:b/>
        </w:rPr>
        <w:t>.8. Yerli üretim dalının ekonomik göstergeleri</w:t>
      </w:r>
      <w:r w:rsidR="001A6D13" w:rsidRPr="0042354C">
        <w:rPr>
          <w:rFonts w:ascii="Times New Roman" w:hAnsi="Times New Roman"/>
          <w:b/>
        </w:rPr>
        <w:t>ni</w:t>
      </w:r>
      <w:r w:rsidR="00884228" w:rsidRPr="0042354C">
        <w:rPr>
          <w:rFonts w:ascii="Times New Roman" w:hAnsi="Times New Roman"/>
          <w:b/>
        </w:rPr>
        <w:t>n değerlendirilmesi</w:t>
      </w:r>
      <w:bookmarkEnd w:id="75"/>
      <w:bookmarkEnd w:id="76"/>
      <w:bookmarkEnd w:id="77"/>
    </w:p>
    <w:p w14:paraId="10A6F560" w14:textId="77777777" w:rsidR="006C7F78" w:rsidRPr="0042354C" w:rsidRDefault="00884228" w:rsidP="00ED52DF">
      <w:pPr>
        <w:spacing w:before="120" w:after="120"/>
        <w:jc w:val="both"/>
        <w:rPr>
          <w:bCs/>
        </w:rPr>
      </w:pPr>
      <w:bookmarkStart w:id="78" w:name="_Hlk169267226"/>
      <w:r w:rsidRPr="0042354C">
        <w:rPr>
          <w:bCs/>
        </w:rPr>
        <w:t xml:space="preserve">(1) </w:t>
      </w:r>
      <w:r w:rsidR="00ED52DF" w:rsidRPr="0042354C">
        <w:rPr>
          <w:bCs/>
        </w:rPr>
        <w:t xml:space="preserve">Yerli üretim dalının ekonomik göstergeleri incelendiğinde, 2021-2023 </w:t>
      </w:r>
      <w:r w:rsidR="006C7F78" w:rsidRPr="0042354C">
        <w:rPr>
          <w:bCs/>
        </w:rPr>
        <w:t>yılları</w:t>
      </w:r>
      <w:r w:rsidR="00ED52DF" w:rsidRPr="0042354C">
        <w:rPr>
          <w:bCs/>
        </w:rPr>
        <w:t xml:space="preserve"> ve </w:t>
      </w:r>
      <w:proofErr w:type="spellStart"/>
      <w:r w:rsidR="00ED52DF" w:rsidRPr="0042354C">
        <w:rPr>
          <w:bCs/>
        </w:rPr>
        <w:t>SD’de</w:t>
      </w:r>
      <w:proofErr w:type="spellEnd"/>
      <w:r w:rsidR="00ED52DF" w:rsidRPr="0042354C">
        <w:rPr>
          <w:bCs/>
        </w:rPr>
        <w:t xml:space="preserve"> üretim miktarı, kapasite kullanım oranı, dönem sonu stok miktarı ve stok çevrim hızı gibi göstergelerde bozulmalar yaşandığı görülmektedir.</w:t>
      </w:r>
    </w:p>
    <w:p w14:paraId="432AA8AF" w14:textId="0D0C89F7" w:rsidR="006C7F78" w:rsidRPr="0042354C" w:rsidRDefault="006C7F78" w:rsidP="00ED52DF">
      <w:pPr>
        <w:spacing w:before="120" w:after="120"/>
        <w:jc w:val="both"/>
        <w:rPr>
          <w:bCs/>
        </w:rPr>
      </w:pPr>
      <w:r w:rsidRPr="0042354C">
        <w:rPr>
          <w:bCs/>
        </w:rPr>
        <w:t>(2) 2022 ve 2023 yıllarında yurt içi satış miktarında azalma olduğu görülmektedir.</w:t>
      </w:r>
    </w:p>
    <w:p w14:paraId="4DAB65AB" w14:textId="0053D4BD" w:rsidR="006C7F78" w:rsidRPr="0042354C" w:rsidRDefault="006C7F78" w:rsidP="00ED52DF">
      <w:pPr>
        <w:spacing w:before="120" w:after="120"/>
        <w:jc w:val="both"/>
        <w:rPr>
          <w:bCs/>
        </w:rPr>
      </w:pPr>
      <w:r w:rsidRPr="0042354C">
        <w:rPr>
          <w:bCs/>
        </w:rPr>
        <w:t>(3) İncelenen yıllar ve dönem itibarıyla, soruşturma konusu ürün verimliliğinde düşüş olduğu görülmektedir.</w:t>
      </w:r>
    </w:p>
    <w:p w14:paraId="01048FB0" w14:textId="77777777" w:rsidR="006C7F78" w:rsidRPr="0042354C" w:rsidRDefault="00ED52DF" w:rsidP="00ED52DF">
      <w:pPr>
        <w:spacing w:before="120" w:after="120"/>
        <w:jc w:val="both"/>
        <w:rPr>
          <w:bCs/>
        </w:rPr>
      </w:pPr>
      <w:r w:rsidRPr="0042354C">
        <w:rPr>
          <w:bCs/>
        </w:rPr>
        <w:t>(</w:t>
      </w:r>
      <w:r w:rsidR="006C7F78" w:rsidRPr="0042354C">
        <w:rPr>
          <w:bCs/>
        </w:rPr>
        <w:t>4</w:t>
      </w:r>
      <w:r w:rsidRPr="0042354C">
        <w:rPr>
          <w:bCs/>
        </w:rPr>
        <w:t>) Öte yandan, incelenen dönem boyunca birim sınai maliyet</w:t>
      </w:r>
      <w:r w:rsidR="006C7F78" w:rsidRPr="0042354C">
        <w:rPr>
          <w:bCs/>
        </w:rPr>
        <w:t xml:space="preserve"> ile</w:t>
      </w:r>
      <w:r w:rsidRPr="0042354C">
        <w:rPr>
          <w:bCs/>
        </w:rPr>
        <w:t xml:space="preserve"> birim ticari </w:t>
      </w:r>
      <w:r w:rsidR="006C7F78" w:rsidRPr="0042354C">
        <w:rPr>
          <w:bCs/>
        </w:rPr>
        <w:t>maliyetin düşüş eğilimi gösterdiği görülmektedir. Buna karşılık olarak, incelenen yıllar ve dönem itibarıyla yurt içi satışların birim fiyatında aşağı yönlü bir seyir olduğu görülmektedir.</w:t>
      </w:r>
    </w:p>
    <w:p w14:paraId="7DE28D7B" w14:textId="23427C6D" w:rsidR="00ED52DF" w:rsidRPr="0042354C" w:rsidRDefault="006C7F78" w:rsidP="00ED52DF">
      <w:pPr>
        <w:spacing w:before="120" w:after="120"/>
        <w:jc w:val="both"/>
        <w:rPr>
          <w:bCs/>
        </w:rPr>
      </w:pPr>
      <w:r w:rsidRPr="0042354C">
        <w:rPr>
          <w:bCs/>
        </w:rPr>
        <w:t>(5</w:t>
      </w:r>
      <w:r w:rsidR="00ED52DF" w:rsidRPr="0042354C">
        <w:rPr>
          <w:bCs/>
        </w:rPr>
        <w:t xml:space="preserve">) </w:t>
      </w:r>
      <w:r w:rsidR="001A4717" w:rsidRPr="0042354C">
        <w:rPr>
          <w:bCs/>
        </w:rPr>
        <w:t>Satılan</w:t>
      </w:r>
      <w:r w:rsidR="00ED52DF" w:rsidRPr="0042354C">
        <w:rPr>
          <w:bCs/>
        </w:rPr>
        <w:t xml:space="preserve"> malların birim ticari maliyetindeki düşüşün, yurtiçi birim satış fiyatındaki </w:t>
      </w:r>
      <w:r w:rsidR="001A4717" w:rsidRPr="0042354C">
        <w:rPr>
          <w:bCs/>
        </w:rPr>
        <w:t>düşüşün</w:t>
      </w:r>
      <w:r w:rsidR="00ED52DF" w:rsidRPr="0042354C">
        <w:rPr>
          <w:bCs/>
        </w:rPr>
        <w:t xml:space="preserve"> altında kaldığı, bu suretle yurtiçi satışlardan birim k</w:t>
      </w:r>
      <w:r w:rsidR="001A4717" w:rsidRPr="0042354C">
        <w:rPr>
          <w:bCs/>
        </w:rPr>
        <w:t>â</w:t>
      </w:r>
      <w:r w:rsidR="00ED52DF" w:rsidRPr="0042354C">
        <w:rPr>
          <w:bCs/>
        </w:rPr>
        <w:t>rın artış kaydettiğ</w:t>
      </w:r>
      <w:r w:rsidR="001A4717" w:rsidRPr="0042354C">
        <w:rPr>
          <w:bCs/>
        </w:rPr>
        <w:t>i görülmektedir.</w:t>
      </w:r>
    </w:p>
    <w:p w14:paraId="4F23A455" w14:textId="11BF163F" w:rsidR="003F40D4" w:rsidRPr="0042354C" w:rsidRDefault="00A901A0" w:rsidP="00A901A0">
      <w:pPr>
        <w:pStyle w:val="Altyaz"/>
        <w:spacing w:before="120" w:after="120"/>
        <w:jc w:val="left"/>
        <w:rPr>
          <w:rFonts w:ascii="Times New Roman" w:hAnsi="Times New Roman"/>
          <w:b/>
        </w:rPr>
      </w:pPr>
      <w:bookmarkStart w:id="79" w:name="_Toc227682718"/>
      <w:bookmarkEnd w:id="78"/>
      <w:r w:rsidRPr="0042354C">
        <w:rPr>
          <w:rFonts w:ascii="Times New Roman" w:hAnsi="Times New Roman"/>
          <w:b/>
        </w:rPr>
        <w:t xml:space="preserve">4.9 </w:t>
      </w:r>
      <w:r w:rsidR="004A4CD2" w:rsidRPr="0042354C">
        <w:rPr>
          <w:rFonts w:ascii="Times New Roman" w:hAnsi="Times New Roman"/>
          <w:b/>
        </w:rPr>
        <w:t xml:space="preserve">Zararın </w:t>
      </w:r>
      <w:r w:rsidR="00DD793A" w:rsidRPr="0042354C">
        <w:rPr>
          <w:rFonts w:ascii="Times New Roman" w:hAnsi="Times New Roman"/>
          <w:b/>
        </w:rPr>
        <w:t>devam etmesi veya yeniden meydana gelmesine ilişkin değerlendirme</w:t>
      </w:r>
      <w:bookmarkEnd w:id="74"/>
      <w:bookmarkEnd w:id="79"/>
      <w:r w:rsidR="00DD793A" w:rsidRPr="0042354C">
        <w:rPr>
          <w:rFonts w:ascii="Times New Roman" w:hAnsi="Times New Roman"/>
          <w:b/>
        </w:rPr>
        <w:t xml:space="preserve"> </w:t>
      </w:r>
    </w:p>
    <w:p w14:paraId="74267BF7" w14:textId="332485F8" w:rsidR="00E36AFE" w:rsidRPr="0042354C" w:rsidRDefault="00E36AFE" w:rsidP="007111D3">
      <w:pPr>
        <w:autoSpaceDE w:val="0"/>
        <w:autoSpaceDN w:val="0"/>
        <w:adjustRightInd w:val="0"/>
        <w:jc w:val="both"/>
      </w:pPr>
      <w:r w:rsidRPr="0042354C">
        <w:t>(1) Zararın devam etmesi veya yeniden meydana gelmesi ihtimaline ilişkin yukarıdaki bilgiler</w:t>
      </w:r>
      <w:r w:rsidR="007111D3" w:rsidRPr="0042354C">
        <w:t xml:space="preserve"> </w:t>
      </w:r>
      <w:r w:rsidRPr="0042354C">
        <w:t>çerçevesinde,</w:t>
      </w:r>
    </w:p>
    <w:p w14:paraId="036E9A23" w14:textId="77777777" w:rsidR="00E36AFE" w:rsidRPr="0042354C" w:rsidRDefault="00E36AFE" w:rsidP="00E36AFE">
      <w:pPr>
        <w:pStyle w:val="GvdeMetni"/>
        <w:spacing w:line="22" w:lineRule="atLeast"/>
        <w:rPr>
          <w:color w:val="auto"/>
        </w:rPr>
      </w:pPr>
    </w:p>
    <w:p w14:paraId="24A96952" w14:textId="77777777" w:rsidR="00ED52DF" w:rsidRPr="0042354C" w:rsidRDefault="00ED52DF" w:rsidP="00ED52DF">
      <w:pPr>
        <w:pStyle w:val="ListeParagraf"/>
        <w:numPr>
          <w:ilvl w:val="0"/>
          <w:numId w:val="41"/>
        </w:numPr>
        <w:autoSpaceDE w:val="0"/>
        <w:autoSpaceDN w:val="0"/>
        <w:adjustRightInd w:val="0"/>
        <w:jc w:val="both"/>
      </w:pPr>
      <w:bookmarkStart w:id="80" w:name="_Toc171346783"/>
      <w:r w:rsidRPr="0042354C">
        <w:t xml:space="preserve">Önlemin varlığına rağmen ÇHC menşeli ithalatın dalgalı bir seyir izlemekle birlikte artış göstermiş olduğu ve pazar payının önemli ölçüde arttığı, </w:t>
      </w:r>
    </w:p>
    <w:p w14:paraId="0FBF2867" w14:textId="77777777" w:rsidR="001A4717" w:rsidRPr="0042354C" w:rsidRDefault="001A4717" w:rsidP="001A4717">
      <w:pPr>
        <w:pStyle w:val="ListeParagraf"/>
        <w:autoSpaceDE w:val="0"/>
        <w:autoSpaceDN w:val="0"/>
        <w:adjustRightInd w:val="0"/>
        <w:ind w:left="720"/>
        <w:jc w:val="both"/>
      </w:pPr>
    </w:p>
    <w:p w14:paraId="123A43C3" w14:textId="27556C7E" w:rsidR="00ED52DF" w:rsidRPr="0042354C" w:rsidRDefault="00ED52DF" w:rsidP="00ED52DF">
      <w:pPr>
        <w:pStyle w:val="ListeParagraf"/>
        <w:numPr>
          <w:ilvl w:val="0"/>
          <w:numId w:val="41"/>
        </w:numPr>
        <w:autoSpaceDE w:val="0"/>
        <w:autoSpaceDN w:val="0"/>
        <w:adjustRightInd w:val="0"/>
        <w:jc w:val="both"/>
      </w:pPr>
      <w:r w:rsidRPr="0042354C">
        <w:t>Mevcut damping önleminin yürürlükten kaldırılması halinde ÇHC menşeli ithalatın daha da artabileceği ve düşük birim fiyatlı ürünlerin artma eğiliminde olan pazardaki talebi karşılayabileceği,</w:t>
      </w:r>
    </w:p>
    <w:p w14:paraId="40D786A6" w14:textId="77777777" w:rsidR="001A4717" w:rsidRPr="0042354C" w:rsidRDefault="001A4717" w:rsidP="001A4717">
      <w:pPr>
        <w:pStyle w:val="ListeParagraf"/>
        <w:autoSpaceDE w:val="0"/>
        <w:autoSpaceDN w:val="0"/>
        <w:adjustRightInd w:val="0"/>
        <w:ind w:left="720"/>
        <w:jc w:val="both"/>
      </w:pPr>
    </w:p>
    <w:p w14:paraId="1A444874" w14:textId="77777777" w:rsidR="003C2A09" w:rsidRDefault="00ED52DF" w:rsidP="00ED52DF">
      <w:pPr>
        <w:pStyle w:val="ListeParagraf"/>
        <w:numPr>
          <w:ilvl w:val="0"/>
          <w:numId w:val="41"/>
        </w:numPr>
        <w:autoSpaceDE w:val="0"/>
        <w:autoSpaceDN w:val="0"/>
        <w:adjustRightInd w:val="0"/>
        <w:jc w:val="both"/>
      </w:pPr>
      <w:r w:rsidRPr="0042354C">
        <w:t>Önlemin yürürlükten kalkması durumunda yerli üretim dalının bazı ekonomik göstergelerinde soruşturma döneminde ortaya çıkan olumsuz seyrin yukarıda sayılan hususların da etkisiyle devam edebileceği</w:t>
      </w:r>
      <w:r w:rsidR="003C2A09">
        <w:t>,</w:t>
      </w:r>
    </w:p>
    <w:p w14:paraId="60464291" w14:textId="66E92BDA" w:rsidR="00ED52DF" w:rsidRPr="0042354C" w:rsidRDefault="00ED52DF" w:rsidP="003C2A09">
      <w:pPr>
        <w:pStyle w:val="ListeParagraf"/>
        <w:autoSpaceDE w:val="0"/>
        <w:autoSpaceDN w:val="0"/>
        <w:adjustRightInd w:val="0"/>
        <w:ind w:left="720"/>
        <w:jc w:val="both"/>
      </w:pPr>
      <w:r w:rsidRPr="0042354C">
        <w:t xml:space="preserve"> </w:t>
      </w:r>
      <w:proofErr w:type="gramStart"/>
      <w:r w:rsidRPr="0042354C">
        <w:t>değerlendirilmektedir</w:t>
      </w:r>
      <w:proofErr w:type="gramEnd"/>
      <w:r w:rsidRPr="0042354C">
        <w:t>.</w:t>
      </w:r>
    </w:p>
    <w:p w14:paraId="787E4C32" w14:textId="77777777" w:rsidR="00ED52DF" w:rsidRPr="0042354C" w:rsidRDefault="00ED52DF" w:rsidP="00ED52DF">
      <w:pPr>
        <w:autoSpaceDE w:val="0"/>
        <w:autoSpaceDN w:val="0"/>
        <w:adjustRightInd w:val="0"/>
        <w:jc w:val="both"/>
      </w:pPr>
    </w:p>
    <w:p w14:paraId="02748D65" w14:textId="6A8984DF" w:rsidR="00ED52DF" w:rsidRPr="0042354C" w:rsidRDefault="00ED52DF" w:rsidP="00ED52DF">
      <w:pPr>
        <w:pStyle w:val="ListeParagraf"/>
        <w:numPr>
          <w:ilvl w:val="0"/>
          <w:numId w:val="16"/>
        </w:numPr>
        <w:autoSpaceDE w:val="0"/>
        <w:autoSpaceDN w:val="0"/>
        <w:adjustRightInd w:val="0"/>
        <w:jc w:val="both"/>
      </w:pPr>
      <w:r w:rsidRPr="0042354C">
        <w:t>Tüm bu hususlar birlikte dikkate alındığında, zararın devam etmesinin veya yeniden meydana gelmesinin muhtemel olduğu düşünülmektedir.</w:t>
      </w:r>
    </w:p>
    <w:p w14:paraId="196F6D6F" w14:textId="77777777" w:rsidR="00ED52DF" w:rsidRPr="0042354C" w:rsidRDefault="00ED52DF" w:rsidP="00ED52DF">
      <w:pPr>
        <w:pStyle w:val="ListeParagraf"/>
        <w:ind w:left="0"/>
        <w:rPr>
          <w:rFonts w:eastAsiaTheme="minorHAnsi"/>
        </w:rPr>
      </w:pPr>
    </w:p>
    <w:p w14:paraId="3FD82F13" w14:textId="7DC3A33A" w:rsidR="00E11109" w:rsidRPr="0042354C" w:rsidRDefault="00BA1846" w:rsidP="00E11109">
      <w:pPr>
        <w:pStyle w:val="Balk1"/>
        <w:spacing w:before="120" w:after="120"/>
        <w:jc w:val="left"/>
        <w:rPr>
          <w:rFonts w:ascii="Times New Roman" w:hAnsi="Times New Roman" w:cs="Times New Roman"/>
          <w:bCs w:val="0"/>
          <w:sz w:val="24"/>
          <w:szCs w:val="24"/>
        </w:rPr>
      </w:pPr>
      <w:bookmarkStart w:id="81" w:name="_Toc171346784"/>
      <w:bookmarkStart w:id="82" w:name="_Toc227682719"/>
      <w:bookmarkEnd w:id="80"/>
      <w:r w:rsidRPr="0042354C">
        <w:rPr>
          <w:rFonts w:ascii="Times New Roman" w:hAnsi="Times New Roman" w:cs="Times New Roman"/>
          <w:bCs w:val="0"/>
          <w:sz w:val="24"/>
          <w:szCs w:val="24"/>
        </w:rPr>
        <w:t>5</w:t>
      </w:r>
      <w:r w:rsidR="00E11109" w:rsidRPr="0042354C">
        <w:rPr>
          <w:rFonts w:ascii="Times New Roman" w:hAnsi="Times New Roman" w:cs="Times New Roman"/>
          <w:bCs w:val="0"/>
          <w:sz w:val="24"/>
          <w:szCs w:val="24"/>
        </w:rPr>
        <w:t>. SONUÇ</w:t>
      </w:r>
      <w:bookmarkEnd w:id="81"/>
      <w:bookmarkEnd w:id="82"/>
    </w:p>
    <w:p w14:paraId="723A4BFD" w14:textId="77777777" w:rsidR="00AD114C" w:rsidRDefault="00AD114C" w:rsidP="00AD114C">
      <w:pPr>
        <w:pStyle w:val="Default"/>
        <w:numPr>
          <w:ilvl w:val="0"/>
          <w:numId w:val="45"/>
        </w:numPr>
        <w:jc w:val="both"/>
        <w:rPr>
          <w:bCs/>
          <w:color w:val="auto"/>
          <w:lang w:eastAsia="en-US"/>
        </w:rPr>
      </w:pPr>
      <w:r w:rsidRPr="0042354C">
        <w:rPr>
          <w:bCs/>
          <w:color w:val="auto"/>
          <w:lang w:eastAsia="en-US"/>
        </w:rPr>
        <w:t>Yürütülen soruşturma esnasında elde edilen bilgi ve bulgular çerçevesinde, yürürlükteki önlemin ortadan kalkması durumunda dampingin ve zararın devam etmesinin veya yeniden meydana gelmesinin muhtemel olduğu değerlendirilmiştir.</w:t>
      </w:r>
    </w:p>
    <w:p w14:paraId="2E06740F" w14:textId="77777777" w:rsidR="008C0F16" w:rsidRPr="0042354C" w:rsidRDefault="008C0F16" w:rsidP="008C0F16">
      <w:pPr>
        <w:pStyle w:val="Default"/>
        <w:jc w:val="both"/>
        <w:rPr>
          <w:bCs/>
          <w:color w:val="auto"/>
          <w:lang w:eastAsia="en-US"/>
        </w:rPr>
      </w:pPr>
    </w:p>
    <w:p w14:paraId="1E19476A" w14:textId="19A424D5" w:rsidR="008C0F16" w:rsidRPr="008C0F16" w:rsidRDefault="008C0F16" w:rsidP="008C0F16">
      <w:pPr>
        <w:pStyle w:val="ListeParagraf"/>
        <w:numPr>
          <w:ilvl w:val="0"/>
          <w:numId w:val="45"/>
        </w:numPr>
        <w:jc w:val="both"/>
        <w:rPr>
          <w:bCs/>
        </w:rPr>
      </w:pPr>
      <w:r w:rsidRPr="008C0F16">
        <w:rPr>
          <w:bCs/>
        </w:rPr>
        <w:t>Bu çerçevede, soruşturma neticesinde ulaşılan tespitleri değerlendiren Kurulun kararı ile İthalatta Haksız Rekabetin Önlenmesine İlişkin Tebliğ (Tebliğ No: 2019/3</w:t>
      </w:r>
      <w:r>
        <w:rPr>
          <w:bCs/>
        </w:rPr>
        <w:t>4</w:t>
      </w:r>
      <w:r w:rsidRPr="008C0F16">
        <w:rPr>
          <w:bCs/>
        </w:rPr>
        <w:t xml:space="preserve">) ile yürürlükte olan dampinge karşı önlemin, Yönetmeliğin </w:t>
      </w:r>
      <w:proofErr w:type="gramStart"/>
      <w:r w:rsidRPr="008C0F16">
        <w:rPr>
          <w:bCs/>
        </w:rPr>
        <w:t xml:space="preserve">42 </w:t>
      </w:r>
      <w:proofErr w:type="spellStart"/>
      <w:r w:rsidRPr="008C0F16">
        <w:rPr>
          <w:bCs/>
        </w:rPr>
        <w:t>nci</w:t>
      </w:r>
      <w:proofErr w:type="spellEnd"/>
      <w:proofErr w:type="gramEnd"/>
      <w:r w:rsidRPr="008C0F16">
        <w:rPr>
          <w:bCs/>
        </w:rPr>
        <w:t xml:space="preserve"> maddesi çerçevesinde aşağıdaki tabloda gösterilen biçimde uygulanmaya devam edilmesine karar verilmiştir.</w:t>
      </w:r>
    </w:p>
    <w:p w14:paraId="0012C44E" w14:textId="77777777" w:rsidR="00AD114C" w:rsidRDefault="00AD114C" w:rsidP="00B81024">
      <w:pPr>
        <w:jc w:val="both"/>
        <w:rPr>
          <w:b/>
        </w:rPr>
      </w:pPr>
    </w:p>
    <w:p w14:paraId="57FDE7D5" w14:textId="77777777" w:rsidR="008C0F16" w:rsidRPr="0042354C" w:rsidRDefault="008C0F16" w:rsidP="00B81024">
      <w:pPr>
        <w:jc w:val="both"/>
        <w:rPr>
          <w:b/>
        </w:rPr>
      </w:pPr>
    </w:p>
    <w:tbl>
      <w:tblPr>
        <w:tblW w:w="5000" w:type="pct"/>
        <w:tblCellMar>
          <w:left w:w="70" w:type="dxa"/>
          <w:right w:w="70" w:type="dxa"/>
        </w:tblCellMar>
        <w:tblLook w:val="04A0" w:firstRow="1" w:lastRow="0" w:firstColumn="1" w:lastColumn="0" w:noHBand="0" w:noVBand="1"/>
      </w:tblPr>
      <w:tblGrid>
        <w:gridCol w:w="1004"/>
        <w:gridCol w:w="4580"/>
        <w:gridCol w:w="1619"/>
        <w:gridCol w:w="1575"/>
      </w:tblGrid>
      <w:tr w:rsidR="00D37C81" w:rsidRPr="0042354C" w14:paraId="300F45B2" w14:textId="77777777" w:rsidTr="008C0F16">
        <w:trPr>
          <w:trHeight w:val="630"/>
        </w:trPr>
        <w:tc>
          <w:tcPr>
            <w:tcW w:w="57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96FF78" w14:textId="77777777" w:rsidR="00D37C81" w:rsidRPr="0042354C" w:rsidRDefault="00D37C81">
            <w:pPr>
              <w:jc w:val="center"/>
              <w:rPr>
                <w:b/>
                <w:bCs/>
                <w:lang w:eastAsia="tr-TR"/>
              </w:rPr>
            </w:pPr>
            <w:bookmarkStart w:id="83" w:name="_Hlk229489265"/>
            <w:r w:rsidRPr="0042354C">
              <w:rPr>
                <w:b/>
                <w:bCs/>
              </w:rPr>
              <w:t>GTP</w:t>
            </w:r>
          </w:p>
        </w:tc>
        <w:tc>
          <w:tcPr>
            <w:tcW w:w="2609" w:type="pct"/>
            <w:tcBorders>
              <w:top w:val="single" w:sz="4" w:space="0" w:color="auto"/>
              <w:left w:val="nil"/>
              <w:bottom w:val="single" w:sz="4" w:space="0" w:color="auto"/>
              <w:right w:val="single" w:sz="4" w:space="0" w:color="auto"/>
            </w:tcBorders>
            <w:shd w:val="clear" w:color="auto" w:fill="auto"/>
            <w:vAlign w:val="center"/>
            <w:hideMark/>
          </w:tcPr>
          <w:p w14:paraId="07D38147" w14:textId="61DF57AF" w:rsidR="00D37C81" w:rsidRPr="0042354C" w:rsidRDefault="00D37C81">
            <w:pPr>
              <w:jc w:val="center"/>
              <w:rPr>
                <w:b/>
                <w:bCs/>
              </w:rPr>
            </w:pPr>
            <w:r w:rsidRPr="0042354C">
              <w:rPr>
                <w:b/>
                <w:bCs/>
              </w:rPr>
              <w:t>Eşya Tanımı</w:t>
            </w:r>
          </w:p>
        </w:tc>
        <w:tc>
          <w:tcPr>
            <w:tcW w:w="922" w:type="pct"/>
            <w:tcBorders>
              <w:top w:val="single" w:sz="4" w:space="0" w:color="auto"/>
              <w:left w:val="nil"/>
              <w:bottom w:val="single" w:sz="4" w:space="0" w:color="auto"/>
              <w:right w:val="single" w:sz="4" w:space="0" w:color="auto"/>
            </w:tcBorders>
            <w:shd w:val="clear" w:color="auto" w:fill="auto"/>
            <w:vAlign w:val="center"/>
            <w:hideMark/>
          </w:tcPr>
          <w:p w14:paraId="58133CBC" w14:textId="77777777" w:rsidR="00D37C81" w:rsidRPr="0042354C" w:rsidRDefault="00D37C81">
            <w:pPr>
              <w:jc w:val="center"/>
              <w:rPr>
                <w:b/>
                <w:bCs/>
              </w:rPr>
            </w:pPr>
            <w:r w:rsidRPr="0042354C">
              <w:rPr>
                <w:b/>
                <w:bCs/>
              </w:rPr>
              <w:t>Menşe Ülke</w:t>
            </w:r>
          </w:p>
        </w:tc>
        <w:tc>
          <w:tcPr>
            <w:tcW w:w="897" w:type="pct"/>
            <w:tcBorders>
              <w:top w:val="single" w:sz="4" w:space="0" w:color="auto"/>
              <w:left w:val="nil"/>
              <w:bottom w:val="single" w:sz="4" w:space="0" w:color="auto"/>
              <w:right w:val="single" w:sz="4" w:space="0" w:color="auto"/>
            </w:tcBorders>
            <w:shd w:val="clear" w:color="auto" w:fill="auto"/>
            <w:vAlign w:val="center"/>
            <w:hideMark/>
          </w:tcPr>
          <w:p w14:paraId="750DDE1F" w14:textId="5C0A6AC5" w:rsidR="00D37C81" w:rsidRPr="0042354C" w:rsidRDefault="00D37C81">
            <w:pPr>
              <w:jc w:val="center"/>
              <w:rPr>
                <w:b/>
                <w:bCs/>
              </w:rPr>
            </w:pPr>
            <w:r w:rsidRPr="0042354C">
              <w:rPr>
                <w:b/>
                <w:bCs/>
              </w:rPr>
              <w:t xml:space="preserve">Dampinge Karşı Önlem (CIF </w:t>
            </w:r>
            <w:proofErr w:type="gramStart"/>
            <w:r w:rsidRPr="0042354C">
              <w:rPr>
                <w:b/>
                <w:bCs/>
              </w:rPr>
              <w:t>Bedelin  Yüzdesi</w:t>
            </w:r>
            <w:proofErr w:type="gramEnd"/>
            <w:r w:rsidRPr="0042354C">
              <w:rPr>
                <w:b/>
                <w:bCs/>
              </w:rPr>
              <w:t>)</w:t>
            </w:r>
          </w:p>
        </w:tc>
      </w:tr>
      <w:tr w:rsidR="00D37C81" w:rsidRPr="0042354C" w14:paraId="5F51C51D" w14:textId="77777777" w:rsidTr="008C0F16">
        <w:trPr>
          <w:trHeight w:val="705"/>
        </w:trPr>
        <w:tc>
          <w:tcPr>
            <w:tcW w:w="572" w:type="pct"/>
            <w:vMerge w:val="restart"/>
            <w:tcBorders>
              <w:top w:val="nil"/>
              <w:left w:val="single" w:sz="4" w:space="0" w:color="auto"/>
              <w:bottom w:val="single" w:sz="4" w:space="0" w:color="auto"/>
              <w:right w:val="single" w:sz="4" w:space="0" w:color="auto"/>
            </w:tcBorders>
            <w:shd w:val="clear" w:color="auto" w:fill="auto"/>
            <w:vAlign w:val="center"/>
            <w:hideMark/>
          </w:tcPr>
          <w:p w14:paraId="54F19002" w14:textId="77777777" w:rsidR="00D37C81" w:rsidRPr="0042354C" w:rsidRDefault="00D37C81">
            <w:r w:rsidRPr="0042354C">
              <w:t>7607.11</w:t>
            </w:r>
          </w:p>
        </w:tc>
        <w:tc>
          <w:tcPr>
            <w:tcW w:w="2609" w:type="pct"/>
            <w:vMerge w:val="restart"/>
            <w:tcBorders>
              <w:top w:val="nil"/>
              <w:left w:val="single" w:sz="4" w:space="0" w:color="auto"/>
              <w:bottom w:val="single" w:sz="4" w:space="0" w:color="auto"/>
              <w:right w:val="single" w:sz="4" w:space="0" w:color="auto"/>
            </w:tcBorders>
            <w:shd w:val="clear" w:color="auto" w:fill="auto"/>
            <w:vAlign w:val="center"/>
            <w:hideMark/>
          </w:tcPr>
          <w:p w14:paraId="522E8E78" w14:textId="77777777" w:rsidR="00D37C81" w:rsidRPr="0042354C" w:rsidRDefault="00D37C81">
            <w:pPr>
              <w:jc w:val="both"/>
            </w:pPr>
            <w:r w:rsidRPr="0042354C">
              <w:t>Kalınlığı 0,2 mm’yi geçmeyen, haddelenmiş fakat daha ileri bir işleme tutulmamış alüminyumdan mesnetsiz yapraklar ve şeritler</w:t>
            </w:r>
          </w:p>
        </w:tc>
        <w:tc>
          <w:tcPr>
            <w:tcW w:w="922" w:type="pct"/>
            <w:vMerge w:val="restart"/>
            <w:tcBorders>
              <w:top w:val="nil"/>
              <w:left w:val="single" w:sz="4" w:space="0" w:color="auto"/>
              <w:bottom w:val="single" w:sz="4" w:space="0" w:color="auto"/>
              <w:right w:val="single" w:sz="4" w:space="0" w:color="auto"/>
            </w:tcBorders>
            <w:shd w:val="clear" w:color="auto" w:fill="auto"/>
            <w:vAlign w:val="center"/>
            <w:hideMark/>
          </w:tcPr>
          <w:p w14:paraId="5F1C6117" w14:textId="77777777" w:rsidR="00D37C81" w:rsidRPr="0042354C" w:rsidRDefault="00D37C81">
            <w:pPr>
              <w:jc w:val="center"/>
            </w:pPr>
            <w:r w:rsidRPr="0042354C">
              <w:t>Çin Halk Cumhuriyeti</w:t>
            </w:r>
          </w:p>
        </w:tc>
        <w:tc>
          <w:tcPr>
            <w:tcW w:w="897" w:type="pct"/>
            <w:vMerge w:val="restart"/>
            <w:tcBorders>
              <w:top w:val="nil"/>
              <w:left w:val="single" w:sz="4" w:space="0" w:color="auto"/>
              <w:bottom w:val="single" w:sz="4" w:space="0" w:color="auto"/>
              <w:right w:val="single" w:sz="4" w:space="0" w:color="auto"/>
            </w:tcBorders>
            <w:shd w:val="clear" w:color="auto" w:fill="auto"/>
            <w:vAlign w:val="center"/>
            <w:hideMark/>
          </w:tcPr>
          <w:p w14:paraId="5EC5A4D7" w14:textId="7A62B988" w:rsidR="00D37C81" w:rsidRPr="0042354C" w:rsidRDefault="00D37C81">
            <w:pPr>
              <w:jc w:val="center"/>
            </w:pPr>
            <w:r w:rsidRPr="0042354C">
              <w:t>22</w:t>
            </w:r>
          </w:p>
        </w:tc>
      </w:tr>
      <w:tr w:rsidR="00D37C81" w:rsidRPr="0042354C" w14:paraId="6215FD14" w14:textId="77777777" w:rsidTr="008C0F16">
        <w:trPr>
          <w:trHeight w:val="276"/>
        </w:trPr>
        <w:tc>
          <w:tcPr>
            <w:tcW w:w="572" w:type="pct"/>
            <w:vMerge/>
            <w:tcBorders>
              <w:top w:val="nil"/>
              <w:left w:val="single" w:sz="4" w:space="0" w:color="auto"/>
              <w:bottom w:val="single" w:sz="4" w:space="0" w:color="auto"/>
              <w:right w:val="single" w:sz="4" w:space="0" w:color="auto"/>
            </w:tcBorders>
            <w:vAlign w:val="center"/>
            <w:hideMark/>
          </w:tcPr>
          <w:p w14:paraId="5F03D0C9" w14:textId="77777777" w:rsidR="00D37C81" w:rsidRPr="0042354C" w:rsidRDefault="00D37C81"/>
        </w:tc>
        <w:tc>
          <w:tcPr>
            <w:tcW w:w="2609" w:type="pct"/>
            <w:vMerge/>
            <w:tcBorders>
              <w:top w:val="nil"/>
              <w:left w:val="single" w:sz="4" w:space="0" w:color="auto"/>
              <w:bottom w:val="single" w:sz="4" w:space="0" w:color="auto"/>
              <w:right w:val="single" w:sz="4" w:space="0" w:color="auto"/>
            </w:tcBorders>
            <w:vAlign w:val="center"/>
            <w:hideMark/>
          </w:tcPr>
          <w:p w14:paraId="306D9466" w14:textId="77777777" w:rsidR="00D37C81" w:rsidRPr="0042354C" w:rsidRDefault="00D37C81"/>
        </w:tc>
        <w:tc>
          <w:tcPr>
            <w:tcW w:w="922" w:type="pct"/>
            <w:vMerge/>
            <w:tcBorders>
              <w:top w:val="nil"/>
              <w:left w:val="single" w:sz="4" w:space="0" w:color="auto"/>
              <w:bottom w:val="single" w:sz="4" w:space="0" w:color="auto"/>
              <w:right w:val="single" w:sz="4" w:space="0" w:color="auto"/>
            </w:tcBorders>
            <w:vAlign w:val="center"/>
            <w:hideMark/>
          </w:tcPr>
          <w:p w14:paraId="76E2DDAD" w14:textId="77777777" w:rsidR="00D37C81" w:rsidRPr="0042354C" w:rsidRDefault="00D37C81"/>
        </w:tc>
        <w:tc>
          <w:tcPr>
            <w:tcW w:w="897" w:type="pct"/>
            <w:vMerge/>
            <w:tcBorders>
              <w:top w:val="nil"/>
              <w:left w:val="single" w:sz="4" w:space="0" w:color="auto"/>
              <w:bottom w:val="single" w:sz="4" w:space="0" w:color="auto"/>
              <w:right w:val="single" w:sz="4" w:space="0" w:color="auto"/>
            </w:tcBorders>
            <w:vAlign w:val="center"/>
            <w:hideMark/>
          </w:tcPr>
          <w:p w14:paraId="785F20C4" w14:textId="77777777" w:rsidR="00D37C81" w:rsidRPr="0042354C" w:rsidRDefault="00D37C81"/>
        </w:tc>
      </w:tr>
      <w:tr w:rsidR="00D37C81" w:rsidRPr="0042354C" w14:paraId="449CC546" w14:textId="77777777" w:rsidTr="008C0F16">
        <w:trPr>
          <w:trHeight w:val="315"/>
        </w:trPr>
        <w:tc>
          <w:tcPr>
            <w:tcW w:w="572" w:type="pct"/>
            <w:tcBorders>
              <w:top w:val="nil"/>
              <w:left w:val="single" w:sz="4" w:space="0" w:color="auto"/>
              <w:bottom w:val="single" w:sz="4" w:space="0" w:color="auto"/>
              <w:right w:val="single" w:sz="4" w:space="0" w:color="auto"/>
            </w:tcBorders>
            <w:shd w:val="clear" w:color="auto" w:fill="auto"/>
            <w:vAlign w:val="center"/>
            <w:hideMark/>
          </w:tcPr>
          <w:p w14:paraId="009AC21C" w14:textId="77777777" w:rsidR="00D37C81" w:rsidRPr="0042354C" w:rsidRDefault="00D37C81">
            <w:r w:rsidRPr="0042354C">
              <w:t>7607.19</w:t>
            </w:r>
          </w:p>
        </w:tc>
        <w:tc>
          <w:tcPr>
            <w:tcW w:w="2609" w:type="pct"/>
            <w:tcBorders>
              <w:top w:val="nil"/>
              <w:left w:val="nil"/>
              <w:bottom w:val="single" w:sz="4" w:space="0" w:color="auto"/>
              <w:right w:val="single" w:sz="4" w:space="0" w:color="auto"/>
            </w:tcBorders>
            <w:shd w:val="clear" w:color="auto" w:fill="auto"/>
            <w:vAlign w:val="center"/>
            <w:hideMark/>
          </w:tcPr>
          <w:p w14:paraId="4C15577B" w14:textId="77777777" w:rsidR="00D37C81" w:rsidRPr="0042354C" w:rsidRDefault="00D37C81">
            <w:r w:rsidRPr="0042354C">
              <w:t>Diğerleri</w:t>
            </w:r>
          </w:p>
        </w:tc>
        <w:tc>
          <w:tcPr>
            <w:tcW w:w="922" w:type="pct"/>
            <w:vMerge/>
            <w:tcBorders>
              <w:top w:val="nil"/>
              <w:left w:val="single" w:sz="4" w:space="0" w:color="auto"/>
              <w:bottom w:val="single" w:sz="4" w:space="0" w:color="auto"/>
              <w:right w:val="single" w:sz="4" w:space="0" w:color="auto"/>
            </w:tcBorders>
            <w:vAlign w:val="center"/>
            <w:hideMark/>
          </w:tcPr>
          <w:p w14:paraId="69C9E312" w14:textId="77777777" w:rsidR="00D37C81" w:rsidRPr="0042354C" w:rsidRDefault="00D37C81"/>
        </w:tc>
        <w:tc>
          <w:tcPr>
            <w:tcW w:w="897" w:type="pct"/>
            <w:vMerge/>
            <w:tcBorders>
              <w:top w:val="nil"/>
              <w:left w:val="single" w:sz="4" w:space="0" w:color="auto"/>
              <w:bottom w:val="single" w:sz="4" w:space="0" w:color="auto"/>
              <w:right w:val="single" w:sz="4" w:space="0" w:color="auto"/>
            </w:tcBorders>
            <w:vAlign w:val="center"/>
            <w:hideMark/>
          </w:tcPr>
          <w:p w14:paraId="01192998" w14:textId="77777777" w:rsidR="00D37C81" w:rsidRPr="0042354C" w:rsidRDefault="00D37C81"/>
        </w:tc>
      </w:tr>
      <w:bookmarkEnd w:id="83"/>
    </w:tbl>
    <w:p w14:paraId="1D7BAA2F" w14:textId="2AE272F4" w:rsidR="00BF7008" w:rsidRPr="00BF7008" w:rsidRDefault="00BF7008" w:rsidP="00BF7008">
      <w:pPr>
        <w:jc w:val="both"/>
      </w:pPr>
    </w:p>
    <w:sectPr w:rsidR="00BF7008" w:rsidRPr="00BF7008" w:rsidSect="00BF7008">
      <w:footerReference w:type="even" r:id="rId8"/>
      <w:pgSz w:w="11906" w:h="16838" w:code="9"/>
      <w:pgMar w:top="1418" w:right="1700" w:bottom="1418" w:left="1418"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6BE500" w14:textId="77777777" w:rsidR="002049A6" w:rsidRDefault="002049A6">
      <w:r>
        <w:separator/>
      </w:r>
    </w:p>
  </w:endnote>
  <w:endnote w:type="continuationSeparator" w:id="0">
    <w:p w14:paraId="3987E3C3" w14:textId="77777777" w:rsidR="002049A6" w:rsidRDefault="00204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Garamond">
    <w:panose1 w:val="02020404030301010803"/>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Microsoft Sans Serif">
    <w:panose1 w:val="020B0604020202020204"/>
    <w:charset w:val="A2"/>
    <w:family w:val="swiss"/>
    <w:pitch w:val="variable"/>
    <w:sig w:usb0="E5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E9187" w14:textId="3C96D325" w:rsidR="000A6470" w:rsidRDefault="000A6470" w:rsidP="00216FE5">
    <w:pPr>
      <w:pStyle w:val="Al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separate"/>
    </w:r>
    <w:r w:rsidR="008C0F16">
      <w:rPr>
        <w:rStyle w:val="SayfaNumaras"/>
        <w:noProof/>
      </w:rPr>
      <w:t>4</w:t>
    </w:r>
    <w:r>
      <w:rPr>
        <w:rStyle w:val="SayfaNumaras"/>
      </w:rPr>
      <w:fldChar w:fldCharType="end"/>
    </w:r>
  </w:p>
  <w:p w14:paraId="6311A3FC" w14:textId="77777777" w:rsidR="000A6470" w:rsidRDefault="000A6470">
    <w:pPr>
      <w:pStyle w:val="AltBilgi"/>
      <w:ind w:right="360"/>
    </w:pPr>
  </w:p>
  <w:p w14:paraId="36CCE060" w14:textId="77777777" w:rsidR="000A6470" w:rsidRDefault="000A647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F63B68" w14:textId="77777777" w:rsidR="002049A6" w:rsidRDefault="002049A6">
      <w:r>
        <w:separator/>
      </w:r>
    </w:p>
  </w:footnote>
  <w:footnote w:type="continuationSeparator" w:id="0">
    <w:p w14:paraId="1069105A" w14:textId="77777777" w:rsidR="002049A6" w:rsidRDefault="002049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068A2"/>
    <w:multiLevelType w:val="multilevel"/>
    <w:tmpl w:val="C5CCAF9E"/>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BA16CD"/>
    <w:multiLevelType w:val="hybridMultilevel"/>
    <w:tmpl w:val="B2782528"/>
    <w:lvl w:ilvl="0" w:tplc="D1FAF8A0">
      <w:start w:val="1"/>
      <w:numFmt w:val="decimal"/>
      <w:suff w:val="space"/>
      <w:lvlText w:val="(%1)"/>
      <w:lvlJc w:val="left"/>
      <w:pPr>
        <w:ind w:left="0" w:firstLine="0"/>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4414E0A"/>
    <w:multiLevelType w:val="hybridMultilevel"/>
    <w:tmpl w:val="28CA56EA"/>
    <w:lvl w:ilvl="0" w:tplc="CDC451EA">
      <w:start w:val="1"/>
      <w:numFmt w:val="decimal"/>
      <w:suff w:val="space"/>
      <w:lvlText w:val="(%1)"/>
      <w:lvlJc w:val="left"/>
      <w:pPr>
        <w:ind w:left="0" w:firstLine="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4A96D84"/>
    <w:multiLevelType w:val="multilevel"/>
    <w:tmpl w:val="65CCDA08"/>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62E40CD"/>
    <w:multiLevelType w:val="hybridMultilevel"/>
    <w:tmpl w:val="8F78834C"/>
    <w:lvl w:ilvl="0" w:tplc="0E8C70DE">
      <w:start w:val="1"/>
      <w:numFmt w:val="decimal"/>
      <w:suff w:val="space"/>
      <w:lvlText w:val="(%1)"/>
      <w:lvlJc w:val="left"/>
      <w:pPr>
        <w:ind w:left="0" w:firstLine="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83872A7"/>
    <w:multiLevelType w:val="hybridMultilevel"/>
    <w:tmpl w:val="51B4CBEC"/>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96227CE"/>
    <w:multiLevelType w:val="hybridMultilevel"/>
    <w:tmpl w:val="51B4CBEC"/>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F9F74D0"/>
    <w:multiLevelType w:val="hybridMultilevel"/>
    <w:tmpl w:val="013CD13A"/>
    <w:lvl w:ilvl="0" w:tplc="03C4E976">
      <w:start w:val="1"/>
      <w:numFmt w:val="decimal"/>
      <w:suff w:val="space"/>
      <w:lvlText w:val="(%1)"/>
      <w:lvlJc w:val="left"/>
      <w:pPr>
        <w:ind w:left="0" w:firstLine="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8" w15:restartNumberingAfterBreak="0">
    <w:nsid w:val="143C6C26"/>
    <w:multiLevelType w:val="hybridMultilevel"/>
    <w:tmpl w:val="BBBEF15C"/>
    <w:lvl w:ilvl="0" w:tplc="2D50BCA0">
      <w:start w:val="1"/>
      <w:numFmt w:val="decimal"/>
      <w:suff w:val="space"/>
      <w:lvlText w:val="(%1)"/>
      <w:lvlJc w:val="left"/>
      <w:pPr>
        <w:ind w:left="680" w:hanging="36"/>
      </w:pPr>
      <w:rPr>
        <w:color w:val="auto"/>
      </w:rPr>
    </w:lvl>
    <w:lvl w:ilvl="1" w:tplc="041F0019">
      <w:start w:val="1"/>
      <w:numFmt w:val="lowerLetter"/>
      <w:lvlText w:val="%2."/>
      <w:lvlJc w:val="left"/>
      <w:pPr>
        <w:ind w:left="1493" w:hanging="360"/>
      </w:pPr>
    </w:lvl>
    <w:lvl w:ilvl="2" w:tplc="041F001B">
      <w:start w:val="1"/>
      <w:numFmt w:val="lowerRoman"/>
      <w:lvlText w:val="%3."/>
      <w:lvlJc w:val="right"/>
      <w:pPr>
        <w:ind w:left="2213" w:hanging="180"/>
      </w:pPr>
    </w:lvl>
    <w:lvl w:ilvl="3" w:tplc="041F000F">
      <w:start w:val="1"/>
      <w:numFmt w:val="decimal"/>
      <w:lvlText w:val="%4."/>
      <w:lvlJc w:val="left"/>
      <w:pPr>
        <w:ind w:left="2933" w:hanging="360"/>
      </w:pPr>
    </w:lvl>
    <w:lvl w:ilvl="4" w:tplc="041F0019">
      <w:start w:val="1"/>
      <w:numFmt w:val="lowerLetter"/>
      <w:lvlText w:val="%5."/>
      <w:lvlJc w:val="left"/>
      <w:pPr>
        <w:ind w:left="3653" w:hanging="360"/>
      </w:pPr>
    </w:lvl>
    <w:lvl w:ilvl="5" w:tplc="041F001B">
      <w:start w:val="1"/>
      <w:numFmt w:val="lowerRoman"/>
      <w:lvlText w:val="%6."/>
      <w:lvlJc w:val="right"/>
      <w:pPr>
        <w:ind w:left="4373" w:hanging="180"/>
      </w:pPr>
    </w:lvl>
    <w:lvl w:ilvl="6" w:tplc="041F000F">
      <w:start w:val="1"/>
      <w:numFmt w:val="decimal"/>
      <w:lvlText w:val="%7."/>
      <w:lvlJc w:val="left"/>
      <w:pPr>
        <w:ind w:left="5093" w:hanging="360"/>
      </w:pPr>
    </w:lvl>
    <w:lvl w:ilvl="7" w:tplc="041F0019">
      <w:start w:val="1"/>
      <w:numFmt w:val="lowerLetter"/>
      <w:lvlText w:val="%8."/>
      <w:lvlJc w:val="left"/>
      <w:pPr>
        <w:ind w:left="5813" w:hanging="360"/>
      </w:pPr>
    </w:lvl>
    <w:lvl w:ilvl="8" w:tplc="041F001B">
      <w:start w:val="1"/>
      <w:numFmt w:val="lowerRoman"/>
      <w:lvlText w:val="%9."/>
      <w:lvlJc w:val="right"/>
      <w:pPr>
        <w:ind w:left="6533" w:hanging="180"/>
      </w:pPr>
    </w:lvl>
  </w:abstractNum>
  <w:abstractNum w:abstractNumId="9" w15:restartNumberingAfterBreak="0">
    <w:nsid w:val="150B7475"/>
    <w:multiLevelType w:val="hybridMultilevel"/>
    <w:tmpl w:val="CDC6D970"/>
    <w:lvl w:ilvl="0" w:tplc="93325DE0">
      <w:start w:val="1"/>
      <w:numFmt w:val="lowerRoman"/>
      <w:lvlText w:val="%1."/>
      <w:lvlJc w:val="left"/>
      <w:pPr>
        <w:ind w:left="960" w:hanging="720"/>
      </w:pPr>
      <w:rPr>
        <w:rFonts w:eastAsia="Times New Roman"/>
      </w:rPr>
    </w:lvl>
    <w:lvl w:ilvl="1" w:tplc="041F0019">
      <w:start w:val="1"/>
      <w:numFmt w:val="lowerLetter"/>
      <w:lvlText w:val="%2."/>
      <w:lvlJc w:val="left"/>
      <w:pPr>
        <w:ind w:left="1320" w:hanging="360"/>
      </w:pPr>
    </w:lvl>
    <w:lvl w:ilvl="2" w:tplc="041F001B">
      <w:start w:val="1"/>
      <w:numFmt w:val="lowerRoman"/>
      <w:lvlText w:val="%3."/>
      <w:lvlJc w:val="right"/>
      <w:pPr>
        <w:ind w:left="2040" w:hanging="180"/>
      </w:pPr>
    </w:lvl>
    <w:lvl w:ilvl="3" w:tplc="041F000F">
      <w:start w:val="1"/>
      <w:numFmt w:val="decimal"/>
      <w:lvlText w:val="%4."/>
      <w:lvlJc w:val="left"/>
      <w:pPr>
        <w:ind w:left="2760" w:hanging="360"/>
      </w:pPr>
    </w:lvl>
    <w:lvl w:ilvl="4" w:tplc="041F0019">
      <w:start w:val="1"/>
      <w:numFmt w:val="lowerLetter"/>
      <w:lvlText w:val="%5."/>
      <w:lvlJc w:val="left"/>
      <w:pPr>
        <w:ind w:left="3480" w:hanging="360"/>
      </w:pPr>
    </w:lvl>
    <w:lvl w:ilvl="5" w:tplc="041F001B">
      <w:start w:val="1"/>
      <w:numFmt w:val="lowerRoman"/>
      <w:lvlText w:val="%6."/>
      <w:lvlJc w:val="right"/>
      <w:pPr>
        <w:ind w:left="4200" w:hanging="180"/>
      </w:pPr>
    </w:lvl>
    <w:lvl w:ilvl="6" w:tplc="041F000F">
      <w:start w:val="1"/>
      <w:numFmt w:val="decimal"/>
      <w:lvlText w:val="%7."/>
      <w:lvlJc w:val="left"/>
      <w:pPr>
        <w:ind w:left="4920" w:hanging="360"/>
      </w:pPr>
    </w:lvl>
    <w:lvl w:ilvl="7" w:tplc="041F0019">
      <w:start w:val="1"/>
      <w:numFmt w:val="lowerLetter"/>
      <w:lvlText w:val="%8."/>
      <w:lvlJc w:val="left"/>
      <w:pPr>
        <w:ind w:left="5640" w:hanging="360"/>
      </w:pPr>
    </w:lvl>
    <w:lvl w:ilvl="8" w:tplc="041F001B">
      <w:start w:val="1"/>
      <w:numFmt w:val="lowerRoman"/>
      <w:lvlText w:val="%9."/>
      <w:lvlJc w:val="right"/>
      <w:pPr>
        <w:ind w:left="6360" w:hanging="180"/>
      </w:pPr>
    </w:lvl>
  </w:abstractNum>
  <w:abstractNum w:abstractNumId="10" w15:restartNumberingAfterBreak="0">
    <w:nsid w:val="17892121"/>
    <w:multiLevelType w:val="hybridMultilevel"/>
    <w:tmpl w:val="A36C15F8"/>
    <w:lvl w:ilvl="0" w:tplc="0CE04BE2">
      <w:start w:val="1"/>
      <w:numFmt w:val="decimal"/>
      <w:lvlText w:val="(%1)"/>
      <w:lvlJc w:val="left"/>
      <w:pPr>
        <w:ind w:left="0" w:firstLine="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1" w15:restartNumberingAfterBreak="0">
    <w:nsid w:val="18E66626"/>
    <w:multiLevelType w:val="multilevel"/>
    <w:tmpl w:val="F470FF84"/>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AC53932"/>
    <w:multiLevelType w:val="hybridMultilevel"/>
    <w:tmpl w:val="A36C15F8"/>
    <w:lvl w:ilvl="0" w:tplc="0CE04BE2">
      <w:start w:val="1"/>
      <w:numFmt w:val="decimal"/>
      <w:lvlText w:val="(%1)"/>
      <w:lvlJc w:val="left"/>
      <w:pPr>
        <w:ind w:left="0" w:firstLine="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3" w15:restartNumberingAfterBreak="0">
    <w:nsid w:val="2BCF553A"/>
    <w:multiLevelType w:val="hybridMultilevel"/>
    <w:tmpl w:val="AA3A1028"/>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EC44975"/>
    <w:multiLevelType w:val="hybridMultilevel"/>
    <w:tmpl w:val="5B729CAA"/>
    <w:lvl w:ilvl="0" w:tplc="1B607C3A">
      <w:start w:val="1"/>
      <w:numFmt w:val="decimal"/>
      <w:suff w:val="space"/>
      <w:lvlText w:val="(%1)"/>
      <w:lvlJc w:val="left"/>
      <w:pPr>
        <w:ind w:left="0" w:firstLine="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2FCC6A96"/>
    <w:multiLevelType w:val="multilevel"/>
    <w:tmpl w:val="82FC5BE6"/>
    <w:lvl w:ilvl="0">
      <w:start w:val="1"/>
      <w:numFmt w:val="decimal"/>
      <w:lvlText w:val="%1"/>
      <w:lvlJc w:val="left"/>
      <w:pPr>
        <w:ind w:left="360" w:hanging="360"/>
      </w:pPr>
      <w:rPr>
        <w:rFonts w:hint="default"/>
      </w:rPr>
    </w:lvl>
    <w:lvl w:ilvl="1">
      <w:start w:val="2"/>
      <w:numFmt w:val="decimal"/>
      <w:lvlText w:val="%1.%2"/>
      <w:lvlJc w:val="left"/>
      <w:pPr>
        <w:ind w:left="360" w:hanging="360"/>
      </w:pPr>
      <w:rPr>
        <w:rFonts w:ascii="Times New Roman" w:hAnsi="Times New Roman" w:cs="Times New Roman"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3725A59"/>
    <w:multiLevelType w:val="multilevel"/>
    <w:tmpl w:val="99000B8C"/>
    <w:lvl w:ilvl="0">
      <w:start w:val="4"/>
      <w:numFmt w:val="decimal"/>
      <w:suff w:val="space"/>
      <w:lvlText w:val="(%1)"/>
      <w:lvlJc w:val="left"/>
      <w:pPr>
        <w:ind w:left="0" w:firstLine="0"/>
      </w:pPr>
      <w:rPr>
        <w:rFonts w:hint="default"/>
      </w:rPr>
    </w:lvl>
    <w:lvl w:ilvl="1">
      <w:start w:val="1"/>
      <w:numFmt w:val="decimal"/>
      <w:lvlText w:val="%1.%2."/>
      <w:lvlJc w:val="left"/>
      <w:pPr>
        <w:ind w:left="43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C40F8F"/>
    <w:multiLevelType w:val="hybridMultilevel"/>
    <w:tmpl w:val="8FAE7C18"/>
    <w:lvl w:ilvl="0" w:tplc="BBC028FC">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397C07A6"/>
    <w:multiLevelType w:val="hybridMultilevel"/>
    <w:tmpl w:val="591287C8"/>
    <w:lvl w:ilvl="0" w:tplc="B79C5070">
      <w:start w:val="3"/>
      <w:numFmt w:val="decimal"/>
      <w:lvlText w:val="(%1)"/>
      <w:lvlJc w:val="left"/>
      <w:pPr>
        <w:ind w:left="0" w:firstLine="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3C0548B1"/>
    <w:multiLevelType w:val="hybridMultilevel"/>
    <w:tmpl w:val="F012A804"/>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3C1668F3"/>
    <w:multiLevelType w:val="hybridMultilevel"/>
    <w:tmpl w:val="DC70536E"/>
    <w:lvl w:ilvl="0" w:tplc="14009B30">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1" w15:restartNumberingAfterBreak="0">
    <w:nsid w:val="40CD4373"/>
    <w:multiLevelType w:val="hybridMultilevel"/>
    <w:tmpl w:val="19201FA2"/>
    <w:lvl w:ilvl="0" w:tplc="436C06CC">
      <w:start w:val="1"/>
      <w:numFmt w:val="decimal"/>
      <w:suff w:val="space"/>
      <w:lvlText w:val="(%1)"/>
      <w:lvlJc w:val="left"/>
      <w:pPr>
        <w:ind w:left="0" w:firstLine="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43AF5BF7"/>
    <w:multiLevelType w:val="hybridMultilevel"/>
    <w:tmpl w:val="A3F8D706"/>
    <w:lvl w:ilvl="0" w:tplc="FFFFFFFF">
      <w:start w:val="1"/>
      <w:numFmt w:val="decimal"/>
      <w:suff w:val="space"/>
      <w:lvlText w:val="(%1)"/>
      <w:lvlJc w:val="left"/>
      <w:pPr>
        <w:ind w:left="0" w:firstLine="644"/>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542486A"/>
    <w:multiLevelType w:val="hybridMultilevel"/>
    <w:tmpl w:val="ADB69A74"/>
    <w:lvl w:ilvl="0" w:tplc="2702ED98">
      <w:start w:val="6"/>
      <w:numFmt w:val="decimal"/>
      <w:lvlText w:val="(%1)"/>
      <w:lvlJc w:val="left"/>
      <w:pPr>
        <w:ind w:left="0" w:firstLine="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47AA7F71"/>
    <w:multiLevelType w:val="hybridMultilevel"/>
    <w:tmpl w:val="A2F40E28"/>
    <w:lvl w:ilvl="0" w:tplc="B2CCB4C0">
      <w:start w:val="1"/>
      <w:numFmt w:val="decimal"/>
      <w:suff w:val="space"/>
      <w:lvlText w:val="(%1)"/>
      <w:lvlJc w:val="left"/>
      <w:pPr>
        <w:ind w:left="0" w:firstLine="0"/>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496D168B"/>
    <w:multiLevelType w:val="hybridMultilevel"/>
    <w:tmpl w:val="A36C15F8"/>
    <w:lvl w:ilvl="0" w:tplc="0CE04BE2">
      <w:start w:val="1"/>
      <w:numFmt w:val="decimal"/>
      <w:lvlText w:val="(%1)"/>
      <w:lvlJc w:val="left"/>
      <w:pPr>
        <w:ind w:left="0" w:firstLine="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6" w15:restartNumberingAfterBreak="0">
    <w:nsid w:val="49B310D3"/>
    <w:multiLevelType w:val="hybridMultilevel"/>
    <w:tmpl w:val="51B4CBEC"/>
    <w:lvl w:ilvl="0" w:tplc="F168C7D2">
      <w:start w:val="1"/>
      <w:numFmt w:val="decimal"/>
      <w:lvlText w:val="(%1)"/>
      <w:lvlJc w:val="left"/>
      <w:pPr>
        <w:ind w:left="0" w:firstLine="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502F4E40"/>
    <w:multiLevelType w:val="hybridMultilevel"/>
    <w:tmpl w:val="51B4CBEC"/>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02F570B"/>
    <w:multiLevelType w:val="hybridMultilevel"/>
    <w:tmpl w:val="AEC8B80C"/>
    <w:lvl w:ilvl="0" w:tplc="E57A1E5A">
      <w:start w:val="1"/>
      <w:numFmt w:val="decimal"/>
      <w:suff w:val="space"/>
      <w:lvlText w:val="%1."/>
      <w:lvlJc w:val="left"/>
      <w:pPr>
        <w:ind w:left="0" w:firstLine="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50756A25"/>
    <w:multiLevelType w:val="multilevel"/>
    <w:tmpl w:val="9B20A02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1CC38AD"/>
    <w:multiLevelType w:val="hybridMultilevel"/>
    <w:tmpl w:val="FC38BA0C"/>
    <w:lvl w:ilvl="0" w:tplc="E4D8C690">
      <w:start w:val="1"/>
      <w:numFmt w:val="decimal"/>
      <w:lvlText w:val="(%1)"/>
      <w:lvlJc w:val="left"/>
      <w:pPr>
        <w:ind w:left="390" w:hanging="390"/>
      </w:pPr>
    </w:lvl>
    <w:lvl w:ilvl="1" w:tplc="041F0019">
      <w:start w:val="1"/>
      <w:numFmt w:val="lowerLetter"/>
      <w:lvlText w:val="%2."/>
      <w:lvlJc w:val="left"/>
      <w:pPr>
        <w:ind w:left="1298" w:hanging="360"/>
      </w:pPr>
    </w:lvl>
    <w:lvl w:ilvl="2" w:tplc="041F001B">
      <w:start w:val="1"/>
      <w:numFmt w:val="lowerRoman"/>
      <w:lvlText w:val="%3."/>
      <w:lvlJc w:val="right"/>
      <w:pPr>
        <w:ind w:left="2018" w:hanging="180"/>
      </w:pPr>
    </w:lvl>
    <w:lvl w:ilvl="3" w:tplc="041F000F">
      <w:start w:val="1"/>
      <w:numFmt w:val="decimal"/>
      <w:lvlText w:val="%4."/>
      <w:lvlJc w:val="left"/>
      <w:pPr>
        <w:ind w:left="2738" w:hanging="360"/>
      </w:pPr>
    </w:lvl>
    <w:lvl w:ilvl="4" w:tplc="041F0019">
      <w:start w:val="1"/>
      <w:numFmt w:val="lowerLetter"/>
      <w:lvlText w:val="%5."/>
      <w:lvlJc w:val="left"/>
      <w:pPr>
        <w:ind w:left="3458" w:hanging="360"/>
      </w:pPr>
    </w:lvl>
    <w:lvl w:ilvl="5" w:tplc="041F001B">
      <w:start w:val="1"/>
      <w:numFmt w:val="lowerRoman"/>
      <w:lvlText w:val="%6."/>
      <w:lvlJc w:val="right"/>
      <w:pPr>
        <w:ind w:left="4178" w:hanging="180"/>
      </w:pPr>
    </w:lvl>
    <w:lvl w:ilvl="6" w:tplc="041F000F">
      <w:start w:val="1"/>
      <w:numFmt w:val="decimal"/>
      <w:lvlText w:val="%7."/>
      <w:lvlJc w:val="left"/>
      <w:pPr>
        <w:ind w:left="4898" w:hanging="360"/>
      </w:pPr>
    </w:lvl>
    <w:lvl w:ilvl="7" w:tplc="041F0019">
      <w:start w:val="1"/>
      <w:numFmt w:val="lowerLetter"/>
      <w:lvlText w:val="%8."/>
      <w:lvlJc w:val="left"/>
      <w:pPr>
        <w:ind w:left="5618" w:hanging="360"/>
      </w:pPr>
    </w:lvl>
    <w:lvl w:ilvl="8" w:tplc="041F001B">
      <w:start w:val="1"/>
      <w:numFmt w:val="lowerRoman"/>
      <w:lvlText w:val="%9."/>
      <w:lvlJc w:val="right"/>
      <w:pPr>
        <w:ind w:left="6338" w:hanging="180"/>
      </w:pPr>
    </w:lvl>
  </w:abstractNum>
  <w:abstractNum w:abstractNumId="31" w15:restartNumberingAfterBreak="0">
    <w:nsid w:val="52500E52"/>
    <w:multiLevelType w:val="hybridMultilevel"/>
    <w:tmpl w:val="3BE2DED6"/>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55A31745"/>
    <w:multiLevelType w:val="multilevel"/>
    <w:tmpl w:val="0C5A2F8C"/>
    <w:lvl w:ilvl="0">
      <w:start w:val="1"/>
      <w:numFmt w:val="none"/>
      <w:lvlText w:val="4.3.2"/>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9957AFE"/>
    <w:multiLevelType w:val="hybridMultilevel"/>
    <w:tmpl w:val="AA3A1028"/>
    <w:lvl w:ilvl="0" w:tplc="FFFFFFFF">
      <w:start w:val="1"/>
      <w:numFmt w:val="decimal"/>
      <w:suff w:val="space"/>
      <w:lvlText w:val="(%1)"/>
      <w:lvlJc w:val="left"/>
      <w:pPr>
        <w:ind w:left="0" w:firstLine="644"/>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B7E4AD6"/>
    <w:multiLevelType w:val="multilevel"/>
    <w:tmpl w:val="7332C0CE"/>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14C7049"/>
    <w:multiLevelType w:val="hybridMultilevel"/>
    <w:tmpl w:val="8F44AED6"/>
    <w:lvl w:ilvl="0" w:tplc="0CE04BE2">
      <w:start w:val="1"/>
      <w:numFmt w:val="decimal"/>
      <w:lvlText w:val="(%1)"/>
      <w:lvlJc w:val="left"/>
      <w:pPr>
        <w:ind w:left="0" w:firstLine="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6" w15:restartNumberingAfterBreak="0">
    <w:nsid w:val="6636691C"/>
    <w:multiLevelType w:val="hybridMultilevel"/>
    <w:tmpl w:val="3154ED92"/>
    <w:lvl w:ilvl="0" w:tplc="48183568">
      <w:start w:val="1"/>
      <w:numFmt w:val="decimal"/>
      <w:suff w:val="space"/>
      <w:lvlText w:val="(%1)"/>
      <w:lvlJc w:val="left"/>
      <w:pPr>
        <w:ind w:left="0" w:firstLine="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6790429C"/>
    <w:multiLevelType w:val="hybridMultilevel"/>
    <w:tmpl w:val="B2782528"/>
    <w:lvl w:ilvl="0" w:tplc="D1FAF8A0">
      <w:start w:val="1"/>
      <w:numFmt w:val="decimal"/>
      <w:suff w:val="space"/>
      <w:lvlText w:val="(%1)"/>
      <w:lvlJc w:val="left"/>
      <w:pPr>
        <w:ind w:left="0" w:firstLine="0"/>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6799271D"/>
    <w:multiLevelType w:val="hybridMultilevel"/>
    <w:tmpl w:val="B2A4B620"/>
    <w:lvl w:ilvl="0" w:tplc="4436446E">
      <w:start w:val="1"/>
      <w:numFmt w:val="decimal"/>
      <w:suff w:val="space"/>
      <w:lvlText w:val="(%1)"/>
      <w:lvlJc w:val="left"/>
      <w:pPr>
        <w:ind w:left="0" w:firstLine="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694B259B"/>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69D73B86"/>
    <w:multiLevelType w:val="hybridMultilevel"/>
    <w:tmpl w:val="E5686450"/>
    <w:lvl w:ilvl="0" w:tplc="A29CDD00">
      <w:start w:val="1"/>
      <w:numFmt w:val="decimal"/>
      <w:suff w:val="space"/>
      <w:lvlText w:val="(%1)"/>
      <w:lvlJc w:val="left"/>
      <w:pPr>
        <w:ind w:left="0" w:firstLine="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6B07297E"/>
    <w:multiLevelType w:val="multilevel"/>
    <w:tmpl w:val="1C487EE2"/>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26B3343"/>
    <w:multiLevelType w:val="hybridMultilevel"/>
    <w:tmpl w:val="B2782528"/>
    <w:lvl w:ilvl="0" w:tplc="D1FAF8A0">
      <w:start w:val="1"/>
      <w:numFmt w:val="decimal"/>
      <w:suff w:val="space"/>
      <w:lvlText w:val="(%1)"/>
      <w:lvlJc w:val="left"/>
      <w:pPr>
        <w:ind w:left="0" w:firstLine="0"/>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15:restartNumberingAfterBreak="0">
    <w:nsid w:val="75CF6955"/>
    <w:multiLevelType w:val="hybridMultilevel"/>
    <w:tmpl w:val="07E2E11C"/>
    <w:lvl w:ilvl="0" w:tplc="7F648C36">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4" w15:restartNumberingAfterBreak="0">
    <w:nsid w:val="79947AED"/>
    <w:multiLevelType w:val="hybridMultilevel"/>
    <w:tmpl w:val="E99813F4"/>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7"/>
  </w:num>
  <w:num w:numId="2">
    <w:abstractNumId w:val="20"/>
  </w:num>
  <w:num w:numId="3">
    <w:abstractNumId w:val="36"/>
  </w:num>
  <w:num w:numId="4">
    <w:abstractNumId w:val="17"/>
  </w:num>
  <w:num w:numId="5">
    <w:abstractNumId w:val="13"/>
  </w:num>
  <w:num w:numId="6">
    <w:abstractNumId w:val="35"/>
  </w:num>
  <w:num w:numId="7">
    <w:abstractNumId w:val="10"/>
  </w:num>
  <w:num w:numId="8">
    <w:abstractNumId w:val="12"/>
  </w:num>
  <w:num w:numId="9">
    <w:abstractNumId w:val="25"/>
  </w:num>
  <w:num w:numId="10">
    <w:abstractNumId w:val="29"/>
  </w:num>
  <w:num w:numId="11">
    <w:abstractNumId w:val="39"/>
  </w:num>
  <w:num w:numId="12">
    <w:abstractNumId w:val="26"/>
  </w:num>
  <w:num w:numId="13">
    <w:abstractNumId w:val="24"/>
  </w:num>
  <w:num w:numId="14">
    <w:abstractNumId w:val="42"/>
  </w:num>
  <w:num w:numId="15">
    <w:abstractNumId w:val="37"/>
  </w:num>
  <w:num w:numId="16">
    <w:abstractNumId w:val="1"/>
  </w:num>
  <w:num w:numId="17">
    <w:abstractNumId w:val="41"/>
  </w:num>
  <w:num w:numId="18">
    <w:abstractNumId w:val="43"/>
  </w:num>
  <w:num w:numId="19">
    <w:abstractNumId w:val="0"/>
  </w:num>
  <w:num w:numId="20">
    <w:abstractNumId w:val="34"/>
  </w:num>
  <w:num w:numId="21">
    <w:abstractNumId w:val="31"/>
  </w:num>
  <w:num w:numId="22">
    <w:abstractNumId w:val="15"/>
  </w:num>
  <w:num w:numId="23">
    <w:abstractNumId w:val="11"/>
  </w:num>
  <w:num w:numId="24">
    <w:abstractNumId w:val="32"/>
  </w:num>
  <w:num w:numId="25">
    <w:abstractNumId w:val="28"/>
  </w:num>
  <w:num w:numId="26">
    <w:abstractNumId w:val="38"/>
  </w:num>
  <w:num w:numId="27">
    <w:abstractNumId w:val="40"/>
  </w:num>
  <w:num w:numId="28">
    <w:abstractNumId w:val="14"/>
  </w:num>
  <w:num w:numId="29">
    <w:abstractNumId w:val="4"/>
  </w:num>
  <w:num w:numId="30">
    <w:abstractNumId w:val="21"/>
  </w:num>
  <w:num w:numId="31">
    <w:abstractNumId w:val="16"/>
  </w:num>
  <w:num w:numId="32">
    <w:abstractNumId w:val="23"/>
  </w:num>
  <w:num w:numId="33">
    <w:abstractNumId w:val="18"/>
  </w:num>
  <w:num w:numId="34">
    <w:abstractNumId w:val="33"/>
  </w:num>
  <w:num w:numId="35">
    <w:abstractNumId w:val="44"/>
  </w:num>
  <w:num w:numId="36">
    <w:abstractNumId w:val="22"/>
  </w:num>
  <w:num w:numId="3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
  </w:num>
  <w:num w:numId="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9"/>
  </w:num>
  <w:num w:numId="42">
    <w:abstractNumId w:val="27"/>
  </w:num>
  <w:num w:numId="43">
    <w:abstractNumId w:val="5"/>
  </w:num>
  <w:num w:numId="44">
    <w:abstractNumId w:val="6"/>
  </w:num>
  <w:num w:numId="45">
    <w:abstractNumId w:val="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gutterAtTop/>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97"/>
  <w:hyphenationZone w:val="425"/>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96F"/>
    <w:rsid w:val="00000B25"/>
    <w:rsid w:val="00001694"/>
    <w:rsid w:val="00001EB3"/>
    <w:rsid w:val="00001F96"/>
    <w:rsid w:val="00002876"/>
    <w:rsid w:val="00002983"/>
    <w:rsid w:val="00002AF6"/>
    <w:rsid w:val="00003087"/>
    <w:rsid w:val="00003AAD"/>
    <w:rsid w:val="00003F6E"/>
    <w:rsid w:val="00004BC8"/>
    <w:rsid w:val="00004EAD"/>
    <w:rsid w:val="000051E0"/>
    <w:rsid w:val="00005718"/>
    <w:rsid w:val="000059B1"/>
    <w:rsid w:val="00005E08"/>
    <w:rsid w:val="00006A1D"/>
    <w:rsid w:val="00007696"/>
    <w:rsid w:val="00007E50"/>
    <w:rsid w:val="000105F8"/>
    <w:rsid w:val="000108DC"/>
    <w:rsid w:val="00010AA5"/>
    <w:rsid w:val="00010CF8"/>
    <w:rsid w:val="00012FB2"/>
    <w:rsid w:val="00013502"/>
    <w:rsid w:val="0001421D"/>
    <w:rsid w:val="00015300"/>
    <w:rsid w:val="00015DDF"/>
    <w:rsid w:val="00015E3B"/>
    <w:rsid w:val="00015EA0"/>
    <w:rsid w:val="00017322"/>
    <w:rsid w:val="00017878"/>
    <w:rsid w:val="00017C33"/>
    <w:rsid w:val="0002057E"/>
    <w:rsid w:val="00020AE1"/>
    <w:rsid w:val="00020FF5"/>
    <w:rsid w:val="000218E1"/>
    <w:rsid w:val="000219A7"/>
    <w:rsid w:val="00022990"/>
    <w:rsid w:val="000229A6"/>
    <w:rsid w:val="00023418"/>
    <w:rsid w:val="00023DD7"/>
    <w:rsid w:val="00024100"/>
    <w:rsid w:val="000243EE"/>
    <w:rsid w:val="0002451E"/>
    <w:rsid w:val="000247CD"/>
    <w:rsid w:val="00024E96"/>
    <w:rsid w:val="00024FC3"/>
    <w:rsid w:val="000258EF"/>
    <w:rsid w:val="000263A4"/>
    <w:rsid w:val="0002672F"/>
    <w:rsid w:val="000267A8"/>
    <w:rsid w:val="00026EEF"/>
    <w:rsid w:val="00027123"/>
    <w:rsid w:val="00027AF9"/>
    <w:rsid w:val="00027FA1"/>
    <w:rsid w:val="00030422"/>
    <w:rsid w:val="0003056E"/>
    <w:rsid w:val="00030ED9"/>
    <w:rsid w:val="000311DE"/>
    <w:rsid w:val="0003186E"/>
    <w:rsid w:val="00032000"/>
    <w:rsid w:val="000324DB"/>
    <w:rsid w:val="00032AD2"/>
    <w:rsid w:val="00032C82"/>
    <w:rsid w:val="0003478E"/>
    <w:rsid w:val="00034B03"/>
    <w:rsid w:val="00034BBD"/>
    <w:rsid w:val="000352F1"/>
    <w:rsid w:val="00035A07"/>
    <w:rsid w:val="00035A23"/>
    <w:rsid w:val="000361EE"/>
    <w:rsid w:val="00036F32"/>
    <w:rsid w:val="00037EB5"/>
    <w:rsid w:val="00040210"/>
    <w:rsid w:val="00040F9A"/>
    <w:rsid w:val="00041631"/>
    <w:rsid w:val="00041812"/>
    <w:rsid w:val="00041A5C"/>
    <w:rsid w:val="00042155"/>
    <w:rsid w:val="000423F9"/>
    <w:rsid w:val="00042E4E"/>
    <w:rsid w:val="0004319B"/>
    <w:rsid w:val="00043940"/>
    <w:rsid w:val="00043B1E"/>
    <w:rsid w:val="00043C60"/>
    <w:rsid w:val="00044B5E"/>
    <w:rsid w:val="00044D6A"/>
    <w:rsid w:val="00044DA9"/>
    <w:rsid w:val="00044DE6"/>
    <w:rsid w:val="00045331"/>
    <w:rsid w:val="0004585D"/>
    <w:rsid w:val="00045971"/>
    <w:rsid w:val="00045D04"/>
    <w:rsid w:val="00046243"/>
    <w:rsid w:val="0004640C"/>
    <w:rsid w:val="00046480"/>
    <w:rsid w:val="00046816"/>
    <w:rsid w:val="00047AD5"/>
    <w:rsid w:val="000501D7"/>
    <w:rsid w:val="00050289"/>
    <w:rsid w:val="000502BE"/>
    <w:rsid w:val="000506F0"/>
    <w:rsid w:val="00050B09"/>
    <w:rsid w:val="00051162"/>
    <w:rsid w:val="00051925"/>
    <w:rsid w:val="00052420"/>
    <w:rsid w:val="000528A9"/>
    <w:rsid w:val="00052CC8"/>
    <w:rsid w:val="00053137"/>
    <w:rsid w:val="00053E64"/>
    <w:rsid w:val="000542EA"/>
    <w:rsid w:val="000545A8"/>
    <w:rsid w:val="00054E6E"/>
    <w:rsid w:val="0005545F"/>
    <w:rsid w:val="000554F3"/>
    <w:rsid w:val="00056027"/>
    <w:rsid w:val="0005617D"/>
    <w:rsid w:val="00056780"/>
    <w:rsid w:val="0005759C"/>
    <w:rsid w:val="00057603"/>
    <w:rsid w:val="0005798A"/>
    <w:rsid w:val="00057D54"/>
    <w:rsid w:val="000601B9"/>
    <w:rsid w:val="00060787"/>
    <w:rsid w:val="000624A2"/>
    <w:rsid w:val="00062A6D"/>
    <w:rsid w:val="00063163"/>
    <w:rsid w:val="00063E20"/>
    <w:rsid w:val="00065E1C"/>
    <w:rsid w:val="000665CD"/>
    <w:rsid w:val="00067217"/>
    <w:rsid w:val="0006743B"/>
    <w:rsid w:val="00070B53"/>
    <w:rsid w:val="000711C6"/>
    <w:rsid w:val="00071A80"/>
    <w:rsid w:val="00072509"/>
    <w:rsid w:val="0007287E"/>
    <w:rsid w:val="00072B29"/>
    <w:rsid w:val="00072E86"/>
    <w:rsid w:val="00072F31"/>
    <w:rsid w:val="00073287"/>
    <w:rsid w:val="00073AEE"/>
    <w:rsid w:val="00073D58"/>
    <w:rsid w:val="00073D66"/>
    <w:rsid w:val="00073F22"/>
    <w:rsid w:val="0007450B"/>
    <w:rsid w:val="00074814"/>
    <w:rsid w:val="00074947"/>
    <w:rsid w:val="00075701"/>
    <w:rsid w:val="00075AB4"/>
    <w:rsid w:val="00075ED5"/>
    <w:rsid w:val="000761F6"/>
    <w:rsid w:val="000762B4"/>
    <w:rsid w:val="000767C7"/>
    <w:rsid w:val="000771F2"/>
    <w:rsid w:val="00077AE3"/>
    <w:rsid w:val="00077D2D"/>
    <w:rsid w:val="00080121"/>
    <w:rsid w:val="000805C9"/>
    <w:rsid w:val="0008103F"/>
    <w:rsid w:val="0008146E"/>
    <w:rsid w:val="000815AB"/>
    <w:rsid w:val="00081777"/>
    <w:rsid w:val="00081869"/>
    <w:rsid w:val="00081915"/>
    <w:rsid w:val="000821E1"/>
    <w:rsid w:val="000834E7"/>
    <w:rsid w:val="0008414B"/>
    <w:rsid w:val="00084553"/>
    <w:rsid w:val="000845F4"/>
    <w:rsid w:val="00084B03"/>
    <w:rsid w:val="00085C48"/>
    <w:rsid w:val="000868DE"/>
    <w:rsid w:val="00087311"/>
    <w:rsid w:val="00087837"/>
    <w:rsid w:val="000879FA"/>
    <w:rsid w:val="00087A75"/>
    <w:rsid w:val="00087B71"/>
    <w:rsid w:val="00087E56"/>
    <w:rsid w:val="0009013E"/>
    <w:rsid w:val="0009074D"/>
    <w:rsid w:val="00090CBC"/>
    <w:rsid w:val="00090EBF"/>
    <w:rsid w:val="00090F9C"/>
    <w:rsid w:val="00091748"/>
    <w:rsid w:val="00091DD4"/>
    <w:rsid w:val="000922DF"/>
    <w:rsid w:val="0009264C"/>
    <w:rsid w:val="0009438C"/>
    <w:rsid w:val="0009472C"/>
    <w:rsid w:val="000954AE"/>
    <w:rsid w:val="0009567A"/>
    <w:rsid w:val="00095D4B"/>
    <w:rsid w:val="00096547"/>
    <w:rsid w:val="000970D6"/>
    <w:rsid w:val="0009724A"/>
    <w:rsid w:val="000A0A56"/>
    <w:rsid w:val="000A0D02"/>
    <w:rsid w:val="000A1304"/>
    <w:rsid w:val="000A17A0"/>
    <w:rsid w:val="000A18D5"/>
    <w:rsid w:val="000A1D54"/>
    <w:rsid w:val="000A253C"/>
    <w:rsid w:val="000A2C7A"/>
    <w:rsid w:val="000A2CC0"/>
    <w:rsid w:val="000A3332"/>
    <w:rsid w:val="000A34E2"/>
    <w:rsid w:val="000A3B50"/>
    <w:rsid w:val="000A3C54"/>
    <w:rsid w:val="000A3C56"/>
    <w:rsid w:val="000A3EB9"/>
    <w:rsid w:val="000A4134"/>
    <w:rsid w:val="000A4275"/>
    <w:rsid w:val="000A46F5"/>
    <w:rsid w:val="000A5036"/>
    <w:rsid w:val="000A50A1"/>
    <w:rsid w:val="000A5657"/>
    <w:rsid w:val="000A588B"/>
    <w:rsid w:val="000A5A0E"/>
    <w:rsid w:val="000A5B32"/>
    <w:rsid w:val="000A5BFE"/>
    <w:rsid w:val="000A60AB"/>
    <w:rsid w:val="000A6470"/>
    <w:rsid w:val="000A681D"/>
    <w:rsid w:val="000A6C3C"/>
    <w:rsid w:val="000A6F7D"/>
    <w:rsid w:val="000A71A1"/>
    <w:rsid w:val="000A77F0"/>
    <w:rsid w:val="000B02E9"/>
    <w:rsid w:val="000B03A8"/>
    <w:rsid w:val="000B03E1"/>
    <w:rsid w:val="000B1560"/>
    <w:rsid w:val="000B1E79"/>
    <w:rsid w:val="000B22C7"/>
    <w:rsid w:val="000B26F6"/>
    <w:rsid w:val="000B282A"/>
    <w:rsid w:val="000B3EF0"/>
    <w:rsid w:val="000B4177"/>
    <w:rsid w:val="000B5087"/>
    <w:rsid w:val="000B57DC"/>
    <w:rsid w:val="000B593A"/>
    <w:rsid w:val="000B5A07"/>
    <w:rsid w:val="000B5A0A"/>
    <w:rsid w:val="000B6479"/>
    <w:rsid w:val="000B705D"/>
    <w:rsid w:val="000B7750"/>
    <w:rsid w:val="000C02E2"/>
    <w:rsid w:val="000C0514"/>
    <w:rsid w:val="000C0966"/>
    <w:rsid w:val="000C0F8A"/>
    <w:rsid w:val="000C0FBB"/>
    <w:rsid w:val="000C12D1"/>
    <w:rsid w:val="000C16D4"/>
    <w:rsid w:val="000C1927"/>
    <w:rsid w:val="000C1CF9"/>
    <w:rsid w:val="000C1EA2"/>
    <w:rsid w:val="000C20C8"/>
    <w:rsid w:val="000C22E2"/>
    <w:rsid w:val="000C309F"/>
    <w:rsid w:val="000C330B"/>
    <w:rsid w:val="000C35F4"/>
    <w:rsid w:val="000C36CE"/>
    <w:rsid w:val="000C3984"/>
    <w:rsid w:val="000C4068"/>
    <w:rsid w:val="000C489B"/>
    <w:rsid w:val="000C5099"/>
    <w:rsid w:val="000C598B"/>
    <w:rsid w:val="000C5F8B"/>
    <w:rsid w:val="000C6460"/>
    <w:rsid w:val="000C65E9"/>
    <w:rsid w:val="000C75A1"/>
    <w:rsid w:val="000C7D5C"/>
    <w:rsid w:val="000C7FE6"/>
    <w:rsid w:val="000D05A6"/>
    <w:rsid w:val="000D0E76"/>
    <w:rsid w:val="000D10D4"/>
    <w:rsid w:val="000D12D9"/>
    <w:rsid w:val="000D1B04"/>
    <w:rsid w:val="000D244A"/>
    <w:rsid w:val="000D2A9F"/>
    <w:rsid w:val="000D30C7"/>
    <w:rsid w:val="000D3320"/>
    <w:rsid w:val="000D38A0"/>
    <w:rsid w:val="000D39C8"/>
    <w:rsid w:val="000D44BF"/>
    <w:rsid w:val="000D4881"/>
    <w:rsid w:val="000D4CF2"/>
    <w:rsid w:val="000D5A0E"/>
    <w:rsid w:val="000D5C3A"/>
    <w:rsid w:val="000D677A"/>
    <w:rsid w:val="000D6D50"/>
    <w:rsid w:val="000D6F1F"/>
    <w:rsid w:val="000D6FBA"/>
    <w:rsid w:val="000D707C"/>
    <w:rsid w:val="000E04D1"/>
    <w:rsid w:val="000E050A"/>
    <w:rsid w:val="000E0536"/>
    <w:rsid w:val="000E054A"/>
    <w:rsid w:val="000E0A81"/>
    <w:rsid w:val="000E0F01"/>
    <w:rsid w:val="000E1D75"/>
    <w:rsid w:val="000E28FC"/>
    <w:rsid w:val="000E3468"/>
    <w:rsid w:val="000E3962"/>
    <w:rsid w:val="000E39C3"/>
    <w:rsid w:val="000E3B32"/>
    <w:rsid w:val="000E40C7"/>
    <w:rsid w:val="000E44B0"/>
    <w:rsid w:val="000E489A"/>
    <w:rsid w:val="000E5379"/>
    <w:rsid w:val="000E553F"/>
    <w:rsid w:val="000E5DA3"/>
    <w:rsid w:val="000E67F8"/>
    <w:rsid w:val="000E680D"/>
    <w:rsid w:val="000E6A0A"/>
    <w:rsid w:val="000E7A0D"/>
    <w:rsid w:val="000F08B0"/>
    <w:rsid w:val="000F0A42"/>
    <w:rsid w:val="000F113B"/>
    <w:rsid w:val="000F1F53"/>
    <w:rsid w:val="000F26DA"/>
    <w:rsid w:val="000F2870"/>
    <w:rsid w:val="000F418A"/>
    <w:rsid w:val="000F4979"/>
    <w:rsid w:val="000F49A5"/>
    <w:rsid w:val="000F5A78"/>
    <w:rsid w:val="000F60F2"/>
    <w:rsid w:val="000F79B9"/>
    <w:rsid w:val="000F7BB3"/>
    <w:rsid w:val="000F7C8B"/>
    <w:rsid w:val="00100A1B"/>
    <w:rsid w:val="001013BD"/>
    <w:rsid w:val="0010166B"/>
    <w:rsid w:val="001022C8"/>
    <w:rsid w:val="001022E5"/>
    <w:rsid w:val="0010250F"/>
    <w:rsid w:val="00102847"/>
    <w:rsid w:val="00102EFB"/>
    <w:rsid w:val="00103DF9"/>
    <w:rsid w:val="00104E18"/>
    <w:rsid w:val="001057FD"/>
    <w:rsid w:val="00105B38"/>
    <w:rsid w:val="0010630A"/>
    <w:rsid w:val="001067A1"/>
    <w:rsid w:val="0010687D"/>
    <w:rsid w:val="001075B0"/>
    <w:rsid w:val="00107E7A"/>
    <w:rsid w:val="00110ADB"/>
    <w:rsid w:val="00111799"/>
    <w:rsid w:val="0011229C"/>
    <w:rsid w:val="001122C2"/>
    <w:rsid w:val="0011297B"/>
    <w:rsid w:val="00112A5D"/>
    <w:rsid w:val="00112E96"/>
    <w:rsid w:val="00113D7F"/>
    <w:rsid w:val="00114CC5"/>
    <w:rsid w:val="00115043"/>
    <w:rsid w:val="001150EF"/>
    <w:rsid w:val="001157FD"/>
    <w:rsid w:val="0011588B"/>
    <w:rsid w:val="0011644A"/>
    <w:rsid w:val="00117917"/>
    <w:rsid w:val="0012091D"/>
    <w:rsid w:val="00120B70"/>
    <w:rsid w:val="00120DF0"/>
    <w:rsid w:val="00120EF3"/>
    <w:rsid w:val="00121225"/>
    <w:rsid w:val="00121602"/>
    <w:rsid w:val="00121706"/>
    <w:rsid w:val="00121A0C"/>
    <w:rsid w:val="00121B7F"/>
    <w:rsid w:val="00121CF9"/>
    <w:rsid w:val="00121FD0"/>
    <w:rsid w:val="00122209"/>
    <w:rsid w:val="00122470"/>
    <w:rsid w:val="00122BDE"/>
    <w:rsid w:val="00123205"/>
    <w:rsid w:val="0012398A"/>
    <w:rsid w:val="00123B2C"/>
    <w:rsid w:val="00125354"/>
    <w:rsid w:val="001254AA"/>
    <w:rsid w:val="001254B8"/>
    <w:rsid w:val="001255F5"/>
    <w:rsid w:val="00125740"/>
    <w:rsid w:val="00125A6E"/>
    <w:rsid w:val="00125F5A"/>
    <w:rsid w:val="00126883"/>
    <w:rsid w:val="001268CC"/>
    <w:rsid w:val="001269B6"/>
    <w:rsid w:val="00126E8C"/>
    <w:rsid w:val="00130399"/>
    <w:rsid w:val="00130BF0"/>
    <w:rsid w:val="00130BF5"/>
    <w:rsid w:val="001310C8"/>
    <w:rsid w:val="00131642"/>
    <w:rsid w:val="001317C8"/>
    <w:rsid w:val="00131AE5"/>
    <w:rsid w:val="00132CF5"/>
    <w:rsid w:val="00133CBF"/>
    <w:rsid w:val="00133FBE"/>
    <w:rsid w:val="00135272"/>
    <w:rsid w:val="00135850"/>
    <w:rsid w:val="00135938"/>
    <w:rsid w:val="00135C53"/>
    <w:rsid w:val="00136EAF"/>
    <w:rsid w:val="00137359"/>
    <w:rsid w:val="0014024A"/>
    <w:rsid w:val="00140525"/>
    <w:rsid w:val="001406E8"/>
    <w:rsid w:val="0014083B"/>
    <w:rsid w:val="00140AE8"/>
    <w:rsid w:val="00140E44"/>
    <w:rsid w:val="00141186"/>
    <w:rsid w:val="00141F27"/>
    <w:rsid w:val="001428BB"/>
    <w:rsid w:val="00143B4D"/>
    <w:rsid w:val="001440AD"/>
    <w:rsid w:val="0014454C"/>
    <w:rsid w:val="00145BA6"/>
    <w:rsid w:val="00145BD3"/>
    <w:rsid w:val="001467FF"/>
    <w:rsid w:val="00146A15"/>
    <w:rsid w:val="00146C27"/>
    <w:rsid w:val="00146F4E"/>
    <w:rsid w:val="001472EB"/>
    <w:rsid w:val="001478FB"/>
    <w:rsid w:val="00147BA1"/>
    <w:rsid w:val="00150482"/>
    <w:rsid w:val="00150A49"/>
    <w:rsid w:val="00150C02"/>
    <w:rsid w:val="00151109"/>
    <w:rsid w:val="00151269"/>
    <w:rsid w:val="00151609"/>
    <w:rsid w:val="00151A0C"/>
    <w:rsid w:val="00151FC4"/>
    <w:rsid w:val="00151FD2"/>
    <w:rsid w:val="001522AE"/>
    <w:rsid w:val="00152B3F"/>
    <w:rsid w:val="0015351B"/>
    <w:rsid w:val="00153A41"/>
    <w:rsid w:val="001542FC"/>
    <w:rsid w:val="0015446D"/>
    <w:rsid w:val="0015467D"/>
    <w:rsid w:val="00154DEC"/>
    <w:rsid w:val="0015530E"/>
    <w:rsid w:val="00156527"/>
    <w:rsid w:val="0015691C"/>
    <w:rsid w:val="00156C16"/>
    <w:rsid w:val="00156D69"/>
    <w:rsid w:val="001578B3"/>
    <w:rsid w:val="001579EC"/>
    <w:rsid w:val="00157A16"/>
    <w:rsid w:val="00157BB2"/>
    <w:rsid w:val="00157BCC"/>
    <w:rsid w:val="00157C67"/>
    <w:rsid w:val="00157CE3"/>
    <w:rsid w:val="00160D35"/>
    <w:rsid w:val="00160E1F"/>
    <w:rsid w:val="00160FB1"/>
    <w:rsid w:val="001612A0"/>
    <w:rsid w:val="00162DBA"/>
    <w:rsid w:val="00162F65"/>
    <w:rsid w:val="00163ACF"/>
    <w:rsid w:val="00163B3C"/>
    <w:rsid w:val="00163C0B"/>
    <w:rsid w:val="00163C1D"/>
    <w:rsid w:val="00163FCF"/>
    <w:rsid w:val="001645C4"/>
    <w:rsid w:val="001649F2"/>
    <w:rsid w:val="00164AA5"/>
    <w:rsid w:val="001651FE"/>
    <w:rsid w:val="00165827"/>
    <w:rsid w:val="00165913"/>
    <w:rsid w:val="001668B6"/>
    <w:rsid w:val="001669A3"/>
    <w:rsid w:val="00166CCE"/>
    <w:rsid w:val="001678AB"/>
    <w:rsid w:val="00167DCE"/>
    <w:rsid w:val="00167E4E"/>
    <w:rsid w:val="001704E2"/>
    <w:rsid w:val="0017058A"/>
    <w:rsid w:val="00170926"/>
    <w:rsid w:val="0017095F"/>
    <w:rsid w:val="00170B21"/>
    <w:rsid w:val="0017130E"/>
    <w:rsid w:val="00171575"/>
    <w:rsid w:val="00171DBE"/>
    <w:rsid w:val="00172812"/>
    <w:rsid w:val="00172AC3"/>
    <w:rsid w:val="001738B2"/>
    <w:rsid w:val="00173A1D"/>
    <w:rsid w:val="00174450"/>
    <w:rsid w:val="00174542"/>
    <w:rsid w:val="00174791"/>
    <w:rsid w:val="00174DEA"/>
    <w:rsid w:val="00175412"/>
    <w:rsid w:val="00175863"/>
    <w:rsid w:val="00175C9A"/>
    <w:rsid w:val="00176A4A"/>
    <w:rsid w:val="00176B99"/>
    <w:rsid w:val="00176BC5"/>
    <w:rsid w:val="0017779A"/>
    <w:rsid w:val="00177C6B"/>
    <w:rsid w:val="00180054"/>
    <w:rsid w:val="001804B0"/>
    <w:rsid w:val="00180648"/>
    <w:rsid w:val="0018095B"/>
    <w:rsid w:val="00180D17"/>
    <w:rsid w:val="001812D5"/>
    <w:rsid w:val="0018192F"/>
    <w:rsid w:val="00181E00"/>
    <w:rsid w:val="00181F11"/>
    <w:rsid w:val="00182150"/>
    <w:rsid w:val="001826B5"/>
    <w:rsid w:val="00182A99"/>
    <w:rsid w:val="00182E99"/>
    <w:rsid w:val="00183372"/>
    <w:rsid w:val="001845B5"/>
    <w:rsid w:val="00184745"/>
    <w:rsid w:val="00184CEF"/>
    <w:rsid w:val="0018541D"/>
    <w:rsid w:val="00185507"/>
    <w:rsid w:val="00185A59"/>
    <w:rsid w:val="001862BA"/>
    <w:rsid w:val="00186F4E"/>
    <w:rsid w:val="001871F2"/>
    <w:rsid w:val="00187269"/>
    <w:rsid w:val="0018766A"/>
    <w:rsid w:val="00187A5D"/>
    <w:rsid w:val="00190E31"/>
    <w:rsid w:val="001914DB"/>
    <w:rsid w:val="00191DBA"/>
    <w:rsid w:val="00191EA8"/>
    <w:rsid w:val="0019220A"/>
    <w:rsid w:val="00192239"/>
    <w:rsid w:val="001925D1"/>
    <w:rsid w:val="00192C02"/>
    <w:rsid w:val="00193029"/>
    <w:rsid w:val="00193B73"/>
    <w:rsid w:val="00194579"/>
    <w:rsid w:val="001955F4"/>
    <w:rsid w:val="00195FE5"/>
    <w:rsid w:val="00196068"/>
    <w:rsid w:val="00196670"/>
    <w:rsid w:val="00196F4F"/>
    <w:rsid w:val="0019705B"/>
    <w:rsid w:val="00197981"/>
    <w:rsid w:val="001A00C8"/>
    <w:rsid w:val="001A00FD"/>
    <w:rsid w:val="001A01EB"/>
    <w:rsid w:val="001A04AA"/>
    <w:rsid w:val="001A055C"/>
    <w:rsid w:val="001A1527"/>
    <w:rsid w:val="001A18BE"/>
    <w:rsid w:val="001A1D9B"/>
    <w:rsid w:val="001A1E0F"/>
    <w:rsid w:val="001A21F0"/>
    <w:rsid w:val="001A2860"/>
    <w:rsid w:val="001A2904"/>
    <w:rsid w:val="001A2B62"/>
    <w:rsid w:val="001A3237"/>
    <w:rsid w:val="001A3291"/>
    <w:rsid w:val="001A35FB"/>
    <w:rsid w:val="001A38F6"/>
    <w:rsid w:val="001A3FF4"/>
    <w:rsid w:val="001A430C"/>
    <w:rsid w:val="001A43CB"/>
    <w:rsid w:val="001A4717"/>
    <w:rsid w:val="001A47E4"/>
    <w:rsid w:val="001A509D"/>
    <w:rsid w:val="001A5371"/>
    <w:rsid w:val="001A5699"/>
    <w:rsid w:val="001A5F7D"/>
    <w:rsid w:val="001A6419"/>
    <w:rsid w:val="001A6717"/>
    <w:rsid w:val="001A6D13"/>
    <w:rsid w:val="001A7445"/>
    <w:rsid w:val="001A799F"/>
    <w:rsid w:val="001B0109"/>
    <w:rsid w:val="001B02BF"/>
    <w:rsid w:val="001B0FD3"/>
    <w:rsid w:val="001B11B4"/>
    <w:rsid w:val="001B155C"/>
    <w:rsid w:val="001B21BF"/>
    <w:rsid w:val="001B228F"/>
    <w:rsid w:val="001B25A0"/>
    <w:rsid w:val="001B2820"/>
    <w:rsid w:val="001B2C26"/>
    <w:rsid w:val="001B2E23"/>
    <w:rsid w:val="001B2EEC"/>
    <w:rsid w:val="001B3BF3"/>
    <w:rsid w:val="001B4105"/>
    <w:rsid w:val="001B4886"/>
    <w:rsid w:val="001B4E80"/>
    <w:rsid w:val="001B5FA8"/>
    <w:rsid w:val="001B60D1"/>
    <w:rsid w:val="001B6214"/>
    <w:rsid w:val="001B68FF"/>
    <w:rsid w:val="001B6A35"/>
    <w:rsid w:val="001B6BBB"/>
    <w:rsid w:val="001B71D2"/>
    <w:rsid w:val="001B7417"/>
    <w:rsid w:val="001B78E3"/>
    <w:rsid w:val="001B7AA7"/>
    <w:rsid w:val="001B7B5C"/>
    <w:rsid w:val="001C0DA3"/>
    <w:rsid w:val="001C14E4"/>
    <w:rsid w:val="001C15E2"/>
    <w:rsid w:val="001C1B0A"/>
    <w:rsid w:val="001C1C9C"/>
    <w:rsid w:val="001C2059"/>
    <w:rsid w:val="001C3FB0"/>
    <w:rsid w:val="001C419E"/>
    <w:rsid w:val="001C41C7"/>
    <w:rsid w:val="001C4D90"/>
    <w:rsid w:val="001C4DD6"/>
    <w:rsid w:val="001C5CCB"/>
    <w:rsid w:val="001C5F5C"/>
    <w:rsid w:val="001C6DDA"/>
    <w:rsid w:val="001C75DF"/>
    <w:rsid w:val="001C7BB5"/>
    <w:rsid w:val="001C7F64"/>
    <w:rsid w:val="001D066C"/>
    <w:rsid w:val="001D083A"/>
    <w:rsid w:val="001D086B"/>
    <w:rsid w:val="001D11B1"/>
    <w:rsid w:val="001D13F4"/>
    <w:rsid w:val="001D265B"/>
    <w:rsid w:val="001D298B"/>
    <w:rsid w:val="001D3138"/>
    <w:rsid w:val="001D4593"/>
    <w:rsid w:val="001D49BF"/>
    <w:rsid w:val="001D4E4B"/>
    <w:rsid w:val="001D514D"/>
    <w:rsid w:val="001D5327"/>
    <w:rsid w:val="001D53E9"/>
    <w:rsid w:val="001D5CBA"/>
    <w:rsid w:val="001D6470"/>
    <w:rsid w:val="001D66B6"/>
    <w:rsid w:val="001D6840"/>
    <w:rsid w:val="001D696F"/>
    <w:rsid w:val="001D6A8F"/>
    <w:rsid w:val="001D7BDC"/>
    <w:rsid w:val="001D7E01"/>
    <w:rsid w:val="001E0AFA"/>
    <w:rsid w:val="001E1919"/>
    <w:rsid w:val="001E1BB8"/>
    <w:rsid w:val="001E1F3D"/>
    <w:rsid w:val="001E2FA2"/>
    <w:rsid w:val="001E307E"/>
    <w:rsid w:val="001E3661"/>
    <w:rsid w:val="001E374B"/>
    <w:rsid w:val="001E561D"/>
    <w:rsid w:val="001E565E"/>
    <w:rsid w:val="001E5AC1"/>
    <w:rsid w:val="001E5E38"/>
    <w:rsid w:val="001E615A"/>
    <w:rsid w:val="001E618B"/>
    <w:rsid w:val="001E61A5"/>
    <w:rsid w:val="001E6408"/>
    <w:rsid w:val="001E6595"/>
    <w:rsid w:val="001E6776"/>
    <w:rsid w:val="001E684D"/>
    <w:rsid w:val="001E6E12"/>
    <w:rsid w:val="001E6EA4"/>
    <w:rsid w:val="001E713D"/>
    <w:rsid w:val="001E72A3"/>
    <w:rsid w:val="001E7C35"/>
    <w:rsid w:val="001F058A"/>
    <w:rsid w:val="001F0D9F"/>
    <w:rsid w:val="001F12C7"/>
    <w:rsid w:val="001F1A3A"/>
    <w:rsid w:val="001F1A66"/>
    <w:rsid w:val="001F1B0C"/>
    <w:rsid w:val="001F245F"/>
    <w:rsid w:val="001F249A"/>
    <w:rsid w:val="001F3116"/>
    <w:rsid w:val="001F31D3"/>
    <w:rsid w:val="001F3727"/>
    <w:rsid w:val="001F3742"/>
    <w:rsid w:val="001F3A8B"/>
    <w:rsid w:val="001F42E1"/>
    <w:rsid w:val="001F4407"/>
    <w:rsid w:val="001F4BBD"/>
    <w:rsid w:val="001F4E56"/>
    <w:rsid w:val="001F4EB5"/>
    <w:rsid w:val="001F5204"/>
    <w:rsid w:val="001F5BE7"/>
    <w:rsid w:val="001F6042"/>
    <w:rsid w:val="001F61E3"/>
    <w:rsid w:val="001F6F6F"/>
    <w:rsid w:val="001F70DF"/>
    <w:rsid w:val="001F72FE"/>
    <w:rsid w:val="001F7800"/>
    <w:rsid w:val="001F7804"/>
    <w:rsid w:val="001F7C16"/>
    <w:rsid w:val="001F7FFC"/>
    <w:rsid w:val="0020002C"/>
    <w:rsid w:val="002009A2"/>
    <w:rsid w:val="00200F10"/>
    <w:rsid w:val="002013DF"/>
    <w:rsid w:val="002015B2"/>
    <w:rsid w:val="00201F18"/>
    <w:rsid w:val="00202656"/>
    <w:rsid w:val="00202951"/>
    <w:rsid w:val="00202A94"/>
    <w:rsid w:val="00202DA2"/>
    <w:rsid w:val="002036EE"/>
    <w:rsid w:val="0020397D"/>
    <w:rsid w:val="00203DAD"/>
    <w:rsid w:val="00203F03"/>
    <w:rsid w:val="002040CF"/>
    <w:rsid w:val="002044E3"/>
    <w:rsid w:val="00204549"/>
    <w:rsid w:val="002045BC"/>
    <w:rsid w:val="002049A6"/>
    <w:rsid w:val="00204A05"/>
    <w:rsid w:val="00205EBA"/>
    <w:rsid w:val="00206A9A"/>
    <w:rsid w:val="00206B6F"/>
    <w:rsid w:val="002079DE"/>
    <w:rsid w:val="002079E7"/>
    <w:rsid w:val="00207B70"/>
    <w:rsid w:val="00207DE5"/>
    <w:rsid w:val="00207E98"/>
    <w:rsid w:val="002109F7"/>
    <w:rsid w:val="0021140C"/>
    <w:rsid w:val="00211459"/>
    <w:rsid w:val="002120FB"/>
    <w:rsid w:val="002122CD"/>
    <w:rsid w:val="00212354"/>
    <w:rsid w:val="002123E7"/>
    <w:rsid w:val="00212A66"/>
    <w:rsid w:val="00212B29"/>
    <w:rsid w:val="00212C27"/>
    <w:rsid w:val="00212C3B"/>
    <w:rsid w:val="00212E79"/>
    <w:rsid w:val="00212F88"/>
    <w:rsid w:val="00212F9C"/>
    <w:rsid w:val="002136F4"/>
    <w:rsid w:val="00213881"/>
    <w:rsid w:val="00213F56"/>
    <w:rsid w:val="00213FF0"/>
    <w:rsid w:val="002145F8"/>
    <w:rsid w:val="00214799"/>
    <w:rsid w:val="002147AB"/>
    <w:rsid w:val="002163D9"/>
    <w:rsid w:val="00216FE5"/>
    <w:rsid w:val="0021723E"/>
    <w:rsid w:val="0021743E"/>
    <w:rsid w:val="00217F54"/>
    <w:rsid w:val="002217BF"/>
    <w:rsid w:val="002219D8"/>
    <w:rsid w:val="00221A9D"/>
    <w:rsid w:val="002222B3"/>
    <w:rsid w:val="0022230D"/>
    <w:rsid w:val="002227FA"/>
    <w:rsid w:val="00223424"/>
    <w:rsid w:val="00223772"/>
    <w:rsid w:val="00223A22"/>
    <w:rsid w:val="00223E6D"/>
    <w:rsid w:val="00223FE6"/>
    <w:rsid w:val="00224B54"/>
    <w:rsid w:val="00224E69"/>
    <w:rsid w:val="00225FFF"/>
    <w:rsid w:val="002267DE"/>
    <w:rsid w:val="00226849"/>
    <w:rsid w:val="00226923"/>
    <w:rsid w:val="00226C7B"/>
    <w:rsid w:val="0022701C"/>
    <w:rsid w:val="00227D46"/>
    <w:rsid w:val="00227F60"/>
    <w:rsid w:val="00230079"/>
    <w:rsid w:val="00230265"/>
    <w:rsid w:val="0023054A"/>
    <w:rsid w:val="002307EE"/>
    <w:rsid w:val="00230A06"/>
    <w:rsid w:val="00230B4A"/>
    <w:rsid w:val="002310BE"/>
    <w:rsid w:val="0023142C"/>
    <w:rsid w:val="00231DD6"/>
    <w:rsid w:val="0023253D"/>
    <w:rsid w:val="002326F0"/>
    <w:rsid w:val="00232BF1"/>
    <w:rsid w:val="00232E8B"/>
    <w:rsid w:val="00233444"/>
    <w:rsid w:val="002334F1"/>
    <w:rsid w:val="0023389E"/>
    <w:rsid w:val="00233E78"/>
    <w:rsid w:val="0023420B"/>
    <w:rsid w:val="002342D8"/>
    <w:rsid w:val="002349A6"/>
    <w:rsid w:val="00234BB2"/>
    <w:rsid w:val="0023500C"/>
    <w:rsid w:val="002352B6"/>
    <w:rsid w:val="002364E7"/>
    <w:rsid w:val="0023735A"/>
    <w:rsid w:val="00240326"/>
    <w:rsid w:val="0024071D"/>
    <w:rsid w:val="00241312"/>
    <w:rsid w:val="002414D0"/>
    <w:rsid w:val="00241EF6"/>
    <w:rsid w:val="00241F22"/>
    <w:rsid w:val="00242AF8"/>
    <w:rsid w:val="00242D76"/>
    <w:rsid w:val="00243C2D"/>
    <w:rsid w:val="00244431"/>
    <w:rsid w:val="002446AC"/>
    <w:rsid w:val="002451BC"/>
    <w:rsid w:val="00245361"/>
    <w:rsid w:val="002458C3"/>
    <w:rsid w:val="00245D3C"/>
    <w:rsid w:val="00245E52"/>
    <w:rsid w:val="00245E76"/>
    <w:rsid w:val="002465B6"/>
    <w:rsid w:val="00246839"/>
    <w:rsid w:val="00247490"/>
    <w:rsid w:val="00247581"/>
    <w:rsid w:val="00247AA2"/>
    <w:rsid w:val="0025008A"/>
    <w:rsid w:val="0025026C"/>
    <w:rsid w:val="00250378"/>
    <w:rsid w:val="0025061F"/>
    <w:rsid w:val="002507AB"/>
    <w:rsid w:val="002509FD"/>
    <w:rsid w:val="00250B03"/>
    <w:rsid w:val="00250D63"/>
    <w:rsid w:val="00251343"/>
    <w:rsid w:val="00251557"/>
    <w:rsid w:val="00251564"/>
    <w:rsid w:val="00251988"/>
    <w:rsid w:val="00251DD8"/>
    <w:rsid w:val="00252166"/>
    <w:rsid w:val="002522D4"/>
    <w:rsid w:val="002528BE"/>
    <w:rsid w:val="00252BBE"/>
    <w:rsid w:val="00253009"/>
    <w:rsid w:val="0025325E"/>
    <w:rsid w:val="00253496"/>
    <w:rsid w:val="00253B49"/>
    <w:rsid w:val="00253B4E"/>
    <w:rsid w:val="00253BC9"/>
    <w:rsid w:val="00254A46"/>
    <w:rsid w:val="00254E43"/>
    <w:rsid w:val="00255332"/>
    <w:rsid w:val="0025553C"/>
    <w:rsid w:val="0025618F"/>
    <w:rsid w:val="0025709C"/>
    <w:rsid w:val="00257658"/>
    <w:rsid w:val="0025791B"/>
    <w:rsid w:val="00257A10"/>
    <w:rsid w:val="0026042F"/>
    <w:rsid w:val="00260D5A"/>
    <w:rsid w:val="002612D7"/>
    <w:rsid w:val="002627D5"/>
    <w:rsid w:val="0026316F"/>
    <w:rsid w:val="002633BD"/>
    <w:rsid w:val="0026349E"/>
    <w:rsid w:val="00263919"/>
    <w:rsid w:val="00263E97"/>
    <w:rsid w:val="00264262"/>
    <w:rsid w:val="002658CC"/>
    <w:rsid w:val="00265DFA"/>
    <w:rsid w:val="00266C93"/>
    <w:rsid w:val="00266D10"/>
    <w:rsid w:val="00267D06"/>
    <w:rsid w:val="0027000B"/>
    <w:rsid w:val="00270037"/>
    <w:rsid w:val="00270353"/>
    <w:rsid w:val="002704D0"/>
    <w:rsid w:val="00271585"/>
    <w:rsid w:val="002716DA"/>
    <w:rsid w:val="00271CDB"/>
    <w:rsid w:val="00271CDF"/>
    <w:rsid w:val="00272119"/>
    <w:rsid w:val="00272704"/>
    <w:rsid w:val="0027293D"/>
    <w:rsid w:val="00272A07"/>
    <w:rsid w:val="0027328B"/>
    <w:rsid w:val="00273593"/>
    <w:rsid w:val="00273A97"/>
    <w:rsid w:val="00273C25"/>
    <w:rsid w:val="00274281"/>
    <w:rsid w:val="002742BA"/>
    <w:rsid w:val="00275475"/>
    <w:rsid w:val="002762B6"/>
    <w:rsid w:val="00276301"/>
    <w:rsid w:val="002763B6"/>
    <w:rsid w:val="00276B23"/>
    <w:rsid w:val="0028047C"/>
    <w:rsid w:val="002804C4"/>
    <w:rsid w:val="002805FE"/>
    <w:rsid w:val="00280786"/>
    <w:rsid w:val="00280B00"/>
    <w:rsid w:val="00280C43"/>
    <w:rsid w:val="00281251"/>
    <w:rsid w:val="00281322"/>
    <w:rsid w:val="002814C0"/>
    <w:rsid w:val="002817BB"/>
    <w:rsid w:val="00281937"/>
    <w:rsid w:val="00281AC9"/>
    <w:rsid w:val="00281C21"/>
    <w:rsid w:val="0028222C"/>
    <w:rsid w:val="00282472"/>
    <w:rsid w:val="002827D6"/>
    <w:rsid w:val="00282C8B"/>
    <w:rsid w:val="00282D28"/>
    <w:rsid w:val="00282EC1"/>
    <w:rsid w:val="00283A1B"/>
    <w:rsid w:val="00283C43"/>
    <w:rsid w:val="002843AE"/>
    <w:rsid w:val="0028628B"/>
    <w:rsid w:val="00286510"/>
    <w:rsid w:val="0028682C"/>
    <w:rsid w:val="00286998"/>
    <w:rsid w:val="002872CF"/>
    <w:rsid w:val="00287EB2"/>
    <w:rsid w:val="002901E6"/>
    <w:rsid w:val="00290860"/>
    <w:rsid w:val="00290E42"/>
    <w:rsid w:val="00291E82"/>
    <w:rsid w:val="0029244B"/>
    <w:rsid w:val="002925CE"/>
    <w:rsid w:val="002933FF"/>
    <w:rsid w:val="00293585"/>
    <w:rsid w:val="00293E1F"/>
    <w:rsid w:val="00293F24"/>
    <w:rsid w:val="00295C9B"/>
    <w:rsid w:val="0029643B"/>
    <w:rsid w:val="002969E8"/>
    <w:rsid w:val="00296E2F"/>
    <w:rsid w:val="00296F2C"/>
    <w:rsid w:val="0029729F"/>
    <w:rsid w:val="0029745E"/>
    <w:rsid w:val="002977D8"/>
    <w:rsid w:val="00297A29"/>
    <w:rsid w:val="00297C39"/>
    <w:rsid w:val="002A0566"/>
    <w:rsid w:val="002A1A1A"/>
    <w:rsid w:val="002A2149"/>
    <w:rsid w:val="002A248F"/>
    <w:rsid w:val="002A260C"/>
    <w:rsid w:val="002A27ED"/>
    <w:rsid w:val="002A2E18"/>
    <w:rsid w:val="002A30D7"/>
    <w:rsid w:val="002A38ED"/>
    <w:rsid w:val="002A46F1"/>
    <w:rsid w:val="002A484D"/>
    <w:rsid w:val="002A4B32"/>
    <w:rsid w:val="002A5475"/>
    <w:rsid w:val="002A6131"/>
    <w:rsid w:val="002A6471"/>
    <w:rsid w:val="002A6A25"/>
    <w:rsid w:val="002A6A3C"/>
    <w:rsid w:val="002A713D"/>
    <w:rsid w:val="002B05FD"/>
    <w:rsid w:val="002B1063"/>
    <w:rsid w:val="002B1192"/>
    <w:rsid w:val="002B1443"/>
    <w:rsid w:val="002B1959"/>
    <w:rsid w:val="002B19F0"/>
    <w:rsid w:val="002B1B9E"/>
    <w:rsid w:val="002B1BD2"/>
    <w:rsid w:val="002B1C12"/>
    <w:rsid w:val="002B2AFE"/>
    <w:rsid w:val="002B2B2C"/>
    <w:rsid w:val="002B3489"/>
    <w:rsid w:val="002B36BB"/>
    <w:rsid w:val="002B378B"/>
    <w:rsid w:val="002B39F8"/>
    <w:rsid w:val="002B3B51"/>
    <w:rsid w:val="002B3C42"/>
    <w:rsid w:val="002B461D"/>
    <w:rsid w:val="002B481B"/>
    <w:rsid w:val="002B4FBC"/>
    <w:rsid w:val="002B50F2"/>
    <w:rsid w:val="002B5162"/>
    <w:rsid w:val="002B589D"/>
    <w:rsid w:val="002B58F2"/>
    <w:rsid w:val="002B65A9"/>
    <w:rsid w:val="002B671C"/>
    <w:rsid w:val="002B692E"/>
    <w:rsid w:val="002B7762"/>
    <w:rsid w:val="002B79DB"/>
    <w:rsid w:val="002B7C72"/>
    <w:rsid w:val="002C04B9"/>
    <w:rsid w:val="002C07EA"/>
    <w:rsid w:val="002C10A1"/>
    <w:rsid w:val="002C1156"/>
    <w:rsid w:val="002C12A0"/>
    <w:rsid w:val="002C14FB"/>
    <w:rsid w:val="002C1DDB"/>
    <w:rsid w:val="002C20A0"/>
    <w:rsid w:val="002C2CC8"/>
    <w:rsid w:val="002C2EBC"/>
    <w:rsid w:val="002C3058"/>
    <w:rsid w:val="002C314D"/>
    <w:rsid w:val="002C3805"/>
    <w:rsid w:val="002C40D2"/>
    <w:rsid w:val="002C47D0"/>
    <w:rsid w:val="002C4AED"/>
    <w:rsid w:val="002C50BC"/>
    <w:rsid w:val="002C5E61"/>
    <w:rsid w:val="002C6CFE"/>
    <w:rsid w:val="002C72FF"/>
    <w:rsid w:val="002C75A9"/>
    <w:rsid w:val="002C79B2"/>
    <w:rsid w:val="002C7FAA"/>
    <w:rsid w:val="002D1055"/>
    <w:rsid w:val="002D21C2"/>
    <w:rsid w:val="002D2227"/>
    <w:rsid w:val="002D252C"/>
    <w:rsid w:val="002D2F94"/>
    <w:rsid w:val="002D30F0"/>
    <w:rsid w:val="002D34B4"/>
    <w:rsid w:val="002D4063"/>
    <w:rsid w:val="002D4570"/>
    <w:rsid w:val="002D4A9B"/>
    <w:rsid w:val="002D4BF6"/>
    <w:rsid w:val="002D4D9F"/>
    <w:rsid w:val="002D5139"/>
    <w:rsid w:val="002D5BF6"/>
    <w:rsid w:val="002D5F21"/>
    <w:rsid w:val="002D783B"/>
    <w:rsid w:val="002D7997"/>
    <w:rsid w:val="002E076A"/>
    <w:rsid w:val="002E0CBA"/>
    <w:rsid w:val="002E0E5F"/>
    <w:rsid w:val="002E0F6D"/>
    <w:rsid w:val="002E0F8B"/>
    <w:rsid w:val="002E2955"/>
    <w:rsid w:val="002E2A59"/>
    <w:rsid w:val="002E3EC4"/>
    <w:rsid w:val="002E4222"/>
    <w:rsid w:val="002E456F"/>
    <w:rsid w:val="002E4C43"/>
    <w:rsid w:val="002E5464"/>
    <w:rsid w:val="002E57B1"/>
    <w:rsid w:val="002E588D"/>
    <w:rsid w:val="002E6733"/>
    <w:rsid w:val="002E6B96"/>
    <w:rsid w:val="002E7767"/>
    <w:rsid w:val="002E79B4"/>
    <w:rsid w:val="002E7AF8"/>
    <w:rsid w:val="002F0048"/>
    <w:rsid w:val="002F039A"/>
    <w:rsid w:val="002F0C7B"/>
    <w:rsid w:val="002F0E21"/>
    <w:rsid w:val="002F1800"/>
    <w:rsid w:val="002F1D02"/>
    <w:rsid w:val="002F2006"/>
    <w:rsid w:val="002F220B"/>
    <w:rsid w:val="002F249B"/>
    <w:rsid w:val="002F2D40"/>
    <w:rsid w:val="002F2E38"/>
    <w:rsid w:val="002F3019"/>
    <w:rsid w:val="002F34CC"/>
    <w:rsid w:val="002F3C99"/>
    <w:rsid w:val="002F474C"/>
    <w:rsid w:val="002F4A34"/>
    <w:rsid w:val="002F4ACE"/>
    <w:rsid w:val="002F4ADD"/>
    <w:rsid w:val="002F564B"/>
    <w:rsid w:val="002F56C2"/>
    <w:rsid w:val="002F59BE"/>
    <w:rsid w:val="002F68F3"/>
    <w:rsid w:val="002F6A42"/>
    <w:rsid w:val="002F6ADE"/>
    <w:rsid w:val="002F6CB4"/>
    <w:rsid w:val="002F7E1B"/>
    <w:rsid w:val="003007C9"/>
    <w:rsid w:val="00300933"/>
    <w:rsid w:val="00300A10"/>
    <w:rsid w:val="00300FB3"/>
    <w:rsid w:val="00300FCF"/>
    <w:rsid w:val="00300FD2"/>
    <w:rsid w:val="00300FF5"/>
    <w:rsid w:val="003019FE"/>
    <w:rsid w:val="00301C55"/>
    <w:rsid w:val="00301F3E"/>
    <w:rsid w:val="00301FED"/>
    <w:rsid w:val="00302669"/>
    <w:rsid w:val="00302982"/>
    <w:rsid w:val="00303882"/>
    <w:rsid w:val="003038DB"/>
    <w:rsid w:val="003039E8"/>
    <w:rsid w:val="00303FDF"/>
    <w:rsid w:val="00304582"/>
    <w:rsid w:val="00304671"/>
    <w:rsid w:val="0030470A"/>
    <w:rsid w:val="003057B1"/>
    <w:rsid w:val="00305A06"/>
    <w:rsid w:val="00305CB6"/>
    <w:rsid w:val="00305D9F"/>
    <w:rsid w:val="00305DA2"/>
    <w:rsid w:val="00305E10"/>
    <w:rsid w:val="003061B2"/>
    <w:rsid w:val="00306B87"/>
    <w:rsid w:val="00306BC8"/>
    <w:rsid w:val="003072CA"/>
    <w:rsid w:val="00307BFF"/>
    <w:rsid w:val="00307F77"/>
    <w:rsid w:val="003100A8"/>
    <w:rsid w:val="003101FB"/>
    <w:rsid w:val="00310305"/>
    <w:rsid w:val="003105E3"/>
    <w:rsid w:val="00311017"/>
    <w:rsid w:val="003113ED"/>
    <w:rsid w:val="003122DF"/>
    <w:rsid w:val="00312F9B"/>
    <w:rsid w:val="00313549"/>
    <w:rsid w:val="00313A1F"/>
    <w:rsid w:val="00313FB3"/>
    <w:rsid w:val="003145A1"/>
    <w:rsid w:val="0031484A"/>
    <w:rsid w:val="00315493"/>
    <w:rsid w:val="003157E7"/>
    <w:rsid w:val="003159AE"/>
    <w:rsid w:val="00316275"/>
    <w:rsid w:val="00316BB0"/>
    <w:rsid w:val="00316BCD"/>
    <w:rsid w:val="00316C42"/>
    <w:rsid w:val="00317219"/>
    <w:rsid w:val="0031725F"/>
    <w:rsid w:val="003175A0"/>
    <w:rsid w:val="003179EE"/>
    <w:rsid w:val="00320554"/>
    <w:rsid w:val="003209A3"/>
    <w:rsid w:val="00320F0E"/>
    <w:rsid w:val="003214A4"/>
    <w:rsid w:val="00321D44"/>
    <w:rsid w:val="00322BD3"/>
    <w:rsid w:val="00322E74"/>
    <w:rsid w:val="00322F00"/>
    <w:rsid w:val="00322F70"/>
    <w:rsid w:val="00322F8F"/>
    <w:rsid w:val="003234DB"/>
    <w:rsid w:val="00323795"/>
    <w:rsid w:val="00323AD3"/>
    <w:rsid w:val="00323B79"/>
    <w:rsid w:val="00324097"/>
    <w:rsid w:val="0032409D"/>
    <w:rsid w:val="00324614"/>
    <w:rsid w:val="0032523A"/>
    <w:rsid w:val="00325554"/>
    <w:rsid w:val="003256BA"/>
    <w:rsid w:val="00326405"/>
    <w:rsid w:val="00326B52"/>
    <w:rsid w:val="00326CD1"/>
    <w:rsid w:val="003273C1"/>
    <w:rsid w:val="003276D1"/>
    <w:rsid w:val="00327C81"/>
    <w:rsid w:val="00330384"/>
    <w:rsid w:val="003303B1"/>
    <w:rsid w:val="003306DF"/>
    <w:rsid w:val="00331194"/>
    <w:rsid w:val="0033151D"/>
    <w:rsid w:val="003316A0"/>
    <w:rsid w:val="00331C72"/>
    <w:rsid w:val="0033275A"/>
    <w:rsid w:val="00332D59"/>
    <w:rsid w:val="00333145"/>
    <w:rsid w:val="00333513"/>
    <w:rsid w:val="00333613"/>
    <w:rsid w:val="003336E5"/>
    <w:rsid w:val="00333A8D"/>
    <w:rsid w:val="00333C1A"/>
    <w:rsid w:val="00334122"/>
    <w:rsid w:val="003346FB"/>
    <w:rsid w:val="0033498C"/>
    <w:rsid w:val="00335241"/>
    <w:rsid w:val="00335E78"/>
    <w:rsid w:val="00335F0F"/>
    <w:rsid w:val="003369A3"/>
    <w:rsid w:val="00336D06"/>
    <w:rsid w:val="003400C0"/>
    <w:rsid w:val="003401BD"/>
    <w:rsid w:val="00340625"/>
    <w:rsid w:val="0034078A"/>
    <w:rsid w:val="00341197"/>
    <w:rsid w:val="00341243"/>
    <w:rsid w:val="0034128D"/>
    <w:rsid w:val="00341440"/>
    <w:rsid w:val="00341743"/>
    <w:rsid w:val="003422A7"/>
    <w:rsid w:val="00342606"/>
    <w:rsid w:val="003428ED"/>
    <w:rsid w:val="00343065"/>
    <w:rsid w:val="003435D5"/>
    <w:rsid w:val="00343AA6"/>
    <w:rsid w:val="00343B62"/>
    <w:rsid w:val="00343C89"/>
    <w:rsid w:val="0034486E"/>
    <w:rsid w:val="00344BAC"/>
    <w:rsid w:val="00345208"/>
    <w:rsid w:val="00345B74"/>
    <w:rsid w:val="00345F36"/>
    <w:rsid w:val="00346620"/>
    <w:rsid w:val="00347008"/>
    <w:rsid w:val="0034717B"/>
    <w:rsid w:val="00347407"/>
    <w:rsid w:val="00347E2E"/>
    <w:rsid w:val="003501FB"/>
    <w:rsid w:val="003506F9"/>
    <w:rsid w:val="003508F9"/>
    <w:rsid w:val="0035109D"/>
    <w:rsid w:val="00351986"/>
    <w:rsid w:val="00351AAC"/>
    <w:rsid w:val="00351ADB"/>
    <w:rsid w:val="00351C3D"/>
    <w:rsid w:val="00352760"/>
    <w:rsid w:val="003529F4"/>
    <w:rsid w:val="00352C2E"/>
    <w:rsid w:val="00353A35"/>
    <w:rsid w:val="00354027"/>
    <w:rsid w:val="0035511A"/>
    <w:rsid w:val="0035537B"/>
    <w:rsid w:val="0035577E"/>
    <w:rsid w:val="00355A82"/>
    <w:rsid w:val="00355AD6"/>
    <w:rsid w:val="003560F6"/>
    <w:rsid w:val="003566AA"/>
    <w:rsid w:val="00356804"/>
    <w:rsid w:val="0035710F"/>
    <w:rsid w:val="0036039C"/>
    <w:rsid w:val="00360B08"/>
    <w:rsid w:val="00360D93"/>
    <w:rsid w:val="003612F8"/>
    <w:rsid w:val="00361C8B"/>
    <w:rsid w:val="00362AE6"/>
    <w:rsid w:val="00362BC7"/>
    <w:rsid w:val="00362BD8"/>
    <w:rsid w:val="00363E7A"/>
    <w:rsid w:val="00363EE3"/>
    <w:rsid w:val="0036469B"/>
    <w:rsid w:val="00364D21"/>
    <w:rsid w:val="00364DC0"/>
    <w:rsid w:val="00364E3B"/>
    <w:rsid w:val="0036557F"/>
    <w:rsid w:val="003669B7"/>
    <w:rsid w:val="00367083"/>
    <w:rsid w:val="00367E30"/>
    <w:rsid w:val="00367FF7"/>
    <w:rsid w:val="0037053B"/>
    <w:rsid w:val="003716A8"/>
    <w:rsid w:val="00371A6E"/>
    <w:rsid w:val="00371B1E"/>
    <w:rsid w:val="00372530"/>
    <w:rsid w:val="00372573"/>
    <w:rsid w:val="00372AFC"/>
    <w:rsid w:val="00372E33"/>
    <w:rsid w:val="003731A6"/>
    <w:rsid w:val="003731C9"/>
    <w:rsid w:val="00373206"/>
    <w:rsid w:val="00373862"/>
    <w:rsid w:val="00373CB7"/>
    <w:rsid w:val="0037424A"/>
    <w:rsid w:val="00374397"/>
    <w:rsid w:val="003748EA"/>
    <w:rsid w:val="00374A15"/>
    <w:rsid w:val="00374BAE"/>
    <w:rsid w:val="00374BD8"/>
    <w:rsid w:val="00374C19"/>
    <w:rsid w:val="00374D06"/>
    <w:rsid w:val="00374F62"/>
    <w:rsid w:val="003750EF"/>
    <w:rsid w:val="00375501"/>
    <w:rsid w:val="00375671"/>
    <w:rsid w:val="00375723"/>
    <w:rsid w:val="00375E7F"/>
    <w:rsid w:val="003761CC"/>
    <w:rsid w:val="003767EC"/>
    <w:rsid w:val="00377157"/>
    <w:rsid w:val="00377A3D"/>
    <w:rsid w:val="00377DFA"/>
    <w:rsid w:val="00377EC6"/>
    <w:rsid w:val="00380EC3"/>
    <w:rsid w:val="003821DC"/>
    <w:rsid w:val="003827BE"/>
    <w:rsid w:val="00382840"/>
    <w:rsid w:val="00383253"/>
    <w:rsid w:val="0038333E"/>
    <w:rsid w:val="00383407"/>
    <w:rsid w:val="00384196"/>
    <w:rsid w:val="00384650"/>
    <w:rsid w:val="00384817"/>
    <w:rsid w:val="003849C2"/>
    <w:rsid w:val="00385D21"/>
    <w:rsid w:val="00386715"/>
    <w:rsid w:val="00386A8F"/>
    <w:rsid w:val="0038713A"/>
    <w:rsid w:val="00387BB2"/>
    <w:rsid w:val="00387D1E"/>
    <w:rsid w:val="0039057A"/>
    <w:rsid w:val="00390627"/>
    <w:rsid w:val="00390B48"/>
    <w:rsid w:val="00390C3D"/>
    <w:rsid w:val="00390F01"/>
    <w:rsid w:val="0039166A"/>
    <w:rsid w:val="00391938"/>
    <w:rsid w:val="0039230C"/>
    <w:rsid w:val="00393175"/>
    <w:rsid w:val="00393765"/>
    <w:rsid w:val="00393A1C"/>
    <w:rsid w:val="00393FAA"/>
    <w:rsid w:val="003943B0"/>
    <w:rsid w:val="00394494"/>
    <w:rsid w:val="00394641"/>
    <w:rsid w:val="003947A2"/>
    <w:rsid w:val="00395A38"/>
    <w:rsid w:val="003967A9"/>
    <w:rsid w:val="00396CF8"/>
    <w:rsid w:val="00397079"/>
    <w:rsid w:val="00397312"/>
    <w:rsid w:val="0039787B"/>
    <w:rsid w:val="00397BDB"/>
    <w:rsid w:val="00397FC4"/>
    <w:rsid w:val="003A08C7"/>
    <w:rsid w:val="003A1249"/>
    <w:rsid w:val="003A12C6"/>
    <w:rsid w:val="003A12FA"/>
    <w:rsid w:val="003A19E7"/>
    <w:rsid w:val="003A19ED"/>
    <w:rsid w:val="003A2056"/>
    <w:rsid w:val="003A20CE"/>
    <w:rsid w:val="003A21F3"/>
    <w:rsid w:val="003A21F5"/>
    <w:rsid w:val="003A247D"/>
    <w:rsid w:val="003A2C07"/>
    <w:rsid w:val="003A2C57"/>
    <w:rsid w:val="003A2E99"/>
    <w:rsid w:val="003A33C3"/>
    <w:rsid w:val="003A3A7A"/>
    <w:rsid w:val="003A48AD"/>
    <w:rsid w:val="003A5392"/>
    <w:rsid w:val="003A5DCB"/>
    <w:rsid w:val="003A606A"/>
    <w:rsid w:val="003A60EA"/>
    <w:rsid w:val="003A62E1"/>
    <w:rsid w:val="003A687D"/>
    <w:rsid w:val="003A68BA"/>
    <w:rsid w:val="003A6AB3"/>
    <w:rsid w:val="003A6F8C"/>
    <w:rsid w:val="003A75AD"/>
    <w:rsid w:val="003B0A83"/>
    <w:rsid w:val="003B0D33"/>
    <w:rsid w:val="003B1098"/>
    <w:rsid w:val="003B13B0"/>
    <w:rsid w:val="003B1712"/>
    <w:rsid w:val="003B1953"/>
    <w:rsid w:val="003B1CAE"/>
    <w:rsid w:val="003B1E2D"/>
    <w:rsid w:val="003B1FB9"/>
    <w:rsid w:val="003B1FBF"/>
    <w:rsid w:val="003B2A75"/>
    <w:rsid w:val="003B3225"/>
    <w:rsid w:val="003B32AF"/>
    <w:rsid w:val="003B4809"/>
    <w:rsid w:val="003B50CF"/>
    <w:rsid w:val="003B52C3"/>
    <w:rsid w:val="003B5521"/>
    <w:rsid w:val="003B589E"/>
    <w:rsid w:val="003B5C26"/>
    <w:rsid w:val="003B5F24"/>
    <w:rsid w:val="003B603B"/>
    <w:rsid w:val="003B679E"/>
    <w:rsid w:val="003B799E"/>
    <w:rsid w:val="003B7F59"/>
    <w:rsid w:val="003C03F8"/>
    <w:rsid w:val="003C06E3"/>
    <w:rsid w:val="003C0ABD"/>
    <w:rsid w:val="003C0F81"/>
    <w:rsid w:val="003C106C"/>
    <w:rsid w:val="003C1422"/>
    <w:rsid w:val="003C14B0"/>
    <w:rsid w:val="003C1A96"/>
    <w:rsid w:val="003C224F"/>
    <w:rsid w:val="003C2521"/>
    <w:rsid w:val="003C2558"/>
    <w:rsid w:val="003C2748"/>
    <w:rsid w:val="003C2A09"/>
    <w:rsid w:val="003C3484"/>
    <w:rsid w:val="003C3BC1"/>
    <w:rsid w:val="003C3D75"/>
    <w:rsid w:val="003C4015"/>
    <w:rsid w:val="003C42DB"/>
    <w:rsid w:val="003C4431"/>
    <w:rsid w:val="003C66B7"/>
    <w:rsid w:val="003C6B51"/>
    <w:rsid w:val="003C7431"/>
    <w:rsid w:val="003C7E10"/>
    <w:rsid w:val="003D0CA0"/>
    <w:rsid w:val="003D1028"/>
    <w:rsid w:val="003D1205"/>
    <w:rsid w:val="003D1251"/>
    <w:rsid w:val="003D193C"/>
    <w:rsid w:val="003D1956"/>
    <w:rsid w:val="003D2221"/>
    <w:rsid w:val="003D24EF"/>
    <w:rsid w:val="003D32A4"/>
    <w:rsid w:val="003D32B9"/>
    <w:rsid w:val="003D348A"/>
    <w:rsid w:val="003D45BB"/>
    <w:rsid w:val="003D5386"/>
    <w:rsid w:val="003D5784"/>
    <w:rsid w:val="003D584E"/>
    <w:rsid w:val="003D69C9"/>
    <w:rsid w:val="003D7074"/>
    <w:rsid w:val="003D7C87"/>
    <w:rsid w:val="003E0852"/>
    <w:rsid w:val="003E09B3"/>
    <w:rsid w:val="003E0C0C"/>
    <w:rsid w:val="003E14AB"/>
    <w:rsid w:val="003E151B"/>
    <w:rsid w:val="003E19B4"/>
    <w:rsid w:val="003E2141"/>
    <w:rsid w:val="003E2271"/>
    <w:rsid w:val="003E2568"/>
    <w:rsid w:val="003E268B"/>
    <w:rsid w:val="003E27DB"/>
    <w:rsid w:val="003E2D8B"/>
    <w:rsid w:val="003E2E23"/>
    <w:rsid w:val="003E3087"/>
    <w:rsid w:val="003E4BFD"/>
    <w:rsid w:val="003E4D0C"/>
    <w:rsid w:val="003E5101"/>
    <w:rsid w:val="003E530D"/>
    <w:rsid w:val="003E5707"/>
    <w:rsid w:val="003E5EC2"/>
    <w:rsid w:val="003E6056"/>
    <w:rsid w:val="003E6379"/>
    <w:rsid w:val="003E64FA"/>
    <w:rsid w:val="003E72CC"/>
    <w:rsid w:val="003E7676"/>
    <w:rsid w:val="003F0528"/>
    <w:rsid w:val="003F0EDE"/>
    <w:rsid w:val="003F1029"/>
    <w:rsid w:val="003F1201"/>
    <w:rsid w:val="003F1403"/>
    <w:rsid w:val="003F156D"/>
    <w:rsid w:val="003F1F9C"/>
    <w:rsid w:val="003F201B"/>
    <w:rsid w:val="003F2419"/>
    <w:rsid w:val="003F2871"/>
    <w:rsid w:val="003F2C15"/>
    <w:rsid w:val="003F34A0"/>
    <w:rsid w:val="003F39F1"/>
    <w:rsid w:val="003F3AD8"/>
    <w:rsid w:val="003F40D4"/>
    <w:rsid w:val="003F4716"/>
    <w:rsid w:val="003F5594"/>
    <w:rsid w:val="003F595A"/>
    <w:rsid w:val="003F5964"/>
    <w:rsid w:val="003F5E3D"/>
    <w:rsid w:val="003F611E"/>
    <w:rsid w:val="003F6978"/>
    <w:rsid w:val="003F6D7B"/>
    <w:rsid w:val="003F6F09"/>
    <w:rsid w:val="003F76AC"/>
    <w:rsid w:val="00400917"/>
    <w:rsid w:val="00400968"/>
    <w:rsid w:val="004011BE"/>
    <w:rsid w:val="004012D1"/>
    <w:rsid w:val="00402DB9"/>
    <w:rsid w:val="004032E8"/>
    <w:rsid w:val="0040382B"/>
    <w:rsid w:val="0040396F"/>
    <w:rsid w:val="0040441C"/>
    <w:rsid w:val="00404500"/>
    <w:rsid w:val="00404929"/>
    <w:rsid w:val="00404A97"/>
    <w:rsid w:val="00404CD5"/>
    <w:rsid w:val="00405089"/>
    <w:rsid w:val="00405298"/>
    <w:rsid w:val="00405588"/>
    <w:rsid w:val="004067AB"/>
    <w:rsid w:val="00406879"/>
    <w:rsid w:val="004068E1"/>
    <w:rsid w:val="00406A0C"/>
    <w:rsid w:val="00406B69"/>
    <w:rsid w:val="00406FF2"/>
    <w:rsid w:val="004070B8"/>
    <w:rsid w:val="004072A9"/>
    <w:rsid w:val="00407621"/>
    <w:rsid w:val="004078A8"/>
    <w:rsid w:val="00407A83"/>
    <w:rsid w:val="004111AC"/>
    <w:rsid w:val="004115D0"/>
    <w:rsid w:val="0041184A"/>
    <w:rsid w:val="00411B52"/>
    <w:rsid w:val="00411C07"/>
    <w:rsid w:val="0041248C"/>
    <w:rsid w:val="00413B1B"/>
    <w:rsid w:val="00413E72"/>
    <w:rsid w:val="0041458F"/>
    <w:rsid w:val="004148A0"/>
    <w:rsid w:val="004148CD"/>
    <w:rsid w:val="00414E82"/>
    <w:rsid w:val="00415009"/>
    <w:rsid w:val="0041517B"/>
    <w:rsid w:val="00415426"/>
    <w:rsid w:val="00416128"/>
    <w:rsid w:val="004163C1"/>
    <w:rsid w:val="004163FA"/>
    <w:rsid w:val="004163FB"/>
    <w:rsid w:val="00417248"/>
    <w:rsid w:val="00417978"/>
    <w:rsid w:val="00417C32"/>
    <w:rsid w:val="004200FC"/>
    <w:rsid w:val="00420111"/>
    <w:rsid w:val="00420523"/>
    <w:rsid w:val="0042066C"/>
    <w:rsid w:val="00420716"/>
    <w:rsid w:val="00421034"/>
    <w:rsid w:val="00422256"/>
    <w:rsid w:val="00422305"/>
    <w:rsid w:val="00422885"/>
    <w:rsid w:val="004234D7"/>
    <w:rsid w:val="0042354C"/>
    <w:rsid w:val="00423AA1"/>
    <w:rsid w:val="00424088"/>
    <w:rsid w:val="004240C9"/>
    <w:rsid w:val="0042431C"/>
    <w:rsid w:val="004248DF"/>
    <w:rsid w:val="00424B82"/>
    <w:rsid w:val="004250FA"/>
    <w:rsid w:val="00425C13"/>
    <w:rsid w:val="00425C4F"/>
    <w:rsid w:val="00425EB1"/>
    <w:rsid w:val="00425FE6"/>
    <w:rsid w:val="004261DA"/>
    <w:rsid w:val="00426356"/>
    <w:rsid w:val="00426429"/>
    <w:rsid w:val="00426748"/>
    <w:rsid w:val="00426776"/>
    <w:rsid w:val="00426C8E"/>
    <w:rsid w:val="00427332"/>
    <w:rsid w:val="004273BD"/>
    <w:rsid w:val="00427545"/>
    <w:rsid w:val="00430131"/>
    <w:rsid w:val="004306A7"/>
    <w:rsid w:val="00431E47"/>
    <w:rsid w:val="004324E3"/>
    <w:rsid w:val="00432A40"/>
    <w:rsid w:val="00432FCA"/>
    <w:rsid w:val="004332E2"/>
    <w:rsid w:val="004334A3"/>
    <w:rsid w:val="00433BB2"/>
    <w:rsid w:val="00433E1E"/>
    <w:rsid w:val="00434A1B"/>
    <w:rsid w:val="00435327"/>
    <w:rsid w:val="00435C35"/>
    <w:rsid w:val="0043610B"/>
    <w:rsid w:val="00436169"/>
    <w:rsid w:val="00436442"/>
    <w:rsid w:val="004364DC"/>
    <w:rsid w:val="00436864"/>
    <w:rsid w:val="00436F0C"/>
    <w:rsid w:val="00437084"/>
    <w:rsid w:val="004371B5"/>
    <w:rsid w:val="004375F2"/>
    <w:rsid w:val="00437AA1"/>
    <w:rsid w:val="004410A7"/>
    <w:rsid w:val="00441EEB"/>
    <w:rsid w:val="00442E97"/>
    <w:rsid w:val="00443581"/>
    <w:rsid w:val="00443667"/>
    <w:rsid w:val="004438BB"/>
    <w:rsid w:val="00444125"/>
    <w:rsid w:val="004450DE"/>
    <w:rsid w:val="0044556F"/>
    <w:rsid w:val="00445607"/>
    <w:rsid w:val="004456DB"/>
    <w:rsid w:val="00445736"/>
    <w:rsid w:val="0044583C"/>
    <w:rsid w:val="004460C4"/>
    <w:rsid w:val="0044771A"/>
    <w:rsid w:val="0044786B"/>
    <w:rsid w:val="0045016D"/>
    <w:rsid w:val="004501D1"/>
    <w:rsid w:val="0045093A"/>
    <w:rsid w:val="00451F18"/>
    <w:rsid w:val="00452012"/>
    <w:rsid w:val="00452591"/>
    <w:rsid w:val="00452C53"/>
    <w:rsid w:val="00452C5D"/>
    <w:rsid w:val="0045326D"/>
    <w:rsid w:val="004533F3"/>
    <w:rsid w:val="0045356C"/>
    <w:rsid w:val="00453A24"/>
    <w:rsid w:val="00453BAE"/>
    <w:rsid w:val="00453EFE"/>
    <w:rsid w:val="004543F1"/>
    <w:rsid w:val="004548E2"/>
    <w:rsid w:val="00455259"/>
    <w:rsid w:val="00455D6D"/>
    <w:rsid w:val="0045698D"/>
    <w:rsid w:val="004569CA"/>
    <w:rsid w:val="004569F8"/>
    <w:rsid w:val="00456A12"/>
    <w:rsid w:val="00456C21"/>
    <w:rsid w:val="00456F63"/>
    <w:rsid w:val="00457D08"/>
    <w:rsid w:val="00457F82"/>
    <w:rsid w:val="00460445"/>
    <w:rsid w:val="00460C5A"/>
    <w:rsid w:val="00460CA2"/>
    <w:rsid w:val="004613E1"/>
    <w:rsid w:val="00461C9F"/>
    <w:rsid w:val="00462269"/>
    <w:rsid w:val="004623B0"/>
    <w:rsid w:val="00462624"/>
    <w:rsid w:val="00462C78"/>
    <w:rsid w:val="00462CDC"/>
    <w:rsid w:val="004634BA"/>
    <w:rsid w:val="004643D8"/>
    <w:rsid w:val="0046449E"/>
    <w:rsid w:val="00464868"/>
    <w:rsid w:val="0046508A"/>
    <w:rsid w:val="004650B2"/>
    <w:rsid w:val="00465D8C"/>
    <w:rsid w:val="00465F4E"/>
    <w:rsid w:val="00465F81"/>
    <w:rsid w:val="00466335"/>
    <w:rsid w:val="004663BF"/>
    <w:rsid w:val="0046651D"/>
    <w:rsid w:val="00467232"/>
    <w:rsid w:val="004672AA"/>
    <w:rsid w:val="0046735D"/>
    <w:rsid w:val="0046761B"/>
    <w:rsid w:val="004703CF"/>
    <w:rsid w:val="00470D93"/>
    <w:rsid w:val="00471309"/>
    <w:rsid w:val="00471519"/>
    <w:rsid w:val="00471679"/>
    <w:rsid w:val="00471746"/>
    <w:rsid w:val="004721B6"/>
    <w:rsid w:val="0047240B"/>
    <w:rsid w:val="00472A33"/>
    <w:rsid w:val="00472CD6"/>
    <w:rsid w:val="0047325D"/>
    <w:rsid w:val="004738C7"/>
    <w:rsid w:val="00473E88"/>
    <w:rsid w:val="00474173"/>
    <w:rsid w:val="00474EBC"/>
    <w:rsid w:val="004755F4"/>
    <w:rsid w:val="0047565A"/>
    <w:rsid w:val="00475BF8"/>
    <w:rsid w:val="00476146"/>
    <w:rsid w:val="00476449"/>
    <w:rsid w:val="004767DA"/>
    <w:rsid w:val="00476A99"/>
    <w:rsid w:val="00476E5E"/>
    <w:rsid w:val="00477076"/>
    <w:rsid w:val="004773D4"/>
    <w:rsid w:val="00477994"/>
    <w:rsid w:val="00477E51"/>
    <w:rsid w:val="0048083C"/>
    <w:rsid w:val="004808CD"/>
    <w:rsid w:val="004817EB"/>
    <w:rsid w:val="004818D3"/>
    <w:rsid w:val="00481C1F"/>
    <w:rsid w:val="004830B1"/>
    <w:rsid w:val="004833DD"/>
    <w:rsid w:val="00483C93"/>
    <w:rsid w:val="00483E24"/>
    <w:rsid w:val="00484F2C"/>
    <w:rsid w:val="00485334"/>
    <w:rsid w:val="00485B75"/>
    <w:rsid w:val="00485CC5"/>
    <w:rsid w:val="00485E89"/>
    <w:rsid w:val="0048668D"/>
    <w:rsid w:val="004866E8"/>
    <w:rsid w:val="00486A88"/>
    <w:rsid w:val="00486F68"/>
    <w:rsid w:val="004877D8"/>
    <w:rsid w:val="00487B27"/>
    <w:rsid w:val="00487D86"/>
    <w:rsid w:val="00490178"/>
    <w:rsid w:val="0049045A"/>
    <w:rsid w:val="00490607"/>
    <w:rsid w:val="00490AA8"/>
    <w:rsid w:val="00490F4A"/>
    <w:rsid w:val="00491573"/>
    <w:rsid w:val="004918AC"/>
    <w:rsid w:val="004922D3"/>
    <w:rsid w:val="00492482"/>
    <w:rsid w:val="00492607"/>
    <w:rsid w:val="00492772"/>
    <w:rsid w:val="00492AFD"/>
    <w:rsid w:val="00492C72"/>
    <w:rsid w:val="004930C5"/>
    <w:rsid w:val="004936C7"/>
    <w:rsid w:val="004938B6"/>
    <w:rsid w:val="00494428"/>
    <w:rsid w:val="004945AA"/>
    <w:rsid w:val="00494A7E"/>
    <w:rsid w:val="00494C39"/>
    <w:rsid w:val="0049542D"/>
    <w:rsid w:val="0049571B"/>
    <w:rsid w:val="004958DC"/>
    <w:rsid w:val="00495A0D"/>
    <w:rsid w:val="00495A11"/>
    <w:rsid w:val="004967DB"/>
    <w:rsid w:val="00496907"/>
    <w:rsid w:val="004969F5"/>
    <w:rsid w:val="00496C57"/>
    <w:rsid w:val="00496DD2"/>
    <w:rsid w:val="004973F4"/>
    <w:rsid w:val="0049751F"/>
    <w:rsid w:val="004A0084"/>
    <w:rsid w:val="004A091D"/>
    <w:rsid w:val="004A0F44"/>
    <w:rsid w:val="004A11A1"/>
    <w:rsid w:val="004A11EE"/>
    <w:rsid w:val="004A1385"/>
    <w:rsid w:val="004A194D"/>
    <w:rsid w:val="004A1B4E"/>
    <w:rsid w:val="004A26FD"/>
    <w:rsid w:val="004A29F7"/>
    <w:rsid w:val="004A2EC0"/>
    <w:rsid w:val="004A2F99"/>
    <w:rsid w:val="004A317B"/>
    <w:rsid w:val="004A339B"/>
    <w:rsid w:val="004A367A"/>
    <w:rsid w:val="004A37D2"/>
    <w:rsid w:val="004A3F21"/>
    <w:rsid w:val="004A4726"/>
    <w:rsid w:val="004A47D2"/>
    <w:rsid w:val="004A48B0"/>
    <w:rsid w:val="004A4AA7"/>
    <w:rsid w:val="004A4CD2"/>
    <w:rsid w:val="004A5444"/>
    <w:rsid w:val="004A5877"/>
    <w:rsid w:val="004A635D"/>
    <w:rsid w:val="004A678C"/>
    <w:rsid w:val="004A70A6"/>
    <w:rsid w:val="004B013B"/>
    <w:rsid w:val="004B043F"/>
    <w:rsid w:val="004B1782"/>
    <w:rsid w:val="004B195D"/>
    <w:rsid w:val="004B1E79"/>
    <w:rsid w:val="004B224D"/>
    <w:rsid w:val="004B25E3"/>
    <w:rsid w:val="004B3111"/>
    <w:rsid w:val="004B32DB"/>
    <w:rsid w:val="004B36C2"/>
    <w:rsid w:val="004B3844"/>
    <w:rsid w:val="004B4165"/>
    <w:rsid w:val="004B41BC"/>
    <w:rsid w:val="004B4E99"/>
    <w:rsid w:val="004B528D"/>
    <w:rsid w:val="004B5B97"/>
    <w:rsid w:val="004B60D6"/>
    <w:rsid w:val="004B6903"/>
    <w:rsid w:val="004B71A5"/>
    <w:rsid w:val="004B72A3"/>
    <w:rsid w:val="004B748B"/>
    <w:rsid w:val="004B7D3B"/>
    <w:rsid w:val="004B7E15"/>
    <w:rsid w:val="004C09AD"/>
    <w:rsid w:val="004C0C06"/>
    <w:rsid w:val="004C0C1A"/>
    <w:rsid w:val="004C1C35"/>
    <w:rsid w:val="004C2193"/>
    <w:rsid w:val="004C2358"/>
    <w:rsid w:val="004C2D5E"/>
    <w:rsid w:val="004C2DFF"/>
    <w:rsid w:val="004C320B"/>
    <w:rsid w:val="004C39D9"/>
    <w:rsid w:val="004C4354"/>
    <w:rsid w:val="004C4439"/>
    <w:rsid w:val="004C5349"/>
    <w:rsid w:val="004C5466"/>
    <w:rsid w:val="004C6FBE"/>
    <w:rsid w:val="004C7194"/>
    <w:rsid w:val="004C7F45"/>
    <w:rsid w:val="004D00CA"/>
    <w:rsid w:val="004D0CA6"/>
    <w:rsid w:val="004D0E73"/>
    <w:rsid w:val="004D0EC9"/>
    <w:rsid w:val="004D17E3"/>
    <w:rsid w:val="004D1D50"/>
    <w:rsid w:val="004D310C"/>
    <w:rsid w:val="004D31E4"/>
    <w:rsid w:val="004D346E"/>
    <w:rsid w:val="004D38DB"/>
    <w:rsid w:val="004D3C46"/>
    <w:rsid w:val="004D3D67"/>
    <w:rsid w:val="004D3DE3"/>
    <w:rsid w:val="004D475E"/>
    <w:rsid w:val="004D5322"/>
    <w:rsid w:val="004D599A"/>
    <w:rsid w:val="004D658A"/>
    <w:rsid w:val="004D6E1E"/>
    <w:rsid w:val="004D6F63"/>
    <w:rsid w:val="004E02E9"/>
    <w:rsid w:val="004E0ADA"/>
    <w:rsid w:val="004E0EA3"/>
    <w:rsid w:val="004E15F3"/>
    <w:rsid w:val="004E1BE6"/>
    <w:rsid w:val="004E1C05"/>
    <w:rsid w:val="004E26BE"/>
    <w:rsid w:val="004E2E4D"/>
    <w:rsid w:val="004E3796"/>
    <w:rsid w:val="004E3E4F"/>
    <w:rsid w:val="004E3E80"/>
    <w:rsid w:val="004E472D"/>
    <w:rsid w:val="004E4A43"/>
    <w:rsid w:val="004E51FE"/>
    <w:rsid w:val="004E63EA"/>
    <w:rsid w:val="004E793B"/>
    <w:rsid w:val="004E7C9A"/>
    <w:rsid w:val="004E7D17"/>
    <w:rsid w:val="004E7F43"/>
    <w:rsid w:val="004F0346"/>
    <w:rsid w:val="004F0548"/>
    <w:rsid w:val="004F0804"/>
    <w:rsid w:val="004F1797"/>
    <w:rsid w:val="004F2499"/>
    <w:rsid w:val="004F24B4"/>
    <w:rsid w:val="004F24FA"/>
    <w:rsid w:val="004F2961"/>
    <w:rsid w:val="004F2A7C"/>
    <w:rsid w:val="004F33AB"/>
    <w:rsid w:val="004F36CB"/>
    <w:rsid w:val="004F41E3"/>
    <w:rsid w:val="004F4260"/>
    <w:rsid w:val="004F45D0"/>
    <w:rsid w:val="004F4837"/>
    <w:rsid w:val="004F4AAA"/>
    <w:rsid w:val="004F4D40"/>
    <w:rsid w:val="004F4D6A"/>
    <w:rsid w:val="004F507B"/>
    <w:rsid w:val="004F52DC"/>
    <w:rsid w:val="004F54A2"/>
    <w:rsid w:val="004F5612"/>
    <w:rsid w:val="004F5F7B"/>
    <w:rsid w:val="004F6244"/>
    <w:rsid w:val="004F6300"/>
    <w:rsid w:val="004F63AB"/>
    <w:rsid w:val="004F6ACA"/>
    <w:rsid w:val="004F6CA9"/>
    <w:rsid w:val="004F7073"/>
    <w:rsid w:val="004F7BDA"/>
    <w:rsid w:val="004F7DA2"/>
    <w:rsid w:val="004F7EC6"/>
    <w:rsid w:val="004F7FBF"/>
    <w:rsid w:val="00500026"/>
    <w:rsid w:val="0050024F"/>
    <w:rsid w:val="0050025A"/>
    <w:rsid w:val="00500733"/>
    <w:rsid w:val="00500929"/>
    <w:rsid w:val="00500C50"/>
    <w:rsid w:val="00500D3A"/>
    <w:rsid w:val="00500D3B"/>
    <w:rsid w:val="00501006"/>
    <w:rsid w:val="005014C4"/>
    <w:rsid w:val="00501B5D"/>
    <w:rsid w:val="00501FE6"/>
    <w:rsid w:val="00502686"/>
    <w:rsid w:val="0050294C"/>
    <w:rsid w:val="00502BF0"/>
    <w:rsid w:val="0050367A"/>
    <w:rsid w:val="0050466B"/>
    <w:rsid w:val="00505078"/>
    <w:rsid w:val="00505799"/>
    <w:rsid w:val="00505A91"/>
    <w:rsid w:val="0050613E"/>
    <w:rsid w:val="0050716B"/>
    <w:rsid w:val="00507758"/>
    <w:rsid w:val="00510054"/>
    <w:rsid w:val="00510778"/>
    <w:rsid w:val="00510950"/>
    <w:rsid w:val="00510F7F"/>
    <w:rsid w:val="00511A55"/>
    <w:rsid w:val="00512901"/>
    <w:rsid w:val="00512A6E"/>
    <w:rsid w:val="00512A7C"/>
    <w:rsid w:val="0051432F"/>
    <w:rsid w:val="005147E3"/>
    <w:rsid w:val="00514953"/>
    <w:rsid w:val="005149E5"/>
    <w:rsid w:val="00515854"/>
    <w:rsid w:val="00515D45"/>
    <w:rsid w:val="0051602C"/>
    <w:rsid w:val="0051641E"/>
    <w:rsid w:val="00516496"/>
    <w:rsid w:val="00516CC7"/>
    <w:rsid w:val="00517208"/>
    <w:rsid w:val="00517232"/>
    <w:rsid w:val="0051749F"/>
    <w:rsid w:val="00517514"/>
    <w:rsid w:val="00517B88"/>
    <w:rsid w:val="00517FE7"/>
    <w:rsid w:val="005202AD"/>
    <w:rsid w:val="00520F1A"/>
    <w:rsid w:val="00520F5C"/>
    <w:rsid w:val="00522192"/>
    <w:rsid w:val="005230DC"/>
    <w:rsid w:val="00523297"/>
    <w:rsid w:val="00523651"/>
    <w:rsid w:val="00523A1C"/>
    <w:rsid w:val="00523C35"/>
    <w:rsid w:val="00523CE2"/>
    <w:rsid w:val="00523D3D"/>
    <w:rsid w:val="00524F2E"/>
    <w:rsid w:val="00525089"/>
    <w:rsid w:val="00525627"/>
    <w:rsid w:val="005259C8"/>
    <w:rsid w:val="00525B1B"/>
    <w:rsid w:val="00525B25"/>
    <w:rsid w:val="00525BF2"/>
    <w:rsid w:val="00525FBE"/>
    <w:rsid w:val="005262DB"/>
    <w:rsid w:val="00527320"/>
    <w:rsid w:val="0052775A"/>
    <w:rsid w:val="005303F3"/>
    <w:rsid w:val="0053068B"/>
    <w:rsid w:val="00530A82"/>
    <w:rsid w:val="00531A4E"/>
    <w:rsid w:val="00531A81"/>
    <w:rsid w:val="00531AC4"/>
    <w:rsid w:val="00531F2D"/>
    <w:rsid w:val="005326E8"/>
    <w:rsid w:val="005328FB"/>
    <w:rsid w:val="00532AE8"/>
    <w:rsid w:val="00533A89"/>
    <w:rsid w:val="00534019"/>
    <w:rsid w:val="00534036"/>
    <w:rsid w:val="00534602"/>
    <w:rsid w:val="00534B9E"/>
    <w:rsid w:val="00534D61"/>
    <w:rsid w:val="0053506B"/>
    <w:rsid w:val="005353F6"/>
    <w:rsid w:val="00536DFA"/>
    <w:rsid w:val="00536F9B"/>
    <w:rsid w:val="00536FF0"/>
    <w:rsid w:val="00537053"/>
    <w:rsid w:val="00537417"/>
    <w:rsid w:val="005376E3"/>
    <w:rsid w:val="005379BB"/>
    <w:rsid w:val="00537BAA"/>
    <w:rsid w:val="00537EC0"/>
    <w:rsid w:val="00537EDA"/>
    <w:rsid w:val="005403ED"/>
    <w:rsid w:val="00540600"/>
    <w:rsid w:val="00540A2F"/>
    <w:rsid w:val="00541095"/>
    <w:rsid w:val="005410F7"/>
    <w:rsid w:val="00541EA0"/>
    <w:rsid w:val="00541FF8"/>
    <w:rsid w:val="0054329B"/>
    <w:rsid w:val="00543700"/>
    <w:rsid w:val="005438D4"/>
    <w:rsid w:val="00543A25"/>
    <w:rsid w:val="00544232"/>
    <w:rsid w:val="00544880"/>
    <w:rsid w:val="00544947"/>
    <w:rsid w:val="00544A27"/>
    <w:rsid w:val="005451A0"/>
    <w:rsid w:val="00545269"/>
    <w:rsid w:val="00545445"/>
    <w:rsid w:val="005456D6"/>
    <w:rsid w:val="00545CFC"/>
    <w:rsid w:val="00546206"/>
    <w:rsid w:val="00546331"/>
    <w:rsid w:val="00546E28"/>
    <w:rsid w:val="00546FD8"/>
    <w:rsid w:val="00547051"/>
    <w:rsid w:val="0054719F"/>
    <w:rsid w:val="005475B6"/>
    <w:rsid w:val="00547EFB"/>
    <w:rsid w:val="00547F27"/>
    <w:rsid w:val="00547F7B"/>
    <w:rsid w:val="00550586"/>
    <w:rsid w:val="005508B6"/>
    <w:rsid w:val="00550AEB"/>
    <w:rsid w:val="00550BE2"/>
    <w:rsid w:val="00551878"/>
    <w:rsid w:val="00551BE1"/>
    <w:rsid w:val="0055253E"/>
    <w:rsid w:val="00552903"/>
    <w:rsid w:val="00552DBB"/>
    <w:rsid w:val="005530C0"/>
    <w:rsid w:val="0055414C"/>
    <w:rsid w:val="005545FA"/>
    <w:rsid w:val="005553B5"/>
    <w:rsid w:val="0055586E"/>
    <w:rsid w:val="005558BE"/>
    <w:rsid w:val="005558F5"/>
    <w:rsid w:val="005559B8"/>
    <w:rsid w:val="00555AB0"/>
    <w:rsid w:val="005560B5"/>
    <w:rsid w:val="0055610B"/>
    <w:rsid w:val="005561A1"/>
    <w:rsid w:val="00556D39"/>
    <w:rsid w:val="00557162"/>
    <w:rsid w:val="00557246"/>
    <w:rsid w:val="0055736D"/>
    <w:rsid w:val="0055772F"/>
    <w:rsid w:val="0056031E"/>
    <w:rsid w:val="0056084C"/>
    <w:rsid w:val="00561125"/>
    <w:rsid w:val="0056210A"/>
    <w:rsid w:val="0056235D"/>
    <w:rsid w:val="0056253E"/>
    <w:rsid w:val="00562D83"/>
    <w:rsid w:val="00563363"/>
    <w:rsid w:val="005636E3"/>
    <w:rsid w:val="005639B7"/>
    <w:rsid w:val="00563CEF"/>
    <w:rsid w:val="0056431E"/>
    <w:rsid w:val="0056458F"/>
    <w:rsid w:val="005648F8"/>
    <w:rsid w:val="00564AFC"/>
    <w:rsid w:val="005656FB"/>
    <w:rsid w:val="00565A93"/>
    <w:rsid w:val="005665CE"/>
    <w:rsid w:val="00566B43"/>
    <w:rsid w:val="00566B5B"/>
    <w:rsid w:val="00566BBC"/>
    <w:rsid w:val="00566E4A"/>
    <w:rsid w:val="00566E75"/>
    <w:rsid w:val="00567B58"/>
    <w:rsid w:val="00567BC1"/>
    <w:rsid w:val="00567C49"/>
    <w:rsid w:val="00570DDB"/>
    <w:rsid w:val="00570F63"/>
    <w:rsid w:val="00571DD0"/>
    <w:rsid w:val="005723E6"/>
    <w:rsid w:val="00572636"/>
    <w:rsid w:val="005727CB"/>
    <w:rsid w:val="0057298C"/>
    <w:rsid w:val="005729CC"/>
    <w:rsid w:val="00572BE0"/>
    <w:rsid w:val="00572D6A"/>
    <w:rsid w:val="005730BC"/>
    <w:rsid w:val="00573893"/>
    <w:rsid w:val="00573936"/>
    <w:rsid w:val="005739B5"/>
    <w:rsid w:val="00573DB9"/>
    <w:rsid w:val="00574383"/>
    <w:rsid w:val="00574882"/>
    <w:rsid w:val="005750B8"/>
    <w:rsid w:val="005755A6"/>
    <w:rsid w:val="0057596C"/>
    <w:rsid w:val="00576195"/>
    <w:rsid w:val="00576497"/>
    <w:rsid w:val="00576A14"/>
    <w:rsid w:val="00576FCD"/>
    <w:rsid w:val="00577042"/>
    <w:rsid w:val="005806BB"/>
    <w:rsid w:val="005809BE"/>
    <w:rsid w:val="00580B74"/>
    <w:rsid w:val="00580FC1"/>
    <w:rsid w:val="005811E8"/>
    <w:rsid w:val="00581868"/>
    <w:rsid w:val="00581E07"/>
    <w:rsid w:val="00581F0C"/>
    <w:rsid w:val="00582098"/>
    <w:rsid w:val="0058298B"/>
    <w:rsid w:val="005836AB"/>
    <w:rsid w:val="005838D5"/>
    <w:rsid w:val="00583C95"/>
    <w:rsid w:val="005841B9"/>
    <w:rsid w:val="0058477E"/>
    <w:rsid w:val="00584D0C"/>
    <w:rsid w:val="00584FF7"/>
    <w:rsid w:val="00585122"/>
    <w:rsid w:val="0058529F"/>
    <w:rsid w:val="00585401"/>
    <w:rsid w:val="00586429"/>
    <w:rsid w:val="00586565"/>
    <w:rsid w:val="0058658F"/>
    <w:rsid w:val="0058799F"/>
    <w:rsid w:val="00587A87"/>
    <w:rsid w:val="005906B1"/>
    <w:rsid w:val="00590976"/>
    <w:rsid w:val="00591D90"/>
    <w:rsid w:val="0059322A"/>
    <w:rsid w:val="00593464"/>
    <w:rsid w:val="00593702"/>
    <w:rsid w:val="005937BC"/>
    <w:rsid w:val="00593BB0"/>
    <w:rsid w:val="00593D76"/>
    <w:rsid w:val="00593E31"/>
    <w:rsid w:val="0059494E"/>
    <w:rsid w:val="00594BEE"/>
    <w:rsid w:val="00594E1E"/>
    <w:rsid w:val="00595158"/>
    <w:rsid w:val="005957A4"/>
    <w:rsid w:val="0059589E"/>
    <w:rsid w:val="00595ECD"/>
    <w:rsid w:val="00596536"/>
    <w:rsid w:val="0059665C"/>
    <w:rsid w:val="00596910"/>
    <w:rsid w:val="00596D00"/>
    <w:rsid w:val="00596D51"/>
    <w:rsid w:val="00596FC6"/>
    <w:rsid w:val="005971CE"/>
    <w:rsid w:val="00597AC5"/>
    <w:rsid w:val="005A0024"/>
    <w:rsid w:val="005A02FB"/>
    <w:rsid w:val="005A054B"/>
    <w:rsid w:val="005A086E"/>
    <w:rsid w:val="005A0AEA"/>
    <w:rsid w:val="005A0D04"/>
    <w:rsid w:val="005A0D07"/>
    <w:rsid w:val="005A18DC"/>
    <w:rsid w:val="005A1992"/>
    <w:rsid w:val="005A266A"/>
    <w:rsid w:val="005A2C54"/>
    <w:rsid w:val="005A2E98"/>
    <w:rsid w:val="005A3030"/>
    <w:rsid w:val="005A3128"/>
    <w:rsid w:val="005A3C83"/>
    <w:rsid w:val="005A3EAB"/>
    <w:rsid w:val="005A422E"/>
    <w:rsid w:val="005A471E"/>
    <w:rsid w:val="005A4D05"/>
    <w:rsid w:val="005A4F64"/>
    <w:rsid w:val="005A5745"/>
    <w:rsid w:val="005A69B4"/>
    <w:rsid w:val="005A7159"/>
    <w:rsid w:val="005A74FC"/>
    <w:rsid w:val="005A76E3"/>
    <w:rsid w:val="005A7885"/>
    <w:rsid w:val="005A7AE6"/>
    <w:rsid w:val="005A7F8D"/>
    <w:rsid w:val="005B046E"/>
    <w:rsid w:val="005B04D9"/>
    <w:rsid w:val="005B056C"/>
    <w:rsid w:val="005B0581"/>
    <w:rsid w:val="005B08CE"/>
    <w:rsid w:val="005B0A42"/>
    <w:rsid w:val="005B1723"/>
    <w:rsid w:val="005B17FF"/>
    <w:rsid w:val="005B1B0B"/>
    <w:rsid w:val="005B1CF0"/>
    <w:rsid w:val="005B1FC2"/>
    <w:rsid w:val="005B224C"/>
    <w:rsid w:val="005B238C"/>
    <w:rsid w:val="005B259C"/>
    <w:rsid w:val="005B2863"/>
    <w:rsid w:val="005B3995"/>
    <w:rsid w:val="005B4199"/>
    <w:rsid w:val="005B4226"/>
    <w:rsid w:val="005B43F9"/>
    <w:rsid w:val="005B4D54"/>
    <w:rsid w:val="005B5175"/>
    <w:rsid w:val="005B530F"/>
    <w:rsid w:val="005B5405"/>
    <w:rsid w:val="005B5800"/>
    <w:rsid w:val="005B6085"/>
    <w:rsid w:val="005B6BF6"/>
    <w:rsid w:val="005B74D6"/>
    <w:rsid w:val="005B78F0"/>
    <w:rsid w:val="005C09C6"/>
    <w:rsid w:val="005C0AF9"/>
    <w:rsid w:val="005C0F6C"/>
    <w:rsid w:val="005C125C"/>
    <w:rsid w:val="005C1A40"/>
    <w:rsid w:val="005C2047"/>
    <w:rsid w:val="005C2187"/>
    <w:rsid w:val="005C2654"/>
    <w:rsid w:val="005C282D"/>
    <w:rsid w:val="005C2E26"/>
    <w:rsid w:val="005C340D"/>
    <w:rsid w:val="005C3752"/>
    <w:rsid w:val="005C38C7"/>
    <w:rsid w:val="005C4354"/>
    <w:rsid w:val="005C4525"/>
    <w:rsid w:val="005C4A19"/>
    <w:rsid w:val="005C4ACA"/>
    <w:rsid w:val="005C5BD8"/>
    <w:rsid w:val="005C5C25"/>
    <w:rsid w:val="005C5E41"/>
    <w:rsid w:val="005C6541"/>
    <w:rsid w:val="005C6998"/>
    <w:rsid w:val="005C6BB4"/>
    <w:rsid w:val="005C7408"/>
    <w:rsid w:val="005C7E21"/>
    <w:rsid w:val="005D045E"/>
    <w:rsid w:val="005D0CC7"/>
    <w:rsid w:val="005D0DE6"/>
    <w:rsid w:val="005D1413"/>
    <w:rsid w:val="005D158B"/>
    <w:rsid w:val="005D224F"/>
    <w:rsid w:val="005D2278"/>
    <w:rsid w:val="005D283D"/>
    <w:rsid w:val="005D28E2"/>
    <w:rsid w:val="005D3466"/>
    <w:rsid w:val="005D3878"/>
    <w:rsid w:val="005D3D96"/>
    <w:rsid w:val="005D445B"/>
    <w:rsid w:val="005D4688"/>
    <w:rsid w:val="005D4A6D"/>
    <w:rsid w:val="005D5416"/>
    <w:rsid w:val="005D54B5"/>
    <w:rsid w:val="005D5C9F"/>
    <w:rsid w:val="005D5F59"/>
    <w:rsid w:val="005D6560"/>
    <w:rsid w:val="005D6926"/>
    <w:rsid w:val="005D7500"/>
    <w:rsid w:val="005D7929"/>
    <w:rsid w:val="005E0388"/>
    <w:rsid w:val="005E09D0"/>
    <w:rsid w:val="005E0F6C"/>
    <w:rsid w:val="005E1293"/>
    <w:rsid w:val="005E2234"/>
    <w:rsid w:val="005E293B"/>
    <w:rsid w:val="005E3285"/>
    <w:rsid w:val="005E39A3"/>
    <w:rsid w:val="005E39B8"/>
    <w:rsid w:val="005E47BF"/>
    <w:rsid w:val="005E555B"/>
    <w:rsid w:val="005E61F8"/>
    <w:rsid w:val="005E726A"/>
    <w:rsid w:val="005E72E9"/>
    <w:rsid w:val="005E7823"/>
    <w:rsid w:val="005F1385"/>
    <w:rsid w:val="005F183A"/>
    <w:rsid w:val="005F29C9"/>
    <w:rsid w:val="005F3898"/>
    <w:rsid w:val="005F3DB1"/>
    <w:rsid w:val="005F3FA9"/>
    <w:rsid w:val="005F428E"/>
    <w:rsid w:val="005F4786"/>
    <w:rsid w:val="005F4A16"/>
    <w:rsid w:val="005F4AE4"/>
    <w:rsid w:val="005F4C2A"/>
    <w:rsid w:val="005F57AD"/>
    <w:rsid w:val="005F5BCF"/>
    <w:rsid w:val="005F5D48"/>
    <w:rsid w:val="005F609E"/>
    <w:rsid w:val="005F6A2D"/>
    <w:rsid w:val="005F6DE0"/>
    <w:rsid w:val="005F7578"/>
    <w:rsid w:val="005F7A42"/>
    <w:rsid w:val="00600211"/>
    <w:rsid w:val="00600557"/>
    <w:rsid w:val="00600599"/>
    <w:rsid w:val="00600688"/>
    <w:rsid w:val="00600F9D"/>
    <w:rsid w:val="00601064"/>
    <w:rsid w:val="00601179"/>
    <w:rsid w:val="006014C4"/>
    <w:rsid w:val="00602AED"/>
    <w:rsid w:val="00602D35"/>
    <w:rsid w:val="00602DC7"/>
    <w:rsid w:val="0060331D"/>
    <w:rsid w:val="006033F4"/>
    <w:rsid w:val="00603F03"/>
    <w:rsid w:val="00604E6F"/>
    <w:rsid w:val="00605493"/>
    <w:rsid w:val="00605BF7"/>
    <w:rsid w:val="006064D7"/>
    <w:rsid w:val="006068BA"/>
    <w:rsid w:val="006069B4"/>
    <w:rsid w:val="006070C3"/>
    <w:rsid w:val="00610407"/>
    <w:rsid w:val="00610936"/>
    <w:rsid w:val="00611872"/>
    <w:rsid w:val="00612081"/>
    <w:rsid w:val="006123A4"/>
    <w:rsid w:val="00612E27"/>
    <w:rsid w:val="0061376C"/>
    <w:rsid w:val="00613A78"/>
    <w:rsid w:val="00613EB2"/>
    <w:rsid w:val="0061432A"/>
    <w:rsid w:val="00614DA7"/>
    <w:rsid w:val="00614F90"/>
    <w:rsid w:val="00615065"/>
    <w:rsid w:val="00615EE0"/>
    <w:rsid w:val="00616479"/>
    <w:rsid w:val="006169C3"/>
    <w:rsid w:val="00616AB3"/>
    <w:rsid w:val="00616FDF"/>
    <w:rsid w:val="00620049"/>
    <w:rsid w:val="00620940"/>
    <w:rsid w:val="00620944"/>
    <w:rsid w:val="00621653"/>
    <w:rsid w:val="00621CFA"/>
    <w:rsid w:val="00622582"/>
    <w:rsid w:val="006226F2"/>
    <w:rsid w:val="006228AA"/>
    <w:rsid w:val="00622B53"/>
    <w:rsid w:val="00622ED6"/>
    <w:rsid w:val="006232F6"/>
    <w:rsid w:val="00623CE1"/>
    <w:rsid w:val="00623EF3"/>
    <w:rsid w:val="00624B45"/>
    <w:rsid w:val="006251FF"/>
    <w:rsid w:val="006253C6"/>
    <w:rsid w:val="0062566D"/>
    <w:rsid w:val="00625759"/>
    <w:rsid w:val="00626347"/>
    <w:rsid w:val="006265B8"/>
    <w:rsid w:val="006268C2"/>
    <w:rsid w:val="006274B7"/>
    <w:rsid w:val="006275F5"/>
    <w:rsid w:val="00627884"/>
    <w:rsid w:val="00630098"/>
    <w:rsid w:val="0063099F"/>
    <w:rsid w:val="006310B0"/>
    <w:rsid w:val="00631643"/>
    <w:rsid w:val="00631670"/>
    <w:rsid w:val="00631DF4"/>
    <w:rsid w:val="00632B61"/>
    <w:rsid w:val="00632C77"/>
    <w:rsid w:val="006331F7"/>
    <w:rsid w:val="00635397"/>
    <w:rsid w:val="006354DE"/>
    <w:rsid w:val="00635A22"/>
    <w:rsid w:val="00635B96"/>
    <w:rsid w:val="00635D49"/>
    <w:rsid w:val="00635F1D"/>
    <w:rsid w:val="00636CE2"/>
    <w:rsid w:val="00636EBA"/>
    <w:rsid w:val="00640165"/>
    <w:rsid w:val="006403EA"/>
    <w:rsid w:val="00640CDD"/>
    <w:rsid w:val="00640F08"/>
    <w:rsid w:val="00640F59"/>
    <w:rsid w:val="00640FD5"/>
    <w:rsid w:val="0064185F"/>
    <w:rsid w:val="006436C9"/>
    <w:rsid w:val="00643936"/>
    <w:rsid w:val="00644738"/>
    <w:rsid w:val="00644951"/>
    <w:rsid w:val="0064540E"/>
    <w:rsid w:val="0064548B"/>
    <w:rsid w:val="006457E4"/>
    <w:rsid w:val="00645B5B"/>
    <w:rsid w:val="00645CEB"/>
    <w:rsid w:val="00645D8D"/>
    <w:rsid w:val="006463DC"/>
    <w:rsid w:val="006468DF"/>
    <w:rsid w:val="00646E9A"/>
    <w:rsid w:val="0064794C"/>
    <w:rsid w:val="006501CD"/>
    <w:rsid w:val="00650278"/>
    <w:rsid w:val="00650BEF"/>
    <w:rsid w:val="006510A9"/>
    <w:rsid w:val="00651E5A"/>
    <w:rsid w:val="00652BF0"/>
    <w:rsid w:val="00652EC4"/>
    <w:rsid w:val="00653D34"/>
    <w:rsid w:val="00654954"/>
    <w:rsid w:val="00654ABF"/>
    <w:rsid w:val="006551D6"/>
    <w:rsid w:val="00655835"/>
    <w:rsid w:val="00655AE3"/>
    <w:rsid w:val="00655E04"/>
    <w:rsid w:val="00656200"/>
    <w:rsid w:val="006564F3"/>
    <w:rsid w:val="00656D41"/>
    <w:rsid w:val="006570DD"/>
    <w:rsid w:val="0065749D"/>
    <w:rsid w:val="006574E0"/>
    <w:rsid w:val="006576D7"/>
    <w:rsid w:val="006579A1"/>
    <w:rsid w:val="00657A27"/>
    <w:rsid w:val="00657BAE"/>
    <w:rsid w:val="00657D2D"/>
    <w:rsid w:val="0066013B"/>
    <w:rsid w:val="006601D3"/>
    <w:rsid w:val="006602BC"/>
    <w:rsid w:val="006602F5"/>
    <w:rsid w:val="00660546"/>
    <w:rsid w:val="00660562"/>
    <w:rsid w:val="00660A36"/>
    <w:rsid w:val="00660B0A"/>
    <w:rsid w:val="00660C09"/>
    <w:rsid w:val="00661430"/>
    <w:rsid w:val="00661D09"/>
    <w:rsid w:val="00661D38"/>
    <w:rsid w:val="00662113"/>
    <w:rsid w:val="00662281"/>
    <w:rsid w:val="0066268A"/>
    <w:rsid w:val="00663402"/>
    <w:rsid w:val="006639B0"/>
    <w:rsid w:val="0066467C"/>
    <w:rsid w:val="00665098"/>
    <w:rsid w:val="006661C9"/>
    <w:rsid w:val="00666364"/>
    <w:rsid w:val="00666A4A"/>
    <w:rsid w:val="0066716F"/>
    <w:rsid w:val="00667A14"/>
    <w:rsid w:val="00667B48"/>
    <w:rsid w:val="00667D08"/>
    <w:rsid w:val="006701FD"/>
    <w:rsid w:val="00670D15"/>
    <w:rsid w:val="0067113B"/>
    <w:rsid w:val="006719BF"/>
    <w:rsid w:val="00671A33"/>
    <w:rsid w:val="00671D6D"/>
    <w:rsid w:val="0067213D"/>
    <w:rsid w:val="006724D3"/>
    <w:rsid w:val="00672618"/>
    <w:rsid w:val="00672F03"/>
    <w:rsid w:val="0067372B"/>
    <w:rsid w:val="00674126"/>
    <w:rsid w:val="00675838"/>
    <w:rsid w:val="00675855"/>
    <w:rsid w:val="00675FC4"/>
    <w:rsid w:val="00676117"/>
    <w:rsid w:val="006775E1"/>
    <w:rsid w:val="0067766C"/>
    <w:rsid w:val="00677DF1"/>
    <w:rsid w:val="00677F38"/>
    <w:rsid w:val="00680082"/>
    <w:rsid w:val="006803B7"/>
    <w:rsid w:val="006803F4"/>
    <w:rsid w:val="0068041D"/>
    <w:rsid w:val="0068046E"/>
    <w:rsid w:val="006804BB"/>
    <w:rsid w:val="00680500"/>
    <w:rsid w:val="00680D62"/>
    <w:rsid w:val="0068181F"/>
    <w:rsid w:val="00681A11"/>
    <w:rsid w:val="00681D3A"/>
    <w:rsid w:val="00681D51"/>
    <w:rsid w:val="00681EE5"/>
    <w:rsid w:val="0068243E"/>
    <w:rsid w:val="0068273A"/>
    <w:rsid w:val="00682C89"/>
    <w:rsid w:val="00683348"/>
    <w:rsid w:val="006833A7"/>
    <w:rsid w:val="00683520"/>
    <w:rsid w:val="00683E72"/>
    <w:rsid w:val="00684381"/>
    <w:rsid w:val="00684680"/>
    <w:rsid w:val="00684830"/>
    <w:rsid w:val="00684BFF"/>
    <w:rsid w:val="00684E6E"/>
    <w:rsid w:val="00685974"/>
    <w:rsid w:val="00686157"/>
    <w:rsid w:val="0068629D"/>
    <w:rsid w:val="00686388"/>
    <w:rsid w:val="00686C1F"/>
    <w:rsid w:val="00686E31"/>
    <w:rsid w:val="006878AF"/>
    <w:rsid w:val="00687C54"/>
    <w:rsid w:val="00687DF7"/>
    <w:rsid w:val="00690045"/>
    <w:rsid w:val="0069059C"/>
    <w:rsid w:val="0069070E"/>
    <w:rsid w:val="00690891"/>
    <w:rsid w:val="00690EA1"/>
    <w:rsid w:val="00691373"/>
    <w:rsid w:val="00691C74"/>
    <w:rsid w:val="00691F94"/>
    <w:rsid w:val="00692493"/>
    <w:rsid w:val="006924F8"/>
    <w:rsid w:val="0069252B"/>
    <w:rsid w:val="00692614"/>
    <w:rsid w:val="00692ECB"/>
    <w:rsid w:val="006933C4"/>
    <w:rsid w:val="0069360A"/>
    <w:rsid w:val="00694623"/>
    <w:rsid w:val="00694EC2"/>
    <w:rsid w:val="00694FDA"/>
    <w:rsid w:val="006957B6"/>
    <w:rsid w:val="00695C88"/>
    <w:rsid w:val="00695E8E"/>
    <w:rsid w:val="006961F7"/>
    <w:rsid w:val="00696631"/>
    <w:rsid w:val="00696AEC"/>
    <w:rsid w:val="00696FA2"/>
    <w:rsid w:val="00696FE8"/>
    <w:rsid w:val="00697295"/>
    <w:rsid w:val="00697524"/>
    <w:rsid w:val="006A032C"/>
    <w:rsid w:val="006A036E"/>
    <w:rsid w:val="006A04FA"/>
    <w:rsid w:val="006A08C6"/>
    <w:rsid w:val="006A0921"/>
    <w:rsid w:val="006A24A0"/>
    <w:rsid w:val="006A296F"/>
    <w:rsid w:val="006A2AA9"/>
    <w:rsid w:val="006A2D93"/>
    <w:rsid w:val="006A314B"/>
    <w:rsid w:val="006A32FE"/>
    <w:rsid w:val="006A35DA"/>
    <w:rsid w:val="006A366A"/>
    <w:rsid w:val="006A3E14"/>
    <w:rsid w:val="006A3F05"/>
    <w:rsid w:val="006A4150"/>
    <w:rsid w:val="006A4E8E"/>
    <w:rsid w:val="006A5BD0"/>
    <w:rsid w:val="006A6635"/>
    <w:rsid w:val="006A6E80"/>
    <w:rsid w:val="006A70B7"/>
    <w:rsid w:val="006A718D"/>
    <w:rsid w:val="006A719F"/>
    <w:rsid w:val="006B003A"/>
    <w:rsid w:val="006B2048"/>
    <w:rsid w:val="006B23E3"/>
    <w:rsid w:val="006B270F"/>
    <w:rsid w:val="006B2771"/>
    <w:rsid w:val="006B2802"/>
    <w:rsid w:val="006B2CF1"/>
    <w:rsid w:val="006B2D14"/>
    <w:rsid w:val="006B2D81"/>
    <w:rsid w:val="006B385B"/>
    <w:rsid w:val="006B4529"/>
    <w:rsid w:val="006B45E7"/>
    <w:rsid w:val="006B4ED1"/>
    <w:rsid w:val="006B51E5"/>
    <w:rsid w:val="006B5E2E"/>
    <w:rsid w:val="006B740A"/>
    <w:rsid w:val="006B7427"/>
    <w:rsid w:val="006B7CE9"/>
    <w:rsid w:val="006C0BCC"/>
    <w:rsid w:val="006C158F"/>
    <w:rsid w:val="006C1593"/>
    <w:rsid w:val="006C1AC3"/>
    <w:rsid w:val="006C1C09"/>
    <w:rsid w:val="006C1E73"/>
    <w:rsid w:val="006C21B1"/>
    <w:rsid w:val="006C2477"/>
    <w:rsid w:val="006C2504"/>
    <w:rsid w:val="006C2517"/>
    <w:rsid w:val="006C2933"/>
    <w:rsid w:val="006C3A0E"/>
    <w:rsid w:val="006C3C28"/>
    <w:rsid w:val="006C3DF8"/>
    <w:rsid w:val="006C4193"/>
    <w:rsid w:val="006C45B5"/>
    <w:rsid w:val="006C48D0"/>
    <w:rsid w:val="006C4B3E"/>
    <w:rsid w:val="006C619C"/>
    <w:rsid w:val="006C63D9"/>
    <w:rsid w:val="006C65CA"/>
    <w:rsid w:val="006C6BE6"/>
    <w:rsid w:val="006C7F78"/>
    <w:rsid w:val="006D018B"/>
    <w:rsid w:val="006D032F"/>
    <w:rsid w:val="006D0498"/>
    <w:rsid w:val="006D196D"/>
    <w:rsid w:val="006D1E33"/>
    <w:rsid w:val="006D203D"/>
    <w:rsid w:val="006D204F"/>
    <w:rsid w:val="006D230B"/>
    <w:rsid w:val="006D2903"/>
    <w:rsid w:val="006D2E1B"/>
    <w:rsid w:val="006D33C4"/>
    <w:rsid w:val="006D3831"/>
    <w:rsid w:val="006D391E"/>
    <w:rsid w:val="006D4698"/>
    <w:rsid w:val="006D500E"/>
    <w:rsid w:val="006D5466"/>
    <w:rsid w:val="006D59D7"/>
    <w:rsid w:val="006D5FE6"/>
    <w:rsid w:val="006D615C"/>
    <w:rsid w:val="006D618A"/>
    <w:rsid w:val="006D63A0"/>
    <w:rsid w:val="006D6839"/>
    <w:rsid w:val="006D6B9E"/>
    <w:rsid w:val="006D6DC0"/>
    <w:rsid w:val="006D71A6"/>
    <w:rsid w:val="006D7E31"/>
    <w:rsid w:val="006E02D8"/>
    <w:rsid w:val="006E1C90"/>
    <w:rsid w:val="006E2978"/>
    <w:rsid w:val="006E2B32"/>
    <w:rsid w:val="006E34FF"/>
    <w:rsid w:val="006E3926"/>
    <w:rsid w:val="006E5427"/>
    <w:rsid w:val="006E5F1A"/>
    <w:rsid w:val="006E5F7D"/>
    <w:rsid w:val="006E6357"/>
    <w:rsid w:val="006E6E30"/>
    <w:rsid w:val="006E7B4A"/>
    <w:rsid w:val="006E7CC6"/>
    <w:rsid w:val="006E7F96"/>
    <w:rsid w:val="006F0708"/>
    <w:rsid w:val="006F0B43"/>
    <w:rsid w:val="006F0E25"/>
    <w:rsid w:val="006F0E80"/>
    <w:rsid w:val="006F0F87"/>
    <w:rsid w:val="006F13EB"/>
    <w:rsid w:val="006F1523"/>
    <w:rsid w:val="006F1CDE"/>
    <w:rsid w:val="006F1D96"/>
    <w:rsid w:val="006F2529"/>
    <w:rsid w:val="006F2879"/>
    <w:rsid w:val="006F3848"/>
    <w:rsid w:val="006F461E"/>
    <w:rsid w:val="006F47ED"/>
    <w:rsid w:val="006F544E"/>
    <w:rsid w:val="006F5997"/>
    <w:rsid w:val="006F5E00"/>
    <w:rsid w:val="006F600A"/>
    <w:rsid w:val="006F6989"/>
    <w:rsid w:val="006F6D9E"/>
    <w:rsid w:val="006F7B21"/>
    <w:rsid w:val="00700787"/>
    <w:rsid w:val="00701296"/>
    <w:rsid w:val="007020CB"/>
    <w:rsid w:val="00702676"/>
    <w:rsid w:val="007026DD"/>
    <w:rsid w:val="00702964"/>
    <w:rsid w:val="00702E88"/>
    <w:rsid w:val="00704A86"/>
    <w:rsid w:val="00705607"/>
    <w:rsid w:val="007059CF"/>
    <w:rsid w:val="00705CC6"/>
    <w:rsid w:val="00706104"/>
    <w:rsid w:val="00706F32"/>
    <w:rsid w:val="00707392"/>
    <w:rsid w:val="0070742D"/>
    <w:rsid w:val="00707AA1"/>
    <w:rsid w:val="007100D8"/>
    <w:rsid w:val="007104C1"/>
    <w:rsid w:val="007105AF"/>
    <w:rsid w:val="00710EC0"/>
    <w:rsid w:val="007111D3"/>
    <w:rsid w:val="007113BE"/>
    <w:rsid w:val="00711857"/>
    <w:rsid w:val="007118A9"/>
    <w:rsid w:val="00711983"/>
    <w:rsid w:val="00711986"/>
    <w:rsid w:val="00711BEF"/>
    <w:rsid w:val="007124B9"/>
    <w:rsid w:val="007127B3"/>
    <w:rsid w:val="00712DC1"/>
    <w:rsid w:val="00714E4C"/>
    <w:rsid w:val="00715C70"/>
    <w:rsid w:val="00715F58"/>
    <w:rsid w:val="00716176"/>
    <w:rsid w:val="007161C4"/>
    <w:rsid w:val="007161C8"/>
    <w:rsid w:val="007167DD"/>
    <w:rsid w:val="00716C81"/>
    <w:rsid w:val="00716ED0"/>
    <w:rsid w:val="00717BB8"/>
    <w:rsid w:val="007201AE"/>
    <w:rsid w:val="00720551"/>
    <w:rsid w:val="00720D4E"/>
    <w:rsid w:val="00720DC4"/>
    <w:rsid w:val="00720F2B"/>
    <w:rsid w:val="0072119A"/>
    <w:rsid w:val="00721A2C"/>
    <w:rsid w:val="00722F6D"/>
    <w:rsid w:val="00723234"/>
    <w:rsid w:val="00723EA0"/>
    <w:rsid w:val="00725167"/>
    <w:rsid w:val="00725510"/>
    <w:rsid w:val="007255C4"/>
    <w:rsid w:val="0072593C"/>
    <w:rsid w:val="0072599A"/>
    <w:rsid w:val="00725B47"/>
    <w:rsid w:val="0072607E"/>
    <w:rsid w:val="007260C2"/>
    <w:rsid w:val="00727115"/>
    <w:rsid w:val="00727233"/>
    <w:rsid w:val="00727474"/>
    <w:rsid w:val="00727CE1"/>
    <w:rsid w:val="007301F9"/>
    <w:rsid w:val="00730471"/>
    <w:rsid w:val="0073103A"/>
    <w:rsid w:val="00731475"/>
    <w:rsid w:val="007316B0"/>
    <w:rsid w:val="007321FE"/>
    <w:rsid w:val="00732819"/>
    <w:rsid w:val="007331CA"/>
    <w:rsid w:val="007332B9"/>
    <w:rsid w:val="00733714"/>
    <w:rsid w:val="0073384E"/>
    <w:rsid w:val="00734000"/>
    <w:rsid w:val="007342E0"/>
    <w:rsid w:val="0073431B"/>
    <w:rsid w:val="00734421"/>
    <w:rsid w:val="00735524"/>
    <w:rsid w:val="00735659"/>
    <w:rsid w:val="0073566F"/>
    <w:rsid w:val="007359CD"/>
    <w:rsid w:val="00735BF4"/>
    <w:rsid w:val="00735FA7"/>
    <w:rsid w:val="00736083"/>
    <w:rsid w:val="0073628C"/>
    <w:rsid w:val="0073688B"/>
    <w:rsid w:val="007371E1"/>
    <w:rsid w:val="0073721A"/>
    <w:rsid w:val="00737B55"/>
    <w:rsid w:val="00737FE4"/>
    <w:rsid w:val="007402DC"/>
    <w:rsid w:val="00740531"/>
    <w:rsid w:val="00740A91"/>
    <w:rsid w:val="00743BF9"/>
    <w:rsid w:val="00743E2A"/>
    <w:rsid w:val="007440C1"/>
    <w:rsid w:val="00744363"/>
    <w:rsid w:val="007448FC"/>
    <w:rsid w:val="00744F3E"/>
    <w:rsid w:val="00745912"/>
    <w:rsid w:val="0074591A"/>
    <w:rsid w:val="00745C71"/>
    <w:rsid w:val="0074633A"/>
    <w:rsid w:val="0074695D"/>
    <w:rsid w:val="00746AC0"/>
    <w:rsid w:val="00746BA1"/>
    <w:rsid w:val="0074725A"/>
    <w:rsid w:val="007477B9"/>
    <w:rsid w:val="00747C2B"/>
    <w:rsid w:val="00750805"/>
    <w:rsid w:val="00750A8A"/>
    <w:rsid w:val="0075130D"/>
    <w:rsid w:val="007513B9"/>
    <w:rsid w:val="00751D0A"/>
    <w:rsid w:val="007523D1"/>
    <w:rsid w:val="00752B40"/>
    <w:rsid w:val="00753903"/>
    <w:rsid w:val="00753B68"/>
    <w:rsid w:val="00754B0C"/>
    <w:rsid w:val="00754E91"/>
    <w:rsid w:val="00754EAB"/>
    <w:rsid w:val="00755C36"/>
    <w:rsid w:val="0075694A"/>
    <w:rsid w:val="00757041"/>
    <w:rsid w:val="007577F9"/>
    <w:rsid w:val="00757A58"/>
    <w:rsid w:val="0076019B"/>
    <w:rsid w:val="007601C3"/>
    <w:rsid w:val="007605B4"/>
    <w:rsid w:val="00760971"/>
    <w:rsid w:val="00760E62"/>
    <w:rsid w:val="00761176"/>
    <w:rsid w:val="00761B29"/>
    <w:rsid w:val="00761D04"/>
    <w:rsid w:val="00761F6B"/>
    <w:rsid w:val="00762674"/>
    <w:rsid w:val="00762C1A"/>
    <w:rsid w:val="007633B0"/>
    <w:rsid w:val="00763501"/>
    <w:rsid w:val="00763635"/>
    <w:rsid w:val="0076379F"/>
    <w:rsid w:val="0076486A"/>
    <w:rsid w:val="0076487B"/>
    <w:rsid w:val="00764AAB"/>
    <w:rsid w:val="00764E44"/>
    <w:rsid w:val="00764ED4"/>
    <w:rsid w:val="00765182"/>
    <w:rsid w:val="007651D7"/>
    <w:rsid w:val="0076588E"/>
    <w:rsid w:val="007658F4"/>
    <w:rsid w:val="00765D2C"/>
    <w:rsid w:val="00766BCE"/>
    <w:rsid w:val="00766FF0"/>
    <w:rsid w:val="00767081"/>
    <w:rsid w:val="0077014F"/>
    <w:rsid w:val="0077078E"/>
    <w:rsid w:val="00770CA1"/>
    <w:rsid w:val="00771641"/>
    <w:rsid w:val="007716A5"/>
    <w:rsid w:val="00771A65"/>
    <w:rsid w:val="0077262A"/>
    <w:rsid w:val="00772DEB"/>
    <w:rsid w:val="0077324B"/>
    <w:rsid w:val="00773589"/>
    <w:rsid w:val="007737F0"/>
    <w:rsid w:val="0077389C"/>
    <w:rsid w:val="00774029"/>
    <w:rsid w:val="00774273"/>
    <w:rsid w:val="0077430C"/>
    <w:rsid w:val="00774968"/>
    <w:rsid w:val="00774C37"/>
    <w:rsid w:val="00774F22"/>
    <w:rsid w:val="0077505D"/>
    <w:rsid w:val="00775618"/>
    <w:rsid w:val="00775AD2"/>
    <w:rsid w:val="00776453"/>
    <w:rsid w:val="0077655D"/>
    <w:rsid w:val="00776664"/>
    <w:rsid w:val="00776CF1"/>
    <w:rsid w:val="00776D97"/>
    <w:rsid w:val="00776F97"/>
    <w:rsid w:val="00777196"/>
    <w:rsid w:val="0077721C"/>
    <w:rsid w:val="0077729B"/>
    <w:rsid w:val="00780198"/>
    <w:rsid w:val="00780A1B"/>
    <w:rsid w:val="00780C0B"/>
    <w:rsid w:val="007818FB"/>
    <w:rsid w:val="00781E39"/>
    <w:rsid w:val="007822A1"/>
    <w:rsid w:val="007829D9"/>
    <w:rsid w:val="00782A53"/>
    <w:rsid w:val="00783BB0"/>
    <w:rsid w:val="00783DF4"/>
    <w:rsid w:val="0078426C"/>
    <w:rsid w:val="0078453E"/>
    <w:rsid w:val="00784746"/>
    <w:rsid w:val="00784B5A"/>
    <w:rsid w:val="00785086"/>
    <w:rsid w:val="007853D5"/>
    <w:rsid w:val="007853F7"/>
    <w:rsid w:val="00785891"/>
    <w:rsid w:val="00785DAE"/>
    <w:rsid w:val="0078619C"/>
    <w:rsid w:val="00786912"/>
    <w:rsid w:val="00786F1E"/>
    <w:rsid w:val="007870B3"/>
    <w:rsid w:val="00787339"/>
    <w:rsid w:val="0078751D"/>
    <w:rsid w:val="007875FC"/>
    <w:rsid w:val="0078798B"/>
    <w:rsid w:val="007909AF"/>
    <w:rsid w:val="00790A9A"/>
    <w:rsid w:val="00790DA8"/>
    <w:rsid w:val="0079175C"/>
    <w:rsid w:val="00791E15"/>
    <w:rsid w:val="00791F92"/>
    <w:rsid w:val="007923EF"/>
    <w:rsid w:val="0079262B"/>
    <w:rsid w:val="0079293D"/>
    <w:rsid w:val="00792C72"/>
    <w:rsid w:val="00792CF5"/>
    <w:rsid w:val="0079320E"/>
    <w:rsid w:val="00793BAD"/>
    <w:rsid w:val="00793DD0"/>
    <w:rsid w:val="00793E4C"/>
    <w:rsid w:val="00794142"/>
    <w:rsid w:val="007947D7"/>
    <w:rsid w:val="00794E2A"/>
    <w:rsid w:val="0079563B"/>
    <w:rsid w:val="00795883"/>
    <w:rsid w:val="007960D2"/>
    <w:rsid w:val="0079613B"/>
    <w:rsid w:val="00796AE5"/>
    <w:rsid w:val="00797572"/>
    <w:rsid w:val="007A029D"/>
    <w:rsid w:val="007A0501"/>
    <w:rsid w:val="007A0959"/>
    <w:rsid w:val="007A1625"/>
    <w:rsid w:val="007A16C0"/>
    <w:rsid w:val="007A171A"/>
    <w:rsid w:val="007A1A35"/>
    <w:rsid w:val="007A1A7A"/>
    <w:rsid w:val="007A1DAE"/>
    <w:rsid w:val="007A2734"/>
    <w:rsid w:val="007A2735"/>
    <w:rsid w:val="007A28AE"/>
    <w:rsid w:val="007A307B"/>
    <w:rsid w:val="007A365B"/>
    <w:rsid w:val="007A3F36"/>
    <w:rsid w:val="007A417E"/>
    <w:rsid w:val="007A5045"/>
    <w:rsid w:val="007A548E"/>
    <w:rsid w:val="007A5499"/>
    <w:rsid w:val="007A5730"/>
    <w:rsid w:val="007A5951"/>
    <w:rsid w:val="007A628B"/>
    <w:rsid w:val="007A6A25"/>
    <w:rsid w:val="007A6D27"/>
    <w:rsid w:val="007A7190"/>
    <w:rsid w:val="007A71A8"/>
    <w:rsid w:val="007A71DC"/>
    <w:rsid w:val="007A78E6"/>
    <w:rsid w:val="007A7D55"/>
    <w:rsid w:val="007B0504"/>
    <w:rsid w:val="007B0916"/>
    <w:rsid w:val="007B1A47"/>
    <w:rsid w:val="007B1A90"/>
    <w:rsid w:val="007B2753"/>
    <w:rsid w:val="007B2967"/>
    <w:rsid w:val="007B3063"/>
    <w:rsid w:val="007B3560"/>
    <w:rsid w:val="007B3BDC"/>
    <w:rsid w:val="007B42DD"/>
    <w:rsid w:val="007B43C5"/>
    <w:rsid w:val="007B4797"/>
    <w:rsid w:val="007B488B"/>
    <w:rsid w:val="007B4FE4"/>
    <w:rsid w:val="007B50DD"/>
    <w:rsid w:val="007B53AD"/>
    <w:rsid w:val="007B561D"/>
    <w:rsid w:val="007B5733"/>
    <w:rsid w:val="007B5C33"/>
    <w:rsid w:val="007B5CA0"/>
    <w:rsid w:val="007B5F5D"/>
    <w:rsid w:val="007B6234"/>
    <w:rsid w:val="007B67AE"/>
    <w:rsid w:val="007C04CD"/>
    <w:rsid w:val="007C06FC"/>
    <w:rsid w:val="007C09AC"/>
    <w:rsid w:val="007C0BAC"/>
    <w:rsid w:val="007C0D45"/>
    <w:rsid w:val="007C1490"/>
    <w:rsid w:val="007C1729"/>
    <w:rsid w:val="007C2150"/>
    <w:rsid w:val="007C2D6F"/>
    <w:rsid w:val="007C3283"/>
    <w:rsid w:val="007C3BEB"/>
    <w:rsid w:val="007C3D3E"/>
    <w:rsid w:val="007C4111"/>
    <w:rsid w:val="007C44D5"/>
    <w:rsid w:val="007C4710"/>
    <w:rsid w:val="007C58B0"/>
    <w:rsid w:val="007C5B6D"/>
    <w:rsid w:val="007C5CA2"/>
    <w:rsid w:val="007C602E"/>
    <w:rsid w:val="007C631F"/>
    <w:rsid w:val="007C64BE"/>
    <w:rsid w:val="007C70EC"/>
    <w:rsid w:val="007C7576"/>
    <w:rsid w:val="007C7E13"/>
    <w:rsid w:val="007D013E"/>
    <w:rsid w:val="007D0316"/>
    <w:rsid w:val="007D0BEF"/>
    <w:rsid w:val="007D0D5A"/>
    <w:rsid w:val="007D13CD"/>
    <w:rsid w:val="007D146B"/>
    <w:rsid w:val="007D21DA"/>
    <w:rsid w:val="007D2704"/>
    <w:rsid w:val="007D2F47"/>
    <w:rsid w:val="007D3A2A"/>
    <w:rsid w:val="007D3EA5"/>
    <w:rsid w:val="007D42B8"/>
    <w:rsid w:val="007D4DCB"/>
    <w:rsid w:val="007D5ABB"/>
    <w:rsid w:val="007D6032"/>
    <w:rsid w:val="007D6294"/>
    <w:rsid w:val="007D6434"/>
    <w:rsid w:val="007D73E3"/>
    <w:rsid w:val="007D7703"/>
    <w:rsid w:val="007D7A17"/>
    <w:rsid w:val="007D7DC4"/>
    <w:rsid w:val="007D7E16"/>
    <w:rsid w:val="007E0725"/>
    <w:rsid w:val="007E1C1F"/>
    <w:rsid w:val="007E1CD7"/>
    <w:rsid w:val="007E20DE"/>
    <w:rsid w:val="007E2339"/>
    <w:rsid w:val="007E2494"/>
    <w:rsid w:val="007E2B0A"/>
    <w:rsid w:val="007E2D0B"/>
    <w:rsid w:val="007E2D7D"/>
    <w:rsid w:val="007E2F81"/>
    <w:rsid w:val="007E3442"/>
    <w:rsid w:val="007E357B"/>
    <w:rsid w:val="007E3696"/>
    <w:rsid w:val="007E3945"/>
    <w:rsid w:val="007E3AC1"/>
    <w:rsid w:val="007E3DE3"/>
    <w:rsid w:val="007E3F52"/>
    <w:rsid w:val="007E40C5"/>
    <w:rsid w:val="007E4382"/>
    <w:rsid w:val="007E4935"/>
    <w:rsid w:val="007E4EE9"/>
    <w:rsid w:val="007E5A1C"/>
    <w:rsid w:val="007E746B"/>
    <w:rsid w:val="007E787E"/>
    <w:rsid w:val="007F0D13"/>
    <w:rsid w:val="007F0DB2"/>
    <w:rsid w:val="007F15E5"/>
    <w:rsid w:val="007F1C7E"/>
    <w:rsid w:val="007F22DB"/>
    <w:rsid w:val="007F29FA"/>
    <w:rsid w:val="007F2E73"/>
    <w:rsid w:val="007F3112"/>
    <w:rsid w:val="007F324D"/>
    <w:rsid w:val="007F4009"/>
    <w:rsid w:val="007F44CD"/>
    <w:rsid w:val="007F4577"/>
    <w:rsid w:val="007F49A7"/>
    <w:rsid w:val="007F49F3"/>
    <w:rsid w:val="007F4A28"/>
    <w:rsid w:val="007F4C63"/>
    <w:rsid w:val="007F5590"/>
    <w:rsid w:val="007F6369"/>
    <w:rsid w:val="007F6E41"/>
    <w:rsid w:val="007F7114"/>
    <w:rsid w:val="007F72DD"/>
    <w:rsid w:val="007F7517"/>
    <w:rsid w:val="00800CD5"/>
    <w:rsid w:val="00801208"/>
    <w:rsid w:val="00801342"/>
    <w:rsid w:val="008013A1"/>
    <w:rsid w:val="008015FF"/>
    <w:rsid w:val="00801F05"/>
    <w:rsid w:val="00802052"/>
    <w:rsid w:val="00802B51"/>
    <w:rsid w:val="00802CBB"/>
    <w:rsid w:val="00802F87"/>
    <w:rsid w:val="008031CD"/>
    <w:rsid w:val="008031DC"/>
    <w:rsid w:val="008037FC"/>
    <w:rsid w:val="008039D7"/>
    <w:rsid w:val="00803CD7"/>
    <w:rsid w:val="0080461F"/>
    <w:rsid w:val="0080465F"/>
    <w:rsid w:val="0080568F"/>
    <w:rsid w:val="00805725"/>
    <w:rsid w:val="00805861"/>
    <w:rsid w:val="00805A42"/>
    <w:rsid w:val="00805C9C"/>
    <w:rsid w:val="00806D52"/>
    <w:rsid w:val="00806F49"/>
    <w:rsid w:val="0080708C"/>
    <w:rsid w:val="008073B4"/>
    <w:rsid w:val="00807497"/>
    <w:rsid w:val="00810334"/>
    <w:rsid w:val="008105A5"/>
    <w:rsid w:val="00810854"/>
    <w:rsid w:val="00810B24"/>
    <w:rsid w:val="008110F5"/>
    <w:rsid w:val="008115E9"/>
    <w:rsid w:val="00811886"/>
    <w:rsid w:val="00811E80"/>
    <w:rsid w:val="008121F2"/>
    <w:rsid w:val="00812A81"/>
    <w:rsid w:val="0081310F"/>
    <w:rsid w:val="00813EF1"/>
    <w:rsid w:val="00814214"/>
    <w:rsid w:val="008152CC"/>
    <w:rsid w:val="008153A9"/>
    <w:rsid w:val="00815647"/>
    <w:rsid w:val="008168FD"/>
    <w:rsid w:val="00817729"/>
    <w:rsid w:val="00817D81"/>
    <w:rsid w:val="00820B21"/>
    <w:rsid w:val="00821002"/>
    <w:rsid w:val="0082162A"/>
    <w:rsid w:val="008218BE"/>
    <w:rsid w:val="008227FB"/>
    <w:rsid w:val="00822FA2"/>
    <w:rsid w:val="00823528"/>
    <w:rsid w:val="00823A66"/>
    <w:rsid w:val="00823F61"/>
    <w:rsid w:val="00825188"/>
    <w:rsid w:val="00825EFA"/>
    <w:rsid w:val="0082620C"/>
    <w:rsid w:val="00826B42"/>
    <w:rsid w:val="00826C71"/>
    <w:rsid w:val="0082717C"/>
    <w:rsid w:val="008275A1"/>
    <w:rsid w:val="008276D0"/>
    <w:rsid w:val="00827806"/>
    <w:rsid w:val="008313CB"/>
    <w:rsid w:val="008315D7"/>
    <w:rsid w:val="008318CE"/>
    <w:rsid w:val="00832546"/>
    <w:rsid w:val="00833892"/>
    <w:rsid w:val="0083403A"/>
    <w:rsid w:val="00835196"/>
    <w:rsid w:val="00835BF7"/>
    <w:rsid w:val="008360F4"/>
    <w:rsid w:val="008364E3"/>
    <w:rsid w:val="00836C84"/>
    <w:rsid w:val="00836DF0"/>
    <w:rsid w:val="00836ECD"/>
    <w:rsid w:val="00837385"/>
    <w:rsid w:val="00837D99"/>
    <w:rsid w:val="00837EAA"/>
    <w:rsid w:val="008401F2"/>
    <w:rsid w:val="008403D9"/>
    <w:rsid w:val="00840B08"/>
    <w:rsid w:val="00840D6C"/>
    <w:rsid w:val="00841467"/>
    <w:rsid w:val="008417CD"/>
    <w:rsid w:val="008421E7"/>
    <w:rsid w:val="0084263E"/>
    <w:rsid w:val="00842EF5"/>
    <w:rsid w:val="00842F79"/>
    <w:rsid w:val="00842FE1"/>
    <w:rsid w:val="00843BBF"/>
    <w:rsid w:val="008440EA"/>
    <w:rsid w:val="00844187"/>
    <w:rsid w:val="008449DC"/>
    <w:rsid w:val="00844CDB"/>
    <w:rsid w:val="00845181"/>
    <w:rsid w:val="00845C6E"/>
    <w:rsid w:val="00846E2B"/>
    <w:rsid w:val="00846EF4"/>
    <w:rsid w:val="0084786A"/>
    <w:rsid w:val="00847900"/>
    <w:rsid w:val="0084799D"/>
    <w:rsid w:val="008479CB"/>
    <w:rsid w:val="00847F42"/>
    <w:rsid w:val="008502D4"/>
    <w:rsid w:val="00850335"/>
    <w:rsid w:val="00850491"/>
    <w:rsid w:val="0085056F"/>
    <w:rsid w:val="00850718"/>
    <w:rsid w:val="0085089D"/>
    <w:rsid w:val="00850CA9"/>
    <w:rsid w:val="00850E08"/>
    <w:rsid w:val="00851365"/>
    <w:rsid w:val="00851421"/>
    <w:rsid w:val="00851550"/>
    <w:rsid w:val="0085178F"/>
    <w:rsid w:val="00851DA3"/>
    <w:rsid w:val="00852C27"/>
    <w:rsid w:val="008533F9"/>
    <w:rsid w:val="0085340E"/>
    <w:rsid w:val="00853676"/>
    <w:rsid w:val="00853865"/>
    <w:rsid w:val="00854F9B"/>
    <w:rsid w:val="00855754"/>
    <w:rsid w:val="008574CB"/>
    <w:rsid w:val="008579C4"/>
    <w:rsid w:val="00857C99"/>
    <w:rsid w:val="00857D1F"/>
    <w:rsid w:val="00861705"/>
    <w:rsid w:val="0086187D"/>
    <w:rsid w:val="00861A79"/>
    <w:rsid w:val="008628A4"/>
    <w:rsid w:val="00862D6F"/>
    <w:rsid w:val="008633A3"/>
    <w:rsid w:val="0086385C"/>
    <w:rsid w:val="00863C40"/>
    <w:rsid w:val="00864862"/>
    <w:rsid w:val="008649B8"/>
    <w:rsid w:val="00864AD4"/>
    <w:rsid w:val="00865586"/>
    <w:rsid w:val="00866284"/>
    <w:rsid w:val="0086635D"/>
    <w:rsid w:val="0086656C"/>
    <w:rsid w:val="0086691C"/>
    <w:rsid w:val="00866D18"/>
    <w:rsid w:val="0086715F"/>
    <w:rsid w:val="00867277"/>
    <w:rsid w:val="00870051"/>
    <w:rsid w:val="008708E1"/>
    <w:rsid w:val="008709A4"/>
    <w:rsid w:val="00870C24"/>
    <w:rsid w:val="00870D4D"/>
    <w:rsid w:val="00870E74"/>
    <w:rsid w:val="00870F37"/>
    <w:rsid w:val="00871E58"/>
    <w:rsid w:val="00872246"/>
    <w:rsid w:val="0087226F"/>
    <w:rsid w:val="0087253A"/>
    <w:rsid w:val="00872BEE"/>
    <w:rsid w:val="00873230"/>
    <w:rsid w:val="00873444"/>
    <w:rsid w:val="0087456C"/>
    <w:rsid w:val="008748C5"/>
    <w:rsid w:val="00874AA6"/>
    <w:rsid w:val="00874BEF"/>
    <w:rsid w:val="00874C7F"/>
    <w:rsid w:val="00875F5D"/>
    <w:rsid w:val="00876192"/>
    <w:rsid w:val="00876263"/>
    <w:rsid w:val="00876689"/>
    <w:rsid w:val="0087680E"/>
    <w:rsid w:val="00876CCB"/>
    <w:rsid w:val="00877D88"/>
    <w:rsid w:val="00880181"/>
    <w:rsid w:val="00880CAA"/>
    <w:rsid w:val="008812E3"/>
    <w:rsid w:val="00881322"/>
    <w:rsid w:val="008814E7"/>
    <w:rsid w:val="00881CE9"/>
    <w:rsid w:val="00882638"/>
    <w:rsid w:val="00883503"/>
    <w:rsid w:val="00884228"/>
    <w:rsid w:val="0088510B"/>
    <w:rsid w:val="00885397"/>
    <w:rsid w:val="008871FD"/>
    <w:rsid w:val="008901E8"/>
    <w:rsid w:val="008912BA"/>
    <w:rsid w:val="00891809"/>
    <w:rsid w:val="00891987"/>
    <w:rsid w:val="00891A10"/>
    <w:rsid w:val="00891DA9"/>
    <w:rsid w:val="008921DF"/>
    <w:rsid w:val="008924AA"/>
    <w:rsid w:val="008925AE"/>
    <w:rsid w:val="00893746"/>
    <w:rsid w:val="00893A1C"/>
    <w:rsid w:val="0089408B"/>
    <w:rsid w:val="008942CC"/>
    <w:rsid w:val="008950FD"/>
    <w:rsid w:val="0089538E"/>
    <w:rsid w:val="00895518"/>
    <w:rsid w:val="008958E7"/>
    <w:rsid w:val="008963F3"/>
    <w:rsid w:val="00896DED"/>
    <w:rsid w:val="0089758C"/>
    <w:rsid w:val="008978A0"/>
    <w:rsid w:val="008A0445"/>
    <w:rsid w:val="008A05B0"/>
    <w:rsid w:val="008A06CE"/>
    <w:rsid w:val="008A0711"/>
    <w:rsid w:val="008A1483"/>
    <w:rsid w:val="008A14B0"/>
    <w:rsid w:val="008A1EC0"/>
    <w:rsid w:val="008A208F"/>
    <w:rsid w:val="008A313C"/>
    <w:rsid w:val="008A3283"/>
    <w:rsid w:val="008A360D"/>
    <w:rsid w:val="008A3DED"/>
    <w:rsid w:val="008A3EF1"/>
    <w:rsid w:val="008A436B"/>
    <w:rsid w:val="008A4535"/>
    <w:rsid w:val="008A52F8"/>
    <w:rsid w:val="008A55FD"/>
    <w:rsid w:val="008A5AB7"/>
    <w:rsid w:val="008A5B95"/>
    <w:rsid w:val="008A6388"/>
    <w:rsid w:val="008A6843"/>
    <w:rsid w:val="008A687F"/>
    <w:rsid w:val="008B00AC"/>
    <w:rsid w:val="008B0A42"/>
    <w:rsid w:val="008B0CDC"/>
    <w:rsid w:val="008B2010"/>
    <w:rsid w:val="008B20EC"/>
    <w:rsid w:val="008B3197"/>
    <w:rsid w:val="008B31EF"/>
    <w:rsid w:val="008B39B0"/>
    <w:rsid w:val="008B3B88"/>
    <w:rsid w:val="008B4232"/>
    <w:rsid w:val="008B43E0"/>
    <w:rsid w:val="008B5E33"/>
    <w:rsid w:val="008B7275"/>
    <w:rsid w:val="008B77A3"/>
    <w:rsid w:val="008B7A02"/>
    <w:rsid w:val="008C0216"/>
    <w:rsid w:val="008C064D"/>
    <w:rsid w:val="008C0CBB"/>
    <w:rsid w:val="008C0F16"/>
    <w:rsid w:val="008C0F60"/>
    <w:rsid w:val="008C1448"/>
    <w:rsid w:val="008C1CAA"/>
    <w:rsid w:val="008C1D6E"/>
    <w:rsid w:val="008C2018"/>
    <w:rsid w:val="008C2102"/>
    <w:rsid w:val="008C3228"/>
    <w:rsid w:val="008C3987"/>
    <w:rsid w:val="008C3A3C"/>
    <w:rsid w:val="008C3EF4"/>
    <w:rsid w:val="008C42B9"/>
    <w:rsid w:val="008C45EA"/>
    <w:rsid w:val="008C4893"/>
    <w:rsid w:val="008C5DE2"/>
    <w:rsid w:val="008C6130"/>
    <w:rsid w:val="008C6360"/>
    <w:rsid w:val="008C6F60"/>
    <w:rsid w:val="008C74FB"/>
    <w:rsid w:val="008C7B32"/>
    <w:rsid w:val="008C7E86"/>
    <w:rsid w:val="008D03B6"/>
    <w:rsid w:val="008D0717"/>
    <w:rsid w:val="008D07E6"/>
    <w:rsid w:val="008D0C83"/>
    <w:rsid w:val="008D1082"/>
    <w:rsid w:val="008D11CD"/>
    <w:rsid w:val="008D1693"/>
    <w:rsid w:val="008D182F"/>
    <w:rsid w:val="008D229B"/>
    <w:rsid w:val="008D23FA"/>
    <w:rsid w:val="008D2E88"/>
    <w:rsid w:val="008D30A7"/>
    <w:rsid w:val="008D3282"/>
    <w:rsid w:val="008D373D"/>
    <w:rsid w:val="008D3A72"/>
    <w:rsid w:val="008D4304"/>
    <w:rsid w:val="008D4619"/>
    <w:rsid w:val="008D46DB"/>
    <w:rsid w:val="008D4E7C"/>
    <w:rsid w:val="008D55E3"/>
    <w:rsid w:val="008D5EDE"/>
    <w:rsid w:val="008D62FB"/>
    <w:rsid w:val="008D6A2B"/>
    <w:rsid w:val="008D6CDB"/>
    <w:rsid w:val="008D6FB5"/>
    <w:rsid w:val="008D7640"/>
    <w:rsid w:val="008D770E"/>
    <w:rsid w:val="008E06F8"/>
    <w:rsid w:val="008E0C39"/>
    <w:rsid w:val="008E13A9"/>
    <w:rsid w:val="008E15B4"/>
    <w:rsid w:val="008E2254"/>
    <w:rsid w:val="008E2606"/>
    <w:rsid w:val="008E29C0"/>
    <w:rsid w:val="008E2C01"/>
    <w:rsid w:val="008E308B"/>
    <w:rsid w:val="008E3560"/>
    <w:rsid w:val="008E35C2"/>
    <w:rsid w:val="008E4948"/>
    <w:rsid w:val="008E4BFF"/>
    <w:rsid w:val="008E4C4C"/>
    <w:rsid w:val="008E520B"/>
    <w:rsid w:val="008E5750"/>
    <w:rsid w:val="008E5A01"/>
    <w:rsid w:val="008E5D8B"/>
    <w:rsid w:val="008E5F72"/>
    <w:rsid w:val="008E603C"/>
    <w:rsid w:val="008E6F1A"/>
    <w:rsid w:val="008E73AD"/>
    <w:rsid w:val="008E7FEF"/>
    <w:rsid w:val="008F0FEE"/>
    <w:rsid w:val="008F10D8"/>
    <w:rsid w:val="008F1605"/>
    <w:rsid w:val="008F176D"/>
    <w:rsid w:val="008F1927"/>
    <w:rsid w:val="008F1E4E"/>
    <w:rsid w:val="008F1FEF"/>
    <w:rsid w:val="008F2327"/>
    <w:rsid w:val="008F3A0F"/>
    <w:rsid w:val="008F47D9"/>
    <w:rsid w:val="008F4A48"/>
    <w:rsid w:val="008F4D87"/>
    <w:rsid w:val="008F4FC0"/>
    <w:rsid w:val="008F520E"/>
    <w:rsid w:val="008F552D"/>
    <w:rsid w:val="008F5AF5"/>
    <w:rsid w:val="008F5F9A"/>
    <w:rsid w:val="008F724A"/>
    <w:rsid w:val="008F778A"/>
    <w:rsid w:val="00900B81"/>
    <w:rsid w:val="00900D97"/>
    <w:rsid w:val="0090108D"/>
    <w:rsid w:val="009010C0"/>
    <w:rsid w:val="0090117A"/>
    <w:rsid w:val="0090121D"/>
    <w:rsid w:val="0090139C"/>
    <w:rsid w:val="00901F6F"/>
    <w:rsid w:val="00902830"/>
    <w:rsid w:val="009029DA"/>
    <w:rsid w:val="009029F4"/>
    <w:rsid w:val="00902C9A"/>
    <w:rsid w:val="00903252"/>
    <w:rsid w:val="00903371"/>
    <w:rsid w:val="0090358D"/>
    <w:rsid w:val="00904966"/>
    <w:rsid w:val="00905201"/>
    <w:rsid w:val="00905381"/>
    <w:rsid w:val="009055BA"/>
    <w:rsid w:val="00905BCF"/>
    <w:rsid w:val="00906A0F"/>
    <w:rsid w:val="00906DA3"/>
    <w:rsid w:val="009071A0"/>
    <w:rsid w:val="00907D2C"/>
    <w:rsid w:val="00907E6B"/>
    <w:rsid w:val="00910E79"/>
    <w:rsid w:val="009110EB"/>
    <w:rsid w:val="009119AB"/>
    <w:rsid w:val="0091260D"/>
    <w:rsid w:val="009129B1"/>
    <w:rsid w:val="00912F7C"/>
    <w:rsid w:val="009139F1"/>
    <w:rsid w:val="009141EC"/>
    <w:rsid w:val="00914919"/>
    <w:rsid w:val="0091499A"/>
    <w:rsid w:val="00914B44"/>
    <w:rsid w:val="00914C99"/>
    <w:rsid w:val="00915159"/>
    <w:rsid w:val="0091583F"/>
    <w:rsid w:val="00915DD7"/>
    <w:rsid w:val="00915FCB"/>
    <w:rsid w:val="00916C9F"/>
    <w:rsid w:val="009204D0"/>
    <w:rsid w:val="009210A3"/>
    <w:rsid w:val="009214C5"/>
    <w:rsid w:val="00921748"/>
    <w:rsid w:val="00921785"/>
    <w:rsid w:val="009217EE"/>
    <w:rsid w:val="00921895"/>
    <w:rsid w:val="0092209D"/>
    <w:rsid w:val="00922238"/>
    <w:rsid w:val="00922496"/>
    <w:rsid w:val="00922755"/>
    <w:rsid w:val="009228C4"/>
    <w:rsid w:val="00922ECB"/>
    <w:rsid w:val="009241A2"/>
    <w:rsid w:val="0092435B"/>
    <w:rsid w:val="009243BF"/>
    <w:rsid w:val="0092456D"/>
    <w:rsid w:val="00924C49"/>
    <w:rsid w:val="00924F9F"/>
    <w:rsid w:val="0092504E"/>
    <w:rsid w:val="0092552C"/>
    <w:rsid w:val="00925765"/>
    <w:rsid w:val="009257E7"/>
    <w:rsid w:val="00925CB3"/>
    <w:rsid w:val="009264FB"/>
    <w:rsid w:val="009270F0"/>
    <w:rsid w:val="00927F51"/>
    <w:rsid w:val="00930031"/>
    <w:rsid w:val="009307AE"/>
    <w:rsid w:val="00930BF4"/>
    <w:rsid w:val="00930C3F"/>
    <w:rsid w:val="00931094"/>
    <w:rsid w:val="0093110B"/>
    <w:rsid w:val="009314EC"/>
    <w:rsid w:val="00932837"/>
    <w:rsid w:val="00932BC0"/>
    <w:rsid w:val="00932D0A"/>
    <w:rsid w:val="00933080"/>
    <w:rsid w:val="00933120"/>
    <w:rsid w:val="0093326C"/>
    <w:rsid w:val="00933E47"/>
    <w:rsid w:val="00933FE0"/>
    <w:rsid w:val="0093426C"/>
    <w:rsid w:val="009347E4"/>
    <w:rsid w:val="00935486"/>
    <w:rsid w:val="00936102"/>
    <w:rsid w:val="0093613E"/>
    <w:rsid w:val="0093677C"/>
    <w:rsid w:val="00936A31"/>
    <w:rsid w:val="00936DD1"/>
    <w:rsid w:val="00937617"/>
    <w:rsid w:val="009376D0"/>
    <w:rsid w:val="00937FB2"/>
    <w:rsid w:val="009400F8"/>
    <w:rsid w:val="0094083D"/>
    <w:rsid w:val="00940D7A"/>
    <w:rsid w:val="00940E53"/>
    <w:rsid w:val="00941017"/>
    <w:rsid w:val="009411EE"/>
    <w:rsid w:val="0094184C"/>
    <w:rsid w:val="0094197D"/>
    <w:rsid w:val="00941E08"/>
    <w:rsid w:val="00941E99"/>
    <w:rsid w:val="00942466"/>
    <w:rsid w:val="009430EE"/>
    <w:rsid w:val="009431D3"/>
    <w:rsid w:val="0094379E"/>
    <w:rsid w:val="00943B61"/>
    <w:rsid w:val="00943E26"/>
    <w:rsid w:val="00943EB8"/>
    <w:rsid w:val="00944DC8"/>
    <w:rsid w:val="009452DB"/>
    <w:rsid w:val="00945580"/>
    <w:rsid w:val="00945691"/>
    <w:rsid w:val="00945769"/>
    <w:rsid w:val="00945E4B"/>
    <w:rsid w:val="009463F1"/>
    <w:rsid w:val="00946613"/>
    <w:rsid w:val="00946829"/>
    <w:rsid w:val="0094683A"/>
    <w:rsid w:val="00946882"/>
    <w:rsid w:val="009469DF"/>
    <w:rsid w:val="00946D42"/>
    <w:rsid w:val="00946F37"/>
    <w:rsid w:val="00947EBA"/>
    <w:rsid w:val="009507C9"/>
    <w:rsid w:val="00950B6B"/>
    <w:rsid w:val="00950F75"/>
    <w:rsid w:val="00950F7F"/>
    <w:rsid w:val="009512EA"/>
    <w:rsid w:val="0095151F"/>
    <w:rsid w:val="0095172C"/>
    <w:rsid w:val="009519FA"/>
    <w:rsid w:val="00951BA7"/>
    <w:rsid w:val="0095203D"/>
    <w:rsid w:val="00952F13"/>
    <w:rsid w:val="00953195"/>
    <w:rsid w:val="009533A3"/>
    <w:rsid w:val="00953889"/>
    <w:rsid w:val="00953CF0"/>
    <w:rsid w:val="00953E32"/>
    <w:rsid w:val="00953EC6"/>
    <w:rsid w:val="00954467"/>
    <w:rsid w:val="009544C4"/>
    <w:rsid w:val="00954739"/>
    <w:rsid w:val="00954A3B"/>
    <w:rsid w:val="00954B0D"/>
    <w:rsid w:val="00954C35"/>
    <w:rsid w:val="00954D13"/>
    <w:rsid w:val="009550A6"/>
    <w:rsid w:val="009559A3"/>
    <w:rsid w:val="00955DFB"/>
    <w:rsid w:val="00956138"/>
    <w:rsid w:val="0095645F"/>
    <w:rsid w:val="009565A9"/>
    <w:rsid w:val="0095665E"/>
    <w:rsid w:val="00956A8C"/>
    <w:rsid w:val="00956A99"/>
    <w:rsid w:val="009578DC"/>
    <w:rsid w:val="0095798E"/>
    <w:rsid w:val="00957AFF"/>
    <w:rsid w:val="00957B88"/>
    <w:rsid w:val="00960089"/>
    <w:rsid w:val="00960197"/>
    <w:rsid w:val="009604FA"/>
    <w:rsid w:val="009607D2"/>
    <w:rsid w:val="00960A7C"/>
    <w:rsid w:val="00961470"/>
    <w:rsid w:val="00961BD2"/>
    <w:rsid w:val="00962276"/>
    <w:rsid w:val="00962316"/>
    <w:rsid w:val="0096244D"/>
    <w:rsid w:val="009626DA"/>
    <w:rsid w:val="009634E1"/>
    <w:rsid w:val="00963DA0"/>
    <w:rsid w:val="00963FE2"/>
    <w:rsid w:val="0096428C"/>
    <w:rsid w:val="009642CA"/>
    <w:rsid w:val="009649E1"/>
    <w:rsid w:val="00964B9B"/>
    <w:rsid w:val="00964C3D"/>
    <w:rsid w:val="00964C93"/>
    <w:rsid w:val="00964DBF"/>
    <w:rsid w:val="009650E7"/>
    <w:rsid w:val="00965E56"/>
    <w:rsid w:val="00965EEC"/>
    <w:rsid w:val="00966276"/>
    <w:rsid w:val="009667F4"/>
    <w:rsid w:val="00966809"/>
    <w:rsid w:val="009668D0"/>
    <w:rsid w:val="00966FFF"/>
    <w:rsid w:val="00967011"/>
    <w:rsid w:val="00967503"/>
    <w:rsid w:val="00967A33"/>
    <w:rsid w:val="00967E7C"/>
    <w:rsid w:val="009711D3"/>
    <w:rsid w:val="009726FB"/>
    <w:rsid w:val="0097288B"/>
    <w:rsid w:val="00972935"/>
    <w:rsid w:val="00972E10"/>
    <w:rsid w:val="00972F94"/>
    <w:rsid w:val="00973A9B"/>
    <w:rsid w:val="00973B65"/>
    <w:rsid w:val="009748CE"/>
    <w:rsid w:val="00974B60"/>
    <w:rsid w:val="00974D2D"/>
    <w:rsid w:val="00975256"/>
    <w:rsid w:val="009752A1"/>
    <w:rsid w:val="009756AE"/>
    <w:rsid w:val="009758D6"/>
    <w:rsid w:val="00975B2D"/>
    <w:rsid w:val="00975C9D"/>
    <w:rsid w:val="0097615C"/>
    <w:rsid w:val="0097616D"/>
    <w:rsid w:val="00976243"/>
    <w:rsid w:val="009765AF"/>
    <w:rsid w:val="00976798"/>
    <w:rsid w:val="009768C1"/>
    <w:rsid w:val="00976A03"/>
    <w:rsid w:val="00976D04"/>
    <w:rsid w:val="00976D8A"/>
    <w:rsid w:val="00976F74"/>
    <w:rsid w:val="009772A7"/>
    <w:rsid w:val="009772B9"/>
    <w:rsid w:val="00977570"/>
    <w:rsid w:val="009779D5"/>
    <w:rsid w:val="00977A62"/>
    <w:rsid w:val="009800A6"/>
    <w:rsid w:val="009808E6"/>
    <w:rsid w:val="009811F6"/>
    <w:rsid w:val="00981957"/>
    <w:rsid w:val="00981A96"/>
    <w:rsid w:val="0098256F"/>
    <w:rsid w:val="009828AF"/>
    <w:rsid w:val="00982978"/>
    <w:rsid w:val="00982C87"/>
    <w:rsid w:val="00982D2A"/>
    <w:rsid w:val="00982D99"/>
    <w:rsid w:val="009834A5"/>
    <w:rsid w:val="009837FB"/>
    <w:rsid w:val="00983864"/>
    <w:rsid w:val="00983C48"/>
    <w:rsid w:val="00984199"/>
    <w:rsid w:val="00985262"/>
    <w:rsid w:val="0098556E"/>
    <w:rsid w:val="0098562B"/>
    <w:rsid w:val="00986771"/>
    <w:rsid w:val="0098677C"/>
    <w:rsid w:val="00986E10"/>
    <w:rsid w:val="00986FCC"/>
    <w:rsid w:val="00986FE8"/>
    <w:rsid w:val="00987172"/>
    <w:rsid w:val="009874A9"/>
    <w:rsid w:val="009877B9"/>
    <w:rsid w:val="00987A0D"/>
    <w:rsid w:val="00987F1E"/>
    <w:rsid w:val="00990176"/>
    <w:rsid w:val="0099018B"/>
    <w:rsid w:val="00990611"/>
    <w:rsid w:val="00990B4C"/>
    <w:rsid w:val="00990C4C"/>
    <w:rsid w:val="00990E14"/>
    <w:rsid w:val="00992506"/>
    <w:rsid w:val="009930A9"/>
    <w:rsid w:val="0099374D"/>
    <w:rsid w:val="00993D1B"/>
    <w:rsid w:val="009946EE"/>
    <w:rsid w:val="00994C02"/>
    <w:rsid w:val="00994F9F"/>
    <w:rsid w:val="00995408"/>
    <w:rsid w:val="00995787"/>
    <w:rsid w:val="00996238"/>
    <w:rsid w:val="0099623F"/>
    <w:rsid w:val="009968F3"/>
    <w:rsid w:val="00996D41"/>
    <w:rsid w:val="009970E0"/>
    <w:rsid w:val="009977DC"/>
    <w:rsid w:val="009979BB"/>
    <w:rsid w:val="009A00F3"/>
    <w:rsid w:val="009A02F7"/>
    <w:rsid w:val="009A05E7"/>
    <w:rsid w:val="009A063C"/>
    <w:rsid w:val="009A07DF"/>
    <w:rsid w:val="009A0AAD"/>
    <w:rsid w:val="009A0CCC"/>
    <w:rsid w:val="009A10FB"/>
    <w:rsid w:val="009A1691"/>
    <w:rsid w:val="009A1BEA"/>
    <w:rsid w:val="009A2F86"/>
    <w:rsid w:val="009A3157"/>
    <w:rsid w:val="009A34B9"/>
    <w:rsid w:val="009A360C"/>
    <w:rsid w:val="009A384D"/>
    <w:rsid w:val="009A4BEA"/>
    <w:rsid w:val="009A4EE3"/>
    <w:rsid w:val="009A5075"/>
    <w:rsid w:val="009A7359"/>
    <w:rsid w:val="009A76FA"/>
    <w:rsid w:val="009A79D6"/>
    <w:rsid w:val="009B0FBE"/>
    <w:rsid w:val="009B120A"/>
    <w:rsid w:val="009B16C7"/>
    <w:rsid w:val="009B17F9"/>
    <w:rsid w:val="009B1E25"/>
    <w:rsid w:val="009B2004"/>
    <w:rsid w:val="009B2048"/>
    <w:rsid w:val="009B2349"/>
    <w:rsid w:val="009B26E7"/>
    <w:rsid w:val="009B2724"/>
    <w:rsid w:val="009B2838"/>
    <w:rsid w:val="009B2AC1"/>
    <w:rsid w:val="009B2DE1"/>
    <w:rsid w:val="009B2E79"/>
    <w:rsid w:val="009B3BFD"/>
    <w:rsid w:val="009B45A8"/>
    <w:rsid w:val="009B4835"/>
    <w:rsid w:val="009B4954"/>
    <w:rsid w:val="009B5488"/>
    <w:rsid w:val="009B576A"/>
    <w:rsid w:val="009B57A2"/>
    <w:rsid w:val="009B57BC"/>
    <w:rsid w:val="009B5F7F"/>
    <w:rsid w:val="009B5FB2"/>
    <w:rsid w:val="009B6484"/>
    <w:rsid w:val="009B6759"/>
    <w:rsid w:val="009B6AD2"/>
    <w:rsid w:val="009B6C45"/>
    <w:rsid w:val="009B716F"/>
    <w:rsid w:val="009C03C7"/>
    <w:rsid w:val="009C0464"/>
    <w:rsid w:val="009C09C9"/>
    <w:rsid w:val="009C0D02"/>
    <w:rsid w:val="009C1116"/>
    <w:rsid w:val="009C1525"/>
    <w:rsid w:val="009C1ADF"/>
    <w:rsid w:val="009C1F72"/>
    <w:rsid w:val="009C21A9"/>
    <w:rsid w:val="009C2BF4"/>
    <w:rsid w:val="009C2CF9"/>
    <w:rsid w:val="009C342A"/>
    <w:rsid w:val="009C3504"/>
    <w:rsid w:val="009C3901"/>
    <w:rsid w:val="009C3C9A"/>
    <w:rsid w:val="009C44A9"/>
    <w:rsid w:val="009C4877"/>
    <w:rsid w:val="009C4AD7"/>
    <w:rsid w:val="009C4F60"/>
    <w:rsid w:val="009C52CA"/>
    <w:rsid w:val="009C5F43"/>
    <w:rsid w:val="009C75B0"/>
    <w:rsid w:val="009D123B"/>
    <w:rsid w:val="009D14B1"/>
    <w:rsid w:val="009D14FE"/>
    <w:rsid w:val="009D1C11"/>
    <w:rsid w:val="009D1D96"/>
    <w:rsid w:val="009D2012"/>
    <w:rsid w:val="009D2038"/>
    <w:rsid w:val="009D2185"/>
    <w:rsid w:val="009D2332"/>
    <w:rsid w:val="009D34F7"/>
    <w:rsid w:val="009D3A61"/>
    <w:rsid w:val="009D410C"/>
    <w:rsid w:val="009D4756"/>
    <w:rsid w:val="009D4C31"/>
    <w:rsid w:val="009D50A1"/>
    <w:rsid w:val="009D51F5"/>
    <w:rsid w:val="009D55D4"/>
    <w:rsid w:val="009D6C1A"/>
    <w:rsid w:val="009D6C99"/>
    <w:rsid w:val="009D6EE0"/>
    <w:rsid w:val="009D7845"/>
    <w:rsid w:val="009E0021"/>
    <w:rsid w:val="009E0027"/>
    <w:rsid w:val="009E03D7"/>
    <w:rsid w:val="009E0ADD"/>
    <w:rsid w:val="009E13B7"/>
    <w:rsid w:val="009E1BED"/>
    <w:rsid w:val="009E1FCE"/>
    <w:rsid w:val="009E2533"/>
    <w:rsid w:val="009E27DC"/>
    <w:rsid w:val="009E296B"/>
    <w:rsid w:val="009E300F"/>
    <w:rsid w:val="009E3544"/>
    <w:rsid w:val="009E37ED"/>
    <w:rsid w:val="009E37F5"/>
    <w:rsid w:val="009E3B92"/>
    <w:rsid w:val="009E40C7"/>
    <w:rsid w:val="009E4224"/>
    <w:rsid w:val="009E4308"/>
    <w:rsid w:val="009E4740"/>
    <w:rsid w:val="009E4784"/>
    <w:rsid w:val="009E529F"/>
    <w:rsid w:val="009E61BE"/>
    <w:rsid w:val="009E61F8"/>
    <w:rsid w:val="009E66CF"/>
    <w:rsid w:val="009E6AA5"/>
    <w:rsid w:val="009E6B28"/>
    <w:rsid w:val="009E6F8C"/>
    <w:rsid w:val="009E73D1"/>
    <w:rsid w:val="009E772D"/>
    <w:rsid w:val="009F256F"/>
    <w:rsid w:val="009F2A92"/>
    <w:rsid w:val="009F2D8E"/>
    <w:rsid w:val="009F378E"/>
    <w:rsid w:val="009F3DF6"/>
    <w:rsid w:val="009F464F"/>
    <w:rsid w:val="009F51E0"/>
    <w:rsid w:val="009F54F4"/>
    <w:rsid w:val="009F5702"/>
    <w:rsid w:val="009F5EC7"/>
    <w:rsid w:val="009F601C"/>
    <w:rsid w:val="009F63C2"/>
    <w:rsid w:val="009F666B"/>
    <w:rsid w:val="009F6915"/>
    <w:rsid w:val="009F6FAB"/>
    <w:rsid w:val="009F74DA"/>
    <w:rsid w:val="009F77B4"/>
    <w:rsid w:val="009F7BE4"/>
    <w:rsid w:val="00A01192"/>
    <w:rsid w:val="00A01369"/>
    <w:rsid w:val="00A015D4"/>
    <w:rsid w:val="00A01FC1"/>
    <w:rsid w:val="00A034C3"/>
    <w:rsid w:val="00A03B92"/>
    <w:rsid w:val="00A04231"/>
    <w:rsid w:val="00A04946"/>
    <w:rsid w:val="00A04B7F"/>
    <w:rsid w:val="00A04BF7"/>
    <w:rsid w:val="00A052D6"/>
    <w:rsid w:val="00A0549D"/>
    <w:rsid w:val="00A055B8"/>
    <w:rsid w:val="00A0589D"/>
    <w:rsid w:val="00A05E8E"/>
    <w:rsid w:val="00A06473"/>
    <w:rsid w:val="00A06642"/>
    <w:rsid w:val="00A06B7D"/>
    <w:rsid w:val="00A101BA"/>
    <w:rsid w:val="00A10578"/>
    <w:rsid w:val="00A1103C"/>
    <w:rsid w:val="00A111C8"/>
    <w:rsid w:val="00A12111"/>
    <w:rsid w:val="00A127C7"/>
    <w:rsid w:val="00A129E9"/>
    <w:rsid w:val="00A1301B"/>
    <w:rsid w:val="00A13462"/>
    <w:rsid w:val="00A13774"/>
    <w:rsid w:val="00A141A8"/>
    <w:rsid w:val="00A141AE"/>
    <w:rsid w:val="00A14D41"/>
    <w:rsid w:val="00A156F1"/>
    <w:rsid w:val="00A15B4E"/>
    <w:rsid w:val="00A15FF8"/>
    <w:rsid w:val="00A16218"/>
    <w:rsid w:val="00A1622E"/>
    <w:rsid w:val="00A16A52"/>
    <w:rsid w:val="00A1798B"/>
    <w:rsid w:val="00A17A8C"/>
    <w:rsid w:val="00A17BA5"/>
    <w:rsid w:val="00A17C12"/>
    <w:rsid w:val="00A2040C"/>
    <w:rsid w:val="00A20514"/>
    <w:rsid w:val="00A209D8"/>
    <w:rsid w:val="00A20BF3"/>
    <w:rsid w:val="00A21316"/>
    <w:rsid w:val="00A217B5"/>
    <w:rsid w:val="00A218AC"/>
    <w:rsid w:val="00A218FA"/>
    <w:rsid w:val="00A21A74"/>
    <w:rsid w:val="00A2272E"/>
    <w:rsid w:val="00A22B62"/>
    <w:rsid w:val="00A22BF1"/>
    <w:rsid w:val="00A22ECA"/>
    <w:rsid w:val="00A2369C"/>
    <w:rsid w:val="00A23CD0"/>
    <w:rsid w:val="00A23E2A"/>
    <w:rsid w:val="00A24585"/>
    <w:rsid w:val="00A24613"/>
    <w:rsid w:val="00A255AE"/>
    <w:rsid w:val="00A266F1"/>
    <w:rsid w:val="00A27047"/>
    <w:rsid w:val="00A27104"/>
    <w:rsid w:val="00A27558"/>
    <w:rsid w:val="00A27997"/>
    <w:rsid w:val="00A27BB9"/>
    <w:rsid w:val="00A3012A"/>
    <w:rsid w:val="00A3012B"/>
    <w:rsid w:val="00A30BFA"/>
    <w:rsid w:val="00A32D52"/>
    <w:rsid w:val="00A335B5"/>
    <w:rsid w:val="00A33786"/>
    <w:rsid w:val="00A34828"/>
    <w:rsid w:val="00A35187"/>
    <w:rsid w:val="00A36F02"/>
    <w:rsid w:val="00A37143"/>
    <w:rsid w:val="00A37586"/>
    <w:rsid w:val="00A3760D"/>
    <w:rsid w:val="00A376D3"/>
    <w:rsid w:val="00A37F90"/>
    <w:rsid w:val="00A4055B"/>
    <w:rsid w:val="00A407C1"/>
    <w:rsid w:val="00A410D4"/>
    <w:rsid w:val="00A418CC"/>
    <w:rsid w:val="00A42729"/>
    <w:rsid w:val="00A432E8"/>
    <w:rsid w:val="00A43B34"/>
    <w:rsid w:val="00A4446B"/>
    <w:rsid w:val="00A44557"/>
    <w:rsid w:val="00A44791"/>
    <w:rsid w:val="00A44E68"/>
    <w:rsid w:val="00A45117"/>
    <w:rsid w:val="00A458D2"/>
    <w:rsid w:val="00A461C3"/>
    <w:rsid w:val="00A46B0E"/>
    <w:rsid w:val="00A46F62"/>
    <w:rsid w:val="00A47888"/>
    <w:rsid w:val="00A479D6"/>
    <w:rsid w:val="00A50486"/>
    <w:rsid w:val="00A50C9C"/>
    <w:rsid w:val="00A50F72"/>
    <w:rsid w:val="00A5127C"/>
    <w:rsid w:val="00A51849"/>
    <w:rsid w:val="00A518F7"/>
    <w:rsid w:val="00A51B76"/>
    <w:rsid w:val="00A520BE"/>
    <w:rsid w:val="00A52349"/>
    <w:rsid w:val="00A5363A"/>
    <w:rsid w:val="00A53BAC"/>
    <w:rsid w:val="00A540C5"/>
    <w:rsid w:val="00A542B4"/>
    <w:rsid w:val="00A54455"/>
    <w:rsid w:val="00A54F57"/>
    <w:rsid w:val="00A5540B"/>
    <w:rsid w:val="00A55412"/>
    <w:rsid w:val="00A55729"/>
    <w:rsid w:val="00A5591D"/>
    <w:rsid w:val="00A56025"/>
    <w:rsid w:val="00A56092"/>
    <w:rsid w:val="00A560AF"/>
    <w:rsid w:val="00A561AC"/>
    <w:rsid w:val="00A56265"/>
    <w:rsid w:val="00A564C0"/>
    <w:rsid w:val="00A5674C"/>
    <w:rsid w:val="00A56BF0"/>
    <w:rsid w:val="00A57030"/>
    <w:rsid w:val="00A601C0"/>
    <w:rsid w:val="00A60208"/>
    <w:rsid w:val="00A60651"/>
    <w:rsid w:val="00A60820"/>
    <w:rsid w:val="00A60962"/>
    <w:rsid w:val="00A60D16"/>
    <w:rsid w:val="00A60E35"/>
    <w:rsid w:val="00A6125B"/>
    <w:rsid w:val="00A61397"/>
    <w:rsid w:val="00A613D4"/>
    <w:rsid w:val="00A6146F"/>
    <w:rsid w:val="00A61493"/>
    <w:rsid w:val="00A61621"/>
    <w:rsid w:val="00A61718"/>
    <w:rsid w:val="00A61A18"/>
    <w:rsid w:val="00A625ED"/>
    <w:rsid w:val="00A625F7"/>
    <w:rsid w:val="00A6267B"/>
    <w:rsid w:val="00A628B5"/>
    <w:rsid w:val="00A631A7"/>
    <w:rsid w:val="00A635F8"/>
    <w:rsid w:val="00A64C51"/>
    <w:rsid w:val="00A64D84"/>
    <w:rsid w:val="00A650BE"/>
    <w:rsid w:val="00A6587F"/>
    <w:rsid w:val="00A66090"/>
    <w:rsid w:val="00A6610B"/>
    <w:rsid w:val="00A66193"/>
    <w:rsid w:val="00A661E7"/>
    <w:rsid w:val="00A66318"/>
    <w:rsid w:val="00A66D54"/>
    <w:rsid w:val="00A670AF"/>
    <w:rsid w:val="00A67872"/>
    <w:rsid w:val="00A6797F"/>
    <w:rsid w:val="00A67D69"/>
    <w:rsid w:val="00A67F77"/>
    <w:rsid w:val="00A70369"/>
    <w:rsid w:val="00A70414"/>
    <w:rsid w:val="00A707B5"/>
    <w:rsid w:val="00A709C4"/>
    <w:rsid w:val="00A72494"/>
    <w:rsid w:val="00A72ACC"/>
    <w:rsid w:val="00A73591"/>
    <w:rsid w:val="00A73C87"/>
    <w:rsid w:val="00A75805"/>
    <w:rsid w:val="00A75F8D"/>
    <w:rsid w:val="00A76196"/>
    <w:rsid w:val="00A761C1"/>
    <w:rsid w:val="00A761C4"/>
    <w:rsid w:val="00A76DB0"/>
    <w:rsid w:val="00A771FB"/>
    <w:rsid w:val="00A77490"/>
    <w:rsid w:val="00A77668"/>
    <w:rsid w:val="00A776BE"/>
    <w:rsid w:val="00A80D29"/>
    <w:rsid w:val="00A81541"/>
    <w:rsid w:val="00A81656"/>
    <w:rsid w:val="00A82994"/>
    <w:rsid w:val="00A833BD"/>
    <w:rsid w:val="00A84515"/>
    <w:rsid w:val="00A84D17"/>
    <w:rsid w:val="00A84E54"/>
    <w:rsid w:val="00A85878"/>
    <w:rsid w:val="00A85AF6"/>
    <w:rsid w:val="00A8654A"/>
    <w:rsid w:val="00A86C14"/>
    <w:rsid w:val="00A86E07"/>
    <w:rsid w:val="00A87C05"/>
    <w:rsid w:val="00A901A0"/>
    <w:rsid w:val="00A90782"/>
    <w:rsid w:val="00A90F3F"/>
    <w:rsid w:val="00A910A5"/>
    <w:rsid w:val="00A91505"/>
    <w:rsid w:val="00A9162D"/>
    <w:rsid w:val="00A919FE"/>
    <w:rsid w:val="00A91BF2"/>
    <w:rsid w:val="00A91CF2"/>
    <w:rsid w:val="00A9259C"/>
    <w:rsid w:val="00A929C2"/>
    <w:rsid w:val="00A92B82"/>
    <w:rsid w:val="00A92BE7"/>
    <w:rsid w:val="00A92CFF"/>
    <w:rsid w:val="00A92F30"/>
    <w:rsid w:val="00A92F9B"/>
    <w:rsid w:val="00A93484"/>
    <w:rsid w:val="00A93FEB"/>
    <w:rsid w:val="00A943BF"/>
    <w:rsid w:val="00A94925"/>
    <w:rsid w:val="00A94B3E"/>
    <w:rsid w:val="00A94D6B"/>
    <w:rsid w:val="00A95233"/>
    <w:rsid w:val="00A95BB1"/>
    <w:rsid w:val="00A95C50"/>
    <w:rsid w:val="00A95E9D"/>
    <w:rsid w:val="00A95F2C"/>
    <w:rsid w:val="00A95F91"/>
    <w:rsid w:val="00AA008D"/>
    <w:rsid w:val="00AA0652"/>
    <w:rsid w:val="00AA07A6"/>
    <w:rsid w:val="00AA0A4D"/>
    <w:rsid w:val="00AA10E9"/>
    <w:rsid w:val="00AA151E"/>
    <w:rsid w:val="00AA1B00"/>
    <w:rsid w:val="00AA237F"/>
    <w:rsid w:val="00AA270A"/>
    <w:rsid w:val="00AA3106"/>
    <w:rsid w:val="00AA32C1"/>
    <w:rsid w:val="00AA342C"/>
    <w:rsid w:val="00AA4D88"/>
    <w:rsid w:val="00AA4DF5"/>
    <w:rsid w:val="00AA563C"/>
    <w:rsid w:val="00AA59EC"/>
    <w:rsid w:val="00AA6626"/>
    <w:rsid w:val="00AA688F"/>
    <w:rsid w:val="00AA7607"/>
    <w:rsid w:val="00AA7891"/>
    <w:rsid w:val="00AA7AE0"/>
    <w:rsid w:val="00AA7D45"/>
    <w:rsid w:val="00AB05F1"/>
    <w:rsid w:val="00AB0E8A"/>
    <w:rsid w:val="00AB1195"/>
    <w:rsid w:val="00AB11D1"/>
    <w:rsid w:val="00AB185A"/>
    <w:rsid w:val="00AB1925"/>
    <w:rsid w:val="00AB19DF"/>
    <w:rsid w:val="00AB2920"/>
    <w:rsid w:val="00AB2A90"/>
    <w:rsid w:val="00AB31C0"/>
    <w:rsid w:val="00AB43D0"/>
    <w:rsid w:val="00AB49B9"/>
    <w:rsid w:val="00AB4DE4"/>
    <w:rsid w:val="00AB52BD"/>
    <w:rsid w:val="00AB595C"/>
    <w:rsid w:val="00AB64E7"/>
    <w:rsid w:val="00AB69D0"/>
    <w:rsid w:val="00AB7100"/>
    <w:rsid w:val="00AB73EB"/>
    <w:rsid w:val="00AB764F"/>
    <w:rsid w:val="00AC06E1"/>
    <w:rsid w:val="00AC0D53"/>
    <w:rsid w:val="00AC0E3C"/>
    <w:rsid w:val="00AC1D29"/>
    <w:rsid w:val="00AC1DE4"/>
    <w:rsid w:val="00AC28C7"/>
    <w:rsid w:val="00AC28FB"/>
    <w:rsid w:val="00AC2960"/>
    <w:rsid w:val="00AC2A21"/>
    <w:rsid w:val="00AC2AC5"/>
    <w:rsid w:val="00AC34E2"/>
    <w:rsid w:val="00AC3617"/>
    <w:rsid w:val="00AC4577"/>
    <w:rsid w:val="00AC52E6"/>
    <w:rsid w:val="00AC63FE"/>
    <w:rsid w:val="00AC6943"/>
    <w:rsid w:val="00AD05C0"/>
    <w:rsid w:val="00AD05EB"/>
    <w:rsid w:val="00AD0ABD"/>
    <w:rsid w:val="00AD0D2E"/>
    <w:rsid w:val="00AD1030"/>
    <w:rsid w:val="00AD114C"/>
    <w:rsid w:val="00AD1E23"/>
    <w:rsid w:val="00AD1FDE"/>
    <w:rsid w:val="00AD20B5"/>
    <w:rsid w:val="00AD23A5"/>
    <w:rsid w:val="00AD25B2"/>
    <w:rsid w:val="00AD3657"/>
    <w:rsid w:val="00AD386C"/>
    <w:rsid w:val="00AD41E9"/>
    <w:rsid w:val="00AD4604"/>
    <w:rsid w:val="00AD47AB"/>
    <w:rsid w:val="00AD4C65"/>
    <w:rsid w:val="00AD554A"/>
    <w:rsid w:val="00AD55D7"/>
    <w:rsid w:val="00AD56F0"/>
    <w:rsid w:val="00AD6097"/>
    <w:rsid w:val="00AD6219"/>
    <w:rsid w:val="00AE04E9"/>
    <w:rsid w:val="00AE0765"/>
    <w:rsid w:val="00AE0A39"/>
    <w:rsid w:val="00AE0F5E"/>
    <w:rsid w:val="00AE18C0"/>
    <w:rsid w:val="00AE1FE7"/>
    <w:rsid w:val="00AE23A1"/>
    <w:rsid w:val="00AE26FD"/>
    <w:rsid w:val="00AE2C94"/>
    <w:rsid w:val="00AE3242"/>
    <w:rsid w:val="00AE3405"/>
    <w:rsid w:val="00AE38B7"/>
    <w:rsid w:val="00AE3F4D"/>
    <w:rsid w:val="00AE40D5"/>
    <w:rsid w:val="00AE4241"/>
    <w:rsid w:val="00AE4639"/>
    <w:rsid w:val="00AE57D9"/>
    <w:rsid w:val="00AE5A2B"/>
    <w:rsid w:val="00AE6A34"/>
    <w:rsid w:val="00AE78C4"/>
    <w:rsid w:val="00AE79AD"/>
    <w:rsid w:val="00AE7C04"/>
    <w:rsid w:val="00AF030E"/>
    <w:rsid w:val="00AF03C2"/>
    <w:rsid w:val="00AF043C"/>
    <w:rsid w:val="00AF04C0"/>
    <w:rsid w:val="00AF0BA4"/>
    <w:rsid w:val="00AF192C"/>
    <w:rsid w:val="00AF2112"/>
    <w:rsid w:val="00AF237E"/>
    <w:rsid w:val="00AF2CE7"/>
    <w:rsid w:val="00AF2D34"/>
    <w:rsid w:val="00AF2E09"/>
    <w:rsid w:val="00AF340D"/>
    <w:rsid w:val="00AF38E3"/>
    <w:rsid w:val="00AF431C"/>
    <w:rsid w:val="00AF438B"/>
    <w:rsid w:val="00AF4411"/>
    <w:rsid w:val="00AF4976"/>
    <w:rsid w:val="00AF5594"/>
    <w:rsid w:val="00AF596F"/>
    <w:rsid w:val="00AF59BB"/>
    <w:rsid w:val="00AF5B45"/>
    <w:rsid w:val="00AF5F7A"/>
    <w:rsid w:val="00AF664B"/>
    <w:rsid w:val="00AF695C"/>
    <w:rsid w:val="00AF6AA3"/>
    <w:rsid w:val="00AF6EFC"/>
    <w:rsid w:val="00AF76AD"/>
    <w:rsid w:val="00AF794B"/>
    <w:rsid w:val="00AF7E29"/>
    <w:rsid w:val="00AF7F66"/>
    <w:rsid w:val="00B00227"/>
    <w:rsid w:val="00B006C2"/>
    <w:rsid w:val="00B006D1"/>
    <w:rsid w:val="00B00BCF"/>
    <w:rsid w:val="00B00C65"/>
    <w:rsid w:val="00B0123E"/>
    <w:rsid w:val="00B01BDA"/>
    <w:rsid w:val="00B01D4B"/>
    <w:rsid w:val="00B01E09"/>
    <w:rsid w:val="00B024EC"/>
    <w:rsid w:val="00B02E55"/>
    <w:rsid w:val="00B03AC2"/>
    <w:rsid w:val="00B03B4A"/>
    <w:rsid w:val="00B04AFA"/>
    <w:rsid w:val="00B050C7"/>
    <w:rsid w:val="00B05162"/>
    <w:rsid w:val="00B052A2"/>
    <w:rsid w:val="00B054D2"/>
    <w:rsid w:val="00B05BE2"/>
    <w:rsid w:val="00B05F59"/>
    <w:rsid w:val="00B0740A"/>
    <w:rsid w:val="00B079EE"/>
    <w:rsid w:val="00B07BFF"/>
    <w:rsid w:val="00B07F6B"/>
    <w:rsid w:val="00B105FD"/>
    <w:rsid w:val="00B10871"/>
    <w:rsid w:val="00B10B29"/>
    <w:rsid w:val="00B11001"/>
    <w:rsid w:val="00B1146F"/>
    <w:rsid w:val="00B12393"/>
    <w:rsid w:val="00B12738"/>
    <w:rsid w:val="00B12C17"/>
    <w:rsid w:val="00B12E41"/>
    <w:rsid w:val="00B133F1"/>
    <w:rsid w:val="00B13705"/>
    <w:rsid w:val="00B139DF"/>
    <w:rsid w:val="00B13A5A"/>
    <w:rsid w:val="00B13C69"/>
    <w:rsid w:val="00B14CD4"/>
    <w:rsid w:val="00B15A96"/>
    <w:rsid w:val="00B15ABD"/>
    <w:rsid w:val="00B16936"/>
    <w:rsid w:val="00B16B2E"/>
    <w:rsid w:val="00B1714E"/>
    <w:rsid w:val="00B17735"/>
    <w:rsid w:val="00B1790B"/>
    <w:rsid w:val="00B1791C"/>
    <w:rsid w:val="00B2054D"/>
    <w:rsid w:val="00B20642"/>
    <w:rsid w:val="00B21175"/>
    <w:rsid w:val="00B2127E"/>
    <w:rsid w:val="00B21453"/>
    <w:rsid w:val="00B21778"/>
    <w:rsid w:val="00B21D91"/>
    <w:rsid w:val="00B22638"/>
    <w:rsid w:val="00B227C5"/>
    <w:rsid w:val="00B22923"/>
    <w:rsid w:val="00B22AD5"/>
    <w:rsid w:val="00B23869"/>
    <w:rsid w:val="00B23BCA"/>
    <w:rsid w:val="00B23DFF"/>
    <w:rsid w:val="00B24008"/>
    <w:rsid w:val="00B2402E"/>
    <w:rsid w:val="00B242CC"/>
    <w:rsid w:val="00B2471E"/>
    <w:rsid w:val="00B2482C"/>
    <w:rsid w:val="00B25711"/>
    <w:rsid w:val="00B257D9"/>
    <w:rsid w:val="00B2591C"/>
    <w:rsid w:val="00B25AD2"/>
    <w:rsid w:val="00B25CFA"/>
    <w:rsid w:val="00B26B69"/>
    <w:rsid w:val="00B27187"/>
    <w:rsid w:val="00B271F1"/>
    <w:rsid w:val="00B2794C"/>
    <w:rsid w:val="00B27B56"/>
    <w:rsid w:val="00B30171"/>
    <w:rsid w:val="00B308AA"/>
    <w:rsid w:val="00B30CA5"/>
    <w:rsid w:val="00B30DFD"/>
    <w:rsid w:val="00B315E3"/>
    <w:rsid w:val="00B318F2"/>
    <w:rsid w:val="00B31988"/>
    <w:rsid w:val="00B31F3C"/>
    <w:rsid w:val="00B32C3A"/>
    <w:rsid w:val="00B338B5"/>
    <w:rsid w:val="00B33F4D"/>
    <w:rsid w:val="00B341A5"/>
    <w:rsid w:val="00B3466D"/>
    <w:rsid w:val="00B34FA0"/>
    <w:rsid w:val="00B36623"/>
    <w:rsid w:val="00B368FF"/>
    <w:rsid w:val="00B37412"/>
    <w:rsid w:val="00B3767D"/>
    <w:rsid w:val="00B37932"/>
    <w:rsid w:val="00B4078B"/>
    <w:rsid w:val="00B409F5"/>
    <w:rsid w:val="00B40A50"/>
    <w:rsid w:val="00B40A9C"/>
    <w:rsid w:val="00B40DD0"/>
    <w:rsid w:val="00B40E18"/>
    <w:rsid w:val="00B41148"/>
    <w:rsid w:val="00B414D6"/>
    <w:rsid w:val="00B4152C"/>
    <w:rsid w:val="00B417D8"/>
    <w:rsid w:val="00B41850"/>
    <w:rsid w:val="00B41B21"/>
    <w:rsid w:val="00B42B1A"/>
    <w:rsid w:val="00B43606"/>
    <w:rsid w:val="00B43D10"/>
    <w:rsid w:val="00B43FA9"/>
    <w:rsid w:val="00B440A7"/>
    <w:rsid w:val="00B4426B"/>
    <w:rsid w:val="00B44347"/>
    <w:rsid w:val="00B4457D"/>
    <w:rsid w:val="00B44850"/>
    <w:rsid w:val="00B453AC"/>
    <w:rsid w:val="00B457CB"/>
    <w:rsid w:val="00B459F3"/>
    <w:rsid w:val="00B47330"/>
    <w:rsid w:val="00B473C4"/>
    <w:rsid w:val="00B47445"/>
    <w:rsid w:val="00B500F9"/>
    <w:rsid w:val="00B5076B"/>
    <w:rsid w:val="00B50BBC"/>
    <w:rsid w:val="00B50C2F"/>
    <w:rsid w:val="00B50FDD"/>
    <w:rsid w:val="00B513A0"/>
    <w:rsid w:val="00B51B21"/>
    <w:rsid w:val="00B51B2F"/>
    <w:rsid w:val="00B51C9C"/>
    <w:rsid w:val="00B51E28"/>
    <w:rsid w:val="00B5226B"/>
    <w:rsid w:val="00B5246A"/>
    <w:rsid w:val="00B52792"/>
    <w:rsid w:val="00B5281F"/>
    <w:rsid w:val="00B52C6F"/>
    <w:rsid w:val="00B52CDF"/>
    <w:rsid w:val="00B53265"/>
    <w:rsid w:val="00B5376D"/>
    <w:rsid w:val="00B53ED6"/>
    <w:rsid w:val="00B546ED"/>
    <w:rsid w:val="00B556E2"/>
    <w:rsid w:val="00B55726"/>
    <w:rsid w:val="00B55986"/>
    <w:rsid w:val="00B55B35"/>
    <w:rsid w:val="00B561A9"/>
    <w:rsid w:val="00B56356"/>
    <w:rsid w:val="00B563C1"/>
    <w:rsid w:val="00B5661C"/>
    <w:rsid w:val="00B569AF"/>
    <w:rsid w:val="00B56A7B"/>
    <w:rsid w:val="00B57263"/>
    <w:rsid w:val="00B579EF"/>
    <w:rsid w:val="00B57F0D"/>
    <w:rsid w:val="00B6021F"/>
    <w:rsid w:val="00B6039A"/>
    <w:rsid w:val="00B606E6"/>
    <w:rsid w:val="00B60EB7"/>
    <w:rsid w:val="00B631A2"/>
    <w:rsid w:val="00B635DC"/>
    <w:rsid w:val="00B6366F"/>
    <w:rsid w:val="00B63BC1"/>
    <w:rsid w:val="00B64402"/>
    <w:rsid w:val="00B6482C"/>
    <w:rsid w:val="00B64AF6"/>
    <w:rsid w:val="00B65238"/>
    <w:rsid w:val="00B65405"/>
    <w:rsid w:val="00B65C75"/>
    <w:rsid w:val="00B65D4A"/>
    <w:rsid w:val="00B661D9"/>
    <w:rsid w:val="00B6627D"/>
    <w:rsid w:val="00B66800"/>
    <w:rsid w:val="00B7013B"/>
    <w:rsid w:val="00B709FF"/>
    <w:rsid w:val="00B717CE"/>
    <w:rsid w:val="00B71DAD"/>
    <w:rsid w:val="00B72432"/>
    <w:rsid w:val="00B7295F"/>
    <w:rsid w:val="00B72C67"/>
    <w:rsid w:val="00B72D49"/>
    <w:rsid w:val="00B72DCD"/>
    <w:rsid w:val="00B734D3"/>
    <w:rsid w:val="00B73950"/>
    <w:rsid w:val="00B739E1"/>
    <w:rsid w:val="00B73A45"/>
    <w:rsid w:val="00B73D00"/>
    <w:rsid w:val="00B74BD9"/>
    <w:rsid w:val="00B75024"/>
    <w:rsid w:val="00B75BA0"/>
    <w:rsid w:val="00B75D74"/>
    <w:rsid w:val="00B75F94"/>
    <w:rsid w:val="00B762D7"/>
    <w:rsid w:val="00B7680F"/>
    <w:rsid w:val="00B77061"/>
    <w:rsid w:val="00B77383"/>
    <w:rsid w:val="00B773A8"/>
    <w:rsid w:val="00B800F9"/>
    <w:rsid w:val="00B803A7"/>
    <w:rsid w:val="00B8052A"/>
    <w:rsid w:val="00B80C1E"/>
    <w:rsid w:val="00B81024"/>
    <w:rsid w:val="00B81205"/>
    <w:rsid w:val="00B81B77"/>
    <w:rsid w:val="00B81CC0"/>
    <w:rsid w:val="00B822C7"/>
    <w:rsid w:val="00B824E4"/>
    <w:rsid w:val="00B8271E"/>
    <w:rsid w:val="00B82A30"/>
    <w:rsid w:val="00B82DCE"/>
    <w:rsid w:val="00B83C6E"/>
    <w:rsid w:val="00B83E52"/>
    <w:rsid w:val="00B83EED"/>
    <w:rsid w:val="00B840A1"/>
    <w:rsid w:val="00B84DF6"/>
    <w:rsid w:val="00B84FE2"/>
    <w:rsid w:val="00B85BC1"/>
    <w:rsid w:val="00B8672D"/>
    <w:rsid w:val="00B86C70"/>
    <w:rsid w:val="00B86CAB"/>
    <w:rsid w:val="00B86CC3"/>
    <w:rsid w:val="00B86F29"/>
    <w:rsid w:val="00B86F5A"/>
    <w:rsid w:val="00B86FF8"/>
    <w:rsid w:val="00B87B5E"/>
    <w:rsid w:val="00B900EB"/>
    <w:rsid w:val="00B90106"/>
    <w:rsid w:val="00B90B59"/>
    <w:rsid w:val="00B90B8A"/>
    <w:rsid w:val="00B9113B"/>
    <w:rsid w:val="00B9197F"/>
    <w:rsid w:val="00B91C04"/>
    <w:rsid w:val="00B9213D"/>
    <w:rsid w:val="00B9288E"/>
    <w:rsid w:val="00B92C54"/>
    <w:rsid w:val="00B931BA"/>
    <w:rsid w:val="00B9329E"/>
    <w:rsid w:val="00B93571"/>
    <w:rsid w:val="00B936AE"/>
    <w:rsid w:val="00B93B56"/>
    <w:rsid w:val="00B94007"/>
    <w:rsid w:val="00B94221"/>
    <w:rsid w:val="00B942E7"/>
    <w:rsid w:val="00B94F22"/>
    <w:rsid w:val="00B9566C"/>
    <w:rsid w:val="00B96107"/>
    <w:rsid w:val="00B961BA"/>
    <w:rsid w:val="00B961FB"/>
    <w:rsid w:val="00B96328"/>
    <w:rsid w:val="00B9649B"/>
    <w:rsid w:val="00B978B6"/>
    <w:rsid w:val="00B97A66"/>
    <w:rsid w:val="00B97B89"/>
    <w:rsid w:val="00B97DE0"/>
    <w:rsid w:val="00BA07E9"/>
    <w:rsid w:val="00BA0A1D"/>
    <w:rsid w:val="00BA0AFC"/>
    <w:rsid w:val="00BA108E"/>
    <w:rsid w:val="00BA1846"/>
    <w:rsid w:val="00BA1ACB"/>
    <w:rsid w:val="00BA21AC"/>
    <w:rsid w:val="00BA29D5"/>
    <w:rsid w:val="00BA2C3A"/>
    <w:rsid w:val="00BA2D6B"/>
    <w:rsid w:val="00BA2F47"/>
    <w:rsid w:val="00BA2FBD"/>
    <w:rsid w:val="00BA3087"/>
    <w:rsid w:val="00BA32D7"/>
    <w:rsid w:val="00BA4039"/>
    <w:rsid w:val="00BA425B"/>
    <w:rsid w:val="00BA4641"/>
    <w:rsid w:val="00BA4F47"/>
    <w:rsid w:val="00BA5008"/>
    <w:rsid w:val="00BA5232"/>
    <w:rsid w:val="00BA542A"/>
    <w:rsid w:val="00BA5B66"/>
    <w:rsid w:val="00BA5C41"/>
    <w:rsid w:val="00BA6065"/>
    <w:rsid w:val="00BA63FF"/>
    <w:rsid w:val="00BA6476"/>
    <w:rsid w:val="00BA6A71"/>
    <w:rsid w:val="00BA6C35"/>
    <w:rsid w:val="00BA6CAD"/>
    <w:rsid w:val="00BA6E52"/>
    <w:rsid w:val="00BA70E4"/>
    <w:rsid w:val="00BA71F7"/>
    <w:rsid w:val="00BA78E8"/>
    <w:rsid w:val="00BA7E13"/>
    <w:rsid w:val="00BB013C"/>
    <w:rsid w:val="00BB019D"/>
    <w:rsid w:val="00BB06ED"/>
    <w:rsid w:val="00BB1B8A"/>
    <w:rsid w:val="00BB1DDE"/>
    <w:rsid w:val="00BB24F4"/>
    <w:rsid w:val="00BB2584"/>
    <w:rsid w:val="00BB259E"/>
    <w:rsid w:val="00BB2709"/>
    <w:rsid w:val="00BB2CA6"/>
    <w:rsid w:val="00BB376F"/>
    <w:rsid w:val="00BB3DA4"/>
    <w:rsid w:val="00BB45B9"/>
    <w:rsid w:val="00BB4F88"/>
    <w:rsid w:val="00BB56F6"/>
    <w:rsid w:val="00BB573C"/>
    <w:rsid w:val="00BB5ED7"/>
    <w:rsid w:val="00BB5FD9"/>
    <w:rsid w:val="00BB68C1"/>
    <w:rsid w:val="00BB742C"/>
    <w:rsid w:val="00BB7572"/>
    <w:rsid w:val="00BB7C4E"/>
    <w:rsid w:val="00BB7C58"/>
    <w:rsid w:val="00BB7F70"/>
    <w:rsid w:val="00BC01AD"/>
    <w:rsid w:val="00BC0226"/>
    <w:rsid w:val="00BC049D"/>
    <w:rsid w:val="00BC1137"/>
    <w:rsid w:val="00BC11ED"/>
    <w:rsid w:val="00BC1615"/>
    <w:rsid w:val="00BC1893"/>
    <w:rsid w:val="00BC3704"/>
    <w:rsid w:val="00BC3BA0"/>
    <w:rsid w:val="00BC4701"/>
    <w:rsid w:val="00BC4D87"/>
    <w:rsid w:val="00BC52DB"/>
    <w:rsid w:val="00BC586F"/>
    <w:rsid w:val="00BC5A29"/>
    <w:rsid w:val="00BC759B"/>
    <w:rsid w:val="00BC7C59"/>
    <w:rsid w:val="00BD02BD"/>
    <w:rsid w:val="00BD02E4"/>
    <w:rsid w:val="00BD09D3"/>
    <w:rsid w:val="00BD1096"/>
    <w:rsid w:val="00BD179A"/>
    <w:rsid w:val="00BD1F63"/>
    <w:rsid w:val="00BD2185"/>
    <w:rsid w:val="00BD2886"/>
    <w:rsid w:val="00BD2D2D"/>
    <w:rsid w:val="00BD38A9"/>
    <w:rsid w:val="00BD446C"/>
    <w:rsid w:val="00BD4655"/>
    <w:rsid w:val="00BD4811"/>
    <w:rsid w:val="00BD4BC6"/>
    <w:rsid w:val="00BD4DD5"/>
    <w:rsid w:val="00BD4DEA"/>
    <w:rsid w:val="00BD4F50"/>
    <w:rsid w:val="00BD5BB8"/>
    <w:rsid w:val="00BD5FA1"/>
    <w:rsid w:val="00BD67E9"/>
    <w:rsid w:val="00BD69A9"/>
    <w:rsid w:val="00BD73A2"/>
    <w:rsid w:val="00BD7799"/>
    <w:rsid w:val="00BD7EC2"/>
    <w:rsid w:val="00BD7F51"/>
    <w:rsid w:val="00BE04C3"/>
    <w:rsid w:val="00BE077A"/>
    <w:rsid w:val="00BE094F"/>
    <w:rsid w:val="00BE1390"/>
    <w:rsid w:val="00BE187C"/>
    <w:rsid w:val="00BE1BD4"/>
    <w:rsid w:val="00BE1E31"/>
    <w:rsid w:val="00BE212B"/>
    <w:rsid w:val="00BE2990"/>
    <w:rsid w:val="00BE3ADF"/>
    <w:rsid w:val="00BE3F2C"/>
    <w:rsid w:val="00BE50D2"/>
    <w:rsid w:val="00BE5AAC"/>
    <w:rsid w:val="00BE7283"/>
    <w:rsid w:val="00BE7607"/>
    <w:rsid w:val="00BE76E7"/>
    <w:rsid w:val="00BE7A81"/>
    <w:rsid w:val="00BE7C1C"/>
    <w:rsid w:val="00BF0136"/>
    <w:rsid w:val="00BF0582"/>
    <w:rsid w:val="00BF0E99"/>
    <w:rsid w:val="00BF0F1F"/>
    <w:rsid w:val="00BF1B5B"/>
    <w:rsid w:val="00BF2963"/>
    <w:rsid w:val="00BF29B7"/>
    <w:rsid w:val="00BF2E05"/>
    <w:rsid w:val="00BF2E4C"/>
    <w:rsid w:val="00BF2F83"/>
    <w:rsid w:val="00BF35D8"/>
    <w:rsid w:val="00BF3B9C"/>
    <w:rsid w:val="00BF3C28"/>
    <w:rsid w:val="00BF3E4E"/>
    <w:rsid w:val="00BF453D"/>
    <w:rsid w:val="00BF4757"/>
    <w:rsid w:val="00BF5F12"/>
    <w:rsid w:val="00BF616C"/>
    <w:rsid w:val="00BF6435"/>
    <w:rsid w:val="00BF65D0"/>
    <w:rsid w:val="00BF7008"/>
    <w:rsid w:val="00BF75B9"/>
    <w:rsid w:val="00BF77AF"/>
    <w:rsid w:val="00BF7A16"/>
    <w:rsid w:val="00BF7CEB"/>
    <w:rsid w:val="00BF7FB1"/>
    <w:rsid w:val="00C00288"/>
    <w:rsid w:val="00C003FE"/>
    <w:rsid w:val="00C0191B"/>
    <w:rsid w:val="00C03087"/>
    <w:rsid w:val="00C03B75"/>
    <w:rsid w:val="00C043B9"/>
    <w:rsid w:val="00C0501B"/>
    <w:rsid w:val="00C054B3"/>
    <w:rsid w:val="00C055CE"/>
    <w:rsid w:val="00C05A83"/>
    <w:rsid w:val="00C07818"/>
    <w:rsid w:val="00C07C1C"/>
    <w:rsid w:val="00C07D35"/>
    <w:rsid w:val="00C07E92"/>
    <w:rsid w:val="00C07F50"/>
    <w:rsid w:val="00C10659"/>
    <w:rsid w:val="00C10B75"/>
    <w:rsid w:val="00C1196C"/>
    <w:rsid w:val="00C11A95"/>
    <w:rsid w:val="00C11BFA"/>
    <w:rsid w:val="00C12462"/>
    <w:rsid w:val="00C13140"/>
    <w:rsid w:val="00C13CCD"/>
    <w:rsid w:val="00C14148"/>
    <w:rsid w:val="00C143AC"/>
    <w:rsid w:val="00C1459D"/>
    <w:rsid w:val="00C147E7"/>
    <w:rsid w:val="00C14890"/>
    <w:rsid w:val="00C14970"/>
    <w:rsid w:val="00C14BE2"/>
    <w:rsid w:val="00C14E24"/>
    <w:rsid w:val="00C14EA1"/>
    <w:rsid w:val="00C1506F"/>
    <w:rsid w:val="00C15191"/>
    <w:rsid w:val="00C158D4"/>
    <w:rsid w:val="00C15CBD"/>
    <w:rsid w:val="00C15D66"/>
    <w:rsid w:val="00C1688B"/>
    <w:rsid w:val="00C16C75"/>
    <w:rsid w:val="00C20342"/>
    <w:rsid w:val="00C2093F"/>
    <w:rsid w:val="00C20C97"/>
    <w:rsid w:val="00C20DC0"/>
    <w:rsid w:val="00C20E7D"/>
    <w:rsid w:val="00C21DA5"/>
    <w:rsid w:val="00C221B6"/>
    <w:rsid w:val="00C222B0"/>
    <w:rsid w:val="00C228F7"/>
    <w:rsid w:val="00C22AE8"/>
    <w:rsid w:val="00C22B38"/>
    <w:rsid w:val="00C23876"/>
    <w:rsid w:val="00C2398F"/>
    <w:rsid w:val="00C23B85"/>
    <w:rsid w:val="00C24DAB"/>
    <w:rsid w:val="00C2562A"/>
    <w:rsid w:val="00C26349"/>
    <w:rsid w:val="00C26DBE"/>
    <w:rsid w:val="00C26E0E"/>
    <w:rsid w:val="00C27C23"/>
    <w:rsid w:val="00C27F4F"/>
    <w:rsid w:val="00C30003"/>
    <w:rsid w:val="00C301AB"/>
    <w:rsid w:val="00C30223"/>
    <w:rsid w:val="00C30683"/>
    <w:rsid w:val="00C307AE"/>
    <w:rsid w:val="00C30BD3"/>
    <w:rsid w:val="00C30FCC"/>
    <w:rsid w:val="00C311CF"/>
    <w:rsid w:val="00C313D3"/>
    <w:rsid w:val="00C32011"/>
    <w:rsid w:val="00C3295A"/>
    <w:rsid w:val="00C32A9B"/>
    <w:rsid w:val="00C33113"/>
    <w:rsid w:val="00C33758"/>
    <w:rsid w:val="00C3394D"/>
    <w:rsid w:val="00C33DBC"/>
    <w:rsid w:val="00C33EE7"/>
    <w:rsid w:val="00C340BE"/>
    <w:rsid w:val="00C345F9"/>
    <w:rsid w:val="00C34854"/>
    <w:rsid w:val="00C348CB"/>
    <w:rsid w:val="00C34CEF"/>
    <w:rsid w:val="00C35213"/>
    <w:rsid w:val="00C355DD"/>
    <w:rsid w:val="00C35C03"/>
    <w:rsid w:val="00C36508"/>
    <w:rsid w:val="00C3669A"/>
    <w:rsid w:val="00C36F8C"/>
    <w:rsid w:val="00C376F8"/>
    <w:rsid w:val="00C3782A"/>
    <w:rsid w:val="00C37C5F"/>
    <w:rsid w:val="00C37F93"/>
    <w:rsid w:val="00C40301"/>
    <w:rsid w:val="00C40798"/>
    <w:rsid w:val="00C40EFF"/>
    <w:rsid w:val="00C41D8F"/>
    <w:rsid w:val="00C4241D"/>
    <w:rsid w:val="00C427BE"/>
    <w:rsid w:val="00C427D6"/>
    <w:rsid w:val="00C42950"/>
    <w:rsid w:val="00C437A4"/>
    <w:rsid w:val="00C43E37"/>
    <w:rsid w:val="00C452B6"/>
    <w:rsid w:val="00C454A9"/>
    <w:rsid w:val="00C459D1"/>
    <w:rsid w:val="00C45BB6"/>
    <w:rsid w:val="00C46279"/>
    <w:rsid w:val="00C466E7"/>
    <w:rsid w:val="00C46818"/>
    <w:rsid w:val="00C46A3E"/>
    <w:rsid w:val="00C46CD1"/>
    <w:rsid w:val="00C47383"/>
    <w:rsid w:val="00C47647"/>
    <w:rsid w:val="00C47658"/>
    <w:rsid w:val="00C5008D"/>
    <w:rsid w:val="00C50220"/>
    <w:rsid w:val="00C5034A"/>
    <w:rsid w:val="00C5071D"/>
    <w:rsid w:val="00C50F1A"/>
    <w:rsid w:val="00C5103A"/>
    <w:rsid w:val="00C513C1"/>
    <w:rsid w:val="00C515BA"/>
    <w:rsid w:val="00C51AEF"/>
    <w:rsid w:val="00C51C4A"/>
    <w:rsid w:val="00C520DE"/>
    <w:rsid w:val="00C523E8"/>
    <w:rsid w:val="00C528F1"/>
    <w:rsid w:val="00C52B80"/>
    <w:rsid w:val="00C530B8"/>
    <w:rsid w:val="00C53C80"/>
    <w:rsid w:val="00C54252"/>
    <w:rsid w:val="00C54425"/>
    <w:rsid w:val="00C5465E"/>
    <w:rsid w:val="00C54FE1"/>
    <w:rsid w:val="00C55107"/>
    <w:rsid w:val="00C55200"/>
    <w:rsid w:val="00C556A3"/>
    <w:rsid w:val="00C55CBA"/>
    <w:rsid w:val="00C55E20"/>
    <w:rsid w:val="00C55ED5"/>
    <w:rsid w:val="00C56095"/>
    <w:rsid w:val="00C565C3"/>
    <w:rsid w:val="00C57C9D"/>
    <w:rsid w:val="00C60186"/>
    <w:rsid w:val="00C603AF"/>
    <w:rsid w:val="00C60653"/>
    <w:rsid w:val="00C610EE"/>
    <w:rsid w:val="00C61690"/>
    <w:rsid w:val="00C61CC5"/>
    <w:rsid w:val="00C61D31"/>
    <w:rsid w:val="00C61F35"/>
    <w:rsid w:val="00C625F2"/>
    <w:rsid w:val="00C628C3"/>
    <w:rsid w:val="00C63A05"/>
    <w:rsid w:val="00C63B97"/>
    <w:rsid w:val="00C6405D"/>
    <w:rsid w:val="00C64317"/>
    <w:rsid w:val="00C6454E"/>
    <w:rsid w:val="00C64B31"/>
    <w:rsid w:val="00C64EB9"/>
    <w:rsid w:val="00C65420"/>
    <w:rsid w:val="00C6551C"/>
    <w:rsid w:val="00C65B65"/>
    <w:rsid w:val="00C65BD3"/>
    <w:rsid w:val="00C65D27"/>
    <w:rsid w:val="00C65F9C"/>
    <w:rsid w:val="00C66AA4"/>
    <w:rsid w:val="00C67638"/>
    <w:rsid w:val="00C67CFE"/>
    <w:rsid w:val="00C67EB4"/>
    <w:rsid w:val="00C717D3"/>
    <w:rsid w:val="00C71896"/>
    <w:rsid w:val="00C71CAA"/>
    <w:rsid w:val="00C71FDF"/>
    <w:rsid w:val="00C72681"/>
    <w:rsid w:val="00C737B8"/>
    <w:rsid w:val="00C73F0F"/>
    <w:rsid w:val="00C7483D"/>
    <w:rsid w:val="00C74C88"/>
    <w:rsid w:val="00C75249"/>
    <w:rsid w:val="00C75515"/>
    <w:rsid w:val="00C75561"/>
    <w:rsid w:val="00C75D7D"/>
    <w:rsid w:val="00C76230"/>
    <w:rsid w:val="00C76BF5"/>
    <w:rsid w:val="00C77A69"/>
    <w:rsid w:val="00C77D19"/>
    <w:rsid w:val="00C80878"/>
    <w:rsid w:val="00C80F86"/>
    <w:rsid w:val="00C81776"/>
    <w:rsid w:val="00C81E23"/>
    <w:rsid w:val="00C81FFA"/>
    <w:rsid w:val="00C825C5"/>
    <w:rsid w:val="00C82801"/>
    <w:rsid w:val="00C833B5"/>
    <w:rsid w:val="00C83684"/>
    <w:rsid w:val="00C83DF0"/>
    <w:rsid w:val="00C844DA"/>
    <w:rsid w:val="00C847C0"/>
    <w:rsid w:val="00C8494D"/>
    <w:rsid w:val="00C8560A"/>
    <w:rsid w:val="00C86818"/>
    <w:rsid w:val="00C86831"/>
    <w:rsid w:val="00C868D6"/>
    <w:rsid w:val="00C871B5"/>
    <w:rsid w:val="00C87508"/>
    <w:rsid w:val="00C87992"/>
    <w:rsid w:val="00C87BC2"/>
    <w:rsid w:val="00C87DA3"/>
    <w:rsid w:val="00C87FFA"/>
    <w:rsid w:val="00C90187"/>
    <w:rsid w:val="00C902B3"/>
    <w:rsid w:val="00C90985"/>
    <w:rsid w:val="00C9103C"/>
    <w:rsid w:val="00C917BA"/>
    <w:rsid w:val="00C91D36"/>
    <w:rsid w:val="00C921E2"/>
    <w:rsid w:val="00C9381E"/>
    <w:rsid w:val="00C93C03"/>
    <w:rsid w:val="00C93F55"/>
    <w:rsid w:val="00C93FAA"/>
    <w:rsid w:val="00C945E1"/>
    <w:rsid w:val="00C94B7E"/>
    <w:rsid w:val="00C95324"/>
    <w:rsid w:val="00C954D4"/>
    <w:rsid w:val="00C968EA"/>
    <w:rsid w:val="00C975A2"/>
    <w:rsid w:val="00C975C0"/>
    <w:rsid w:val="00C9781B"/>
    <w:rsid w:val="00C97AE0"/>
    <w:rsid w:val="00C97C7E"/>
    <w:rsid w:val="00CA0421"/>
    <w:rsid w:val="00CA0605"/>
    <w:rsid w:val="00CA0FD0"/>
    <w:rsid w:val="00CA1155"/>
    <w:rsid w:val="00CA1BE9"/>
    <w:rsid w:val="00CA23DF"/>
    <w:rsid w:val="00CA2BAD"/>
    <w:rsid w:val="00CA2DE1"/>
    <w:rsid w:val="00CA36C6"/>
    <w:rsid w:val="00CA3AFA"/>
    <w:rsid w:val="00CA4B06"/>
    <w:rsid w:val="00CA4EA2"/>
    <w:rsid w:val="00CA5724"/>
    <w:rsid w:val="00CA5760"/>
    <w:rsid w:val="00CA5963"/>
    <w:rsid w:val="00CA5F68"/>
    <w:rsid w:val="00CA679A"/>
    <w:rsid w:val="00CA6F88"/>
    <w:rsid w:val="00CA707F"/>
    <w:rsid w:val="00CA70EE"/>
    <w:rsid w:val="00CA7553"/>
    <w:rsid w:val="00CA7BCB"/>
    <w:rsid w:val="00CA7E1A"/>
    <w:rsid w:val="00CA7F89"/>
    <w:rsid w:val="00CB051E"/>
    <w:rsid w:val="00CB0BB6"/>
    <w:rsid w:val="00CB1733"/>
    <w:rsid w:val="00CB1B00"/>
    <w:rsid w:val="00CB1DF9"/>
    <w:rsid w:val="00CB1FFB"/>
    <w:rsid w:val="00CB2523"/>
    <w:rsid w:val="00CB2B13"/>
    <w:rsid w:val="00CB2B32"/>
    <w:rsid w:val="00CB334C"/>
    <w:rsid w:val="00CB3472"/>
    <w:rsid w:val="00CB34B0"/>
    <w:rsid w:val="00CB408C"/>
    <w:rsid w:val="00CB43E7"/>
    <w:rsid w:val="00CB4AD0"/>
    <w:rsid w:val="00CB4C31"/>
    <w:rsid w:val="00CB53CF"/>
    <w:rsid w:val="00CB5783"/>
    <w:rsid w:val="00CB590A"/>
    <w:rsid w:val="00CB5D40"/>
    <w:rsid w:val="00CB6688"/>
    <w:rsid w:val="00CB6F62"/>
    <w:rsid w:val="00CB6FB6"/>
    <w:rsid w:val="00CB75F5"/>
    <w:rsid w:val="00CB787D"/>
    <w:rsid w:val="00CB7B98"/>
    <w:rsid w:val="00CC0100"/>
    <w:rsid w:val="00CC0293"/>
    <w:rsid w:val="00CC039F"/>
    <w:rsid w:val="00CC03A1"/>
    <w:rsid w:val="00CC097E"/>
    <w:rsid w:val="00CC0D8C"/>
    <w:rsid w:val="00CC1049"/>
    <w:rsid w:val="00CC151C"/>
    <w:rsid w:val="00CC18B5"/>
    <w:rsid w:val="00CC1B2E"/>
    <w:rsid w:val="00CC1FD9"/>
    <w:rsid w:val="00CC2268"/>
    <w:rsid w:val="00CC3777"/>
    <w:rsid w:val="00CC3ABE"/>
    <w:rsid w:val="00CC3ADF"/>
    <w:rsid w:val="00CC426A"/>
    <w:rsid w:val="00CC490B"/>
    <w:rsid w:val="00CC4BE9"/>
    <w:rsid w:val="00CC5516"/>
    <w:rsid w:val="00CC5959"/>
    <w:rsid w:val="00CC62E6"/>
    <w:rsid w:val="00CC7CE2"/>
    <w:rsid w:val="00CC7EB4"/>
    <w:rsid w:val="00CD031E"/>
    <w:rsid w:val="00CD1022"/>
    <w:rsid w:val="00CD1161"/>
    <w:rsid w:val="00CD12A0"/>
    <w:rsid w:val="00CD1908"/>
    <w:rsid w:val="00CD1941"/>
    <w:rsid w:val="00CD19C4"/>
    <w:rsid w:val="00CD1C64"/>
    <w:rsid w:val="00CD1D83"/>
    <w:rsid w:val="00CD240E"/>
    <w:rsid w:val="00CD257A"/>
    <w:rsid w:val="00CD311C"/>
    <w:rsid w:val="00CD3472"/>
    <w:rsid w:val="00CD3675"/>
    <w:rsid w:val="00CD3999"/>
    <w:rsid w:val="00CD3BDF"/>
    <w:rsid w:val="00CD3E99"/>
    <w:rsid w:val="00CD43E4"/>
    <w:rsid w:val="00CD4535"/>
    <w:rsid w:val="00CD54F0"/>
    <w:rsid w:val="00CD5667"/>
    <w:rsid w:val="00CD572C"/>
    <w:rsid w:val="00CD5825"/>
    <w:rsid w:val="00CD5BEE"/>
    <w:rsid w:val="00CD5E2F"/>
    <w:rsid w:val="00CD6131"/>
    <w:rsid w:val="00CD6768"/>
    <w:rsid w:val="00CD6D55"/>
    <w:rsid w:val="00CD740B"/>
    <w:rsid w:val="00CD7433"/>
    <w:rsid w:val="00CD76B5"/>
    <w:rsid w:val="00CD7A5B"/>
    <w:rsid w:val="00CD7C6B"/>
    <w:rsid w:val="00CE0925"/>
    <w:rsid w:val="00CE1240"/>
    <w:rsid w:val="00CE1820"/>
    <w:rsid w:val="00CE1F44"/>
    <w:rsid w:val="00CE1F96"/>
    <w:rsid w:val="00CE243E"/>
    <w:rsid w:val="00CE3848"/>
    <w:rsid w:val="00CE3994"/>
    <w:rsid w:val="00CE3C17"/>
    <w:rsid w:val="00CE4094"/>
    <w:rsid w:val="00CE422D"/>
    <w:rsid w:val="00CE4AC6"/>
    <w:rsid w:val="00CE4AD8"/>
    <w:rsid w:val="00CE50F5"/>
    <w:rsid w:val="00CE55A0"/>
    <w:rsid w:val="00CE598D"/>
    <w:rsid w:val="00CE5E5C"/>
    <w:rsid w:val="00CE634A"/>
    <w:rsid w:val="00CE67CE"/>
    <w:rsid w:val="00CE73FF"/>
    <w:rsid w:val="00CE78A0"/>
    <w:rsid w:val="00CE7DE1"/>
    <w:rsid w:val="00CF07F5"/>
    <w:rsid w:val="00CF0FB7"/>
    <w:rsid w:val="00CF19A7"/>
    <w:rsid w:val="00CF271D"/>
    <w:rsid w:val="00CF2BAC"/>
    <w:rsid w:val="00CF2FE5"/>
    <w:rsid w:val="00CF31B4"/>
    <w:rsid w:val="00CF367B"/>
    <w:rsid w:val="00CF38A7"/>
    <w:rsid w:val="00CF3FE4"/>
    <w:rsid w:val="00CF3FFD"/>
    <w:rsid w:val="00CF4018"/>
    <w:rsid w:val="00CF42B9"/>
    <w:rsid w:val="00CF4855"/>
    <w:rsid w:val="00CF4B25"/>
    <w:rsid w:val="00CF4B6A"/>
    <w:rsid w:val="00CF5297"/>
    <w:rsid w:val="00CF5644"/>
    <w:rsid w:val="00CF5B47"/>
    <w:rsid w:val="00CF5DFE"/>
    <w:rsid w:val="00CF6274"/>
    <w:rsid w:val="00CF6EC7"/>
    <w:rsid w:val="00CF75E2"/>
    <w:rsid w:val="00CF77C4"/>
    <w:rsid w:val="00CF7A28"/>
    <w:rsid w:val="00D009E2"/>
    <w:rsid w:val="00D01141"/>
    <w:rsid w:val="00D01631"/>
    <w:rsid w:val="00D01A3B"/>
    <w:rsid w:val="00D01F03"/>
    <w:rsid w:val="00D01F28"/>
    <w:rsid w:val="00D02493"/>
    <w:rsid w:val="00D02725"/>
    <w:rsid w:val="00D02C76"/>
    <w:rsid w:val="00D0344A"/>
    <w:rsid w:val="00D03524"/>
    <w:rsid w:val="00D038DA"/>
    <w:rsid w:val="00D03AF7"/>
    <w:rsid w:val="00D04201"/>
    <w:rsid w:val="00D04267"/>
    <w:rsid w:val="00D059BA"/>
    <w:rsid w:val="00D07998"/>
    <w:rsid w:val="00D07B2B"/>
    <w:rsid w:val="00D10A12"/>
    <w:rsid w:val="00D11011"/>
    <w:rsid w:val="00D11144"/>
    <w:rsid w:val="00D1189C"/>
    <w:rsid w:val="00D121EC"/>
    <w:rsid w:val="00D122C6"/>
    <w:rsid w:val="00D13D8E"/>
    <w:rsid w:val="00D14119"/>
    <w:rsid w:val="00D14905"/>
    <w:rsid w:val="00D14D0C"/>
    <w:rsid w:val="00D15017"/>
    <w:rsid w:val="00D15031"/>
    <w:rsid w:val="00D153C0"/>
    <w:rsid w:val="00D1540F"/>
    <w:rsid w:val="00D16A34"/>
    <w:rsid w:val="00D16D6E"/>
    <w:rsid w:val="00D16D7E"/>
    <w:rsid w:val="00D16F1C"/>
    <w:rsid w:val="00D1768F"/>
    <w:rsid w:val="00D203E7"/>
    <w:rsid w:val="00D205D2"/>
    <w:rsid w:val="00D20DEB"/>
    <w:rsid w:val="00D21042"/>
    <w:rsid w:val="00D215E0"/>
    <w:rsid w:val="00D2173F"/>
    <w:rsid w:val="00D22200"/>
    <w:rsid w:val="00D2223D"/>
    <w:rsid w:val="00D22420"/>
    <w:rsid w:val="00D22992"/>
    <w:rsid w:val="00D22B6F"/>
    <w:rsid w:val="00D22E61"/>
    <w:rsid w:val="00D230EA"/>
    <w:rsid w:val="00D238FE"/>
    <w:rsid w:val="00D25060"/>
    <w:rsid w:val="00D25BD4"/>
    <w:rsid w:val="00D260CD"/>
    <w:rsid w:val="00D264EE"/>
    <w:rsid w:val="00D268AB"/>
    <w:rsid w:val="00D26E08"/>
    <w:rsid w:val="00D27352"/>
    <w:rsid w:val="00D2776A"/>
    <w:rsid w:val="00D27A0A"/>
    <w:rsid w:val="00D27AB6"/>
    <w:rsid w:val="00D27BDD"/>
    <w:rsid w:val="00D27BF0"/>
    <w:rsid w:val="00D27F26"/>
    <w:rsid w:val="00D30286"/>
    <w:rsid w:val="00D30BAC"/>
    <w:rsid w:val="00D312BC"/>
    <w:rsid w:val="00D313DA"/>
    <w:rsid w:val="00D32AEA"/>
    <w:rsid w:val="00D33076"/>
    <w:rsid w:val="00D3371A"/>
    <w:rsid w:val="00D337A6"/>
    <w:rsid w:val="00D3460A"/>
    <w:rsid w:val="00D3529C"/>
    <w:rsid w:val="00D352F9"/>
    <w:rsid w:val="00D359AB"/>
    <w:rsid w:val="00D35CBF"/>
    <w:rsid w:val="00D366D1"/>
    <w:rsid w:val="00D3686C"/>
    <w:rsid w:val="00D3690E"/>
    <w:rsid w:val="00D36A0E"/>
    <w:rsid w:val="00D36A76"/>
    <w:rsid w:val="00D36E92"/>
    <w:rsid w:val="00D37086"/>
    <w:rsid w:val="00D372FD"/>
    <w:rsid w:val="00D37BC1"/>
    <w:rsid w:val="00D37C81"/>
    <w:rsid w:val="00D37D70"/>
    <w:rsid w:val="00D40B0D"/>
    <w:rsid w:val="00D414AC"/>
    <w:rsid w:val="00D42252"/>
    <w:rsid w:val="00D422FE"/>
    <w:rsid w:val="00D42B5D"/>
    <w:rsid w:val="00D42ED2"/>
    <w:rsid w:val="00D43034"/>
    <w:rsid w:val="00D4316C"/>
    <w:rsid w:val="00D43AC2"/>
    <w:rsid w:val="00D45A56"/>
    <w:rsid w:val="00D45DCA"/>
    <w:rsid w:val="00D45E54"/>
    <w:rsid w:val="00D46052"/>
    <w:rsid w:val="00D465F4"/>
    <w:rsid w:val="00D46AA1"/>
    <w:rsid w:val="00D46B34"/>
    <w:rsid w:val="00D47273"/>
    <w:rsid w:val="00D476EB"/>
    <w:rsid w:val="00D47829"/>
    <w:rsid w:val="00D47A82"/>
    <w:rsid w:val="00D501A6"/>
    <w:rsid w:val="00D501D6"/>
    <w:rsid w:val="00D506E5"/>
    <w:rsid w:val="00D508A1"/>
    <w:rsid w:val="00D50AF2"/>
    <w:rsid w:val="00D50C3A"/>
    <w:rsid w:val="00D50D4A"/>
    <w:rsid w:val="00D50E7D"/>
    <w:rsid w:val="00D514D4"/>
    <w:rsid w:val="00D515E2"/>
    <w:rsid w:val="00D52309"/>
    <w:rsid w:val="00D52B9A"/>
    <w:rsid w:val="00D53169"/>
    <w:rsid w:val="00D53776"/>
    <w:rsid w:val="00D53794"/>
    <w:rsid w:val="00D5432C"/>
    <w:rsid w:val="00D54BB8"/>
    <w:rsid w:val="00D54BD9"/>
    <w:rsid w:val="00D5507F"/>
    <w:rsid w:val="00D556AD"/>
    <w:rsid w:val="00D5585F"/>
    <w:rsid w:val="00D55932"/>
    <w:rsid w:val="00D55FEA"/>
    <w:rsid w:val="00D57841"/>
    <w:rsid w:val="00D57B8A"/>
    <w:rsid w:val="00D614FC"/>
    <w:rsid w:val="00D61B81"/>
    <w:rsid w:val="00D62F13"/>
    <w:rsid w:val="00D62FA8"/>
    <w:rsid w:val="00D63C00"/>
    <w:rsid w:val="00D63E7F"/>
    <w:rsid w:val="00D644EA"/>
    <w:rsid w:val="00D64860"/>
    <w:rsid w:val="00D64F41"/>
    <w:rsid w:val="00D652C1"/>
    <w:rsid w:val="00D65E65"/>
    <w:rsid w:val="00D66929"/>
    <w:rsid w:val="00D66946"/>
    <w:rsid w:val="00D66DB5"/>
    <w:rsid w:val="00D67CB3"/>
    <w:rsid w:val="00D7110F"/>
    <w:rsid w:val="00D71404"/>
    <w:rsid w:val="00D71C8F"/>
    <w:rsid w:val="00D71F81"/>
    <w:rsid w:val="00D72A0A"/>
    <w:rsid w:val="00D72A17"/>
    <w:rsid w:val="00D72E52"/>
    <w:rsid w:val="00D737D8"/>
    <w:rsid w:val="00D738A0"/>
    <w:rsid w:val="00D73A5E"/>
    <w:rsid w:val="00D744B3"/>
    <w:rsid w:val="00D74631"/>
    <w:rsid w:val="00D74A92"/>
    <w:rsid w:val="00D74B4F"/>
    <w:rsid w:val="00D74C38"/>
    <w:rsid w:val="00D7552D"/>
    <w:rsid w:val="00D756D8"/>
    <w:rsid w:val="00D76981"/>
    <w:rsid w:val="00D76BAC"/>
    <w:rsid w:val="00D76D0E"/>
    <w:rsid w:val="00D7751C"/>
    <w:rsid w:val="00D80A7D"/>
    <w:rsid w:val="00D8151F"/>
    <w:rsid w:val="00D81D7B"/>
    <w:rsid w:val="00D81E01"/>
    <w:rsid w:val="00D82990"/>
    <w:rsid w:val="00D830E4"/>
    <w:rsid w:val="00D8321B"/>
    <w:rsid w:val="00D835D2"/>
    <w:rsid w:val="00D83619"/>
    <w:rsid w:val="00D83D6B"/>
    <w:rsid w:val="00D8411D"/>
    <w:rsid w:val="00D84CC9"/>
    <w:rsid w:val="00D86512"/>
    <w:rsid w:val="00D86BE5"/>
    <w:rsid w:val="00D86C2A"/>
    <w:rsid w:val="00D86CD1"/>
    <w:rsid w:val="00D87670"/>
    <w:rsid w:val="00D87DCD"/>
    <w:rsid w:val="00D90067"/>
    <w:rsid w:val="00D90229"/>
    <w:rsid w:val="00D90500"/>
    <w:rsid w:val="00D90600"/>
    <w:rsid w:val="00D90CBC"/>
    <w:rsid w:val="00D90CC1"/>
    <w:rsid w:val="00D90E81"/>
    <w:rsid w:val="00D910BC"/>
    <w:rsid w:val="00D911D2"/>
    <w:rsid w:val="00D912D2"/>
    <w:rsid w:val="00D912DA"/>
    <w:rsid w:val="00D9132B"/>
    <w:rsid w:val="00D919CC"/>
    <w:rsid w:val="00D921D7"/>
    <w:rsid w:val="00D926B4"/>
    <w:rsid w:val="00D92D24"/>
    <w:rsid w:val="00D93A9C"/>
    <w:rsid w:val="00D93CB6"/>
    <w:rsid w:val="00D94111"/>
    <w:rsid w:val="00D94402"/>
    <w:rsid w:val="00D94590"/>
    <w:rsid w:val="00D945FE"/>
    <w:rsid w:val="00D94932"/>
    <w:rsid w:val="00D95DB8"/>
    <w:rsid w:val="00D96400"/>
    <w:rsid w:val="00D96497"/>
    <w:rsid w:val="00D96760"/>
    <w:rsid w:val="00D969AA"/>
    <w:rsid w:val="00D974A9"/>
    <w:rsid w:val="00D975EA"/>
    <w:rsid w:val="00D97C72"/>
    <w:rsid w:val="00D97CDE"/>
    <w:rsid w:val="00DA04AB"/>
    <w:rsid w:val="00DA0C46"/>
    <w:rsid w:val="00DA0E4D"/>
    <w:rsid w:val="00DA1AFE"/>
    <w:rsid w:val="00DA1CC6"/>
    <w:rsid w:val="00DA2E1C"/>
    <w:rsid w:val="00DA2E79"/>
    <w:rsid w:val="00DA3210"/>
    <w:rsid w:val="00DA3A60"/>
    <w:rsid w:val="00DA3C37"/>
    <w:rsid w:val="00DA3CB5"/>
    <w:rsid w:val="00DA480F"/>
    <w:rsid w:val="00DA503A"/>
    <w:rsid w:val="00DA5125"/>
    <w:rsid w:val="00DA59BB"/>
    <w:rsid w:val="00DA64F2"/>
    <w:rsid w:val="00DA684D"/>
    <w:rsid w:val="00DA707D"/>
    <w:rsid w:val="00DA727A"/>
    <w:rsid w:val="00DA754B"/>
    <w:rsid w:val="00DA75E7"/>
    <w:rsid w:val="00DA7B9E"/>
    <w:rsid w:val="00DB03F7"/>
    <w:rsid w:val="00DB0530"/>
    <w:rsid w:val="00DB08FB"/>
    <w:rsid w:val="00DB1217"/>
    <w:rsid w:val="00DB1264"/>
    <w:rsid w:val="00DB1350"/>
    <w:rsid w:val="00DB15BE"/>
    <w:rsid w:val="00DB3F73"/>
    <w:rsid w:val="00DB4C1E"/>
    <w:rsid w:val="00DB56D5"/>
    <w:rsid w:val="00DB5C5C"/>
    <w:rsid w:val="00DB5C97"/>
    <w:rsid w:val="00DB69C0"/>
    <w:rsid w:val="00DB6FBC"/>
    <w:rsid w:val="00DB798F"/>
    <w:rsid w:val="00DB7B3F"/>
    <w:rsid w:val="00DB7FF9"/>
    <w:rsid w:val="00DC04D6"/>
    <w:rsid w:val="00DC06A0"/>
    <w:rsid w:val="00DC06D3"/>
    <w:rsid w:val="00DC0DF0"/>
    <w:rsid w:val="00DC0F66"/>
    <w:rsid w:val="00DC1238"/>
    <w:rsid w:val="00DC15A4"/>
    <w:rsid w:val="00DC15B9"/>
    <w:rsid w:val="00DC1CD9"/>
    <w:rsid w:val="00DC1DC6"/>
    <w:rsid w:val="00DC1F5A"/>
    <w:rsid w:val="00DC23A0"/>
    <w:rsid w:val="00DC23ED"/>
    <w:rsid w:val="00DC3047"/>
    <w:rsid w:val="00DC3375"/>
    <w:rsid w:val="00DC3B21"/>
    <w:rsid w:val="00DC3B9D"/>
    <w:rsid w:val="00DC40B5"/>
    <w:rsid w:val="00DC4580"/>
    <w:rsid w:val="00DC4EE8"/>
    <w:rsid w:val="00DC4FEF"/>
    <w:rsid w:val="00DC548F"/>
    <w:rsid w:val="00DC5B26"/>
    <w:rsid w:val="00DC5C0C"/>
    <w:rsid w:val="00DC627D"/>
    <w:rsid w:val="00DC786B"/>
    <w:rsid w:val="00DD0459"/>
    <w:rsid w:val="00DD0A97"/>
    <w:rsid w:val="00DD0BDF"/>
    <w:rsid w:val="00DD1441"/>
    <w:rsid w:val="00DD22C3"/>
    <w:rsid w:val="00DD352B"/>
    <w:rsid w:val="00DD3642"/>
    <w:rsid w:val="00DD398A"/>
    <w:rsid w:val="00DD426A"/>
    <w:rsid w:val="00DD4673"/>
    <w:rsid w:val="00DD4D22"/>
    <w:rsid w:val="00DD4DF8"/>
    <w:rsid w:val="00DD5011"/>
    <w:rsid w:val="00DD51FE"/>
    <w:rsid w:val="00DD5665"/>
    <w:rsid w:val="00DD61AD"/>
    <w:rsid w:val="00DD64BF"/>
    <w:rsid w:val="00DD6626"/>
    <w:rsid w:val="00DD6836"/>
    <w:rsid w:val="00DD6B85"/>
    <w:rsid w:val="00DD7508"/>
    <w:rsid w:val="00DD7679"/>
    <w:rsid w:val="00DD793A"/>
    <w:rsid w:val="00DE0315"/>
    <w:rsid w:val="00DE066D"/>
    <w:rsid w:val="00DE0DBA"/>
    <w:rsid w:val="00DE1315"/>
    <w:rsid w:val="00DE1839"/>
    <w:rsid w:val="00DE19B8"/>
    <w:rsid w:val="00DE20BE"/>
    <w:rsid w:val="00DE22A6"/>
    <w:rsid w:val="00DE2534"/>
    <w:rsid w:val="00DE2697"/>
    <w:rsid w:val="00DE2891"/>
    <w:rsid w:val="00DE2A67"/>
    <w:rsid w:val="00DE34B6"/>
    <w:rsid w:val="00DE39C1"/>
    <w:rsid w:val="00DE3CAD"/>
    <w:rsid w:val="00DE3FF2"/>
    <w:rsid w:val="00DE4697"/>
    <w:rsid w:val="00DE536D"/>
    <w:rsid w:val="00DE541D"/>
    <w:rsid w:val="00DE57A9"/>
    <w:rsid w:val="00DE5958"/>
    <w:rsid w:val="00DE6289"/>
    <w:rsid w:val="00DE6424"/>
    <w:rsid w:val="00DE6EAB"/>
    <w:rsid w:val="00DE7996"/>
    <w:rsid w:val="00DE7A47"/>
    <w:rsid w:val="00DE7E6A"/>
    <w:rsid w:val="00DF0049"/>
    <w:rsid w:val="00DF0AEA"/>
    <w:rsid w:val="00DF0BF5"/>
    <w:rsid w:val="00DF0F88"/>
    <w:rsid w:val="00DF14C2"/>
    <w:rsid w:val="00DF1C25"/>
    <w:rsid w:val="00DF2AF9"/>
    <w:rsid w:val="00DF2F7C"/>
    <w:rsid w:val="00DF3512"/>
    <w:rsid w:val="00DF43F7"/>
    <w:rsid w:val="00DF4678"/>
    <w:rsid w:val="00DF46A7"/>
    <w:rsid w:val="00DF4A4D"/>
    <w:rsid w:val="00DF4CAE"/>
    <w:rsid w:val="00DF4F64"/>
    <w:rsid w:val="00DF504C"/>
    <w:rsid w:val="00DF50C7"/>
    <w:rsid w:val="00DF517B"/>
    <w:rsid w:val="00DF52BE"/>
    <w:rsid w:val="00DF56D3"/>
    <w:rsid w:val="00DF5DEF"/>
    <w:rsid w:val="00DF5E2B"/>
    <w:rsid w:val="00DF5F1C"/>
    <w:rsid w:val="00DF6BB8"/>
    <w:rsid w:val="00DF6CDD"/>
    <w:rsid w:val="00E0001B"/>
    <w:rsid w:val="00E009D2"/>
    <w:rsid w:val="00E00AE3"/>
    <w:rsid w:val="00E01025"/>
    <w:rsid w:val="00E018D0"/>
    <w:rsid w:val="00E02037"/>
    <w:rsid w:val="00E0317A"/>
    <w:rsid w:val="00E03A32"/>
    <w:rsid w:val="00E03A6B"/>
    <w:rsid w:val="00E03B24"/>
    <w:rsid w:val="00E03B26"/>
    <w:rsid w:val="00E03C4F"/>
    <w:rsid w:val="00E03EF0"/>
    <w:rsid w:val="00E05146"/>
    <w:rsid w:val="00E06562"/>
    <w:rsid w:val="00E06672"/>
    <w:rsid w:val="00E07792"/>
    <w:rsid w:val="00E077F8"/>
    <w:rsid w:val="00E10484"/>
    <w:rsid w:val="00E11109"/>
    <w:rsid w:val="00E1215F"/>
    <w:rsid w:val="00E126B5"/>
    <w:rsid w:val="00E12711"/>
    <w:rsid w:val="00E12857"/>
    <w:rsid w:val="00E12D02"/>
    <w:rsid w:val="00E12F71"/>
    <w:rsid w:val="00E1374A"/>
    <w:rsid w:val="00E13914"/>
    <w:rsid w:val="00E13BAD"/>
    <w:rsid w:val="00E14A26"/>
    <w:rsid w:val="00E1503B"/>
    <w:rsid w:val="00E154F6"/>
    <w:rsid w:val="00E156B3"/>
    <w:rsid w:val="00E159A8"/>
    <w:rsid w:val="00E162F9"/>
    <w:rsid w:val="00E163C0"/>
    <w:rsid w:val="00E169B1"/>
    <w:rsid w:val="00E16F49"/>
    <w:rsid w:val="00E17091"/>
    <w:rsid w:val="00E17308"/>
    <w:rsid w:val="00E176FE"/>
    <w:rsid w:val="00E17B2D"/>
    <w:rsid w:val="00E2052D"/>
    <w:rsid w:val="00E207BA"/>
    <w:rsid w:val="00E208F6"/>
    <w:rsid w:val="00E20BBD"/>
    <w:rsid w:val="00E20C41"/>
    <w:rsid w:val="00E20D95"/>
    <w:rsid w:val="00E215E9"/>
    <w:rsid w:val="00E2161B"/>
    <w:rsid w:val="00E223E5"/>
    <w:rsid w:val="00E22448"/>
    <w:rsid w:val="00E226A7"/>
    <w:rsid w:val="00E22A35"/>
    <w:rsid w:val="00E22B39"/>
    <w:rsid w:val="00E23445"/>
    <w:rsid w:val="00E235B7"/>
    <w:rsid w:val="00E24145"/>
    <w:rsid w:val="00E24DD2"/>
    <w:rsid w:val="00E25669"/>
    <w:rsid w:val="00E25E63"/>
    <w:rsid w:val="00E25EBA"/>
    <w:rsid w:val="00E25F3B"/>
    <w:rsid w:val="00E26381"/>
    <w:rsid w:val="00E26DDA"/>
    <w:rsid w:val="00E26F86"/>
    <w:rsid w:val="00E277E6"/>
    <w:rsid w:val="00E27A3D"/>
    <w:rsid w:val="00E27E1F"/>
    <w:rsid w:val="00E30074"/>
    <w:rsid w:val="00E30101"/>
    <w:rsid w:val="00E301F8"/>
    <w:rsid w:val="00E306E8"/>
    <w:rsid w:val="00E30B4B"/>
    <w:rsid w:val="00E311FD"/>
    <w:rsid w:val="00E3165D"/>
    <w:rsid w:val="00E31941"/>
    <w:rsid w:val="00E31C6C"/>
    <w:rsid w:val="00E31E01"/>
    <w:rsid w:val="00E32678"/>
    <w:rsid w:val="00E3296D"/>
    <w:rsid w:val="00E32B9E"/>
    <w:rsid w:val="00E32F82"/>
    <w:rsid w:val="00E33F9A"/>
    <w:rsid w:val="00E3408E"/>
    <w:rsid w:val="00E344A9"/>
    <w:rsid w:val="00E348A1"/>
    <w:rsid w:val="00E34D0A"/>
    <w:rsid w:val="00E353C9"/>
    <w:rsid w:val="00E35689"/>
    <w:rsid w:val="00E3615C"/>
    <w:rsid w:val="00E362A8"/>
    <w:rsid w:val="00E36700"/>
    <w:rsid w:val="00E367B1"/>
    <w:rsid w:val="00E36AFE"/>
    <w:rsid w:val="00E36C9F"/>
    <w:rsid w:val="00E36D99"/>
    <w:rsid w:val="00E37042"/>
    <w:rsid w:val="00E3789C"/>
    <w:rsid w:val="00E37F57"/>
    <w:rsid w:val="00E40565"/>
    <w:rsid w:val="00E405FA"/>
    <w:rsid w:val="00E4072F"/>
    <w:rsid w:val="00E40799"/>
    <w:rsid w:val="00E40CE1"/>
    <w:rsid w:val="00E40E90"/>
    <w:rsid w:val="00E40F39"/>
    <w:rsid w:val="00E41435"/>
    <w:rsid w:val="00E414CA"/>
    <w:rsid w:val="00E41771"/>
    <w:rsid w:val="00E418C5"/>
    <w:rsid w:val="00E41C4D"/>
    <w:rsid w:val="00E41E9A"/>
    <w:rsid w:val="00E4235A"/>
    <w:rsid w:val="00E425D5"/>
    <w:rsid w:val="00E42607"/>
    <w:rsid w:val="00E4261E"/>
    <w:rsid w:val="00E428EA"/>
    <w:rsid w:val="00E42D61"/>
    <w:rsid w:val="00E4351B"/>
    <w:rsid w:val="00E43692"/>
    <w:rsid w:val="00E43874"/>
    <w:rsid w:val="00E43E62"/>
    <w:rsid w:val="00E44540"/>
    <w:rsid w:val="00E4491B"/>
    <w:rsid w:val="00E44C18"/>
    <w:rsid w:val="00E45113"/>
    <w:rsid w:val="00E4533C"/>
    <w:rsid w:val="00E453A7"/>
    <w:rsid w:val="00E455F7"/>
    <w:rsid w:val="00E45D47"/>
    <w:rsid w:val="00E45F1F"/>
    <w:rsid w:val="00E46114"/>
    <w:rsid w:val="00E46144"/>
    <w:rsid w:val="00E4621E"/>
    <w:rsid w:val="00E46237"/>
    <w:rsid w:val="00E47673"/>
    <w:rsid w:val="00E47848"/>
    <w:rsid w:val="00E5163F"/>
    <w:rsid w:val="00E521A5"/>
    <w:rsid w:val="00E5247D"/>
    <w:rsid w:val="00E5268D"/>
    <w:rsid w:val="00E52EEE"/>
    <w:rsid w:val="00E5337D"/>
    <w:rsid w:val="00E53874"/>
    <w:rsid w:val="00E53E23"/>
    <w:rsid w:val="00E53E3C"/>
    <w:rsid w:val="00E5461B"/>
    <w:rsid w:val="00E548AE"/>
    <w:rsid w:val="00E54DF0"/>
    <w:rsid w:val="00E54FB6"/>
    <w:rsid w:val="00E55235"/>
    <w:rsid w:val="00E5577B"/>
    <w:rsid w:val="00E566B2"/>
    <w:rsid w:val="00E56767"/>
    <w:rsid w:val="00E56DF5"/>
    <w:rsid w:val="00E5752A"/>
    <w:rsid w:val="00E57664"/>
    <w:rsid w:val="00E60060"/>
    <w:rsid w:val="00E61424"/>
    <w:rsid w:val="00E61D61"/>
    <w:rsid w:val="00E6223B"/>
    <w:rsid w:val="00E6262D"/>
    <w:rsid w:val="00E628B9"/>
    <w:rsid w:val="00E629B1"/>
    <w:rsid w:val="00E63067"/>
    <w:rsid w:val="00E63477"/>
    <w:rsid w:val="00E6374A"/>
    <w:rsid w:val="00E639D5"/>
    <w:rsid w:val="00E644E7"/>
    <w:rsid w:val="00E6472D"/>
    <w:rsid w:val="00E64872"/>
    <w:rsid w:val="00E649AF"/>
    <w:rsid w:val="00E652E2"/>
    <w:rsid w:val="00E655FF"/>
    <w:rsid w:val="00E65A09"/>
    <w:rsid w:val="00E65FFD"/>
    <w:rsid w:val="00E668AF"/>
    <w:rsid w:val="00E66F09"/>
    <w:rsid w:val="00E67B86"/>
    <w:rsid w:val="00E67E07"/>
    <w:rsid w:val="00E67F1E"/>
    <w:rsid w:val="00E7023C"/>
    <w:rsid w:val="00E70B59"/>
    <w:rsid w:val="00E71A7C"/>
    <w:rsid w:val="00E71EAF"/>
    <w:rsid w:val="00E72432"/>
    <w:rsid w:val="00E72929"/>
    <w:rsid w:val="00E72E72"/>
    <w:rsid w:val="00E733DF"/>
    <w:rsid w:val="00E73896"/>
    <w:rsid w:val="00E73A3C"/>
    <w:rsid w:val="00E749E1"/>
    <w:rsid w:val="00E74EC3"/>
    <w:rsid w:val="00E75336"/>
    <w:rsid w:val="00E755E1"/>
    <w:rsid w:val="00E7590C"/>
    <w:rsid w:val="00E75AC3"/>
    <w:rsid w:val="00E75B0D"/>
    <w:rsid w:val="00E75B5C"/>
    <w:rsid w:val="00E75C2D"/>
    <w:rsid w:val="00E769C3"/>
    <w:rsid w:val="00E76A27"/>
    <w:rsid w:val="00E76FB8"/>
    <w:rsid w:val="00E77281"/>
    <w:rsid w:val="00E7731B"/>
    <w:rsid w:val="00E8110A"/>
    <w:rsid w:val="00E812E3"/>
    <w:rsid w:val="00E823E8"/>
    <w:rsid w:val="00E82F42"/>
    <w:rsid w:val="00E83191"/>
    <w:rsid w:val="00E83518"/>
    <w:rsid w:val="00E83CBE"/>
    <w:rsid w:val="00E8428C"/>
    <w:rsid w:val="00E85687"/>
    <w:rsid w:val="00E85AED"/>
    <w:rsid w:val="00E85DCE"/>
    <w:rsid w:val="00E86164"/>
    <w:rsid w:val="00E8630B"/>
    <w:rsid w:val="00E86B30"/>
    <w:rsid w:val="00E86CBD"/>
    <w:rsid w:val="00E87007"/>
    <w:rsid w:val="00E87448"/>
    <w:rsid w:val="00E87E10"/>
    <w:rsid w:val="00E87FF7"/>
    <w:rsid w:val="00E901D9"/>
    <w:rsid w:val="00E901FE"/>
    <w:rsid w:val="00E90408"/>
    <w:rsid w:val="00E909D8"/>
    <w:rsid w:val="00E90D54"/>
    <w:rsid w:val="00E90E00"/>
    <w:rsid w:val="00E91013"/>
    <w:rsid w:val="00E912D2"/>
    <w:rsid w:val="00E91B5C"/>
    <w:rsid w:val="00E92105"/>
    <w:rsid w:val="00E92BBC"/>
    <w:rsid w:val="00E92F94"/>
    <w:rsid w:val="00E93232"/>
    <w:rsid w:val="00E93710"/>
    <w:rsid w:val="00E9405B"/>
    <w:rsid w:val="00E9409A"/>
    <w:rsid w:val="00E942AF"/>
    <w:rsid w:val="00E948B0"/>
    <w:rsid w:val="00E960E5"/>
    <w:rsid w:val="00E9616E"/>
    <w:rsid w:val="00E9669F"/>
    <w:rsid w:val="00E967AE"/>
    <w:rsid w:val="00E96864"/>
    <w:rsid w:val="00E97462"/>
    <w:rsid w:val="00E97987"/>
    <w:rsid w:val="00E97E62"/>
    <w:rsid w:val="00EA054D"/>
    <w:rsid w:val="00EA0654"/>
    <w:rsid w:val="00EA0894"/>
    <w:rsid w:val="00EA0CE0"/>
    <w:rsid w:val="00EA0F05"/>
    <w:rsid w:val="00EA127E"/>
    <w:rsid w:val="00EA1318"/>
    <w:rsid w:val="00EA155D"/>
    <w:rsid w:val="00EA243D"/>
    <w:rsid w:val="00EA252B"/>
    <w:rsid w:val="00EA290B"/>
    <w:rsid w:val="00EA2A48"/>
    <w:rsid w:val="00EA3748"/>
    <w:rsid w:val="00EA49EE"/>
    <w:rsid w:val="00EA51BD"/>
    <w:rsid w:val="00EA5539"/>
    <w:rsid w:val="00EA55FF"/>
    <w:rsid w:val="00EA665B"/>
    <w:rsid w:val="00EA669F"/>
    <w:rsid w:val="00EA6723"/>
    <w:rsid w:val="00EA6E62"/>
    <w:rsid w:val="00EA73BA"/>
    <w:rsid w:val="00EA76D8"/>
    <w:rsid w:val="00EA7AB8"/>
    <w:rsid w:val="00EB027F"/>
    <w:rsid w:val="00EB08F8"/>
    <w:rsid w:val="00EB0DD9"/>
    <w:rsid w:val="00EB0F6B"/>
    <w:rsid w:val="00EB1D71"/>
    <w:rsid w:val="00EB21AF"/>
    <w:rsid w:val="00EB242C"/>
    <w:rsid w:val="00EB2643"/>
    <w:rsid w:val="00EB2C27"/>
    <w:rsid w:val="00EB3A73"/>
    <w:rsid w:val="00EB3AF0"/>
    <w:rsid w:val="00EB4CD2"/>
    <w:rsid w:val="00EB52FE"/>
    <w:rsid w:val="00EB59A2"/>
    <w:rsid w:val="00EB5B13"/>
    <w:rsid w:val="00EB71E9"/>
    <w:rsid w:val="00EB7C76"/>
    <w:rsid w:val="00EC0CA9"/>
    <w:rsid w:val="00EC20BA"/>
    <w:rsid w:val="00EC2717"/>
    <w:rsid w:val="00EC28BA"/>
    <w:rsid w:val="00EC2A6F"/>
    <w:rsid w:val="00EC2B7F"/>
    <w:rsid w:val="00EC310E"/>
    <w:rsid w:val="00EC3322"/>
    <w:rsid w:val="00EC3AAE"/>
    <w:rsid w:val="00EC3D6E"/>
    <w:rsid w:val="00EC4B1A"/>
    <w:rsid w:val="00EC4B3C"/>
    <w:rsid w:val="00EC64D9"/>
    <w:rsid w:val="00EC6D33"/>
    <w:rsid w:val="00EC7021"/>
    <w:rsid w:val="00EC76BC"/>
    <w:rsid w:val="00EC78D7"/>
    <w:rsid w:val="00EC7CF9"/>
    <w:rsid w:val="00ED06BD"/>
    <w:rsid w:val="00ED1086"/>
    <w:rsid w:val="00ED111A"/>
    <w:rsid w:val="00ED1CFA"/>
    <w:rsid w:val="00ED2CFE"/>
    <w:rsid w:val="00ED3380"/>
    <w:rsid w:val="00ED33F3"/>
    <w:rsid w:val="00ED341C"/>
    <w:rsid w:val="00ED3523"/>
    <w:rsid w:val="00ED3834"/>
    <w:rsid w:val="00ED3873"/>
    <w:rsid w:val="00ED3961"/>
    <w:rsid w:val="00ED41CE"/>
    <w:rsid w:val="00ED4522"/>
    <w:rsid w:val="00ED477B"/>
    <w:rsid w:val="00ED4BC2"/>
    <w:rsid w:val="00ED4D6B"/>
    <w:rsid w:val="00ED52DF"/>
    <w:rsid w:val="00ED5AC2"/>
    <w:rsid w:val="00ED5B7C"/>
    <w:rsid w:val="00ED5C29"/>
    <w:rsid w:val="00ED64C1"/>
    <w:rsid w:val="00ED6729"/>
    <w:rsid w:val="00ED76CE"/>
    <w:rsid w:val="00ED7CD4"/>
    <w:rsid w:val="00ED7F14"/>
    <w:rsid w:val="00EE12AE"/>
    <w:rsid w:val="00EE14E3"/>
    <w:rsid w:val="00EE1D8E"/>
    <w:rsid w:val="00EE233D"/>
    <w:rsid w:val="00EE2643"/>
    <w:rsid w:val="00EE26CD"/>
    <w:rsid w:val="00EE27A6"/>
    <w:rsid w:val="00EE2D53"/>
    <w:rsid w:val="00EE3028"/>
    <w:rsid w:val="00EE33B1"/>
    <w:rsid w:val="00EE38A4"/>
    <w:rsid w:val="00EE3A37"/>
    <w:rsid w:val="00EE3D65"/>
    <w:rsid w:val="00EE4105"/>
    <w:rsid w:val="00EE4246"/>
    <w:rsid w:val="00EE446A"/>
    <w:rsid w:val="00EE470F"/>
    <w:rsid w:val="00EE4C49"/>
    <w:rsid w:val="00EE542D"/>
    <w:rsid w:val="00EE5CCB"/>
    <w:rsid w:val="00EE6A55"/>
    <w:rsid w:val="00EE6CE3"/>
    <w:rsid w:val="00EE6D2D"/>
    <w:rsid w:val="00EE7AEE"/>
    <w:rsid w:val="00EE7BA0"/>
    <w:rsid w:val="00EF05C1"/>
    <w:rsid w:val="00EF0790"/>
    <w:rsid w:val="00EF08EC"/>
    <w:rsid w:val="00EF0F6B"/>
    <w:rsid w:val="00EF10F5"/>
    <w:rsid w:val="00EF2DA1"/>
    <w:rsid w:val="00EF2F49"/>
    <w:rsid w:val="00EF323E"/>
    <w:rsid w:val="00EF3938"/>
    <w:rsid w:val="00EF47E0"/>
    <w:rsid w:val="00EF4926"/>
    <w:rsid w:val="00EF5DD5"/>
    <w:rsid w:val="00EF6354"/>
    <w:rsid w:val="00EF684C"/>
    <w:rsid w:val="00EF6BF5"/>
    <w:rsid w:val="00EF6D88"/>
    <w:rsid w:val="00EF70E5"/>
    <w:rsid w:val="00EF7677"/>
    <w:rsid w:val="00EF79B1"/>
    <w:rsid w:val="00EF7A5F"/>
    <w:rsid w:val="00F0094C"/>
    <w:rsid w:val="00F00E3D"/>
    <w:rsid w:val="00F00F96"/>
    <w:rsid w:val="00F01079"/>
    <w:rsid w:val="00F01DC6"/>
    <w:rsid w:val="00F01DFD"/>
    <w:rsid w:val="00F01F28"/>
    <w:rsid w:val="00F02137"/>
    <w:rsid w:val="00F022F4"/>
    <w:rsid w:val="00F02C9E"/>
    <w:rsid w:val="00F043B8"/>
    <w:rsid w:val="00F05564"/>
    <w:rsid w:val="00F05714"/>
    <w:rsid w:val="00F05D0C"/>
    <w:rsid w:val="00F06A96"/>
    <w:rsid w:val="00F06AB4"/>
    <w:rsid w:val="00F06CD3"/>
    <w:rsid w:val="00F07107"/>
    <w:rsid w:val="00F076BB"/>
    <w:rsid w:val="00F07C9D"/>
    <w:rsid w:val="00F07EF5"/>
    <w:rsid w:val="00F10045"/>
    <w:rsid w:val="00F10A8A"/>
    <w:rsid w:val="00F10F45"/>
    <w:rsid w:val="00F10F4E"/>
    <w:rsid w:val="00F11449"/>
    <w:rsid w:val="00F115A1"/>
    <w:rsid w:val="00F1195C"/>
    <w:rsid w:val="00F11E02"/>
    <w:rsid w:val="00F11E4F"/>
    <w:rsid w:val="00F124F1"/>
    <w:rsid w:val="00F1262D"/>
    <w:rsid w:val="00F12761"/>
    <w:rsid w:val="00F12A91"/>
    <w:rsid w:val="00F12FA5"/>
    <w:rsid w:val="00F1373A"/>
    <w:rsid w:val="00F13978"/>
    <w:rsid w:val="00F140DD"/>
    <w:rsid w:val="00F14597"/>
    <w:rsid w:val="00F14B65"/>
    <w:rsid w:val="00F158ED"/>
    <w:rsid w:val="00F1655F"/>
    <w:rsid w:val="00F16F32"/>
    <w:rsid w:val="00F17A10"/>
    <w:rsid w:val="00F17D8B"/>
    <w:rsid w:val="00F20B01"/>
    <w:rsid w:val="00F20E0B"/>
    <w:rsid w:val="00F21323"/>
    <w:rsid w:val="00F21BAD"/>
    <w:rsid w:val="00F22E37"/>
    <w:rsid w:val="00F238BD"/>
    <w:rsid w:val="00F24173"/>
    <w:rsid w:val="00F2417C"/>
    <w:rsid w:val="00F243DA"/>
    <w:rsid w:val="00F244FE"/>
    <w:rsid w:val="00F2457A"/>
    <w:rsid w:val="00F245C0"/>
    <w:rsid w:val="00F24605"/>
    <w:rsid w:val="00F24727"/>
    <w:rsid w:val="00F24C33"/>
    <w:rsid w:val="00F24F6B"/>
    <w:rsid w:val="00F2501C"/>
    <w:rsid w:val="00F2520B"/>
    <w:rsid w:val="00F2537E"/>
    <w:rsid w:val="00F25CAB"/>
    <w:rsid w:val="00F264CA"/>
    <w:rsid w:val="00F26646"/>
    <w:rsid w:val="00F279F2"/>
    <w:rsid w:val="00F27B3F"/>
    <w:rsid w:val="00F300EB"/>
    <w:rsid w:val="00F3028C"/>
    <w:rsid w:val="00F3049F"/>
    <w:rsid w:val="00F30734"/>
    <w:rsid w:val="00F30CBC"/>
    <w:rsid w:val="00F30E57"/>
    <w:rsid w:val="00F31156"/>
    <w:rsid w:val="00F317DE"/>
    <w:rsid w:val="00F31D3E"/>
    <w:rsid w:val="00F321F5"/>
    <w:rsid w:val="00F3222B"/>
    <w:rsid w:val="00F3245E"/>
    <w:rsid w:val="00F332DA"/>
    <w:rsid w:val="00F336A2"/>
    <w:rsid w:val="00F3375E"/>
    <w:rsid w:val="00F33CDA"/>
    <w:rsid w:val="00F3402D"/>
    <w:rsid w:val="00F34180"/>
    <w:rsid w:val="00F34344"/>
    <w:rsid w:val="00F35E34"/>
    <w:rsid w:val="00F36858"/>
    <w:rsid w:val="00F3698B"/>
    <w:rsid w:val="00F37270"/>
    <w:rsid w:val="00F374F0"/>
    <w:rsid w:val="00F4013F"/>
    <w:rsid w:val="00F40707"/>
    <w:rsid w:val="00F40AC7"/>
    <w:rsid w:val="00F41497"/>
    <w:rsid w:val="00F41817"/>
    <w:rsid w:val="00F41A20"/>
    <w:rsid w:val="00F41B37"/>
    <w:rsid w:val="00F41E06"/>
    <w:rsid w:val="00F42299"/>
    <w:rsid w:val="00F425F1"/>
    <w:rsid w:val="00F4285B"/>
    <w:rsid w:val="00F42CDA"/>
    <w:rsid w:val="00F42D3C"/>
    <w:rsid w:val="00F43775"/>
    <w:rsid w:val="00F4386C"/>
    <w:rsid w:val="00F43893"/>
    <w:rsid w:val="00F43B29"/>
    <w:rsid w:val="00F43BBA"/>
    <w:rsid w:val="00F43C0A"/>
    <w:rsid w:val="00F44136"/>
    <w:rsid w:val="00F443D6"/>
    <w:rsid w:val="00F444D6"/>
    <w:rsid w:val="00F44F06"/>
    <w:rsid w:val="00F44F4F"/>
    <w:rsid w:val="00F45413"/>
    <w:rsid w:val="00F45436"/>
    <w:rsid w:val="00F46758"/>
    <w:rsid w:val="00F4680C"/>
    <w:rsid w:val="00F46C95"/>
    <w:rsid w:val="00F46EA3"/>
    <w:rsid w:val="00F46F24"/>
    <w:rsid w:val="00F475A3"/>
    <w:rsid w:val="00F5003B"/>
    <w:rsid w:val="00F501B8"/>
    <w:rsid w:val="00F50430"/>
    <w:rsid w:val="00F5061F"/>
    <w:rsid w:val="00F5085F"/>
    <w:rsid w:val="00F510C2"/>
    <w:rsid w:val="00F5161F"/>
    <w:rsid w:val="00F52055"/>
    <w:rsid w:val="00F52362"/>
    <w:rsid w:val="00F5273A"/>
    <w:rsid w:val="00F52886"/>
    <w:rsid w:val="00F52CC2"/>
    <w:rsid w:val="00F52D76"/>
    <w:rsid w:val="00F54C37"/>
    <w:rsid w:val="00F55C7A"/>
    <w:rsid w:val="00F567AF"/>
    <w:rsid w:val="00F56EB6"/>
    <w:rsid w:val="00F56F7D"/>
    <w:rsid w:val="00F57934"/>
    <w:rsid w:val="00F57971"/>
    <w:rsid w:val="00F57E40"/>
    <w:rsid w:val="00F6055A"/>
    <w:rsid w:val="00F6075F"/>
    <w:rsid w:val="00F60ECF"/>
    <w:rsid w:val="00F61567"/>
    <w:rsid w:val="00F6255D"/>
    <w:rsid w:val="00F62A34"/>
    <w:rsid w:val="00F62CAC"/>
    <w:rsid w:val="00F62FCF"/>
    <w:rsid w:val="00F631DD"/>
    <w:rsid w:val="00F632D7"/>
    <w:rsid w:val="00F63794"/>
    <w:rsid w:val="00F63930"/>
    <w:rsid w:val="00F63E47"/>
    <w:rsid w:val="00F63E89"/>
    <w:rsid w:val="00F6440D"/>
    <w:rsid w:val="00F64ACC"/>
    <w:rsid w:val="00F65260"/>
    <w:rsid w:val="00F659F0"/>
    <w:rsid w:val="00F65D58"/>
    <w:rsid w:val="00F66124"/>
    <w:rsid w:val="00F6669F"/>
    <w:rsid w:val="00F67005"/>
    <w:rsid w:val="00F674EF"/>
    <w:rsid w:val="00F675B3"/>
    <w:rsid w:val="00F67CA3"/>
    <w:rsid w:val="00F7015E"/>
    <w:rsid w:val="00F7042C"/>
    <w:rsid w:val="00F70CC8"/>
    <w:rsid w:val="00F70FEA"/>
    <w:rsid w:val="00F713CE"/>
    <w:rsid w:val="00F7151E"/>
    <w:rsid w:val="00F722C2"/>
    <w:rsid w:val="00F72A3C"/>
    <w:rsid w:val="00F72D77"/>
    <w:rsid w:val="00F73B1E"/>
    <w:rsid w:val="00F7420C"/>
    <w:rsid w:val="00F74476"/>
    <w:rsid w:val="00F751E5"/>
    <w:rsid w:val="00F75721"/>
    <w:rsid w:val="00F75AC1"/>
    <w:rsid w:val="00F76508"/>
    <w:rsid w:val="00F768A3"/>
    <w:rsid w:val="00F7696F"/>
    <w:rsid w:val="00F76AAB"/>
    <w:rsid w:val="00F7771C"/>
    <w:rsid w:val="00F8085E"/>
    <w:rsid w:val="00F81197"/>
    <w:rsid w:val="00F815B4"/>
    <w:rsid w:val="00F81699"/>
    <w:rsid w:val="00F81875"/>
    <w:rsid w:val="00F81973"/>
    <w:rsid w:val="00F82080"/>
    <w:rsid w:val="00F82761"/>
    <w:rsid w:val="00F82C64"/>
    <w:rsid w:val="00F82F8D"/>
    <w:rsid w:val="00F8311A"/>
    <w:rsid w:val="00F835A7"/>
    <w:rsid w:val="00F835C2"/>
    <w:rsid w:val="00F85374"/>
    <w:rsid w:val="00F85C81"/>
    <w:rsid w:val="00F86A36"/>
    <w:rsid w:val="00F86A98"/>
    <w:rsid w:val="00F86BA7"/>
    <w:rsid w:val="00F8709C"/>
    <w:rsid w:val="00F87C29"/>
    <w:rsid w:val="00F87DA9"/>
    <w:rsid w:val="00F90802"/>
    <w:rsid w:val="00F91023"/>
    <w:rsid w:val="00F911B3"/>
    <w:rsid w:val="00F91371"/>
    <w:rsid w:val="00F91999"/>
    <w:rsid w:val="00F92153"/>
    <w:rsid w:val="00F926E4"/>
    <w:rsid w:val="00F928AC"/>
    <w:rsid w:val="00F930D1"/>
    <w:rsid w:val="00F9349D"/>
    <w:rsid w:val="00F939CC"/>
    <w:rsid w:val="00F93DA7"/>
    <w:rsid w:val="00F94202"/>
    <w:rsid w:val="00F948EB"/>
    <w:rsid w:val="00F95953"/>
    <w:rsid w:val="00F96375"/>
    <w:rsid w:val="00F968B8"/>
    <w:rsid w:val="00F96BA3"/>
    <w:rsid w:val="00F96D0A"/>
    <w:rsid w:val="00F96F7C"/>
    <w:rsid w:val="00F97E14"/>
    <w:rsid w:val="00FA054B"/>
    <w:rsid w:val="00FA0A34"/>
    <w:rsid w:val="00FA0CAF"/>
    <w:rsid w:val="00FA0E69"/>
    <w:rsid w:val="00FA14F8"/>
    <w:rsid w:val="00FA1509"/>
    <w:rsid w:val="00FA179F"/>
    <w:rsid w:val="00FA1BD0"/>
    <w:rsid w:val="00FA271E"/>
    <w:rsid w:val="00FA3556"/>
    <w:rsid w:val="00FA486D"/>
    <w:rsid w:val="00FA54C3"/>
    <w:rsid w:val="00FA5590"/>
    <w:rsid w:val="00FA5798"/>
    <w:rsid w:val="00FA5B0F"/>
    <w:rsid w:val="00FA5DBF"/>
    <w:rsid w:val="00FA5E90"/>
    <w:rsid w:val="00FA5FA2"/>
    <w:rsid w:val="00FA6284"/>
    <w:rsid w:val="00FA6E20"/>
    <w:rsid w:val="00FA73B0"/>
    <w:rsid w:val="00FA7EAD"/>
    <w:rsid w:val="00FB0331"/>
    <w:rsid w:val="00FB04F5"/>
    <w:rsid w:val="00FB07AF"/>
    <w:rsid w:val="00FB181F"/>
    <w:rsid w:val="00FB21B6"/>
    <w:rsid w:val="00FB23FA"/>
    <w:rsid w:val="00FB2BC7"/>
    <w:rsid w:val="00FB2E38"/>
    <w:rsid w:val="00FB33DC"/>
    <w:rsid w:val="00FB3752"/>
    <w:rsid w:val="00FB37E3"/>
    <w:rsid w:val="00FB3B1C"/>
    <w:rsid w:val="00FB3B79"/>
    <w:rsid w:val="00FB3F18"/>
    <w:rsid w:val="00FB48D5"/>
    <w:rsid w:val="00FB4B7C"/>
    <w:rsid w:val="00FB4C78"/>
    <w:rsid w:val="00FB5847"/>
    <w:rsid w:val="00FB5D41"/>
    <w:rsid w:val="00FB6A11"/>
    <w:rsid w:val="00FB7481"/>
    <w:rsid w:val="00FC05B7"/>
    <w:rsid w:val="00FC07B0"/>
    <w:rsid w:val="00FC091E"/>
    <w:rsid w:val="00FC0FC9"/>
    <w:rsid w:val="00FC1E74"/>
    <w:rsid w:val="00FC1FD3"/>
    <w:rsid w:val="00FC217E"/>
    <w:rsid w:val="00FC26A6"/>
    <w:rsid w:val="00FC2A31"/>
    <w:rsid w:val="00FC32C7"/>
    <w:rsid w:val="00FC34F0"/>
    <w:rsid w:val="00FC359F"/>
    <w:rsid w:val="00FC35CE"/>
    <w:rsid w:val="00FC372D"/>
    <w:rsid w:val="00FC3DBA"/>
    <w:rsid w:val="00FC4DB1"/>
    <w:rsid w:val="00FC59DA"/>
    <w:rsid w:val="00FC5E42"/>
    <w:rsid w:val="00FC5F13"/>
    <w:rsid w:val="00FC63EA"/>
    <w:rsid w:val="00FC6649"/>
    <w:rsid w:val="00FC69EC"/>
    <w:rsid w:val="00FC7033"/>
    <w:rsid w:val="00FC7B75"/>
    <w:rsid w:val="00FD0186"/>
    <w:rsid w:val="00FD04AE"/>
    <w:rsid w:val="00FD0743"/>
    <w:rsid w:val="00FD07F3"/>
    <w:rsid w:val="00FD08C0"/>
    <w:rsid w:val="00FD0925"/>
    <w:rsid w:val="00FD168C"/>
    <w:rsid w:val="00FD1C61"/>
    <w:rsid w:val="00FD1CEC"/>
    <w:rsid w:val="00FD1FD1"/>
    <w:rsid w:val="00FD25E9"/>
    <w:rsid w:val="00FD3EDB"/>
    <w:rsid w:val="00FD45CD"/>
    <w:rsid w:val="00FD4648"/>
    <w:rsid w:val="00FD5404"/>
    <w:rsid w:val="00FD5C2B"/>
    <w:rsid w:val="00FD5DA9"/>
    <w:rsid w:val="00FD5F78"/>
    <w:rsid w:val="00FD6149"/>
    <w:rsid w:val="00FD6368"/>
    <w:rsid w:val="00FD68C0"/>
    <w:rsid w:val="00FD6CBC"/>
    <w:rsid w:val="00FD6D3B"/>
    <w:rsid w:val="00FD6DBC"/>
    <w:rsid w:val="00FD70FC"/>
    <w:rsid w:val="00FD7268"/>
    <w:rsid w:val="00FD7AFB"/>
    <w:rsid w:val="00FE08CE"/>
    <w:rsid w:val="00FE1E01"/>
    <w:rsid w:val="00FE1E8D"/>
    <w:rsid w:val="00FE2073"/>
    <w:rsid w:val="00FE2D15"/>
    <w:rsid w:val="00FE2E6E"/>
    <w:rsid w:val="00FE35DA"/>
    <w:rsid w:val="00FE3BE2"/>
    <w:rsid w:val="00FE4F45"/>
    <w:rsid w:val="00FE510A"/>
    <w:rsid w:val="00FE52BA"/>
    <w:rsid w:val="00FE55B3"/>
    <w:rsid w:val="00FE630A"/>
    <w:rsid w:val="00FE65CF"/>
    <w:rsid w:val="00FE6854"/>
    <w:rsid w:val="00FE6B89"/>
    <w:rsid w:val="00FE6C10"/>
    <w:rsid w:val="00FE6DF1"/>
    <w:rsid w:val="00FE6DFC"/>
    <w:rsid w:val="00FE6F4D"/>
    <w:rsid w:val="00FE73B9"/>
    <w:rsid w:val="00FE76D9"/>
    <w:rsid w:val="00FE7BD3"/>
    <w:rsid w:val="00FE7E7A"/>
    <w:rsid w:val="00FF04F3"/>
    <w:rsid w:val="00FF0715"/>
    <w:rsid w:val="00FF0EDE"/>
    <w:rsid w:val="00FF123B"/>
    <w:rsid w:val="00FF2856"/>
    <w:rsid w:val="00FF30DA"/>
    <w:rsid w:val="00FF35A1"/>
    <w:rsid w:val="00FF3AAB"/>
    <w:rsid w:val="00FF3C18"/>
    <w:rsid w:val="00FF4523"/>
    <w:rsid w:val="00FF46CD"/>
    <w:rsid w:val="00FF48DB"/>
    <w:rsid w:val="00FF4A4A"/>
    <w:rsid w:val="00FF5822"/>
    <w:rsid w:val="00FF59D3"/>
    <w:rsid w:val="00FF612A"/>
    <w:rsid w:val="00FF6AE1"/>
    <w:rsid w:val="00FF6AFF"/>
    <w:rsid w:val="00FF6E8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7EAD70"/>
  <w15:docId w15:val="{092070EE-8BFE-406D-AF9E-48B2B0325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71A80"/>
    <w:rPr>
      <w:sz w:val="24"/>
      <w:szCs w:val="24"/>
      <w:lang w:eastAsia="en-US"/>
    </w:rPr>
  </w:style>
  <w:style w:type="paragraph" w:styleId="Balk1">
    <w:name w:val="heading 1"/>
    <w:basedOn w:val="Normal"/>
    <w:next w:val="Normal"/>
    <w:link w:val="Balk1Char"/>
    <w:qFormat/>
    <w:pPr>
      <w:keepNext/>
      <w:jc w:val="center"/>
      <w:outlineLvl w:val="0"/>
    </w:pPr>
    <w:rPr>
      <w:rFonts w:ascii="Arial" w:hAnsi="Arial" w:cs="Arial"/>
      <w:b/>
      <w:bCs/>
      <w:sz w:val="20"/>
      <w:szCs w:val="20"/>
    </w:rPr>
  </w:style>
  <w:style w:type="paragraph" w:styleId="Balk2">
    <w:name w:val="heading 2"/>
    <w:basedOn w:val="Normal"/>
    <w:next w:val="Normal"/>
    <w:qFormat/>
    <w:pPr>
      <w:keepNext/>
      <w:pBdr>
        <w:top w:val="double" w:sz="4" w:space="1" w:color="auto"/>
        <w:left w:val="double" w:sz="4" w:space="4" w:color="auto"/>
        <w:bottom w:val="double" w:sz="4" w:space="1" w:color="auto"/>
        <w:right w:val="double" w:sz="4" w:space="4" w:color="auto"/>
      </w:pBdr>
      <w:jc w:val="center"/>
      <w:outlineLvl w:val="1"/>
    </w:pPr>
    <w:rPr>
      <w:rFonts w:ascii="Garamond" w:hAnsi="Garamond"/>
      <w:b/>
      <w:sz w:val="32"/>
      <w:szCs w:val="20"/>
    </w:rPr>
  </w:style>
  <w:style w:type="paragraph" w:styleId="Balk3">
    <w:name w:val="heading 3"/>
    <w:basedOn w:val="Normal"/>
    <w:next w:val="Normal"/>
    <w:link w:val="Balk3Char"/>
    <w:semiHidden/>
    <w:unhideWhenUsed/>
    <w:qFormat/>
    <w:rsid w:val="008218BE"/>
    <w:pPr>
      <w:keepNext/>
      <w:spacing w:before="240" w:after="60"/>
      <w:outlineLvl w:val="2"/>
    </w:pPr>
    <w:rPr>
      <w:rFonts w:ascii="Calibri Light" w:hAnsi="Calibri Light"/>
      <w:b/>
      <w:bCs/>
      <w:sz w:val="26"/>
      <w:szCs w:val="26"/>
    </w:rPr>
  </w:style>
  <w:style w:type="paragraph" w:styleId="Balk4">
    <w:name w:val="heading 4"/>
    <w:basedOn w:val="Normal"/>
    <w:next w:val="Normal"/>
    <w:qFormat/>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uiPriority w:val="99"/>
    <w:rPr>
      <w:color w:val="0000FF"/>
      <w:u w:val="single"/>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lang w:val="en-US"/>
    </w:rPr>
  </w:style>
  <w:style w:type="character" w:styleId="zlenenKpr">
    <w:name w:val="FollowedHyperlink"/>
    <w:rPr>
      <w:color w:val="800080"/>
      <w:u w:val="single"/>
    </w:rPr>
  </w:style>
  <w:style w:type="paragraph" w:styleId="GvdeMetniGirintisi">
    <w:name w:val="Body Text Indent"/>
    <w:basedOn w:val="Normal"/>
    <w:pPr>
      <w:ind w:left="1800" w:hanging="360"/>
    </w:pPr>
  </w:style>
  <w:style w:type="paragraph" w:styleId="GvdeMetniGirintisi2">
    <w:name w:val="Body Text Indent 2"/>
    <w:basedOn w:val="Normal"/>
    <w:pPr>
      <w:ind w:left="360"/>
      <w:jc w:val="both"/>
    </w:pPr>
  </w:style>
  <w:style w:type="paragraph" w:styleId="GvdeMetniGirintisi3">
    <w:name w:val="Body Text Indent 3"/>
    <w:basedOn w:val="Normal"/>
    <w:pPr>
      <w:ind w:left="360" w:firstLine="360"/>
      <w:jc w:val="both"/>
    </w:pPr>
  </w:style>
  <w:style w:type="paragraph" w:customStyle="1" w:styleId="xl24">
    <w:name w:val="xl2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lang w:val="en-US"/>
    </w:rPr>
  </w:style>
  <w:style w:type="paragraph" w:customStyle="1" w:styleId="xl25">
    <w:name w:val="xl2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lang w:val="en-US"/>
    </w:rPr>
  </w:style>
  <w:style w:type="paragraph" w:customStyle="1" w:styleId="xl26">
    <w:name w:val="xl26"/>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US"/>
    </w:rPr>
  </w:style>
  <w:style w:type="paragraph" w:customStyle="1" w:styleId="xl27">
    <w:name w:val="xl27"/>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US"/>
    </w:rPr>
  </w:style>
  <w:style w:type="paragraph" w:customStyle="1" w:styleId="xl28">
    <w:name w:val="xl28"/>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lang w:val="en-US"/>
    </w:rPr>
  </w:style>
  <w:style w:type="paragraph" w:customStyle="1" w:styleId="xl29">
    <w:name w:val="xl29"/>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US"/>
    </w:rPr>
  </w:style>
  <w:style w:type="paragraph" w:styleId="GvdeMetni">
    <w:name w:val="Body Text"/>
    <w:basedOn w:val="Normal"/>
    <w:pPr>
      <w:shd w:val="clear" w:color="auto" w:fill="FFFFFF"/>
      <w:jc w:val="both"/>
    </w:pPr>
    <w:rPr>
      <w:color w:val="FF0000"/>
    </w:rPr>
  </w:style>
  <w:style w:type="paragraph" w:styleId="stBilgi">
    <w:name w:val="header"/>
    <w:basedOn w:val="Normal"/>
    <w:pPr>
      <w:tabs>
        <w:tab w:val="center" w:pos="4536"/>
        <w:tab w:val="right" w:pos="9072"/>
      </w:tabs>
    </w:pPr>
  </w:style>
  <w:style w:type="paragraph" w:styleId="AltBilgi">
    <w:name w:val="footer"/>
    <w:basedOn w:val="Normal"/>
    <w:link w:val="AltBilgiChar1"/>
    <w:uiPriority w:val="99"/>
    <w:pPr>
      <w:tabs>
        <w:tab w:val="center" w:pos="4536"/>
        <w:tab w:val="right" w:pos="9072"/>
      </w:tabs>
    </w:pPr>
  </w:style>
  <w:style w:type="character" w:styleId="SayfaNumaras">
    <w:name w:val="page number"/>
    <w:basedOn w:val="VarsaylanParagrafYazTipi"/>
  </w:style>
  <w:style w:type="paragraph" w:styleId="DipnotMetni">
    <w:name w:val="footnote text"/>
    <w:basedOn w:val="Normal"/>
    <w:link w:val="DipnotMetniChar"/>
    <w:semiHidden/>
    <w:rsid w:val="0067113B"/>
    <w:rPr>
      <w:sz w:val="20"/>
      <w:szCs w:val="20"/>
      <w:lang w:eastAsia="tr-TR"/>
    </w:rPr>
  </w:style>
  <w:style w:type="paragraph" w:customStyle="1" w:styleId="xl22">
    <w:name w:val="xl22"/>
    <w:basedOn w:val="Normal"/>
    <w:rsid w:val="00F91371"/>
    <w:pPr>
      <w:pBdr>
        <w:left w:val="single" w:sz="4" w:space="0" w:color="auto"/>
        <w:bottom w:val="single" w:sz="4" w:space="0" w:color="auto"/>
        <w:right w:val="single" w:sz="4" w:space="0" w:color="auto"/>
      </w:pBdr>
      <w:spacing w:before="100" w:beforeAutospacing="1" w:after="100" w:afterAutospacing="1"/>
    </w:pPr>
    <w:rPr>
      <w:lang w:val="en-US"/>
    </w:rPr>
  </w:style>
  <w:style w:type="paragraph" w:customStyle="1" w:styleId="xl23">
    <w:name w:val="xl23"/>
    <w:basedOn w:val="Normal"/>
    <w:rsid w:val="00BE094F"/>
    <w:pPr>
      <w:pBdr>
        <w:bottom w:val="single" w:sz="4" w:space="0" w:color="auto"/>
        <w:right w:val="single" w:sz="4" w:space="0" w:color="auto"/>
      </w:pBdr>
      <w:spacing w:before="100" w:beforeAutospacing="1" w:after="100" w:afterAutospacing="1"/>
      <w:jc w:val="both"/>
    </w:pPr>
    <w:rPr>
      <w:lang w:val="en-US"/>
    </w:rPr>
  </w:style>
  <w:style w:type="paragraph" w:styleId="GvdeMetni2">
    <w:name w:val="Body Text 2"/>
    <w:basedOn w:val="Normal"/>
    <w:rsid w:val="00720551"/>
    <w:pPr>
      <w:spacing w:after="120" w:line="480" w:lineRule="auto"/>
    </w:pPr>
  </w:style>
  <w:style w:type="paragraph" w:styleId="BalonMetni">
    <w:name w:val="Balloon Text"/>
    <w:basedOn w:val="Normal"/>
    <w:semiHidden/>
    <w:rsid w:val="00936A31"/>
    <w:rPr>
      <w:rFonts w:ascii="Tahoma" w:hAnsi="Tahoma" w:cs="Tahoma"/>
      <w:sz w:val="16"/>
      <w:szCs w:val="16"/>
    </w:rPr>
  </w:style>
  <w:style w:type="character" w:customStyle="1" w:styleId="a">
    <w:name w:val="a"/>
    <w:basedOn w:val="VarsaylanParagrafYazTipi"/>
    <w:rsid w:val="00EB027F"/>
  </w:style>
  <w:style w:type="character" w:styleId="DipnotBavurusu">
    <w:name w:val="footnote reference"/>
    <w:semiHidden/>
    <w:rsid w:val="009139F1"/>
    <w:rPr>
      <w:vertAlign w:val="superscript"/>
    </w:rPr>
  </w:style>
  <w:style w:type="paragraph" w:customStyle="1" w:styleId="xl32">
    <w:name w:val="xl32"/>
    <w:basedOn w:val="Normal"/>
    <w:rsid w:val="00F652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lang w:eastAsia="tr-TR"/>
    </w:rPr>
  </w:style>
  <w:style w:type="paragraph" w:customStyle="1" w:styleId="xl30">
    <w:name w:val="xl30"/>
    <w:basedOn w:val="Normal"/>
    <w:rsid w:val="00F652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lang w:eastAsia="tr-TR"/>
    </w:rPr>
  </w:style>
  <w:style w:type="paragraph" w:customStyle="1" w:styleId="xl31">
    <w:name w:val="xl31"/>
    <w:basedOn w:val="Normal"/>
    <w:rsid w:val="00F652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lang w:eastAsia="tr-TR"/>
    </w:rPr>
  </w:style>
  <w:style w:type="table" w:styleId="TabloKlavuzu">
    <w:name w:val="Table Grid"/>
    <w:basedOn w:val="NormalTablo"/>
    <w:rsid w:val="004150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qFormat/>
    <w:rsid w:val="00CE67CE"/>
    <w:rPr>
      <w:b/>
      <w:bCs/>
    </w:rPr>
  </w:style>
  <w:style w:type="paragraph" w:customStyle="1" w:styleId="xl36">
    <w:name w:val="xl36"/>
    <w:basedOn w:val="Normal"/>
    <w:rsid w:val="003A6F8C"/>
    <w:pPr>
      <w:pBdr>
        <w:left w:val="single" w:sz="4" w:space="0" w:color="auto"/>
        <w:bottom w:val="single" w:sz="4" w:space="0" w:color="auto"/>
        <w:right w:val="single" w:sz="4" w:space="0" w:color="auto"/>
      </w:pBdr>
      <w:spacing w:before="100" w:beforeAutospacing="1" w:after="100" w:afterAutospacing="1"/>
      <w:textAlignment w:val="top"/>
    </w:pPr>
    <w:rPr>
      <w:lang w:val="en-US"/>
    </w:rPr>
  </w:style>
  <w:style w:type="character" w:customStyle="1" w:styleId="darkgreytext1">
    <w:name w:val="darkgrey_text1"/>
    <w:rsid w:val="00D94590"/>
    <w:rPr>
      <w:rFonts w:ascii="Microsoft Sans Serif" w:hAnsi="Microsoft Sans Serif" w:cs="Microsoft Sans Serif" w:hint="default"/>
      <w:sz w:val="18"/>
      <w:szCs w:val="18"/>
    </w:rPr>
  </w:style>
  <w:style w:type="paragraph" w:customStyle="1" w:styleId="fonteng">
    <w:name w:val="font_eng"/>
    <w:basedOn w:val="Normal"/>
    <w:rsid w:val="00D94590"/>
    <w:pPr>
      <w:spacing w:before="100" w:beforeAutospacing="1" w:after="100" w:afterAutospacing="1"/>
    </w:pPr>
    <w:rPr>
      <w:rFonts w:ascii="Verdana" w:hAnsi="Verdana"/>
      <w:sz w:val="18"/>
      <w:szCs w:val="18"/>
      <w:lang w:val="en-US"/>
    </w:rPr>
  </w:style>
  <w:style w:type="character" w:customStyle="1" w:styleId="redhead1">
    <w:name w:val="red_head1"/>
    <w:rsid w:val="00D94590"/>
    <w:rPr>
      <w:rFonts w:ascii="Microsoft Sans Serif" w:hAnsi="Microsoft Sans Serif" w:cs="Microsoft Sans Serif" w:hint="default"/>
      <w:b/>
      <w:bCs/>
      <w:sz w:val="18"/>
      <w:szCs w:val="18"/>
    </w:rPr>
  </w:style>
  <w:style w:type="paragraph" w:customStyle="1" w:styleId="ListeParagraf1">
    <w:name w:val="Liste Paragraf1"/>
    <w:basedOn w:val="Normal"/>
    <w:rsid w:val="00E77281"/>
    <w:pPr>
      <w:ind w:left="720"/>
    </w:pPr>
    <w:rPr>
      <w:lang w:eastAsia="tr-TR"/>
    </w:rPr>
  </w:style>
  <w:style w:type="character" w:customStyle="1" w:styleId="tahoma12ffffffbold">
    <w:name w:val="tahoma_12_ffffff_bold"/>
    <w:basedOn w:val="VarsaylanParagrafYazTipi"/>
    <w:rsid w:val="00743E2A"/>
  </w:style>
  <w:style w:type="paragraph" w:customStyle="1" w:styleId="Default">
    <w:name w:val="Default"/>
    <w:rsid w:val="005D0DE6"/>
    <w:pPr>
      <w:autoSpaceDE w:val="0"/>
      <w:autoSpaceDN w:val="0"/>
      <w:adjustRightInd w:val="0"/>
    </w:pPr>
    <w:rPr>
      <w:color w:val="000000"/>
      <w:sz w:val="24"/>
      <w:szCs w:val="24"/>
    </w:rPr>
  </w:style>
  <w:style w:type="character" w:customStyle="1" w:styleId="Balk3Char">
    <w:name w:val="Başlık 3 Char"/>
    <w:link w:val="Balk3"/>
    <w:semiHidden/>
    <w:rsid w:val="008218BE"/>
    <w:rPr>
      <w:rFonts w:ascii="Calibri Light" w:eastAsia="Times New Roman" w:hAnsi="Calibri Light" w:cs="Times New Roman"/>
      <w:b/>
      <w:bCs/>
      <w:sz w:val="26"/>
      <w:szCs w:val="26"/>
      <w:lang w:eastAsia="en-US"/>
    </w:rPr>
  </w:style>
  <w:style w:type="paragraph" w:styleId="KonuBal">
    <w:name w:val="Title"/>
    <w:basedOn w:val="Normal"/>
    <w:link w:val="KonuBalChar"/>
    <w:qFormat/>
    <w:rsid w:val="008218BE"/>
    <w:pPr>
      <w:spacing w:line="240" w:lineRule="atLeast"/>
      <w:jc w:val="center"/>
    </w:pPr>
    <w:rPr>
      <w:b/>
      <w:sz w:val="32"/>
      <w:szCs w:val="20"/>
      <w:lang w:val="en-AU" w:eastAsia="tr-TR"/>
    </w:rPr>
  </w:style>
  <w:style w:type="character" w:customStyle="1" w:styleId="KonuBalChar">
    <w:name w:val="Konu Başlığı Char"/>
    <w:link w:val="KonuBal"/>
    <w:rsid w:val="008218BE"/>
    <w:rPr>
      <w:b/>
      <w:sz w:val="32"/>
      <w:lang w:val="en-AU"/>
    </w:rPr>
  </w:style>
  <w:style w:type="paragraph" w:styleId="ListeParagraf">
    <w:name w:val="List Paragraph"/>
    <w:basedOn w:val="Normal"/>
    <w:uiPriority w:val="34"/>
    <w:qFormat/>
    <w:rsid w:val="008218BE"/>
    <w:pPr>
      <w:ind w:left="708"/>
    </w:pPr>
    <w:rPr>
      <w:lang w:eastAsia="tr-TR"/>
    </w:rPr>
  </w:style>
  <w:style w:type="character" w:customStyle="1" w:styleId="AltBilgiChar1">
    <w:name w:val="Alt Bilgi Char1"/>
    <w:link w:val="AltBilgi"/>
    <w:uiPriority w:val="99"/>
    <w:rsid w:val="00AA59EC"/>
    <w:rPr>
      <w:sz w:val="24"/>
      <w:szCs w:val="24"/>
      <w:lang w:eastAsia="en-US"/>
    </w:rPr>
  </w:style>
  <w:style w:type="character" w:customStyle="1" w:styleId="DipnotMetniChar">
    <w:name w:val="Dipnot Metni Char"/>
    <w:link w:val="DipnotMetni"/>
    <w:semiHidden/>
    <w:rsid w:val="00F64ACC"/>
  </w:style>
  <w:style w:type="character" w:customStyle="1" w:styleId="AltBilgiChar">
    <w:name w:val="Alt Bilgi Char"/>
    <w:uiPriority w:val="99"/>
    <w:rsid w:val="009463F1"/>
  </w:style>
  <w:style w:type="character" w:customStyle="1" w:styleId="st">
    <w:name w:val="st"/>
    <w:basedOn w:val="VarsaylanParagrafYazTipi"/>
    <w:rsid w:val="003A75AD"/>
  </w:style>
  <w:style w:type="character" w:customStyle="1" w:styleId="GvdeMetniGirintisi3Char">
    <w:name w:val="Gövde Metni Girintisi 3 Char"/>
    <w:link w:val="msobodytextindent3"/>
    <w:locked/>
    <w:rsid w:val="003A12FA"/>
    <w:rPr>
      <w:sz w:val="24"/>
      <w:szCs w:val="24"/>
    </w:rPr>
  </w:style>
  <w:style w:type="paragraph" w:customStyle="1" w:styleId="msobodytextindent3">
    <w:name w:val="msobodytextindent3"/>
    <w:basedOn w:val="Normal"/>
    <w:link w:val="GvdeMetniGirintisi3Char"/>
    <w:rsid w:val="003A12FA"/>
    <w:pPr>
      <w:ind w:left="360" w:firstLine="360"/>
      <w:jc w:val="both"/>
    </w:pPr>
    <w:rPr>
      <w:lang w:eastAsia="tr-TR"/>
    </w:rPr>
  </w:style>
  <w:style w:type="paragraph" w:styleId="Altyaz">
    <w:name w:val="Subtitle"/>
    <w:basedOn w:val="Normal"/>
    <w:next w:val="Normal"/>
    <w:link w:val="AltyazChar"/>
    <w:qFormat/>
    <w:rsid w:val="001E6EA4"/>
    <w:pPr>
      <w:spacing w:after="60"/>
      <w:jc w:val="center"/>
      <w:outlineLvl w:val="1"/>
    </w:pPr>
    <w:rPr>
      <w:rFonts w:ascii="Calibri Light" w:hAnsi="Calibri Light"/>
    </w:rPr>
  </w:style>
  <w:style w:type="character" w:customStyle="1" w:styleId="AltyazChar">
    <w:name w:val="Altyazı Char"/>
    <w:link w:val="Altyaz"/>
    <w:rsid w:val="001E6EA4"/>
    <w:rPr>
      <w:rFonts w:ascii="Calibri Light" w:eastAsia="Times New Roman" w:hAnsi="Calibri Light" w:cs="Times New Roman"/>
      <w:sz w:val="24"/>
      <w:szCs w:val="24"/>
      <w:lang w:eastAsia="en-US"/>
    </w:rPr>
  </w:style>
  <w:style w:type="paragraph" w:styleId="TBal">
    <w:name w:val="TOC Heading"/>
    <w:basedOn w:val="Balk1"/>
    <w:next w:val="Normal"/>
    <w:uiPriority w:val="39"/>
    <w:unhideWhenUsed/>
    <w:qFormat/>
    <w:rsid w:val="009A384D"/>
    <w:pPr>
      <w:keepLines/>
      <w:spacing w:before="240" w:line="259" w:lineRule="auto"/>
      <w:jc w:val="left"/>
      <w:outlineLvl w:val="9"/>
    </w:pPr>
    <w:rPr>
      <w:rFonts w:ascii="Calibri Light" w:hAnsi="Calibri Light" w:cs="Times New Roman"/>
      <w:b w:val="0"/>
      <w:bCs w:val="0"/>
      <w:color w:val="2E74B5"/>
      <w:sz w:val="32"/>
      <w:szCs w:val="32"/>
      <w:lang w:eastAsia="tr-TR"/>
    </w:rPr>
  </w:style>
  <w:style w:type="paragraph" w:styleId="T2">
    <w:name w:val="toc 2"/>
    <w:basedOn w:val="Normal"/>
    <w:next w:val="Normal"/>
    <w:autoRedefine/>
    <w:uiPriority w:val="39"/>
    <w:rsid w:val="00FC6649"/>
    <w:pPr>
      <w:tabs>
        <w:tab w:val="right" w:leader="dot" w:pos="8778"/>
      </w:tabs>
      <w:ind w:left="240"/>
    </w:pPr>
    <w:rPr>
      <w:b/>
      <w:bCs/>
      <w:noProof/>
      <w:sz w:val="22"/>
      <w:szCs w:val="22"/>
      <w:lang w:eastAsia="tr-TR"/>
    </w:rPr>
  </w:style>
  <w:style w:type="paragraph" w:styleId="T1">
    <w:name w:val="toc 1"/>
    <w:basedOn w:val="Normal"/>
    <w:next w:val="Normal"/>
    <w:autoRedefine/>
    <w:uiPriority w:val="39"/>
    <w:rsid w:val="0010250F"/>
    <w:pPr>
      <w:tabs>
        <w:tab w:val="right" w:leader="dot" w:pos="9060"/>
      </w:tabs>
      <w:spacing w:before="120" w:after="120" w:line="276" w:lineRule="auto"/>
    </w:pPr>
    <w:rPr>
      <w:b/>
      <w:noProof/>
    </w:rPr>
  </w:style>
  <w:style w:type="character" w:customStyle="1" w:styleId="text">
    <w:name w:val="text"/>
    <w:rsid w:val="00C76BF5"/>
  </w:style>
  <w:style w:type="character" w:customStyle="1" w:styleId="spantire0">
    <w:name w:val="spantire0"/>
    <w:rsid w:val="00716ED0"/>
  </w:style>
  <w:style w:type="character" w:customStyle="1" w:styleId="spantire1">
    <w:name w:val="spantire1"/>
    <w:rsid w:val="00716ED0"/>
  </w:style>
  <w:style w:type="character" w:styleId="zmlenmeyenBahsetme">
    <w:name w:val="Unresolved Mention"/>
    <w:basedOn w:val="VarsaylanParagrafYazTipi"/>
    <w:uiPriority w:val="99"/>
    <w:semiHidden/>
    <w:unhideWhenUsed/>
    <w:rsid w:val="00F675B3"/>
    <w:rPr>
      <w:color w:val="605E5C"/>
      <w:shd w:val="clear" w:color="auto" w:fill="E1DFDD"/>
    </w:rPr>
  </w:style>
  <w:style w:type="paragraph" w:styleId="Dzeltme">
    <w:name w:val="Revision"/>
    <w:hidden/>
    <w:uiPriority w:val="99"/>
    <w:semiHidden/>
    <w:rsid w:val="00BA5B66"/>
    <w:rPr>
      <w:sz w:val="24"/>
      <w:szCs w:val="24"/>
      <w:lang w:eastAsia="en-US"/>
    </w:rPr>
  </w:style>
  <w:style w:type="character" w:customStyle="1" w:styleId="Balk1Char">
    <w:name w:val="Başlık 1 Char"/>
    <w:basedOn w:val="VarsaylanParagrafYazTipi"/>
    <w:link w:val="Balk1"/>
    <w:rsid w:val="000A6470"/>
    <w:rPr>
      <w:rFonts w:ascii="Arial" w:hAnsi="Arial" w:cs="Arial"/>
      <w:b/>
      <w:bCs/>
      <w:lang w:eastAsia="en-US"/>
    </w:rPr>
  </w:style>
  <w:style w:type="character" w:styleId="AklamaBavurusu">
    <w:name w:val="annotation reference"/>
    <w:basedOn w:val="VarsaylanParagrafYazTipi"/>
    <w:semiHidden/>
    <w:unhideWhenUsed/>
    <w:rsid w:val="00933E47"/>
    <w:rPr>
      <w:sz w:val="16"/>
      <w:szCs w:val="16"/>
    </w:rPr>
  </w:style>
  <w:style w:type="paragraph" w:styleId="AklamaMetni">
    <w:name w:val="annotation text"/>
    <w:basedOn w:val="Normal"/>
    <w:link w:val="AklamaMetniChar"/>
    <w:semiHidden/>
    <w:unhideWhenUsed/>
    <w:rsid w:val="00933E47"/>
    <w:rPr>
      <w:sz w:val="20"/>
      <w:szCs w:val="20"/>
    </w:rPr>
  </w:style>
  <w:style w:type="character" w:customStyle="1" w:styleId="AklamaMetniChar">
    <w:name w:val="Açıklama Metni Char"/>
    <w:basedOn w:val="VarsaylanParagrafYazTipi"/>
    <w:link w:val="AklamaMetni"/>
    <w:semiHidden/>
    <w:rsid w:val="00933E47"/>
    <w:rPr>
      <w:lang w:eastAsia="en-US"/>
    </w:rPr>
  </w:style>
  <w:style w:type="paragraph" w:styleId="AklamaKonusu">
    <w:name w:val="annotation subject"/>
    <w:basedOn w:val="AklamaMetni"/>
    <w:next w:val="AklamaMetni"/>
    <w:link w:val="AklamaKonusuChar"/>
    <w:semiHidden/>
    <w:unhideWhenUsed/>
    <w:rsid w:val="00933E47"/>
    <w:rPr>
      <w:b/>
      <w:bCs/>
    </w:rPr>
  </w:style>
  <w:style w:type="character" w:customStyle="1" w:styleId="AklamaKonusuChar">
    <w:name w:val="Açıklama Konusu Char"/>
    <w:basedOn w:val="AklamaMetniChar"/>
    <w:link w:val="AklamaKonusu"/>
    <w:semiHidden/>
    <w:rsid w:val="00933E47"/>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0213">
      <w:bodyDiv w:val="1"/>
      <w:marLeft w:val="0"/>
      <w:marRight w:val="0"/>
      <w:marTop w:val="0"/>
      <w:marBottom w:val="0"/>
      <w:divBdr>
        <w:top w:val="none" w:sz="0" w:space="0" w:color="auto"/>
        <w:left w:val="none" w:sz="0" w:space="0" w:color="auto"/>
        <w:bottom w:val="none" w:sz="0" w:space="0" w:color="auto"/>
        <w:right w:val="none" w:sz="0" w:space="0" w:color="auto"/>
      </w:divBdr>
    </w:div>
    <w:div w:id="6566883">
      <w:bodyDiv w:val="1"/>
      <w:marLeft w:val="0"/>
      <w:marRight w:val="0"/>
      <w:marTop w:val="0"/>
      <w:marBottom w:val="0"/>
      <w:divBdr>
        <w:top w:val="none" w:sz="0" w:space="0" w:color="auto"/>
        <w:left w:val="none" w:sz="0" w:space="0" w:color="auto"/>
        <w:bottom w:val="none" w:sz="0" w:space="0" w:color="auto"/>
        <w:right w:val="none" w:sz="0" w:space="0" w:color="auto"/>
      </w:divBdr>
    </w:div>
    <w:div w:id="10449382">
      <w:bodyDiv w:val="1"/>
      <w:marLeft w:val="0"/>
      <w:marRight w:val="0"/>
      <w:marTop w:val="0"/>
      <w:marBottom w:val="0"/>
      <w:divBdr>
        <w:top w:val="none" w:sz="0" w:space="0" w:color="auto"/>
        <w:left w:val="none" w:sz="0" w:space="0" w:color="auto"/>
        <w:bottom w:val="none" w:sz="0" w:space="0" w:color="auto"/>
        <w:right w:val="none" w:sz="0" w:space="0" w:color="auto"/>
      </w:divBdr>
    </w:div>
    <w:div w:id="11033489">
      <w:bodyDiv w:val="1"/>
      <w:marLeft w:val="0"/>
      <w:marRight w:val="0"/>
      <w:marTop w:val="0"/>
      <w:marBottom w:val="0"/>
      <w:divBdr>
        <w:top w:val="none" w:sz="0" w:space="0" w:color="auto"/>
        <w:left w:val="none" w:sz="0" w:space="0" w:color="auto"/>
        <w:bottom w:val="none" w:sz="0" w:space="0" w:color="auto"/>
        <w:right w:val="none" w:sz="0" w:space="0" w:color="auto"/>
      </w:divBdr>
    </w:div>
    <w:div w:id="21976795">
      <w:bodyDiv w:val="1"/>
      <w:marLeft w:val="0"/>
      <w:marRight w:val="0"/>
      <w:marTop w:val="0"/>
      <w:marBottom w:val="0"/>
      <w:divBdr>
        <w:top w:val="none" w:sz="0" w:space="0" w:color="auto"/>
        <w:left w:val="none" w:sz="0" w:space="0" w:color="auto"/>
        <w:bottom w:val="none" w:sz="0" w:space="0" w:color="auto"/>
        <w:right w:val="none" w:sz="0" w:space="0" w:color="auto"/>
      </w:divBdr>
    </w:div>
    <w:div w:id="25982604">
      <w:bodyDiv w:val="1"/>
      <w:marLeft w:val="0"/>
      <w:marRight w:val="0"/>
      <w:marTop w:val="0"/>
      <w:marBottom w:val="0"/>
      <w:divBdr>
        <w:top w:val="none" w:sz="0" w:space="0" w:color="auto"/>
        <w:left w:val="none" w:sz="0" w:space="0" w:color="auto"/>
        <w:bottom w:val="none" w:sz="0" w:space="0" w:color="auto"/>
        <w:right w:val="none" w:sz="0" w:space="0" w:color="auto"/>
      </w:divBdr>
    </w:div>
    <w:div w:id="31227034">
      <w:bodyDiv w:val="1"/>
      <w:marLeft w:val="0"/>
      <w:marRight w:val="0"/>
      <w:marTop w:val="0"/>
      <w:marBottom w:val="0"/>
      <w:divBdr>
        <w:top w:val="none" w:sz="0" w:space="0" w:color="auto"/>
        <w:left w:val="none" w:sz="0" w:space="0" w:color="auto"/>
        <w:bottom w:val="none" w:sz="0" w:space="0" w:color="auto"/>
        <w:right w:val="none" w:sz="0" w:space="0" w:color="auto"/>
      </w:divBdr>
    </w:div>
    <w:div w:id="35394828">
      <w:bodyDiv w:val="1"/>
      <w:marLeft w:val="0"/>
      <w:marRight w:val="0"/>
      <w:marTop w:val="0"/>
      <w:marBottom w:val="0"/>
      <w:divBdr>
        <w:top w:val="none" w:sz="0" w:space="0" w:color="auto"/>
        <w:left w:val="none" w:sz="0" w:space="0" w:color="auto"/>
        <w:bottom w:val="none" w:sz="0" w:space="0" w:color="auto"/>
        <w:right w:val="none" w:sz="0" w:space="0" w:color="auto"/>
      </w:divBdr>
    </w:div>
    <w:div w:id="36973817">
      <w:bodyDiv w:val="1"/>
      <w:marLeft w:val="0"/>
      <w:marRight w:val="0"/>
      <w:marTop w:val="0"/>
      <w:marBottom w:val="0"/>
      <w:divBdr>
        <w:top w:val="none" w:sz="0" w:space="0" w:color="auto"/>
        <w:left w:val="none" w:sz="0" w:space="0" w:color="auto"/>
        <w:bottom w:val="none" w:sz="0" w:space="0" w:color="auto"/>
        <w:right w:val="none" w:sz="0" w:space="0" w:color="auto"/>
      </w:divBdr>
    </w:div>
    <w:div w:id="39789343">
      <w:bodyDiv w:val="1"/>
      <w:marLeft w:val="0"/>
      <w:marRight w:val="0"/>
      <w:marTop w:val="0"/>
      <w:marBottom w:val="0"/>
      <w:divBdr>
        <w:top w:val="none" w:sz="0" w:space="0" w:color="auto"/>
        <w:left w:val="none" w:sz="0" w:space="0" w:color="auto"/>
        <w:bottom w:val="none" w:sz="0" w:space="0" w:color="auto"/>
        <w:right w:val="none" w:sz="0" w:space="0" w:color="auto"/>
      </w:divBdr>
    </w:div>
    <w:div w:id="40327022">
      <w:bodyDiv w:val="1"/>
      <w:marLeft w:val="0"/>
      <w:marRight w:val="0"/>
      <w:marTop w:val="0"/>
      <w:marBottom w:val="0"/>
      <w:divBdr>
        <w:top w:val="none" w:sz="0" w:space="0" w:color="auto"/>
        <w:left w:val="none" w:sz="0" w:space="0" w:color="auto"/>
        <w:bottom w:val="none" w:sz="0" w:space="0" w:color="auto"/>
        <w:right w:val="none" w:sz="0" w:space="0" w:color="auto"/>
      </w:divBdr>
    </w:div>
    <w:div w:id="43987614">
      <w:bodyDiv w:val="1"/>
      <w:marLeft w:val="0"/>
      <w:marRight w:val="0"/>
      <w:marTop w:val="0"/>
      <w:marBottom w:val="0"/>
      <w:divBdr>
        <w:top w:val="none" w:sz="0" w:space="0" w:color="auto"/>
        <w:left w:val="none" w:sz="0" w:space="0" w:color="auto"/>
        <w:bottom w:val="none" w:sz="0" w:space="0" w:color="auto"/>
        <w:right w:val="none" w:sz="0" w:space="0" w:color="auto"/>
      </w:divBdr>
    </w:div>
    <w:div w:id="45034972">
      <w:bodyDiv w:val="1"/>
      <w:marLeft w:val="0"/>
      <w:marRight w:val="0"/>
      <w:marTop w:val="0"/>
      <w:marBottom w:val="0"/>
      <w:divBdr>
        <w:top w:val="none" w:sz="0" w:space="0" w:color="auto"/>
        <w:left w:val="none" w:sz="0" w:space="0" w:color="auto"/>
        <w:bottom w:val="none" w:sz="0" w:space="0" w:color="auto"/>
        <w:right w:val="none" w:sz="0" w:space="0" w:color="auto"/>
      </w:divBdr>
    </w:div>
    <w:div w:id="47844088">
      <w:bodyDiv w:val="1"/>
      <w:marLeft w:val="0"/>
      <w:marRight w:val="0"/>
      <w:marTop w:val="0"/>
      <w:marBottom w:val="0"/>
      <w:divBdr>
        <w:top w:val="none" w:sz="0" w:space="0" w:color="auto"/>
        <w:left w:val="none" w:sz="0" w:space="0" w:color="auto"/>
        <w:bottom w:val="none" w:sz="0" w:space="0" w:color="auto"/>
        <w:right w:val="none" w:sz="0" w:space="0" w:color="auto"/>
      </w:divBdr>
    </w:div>
    <w:div w:id="50540602">
      <w:bodyDiv w:val="1"/>
      <w:marLeft w:val="0"/>
      <w:marRight w:val="0"/>
      <w:marTop w:val="0"/>
      <w:marBottom w:val="0"/>
      <w:divBdr>
        <w:top w:val="none" w:sz="0" w:space="0" w:color="auto"/>
        <w:left w:val="none" w:sz="0" w:space="0" w:color="auto"/>
        <w:bottom w:val="none" w:sz="0" w:space="0" w:color="auto"/>
        <w:right w:val="none" w:sz="0" w:space="0" w:color="auto"/>
      </w:divBdr>
    </w:div>
    <w:div w:id="50931033">
      <w:bodyDiv w:val="1"/>
      <w:marLeft w:val="0"/>
      <w:marRight w:val="0"/>
      <w:marTop w:val="0"/>
      <w:marBottom w:val="0"/>
      <w:divBdr>
        <w:top w:val="none" w:sz="0" w:space="0" w:color="auto"/>
        <w:left w:val="none" w:sz="0" w:space="0" w:color="auto"/>
        <w:bottom w:val="none" w:sz="0" w:space="0" w:color="auto"/>
        <w:right w:val="none" w:sz="0" w:space="0" w:color="auto"/>
      </w:divBdr>
    </w:div>
    <w:div w:id="53285662">
      <w:bodyDiv w:val="1"/>
      <w:marLeft w:val="0"/>
      <w:marRight w:val="0"/>
      <w:marTop w:val="0"/>
      <w:marBottom w:val="0"/>
      <w:divBdr>
        <w:top w:val="none" w:sz="0" w:space="0" w:color="auto"/>
        <w:left w:val="none" w:sz="0" w:space="0" w:color="auto"/>
        <w:bottom w:val="none" w:sz="0" w:space="0" w:color="auto"/>
        <w:right w:val="none" w:sz="0" w:space="0" w:color="auto"/>
      </w:divBdr>
    </w:div>
    <w:div w:id="54621805">
      <w:bodyDiv w:val="1"/>
      <w:marLeft w:val="0"/>
      <w:marRight w:val="0"/>
      <w:marTop w:val="0"/>
      <w:marBottom w:val="0"/>
      <w:divBdr>
        <w:top w:val="none" w:sz="0" w:space="0" w:color="auto"/>
        <w:left w:val="none" w:sz="0" w:space="0" w:color="auto"/>
        <w:bottom w:val="none" w:sz="0" w:space="0" w:color="auto"/>
        <w:right w:val="none" w:sz="0" w:space="0" w:color="auto"/>
      </w:divBdr>
    </w:div>
    <w:div w:id="57478116">
      <w:bodyDiv w:val="1"/>
      <w:marLeft w:val="0"/>
      <w:marRight w:val="0"/>
      <w:marTop w:val="0"/>
      <w:marBottom w:val="0"/>
      <w:divBdr>
        <w:top w:val="none" w:sz="0" w:space="0" w:color="auto"/>
        <w:left w:val="none" w:sz="0" w:space="0" w:color="auto"/>
        <w:bottom w:val="none" w:sz="0" w:space="0" w:color="auto"/>
        <w:right w:val="none" w:sz="0" w:space="0" w:color="auto"/>
      </w:divBdr>
    </w:div>
    <w:div w:id="58094283">
      <w:bodyDiv w:val="1"/>
      <w:marLeft w:val="0"/>
      <w:marRight w:val="0"/>
      <w:marTop w:val="0"/>
      <w:marBottom w:val="0"/>
      <w:divBdr>
        <w:top w:val="none" w:sz="0" w:space="0" w:color="auto"/>
        <w:left w:val="none" w:sz="0" w:space="0" w:color="auto"/>
        <w:bottom w:val="none" w:sz="0" w:space="0" w:color="auto"/>
        <w:right w:val="none" w:sz="0" w:space="0" w:color="auto"/>
      </w:divBdr>
    </w:div>
    <w:div w:id="62022940">
      <w:bodyDiv w:val="1"/>
      <w:marLeft w:val="0"/>
      <w:marRight w:val="0"/>
      <w:marTop w:val="0"/>
      <w:marBottom w:val="0"/>
      <w:divBdr>
        <w:top w:val="none" w:sz="0" w:space="0" w:color="auto"/>
        <w:left w:val="none" w:sz="0" w:space="0" w:color="auto"/>
        <w:bottom w:val="none" w:sz="0" w:space="0" w:color="auto"/>
        <w:right w:val="none" w:sz="0" w:space="0" w:color="auto"/>
      </w:divBdr>
    </w:div>
    <w:div w:id="62994076">
      <w:bodyDiv w:val="1"/>
      <w:marLeft w:val="0"/>
      <w:marRight w:val="0"/>
      <w:marTop w:val="0"/>
      <w:marBottom w:val="0"/>
      <w:divBdr>
        <w:top w:val="none" w:sz="0" w:space="0" w:color="auto"/>
        <w:left w:val="none" w:sz="0" w:space="0" w:color="auto"/>
        <w:bottom w:val="none" w:sz="0" w:space="0" w:color="auto"/>
        <w:right w:val="none" w:sz="0" w:space="0" w:color="auto"/>
      </w:divBdr>
    </w:div>
    <w:div w:id="64449429">
      <w:bodyDiv w:val="1"/>
      <w:marLeft w:val="0"/>
      <w:marRight w:val="0"/>
      <w:marTop w:val="0"/>
      <w:marBottom w:val="0"/>
      <w:divBdr>
        <w:top w:val="none" w:sz="0" w:space="0" w:color="auto"/>
        <w:left w:val="none" w:sz="0" w:space="0" w:color="auto"/>
        <w:bottom w:val="none" w:sz="0" w:space="0" w:color="auto"/>
        <w:right w:val="none" w:sz="0" w:space="0" w:color="auto"/>
      </w:divBdr>
    </w:div>
    <w:div w:id="68313543">
      <w:bodyDiv w:val="1"/>
      <w:marLeft w:val="0"/>
      <w:marRight w:val="0"/>
      <w:marTop w:val="0"/>
      <w:marBottom w:val="0"/>
      <w:divBdr>
        <w:top w:val="none" w:sz="0" w:space="0" w:color="auto"/>
        <w:left w:val="none" w:sz="0" w:space="0" w:color="auto"/>
        <w:bottom w:val="none" w:sz="0" w:space="0" w:color="auto"/>
        <w:right w:val="none" w:sz="0" w:space="0" w:color="auto"/>
      </w:divBdr>
    </w:div>
    <w:div w:id="68962390">
      <w:bodyDiv w:val="1"/>
      <w:marLeft w:val="0"/>
      <w:marRight w:val="0"/>
      <w:marTop w:val="0"/>
      <w:marBottom w:val="0"/>
      <w:divBdr>
        <w:top w:val="none" w:sz="0" w:space="0" w:color="auto"/>
        <w:left w:val="none" w:sz="0" w:space="0" w:color="auto"/>
        <w:bottom w:val="none" w:sz="0" w:space="0" w:color="auto"/>
        <w:right w:val="none" w:sz="0" w:space="0" w:color="auto"/>
      </w:divBdr>
    </w:div>
    <w:div w:id="69692228">
      <w:bodyDiv w:val="1"/>
      <w:marLeft w:val="0"/>
      <w:marRight w:val="0"/>
      <w:marTop w:val="0"/>
      <w:marBottom w:val="0"/>
      <w:divBdr>
        <w:top w:val="none" w:sz="0" w:space="0" w:color="auto"/>
        <w:left w:val="none" w:sz="0" w:space="0" w:color="auto"/>
        <w:bottom w:val="none" w:sz="0" w:space="0" w:color="auto"/>
        <w:right w:val="none" w:sz="0" w:space="0" w:color="auto"/>
      </w:divBdr>
    </w:div>
    <w:div w:id="71320288">
      <w:bodyDiv w:val="1"/>
      <w:marLeft w:val="0"/>
      <w:marRight w:val="0"/>
      <w:marTop w:val="0"/>
      <w:marBottom w:val="0"/>
      <w:divBdr>
        <w:top w:val="none" w:sz="0" w:space="0" w:color="auto"/>
        <w:left w:val="none" w:sz="0" w:space="0" w:color="auto"/>
        <w:bottom w:val="none" w:sz="0" w:space="0" w:color="auto"/>
        <w:right w:val="none" w:sz="0" w:space="0" w:color="auto"/>
      </w:divBdr>
    </w:div>
    <w:div w:id="74522354">
      <w:bodyDiv w:val="1"/>
      <w:marLeft w:val="0"/>
      <w:marRight w:val="0"/>
      <w:marTop w:val="0"/>
      <w:marBottom w:val="0"/>
      <w:divBdr>
        <w:top w:val="none" w:sz="0" w:space="0" w:color="auto"/>
        <w:left w:val="none" w:sz="0" w:space="0" w:color="auto"/>
        <w:bottom w:val="none" w:sz="0" w:space="0" w:color="auto"/>
        <w:right w:val="none" w:sz="0" w:space="0" w:color="auto"/>
      </w:divBdr>
    </w:div>
    <w:div w:id="75171190">
      <w:bodyDiv w:val="1"/>
      <w:marLeft w:val="0"/>
      <w:marRight w:val="0"/>
      <w:marTop w:val="0"/>
      <w:marBottom w:val="0"/>
      <w:divBdr>
        <w:top w:val="none" w:sz="0" w:space="0" w:color="auto"/>
        <w:left w:val="none" w:sz="0" w:space="0" w:color="auto"/>
        <w:bottom w:val="none" w:sz="0" w:space="0" w:color="auto"/>
        <w:right w:val="none" w:sz="0" w:space="0" w:color="auto"/>
      </w:divBdr>
    </w:div>
    <w:div w:id="79521123">
      <w:bodyDiv w:val="1"/>
      <w:marLeft w:val="0"/>
      <w:marRight w:val="0"/>
      <w:marTop w:val="0"/>
      <w:marBottom w:val="0"/>
      <w:divBdr>
        <w:top w:val="none" w:sz="0" w:space="0" w:color="auto"/>
        <w:left w:val="none" w:sz="0" w:space="0" w:color="auto"/>
        <w:bottom w:val="none" w:sz="0" w:space="0" w:color="auto"/>
        <w:right w:val="none" w:sz="0" w:space="0" w:color="auto"/>
      </w:divBdr>
    </w:div>
    <w:div w:id="79567677">
      <w:bodyDiv w:val="1"/>
      <w:marLeft w:val="0"/>
      <w:marRight w:val="0"/>
      <w:marTop w:val="0"/>
      <w:marBottom w:val="0"/>
      <w:divBdr>
        <w:top w:val="none" w:sz="0" w:space="0" w:color="auto"/>
        <w:left w:val="none" w:sz="0" w:space="0" w:color="auto"/>
        <w:bottom w:val="none" w:sz="0" w:space="0" w:color="auto"/>
        <w:right w:val="none" w:sz="0" w:space="0" w:color="auto"/>
      </w:divBdr>
    </w:div>
    <w:div w:id="85005135">
      <w:bodyDiv w:val="1"/>
      <w:marLeft w:val="0"/>
      <w:marRight w:val="0"/>
      <w:marTop w:val="0"/>
      <w:marBottom w:val="0"/>
      <w:divBdr>
        <w:top w:val="none" w:sz="0" w:space="0" w:color="auto"/>
        <w:left w:val="none" w:sz="0" w:space="0" w:color="auto"/>
        <w:bottom w:val="none" w:sz="0" w:space="0" w:color="auto"/>
        <w:right w:val="none" w:sz="0" w:space="0" w:color="auto"/>
      </w:divBdr>
    </w:div>
    <w:div w:id="87695275">
      <w:bodyDiv w:val="1"/>
      <w:marLeft w:val="0"/>
      <w:marRight w:val="0"/>
      <w:marTop w:val="0"/>
      <w:marBottom w:val="0"/>
      <w:divBdr>
        <w:top w:val="none" w:sz="0" w:space="0" w:color="auto"/>
        <w:left w:val="none" w:sz="0" w:space="0" w:color="auto"/>
        <w:bottom w:val="none" w:sz="0" w:space="0" w:color="auto"/>
        <w:right w:val="none" w:sz="0" w:space="0" w:color="auto"/>
      </w:divBdr>
    </w:div>
    <w:div w:id="92016554">
      <w:bodyDiv w:val="1"/>
      <w:marLeft w:val="0"/>
      <w:marRight w:val="0"/>
      <w:marTop w:val="0"/>
      <w:marBottom w:val="0"/>
      <w:divBdr>
        <w:top w:val="none" w:sz="0" w:space="0" w:color="auto"/>
        <w:left w:val="none" w:sz="0" w:space="0" w:color="auto"/>
        <w:bottom w:val="none" w:sz="0" w:space="0" w:color="auto"/>
        <w:right w:val="none" w:sz="0" w:space="0" w:color="auto"/>
      </w:divBdr>
    </w:div>
    <w:div w:id="97987395">
      <w:bodyDiv w:val="1"/>
      <w:marLeft w:val="0"/>
      <w:marRight w:val="0"/>
      <w:marTop w:val="0"/>
      <w:marBottom w:val="0"/>
      <w:divBdr>
        <w:top w:val="none" w:sz="0" w:space="0" w:color="auto"/>
        <w:left w:val="none" w:sz="0" w:space="0" w:color="auto"/>
        <w:bottom w:val="none" w:sz="0" w:space="0" w:color="auto"/>
        <w:right w:val="none" w:sz="0" w:space="0" w:color="auto"/>
      </w:divBdr>
    </w:div>
    <w:div w:id="98529183">
      <w:bodyDiv w:val="1"/>
      <w:marLeft w:val="0"/>
      <w:marRight w:val="0"/>
      <w:marTop w:val="0"/>
      <w:marBottom w:val="0"/>
      <w:divBdr>
        <w:top w:val="none" w:sz="0" w:space="0" w:color="auto"/>
        <w:left w:val="none" w:sz="0" w:space="0" w:color="auto"/>
        <w:bottom w:val="none" w:sz="0" w:space="0" w:color="auto"/>
        <w:right w:val="none" w:sz="0" w:space="0" w:color="auto"/>
      </w:divBdr>
    </w:div>
    <w:div w:id="103816096">
      <w:bodyDiv w:val="1"/>
      <w:marLeft w:val="0"/>
      <w:marRight w:val="0"/>
      <w:marTop w:val="0"/>
      <w:marBottom w:val="0"/>
      <w:divBdr>
        <w:top w:val="none" w:sz="0" w:space="0" w:color="auto"/>
        <w:left w:val="none" w:sz="0" w:space="0" w:color="auto"/>
        <w:bottom w:val="none" w:sz="0" w:space="0" w:color="auto"/>
        <w:right w:val="none" w:sz="0" w:space="0" w:color="auto"/>
      </w:divBdr>
    </w:div>
    <w:div w:id="105122677">
      <w:bodyDiv w:val="1"/>
      <w:marLeft w:val="0"/>
      <w:marRight w:val="0"/>
      <w:marTop w:val="0"/>
      <w:marBottom w:val="0"/>
      <w:divBdr>
        <w:top w:val="none" w:sz="0" w:space="0" w:color="auto"/>
        <w:left w:val="none" w:sz="0" w:space="0" w:color="auto"/>
        <w:bottom w:val="none" w:sz="0" w:space="0" w:color="auto"/>
        <w:right w:val="none" w:sz="0" w:space="0" w:color="auto"/>
      </w:divBdr>
    </w:div>
    <w:div w:id="106048585">
      <w:bodyDiv w:val="1"/>
      <w:marLeft w:val="0"/>
      <w:marRight w:val="0"/>
      <w:marTop w:val="0"/>
      <w:marBottom w:val="0"/>
      <w:divBdr>
        <w:top w:val="none" w:sz="0" w:space="0" w:color="auto"/>
        <w:left w:val="none" w:sz="0" w:space="0" w:color="auto"/>
        <w:bottom w:val="none" w:sz="0" w:space="0" w:color="auto"/>
        <w:right w:val="none" w:sz="0" w:space="0" w:color="auto"/>
      </w:divBdr>
    </w:div>
    <w:div w:id="107555218">
      <w:bodyDiv w:val="1"/>
      <w:marLeft w:val="0"/>
      <w:marRight w:val="0"/>
      <w:marTop w:val="0"/>
      <w:marBottom w:val="0"/>
      <w:divBdr>
        <w:top w:val="none" w:sz="0" w:space="0" w:color="auto"/>
        <w:left w:val="none" w:sz="0" w:space="0" w:color="auto"/>
        <w:bottom w:val="none" w:sz="0" w:space="0" w:color="auto"/>
        <w:right w:val="none" w:sz="0" w:space="0" w:color="auto"/>
      </w:divBdr>
    </w:div>
    <w:div w:id="108429153">
      <w:bodyDiv w:val="1"/>
      <w:marLeft w:val="0"/>
      <w:marRight w:val="0"/>
      <w:marTop w:val="0"/>
      <w:marBottom w:val="0"/>
      <w:divBdr>
        <w:top w:val="none" w:sz="0" w:space="0" w:color="auto"/>
        <w:left w:val="none" w:sz="0" w:space="0" w:color="auto"/>
        <w:bottom w:val="none" w:sz="0" w:space="0" w:color="auto"/>
        <w:right w:val="none" w:sz="0" w:space="0" w:color="auto"/>
      </w:divBdr>
    </w:div>
    <w:div w:id="109666925">
      <w:bodyDiv w:val="1"/>
      <w:marLeft w:val="0"/>
      <w:marRight w:val="0"/>
      <w:marTop w:val="0"/>
      <w:marBottom w:val="0"/>
      <w:divBdr>
        <w:top w:val="none" w:sz="0" w:space="0" w:color="auto"/>
        <w:left w:val="none" w:sz="0" w:space="0" w:color="auto"/>
        <w:bottom w:val="none" w:sz="0" w:space="0" w:color="auto"/>
        <w:right w:val="none" w:sz="0" w:space="0" w:color="auto"/>
      </w:divBdr>
    </w:div>
    <w:div w:id="109713290">
      <w:bodyDiv w:val="1"/>
      <w:marLeft w:val="0"/>
      <w:marRight w:val="0"/>
      <w:marTop w:val="0"/>
      <w:marBottom w:val="0"/>
      <w:divBdr>
        <w:top w:val="none" w:sz="0" w:space="0" w:color="auto"/>
        <w:left w:val="none" w:sz="0" w:space="0" w:color="auto"/>
        <w:bottom w:val="none" w:sz="0" w:space="0" w:color="auto"/>
        <w:right w:val="none" w:sz="0" w:space="0" w:color="auto"/>
      </w:divBdr>
    </w:div>
    <w:div w:id="111246579">
      <w:bodyDiv w:val="1"/>
      <w:marLeft w:val="0"/>
      <w:marRight w:val="0"/>
      <w:marTop w:val="0"/>
      <w:marBottom w:val="0"/>
      <w:divBdr>
        <w:top w:val="none" w:sz="0" w:space="0" w:color="auto"/>
        <w:left w:val="none" w:sz="0" w:space="0" w:color="auto"/>
        <w:bottom w:val="none" w:sz="0" w:space="0" w:color="auto"/>
        <w:right w:val="none" w:sz="0" w:space="0" w:color="auto"/>
      </w:divBdr>
    </w:div>
    <w:div w:id="114911458">
      <w:bodyDiv w:val="1"/>
      <w:marLeft w:val="0"/>
      <w:marRight w:val="0"/>
      <w:marTop w:val="0"/>
      <w:marBottom w:val="0"/>
      <w:divBdr>
        <w:top w:val="none" w:sz="0" w:space="0" w:color="auto"/>
        <w:left w:val="none" w:sz="0" w:space="0" w:color="auto"/>
        <w:bottom w:val="none" w:sz="0" w:space="0" w:color="auto"/>
        <w:right w:val="none" w:sz="0" w:space="0" w:color="auto"/>
      </w:divBdr>
    </w:div>
    <w:div w:id="117797047">
      <w:bodyDiv w:val="1"/>
      <w:marLeft w:val="0"/>
      <w:marRight w:val="0"/>
      <w:marTop w:val="0"/>
      <w:marBottom w:val="0"/>
      <w:divBdr>
        <w:top w:val="none" w:sz="0" w:space="0" w:color="auto"/>
        <w:left w:val="none" w:sz="0" w:space="0" w:color="auto"/>
        <w:bottom w:val="none" w:sz="0" w:space="0" w:color="auto"/>
        <w:right w:val="none" w:sz="0" w:space="0" w:color="auto"/>
      </w:divBdr>
    </w:div>
    <w:div w:id="127019190">
      <w:bodyDiv w:val="1"/>
      <w:marLeft w:val="0"/>
      <w:marRight w:val="0"/>
      <w:marTop w:val="0"/>
      <w:marBottom w:val="0"/>
      <w:divBdr>
        <w:top w:val="none" w:sz="0" w:space="0" w:color="auto"/>
        <w:left w:val="none" w:sz="0" w:space="0" w:color="auto"/>
        <w:bottom w:val="none" w:sz="0" w:space="0" w:color="auto"/>
        <w:right w:val="none" w:sz="0" w:space="0" w:color="auto"/>
      </w:divBdr>
    </w:div>
    <w:div w:id="130365864">
      <w:bodyDiv w:val="1"/>
      <w:marLeft w:val="0"/>
      <w:marRight w:val="0"/>
      <w:marTop w:val="0"/>
      <w:marBottom w:val="0"/>
      <w:divBdr>
        <w:top w:val="none" w:sz="0" w:space="0" w:color="auto"/>
        <w:left w:val="none" w:sz="0" w:space="0" w:color="auto"/>
        <w:bottom w:val="none" w:sz="0" w:space="0" w:color="auto"/>
        <w:right w:val="none" w:sz="0" w:space="0" w:color="auto"/>
      </w:divBdr>
    </w:div>
    <w:div w:id="130487244">
      <w:bodyDiv w:val="1"/>
      <w:marLeft w:val="0"/>
      <w:marRight w:val="0"/>
      <w:marTop w:val="0"/>
      <w:marBottom w:val="0"/>
      <w:divBdr>
        <w:top w:val="none" w:sz="0" w:space="0" w:color="auto"/>
        <w:left w:val="none" w:sz="0" w:space="0" w:color="auto"/>
        <w:bottom w:val="none" w:sz="0" w:space="0" w:color="auto"/>
        <w:right w:val="none" w:sz="0" w:space="0" w:color="auto"/>
      </w:divBdr>
    </w:div>
    <w:div w:id="131024746">
      <w:bodyDiv w:val="1"/>
      <w:marLeft w:val="0"/>
      <w:marRight w:val="0"/>
      <w:marTop w:val="0"/>
      <w:marBottom w:val="0"/>
      <w:divBdr>
        <w:top w:val="none" w:sz="0" w:space="0" w:color="auto"/>
        <w:left w:val="none" w:sz="0" w:space="0" w:color="auto"/>
        <w:bottom w:val="none" w:sz="0" w:space="0" w:color="auto"/>
        <w:right w:val="none" w:sz="0" w:space="0" w:color="auto"/>
      </w:divBdr>
    </w:div>
    <w:div w:id="133525580">
      <w:bodyDiv w:val="1"/>
      <w:marLeft w:val="0"/>
      <w:marRight w:val="0"/>
      <w:marTop w:val="0"/>
      <w:marBottom w:val="0"/>
      <w:divBdr>
        <w:top w:val="none" w:sz="0" w:space="0" w:color="auto"/>
        <w:left w:val="none" w:sz="0" w:space="0" w:color="auto"/>
        <w:bottom w:val="none" w:sz="0" w:space="0" w:color="auto"/>
        <w:right w:val="none" w:sz="0" w:space="0" w:color="auto"/>
      </w:divBdr>
    </w:div>
    <w:div w:id="141698554">
      <w:bodyDiv w:val="1"/>
      <w:marLeft w:val="0"/>
      <w:marRight w:val="0"/>
      <w:marTop w:val="0"/>
      <w:marBottom w:val="0"/>
      <w:divBdr>
        <w:top w:val="none" w:sz="0" w:space="0" w:color="auto"/>
        <w:left w:val="none" w:sz="0" w:space="0" w:color="auto"/>
        <w:bottom w:val="none" w:sz="0" w:space="0" w:color="auto"/>
        <w:right w:val="none" w:sz="0" w:space="0" w:color="auto"/>
      </w:divBdr>
    </w:div>
    <w:div w:id="144514358">
      <w:bodyDiv w:val="1"/>
      <w:marLeft w:val="0"/>
      <w:marRight w:val="0"/>
      <w:marTop w:val="0"/>
      <w:marBottom w:val="0"/>
      <w:divBdr>
        <w:top w:val="none" w:sz="0" w:space="0" w:color="auto"/>
        <w:left w:val="none" w:sz="0" w:space="0" w:color="auto"/>
        <w:bottom w:val="none" w:sz="0" w:space="0" w:color="auto"/>
        <w:right w:val="none" w:sz="0" w:space="0" w:color="auto"/>
      </w:divBdr>
    </w:div>
    <w:div w:id="148715439">
      <w:bodyDiv w:val="1"/>
      <w:marLeft w:val="0"/>
      <w:marRight w:val="0"/>
      <w:marTop w:val="0"/>
      <w:marBottom w:val="0"/>
      <w:divBdr>
        <w:top w:val="none" w:sz="0" w:space="0" w:color="auto"/>
        <w:left w:val="none" w:sz="0" w:space="0" w:color="auto"/>
        <w:bottom w:val="none" w:sz="0" w:space="0" w:color="auto"/>
        <w:right w:val="none" w:sz="0" w:space="0" w:color="auto"/>
      </w:divBdr>
    </w:div>
    <w:div w:id="149179581">
      <w:bodyDiv w:val="1"/>
      <w:marLeft w:val="0"/>
      <w:marRight w:val="0"/>
      <w:marTop w:val="0"/>
      <w:marBottom w:val="0"/>
      <w:divBdr>
        <w:top w:val="none" w:sz="0" w:space="0" w:color="auto"/>
        <w:left w:val="none" w:sz="0" w:space="0" w:color="auto"/>
        <w:bottom w:val="none" w:sz="0" w:space="0" w:color="auto"/>
        <w:right w:val="none" w:sz="0" w:space="0" w:color="auto"/>
      </w:divBdr>
    </w:div>
    <w:div w:id="151222103">
      <w:bodyDiv w:val="1"/>
      <w:marLeft w:val="0"/>
      <w:marRight w:val="0"/>
      <w:marTop w:val="0"/>
      <w:marBottom w:val="0"/>
      <w:divBdr>
        <w:top w:val="none" w:sz="0" w:space="0" w:color="auto"/>
        <w:left w:val="none" w:sz="0" w:space="0" w:color="auto"/>
        <w:bottom w:val="none" w:sz="0" w:space="0" w:color="auto"/>
        <w:right w:val="none" w:sz="0" w:space="0" w:color="auto"/>
      </w:divBdr>
    </w:div>
    <w:div w:id="156850539">
      <w:bodyDiv w:val="1"/>
      <w:marLeft w:val="0"/>
      <w:marRight w:val="0"/>
      <w:marTop w:val="0"/>
      <w:marBottom w:val="0"/>
      <w:divBdr>
        <w:top w:val="none" w:sz="0" w:space="0" w:color="auto"/>
        <w:left w:val="none" w:sz="0" w:space="0" w:color="auto"/>
        <w:bottom w:val="none" w:sz="0" w:space="0" w:color="auto"/>
        <w:right w:val="none" w:sz="0" w:space="0" w:color="auto"/>
      </w:divBdr>
    </w:div>
    <w:div w:id="163278592">
      <w:bodyDiv w:val="1"/>
      <w:marLeft w:val="0"/>
      <w:marRight w:val="0"/>
      <w:marTop w:val="0"/>
      <w:marBottom w:val="0"/>
      <w:divBdr>
        <w:top w:val="none" w:sz="0" w:space="0" w:color="auto"/>
        <w:left w:val="none" w:sz="0" w:space="0" w:color="auto"/>
        <w:bottom w:val="none" w:sz="0" w:space="0" w:color="auto"/>
        <w:right w:val="none" w:sz="0" w:space="0" w:color="auto"/>
      </w:divBdr>
    </w:div>
    <w:div w:id="163282238">
      <w:bodyDiv w:val="1"/>
      <w:marLeft w:val="0"/>
      <w:marRight w:val="0"/>
      <w:marTop w:val="0"/>
      <w:marBottom w:val="0"/>
      <w:divBdr>
        <w:top w:val="none" w:sz="0" w:space="0" w:color="auto"/>
        <w:left w:val="none" w:sz="0" w:space="0" w:color="auto"/>
        <w:bottom w:val="none" w:sz="0" w:space="0" w:color="auto"/>
        <w:right w:val="none" w:sz="0" w:space="0" w:color="auto"/>
      </w:divBdr>
    </w:div>
    <w:div w:id="163478816">
      <w:bodyDiv w:val="1"/>
      <w:marLeft w:val="0"/>
      <w:marRight w:val="0"/>
      <w:marTop w:val="0"/>
      <w:marBottom w:val="0"/>
      <w:divBdr>
        <w:top w:val="none" w:sz="0" w:space="0" w:color="auto"/>
        <w:left w:val="none" w:sz="0" w:space="0" w:color="auto"/>
        <w:bottom w:val="none" w:sz="0" w:space="0" w:color="auto"/>
        <w:right w:val="none" w:sz="0" w:space="0" w:color="auto"/>
      </w:divBdr>
    </w:div>
    <w:div w:id="163861775">
      <w:bodyDiv w:val="1"/>
      <w:marLeft w:val="0"/>
      <w:marRight w:val="0"/>
      <w:marTop w:val="0"/>
      <w:marBottom w:val="0"/>
      <w:divBdr>
        <w:top w:val="none" w:sz="0" w:space="0" w:color="auto"/>
        <w:left w:val="none" w:sz="0" w:space="0" w:color="auto"/>
        <w:bottom w:val="none" w:sz="0" w:space="0" w:color="auto"/>
        <w:right w:val="none" w:sz="0" w:space="0" w:color="auto"/>
      </w:divBdr>
    </w:div>
    <w:div w:id="164715236">
      <w:bodyDiv w:val="1"/>
      <w:marLeft w:val="0"/>
      <w:marRight w:val="0"/>
      <w:marTop w:val="0"/>
      <w:marBottom w:val="0"/>
      <w:divBdr>
        <w:top w:val="none" w:sz="0" w:space="0" w:color="auto"/>
        <w:left w:val="none" w:sz="0" w:space="0" w:color="auto"/>
        <w:bottom w:val="none" w:sz="0" w:space="0" w:color="auto"/>
        <w:right w:val="none" w:sz="0" w:space="0" w:color="auto"/>
      </w:divBdr>
    </w:div>
    <w:div w:id="166866122">
      <w:bodyDiv w:val="1"/>
      <w:marLeft w:val="0"/>
      <w:marRight w:val="0"/>
      <w:marTop w:val="0"/>
      <w:marBottom w:val="0"/>
      <w:divBdr>
        <w:top w:val="none" w:sz="0" w:space="0" w:color="auto"/>
        <w:left w:val="none" w:sz="0" w:space="0" w:color="auto"/>
        <w:bottom w:val="none" w:sz="0" w:space="0" w:color="auto"/>
        <w:right w:val="none" w:sz="0" w:space="0" w:color="auto"/>
      </w:divBdr>
    </w:div>
    <w:div w:id="168258133">
      <w:bodyDiv w:val="1"/>
      <w:marLeft w:val="0"/>
      <w:marRight w:val="0"/>
      <w:marTop w:val="0"/>
      <w:marBottom w:val="0"/>
      <w:divBdr>
        <w:top w:val="none" w:sz="0" w:space="0" w:color="auto"/>
        <w:left w:val="none" w:sz="0" w:space="0" w:color="auto"/>
        <w:bottom w:val="none" w:sz="0" w:space="0" w:color="auto"/>
        <w:right w:val="none" w:sz="0" w:space="0" w:color="auto"/>
      </w:divBdr>
    </w:div>
    <w:div w:id="172770520">
      <w:bodyDiv w:val="1"/>
      <w:marLeft w:val="0"/>
      <w:marRight w:val="0"/>
      <w:marTop w:val="0"/>
      <w:marBottom w:val="0"/>
      <w:divBdr>
        <w:top w:val="none" w:sz="0" w:space="0" w:color="auto"/>
        <w:left w:val="none" w:sz="0" w:space="0" w:color="auto"/>
        <w:bottom w:val="none" w:sz="0" w:space="0" w:color="auto"/>
        <w:right w:val="none" w:sz="0" w:space="0" w:color="auto"/>
      </w:divBdr>
    </w:div>
    <w:div w:id="178934712">
      <w:bodyDiv w:val="1"/>
      <w:marLeft w:val="0"/>
      <w:marRight w:val="0"/>
      <w:marTop w:val="0"/>
      <w:marBottom w:val="0"/>
      <w:divBdr>
        <w:top w:val="none" w:sz="0" w:space="0" w:color="auto"/>
        <w:left w:val="none" w:sz="0" w:space="0" w:color="auto"/>
        <w:bottom w:val="none" w:sz="0" w:space="0" w:color="auto"/>
        <w:right w:val="none" w:sz="0" w:space="0" w:color="auto"/>
      </w:divBdr>
    </w:div>
    <w:div w:id="183784842">
      <w:marLeft w:val="0"/>
      <w:marRight w:val="0"/>
      <w:marTop w:val="0"/>
      <w:marBottom w:val="0"/>
      <w:divBdr>
        <w:top w:val="none" w:sz="0" w:space="0" w:color="auto"/>
        <w:left w:val="none" w:sz="0" w:space="0" w:color="auto"/>
        <w:bottom w:val="none" w:sz="0" w:space="0" w:color="auto"/>
        <w:right w:val="none" w:sz="0" w:space="0" w:color="auto"/>
      </w:divBdr>
    </w:div>
    <w:div w:id="184908946">
      <w:bodyDiv w:val="1"/>
      <w:marLeft w:val="0"/>
      <w:marRight w:val="0"/>
      <w:marTop w:val="0"/>
      <w:marBottom w:val="0"/>
      <w:divBdr>
        <w:top w:val="none" w:sz="0" w:space="0" w:color="auto"/>
        <w:left w:val="none" w:sz="0" w:space="0" w:color="auto"/>
        <w:bottom w:val="none" w:sz="0" w:space="0" w:color="auto"/>
        <w:right w:val="none" w:sz="0" w:space="0" w:color="auto"/>
      </w:divBdr>
    </w:div>
    <w:div w:id="187988700">
      <w:bodyDiv w:val="1"/>
      <w:marLeft w:val="0"/>
      <w:marRight w:val="0"/>
      <w:marTop w:val="0"/>
      <w:marBottom w:val="0"/>
      <w:divBdr>
        <w:top w:val="none" w:sz="0" w:space="0" w:color="auto"/>
        <w:left w:val="none" w:sz="0" w:space="0" w:color="auto"/>
        <w:bottom w:val="none" w:sz="0" w:space="0" w:color="auto"/>
        <w:right w:val="none" w:sz="0" w:space="0" w:color="auto"/>
      </w:divBdr>
    </w:div>
    <w:div w:id="190923920">
      <w:bodyDiv w:val="1"/>
      <w:marLeft w:val="0"/>
      <w:marRight w:val="0"/>
      <w:marTop w:val="0"/>
      <w:marBottom w:val="0"/>
      <w:divBdr>
        <w:top w:val="none" w:sz="0" w:space="0" w:color="auto"/>
        <w:left w:val="none" w:sz="0" w:space="0" w:color="auto"/>
        <w:bottom w:val="none" w:sz="0" w:space="0" w:color="auto"/>
        <w:right w:val="none" w:sz="0" w:space="0" w:color="auto"/>
      </w:divBdr>
    </w:div>
    <w:div w:id="193083369">
      <w:bodyDiv w:val="1"/>
      <w:marLeft w:val="0"/>
      <w:marRight w:val="0"/>
      <w:marTop w:val="0"/>
      <w:marBottom w:val="0"/>
      <w:divBdr>
        <w:top w:val="none" w:sz="0" w:space="0" w:color="auto"/>
        <w:left w:val="none" w:sz="0" w:space="0" w:color="auto"/>
        <w:bottom w:val="none" w:sz="0" w:space="0" w:color="auto"/>
        <w:right w:val="none" w:sz="0" w:space="0" w:color="auto"/>
      </w:divBdr>
    </w:div>
    <w:div w:id="195120487">
      <w:bodyDiv w:val="1"/>
      <w:marLeft w:val="0"/>
      <w:marRight w:val="0"/>
      <w:marTop w:val="0"/>
      <w:marBottom w:val="0"/>
      <w:divBdr>
        <w:top w:val="none" w:sz="0" w:space="0" w:color="auto"/>
        <w:left w:val="none" w:sz="0" w:space="0" w:color="auto"/>
        <w:bottom w:val="none" w:sz="0" w:space="0" w:color="auto"/>
        <w:right w:val="none" w:sz="0" w:space="0" w:color="auto"/>
      </w:divBdr>
    </w:div>
    <w:div w:id="195122578">
      <w:bodyDiv w:val="1"/>
      <w:marLeft w:val="0"/>
      <w:marRight w:val="0"/>
      <w:marTop w:val="0"/>
      <w:marBottom w:val="0"/>
      <w:divBdr>
        <w:top w:val="none" w:sz="0" w:space="0" w:color="auto"/>
        <w:left w:val="none" w:sz="0" w:space="0" w:color="auto"/>
        <w:bottom w:val="none" w:sz="0" w:space="0" w:color="auto"/>
        <w:right w:val="none" w:sz="0" w:space="0" w:color="auto"/>
      </w:divBdr>
    </w:div>
    <w:div w:id="195197916">
      <w:bodyDiv w:val="1"/>
      <w:marLeft w:val="0"/>
      <w:marRight w:val="0"/>
      <w:marTop w:val="0"/>
      <w:marBottom w:val="0"/>
      <w:divBdr>
        <w:top w:val="none" w:sz="0" w:space="0" w:color="auto"/>
        <w:left w:val="none" w:sz="0" w:space="0" w:color="auto"/>
        <w:bottom w:val="none" w:sz="0" w:space="0" w:color="auto"/>
        <w:right w:val="none" w:sz="0" w:space="0" w:color="auto"/>
      </w:divBdr>
    </w:div>
    <w:div w:id="201792039">
      <w:bodyDiv w:val="1"/>
      <w:marLeft w:val="0"/>
      <w:marRight w:val="0"/>
      <w:marTop w:val="0"/>
      <w:marBottom w:val="0"/>
      <w:divBdr>
        <w:top w:val="none" w:sz="0" w:space="0" w:color="auto"/>
        <w:left w:val="none" w:sz="0" w:space="0" w:color="auto"/>
        <w:bottom w:val="none" w:sz="0" w:space="0" w:color="auto"/>
        <w:right w:val="none" w:sz="0" w:space="0" w:color="auto"/>
      </w:divBdr>
    </w:div>
    <w:div w:id="203761039">
      <w:bodyDiv w:val="1"/>
      <w:marLeft w:val="0"/>
      <w:marRight w:val="0"/>
      <w:marTop w:val="0"/>
      <w:marBottom w:val="0"/>
      <w:divBdr>
        <w:top w:val="none" w:sz="0" w:space="0" w:color="auto"/>
        <w:left w:val="none" w:sz="0" w:space="0" w:color="auto"/>
        <w:bottom w:val="none" w:sz="0" w:space="0" w:color="auto"/>
        <w:right w:val="none" w:sz="0" w:space="0" w:color="auto"/>
      </w:divBdr>
    </w:div>
    <w:div w:id="205530814">
      <w:bodyDiv w:val="1"/>
      <w:marLeft w:val="0"/>
      <w:marRight w:val="0"/>
      <w:marTop w:val="0"/>
      <w:marBottom w:val="0"/>
      <w:divBdr>
        <w:top w:val="none" w:sz="0" w:space="0" w:color="auto"/>
        <w:left w:val="none" w:sz="0" w:space="0" w:color="auto"/>
        <w:bottom w:val="none" w:sz="0" w:space="0" w:color="auto"/>
        <w:right w:val="none" w:sz="0" w:space="0" w:color="auto"/>
      </w:divBdr>
    </w:div>
    <w:div w:id="207180904">
      <w:bodyDiv w:val="1"/>
      <w:marLeft w:val="0"/>
      <w:marRight w:val="0"/>
      <w:marTop w:val="0"/>
      <w:marBottom w:val="0"/>
      <w:divBdr>
        <w:top w:val="none" w:sz="0" w:space="0" w:color="auto"/>
        <w:left w:val="none" w:sz="0" w:space="0" w:color="auto"/>
        <w:bottom w:val="none" w:sz="0" w:space="0" w:color="auto"/>
        <w:right w:val="none" w:sz="0" w:space="0" w:color="auto"/>
      </w:divBdr>
    </w:div>
    <w:div w:id="211042885">
      <w:bodyDiv w:val="1"/>
      <w:marLeft w:val="0"/>
      <w:marRight w:val="0"/>
      <w:marTop w:val="0"/>
      <w:marBottom w:val="0"/>
      <w:divBdr>
        <w:top w:val="none" w:sz="0" w:space="0" w:color="auto"/>
        <w:left w:val="none" w:sz="0" w:space="0" w:color="auto"/>
        <w:bottom w:val="none" w:sz="0" w:space="0" w:color="auto"/>
        <w:right w:val="none" w:sz="0" w:space="0" w:color="auto"/>
      </w:divBdr>
    </w:div>
    <w:div w:id="212231115">
      <w:bodyDiv w:val="1"/>
      <w:marLeft w:val="0"/>
      <w:marRight w:val="0"/>
      <w:marTop w:val="0"/>
      <w:marBottom w:val="0"/>
      <w:divBdr>
        <w:top w:val="none" w:sz="0" w:space="0" w:color="auto"/>
        <w:left w:val="none" w:sz="0" w:space="0" w:color="auto"/>
        <w:bottom w:val="none" w:sz="0" w:space="0" w:color="auto"/>
        <w:right w:val="none" w:sz="0" w:space="0" w:color="auto"/>
      </w:divBdr>
    </w:div>
    <w:div w:id="213934753">
      <w:bodyDiv w:val="1"/>
      <w:marLeft w:val="0"/>
      <w:marRight w:val="0"/>
      <w:marTop w:val="0"/>
      <w:marBottom w:val="0"/>
      <w:divBdr>
        <w:top w:val="none" w:sz="0" w:space="0" w:color="auto"/>
        <w:left w:val="none" w:sz="0" w:space="0" w:color="auto"/>
        <w:bottom w:val="none" w:sz="0" w:space="0" w:color="auto"/>
        <w:right w:val="none" w:sz="0" w:space="0" w:color="auto"/>
      </w:divBdr>
    </w:div>
    <w:div w:id="214125399">
      <w:bodyDiv w:val="1"/>
      <w:marLeft w:val="0"/>
      <w:marRight w:val="0"/>
      <w:marTop w:val="0"/>
      <w:marBottom w:val="0"/>
      <w:divBdr>
        <w:top w:val="none" w:sz="0" w:space="0" w:color="auto"/>
        <w:left w:val="none" w:sz="0" w:space="0" w:color="auto"/>
        <w:bottom w:val="none" w:sz="0" w:space="0" w:color="auto"/>
        <w:right w:val="none" w:sz="0" w:space="0" w:color="auto"/>
      </w:divBdr>
    </w:div>
    <w:div w:id="215822130">
      <w:bodyDiv w:val="1"/>
      <w:marLeft w:val="0"/>
      <w:marRight w:val="0"/>
      <w:marTop w:val="0"/>
      <w:marBottom w:val="0"/>
      <w:divBdr>
        <w:top w:val="none" w:sz="0" w:space="0" w:color="auto"/>
        <w:left w:val="none" w:sz="0" w:space="0" w:color="auto"/>
        <w:bottom w:val="none" w:sz="0" w:space="0" w:color="auto"/>
        <w:right w:val="none" w:sz="0" w:space="0" w:color="auto"/>
      </w:divBdr>
    </w:div>
    <w:div w:id="217785735">
      <w:bodyDiv w:val="1"/>
      <w:marLeft w:val="0"/>
      <w:marRight w:val="0"/>
      <w:marTop w:val="0"/>
      <w:marBottom w:val="0"/>
      <w:divBdr>
        <w:top w:val="none" w:sz="0" w:space="0" w:color="auto"/>
        <w:left w:val="none" w:sz="0" w:space="0" w:color="auto"/>
        <w:bottom w:val="none" w:sz="0" w:space="0" w:color="auto"/>
        <w:right w:val="none" w:sz="0" w:space="0" w:color="auto"/>
      </w:divBdr>
    </w:div>
    <w:div w:id="227958872">
      <w:bodyDiv w:val="1"/>
      <w:marLeft w:val="0"/>
      <w:marRight w:val="0"/>
      <w:marTop w:val="0"/>
      <w:marBottom w:val="0"/>
      <w:divBdr>
        <w:top w:val="none" w:sz="0" w:space="0" w:color="auto"/>
        <w:left w:val="none" w:sz="0" w:space="0" w:color="auto"/>
        <w:bottom w:val="none" w:sz="0" w:space="0" w:color="auto"/>
        <w:right w:val="none" w:sz="0" w:space="0" w:color="auto"/>
      </w:divBdr>
    </w:div>
    <w:div w:id="235673626">
      <w:bodyDiv w:val="1"/>
      <w:marLeft w:val="0"/>
      <w:marRight w:val="0"/>
      <w:marTop w:val="0"/>
      <w:marBottom w:val="0"/>
      <w:divBdr>
        <w:top w:val="none" w:sz="0" w:space="0" w:color="auto"/>
        <w:left w:val="none" w:sz="0" w:space="0" w:color="auto"/>
        <w:bottom w:val="none" w:sz="0" w:space="0" w:color="auto"/>
        <w:right w:val="none" w:sz="0" w:space="0" w:color="auto"/>
      </w:divBdr>
    </w:div>
    <w:div w:id="243488805">
      <w:bodyDiv w:val="1"/>
      <w:marLeft w:val="0"/>
      <w:marRight w:val="0"/>
      <w:marTop w:val="0"/>
      <w:marBottom w:val="0"/>
      <w:divBdr>
        <w:top w:val="none" w:sz="0" w:space="0" w:color="auto"/>
        <w:left w:val="none" w:sz="0" w:space="0" w:color="auto"/>
        <w:bottom w:val="none" w:sz="0" w:space="0" w:color="auto"/>
        <w:right w:val="none" w:sz="0" w:space="0" w:color="auto"/>
      </w:divBdr>
    </w:div>
    <w:div w:id="245963832">
      <w:bodyDiv w:val="1"/>
      <w:marLeft w:val="0"/>
      <w:marRight w:val="0"/>
      <w:marTop w:val="0"/>
      <w:marBottom w:val="0"/>
      <w:divBdr>
        <w:top w:val="none" w:sz="0" w:space="0" w:color="auto"/>
        <w:left w:val="none" w:sz="0" w:space="0" w:color="auto"/>
        <w:bottom w:val="none" w:sz="0" w:space="0" w:color="auto"/>
        <w:right w:val="none" w:sz="0" w:space="0" w:color="auto"/>
      </w:divBdr>
    </w:div>
    <w:div w:id="249855058">
      <w:bodyDiv w:val="1"/>
      <w:marLeft w:val="0"/>
      <w:marRight w:val="0"/>
      <w:marTop w:val="0"/>
      <w:marBottom w:val="0"/>
      <w:divBdr>
        <w:top w:val="none" w:sz="0" w:space="0" w:color="auto"/>
        <w:left w:val="none" w:sz="0" w:space="0" w:color="auto"/>
        <w:bottom w:val="none" w:sz="0" w:space="0" w:color="auto"/>
        <w:right w:val="none" w:sz="0" w:space="0" w:color="auto"/>
      </w:divBdr>
    </w:div>
    <w:div w:id="254829710">
      <w:bodyDiv w:val="1"/>
      <w:marLeft w:val="0"/>
      <w:marRight w:val="0"/>
      <w:marTop w:val="0"/>
      <w:marBottom w:val="0"/>
      <w:divBdr>
        <w:top w:val="none" w:sz="0" w:space="0" w:color="auto"/>
        <w:left w:val="none" w:sz="0" w:space="0" w:color="auto"/>
        <w:bottom w:val="none" w:sz="0" w:space="0" w:color="auto"/>
        <w:right w:val="none" w:sz="0" w:space="0" w:color="auto"/>
      </w:divBdr>
    </w:div>
    <w:div w:id="255984822">
      <w:bodyDiv w:val="1"/>
      <w:marLeft w:val="0"/>
      <w:marRight w:val="0"/>
      <w:marTop w:val="0"/>
      <w:marBottom w:val="0"/>
      <w:divBdr>
        <w:top w:val="none" w:sz="0" w:space="0" w:color="auto"/>
        <w:left w:val="none" w:sz="0" w:space="0" w:color="auto"/>
        <w:bottom w:val="none" w:sz="0" w:space="0" w:color="auto"/>
        <w:right w:val="none" w:sz="0" w:space="0" w:color="auto"/>
      </w:divBdr>
    </w:div>
    <w:div w:id="257368369">
      <w:bodyDiv w:val="1"/>
      <w:marLeft w:val="0"/>
      <w:marRight w:val="0"/>
      <w:marTop w:val="0"/>
      <w:marBottom w:val="0"/>
      <w:divBdr>
        <w:top w:val="none" w:sz="0" w:space="0" w:color="auto"/>
        <w:left w:val="none" w:sz="0" w:space="0" w:color="auto"/>
        <w:bottom w:val="none" w:sz="0" w:space="0" w:color="auto"/>
        <w:right w:val="none" w:sz="0" w:space="0" w:color="auto"/>
      </w:divBdr>
    </w:div>
    <w:div w:id="263389186">
      <w:bodyDiv w:val="1"/>
      <w:marLeft w:val="0"/>
      <w:marRight w:val="0"/>
      <w:marTop w:val="0"/>
      <w:marBottom w:val="0"/>
      <w:divBdr>
        <w:top w:val="none" w:sz="0" w:space="0" w:color="auto"/>
        <w:left w:val="none" w:sz="0" w:space="0" w:color="auto"/>
        <w:bottom w:val="none" w:sz="0" w:space="0" w:color="auto"/>
        <w:right w:val="none" w:sz="0" w:space="0" w:color="auto"/>
      </w:divBdr>
    </w:div>
    <w:div w:id="265507430">
      <w:bodyDiv w:val="1"/>
      <w:marLeft w:val="0"/>
      <w:marRight w:val="0"/>
      <w:marTop w:val="0"/>
      <w:marBottom w:val="0"/>
      <w:divBdr>
        <w:top w:val="none" w:sz="0" w:space="0" w:color="auto"/>
        <w:left w:val="none" w:sz="0" w:space="0" w:color="auto"/>
        <w:bottom w:val="none" w:sz="0" w:space="0" w:color="auto"/>
        <w:right w:val="none" w:sz="0" w:space="0" w:color="auto"/>
      </w:divBdr>
    </w:div>
    <w:div w:id="276109094">
      <w:bodyDiv w:val="1"/>
      <w:marLeft w:val="0"/>
      <w:marRight w:val="0"/>
      <w:marTop w:val="0"/>
      <w:marBottom w:val="0"/>
      <w:divBdr>
        <w:top w:val="none" w:sz="0" w:space="0" w:color="auto"/>
        <w:left w:val="none" w:sz="0" w:space="0" w:color="auto"/>
        <w:bottom w:val="none" w:sz="0" w:space="0" w:color="auto"/>
        <w:right w:val="none" w:sz="0" w:space="0" w:color="auto"/>
      </w:divBdr>
    </w:div>
    <w:div w:id="278221498">
      <w:bodyDiv w:val="1"/>
      <w:marLeft w:val="0"/>
      <w:marRight w:val="0"/>
      <w:marTop w:val="0"/>
      <w:marBottom w:val="0"/>
      <w:divBdr>
        <w:top w:val="none" w:sz="0" w:space="0" w:color="auto"/>
        <w:left w:val="none" w:sz="0" w:space="0" w:color="auto"/>
        <w:bottom w:val="none" w:sz="0" w:space="0" w:color="auto"/>
        <w:right w:val="none" w:sz="0" w:space="0" w:color="auto"/>
      </w:divBdr>
    </w:div>
    <w:div w:id="280502057">
      <w:bodyDiv w:val="1"/>
      <w:marLeft w:val="0"/>
      <w:marRight w:val="0"/>
      <w:marTop w:val="0"/>
      <w:marBottom w:val="0"/>
      <w:divBdr>
        <w:top w:val="none" w:sz="0" w:space="0" w:color="auto"/>
        <w:left w:val="none" w:sz="0" w:space="0" w:color="auto"/>
        <w:bottom w:val="none" w:sz="0" w:space="0" w:color="auto"/>
        <w:right w:val="none" w:sz="0" w:space="0" w:color="auto"/>
      </w:divBdr>
    </w:div>
    <w:div w:id="286208458">
      <w:bodyDiv w:val="1"/>
      <w:marLeft w:val="0"/>
      <w:marRight w:val="0"/>
      <w:marTop w:val="0"/>
      <w:marBottom w:val="0"/>
      <w:divBdr>
        <w:top w:val="none" w:sz="0" w:space="0" w:color="auto"/>
        <w:left w:val="none" w:sz="0" w:space="0" w:color="auto"/>
        <w:bottom w:val="none" w:sz="0" w:space="0" w:color="auto"/>
        <w:right w:val="none" w:sz="0" w:space="0" w:color="auto"/>
      </w:divBdr>
    </w:div>
    <w:div w:id="289479858">
      <w:bodyDiv w:val="1"/>
      <w:marLeft w:val="0"/>
      <w:marRight w:val="0"/>
      <w:marTop w:val="0"/>
      <w:marBottom w:val="0"/>
      <w:divBdr>
        <w:top w:val="none" w:sz="0" w:space="0" w:color="auto"/>
        <w:left w:val="none" w:sz="0" w:space="0" w:color="auto"/>
        <w:bottom w:val="none" w:sz="0" w:space="0" w:color="auto"/>
        <w:right w:val="none" w:sz="0" w:space="0" w:color="auto"/>
      </w:divBdr>
    </w:div>
    <w:div w:id="292953835">
      <w:bodyDiv w:val="1"/>
      <w:marLeft w:val="0"/>
      <w:marRight w:val="0"/>
      <w:marTop w:val="0"/>
      <w:marBottom w:val="0"/>
      <w:divBdr>
        <w:top w:val="none" w:sz="0" w:space="0" w:color="auto"/>
        <w:left w:val="none" w:sz="0" w:space="0" w:color="auto"/>
        <w:bottom w:val="none" w:sz="0" w:space="0" w:color="auto"/>
        <w:right w:val="none" w:sz="0" w:space="0" w:color="auto"/>
      </w:divBdr>
    </w:div>
    <w:div w:id="297145284">
      <w:bodyDiv w:val="1"/>
      <w:marLeft w:val="0"/>
      <w:marRight w:val="0"/>
      <w:marTop w:val="0"/>
      <w:marBottom w:val="0"/>
      <w:divBdr>
        <w:top w:val="none" w:sz="0" w:space="0" w:color="auto"/>
        <w:left w:val="none" w:sz="0" w:space="0" w:color="auto"/>
        <w:bottom w:val="none" w:sz="0" w:space="0" w:color="auto"/>
        <w:right w:val="none" w:sz="0" w:space="0" w:color="auto"/>
      </w:divBdr>
    </w:div>
    <w:div w:id="297690124">
      <w:bodyDiv w:val="1"/>
      <w:marLeft w:val="0"/>
      <w:marRight w:val="0"/>
      <w:marTop w:val="0"/>
      <w:marBottom w:val="0"/>
      <w:divBdr>
        <w:top w:val="none" w:sz="0" w:space="0" w:color="auto"/>
        <w:left w:val="none" w:sz="0" w:space="0" w:color="auto"/>
        <w:bottom w:val="none" w:sz="0" w:space="0" w:color="auto"/>
        <w:right w:val="none" w:sz="0" w:space="0" w:color="auto"/>
      </w:divBdr>
    </w:div>
    <w:div w:id="301618755">
      <w:bodyDiv w:val="1"/>
      <w:marLeft w:val="0"/>
      <w:marRight w:val="0"/>
      <w:marTop w:val="0"/>
      <w:marBottom w:val="0"/>
      <w:divBdr>
        <w:top w:val="none" w:sz="0" w:space="0" w:color="auto"/>
        <w:left w:val="none" w:sz="0" w:space="0" w:color="auto"/>
        <w:bottom w:val="none" w:sz="0" w:space="0" w:color="auto"/>
        <w:right w:val="none" w:sz="0" w:space="0" w:color="auto"/>
      </w:divBdr>
    </w:div>
    <w:div w:id="302975946">
      <w:bodyDiv w:val="1"/>
      <w:marLeft w:val="0"/>
      <w:marRight w:val="0"/>
      <w:marTop w:val="0"/>
      <w:marBottom w:val="0"/>
      <w:divBdr>
        <w:top w:val="none" w:sz="0" w:space="0" w:color="auto"/>
        <w:left w:val="none" w:sz="0" w:space="0" w:color="auto"/>
        <w:bottom w:val="none" w:sz="0" w:space="0" w:color="auto"/>
        <w:right w:val="none" w:sz="0" w:space="0" w:color="auto"/>
      </w:divBdr>
    </w:div>
    <w:div w:id="305010330">
      <w:bodyDiv w:val="1"/>
      <w:marLeft w:val="0"/>
      <w:marRight w:val="0"/>
      <w:marTop w:val="0"/>
      <w:marBottom w:val="0"/>
      <w:divBdr>
        <w:top w:val="none" w:sz="0" w:space="0" w:color="auto"/>
        <w:left w:val="none" w:sz="0" w:space="0" w:color="auto"/>
        <w:bottom w:val="none" w:sz="0" w:space="0" w:color="auto"/>
        <w:right w:val="none" w:sz="0" w:space="0" w:color="auto"/>
      </w:divBdr>
    </w:div>
    <w:div w:id="310401723">
      <w:bodyDiv w:val="1"/>
      <w:marLeft w:val="0"/>
      <w:marRight w:val="0"/>
      <w:marTop w:val="0"/>
      <w:marBottom w:val="0"/>
      <w:divBdr>
        <w:top w:val="none" w:sz="0" w:space="0" w:color="auto"/>
        <w:left w:val="none" w:sz="0" w:space="0" w:color="auto"/>
        <w:bottom w:val="none" w:sz="0" w:space="0" w:color="auto"/>
        <w:right w:val="none" w:sz="0" w:space="0" w:color="auto"/>
      </w:divBdr>
    </w:div>
    <w:div w:id="311758259">
      <w:bodyDiv w:val="1"/>
      <w:marLeft w:val="0"/>
      <w:marRight w:val="0"/>
      <w:marTop w:val="0"/>
      <w:marBottom w:val="0"/>
      <w:divBdr>
        <w:top w:val="none" w:sz="0" w:space="0" w:color="auto"/>
        <w:left w:val="none" w:sz="0" w:space="0" w:color="auto"/>
        <w:bottom w:val="none" w:sz="0" w:space="0" w:color="auto"/>
        <w:right w:val="none" w:sz="0" w:space="0" w:color="auto"/>
      </w:divBdr>
    </w:div>
    <w:div w:id="320037196">
      <w:bodyDiv w:val="1"/>
      <w:marLeft w:val="0"/>
      <w:marRight w:val="0"/>
      <w:marTop w:val="0"/>
      <w:marBottom w:val="0"/>
      <w:divBdr>
        <w:top w:val="none" w:sz="0" w:space="0" w:color="auto"/>
        <w:left w:val="none" w:sz="0" w:space="0" w:color="auto"/>
        <w:bottom w:val="none" w:sz="0" w:space="0" w:color="auto"/>
        <w:right w:val="none" w:sz="0" w:space="0" w:color="auto"/>
      </w:divBdr>
    </w:div>
    <w:div w:id="334456573">
      <w:bodyDiv w:val="1"/>
      <w:marLeft w:val="0"/>
      <w:marRight w:val="0"/>
      <w:marTop w:val="0"/>
      <w:marBottom w:val="0"/>
      <w:divBdr>
        <w:top w:val="none" w:sz="0" w:space="0" w:color="auto"/>
        <w:left w:val="none" w:sz="0" w:space="0" w:color="auto"/>
        <w:bottom w:val="none" w:sz="0" w:space="0" w:color="auto"/>
        <w:right w:val="none" w:sz="0" w:space="0" w:color="auto"/>
      </w:divBdr>
    </w:div>
    <w:div w:id="336470824">
      <w:bodyDiv w:val="1"/>
      <w:marLeft w:val="0"/>
      <w:marRight w:val="0"/>
      <w:marTop w:val="0"/>
      <w:marBottom w:val="0"/>
      <w:divBdr>
        <w:top w:val="none" w:sz="0" w:space="0" w:color="auto"/>
        <w:left w:val="none" w:sz="0" w:space="0" w:color="auto"/>
        <w:bottom w:val="none" w:sz="0" w:space="0" w:color="auto"/>
        <w:right w:val="none" w:sz="0" w:space="0" w:color="auto"/>
      </w:divBdr>
    </w:div>
    <w:div w:id="341325951">
      <w:marLeft w:val="0"/>
      <w:marRight w:val="0"/>
      <w:marTop w:val="0"/>
      <w:marBottom w:val="0"/>
      <w:divBdr>
        <w:top w:val="none" w:sz="0" w:space="0" w:color="auto"/>
        <w:left w:val="none" w:sz="0" w:space="0" w:color="auto"/>
        <w:bottom w:val="none" w:sz="0" w:space="0" w:color="auto"/>
        <w:right w:val="none" w:sz="0" w:space="0" w:color="auto"/>
      </w:divBdr>
    </w:div>
    <w:div w:id="347952249">
      <w:bodyDiv w:val="1"/>
      <w:marLeft w:val="0"/>
      <w:marRight w:val="0"/>
      <w:marTop w:val="0"/>
      <w:marBottom w:val="0"/>
      <w:divBdr>
        <w:top w:val="none" w:sz="0" w:space="0" w:color="auto"/>
        <w:left w:val="none" w:sz="0" w:space="0" w:color="auto"/>
        <w:bottom w:val="none" w:sz="0" w:space="0" w:color="auto"/>
        <w:right w:val="none" w:sz="0" w:space="0" w:color="auto"/>
      </w:divBdr>
    </w:div>
    <w:div w:id="348802878">
      <w:bodyDiv w:val="1"/>
      <w:marLeft w:val="0"/>
      <w:marRight w:val="0"/>
      <w:marTop w:val="0"/>
      <w:marBottom w:val="0"/>
      <w:divBdr>
        <w:top w:val="none" w:sz="0" w:space="0" w:color="auto"/>
        <w:left w:val="none" w:sz="0" w:space="0" w:color="auto"/>
        <w:bottom w:val="none" w:sz="0" w:space="0" w:color="auto"/>
        <w:right w:val="none" w:sz="0" w:space="0" w:color="auto"/>
      </w:divBdr>
    </w:div>
    <w:div w:id="351877546">
      <w:bodyDiv w:val="1"/>
      <w:marLeft w:val="0"/>
      <w:marRight w:val="0"/>
      <w:marTop w:val="0"/>
      <w:marBottom w:val="0"/>
      <w:divBdr>
        <w:top w:val="none" w:sz="0" w:space="0" w:color="auto"/>
        <w:left w:val="none" w:sz="0" w:space="0" w:color="auto"/>
        <w:bottom w:val="none" w:sz="0" w:space="0" w:color="auto"/>
        <w:right w:val="none" w:sz="0" w:space="0" w:color="auto"/>
      </w:divBdr>
    </w:div>
    <w:div w:id="353922229">
      <w:bodyDiv w:val="1"/>
      <w:marLeft w:val="0"/>
      <w:marRight w:val="0"/>
      <w:marTop w:val="0"/>
      <w:marBottom w:val="0"/>
      <w:divBdr>
        <w:top w:val="none" w:sz="0" w:space="0" w:color="auto"/>
        <w:left w:val="none" w:sz="0" w:space="0" w:color="auto"/>
        <w:bottom w:val="none" w:sz="0" w:space="0" w:color="auto"/>
        <w:right w:val="none" w:sz="0" w:space="0" w:color="auto"/>
      </w:divBdr>
    </w:div>
    <w:div w:id="355884896">
      <w:bodyDiv w:val="1"/>
      <w:marLeft w:val="0"/>
      <w:marRight w:val="0"/>
      <w:marTop w:val="0"/>
      <w:marBottom w:val="0"/>
      <w:divBdr>
        <w:top w:val="none" w:sz="0" w:space="0" w:color="auto"/>
        <w:left w:val="none" w:sz="0" w:space="0" w:color="auto"/>
        <w:bottom w:val="none" w:sz="0" w:space="0" w:color="auto"/>
        <w:right w:val="none" w:sz="0" w:space="0" w:color="auto"/>
      </w:divBdr>
    </w:div>
    <w:div w:id="365642872">
      <w:bodyDiv w:val="1"/>
      <w:marLeft w:val="0"/>
      <w:marRight w:val="0"/>
      <w:marTop w:val="0"/>
      <w:marBottom w:val="0"/>
      <w:divBdr>
        <w:top w:val="none" w:sz="0" w:space="0" w:color="auto"/>
        <w:left w:val="none" w:sz="0" w:space="0" w:color="auto"/>
        <w:bottom w:val="none" w:sz="0" w:space="0" w:color="auto"/>
        <w:right w:val="none" w:sz="0" w:space="0" w:color="auto"/>
      </w:divBdr>
    </w:div>
    <w:div w:id="367529376">
      <w:bodyDiv w:val="1"/>
      <w:marLeft w:val="0"/>
      <w:marRight w:val="0"/>
      <w:marTop w:val="0"/>
      <w:marBottom w:val="0"/>
      <w:divBdr>
        <w:top w:val="none" w:sz="0" w:space="0" w:color="auto"/>
        <w:left w:val="none" w:sz="0" w:space="0" w:color="auto"/>
        <w:bottom w:val="none" w:sz="0" w:space="0" w:color="auto"/>
        <w:right w:val="none" w:sz="0" w:space="0" w:color="auto"/>
      </w:divBdr>
    </w:div>
    <w:div w:id="368455137">
      <w:bodyDiv w:val="1"/>
      <w:marLeft w:val="0"/>
      <w:marRight w:val="0"/>
      <w:marTop w:val="0"/>
      <w:marBottom w:val="0"/>
      <w:divBdr>
        <w:top w:val="none" w:sz="0" w:space="0" w:color="auto"/>
        <w:left w:val="none" w:sz="0" w:space="0" w:color="auto"/>
        <w:bottom w:val="none" w:sz="0" w:space="0" w:color="auto"/>
        <w:right w:val="none" w:sz="0" w:space="0" w:color="auto"/>
      </w:divBdr>
    </w:div>
    <w:div w:id="374889247">
      <w:bodyDiv w:val="1"/>
      <w:marLeft w:val="0"/>
      <w:marRight w:val="0"/>
      <w:marTop w:val="0"/>
      <w:marBottom w:val="0"/>
      <w:divBdr>
        <w:top w:val="none" w:sz="0" w:space="0" w:color="auto"/>
        <w:left w:val="none" w:sz="0" w:space="0" w:color="auto"/>
        <w:bottom w:val="none" w:sz="0" w:space="0" w:color="auto"/>
        <w:right w:val="none" w:sz="0" w:space="0" w:color="auto"/>
      </w:divBdr>
    </w:div>
    <w:div w:id="381172018">
      <w:bodyDiv w:val="1"/>
      <w:marLeft w:val="0"/>
      <w:marRight w:val="0"/>
      <w:marTop w:val="0"/>
      <w:marBottom w:val="0"/>
      <w:divBdr>
        <w:top w:val="none" w:sz="0" w:space="0" w:color="auto"/>
        <w:left w:val="none" w:sz="0" w:space="0" w:color="auto"/>
        <w:bottom w:val="none" w:sz="0" w:space="0" w:color="auto"/>
        <w:right w:val="none" w:sz="0" w:space="0" w:color="auto"/>
      </w:divBdr>
    </w:div>
    <w:div w:id="384448771">
      <w:bodyDiv w:val="1"/>
      <w:marLeft w:val="0"/>
      <w:marRight w:val="0"/>
      <w:marTop w:val="0"/>
      <w:marBottom w:val="0"/>
      <w:divBdr>
        <w:top w:val="none" w:sz="0" w:space="0" w:color="auto"/>
        <w:left w:val="none" w:sz="0" w:space="0" w:color="auto"/>
        <w:bottom w:val="none" w:sz="0" w:space="0" w:color="auto"/>
        <w:right w:val="none" w:sz="0" w:space="0" w:color="auto"/>
      </w:divBdr>
    </w:div>
    <w:div w:id="387336673">
      <w:bodyDiv w:val="1"/>
      <w:marLeft w:val="0"/>
      <w:marRight w:val="0"/>
      <w:marTop w:val="0"/>
      <w:marBottom w:val="0"/>
      <w:divBdr>
        <w:top w:val="none" w:sz="0" w:space="0" w:color="auto"/>
        <w:left w:val="none" w:sz="0" w:space="0" w:color="auto"/>
        <w:bottom w:val="none" w:sz="0" w:space="0" w:color="auto"/>
        <w:right w:val="none" w:sz="0" w:space="0" w:color="auto"/>
      </w:divBdr>
    </w:div>
    <w:div w:id="402989309">
      <w:bodyDiv w:val="1"/>
      <w:marLeft w:val="0"/>
      <w:marRight w:val="0"/>
      <w:marTop w:val="0"/>
      <w:marBottom w:val="0"/>
      <w:divBdr>
        <w:top w:val="none" w:sz="0" w:space="0" w:color="auto"/>
        <w:left w:val="none" w:sz="0" w:space="0" w:color="auto"/>
        <w:bottom w:val="none" w:sz="0" w:space="0" w:color="auto"/>
        <w:right w:val="none" w:sz="0" w:space="0" w:color="auto"/>
      </w:divBdr>
    </w:div>
    <w:div w:id="407044694">
      <w:bodyDiv w:val="1"/>
      <w:marLeft w:val="0"/>
      <w:marRight w:val="0"/>
      <w:marTop w:val="0"/>
      <w:marBottom w:val="0"/>
      <w:divBdr>
        <w:top w:val="none" w:sz="0" w:space="0" w:color="auto"/>
        <w:left w:val="none" w:sz="0" w:space="0" w:color="auto"/>
        <w:bottom w:val="none" w:sz="0" w:space="0" w:color="auto"/>
        <w:right w:val="none" w:sz="0" w:space="0" w:color="auto"/>
      </w:divBdr>
    </w:div>
    <w:div w:id="407970716">
      <w:bodyDiv w:val="1"/>
      <w:marLeft w:val="0"/>
      <w:marRight w:val="0"/>
      <w:marTop w:val="0"/>
      <w:marBottom w:val="0"/>
      <w:divBdr>
        <w:top w:val="none" w:sz="0" w:space="0" w:color="auto"/>
        <w:left w:val="none" w:sz="0" w:space="0" w:color="auto"/>
        <w:bottom w:val="none" w:sz="0" w:space="0" w:color="auto"/>
        <w:right w:val="none" w:sz="0" w:space="0" w:color="auto"/>
      </w:divBdr>
    </w:div>
    <w:div w:id="410659131">
      <w:bodyDiv w:val="1"/>
      <w:marLeft w:val="0"/>
      <w:marRight w:val="0"/>
      <w:marTop w:val="0"/>
      <w:marBottom w:val="0"/>
      <w:divBdr>
        <w:top w:val="none" w:sz="0" w:space="0" w:color="auto"/>
        <w:left w:val="none" w:sz="0" w:space="0" w:color="auto"/>
        <w:bottom w:val="none" w:sz="0" w:space="0" w:color="auto"/>
        <w:right w:val="none" w:sz="0" w:space="0" w:color="auto"/>
      </w:divBdr>
    </w:div>
    <w:div w:id="414594133">
      <w:bodyDiv w:val="1"/>
      <w:marLeft w:val="0"/>
      <w:marRight w:val="0"/>
      <w:marTop w:val="0"/>
      <w:marBottom w:val="0"/>
      <w:divBdr>
        <w:top w:val="none" w:sz="0" w:space="0" w:color="auto"/>
        <w:left w:val="none" w:sz="0" w:space="0" w:color="auto"/>
        <w:bottom w:val="none" w:sz="0" w:space="0" w:color="auto"/>
        <w:right w:val="none" w:sz="0" w:space="0" w:color="auto"/>
      </w:divBdr>
    </w:div>
    <w:div w:id="423650444">
      <w:bodyDiv w:val="1"/>
      <w:marLeft w:val="0"/>
      <w:marRight w:val="0"/>
      <w:marTop w:val="0"/>
      <w:marBottom w:val="0"/>
      <w:divBdr>
        <w:top w:val="none" w:sz="0" w:space="0" w:color="auto"/>
        <w:left w:val="none" w:sz="0" w:space="0" w:color="auto"/>
        <w:bottom w:val="none" w:sz="0" w:space="0" w:color="auto"/>
        <w:right w:val="none" w:sz="0" w:space="0" w:color="auto"/>
      </w:divBdr>
    </w:div>
    <w:div w:id="424500236">
      <w:bodyDiv w:val="1"/>
      <w:marLeft w:val="0"/>
      <w:marRight w:val="0"/>
      <w:marTop w:val="0"/>
      <w:marBottom w:val="0"/>
      <w:divBdr>
        <w:top w:val="none" w:sz="0" w:space="0" w:color="auto"/>
        <w:left w:val="none" w:sz="0" w:space="0" w:color="auto"/>
        <w:bottom w:val="none" w:sz="0" w:space="0" w:color="auto"/>
        <w:right w:val="none" w:sz="0" w:space="0" w:color="auto"/>
      </w:divBdr>
    </w:div>
    <w:div w:id="426342010">
      <w:bodyDiv w:val="1"/>
      <w:marLeft w:val="0"/>
      <w:marRight w:val="0"/>
      <w:marTop w:val="0"/>
      <w:marBottom w:val="0"/>
      <w:divBdr>
        <w:top w:val="none" w:sz="0" w:space="0" w:color="auto"/>
        <w:left w:val="none" w:sz="0" w:space="0" w:color="auto"/>
        <w:bottom w:val="none" w:sz="0" w:space="0" w:color="auto"/>
        <w:right w:val="none" w:sz="0" w:space="0" w:color="auto"/>
      </w:divBdr>
    </w:div>
    <w:div w:id="451705446">
      <w:bodyDiv w:val="1"/>
      <w:marLeft w:val="0"/>
      <w:marRight w:val="0"/>
      <w:marTop w:val="0"/>
      <w:marBottom w:val="0"/>
      <w:divBdr>
        <w:top w:val="none" w:sz="0" w:space="0" w:color="auto"/>
        <w:left w:val="none" w:sz="0" w:space="0" w:color="auto"/>
        <w:bottom w:val="none" w:sz="0" w:space="0" w:color="auto"/>
        <w:right w:val="none" w:sz="0" w:space="0" w:color="auto"/>
      </w:divBdr>
    </w:div>
    <w:div w:id="452676661">
      <w:bodyDiv w:val="1"/>
      <w:marLeft w:val="0"/>
      <w:marRight w:val="0"/>
      <w:marTop w:val="0"/>
      <w:marBottom w:val="0"/>
      <w:divBdr>
        <w:top w:val="none" w:sz="0" w:space="0" w:color="auto"/>
        <w:left w:val="none" w:sz="0" w:space="0" w:color="auto"/>
        <w:bottom w:val="none" w:sz="0" w:space="0" w:color="auto"/>
        <w:right w:val="none" w:sz="0" w:space="0" w:color="auto"/>
      </w:divBdr>
    </w:div>
    <w:div w:id="463423234">
      <w:bodyDiv w:val="1"/>
      <w:marLeft w:val="0"/>
      <w:marRight w:val="0"/>
      <w:marTop w:val="0"/>
      <w:marBottom w:val="0"/>
      <w:divBdr>
        <w:top w:val="none" w:sz="0" w:space="0" w:color="auto"/>
        <w:left w:val="none" w:sz="0" w:space="0" w:color="auto"/>
        <w:bottom w:val="none" w:sz="0" w:space="0" w:color="auto"/>
        <w:right w:val="none" w:sz="0" w:space="0" w:color="auto"/>
      </w:divBdr>
    </w:div>
    <w:div w:id="466512152">
      <w:bodyDiv w:val="1"/>
      <w:marLeft w:val="0"/>
      <w:marRight w:val="0"/>
      <w:marTop w:val="0"/>
      <w:marBottom w:val="0"/>
      <w:divBdr>
        <w:top w:val="none" w:sz="0" w:space="0" w:color="auto"/>
        <w:left w:val="none" w:sz="0" w:space="0" w:color="auto"/>
        <w:bottom w:val="none" w:sz="0" w:space="0" w:color="auto"/>
        <w:right w:val="none" w:sz="0" w:space="0" w:color="auto"/>
      </w:divBdr>
    </w:div>
    <w:div w:id="471604626">
      <w:bodyDiv w:val="1"/>
      <w:marLeft w:val="0"/>
      <w:marRight w:val="0"/>
      <w:marTop w:val="0"/>
      <w:marBottom w:val="0"/>
      <w:divBdr>
        <w:top w:val="none" w:sz="0" w:space="0" w:color="auto"/>
        <w:left w:val="none" w:sz="0" w:space="0" w:color="auto"/>
        <w:bottom w:val="none" w:sz="0" w:space="0" w:color="auto"/>
        <w:right w:val="none" w:sz="0" w:space="0" w:color="auto"/>
      </w:divBdr>
    </w:div>
    <w:div w:id="478349981">
      <w:bodyDiv w:val="1"/>
      <w:marLeft w:val="0"/>
      <w:marRight w:val="0"/>
      <w:marTop w:val="0"/>
      <w:marBottom w:val="0"/>
      <w:divBdr>
        <w:top w:val="none" w:sz="0" w:space="0" w:color="auto"/>
        <w:left w:val="none" w:sz="0" w:space="0" w:color="auto"/>
        <w:bottom w:val="none" w:sz="0" w:space="0" w:color="auto"/>
        <w:right w:val="none" w:sz="0" w:space="0" w:color="auto"/>
      </w:divBdr>
    </w:div>
    <w:div w:id="481656818">
      <w:bodyDiv w:val="1"/>
      <w:marLeft w:val="0"/>
      <w:marRight w:val="0"/>
      <w:marTop w:val="0"/>
      <w:marBottom w:val="0"/>
      <w:divBdr>
        <w:top w:val="none" w:sz="0" w:space="0" w:color="auto"/>
        <w:left w:val="none" w:sz="0" w:space="0" w:color="auto"/>
        <w:bottom w:val="none" w:sz="0" w:space="0" w:color="auto"/>
        <w:right w:val="none" w:sz="0" w:space="0" w:color="auto"/>
      </w:divBdr>
    </w:div>
    <w:div w:id="482698702">
      <w:bodyDiv w:val="1"/>
      <w:marLeft w:val="0"/>
      <w:marRight w:val="0"/>
      <w:marTop w:val="0"/>
      <w:marBottom w:val="0"/>
      <w:divBdr>
        <w:top w:val="none" w:sz="0" w:space="0" w:color="auto"/>
        <w:left w:val="none" w:sz="0" w:space="0" w:color="auto"/>
        <w:bottom w:val="none" w:sz="0" w:space="0" w:color="auto"/>
        <w:right w:val="none" w:sz="0" w:space="0" w:color="auto"/>
      </w:divBdr>
    </w:div>
    <w:div w:id="494496990">
      <w:bodyDiv w:val="1"/>
      <w:marLeft w:val="0"/>
      <w:marRight w:val="0"/>
      <w:marTop w:val="0"/>
      <w:marBottom w:val="0"/>
      <w:divBdr>
        <w:top w:val="none" w:sz="0" w:space="0" w:color="auto"/>
        <w:left w:val="none" w:sz="0" w:space="0" w:color="auto"/>
        <w:bottom w:val="none" w:sz="0" w:space="0" w:color="auto"/>
        <w:right w:val="none" w:sz="0" w:space="0" w:color="auto"/>
      </w:divBdr>
    </w:div>
    <w:div w:id="502471501">
      <w:bodyDiv w:val="1"/>
      <w:marLeft w:val="0"/>
      <w:marRight w:val="0"/>
      <w:marTop w:val="0"/>
      <w:marBottom w:val="0"/>
      <w:divBdr>
        <w:top w:val="none" w:sz="0" w:space="0" w:color="auto"/>
        <w:left w:val="none" w:sz="0" w:space="0" w:color="auto"/>
        <w:bottom w:val="none" w:sz="0" w:space="0" w:color="auto"/>
        <w:right w:val="none" w:sz="0" w:space="0" w:color="auto"/>
      </w:divBdr>
    </w:div>
    <w:div w:id="513112733">
      <w:bodyDiv w:val="1"/>
      <w:marLeft w:val="0"/>
      <w:marRight w:val="0"/>
      <w:marTop w:val="0"/>
      <w:marBottom w:val="0"/>
      <w:divBdr>
        <w:top w:val="none" w:sz="0" w:space="0" w:color="auto"/>
        <w:left w:val="none" w:sz="0" w:space="0" w:color="auto"/>
        <w:bottom w:val="none" w:sz="0" w:space="0" w:color="auto"/>
        <w:right w:val="none" w:sz="0" w:space="0" w:color="auto"/>
      </w:divBdr>
    </w:div>
    <w:div w:id="515771411">
      <w:bodyDiv w:val="1"/>
      <w:marLeft w:val="0"/>
      <w:marRight w:val="0"/>
      <w:marTop w:val="0"/>
      <w:marBottom w:val="0"/>
      <w:divBdr>
        <w:top w:val="none" w:sz="0" w:space="0" w:color="auto"/>
        <w:left w:val="none" w:sz="0" w:space="0" w:color="auto"/>
        <w:bottom w:val="none" w:sz="0" w:space="0" w:color="auto"/>
        <w:right w:val="none" w:sz="0" w:space="0" w:color="auto"/>
      </w:divBdr>
    </w:div>
    <w:div w:id="518586827">
      <w:bodyDiv w:val="1"/>
      <w:marLeft w:val="0"/>
      <w:marRight w:val="0"/>
      <w:marTop w:val="0"/>
      <w:marBottom w:val="0"/>
      <w:divBdr>
        <w:top w:val="none" w:sz="0" w:space="0" w:color="auto"/>
        <w:left w:val="none" w:sz="0" w:space="0" w:color="auto"/>
        <w:bottom w:val="none" w:sz="0" w:space="0" w:color="auto"/>
        <w:right w:val="none" w:sz="0" w:space="0" w:color="auto"/>
      </w:divBdr>
    </w:div>
    <w:div w:id="528644781">
      <w:bodyDiv w:val="1"/>
      <w:marLeft w:val="0"/>
      <w:marRight w:val="0"/>
      <w:marTop w:val="0"/>
      <w:marBottom w:val="0"/>
      <w:divBdr>
        <w:top w:val="none" w:sz="0" w:space="0" w:color="auto"/>
        <w:left w:val="none" w:sz="0" w:space="0" w:color="auto"/>
        <w:bottom w:val="none" w:sz="0" w:space="0" w:color="auto"/>
        <w:right w:val="none" w:sz="0" w:space="0" w:color="auto"/>
      </w:divBdr>
    </w:div>
    <w:div w:id="538009689">
      <w:bodyDiv w:val="1"/>
      <w:marLeft w:val="0"/>
      <w:marRight w:val="0"/>
      <w:marTop w:val="0"/>
      <w:marBottom w:val="0"/>
      <w:divBdr>
        <w:top w:val="none" w:sz="0" w:space="0" w:color="auto"/>
        <w:left w:val="none" w:sz="0" w:space="0" w:color="auto"/>
        <w:bottom w:val="none" w:sz="0" w:space="0" w:color="auto"/>
        <w:right w:val="none" w:sz="0" w:space="0" w:color="auto"/>
      </w:divBdr>
    </w:div>
    <w:div w:id="542250475">
      <w:bodyDiv w:val="1"/>
      <w:marLeft w:val="0"/>
      <w:marRight w:val="0"/>
      <w:marTop w:val="0"/>
      <w:marBottom w:val="0"/>
      <w:divBdr>
        <w:top w:val="none" w:sz="0" w:space="0" w:color="auto"/>
        <w:left w:val="none" w:sz="0" w:space="0" w:color="auto"/>
        <w:bottom w:val="none" w:sz="0" w:space="0" w:color="auto"/>
        <w:right w:val="none" w:sz="0" w:space="0" w:color="auto"/>
      </w:divBdr>
    </w:div>
    <w:div w:id="551312198">
      <w:bodyDiv w:val="1"/>
      <w:marLeft w:val="0"/>
      <w:marRight w:val="0"/>
      <w:marTop w:val="0"/>
      <w:marBottom w:val="0"/>
      <w:divBdr>
        <w:top w:val="none" w:sz="0" w:space="0" w:color="auto"/>
        <w:left w:val="none" w:sz="0" w:space="0" w:color="auto"/>
        <w:bottom w:val="none" w:sz="0" w:space="0" w:color="auto"/>
        <w:right w:val="none" w:sz="0" w:space="0" w:color="auto"/>
      </w:divBdr>
    </w:div>
    <w:div w:id="552471657">
      <w:bodyDiv w:val="1"/>
      <w:marLeft w:val="0"/>
      <w:marRight w:val="0"/>
      <w:marTop w:val="0"/>
      <w:marBottom w:val="0"/>
      <w:divBdr>
        <w:top w:val="none" w:sz="0" w:space="0" w:color="auto"/>
        <w:left w:val="none" w:sz="0" w:space="0" w:color="auto"/>
        <w:bottom w:val="none" w:sz="0" w:space="0" w:color="auto"/>
        <w:right w:val="none" w:sz="0" w:space="0" w:color="auto"/>
      </w:divBdr>
    </w:div>
    <w:div w:id="556017130">
      <w:bodyDiv w:val="1"/>
      <w:marLeft w:val="0"/>
      <w:marRight w:val="0"/>
      <w:marTop w:val="0"/>
      <w:marBottom w:val="0"/>
      <w:divBdr>
        <w:top w:val="none" w:sz="0" w:space="0" w:color="auto"/>
        <w:left w:val="none" w:sz="0" w:space="0" w:color="auto"/>
        <w:bottom w:val="none" w:sz="0" w:space="0" w:color="auto"/>
        <w:right w:val="none" w:sz="0" w:space="0" w:color="auto"/>
      </w:divBdr>
    </w:div>
    <w:div w:id="558134020">
      <w:bodyDiv w:val="1"/>
      <w:marLeft w:val="0"/>
      <w:marRight w:val="0"/>
      <w:marTop w:val="0"/>
      <w:marBottom w:val="0"/>
      <w:divBdr>
        <w:top w:val="none" w:sz="0" w:space="0" w:color="auto"/>
        <w:left w:val="none" w:sz="0" w:space="0" w:color="auto"/>
        <w:bottom w:val="none" w:sz="0" w:space="0" w:color="auto"/>
        <w:right w:val="none" w:sz="0" w:space="0" w:color="auto"/>
      </w:divBdr>
    </w:div>
    <w:div w:id="559246267">
      <w:bodyDiv w:val="1"/>
      <w:marLeft w:val="0"/>
      <w:marRight w:val="0"/>
      <w:marTop w:val="0"/>
      <w:marBottom w:val="0"/>
      <w:divBdr>
        <w:top w:val="none" w:sz="0" w:space="0" w:color="auto"/>
        <w:left w:val="none" w:sz="0" w:space="0" w:color="auto"/>
        <w:bottom w:val="none" w:sz="0" w:space="0" w:color="auto"/>
        <w:right w:val="none" w:sz="0" w:space="0" w:color="auto"/>
      </w:divBdr>
    </w:div>
    <w:div w:id="563103336">
      <w:bodyDiv w:val="1"/>
      <w:marLeft w:val="0"/>
      <w:marRight w:val="0"/>
      <w:marTop w:val="0"/>
      <w:marBottom w:val="0"/>
      <w:divBdr>
        <w:top w:val="none" w:sz="0" w:space="0" w:color="auto"/>
        <w:left w:val="none" w:sz="0" w:space="0" w:color="auto"/>
        <w:bottom w:val="none" w:sz="0" w:space="0" w:color="auto"/>
        <w:right w:val="none" w:sz="0" w:space="0" w:color="auto"/>
      </w:divBdr>
    </w:div>
    <w:div w:id="563107555">
      <w:bodyDiv w:val="1"/>
      <w:marLeft w:val="0"/>
      <w:marRight w:val="0"/>
      <w:marTop w:val="0"/>
      <w:marBottom w:val="0"/>
      <w:divBdr>
        <w:top w:val="none" w:sz="0" w:space="0" w:color="auto"/>
        <w:left w:val="none" w:sz="0" w:space="0" w:color="auto"/>
        <w:bottom w:val="none" w:sz="0" w:space="0" w:color="auto"/>
        <w:right w:val="none" w:sz="0" w:space="0" w:color="auto"/>
      </w:divBdr>
    </w:div>
    <w:div w:id="567037334">
      <w:bodyDiv w:val="1"/>
      <w:marLeft w:val="0"/>
      <w:marRight w:val="0"/>
      <w:marTop w:val="0"/>
      <w:marBottom w:val="0"/>
      <w:divBdr>
        <w:top w:val="none" w:sz="0" w:space="0" w:color="auto"/>
        <w:left w:val="none" w:sz="0" w:space="0" w:color="auto"/>
        <w:bottom w:val="none" w:sz="0" w:space="0" w:color="auto"/>
        <w:right w:val="none" w:sz="0" w:space="0" w:color="auto"/>
      </w:divBdr>
    </w:div>
    <w:div w:id="570969915">
      <w:bodyDiv w:val="1"/>
      <w:marLeft w:val="0"/>
      <w:marRight w:val="0"/>
      <w:marTop w:val="0"/>
      <w:marBottom w:val="0"/>
      <w:divBdr>
        <w:top w:val="none" w:sz="0" w:space="0" w:color="auto"/>
        <w:left w:val="none" w:sz="0" w:space="0" w:color="auto"/>
        <w:bottom w:val="none" w:sz="0" w:space="0" w:color="auto"/>
        <w:right w:val="none" w:sz="0" w:space="0" w:color="auto"/>
      </w:divBdr>
    </w:div>
    <w:div w:id="572470129">
      <w:bodyDiv w:val="1"/>
      <w:marLeft w:val="0"/>
      <w:marRight w:val="0"/>
      <w:marTop w:val="0"/>
      <w:marBottom w:val="0"/>
      <w:divBdr>
        <w:top w:val="none" w:sz="0" w:space="0" w:color="auto"/>
        <w:left w:val="none" w:sz="0" w:space="0" w:color="auto"/>
        <w:bottom w:val="none" w:sz="0" w:space="0" w:color="auto"/>
        <w:right w:val="none" w:sz="0" w:space="0" w:color="auto"/>
      </w:divBdr>
    </w:div>
    <w:div w:id="573517625">
      <w:bodyDiv w:val="1"/>
      <w:marLeft w:val="0"/>
      <w:marRight w:val="0"/>
      <w:marTop w:val="0"/>
      <w:marBottom w:val="0"/>
      <w:divBdr>
        <w:top w:val="none" w:sz="0" w:space="0" w:color="auto"/>
        <w:left w:val="none" w:sz="0" w:space="0" w:color="auto"/>
        <w:bottom w:val="none" w:sz="0" w:space="0" w:color="auto"/>
        <w:right w:val="none" w:sz="0" w:space="0" w:color="auto"/>
      </w:divBdr>
    </w:div>
    <w:div w:id="585771345">
      <w:bodyDiv w:val="1"/>
      <w:marLeft w:val="0"/>
      <w:marRight w:val="0"/>
      <w:marTop w:val="0"/>
      <w:marBottom w:val="0"/>
      <w:divBdr>
        <w:top w:val="none" w:sz="0" w:space="0" w:color="auto"/>
        <w:left w:val="none" w:sz="0" w:space="0" w:color="auto"/>
        <w:bottom w:val="none" w:sz="0" w:space="0" w:color="auto"/>
        <w:right w:val="none" w:sz="0" w:space="0" w:color="auto"/>
      </w:divBdr>
    </w:div>
    <w:div w:id="587420169">
      <w:bodyDiv w:val="1"/>
      <w:marLeft w:val="0"/>
      <w:marRight w:val="0"/>
      <w:marTop w:val="0"/>
      <w:marBottom w:val="0"/>
      <w:divBdr>
        <w:top w:val="none" w:sz="0" w:space="0" w:color="auto"/>
        <w:left w:val="none" w:sz="0" w:space="0" w:color="auto"/>
        <w:bottom w:val="none" w:sz="0" w:space="0" w:color="auto"/>
        <w:right w:val="none" w:sz="0" w:space="0" w:color="auto"/>
      </w:divBdr>
    </w:div>
    <w:div w:id="596671627">
      <w:bodyDiv w:val="1"/>
      <w:marLeft w:val="0"/>
      <w:marRight w:val="0"/>
      <w:marTop w:val="0"/>
      <w:marBottom w:val="0"/>
      <w:divBdr>
        <w:top w:val="none" w:sz="0" w:space="0" w:color="auto"/>
        <w:left w:val="none" w:sz="0" w:space="0" w:color="auto"/>
        <w:bottom w:val="none" w:sz="0" w:space="0" w:color="auto"/>
        <w:right w:val="none" w:sz="0" w:space="0" w:color="auto"/>
      </w:divBdr>
    </w:div>
    <w:div w:id="601232612">
      <w:bodyDiv w:val="1"/>
      <w:marLeft w:val="0"/>
      <w:marRight w:val="0"/>
      <w:marTop w:val="0"/>
      <w:marBottom w:val="0"/>
      <w:divBdr>
        <w:top w:val="none" w:sz="0" w:space="0" w:color="auto"/>
        <w:left w:val="none" w:sz="0" w:space="0" w:color="auto"/>
        <w:bottom w:val="none" w:sz="0" w:space="0" w:color="auto"/>
        <w:right w:val="none" w:sz="0" w:space="0" w:color="auto"/>
      </w:divBdr>
    </w:div>
    <w:div w:id="605305134">
      <w:bodyDiv w:val="1"/>
      <w:marLeft w:val="0"/>
      <w:marRight w:val="0"/>
      <w:marTop w:val="0"/>
      <w:marBottom w:val="0"/>
      <w:divBdr>
        <w:top w:val="none" w:sz="0" w:space="0" w:color="auto"/>
        <w:left w:val="none" w:sz="0" w:space="0" w:color="auto"/>
        <w:bottom w:val="none" w:sz="0" w:space="0" w:color="auto"/>
        <w:right w:val="none" w:sz="0" w:space="0" w:color="auto"/>
      </w:divBdr>
    </w:div>
    <w:div w:id="607782044">
      <w:bodyDiv w:val="1"/>
      <w:marLeft w:val="0"/>
      <w:marRight w:val="0"/>
      <w:marTop w:val="0"/>
      <w:marBottom w:val="0"/>
      <w:divBdr>
        <w:top w:val="none" w:sz="0" w:space="0" w:color="auto"/>
        <w:left w:val="none" w:sz="0" w:space="0" w:color="auto"/>
        <w:bottom w:val="none" w:sz="0" w:space="0" w:color="auto"/>
        <w:right w:val="none" w:sz="0" w:space="0" w:color="auto"/>
      </w:divBdr>
    </w:div>
    <w:div w:id="614825468">
      <w:bodyDiv w:val="1"/>
      <w:marLeft w:val="0"/>
      <w:marRight w:val="0"/>
      <w:marTop w:val="0"/>
      <w:marBottom w:val="0"/>
      <w:divBdr>
        <w:top w:val="none" w:sz="0" w:space="0" w:color="auto"/>
        <w:left w:val="none" w:sz="0" w:space="0" w:color="auto"/>
        <w:bottom w:val="none" w:sz="0" w:space="0" w:color="auto"/>
        <w:right w:val="none" w:sz="0" w:space="0" w:color="auto"/>
      </w:divBdr>
    </w:div>
    <w:div w:id="616255525">
      <w:bodyDiv w:val="1"/>
      <w:marLeft w:val="0"/>
      <w:marRight w:val="0"/>
      <w:marTop w:val="0"/>
      <w:marBottom w:val="0"/>
      <w:divBdr>
        <w:top w:val="none" w:sz="0" w:space="0" w:color="auto"/>
        <w:left w:val="none" w:sz="0" w:space="0" w:color="auto"/>
        <w:bottom w:val="none" w:sz="0" w:space="0" w:color="auto"/>
        <w:right w:val="none" w:sz="0" w:space="0" w:color="auto"/>
      </w:divBdr>
    </w:div>
    <w:div w:id="619654105">
      <w:bodyDiv w:val="1"/>
      <w:marLeft w:val="0"/>
      <w:marRight w:val="0"/>
      <w:marTop w:val="0"/>
      <w:marBottom w:val="0"/>
      <w:divBdr>
        <w:top w:val="none" w:sz="0" w:space="0" w:color="auto"/>
        <w:left w:val="none" w:sz="0" w:space="0" w:color="auto"/>
        <w:bottom w:val="none" w:sz="0" w:space="0" w:color="auto"/>
        <w:right w:val="none" w:sz="0" w:space="0" w:color="auto"/>
      </w:divBdr>
    </w:div>
    <w:div w:id="619729523">
      <w:bodyDiv w:val="1"/>
      <w:marLeft w:val="0"/>
      <w:marRight w:val="0"/>
      <w:marTop w:val="0"/>
      <w:marBottom w:val="0"/>
      <w:divBdr>
        <w:top w:val="none" w:sz="0" w:space="0" w:color="auto"/>
        <w:left w:val="none" w:sz="0" w:space="0" w:color="auto"/>
        <w:bottom w:val="none" w:sz="0" w:space="0" w:color="auto"/>
        <w:right w:val="none" w:sz="0" w:space="0" w:color="auto"/>
      </w:divBdr>
    </w:div>
    <w:div w:id="622467045">
      <w:bodyDiv w:val="1"/>
      <w:marLeft w:val="0"/>
      <w:marRight w:val="0"/>
      <w:marTop w:val="0"/>
      <w:marBottom w:val="0"/>
      <w:divBdr>
        <w:top w:val="none" w:sz="0" w:space="0" w:color="auto"/>
        <w:left w:val="none" w:sz="0" w:space="0" w:color="auto"/>
        <w:bottom w:val="none" w:sz="0" w:space="0" w:color="auto"/>
        <w:right w:val="none" w:sz="0" w:space="0" w:color="auto"/>
      </w:divBdr>
    </w:div>
    <w:div w:id="625816479">
      <w:bodyDiv w:val="1"/>
      <w:marLeft w:val="0"/>
      <w:marRight w:val="0"/>
      <w:marTop w:val="0"/>
      <w:marBottom w:val="0"/>
      <w:divBdr>
        <w:top w:val="none" w:sz="0" w:space="0" w:color="auto"/>
        <w:left w:val="none" w:sz="0" w:space="0" w:color="auto"/>
        <w:bottom w:val="none" w:sz="0" w:space="0" w:color="auto"/>
        <w:right w:val="none" w:sz="0" w:space="0" w:color="auto"/>
      </w:divBdr>
    </w:div>
    <w:div w:id="632756536">
      <w:bodyDiv w:val="1"/>
      <w:marLeft w:val="0"/>
      <w:marRight w:val="0"/>
      <w:marTop w:val="0"/>
      <w:marBottom w:val="0"/>
      <w:divBdr>
        <w:top w:val="none" w:sz="0" w:space="0" w:color="auto"/>
        <w:left w:val="none" w:sz="0" w:space="0" w:color="auto"/>
        <w:bottom w:val="none" w:sz="0" w:space="0" w:color="auto"/>
        <w:right w:val="none" w:sz="0" w:space="0" w:color="auto"/>
      </w:divBdr>
    </w:div>
    <w:div w:id="634679466">
      <w:bodyDiv w:val="1"/>
      <w:marLeft w:val="0"/>
      <w:marRight w:val="0"/>
      <w:marTop w:val="0"/>
      <w:marBottom w:val="0"/>
      <w:divBdr>
        <w:top w:val="none" w:sz="0" w:space="0" w:color="auto"/>
        <w:left w:val="none" w:sz="0" w:space="0" w:color="auto"/>
        <w:bottom w:val="none" w:sz="0" w:space="0" w:color="auto"/>
        <w:right w:val="none" w:sz="0" w:space="0" w:color="auto"/>
      </w:divBdr>
    </w:div>
    <w:div w:id="637956615">
      <w:bodyDiv w:val="1"/>
      <w:marLeft w:val="0"/>
      <w:marRight w:val="0"/>
      <w:marTop w:val="0"/>
      <w:marBottom w:val="0"/>
      <w:divBdr>
        <w:top w:val="none" w:sz="0" w:space="0" w:color="auto"/>
        <w:left w:val="none" w:sz="0" w:space="0" w:color="auto"/>
        <w:bottom w:val="none" w:sz="0" w:space="0" w:color="auto"/>
        <w:right w:val="none" w:sz="0" w:space="0" w:color="auto"/>
      </w:divBdr>
    </w:div>
    <w:div w:id="641665938">
      <w:bodyDiv w:val="1"/>
      <w:marLeft w:val="0"/>
      <w:marRight w:val="0"/>
      <w:marTop w:val="0"/>
      <w:marBottom w:val="0"/>
      <w:divBdr>
        <w:top w:val="none" w:sz="0" w:space="0" w:color="auto"/>
        <w:left w:val="none" w:sz="0" w:space="0" w:color="auto"/>
        <w:bottom w:val="none" w:sz="0" w:space="0" w:color="auto"/>
        <w:right w:val="none" w:sz="0" w:space="0" w:color="auto"/>
      </w:divBdr>
    </w:div>
    <w:div w:id="643238326">
      <w:bodyDiv w:val="1"/>
      <w:marLeft w:val="0"/>
      <w:marRight w:val="0"/>
      <w:marTop w:val="0"/>
      <w:marBottom w:val="0"/>
      <w:divBdr>
        <w:top w:val="none" w:sz="0" w:space="0" w:color="auto"/>
        <w:left w:val="none" w:sz="0" w:space="0" w:color="auto"/>
        <w:bottom w:val="none" w:sz="0" w:space="0" w:color="auto"/>
        <w:right w:val="none" w:sz="0" w:space="0" w:color="auto"/>
      </w:divBdr>
    </w:div>
    <w:div w:id="651297188">
      <w:bodyDiv w:val="1"/>
      <w:marLeft w:val="0"/>
      <w:marRight w:val="0"/>
      <w:marTop w:val="0"/>
      <w:marBottom w:val="0"/>
      <w:divBdr>
        <w:top w:val="none" w:sz="0" w:space="0" w:color="auto"/>
        <w:left w:val="none" w:sz="0" w:space="0" w:color="auto"/>
        <w:bottom w:val="none" w:sz="0" w:space="0" w:color="auto"/>
        <w:right w:val="none" w:sz="0" w:space="0" w:color="auto"/>
      </w:divBdr>
    </w:div>
    <w:div w:id="654646013">
      <w:bodyDiv w:val="1"/>
      <w:marLeft w:val="0"/>
      <w:marRight w:val="0"/>
      <w:marTop w:val="0"/>
      <w:marBottom w:val="0"/>
      <w:divBdr>
        <w:top w:val="none" w:sz="0" w:space="0" w:color="auto"/>
        <w:left w:val="none" w:sz="0" w:space="0" w:color="auto"/>
        <w:bottom w:val="none" w:sz="0" w:space="0" w:color="auto"/>
        <w:right w:val="none" w:sz="0" w:space="0" w:color="auto"/>
      </w:divBdr>
    </w:div>
    <w:div w:id="656736818">
      <w:bodyDiv w:val="1"/>
      <w:marLeft w:val="0"/>
      <w:marRight w:val="0"/>
      <w:marTop w:val="0"/>
      <w:marBottom w:val="0"/>
      <w:divBdr>
        <w:top w:val="none" w:sz="0" w:space="0" w:color="auto"/>
        <w:left w:val="none" w:sz="0" w:space="0" w:color="auto"/>
        <w:bottom w:val="none" w:sz="0" w:space="0" w:color="auto"/>
        <w:right w:val="none" w:sz="0" w:space="0" w:color="auto"/>
      </w:divBdr>
    </w:div>
    <w:div w:id="656999192">
      <w:bodyDiv w:val="1"/>
      <w:marLeft w:val="0"/>
      <w:marRight w:val="0"/>
      <w:marTop w:val="0"/>
      <w:marBottom w:val="0"/>
      <w:divBdr>
        <w:top w:val="none" w:sz="0" w:space="0" w:color="auto"/>
        <w:left w:val="none" w:sz="0" w:space="0" w:color="auto"/>
        <w:bottom w:val="none" w:sz="0" w:space="0" w:color="auto"/>
        <w:right w:val="none" w:sz="0" w:space="0" w:color="auto"/>
      </w:divBdr>
    </w:div>
    <w:div w:id="661278121">
      <w:bodyDiv w:val="1"/>
      <w:marLeft w:val="0"/>
      <w:marRight w:val="0"/>
      <w:marTop w:val="0"/>
      <w:marBottom w:val="0"/>
      <w:divBdr>
        <w:top w:val="none" w:sz="0" w:space="0" w:color="auto"/>
        <w:left w:val="none" w:sz="0" w:space="0" w:color="auto"/>
        <w:bottom w:val="none" w:sz="0" w:space="0" w:color="auto"/>
        <w:right w:val="none" w:sz="0" w:space="0" w:color="auto"/>
      </w:divBdr>
    </w:div>
    <w:div w:id="665405857">
      <w:bodyDiv w:val="1"/>
      <w:marLeft w:val="0"/>
      <w:marRight w:val="0"/>
      <w:marTop w:val="0"/>
      <w:marBottom w:val="0"/>
      <w:divBdr>
        <w:top w:val="none" w:sz="0" w:space="0" w:color="auto"/>
        <w:left w:val="none" w:sz="0" w:space="0" w:color="auto"/>
        <w:bottom w:val="none" w:sz="0" w:space="0" w:color="auto"/>
        <w:right w:val="none" w:sz="0" w:space="0" w:color="auto"/>
      </w:divBdr>
    </w:div>
    <w:div w:id="665935472">
      <w:bodyDiv w:val="1"/>
      <w:marLeft w:val="0"/>
      <w:marRight w:val="0"/>
      <w:marTop w:val="0"/>
      <w:marBottom w:val="0"/>
      <w:divBdr>
        <w:top w:val="none" w:sz="0" w:space="0" w:color="auto"/>
        <w:left w:val="none" w:sz="0" w:space="0" w:color="auto"/>
        <w:bottom w:val="none" w:sz="0" w:space="0" w:color="auto"/>
        <w:right w:val="none" w:sz="0" w:space="0" w:color="auto"/>
      </w:divBdr>
    </w:div>
    <w:div w:id="669218538">
      <w:bodyDiv w:val="1"/>
      <w:marLeft w:val="0"/>
      <w:marRight w:val="0"/>
      <w:marTop w:val="0"/>
      <w:marBottom w:val="0"/>
      <w:divBdr>
        <w:top w:val="none" w:sz="0" w:space="0" w:color="auto"/>
        <w:left w:val="none" w:sz="0" w:space="0" w:color="auto"/>
        <w:bottom w:val="none" w:sz="0" w:space="0" w:color="auto"/>
        <w:right w:val="none" w:sz="0" w:space="0" w:color="auto"/>
      </w:divBdr>
    </w:div>
    <w:div w:id="671839756">
      <w:bodyDiv w:val="1"/>
      <w:marLeft w:val="0"/>
      <w:marRight w:val="0"/>
      <w:marTop w:val="0"/>
      <w:marBottom w:val="0"/>
      <w:divBdr>
        <w:top w:val="none" w:sz="0" w:space="0" w:color="auto"/>
        <w:left w:val="none" w:sz="0" w:space="0" w:color="auto"/>
        <w:bottom w:val="none" w:sz="0" w:space="0" w:color="auto"/>
        <w:right w:val="none" w:sz="0" w:space="0" w:color="auto"/>
      </w:divBdr>
    </w:div>
    <w:div w:id="691029277">
      <w:bodyDiv w:val="1"/>
      <w:marLeft w:val="0"/>
      <w:marRight w:val="0"/>
      <w:marTop w:val="0"/>
      <w:marBottom w:val="0"/>
      <w:divBdr>
        <w:top w:val="none" w:sz="0" w:space="0" w:color="auto"/>
        <w:left w:val="none" w:sz="0" w:space="0" w:color="auto"/>
        <w:bottom w:val="none" w:sz="0" w:space="0" w:color="auto"/>
        <w:right w:val="none" w:sz="0" w:space="0" w:color="auto"/>
      </w:divBdr>
    </w:div>
    <w:div w:id="695347523">
      <w:bodyDiv w:val="1"/>
      <w:marLeft w:val="0"/>
      <w:marRight w:val="0"/>
      <w:marTop w:val="0"/>
      <w:marBottom w:val="0"/>
      <w:divBdr>
        <w:top w:val="none" w:sz="0" w:space="0" w:color="auto"/>
        <w:left w:val="none" w:sz="0" w:space="0" w:color="auto"/>
        <w:bottom w:val="none" w:sz="0" w:space="0" w:color="auto"/>
        <w:right w:val="none" w:sz="0" w:space="0" w:color="auto"/>
      </w:divBdr>
    </w:div>
    <w:div w:id="695958721">
      <w:bodyDiv w:val="1"/>
      <w:marLeft w:val="0"/>
      <w:marRight w:val="0"/>
      <w:marTop w:val="0"/>
      <w:marBottom w:val="0"/>
      <w:divBdr>
        <w:top w:val="none" w:sz="0" w:space="0" w:color="auto"/>
        <w:left w:val="none" w:sz="0" w:space="0" w:color="auto"/>
        <w:bottom w:val="none" w:sz="0" w:space="0" w:color="auto"/>
        <w:right w:val="none" w:sz="0" w:space="0" w:color="auto"/>
      </w:divBdr>
    </w:div>
    <w:div w:id="704672378">
      <w:bodyDiv w:val="1"/>
      <w:marLeft w:val="0"/>
      <w:marRight w:val="0"/>
      <w:marTop w:val="0"/>
      <w:marBottom w:val="0"/>
      <w:divBdr>
        <w:top w:val="none" w:sz="0" w:space="0" w:color="auto"/>
        <w:left w:val="none" w:sz="0" w:space="0" w:color="auto"/>
        <w:bottom w:val="none" w:sz="0" w:space="0" w:color="auto"/>
        <w:right w:val="none" w:sz="0" w:space="0" w:color="auto"/>
      </w:divBdr>
    </w:div>
    <w:div w:id="713241013">
      <w:bodyDiv w:val="1"/>
      <w:marLeft w:val="0"/>
      <w:marRight w:val="0"/>
      <w:marTop w:val="0"/>
      <w:marBottom w:val="0"/>
      <w:divBdr>
        <w:top w:val="none" w:sz="0" w:space="0" w:color="auto"/>
        <w:left w:val="none" w:sz="0" w:space="0" w:color="auto"/>
        <w:bottom w:val="none" w:sz="0" w:space="0" w:color="auto"/>
        <w:right w:val="none" w:sz="0" w:space="0" w:color="auto"/>
      </w:divBdr>
    </w:div>
    <w:div w:id="715854632">
      <w:bodyDiv w:val="1"/>
      <w:marLeft w:val="0"/>
      <w:marRight w:val="0"/>
      <w:marTop w:val="0"/>
      <w:marBottom w:val="0"/>
      <w:divBdr>
        <w:top w:val="none" w:sz="0" w:space="0" w:color="auto"/>
        <w:left w:val="none" w:sz="0" w:space="0" w:color="auto"/>
        <w:bottom w:val="none" w:sz="0" w:space="0" w:color="auto"/>
        <w:right w:val="none" w:sz="0" w:space="0" w:color="auto"/>
      </w:divBdr>
    </w:div>
    <w:div w:id="716272976">
      <w:bodyDiv w:val="1"/>
      <w:marLeft w:val="0"/>
      <w:marRight w:val="0"/>
      <w:marTop w:val="0"/>
      <w:marBottom w:val="0"/>
      <w:divBdr>
        <w:top w:val="none" w:sz="0" w:space="0" w:color="auto"/>
        <w:left w:val="none" w:sz="0" w:space="0" w:color="auto"/>
        <w:bottom w:val="none" w:sz="0" w:space="0" w:color="auto"/>
        <w:right w:val="none" w:sz="0" w:space="0" w:color="auto"/>
      </w:divBdr>
    </w:div>
    <w:div w:id="728697214">
      <w:bodyDiv w:val="1"/>
      <w:marLeft w:val="0"/>
      <w:marRight w:val="0"/>
      <w:marTop w:val="0"/>
      <w:marBottom w:val="0"/>
      <w:divBdr>
        <w:top w:val="none" w:sz="0" w:space="0" w:color="auto"/>
        <w:left w:val="none" w:sz="0" w:space="0" w:color="auto"/>
        <w:bottom w:val="none" w:sz="0" w:space="0" w:color="auto"/>
        <w:right w:val="none" w:sz="0" w:space="0" w:color="auto"/>
      </w:divBdr>
    </w:div>
    <w:div w:id="728843376">
      <w:bodyDiv w:val="1"/>
      <w:marLeft w:val="0"/>
      <w:marRight w:val="0"/>
      <w:marTop w:val="0"/>
      <w:marBottom w:val="0"/>
      <w:divBdr>
        <w:top w:val="none" w:sz="0" w:space="0" w:color="auto"/>
        <w:left w:val="none" w:sz="0" w:space="0" w:color="auto"/>
        <w:bottom w:val="none" w:sz="0" w:space="0" w:color="auto"/>
        <w:right w:val="none" w:sz="0" w:space="0" w:color="auto"/>
      </w:divBdr>
    </w:div>
    <w:div w:id="732431262">
      <w:bodyDiv w:val="1"/>
      <w:marLeft w:val="0"/>
      <w:marRight w:val="0"/>
      <w:marTop w:val="0"/>
      <w:marBottom w:val="0"/>
      <w:divBdr>
        <w:top w:val="none" w:sz="0" w:space="0" w:color="auto"/>
        <w:left w:val="none" w:sz="0" w:space="0" w:color="auto"/>
        <w:bottom w:val="none" w:sz="0" w:space="0" w:color="auto"/>
        <w:right w:val="none" w:sz="0" w:space="0" w:color="auto"/>
      </w:divBdr>
    </w:div>
    <w:div w:id="732658070">
      <w:bodyDiv w:val="1"/>
      <w:marLeft w:val="0"/>
      <w:marRight w:val="0"/>
      <w:marTop w:val="0"/>
      <w:marBottom w:val="0"/>
      <w:divBdr>
        <w:top w:val="none" w:sz="0" w:space="0" w:color="auto"/>
        <w:left w:val="none" w:sz="0" w:space="0" w:color="auto"/>
        <w:bottom w:val="none" w:sz="0" w:space="0" w:color="auto"/>
        <w:right w:val="none" w:sz="0" w:space="0" w:color="auto"/>
      </w:divBdr>
    </w:div>
    <w:div w:id="732889902">
      <w:bodyDiv w:val="1"/>
      <w:marLeft w:val="0"/>
      <w:marRight w:val="0"/>
      <w:marTop w:val="0"/>
      <w:marBottom w:val="0"/>
      <w:divBdr>
        <w:top w:val="none" w:sz="0" w:space="0" w:color="auto"/>
        <w:left w:val="none" w:sz="0" w:space="0" w:color="auto"/>
        <w:bottom w:val="none" w:sz="0" w:space="0" w:color="auto"/>
        <w:right w:val="none" w:sz="0" w:space="0" w:color="auto"/>
      </w:divBdr>
    </w:div>
    <w:div w:id="734862781">
      <w:bodyDiv w:val="1"/>
      <w:marLeft w:val="0"/>
      <w:marRight w:val="0"/>
      <w:marTop w:val="0"/>
      <w:marBottom w:val="0"/>
      <w:divBdr>
        <w:top w:val="none" w:sz="0" w:space="0" w:color="auto"/>
        <w:left w:val="none" w:sz="0" w:space="0" w:color="auto"/>
        <w:bottom w:val="none" w:sz="0" w:space="0" w:color="auto"/>
        <w:right w:val="none" w:sz="0" w:space="0" w:color="auto"/>
      </w:divBdr>
    </w:div>
    <w:div w:id="735055163">
      <w:bodyDiv w:val="1"/>
      <w:marLeft w:val="0"/>
      <w:marRight w:val="0"/>
      <w:marTop w:val="0"/>
      <w:marBottom w:val="0"/>
      <w:divBdr>
        <w:top w:val="none" w:sz="0" w:space="0" w:color="auto"/>
        <w:left w:val="none" w:sz="0" w:space="0" w:color="auto"/>
        <w:bottom w:val="none" w:sz="0" w:space="0" w:color="auto"/>
        <w:right w:val="none" w:sz="0" w:space="0" w:color="auto"/>
      </w:divBdr>
    </w:div>
    <w:div w:id="738403827">
      <w:bodyDiv w:val="1"/>
      <w:marLeft w:val="0"/>
      <w:marRight w:val="0"/>
      <w:marTop w:val="0"/>
      <w:marBottom w:val="0"/>
      <w:divBdr>
        <w:top w:val="none" w:sz="0" w:space="0" w:color="auto"/>
        <w:left w:val="none" w:sz="0" w:space="0" w:color="auto"/>
        <w:bottom w:val="none" w:sz="0" w:space="0" w:color="auto"/>
        <w:right w:val="none" w:sz="0" w:space="0" w:color="auto"/>
      </w:divBdr>
    </w:div>
    <w:div w:id="740173195">
      <w:bodyDiv w:val="1"/>
      <w:marLeft w:val="0"/>
      <w:marRight w:val="0"/>
      <w:marTop w:val="0"/>
      <w:marBottom w:val="0"/>
      <w:divBdr>
        <w:top w:val="none" w:sz="0" w:space="0" w:color="auto"/>
        <w:left w:val="none" w:sz="0" w:space="0" w:color="auto"/>
        <w:bottom w:val="none" w:sz="0" w:space="0" w:color="auto"/>
        <w:right w:val="none" w:sz="0" w:space="0" w:color="auto"/>
      </w:divBdr>
    </w:div>
    <w:div w:id="740565149">
      <w:bodyDiv w:val="1"/>
      <w:marLeft w:val="0"/>
      <w:marRight w:val="0"/>
      <w:marTop w:val="0"/>
      <w:marBottom w:val="0"/>
      <w:divBdr>
        <w:top w:val="none" w:sz="0" w:space="0" w:color="auto"/>
        <w:left w:val="none" w:sz="0" w:space="0" w:color="auto"/>
        <w:bottom w:val="none" w:sz="0" w:space="0" w:color="auto"/>
        <w:right w:val="none" w:sz="0" w:space="0" w:color="auto"/>
      </w:divBdr>
    </w:div>
    <w:div w:id="741490264">
      <w:bodyDiv w:val="1"/>
      <w:marLeft w:val="0"/>
      <w:marRight w:val="0"/>
      <w:marTop w:val="0"/>
      <w:marBottom w:val="0"/>
      <w:divBdr>
        <w:top w:val="none" w:sz="0" w:space="0" w:color="auto"/>
        <w:left w:val="none" w:sz="0" w:space="0" w:color="auto"/>
        <w:bottom w:val="none" w:sz="0" w:space="0" w:color="auto"/>
        <w:right w:val="none" w:sz="0" w:space="0" w:color="auto"/>
      </w:divBdr>
    </w:div>
    <w:div w:id="743067973">
      <w:bodyDiv w:val="1"/>
      <w:marLeft w:val="0"/>
      <w:marRight w:val="0"/>
      <w:marTop w:val="0"/>
      <w:marBottom w:val="0"/>
      <w:divBdr>
        <w:top w:val="none" w:sz="0" w:space="0" w:color="auto"/>
        <w:left w:val="none" w:sz="0" w:space="0" w:color="auto"/>
        <w:bottom w:val="none" w:sz="0" w:space="0" w:color="auto"/>
        <w:right w:val="none" w:sz="0" w:space="0" w:color="auto"/>
      </w:divBdr>
    </w:div>
    <w:div w:id="744767204">
      <w:bodyDiv w:val="1"/>
      <w:marLeft w:val="0"/>
      <w:marRight w:val="0"/>
      <w:marTop w:val="0"/>
      <w:marBottom w:val="0"/>
      <w:divBdr>
        <w:top w:val="none" w:sz="0" w:space="0" w:color="auto"/>
        <w:left w:val="none" w:sz="0" w:space="0" w:color="auto"/>
        <w:bottom w:val="none" w:sz="0" w:space="0" w:color="auto"/>
        <w:right w:val="none" w:sz="0" w:space="0" w:color="auto"/>
      </w:divBdr>
    </w:div>
    <w:div w:id="748119690">
      <w:bodyDiv w:val="1"/>
      <w:marLeft w:val="0"/>
      <w:marRight w:val="0"/>
      <w:marTop w:val="0"/>
      <w:marBottom w:val="0"/>
      <w:divBdr>
        <w:top w:val="none" w:sz="0" w:space="0" w:color="auto"/>
        <w:left w:val="none" w:sz="0" w:space="0" w:color="auto"/>
        <w:bottom w:val="none" w:sz="0" w:space="0" w:color="auto"/>
        <w:right w:val="none" w:sz="0" w:space="0" w:color="auto"/>
      </w:divBdr>
    </w:div>
    <w:div w:id="748770361">
      <w:bodyDiv w:val="1"/>
      <w:marLeft w:val="0"/>
      <w:marRight w:val="0"/>
      <w:marTop w:val="0"/>
      <w:marBottom w:val="0"/>
      <w:divBdr>
        <w:top w:val="none" w:sz="0" w:space="0" w:color="auto"/>
        <w:left w:val="none" w:sz="0" w:space="0" w:color="auto"/>
        <w:bottom w:val="none" w:sz="0" w:space="0" w:color="auto"/>
        <w:right w:val="none" w:sz="0" w:space="0" w:color="auto"/>
      </w:divBdr>
    </w:div>
    <w:div w:id="750926040">
      <w:bodyDiv w:val="1"/>
      <w:marLeft w:val="0"/>
      <w:marRight w:val="0"/>
      <w:marTop w:val="0"/>
      <w:marBottom w:val="0"/>
      <w:divBdr>
        <w:top w:val="none" w:sz="0" w:space="0" w:color="auto"/>
        <w:left w:val="none" w:sz="0" w:space="0" w:color="auto"/>
        <w:bottom w:val="none" w:sz="0" w:space="0" w:color="auto"/>
        <w:right w:val="none" w:sz="0" w:space="0" w:color="auto"/>
      </w:divBdr>
    </w:div>
    <w:div w:id="752899353">
      <w:bodyDiv w:val="1"/>
      <w:marLeft w:val="0"/>
      <w:marRight w:val="0"/>
      <w:marTop w:val="0"/>
      <w:marBottom w:val="0"/>
      <w:divBdr>
        <w:top w:val="none" w:sz="0" w:space="0" w:color="auto"/>
        <w:left w:val="none" w:sz="0" w:space="0" w:color="auto"/>
        <w:bottom w:val="none" w:sz="0" w:space="0" w:color="auto"/>
        <w:right w:val="none" w:sz="0" w:space="0" w:color="auto"/>
      </w:divBdr>
    </w:div>
    <w:div w:id="765688787">
      <w:bodyDiv w:val="1"/>
      <w:marLeft w:val="0"/>
      <w:marRight w:val="0"/>
      <w:marTop w:val="0"/>
      <w:marBottom w:val="0"/>
      <w:divBdr>
        <w:top w:val="none" w:sz="0" w:space="0" w:color="auto"/>
        <w:left w:val="none" w:sz="0" w:space="0" w:color="auto"/>
        <w:bottom w:val="none" w:sz="0" w:space="0" w:color="auto"/>
        <w:right w:val="none" w:sz="0" w:space="0" w:color="auto"/>
      </w:divBdr>
    </w:div>
    <w:div w:id="772553360">
      <w:bodyDiv w:val="1"/>
      <w:marLeft w:val="0"/>
      <w:marRight w:val="0"/>
      <w:marTop w:val="0"/>
      <w:marBottom w:val="0"/>
      <w:divBdr>
        <w:top w:val="none" w:sz="0" w:space="0" w:color="auto"/>
        <w:left w:val="none" w:sz="0" w:space="0" w:color="auto"/>
        <w:bottom w:val="none" w:sz="0" w:space="0" w:color="auto"/>
        <w:right w:val="none" w:sz="0" w:space="0" w:color="auto"/>
      </w:divBdr>
    </w:div>
    <w:div w:id="773745650">
      <w:bodyDiv w:val="1"/>
      <w:marLeft w:val="0"/>
      <w:marRight w:val="0"/>
      <w:marTop w:val="0"/>
      <w:marBottom w:val="0"/>
      <w:divBdr>
        <w:top w:val="none" w:sz="0" w:space="0" w:color="auto"/>
        <w:left w:val="none" w:sz="0" w:space="0" w:color="auto"/>
        <w:bottom w:val="none" w:sz="0" w:space="0" w:color="auto"/>
        <w:right w:val="none" w:sz="0" w:space="0" w:color="auto"/>
      </w:divBdr>
    </w:div>
    <w:div w:id="776293505">
      <w:bodyDiv w:val="1"/>
      <w:marLeft w:val="0"/>
      <w:marRight w:val="0"/>
      <w:marTop w:val="0"/>
      <w:marBottom w:val="0"/>
      <w:divBdr>
        <w:top w:val="none" w:sz="0" w:space="0" w:color="auto"/>
        <w:left w:val="none" w:sz="0" w:space="0" w:color="auto"/>
        <w:bottom w:val="none" w:sz="0" w:space="0" w:color="auto"/>
        <w:right w:val="none" w:sz="0" w:space="0" w:color="auto"/>
      </w:divBdr>
    </w:div>
    <w:div w:id="787629783">
      <w:bodyDiv w:val="1"/>
      <w:marLeft w:val="0"/>
      <w:marRight w:val="0"/>
      <w:marTop w:val="0"/>
      <w:marBottom w:val="0"/>
      <w:divBdr>
        <w:top w:val="none" w:sz="0" w:space="0" w:color="auto"/>
        <w:left w:val="none" w:sz="0" w:space="0" w:color="auto"/>
        <w:bottom w:val="none" w:sz="0" w:space="0" w:color="auto"/>
        <w:right w:val="none" w:sz="0" w:space="0" w:color="auto"/>
      </w:divBdr>
    </w:div>
    <w:div w:id="790444059">
      <w:bodyDiv w:val="1"/>
      <w:marLeft w:val="0"/>
      <w:marRight w:val="0"/>
      <w:marTop w:val="0"/>
      <w:marBottom w:val="0"/>
      <w:divBdr>
        <w:top w:val="none" w:sz="0" w:space="0" w:color="auto"/>
        <w:left w:val="none" w:sz="0" w:space="0" w:color="auto"/>
        <w:bottom w:val="none" w:sz="0" w:space="0" w:color="auto"/>
        <w:right w:val="none" w:sz="0" w:space="0" w:color="auto"/>
      </w:divBdr>
    </w:div>
    <w:div w:id="801466433">
      <w:bodyDiv w:val="1"/>
      <w:marLeft w:val="0"/>
      <w:marRight w:val="0"/>
      <w:marTop w:val="0"/>
      <w:marBottom w:val="0"/>
      <w:divBdr>
        <w:top w:val="none" w:sz="0" w:space="0" w:color="auto"/>
        <w:left w:val="none" w:sz="0" w:space="0" w:color="auto"/>
        <w:bottom w:val="none" w:sz="0" w:space="0" w:color="auto"/>
        <w:right w:val="none" w:sz="0" w:space="0" w:color="auto"/>
      </w:divBdr>
    </w:div>
    <w:div w:id="807942912">
      <w:bodyDiv w:val="1"/>
      <w:marLeft w:val="0"/>
      <w:marRight w:val="0"/>
      <w:marTop w:val="0"/>
      <w:marBottom w:val="0"/>
      <w:divBdr>
        <w:top w:val="none" w:sz="0" w:space="0" w:color="auto"/>
        <w:left w:val="none" w:sz="0" w:space="0" w:color="auto"/>
        <w:bottom w:val="none" w:sz="0" w:space="0" w:color="auto"/>
        <w:right w:val="none" w:sz="0" w:space="0" w:color="auto"/>
      </w:divBdr>
    </w:div>
    <w:div w:id="814687318">
      <w:bodyDiv w:val="1"/>
      <w:marLeft w:val="0"/>
      <w:marRight w:val="0"/>
      <w:marTop w:val="0"/>
      <w:marBottom w:val="0"/>
      <w:divBdr>
        <w:top w:val="none" w:sz="0" w:space="0" w:color="auto"/>
        <w:left w:val="none" w:sz="0" w:space="0" w:color="auto"/>
        <w:bottom w:val="none" w:sz="0" w:space="0" w:color="auto"/>
        <w:right w:val="none" w:sz="0" w:space="0" w:color="auto"/>
      </w:divBdr>
    </w:div>
    <w:div w:id="817262028">
      <w:bodyDiv w:val="1"/>
      <w:marLeft w:val="0"/>
      <w:marRight w:val="0"/>
      <w:marTop w:val="0"/>
      <w:marBottom w:val="0"/>
      <w:divBdr>
        <w:top w:val="none" w:sz="0" w:space="0" w:color="auto"/>
        <w:left w:val="none" w:sz="0" w:space="0" w:color="auto"/>
        <w:bottom w:val="none" w:sz="0" w:space="0" w:color="auto"/>
        <w:right w:val="none" w:sz="0" w:space="0" w:color="auto"/>
      </w:divBdr>
    </w:div>
    <w:div w:id="820969972">
      <w:bodyDiv w:val="1"/>
      <w:marLeft w:val="0"/>
      <w:marRight w:val="0"/>
      <w:marTop w:val="0"/>
      <w:marBottom w:val="0"/>
      <w:divBdr>
        <w:top w:val="none" w:sz="0" w:space="0" w:color="auto"/>
        <w:left w:val="none" w:sz="0" w:space="0" w:color="auto"/>
        <w:bottom w:val="none" w:sz="0" w:space="0" w:color="auto"/>
        <w:right w:val="none" w:sz="0" w:space="0" w:color="auto"/>
      </w:divBdr>
    </w:div>
    <w:div w:id="822821225">
      <w:bodyDiv w:val="1"/>
      <w:marLeft w:val="0"/>
      <w:marRight w:val="0"/>
      <w:marTop w:val="0"/>
      <w:marBottom w:val="0"/>
      <w:divBdr>
        <w:top w:val="none" w:sz="0" w:space="0" w:color="auto"/>
        <w:left w:val="none" w:sz="0" w:space="0" w:color="auto"/>
        <w:bottom w:val="none" w:sz="0" w:space="0" w:color="auto"/>
        <w:right w:val="none" w:sz="0" w:space="0" w:color="auto"/>
      </w:divBdr>
    </w:div>
    <w:div w:id="831020758">
      <w:bodyDiv w:val="1"/>
      <w:marLeft w:val="0"/>
      <w:marRight w:val="0"/>
      <w:marTop w:val="0"/>
      <w:marBottom w:val="0"/>
      <w:divBdr>
        <w:top w:val="none" w:sz="0" w:space="0" w:color="auto"/>
        <w:left w:val="none" w:sz="0" w:space="0" w:color="auto"/>
        <w:bottom w:val="none" w:sz="0" w:space="0" w:color="auto"/>
        <w:right w:val="none" w:sz="0" w:space="0" w:color="auto"/>
      </w:divBdr>
    </w:div>
    <w:div w:id="832180240">
      <w:bodyDiv w:val="1"/>
      <w:marLeft w:val="0"/>
      <w:marRight w:val="0"/>
      <w:marTop w:val="0"/>
      <w:marBottom w:val="0"/>
      <w:divBdr>
        <w:top w:val="none" w:sz="0" w:space="0" w:color="auto"/>
        <w:left w:val="none" w:sz="0" w:space="0" w:color="auto"/>
        <w:bottom w:val="none" w:sz="0" w:space="0" w:color="auto"/>
        <w:right w:val="none" w:sz="0" w:space="0" w:color="auto"/>
      </w:divBdr>
    </w:div>
    <w:div w:id="833910962">
      <w:bodyDiv w:val="1"/>
      <w:marLeft w:val="0"/>
      <w:marRight w:val="0"/>
      <w:marTop w:val="0"/>
      <w:marBottom w:val="0"/>
      <w:divBdr>
        <w:top w:val="none" w:sz="0" w:space="0" w:color="auto"/>
        <w:left w:val="none" w:sz="0" w:space="0" w:color="auto"/>
        <w:bottom w:val="none" w:sz="0" w:space="0" w:color="auto"/>
        <w:right w:val="none" w:sz="0" w:space="0" w:color="auto"/>
      </w:divBdr>
    </w:div>
    <w:div w:id="835339734">
      <w:bodyDiv w:val="1"/>
      <w:marLeft w:val="0"/>
      <w:marRight w:val="0"/>
      <w:marTop w:val="0"/>
      <w:marBottom w:val="0"/>
      <w:divBdr>
        <w:top w:val="none" w:sz="0" w:space="0" w:color="auto"/>
        <w:left w:val="none" w:sz="0" w:space="0" w:color="auto"/>
        <w:bottom w:val="none" w:sz="0" w:space="0" w:color="auto"/>
        <w:right w:val="none" w:sz="0" w:space="0" w:color="auto"/>
      </w:divBdr>
    </w:div>
    <w:div w:id="840892804">
      <w:bodyDiv w:val="1"/>
      <w:marLeft w:val="0"/>
      <w:marRight w:val="0"/>
      <w:marTop w:val="0"/>
      <w:marBottom w:val="0"/>
      <w:divBdr>
        <w:top w:val="none" w:sz="0" w:space="0" w:color="auto"/>
        <w:left w:val="none" w:sz="0" w:space="0" w:color="auto"/>
        <w:bottom w:val="none" w:sz="0" w:space="0" w:color="auto"/>
        <w:right w:val="none" w:sz="0" w:space="0" w:color="auto"/>
      </w:divBdr>
    </w:div>
    <w:div w:id="843518779">
      <w:bodyDiv w:val="1"/>
      <w:marLeft w:val="0"/>
      <w:marRight w:val="0"/>
      <w:marTop w:val="0"/>
      <w:marBottom w:val="0"/>
      <w:divBdr>
        <w:top w:val="none" w:sz="0" w:space="0" w:color="auto"/>
        <w:left w:val="none" w:sz="0" w:space="0" w:color="auto"/>
        <w:bottom w:val="none" w:sz="0" w:space="0" w:color="auto"/>
        <w:right w:val="none" w:sz="0" w:space="0" w:color="auto"/>
      </w:divBdr>
    </w:div>
    <w:div w:id="845170755">
      <w:bodyDiv w:val="1"/>
      <w:marLeft w:val="0"/>
      <w:marRight w:val="0"/>
      <w:marTop w:val="0"/>
      <w:marBottom w:val="0"/>
      <w:divBdr>
        <w:top w:val="none" w:sz="0" w:space="0" w:color="auto"/>
        <w:left w:val="none" w:sz="0" w:space="0" w:color="auto"/>
        <w:bottom w:val="none" w:sz="0" w:space="0" w:color="auto"/>
        <w:right w:val="none" w:sz="0" w:space="0" w:color="auto"/>
      </w:divBdr>
    </w:div>
    <w:div w:id="849493144">
      <w:bodyDiv w:val="1"/>
      <w:marLeft w:val="0"/>
      <w:marRight w:val="0"/>
      <w:marTop w:val="0"/>
      <w:marBottom w:val="0"/>
      <w:divBdr>
        <w:top w:val="none" w:sz="0" w:space="0" w:color="auto"/>
        <w:left w:val="none" w:sz="0" w:space="0" w:color="auto"/>
        <w:bottom w:val="none" w:sz="0" w:space="0" w:color="auto"/>
        <w:right w:val="none" w:sz="0" w:space="0" w:color="auto"/>
      </w:divBdr>
    </w:div>
    <w:div w:id="852574618">
      <w:bodyDiv w:val="1"/>
      <w:marLeft w:val="0"/>
      <w:marRight w:val="0"/>
      <w:marTop w:val="0"/>
      <w:marBottom w:val="0"/>
      <w:divBdr>
        <w:top w:val="none" w:sz="0" w:space="0" w:color="auto"/>
        <w:left w:val="none" w:sz="0" w:space="0" w:color="auto"/>
        <w:bottom w:val="none" w:sz="0" w:space="0" w:color="auto"/>
        <w:right w:val="none" w:sz="0" w:space="0" w:color="auto"/>
      </w:divBdr>
    </w:div>
    <w:div w:id="855269203">
      <w:bodyDiv w:val="1"/>
      <w:marLeft w:val="0"/>
      <w:marRight w:val="0"/>
      <w:marTop w:val="0"/>
      <w:marBottom w:val="0"/>
      <w:divBdr>
        <w:top w:val="none" w:sz="0" w:space="0" w:color="auto"/>
        <w:left w:val="none" w:sz="0" w:space="0" w:color="auto"/>
        <w:bottom w:val="none" w:sz="0" w:space="0" w:color="auto"/>
        <w:right w:val="none" w:sz="0" w:space="0" w:color="auto"/>
      </w:divBdr>
    </w:div>
    <w:div w:id="859008503">
      <w:bodyDiv w:val="1"/>
      <w:marLeft w:val="0"/>
      <w:marRight w:val="0"/>
      <w:marTop w:val="0"/>
      <w:marBottom w:val="0"/>
      <w:divBdr>
        <w:top w:val="none" w:sz="0" w:space="0" w:color="auto"/>
        <w:left w:val="none" w:sz="0" w:space="0" w:color="auto"/>
        <w:bottom w:val="none" w:sz="0" w:space="0" w:color="auto"/>
        <w:right w:val="none" w:sz="0" w:space="0" w:color="auto"/>
      </w:divBdr>
    </w:div>
    <w:div w:id="859708011">
      <w:bodyDiv w:val="1"/>
      <w:marLeft w:val="0"/>
      <w:marRight w:val="0"/>
      <w:marTop w:val="0"/>
      <w:marBottom w:val="0"/>
      <w:divBdr>
        <w:top w:val="none" w:sz="0" w:space="0" w:color="auto"/>
        <w:left w:val="none" w:sz="0" w:space="0" w:color="auto"/>
        <w:bottom w:val="none" w:sz="0" w:space="0" w:color="auto"/>
        <w:right w:val="none" w:sz="0" w:space="0" w:color="auto"/>
      </w:divBdr>
    </w:div>
    <w:div w:id="860125945">
      <w:bodyDiv w:val="1"/>
      <w:marLeft w:val="0"/>
      <w:marRight w:val="0"/>
      <w:marTop w:val="0"/>
      <w:marBottom w:val="0"/>
      <w:divBdr>
        <w:top w:val="none" w:sz="0" w:space="0" w:color="auto"/>
        <w:left w:val="none" w:sz="0" w:space="0" w:color="auto"/>
        <w:bottom w:val="none" w:sz="0" w:space="0" w:color="auto"/>
        <w:right w:val="none" w:sz="0" w:space="0" w:color="auto"/>
      </w:divBdr>
    </w:div>
    <w:div w:id="863127490">
      <w:bodyDiv w:val="1"/>
      <w:marLeft w:val="0"/>
      <w:marRight w:val="0"/>
      <w:marTop w:val="0"/>
      <w:marBottom w:val="0"/>
      <w:divBdr>
        <w:top w:val="none" w:sz="0" w:space="0" w:color="auto"/>
        <w:left w:val="none" w:sz="0" w:space="0" w:color="auto"/>
        <w:bottom w:val="none" w:sz="0" w:space="0" w:color="auto"/>
        <w:right w:val="none" w:sz="0" w:space="0" w:color="auto"/>
      </w:divBdr>
    </w:div>
    <w:div w:id="866715174">
      <w:bodyDiv w:val="1"/>
      <w:marLeft w:val="0"/>
      <w:marRight w:val="0"/>
      <w:marTop w:val="0"/>
      <w:marBottom w:val="0"/>
      <w:divBdr>
        <w:top w:val="none" w:sz="0" w:space="0" w:color="auto"/>
        <w:left w:val="none" w:sz="0" w:space="0" w:color="auto"/>
        <w:bottom w:val="none" w:sz="0" w:space="0" w:color="auto"/>
        <w:right w:val="none" w:sz="0" w:space="0" w:color="auto"/>
      </w:divBdr>
    </w:div>
    <w:div w:id="868297700">
      <w:bodyDiv w:val="1"/>
      <w:marLeft w:val="0"/>
      <w:marRight w:val="0"/>
      <w:marTop w:val="0"/>
      <w:marBottom w:val="0"/>
      <w:divBdr>
        <w:top w:val="none" w:sz="0" w:space="0" w:color="auto"/>
        <w:left w:val="none" w:sz="0" w:space="0" w:color="auto"/>
        <w:bottom w:val="none" w:sz="0" w:space="0" w:color="auto"/>
        <w:right w:val="none" w:sz="0" w:space="0" w:color="auto"/>
      </w:divBdr>
    </w:div>
    <w:div w:id="871573407">
      <w:bodyDiv w:val="1"/>
      <w:marLeft w:val="0"/>
      <w:marRight w:val="0"/>
      <w:marTop w:val="0"/>
      <w:marBottom w:val="0"/>
      <w:divBdr>
        <w:top w:val="none" w:sz="0" w:space="0" w:color="auto"/>
        <w:left w:val="none" w:sz="0" w:space="0" w:color="auto"/>
        <w:bottom w:val="none" w:sz="0" w:space="0" w:color="auto"/>
        <w:right w:val="none" w:sz="0" w:space="0" w:color="auto"/>
      </w:divBdr>
    </w:div>
    <w:div w:id="872310025">
      <w:bodyDiv w:val="1"/>
      <w:marLeft w:val="0"/>
      <w:marRight w:val="0"/>
      <w:marTop w:val="0"/>
      <w:marBottom w:val="0"/>
      <w:divBdr>
        <w:top w:val="none" w:sz="0" w:space="0" w:color="auto"/>
        <w:left w:val="none" w:sz="0" w:space="0" w:color="auto"/>
        <w:bottom w:val="none" w:sz="0" w:space="0" w:color="auto"/>
        <w:right w:val="none" w:sz="0" w:space="0" w:color="auto"/>
      </w:divBdr>
    </w:div>
    <w:div w:id="872815173">
      <w:bodyDiv w:val="1"/>
      <w:marLeft w:val="0"/>
      <w:marRight w:val="0"/>
      <w:marTop w:val="0"/>
      <w:marBottom w:val="0"/>
      <w:divBdr>
        <w:top w:val="none" w:sz="0" w:space="0" w:color="auto"/>
        <w:left w:val="none" w:sz="0" w:space="0" w:color="auto"/>
        <w:bottom w:val="none" w:sz="0" w:space="0" w:color="auto"/>
        <w:right w:val="none" w:sz="0" w:space="0" w:color="auto"/>
      </w:divBdr>
    </w:div>
    <w:div w:id="873424398">
      <w:bodyDiv w:val="1"/>
      <w:marLeft w:val="0"/>
      <w:marRight w:val="0"/>
      <w:marTop w:val="0"/>
      <w:marBottom w:val="0"/>
      <w:divBdr>
        <w:top w:val="none" w:sz="0" w:space="0" w:color="auto"/>
        <w:left w:val="none" w:sz="0" w:space="0" w:color="auto"/>
        <w:bottom w:val="none" w:sz="0" w:space="0" w:color="auto"/>
        <w:right w:val="none" w:sz="0" w:space="0" w:color="auto"/>
      </w:divBdr>
    </w:div>
    <w:div w:id="874345010">
      <w:bodyDiv w:val="1"/>
      <w:marLeft w:val="0"/>
      <w:marRight w:val="0"/>
      <w:marTop w:val="0"/>
      <w:marBottom w:val="0"/>
      <w:divBdr>
        <w:top w:val="none" w:sz="0" w:space="0" w:color="auto"/>
        <w:left w:val="none" w:sz="0" w:space="0" w:color="auto"/>
        <w:bottom w:val="none" w:sz="0" w:space="0" w:color="auto"/>
        <w:right w:val="none" w:sz="0" w:space="0" w:color="auto"/>
      </w:divBdr>
    </w:div>
    <w:div w:id="884029592">
      <w:bodyDiv w:val="1"/>
      <w:marLeft w:val="0"/>
      <w:marRight w:val="0"/>
      <w:marTop w:val="0"/>
      <w:marBottom w:val="0"/>
      <w:divBdr>
        <w:top w:val="none" w:sz="0" w:space="0" w:color="auto"/>
        <w:left w:val="none" w:sz="0" w:space="0" w:color="auto"/>
        <w:bottom w:val="none" w:sz="0" w:space="0" w:color="auto"/>
        <w:right w:val="none" w:sz="0" w:space="0" w:color="auto"/>
      </w:divBdr>
    </w:div>
    <w:div w:id="888029216">
      <w:bodyDiv w:val="1"/>
      <w:marLeft w:val="0"/>
      <w:marRight w:val="0"/>
      <w:marTop w:val="0"/>
      <w:marBottom w:val="0"/>
      <w:divBdr>
        <w:top w:val="none" w:sz="0" w:space="0" w:color="auto"/>
        <w:left w:val="none" w:sz="0" w:space="0" w:color="auto"/>
        <w:bottom w:val="none" w:sz="0" w:space="0" w:color="auto"/>
        <w:right w:val="none" w:sz="0" w:space="0" w:color="auto"/>
      </w:divBdr>
    </w:div>
    <w:div w:id="894587316">
      <w:bodyDiv w:val="1"/>
      <w:marLeft w:val="0"/>
      <w:marRight w:val="0"/>
      <w:marTop w:val="0"/>
      <w:marBottom w:val="0"/>
      <w:divBdr>
        <w:top w:val="none" w:sz="0" w:space="0" w:color="auto"/>
        <w:left w:val="none" w:sz="0" w:space="0" w:color="auto"/>
        <w:bottom w:val="none" w:sz="0" w:space="0" w:color="auto"/>
        <w:right w:val="none" w:sz="0" w:space="0" w:color="auto"/>
      </w:divBdr>
    </w:div>
    <w:div w:id="895624714">
      <w:bodyDiv w:val="1"/>
      <w:marLeft w:val="0"/>
      <w:marRight w:val="0"/>
      <w:marTop w:val="0"/>
      <w:marBottom w:val="0"/>
      <w:divBdr>
        <w:top w:val="none" w:sz="0" w:space="0" w:color="auto"/>
        <w:left w:val="none" w:sz="0" w:space="0" w:color="auto"/>
        <w:bottom w:val="none" w:sz="0" w:space="0" w:color="auto"/>
        <w:right w:val="none" w:sz="0" w:space="0" w:color="auto"/>
      </w:divBdr>
    </w:div>
    <w:div w:id="897588472">
      <w:bodyDiv w:val="1"/>
      <w:marLeft w:val="0"/>
      <w:marRight w:val="0"/>
      <w:marTop w:val="0"/>
      <w:marBottom w:val="0"/>
      <w:divBdr>
        <w:top w:val="none" w:sz="0" w:space="0" w:color="auto"/>
        <w:left w:val="none" w:sz="0" w:space="0" w:color="auto"/>
        <w:bottom w:val="none" w:sz="0" w:space="0" w:color="auto"/>
        <w:right w:val="none" w:sz="0" w:space="0" w:color="auto"/>
      </w:divBdr>
    </w:div>
    <w:div w:id="904224283">
      <w:bodyDiv w:val="1"/>
      <w:marLeft w:val="0"/>
      <w:marRight w:val="0"/>
      <w:marTop w:val="0"/>
      <w:marBottom w:val="0"/>
      <w:divBdr>
        <w:top w:val="none" w:sz="0" w:space="0" w:color="auto"/>
        <w:left w:val="none" w:sz="0" w:space="0" w:color="auto"/>
        <w:bottom w:val="none" w:sz="0" w:space="0" w:color="auto"/>
        <w:right w:val="none" w:sz="0" w:space="0" w:color="auto"/>
      </w:divBdr>
    </w:div>
    <w:div w:id="910847524">
      <w:bodyDiv w:val="1"/>
      <w:marLeft w:val="0"/>
      <w:marRight w:val="0"/>
      <w:marTop w:val="0"/>
      <w:marBottom w:val="0"/>
      <w:divBdr>
        <w:top w:val="none" w:sz="0" w:space="0" w:color="auto"/>
        <w:left w:val="none" w:sz="0" w:space="0" w:color="auto"/>
        <w:bottom w:val="none" w:sz="0" w:space="0" w:color="auto"/>
        <w:right w:val="none" w:sz="0" w:space="0" w:color="auto"/>
      </w:divBdr>
    </w:div>
    <w:div w:id="916742363">
      <w:bodyDiv w:val="1"/>
      <w:marLeft w:val="0"/>
      <w:marRight w:val="0"/>
      <w:marTop w:val="0"/>
      <w:marBottom w:val="0"/>
      <w:divBdr>
        <w:top w:val="none" w:sz="0" w:space="0" w:color="auto"/>
        <w:left w:val="none" w:sz="0" w:space="0" w:color="auto"/>
        <w:bottom w:val="none" w:sz="0" w:space="0" w:color="auto"/>
        <w:right w:val="none" w:sz="0" w:space="0" w:color="auto"/>
      </w:divBdr>
    </w:div>
    <w:div w:id="917447725">
      <w:bodyDiv w:val="1"/>
      <w:marLeft w:val="0"/>
      <w:marRight w:val="0"/>
      <w:marTop w:val="0"/>
      <w:marBottom w:val="0"/>
      <w:divBdr>
        <w:top w:val="none" w:sz="0" w:space="0" w:color="auto"/>
        <w:left w:val="none" w:sz="0" w:space="0" w:color="auto"/>
        <w:bottom w:val="none" w:sz="0" w:space="0" w:color="auto"/>
        <w:right w:val="none" w:sz="0" w:space="0" w:color="auto"/>
      </w:divBdr>
    </w:div>
    <w:div w:id="920219092">
      <w:bodyDiv w:val="1"/>
      <w:marLeft w:val="0"/>
      <w:marRight w:val="0"/>
      <w:marTop w:val="0"/>
      <w:marBottom w:val="0"/>
      <w:divBdr>
        <w:top w:val="none" w:sz="0" w:space="0" w:color="auto"/>
        <w:left w:val="none" w:sz="0" w:space="0" w:color="auto"/>
        <w:bottom w:val="none" w:sz="0" w:space="0" w:color="auto"/>
        <w:right w:val="none" w:sz="0" w:space="0" w:color="auto"/>
      </w:divBdr>
    </w:div>
    <w:div w:id="924068608">
      <w:bodyDiv w:val="1"/>
      <w:marLeft w:val="0"/>
      <w:marRight w:val="0"/>
      <w:marTop w:val="0"/>
      <w:marBottom w:val="0"/>
      <w:divBdr>
        <w:top w:val="none" w:sz="0" w:space="0" w:color="auto"/>
        <w:left w:val="none" w:sz="0" w:space="0" w:color="auto"/>
        <w:bottom w:val="none" w:sz="0" w:space="0" w:color="auto"/>
        <w:right w:val="none" w:sz="0" w:space="0" w:color="auto"/>
      </w:divBdr>
    </w:div>
    <w:div w:id="927075388">
      <w:bodyDiv w:val="1"/>
      <w:marLeft w:val="0"/>
      <w:marRight w:val="0"/>
      <w:marTop w:val="0"/>
      <w:marBottom w:val="0"/>
      <w:divBdr>
        <w:top w:val="none" w:sz="0" w:space="0" w:color="auto"/>
        <w:left w:val="none" w:sz="0" w:space="0" w:color="auto"/>
        <w:bottom w:val="none" w:sz="0" w:space="0" w:color="auto"/>
        <w:right w:val="none" w:sz="0" w:space="0" w:color="auto"/>
      </w:divBdr>
    </w:div>
    <w:div w:id="931820620">
      <w:bodyDiv w:val="1"/>
      <w:marLeft w:val="0"/>
      <w:marRight w:val="0"/>
      <w:marTop w:val="0"/>
      <w:marBottom w:val="0"/>
      <w:divBdr>
        <w:top w:val="none" w:sz="0" w:space="0" w:color="auto"/>
        <w:left w:val="none" w:sz="0" w:space="0" w:color="auto"/>
        <w:bottom w:val="none" w:sz="0" w:space="0" w:color="auto"/>
        <w:right w:val="none" w:sz="0" w:space="0" w:color="auto"/>
      </w:divBdr>
    </w:div>
    <w:div w:id="933317668">
      <w:bodyDiv w:val="1"/>
      <w:marLeft w:val="0"/>
      <w:marRight w:val="0"/>
      <w:marTop w:val="0"/>
      <w:marBottom w:val="0"/>
      <w:divBdr>
        <w:top w:val="none" w:sz="0" w:space="0" w:color="auto"/>
        <w:left w:val="none" w:sz="0" w:space="0" w:color="auto"/>
        <w:bottom w:val="none" w:sz="0" w:space="0" w:color="auto"/>
        <w:right w:val="none" w:sz="0" w:space="0" w:color="auto"/>
      </w:divBdr>
    </w:div>
    <w:div w:id="938104966">
      <w:bodyDiv w:val="1"/>
      <w:marLeft w:val="0"/>
      <w:marRight w:val="0"/>
      <w:marTop w:val="0"/>
      <w:marBottom w:val="0"/>
      <w:divBdr>
        <w:top w:val="none" w:sz="0" w:space="0" w:color="auto"/>
        <w:left w:val="none" w:sz="0" w:space="0" w:color="auto"/>
        <w:bottom w:val="none" w:sz="0" w:space="0" w:color="auto"/>
        <w:right w:val="none" w:sz="0" w:space="0" w:color="auto"/>
      </w:divBdr>
    </w:div>
    <w:div w:id="939527531">
      <w:bodyDiv w:val="1"/>
      <w:marLeft w:val="0"/>
      <w:marRight w:val="0"/>
      <w:marTop w:val="0"/>
      <w:marBottom w:val="0"/>
      <w:divBdr>
        <w:top w:val="none" w:sz="0" w:space="0" w:color="auto"/>
        <w:left w:val="none" w:sz="0" w:space="0" w:color="auto"/>
        <w:bottom w:val="none" w:sz="0" w:space="0" w:color="auto"/>
        <w:right w:val="none" w:sz="0" w:space="0" w:color="auto"/>
      </w:divBdr>
    </w:div>
    <w:div w:id="951789724">
      <w:bodyDiv w:val="1"/>
      <w:marLeft w:val="0"/>
      <w:marRight w:val="0"/>
      <w:marTop w:val="0"/>
      <w:marBottom w:val="0"/>
      <w:divBdr>
        <w:top w:val="none" w:sz="0" w:space="0" w:color="auto"/>
        <w:left w:val="none" w:sz="0" w:space="0" w:color="auto"/>
        <w:bottom w:val="none" w:sz="0" w:space="0" w:color="auto"/>
        <w:right w:val="none" w:sz="0" w:space="0" w:color="auto"/>
      </w:divBdr>
    </w:div>
    <w:div w:id="955722426">
      <w:bodyDiv w:val="1"/>
      <w:marLeft w:val="0"/>
      <w:marRight w:val="0"/>
      <w:marTop w:val="0"/>
      <w:marBottom w:val="0"/>
      <w:divBdr>
        <w:top w:val="none" w:sz="0" w:space="0" w:color="auto"/>
        <w:left w:val="none" w:sz="0" w:space="0" w:color="auto"/>
        <w:bottom w:val="none" w:sz="0" w:space="0" w:color="auto"/>
        <w:right w:val="none" w:sz="0" w:space="0" w:color="auto"/>
      </w:divBdr>
    </w:div>
    <w:div w:id="957223889">
      <w:bodyDiv w:val="1"/>
      <w:marLeft w:val="0"/>
      <w:marRight w:val="0"/>
      <w:marTop w:val="0"/>
      <w:marBottom w:val="0"/>
      <w:divBdr>
        <w:top w:val="none" w:sz="0" w:space="0" w:color="auto"/>
        <w:left w:val="none" w:sz="0" w:space="0" w:color="auto"/>
        <w:bottom w:val="none" w:sz="0" w:space="0" w:color="auto"/>
        <w:right w:val="none" w:sz="0" w:space="0" w:color="auto"/>
      </w:divBdr>
    </w:div>
    <w:div w:id="958417656">
      <w:bodyDiv w:val="1"/>
      <w:marLeft w:val="0"/>
      <w:marRight w:val="0"/>
      <w:marTop w:val="0"/>
      <w:marBottom w:val="0"/>
      <w:divBdr>
        <w:top w:val="none" w:sz="0" w:space="0" w:color="auto"/>
        <w:left w:val="none" w:sz="0" w:space="0" w:color="auto"/>
        <w:bottom w:val="none" w:sz="0" w:space="0" w:color="auto"/>
        <w:right w:val="none" w:sz="0" w:space="0" w:color="auto"/>
      </w:divBdr>
    </w:div>
    <w:div w:id="967323536">
      <w:bodyDiv w:val="1"/>
      <w:marLeft w:val="0"/>
      <w:marRight w:val="0"/>
      <w:marTop w:val="0"/>
      <w:marBottom w:val="0"/>
      <w:divBdr>
        <w:top w:val="none" w:sz="0" w:space="0" w:color="auto"/>
        <w:left w:val="none" w:sz="0" w:space="0" w:color="auto"/>
        <w:bottom w:val="none" w:sz="0" w:space="0" w:color="auto"/>
        <w:right w:val="none" w:sz="0" w:space="0" w:color="auto"/>
      </w:divBdr>
    </w:div>
    <w:div w:id="968583529">
      <w:bodyDiv w:val="1"/>
      <w:marLeft w:val="0"/>
      <w:marRight w:val="0"/>
      <w:marTop w:val="0"/>
      <w:marBottom w:val="0"/>
      <w:divBdr>
        <w:top w:val="none" w:sz="0" w:space="0" w:color="auto"/>
        <w:left w:val="none" w:sz="0" w:space="0" w:color="auto"/>
        <w:bottom w:val="none" w:sz="0" w:space="0" w:color="auto"/>
        <w:right w:val="none" w:sz="0" w:space="0" w:color="auto"/>
      </w:divBdr>
    </w:div>
    <w:div w:id="971636834">
      <w:bodyDiv w:val="1"/>
      <w:marLeft w:val="0"/>
      <w:marRight w:val="0"/>
      <w:marTop w:val="0"/>
      <w:marBottom w:val="0"/>
      <w:divBdr>
        <w:top w:val="none" w:sz="0" w:space="0" w:color="auto"/>
        <w:left w:val="none" w:sz="0" w:space="0" w:color="auto"/>
        <w:bottom w:val="none" w:sz="0" w:space="0" w:color="auto"/>
        <w:right w:val="none" w:sz="0" w:space="0" w:color="auto"/>
      </w:divBdr>
    </w:div>
    <w:div w:id="971718359">
      <w:bodyDiv w:val="1"/>
      <w:marLeft w:val="0"/>
      <w:marRight w:val="0"/>
      <w:marTop w:val="0"/>
      <w:marBottom w:val="0"/>
      <w:divBdr>
        <w:top w:val="none" w:sz="0" w:space="0" w:color="auto"/>
        <w:left w:val="none" w:sz="0" w:space="0" w:color="auto"/>
        <w:bottom w:val="none" w:sz="0" w:space="0" w:color="auto"/>
        <w:right w:val="none" w:sz="0" w:space="0" w:color="auto"/>
      </w:divBdr>
    </w:div>
    <w:div w:id="989332233">
      <w:bodyDiv w:val="1"/>
      <w:marLeft w:val="0"/>
      <w:marRight w:val="0"/>
      <w:marTop w:val="0"/>
      <w:marBottom w:val="0"/>
      <w:divBdr>
        <w:top w:val="none" w:sz="0" w:space="0" w:color="auto"/>
        <w:left w:val="none" w:sz="0" w:space="0" w:color="auto"/>
        <w:bottom w:val="none" w:sz="0" w:space="0" w:color="auto"/>
        <w:right w:val="none" w:sz="0" w:space="0" w:color="auto"/>
      </w:divBdr>
    </w:div>
    <w:div w:id="990521865">
      <w:bodyDiv w:val="1"/>
      <w:marLeft w:val="0"/>
      <w:marRight w:val="0"/>
      <w:marTop w:val="0"/>
      <w:marBottom w:val="0"/>
      <w:divBdr>
        <w:top w:val="none" w:sz="0" w:space="0" w:color="auto"/>
        <w:left w:val="none" w:sz="0" w:space="0" w:color="auto"/>
        <w:bottom w:val="none" w:sz="0" w:space="0" w:color="auto"/>
        <w:right w:val="none" w:sz="0" w:space="0" w:color="auto"/>
      </w:divBdr>
    </w:div>
    <w:div w:id="991249752">
      <w:bodyDiv w:val="1"/>
      <w:marLeft w:val="0"/>
      <w:marRight w:val="0"/>
      <w:marTop w:val="0"/>
      <w:marBottom w:val="0"/>
      <w:divBdr>
        <w:top w:val="none" w:sz="0" w:space="0" w:color="auto"/>
        <w:left w:val="none" w:sz="0" w:space="0" w:color="auto"/>
        <w:bottom w:val="none" w:sz="0" w:space="0" w:color="auto"/>
        <w:right w:val="none" w:sz="0" w:space="0" w:color="auto"/>
      </w:divBdr>
    </w:div>
    <w:div w:id="994189477">
      <w:bodyDiv w:val="1"/>
      <w:marLeft w:val="0"/>
      <w:marRight w:val="0"/>
      <w:marTop w:val="0"/>
      <w:marBottom w:val="0"/>
      <w:divBdr>
        <w:top w:val="none" w:sz="0" w:space="0" w:color="auto"/>
        <w:left w:val="none" w:sz="0" w:space="0" w:color="auto"/>
        <w:bottom w:val="none" w:sz="0" w:space="0" w:color="auto"/>
        <w:right w:val="none" w:sz="0" w:space="0" w:color="auto"/>
      </w:divBdr>
    </w:div>
    <w:div w:id="997462785">
      <w:bodyDiv w:val="1"/>
      <w:marLeft w:val="0"/>
      <w:marRight w:val="0"/>
      <w:marTop w:val="0"/>
      <w:marBottom w:val="0"/>
      <w:divBdr>
        <w:top w:val="none" w:sz="0" w:space="0" w:color="auto"/>
        <w:left w:val="none" w:sz="0" w:space="0" w:color="auto"/>
        <w:bottom w:val="none" w:sz="0" w:space="0" w:color="auto"/>
        <w:right w:val="none" w:sz="0" w:space="0" w:color="auto"/>
      </w:divBdr>
    </w:div>
    <w:div w:id="1000893044">
      <w:bodyDiv w:val="1"/>
      <w:marLeft w:val="0"/>
      <w:marRight w:val="0"/>
      <w:marTop w:val="0"/>
      <w:marBottom w:val="0"/>
      <w:divBdr>
        <w:top w:val="none" w:sz="0" w:space="0" w:color="auto"/>
        <w:left w:val="none" w:sz="0" w:space="0" w:color="auto"/>
        <w:bottom w:val="none" w:sz="0" w:space="0" w:color="auto"/>
        <w:right w:val="none" w:sz="0" w:space="0" w:color="auto"/>
      </w:divBdr>
    </w:div>
    <w:div w:id="1007365946">
      <w:bodyDiv w:val="1"/>
      <w:marLeft w:val="0"/>
      <w:marRight w:val="0"/>
      <w:marTop w:val="0"/>
      <w:marBottom w:val="0"/>
      <w:divBdr>
        <w:top w:val="none" w:sz="0" w:space="0" w:color="auto"/>
        <w:left w:val="none" w:sz="0" w:space="0" w:color="auto"/>
        <w:bottom w:val="none" w:sz="0" w:space="0" w:color="auto"/>
        <w:right w:val="none" w:sz="0" w:space="0" w:color="auto"/>
      </w:divBdr>
    </w:div>
    <w:div w:id="1016737077">
      <w:bodyDiv w:val="1"/>
      <w:marLeft w:val="0"/>
      <w:marRight w:val="0"/>
      <w:marTop w:val="0"/>
      <w:marBottom w:val="0"/>
      <w:divBdr>
        <w:top w:val="none" w:sz="0" w:space="0" w:color="auto"/>
        <w:left w:val="none" w:sz="0" w:space="0" w:color="auto"/>
        <w:bottom w:val="none" w:sz="0" w:space="0" w:color="auto"/>
        <w:right w:val="none" w:sz="0" w:space="0" w:color="auto"/>
      </w:divBdr>
    </w:div>
    <w:div w:id="1018193670">
      <w:bodyDiv w:val="1"/>
      <w:marLeft w:val="0"/>
      <w:marRight w:val="0"/>
      <w:marTop w:val="0"/>
      <w:marBottom w:val="0"/>
      <w:divBdr>
        <w:top w:val="none" w:sz="0" w:space="0" w:color="auto"/>
        <w:left w:val="none" w:sz="0" w:space="0" w:color="auto"/>
        <w:bottom w:val="none" w:sz="0" w:space="0" w:color="auto"/>
        <w:right w:val="none" w:sz="0" w:space="0" w:color="auto"/>
      </w:divBdr>
    </w:div>
    <w:div w:id="1037194580">
      <w:bodyDiv w:val="1"/>
      <w:marLeft w:val="0"/>
      <w:marRight w:val="0"/>
      <w:marTop w:val="0"/>
      <w:marBottom w:val="0"/>
      <w:divBdr>
        <w:top w:val="none" w:sz="0" w:space="0" w:color="auto"/>
        <w:left w:val="none" w:sz="0" w:space="0" w:color="auto"/>
        <w:bottom w:val="none" w:sz="0" w:space="0" w:color="auto"/>
        <w:right w:val="none" w:sz="0" w:space="0" w:color="auto"/>
      </w:divBdr>
    </w:div>
    <w:div w:id="1039629418">
      <w:bodyDiv w:val="1"/>
      <w:marLeft w:val="0"/>
      <w:marRight w:val="0"/>
      <w:marTop w:val="0"/>
      <w:marBottom w:val="0"/>
      <w:divBdr>
        <w:top w:val="none" w:sz="0" w:space="0" w:color="auto"/>
        <w:left w:val="none" w:sz="0" w:space="0" w:color="auto"/>
        <w:bottom w:val="none" w:sz="0" w:space="0" w:color="auto"/>
        <w:right w:val="none" w:sz="0" w:space="0" w:color="auto"/>
      </w:divBdr>
    </w:div>
    <w:div w:id="1043019684">
      <w:bodyDiv w:val="1"/>
      <w:marLeft w:val="0"/>
      <w:marRight w:val="0"/>
      <w:marTop w:val="0"/>
      <w:marBottom w:val="0"/>
      <w:divBdr>
        <w:top w:val="none" w:sz="0" w:space="0" w:color="auto"/>
        <w:left w:val="none" w:sz="0" w:space="0" w:color="auto"/>
        <w:bottom w:val="none" w:sz="0" w:space="0" w:color="auto"/>
        <w:right w:val="none" w:sz="0" w:space="0" w:color="auto"/>
      </w:divBdr>
    </w:div>
    <w:div w:id="1050812430">
      <w:bodyDiv w:val="1"/>
      <w:marLeft w:val="0"/>
      <w:marRight w:val="0"/>
      <w:marTop w:val="0"/>
      <w:marBottom w:val="0"/>
      <w:divBdr>
        <w:top w:val="none" w:sz="0" w:space="0" w:color="auto"/>
        <w:left w:val="none" w:sz="0" w:space="0" w:color="auto"/>
        <w:bottom w:val="none" w:sz="0" w:space="0" w:color="auto"/>
        <w:right w:val="none" w:sz="0" w:space="0" w:color="auto"/>
      </w:divBdr>
    </w:div>
    <w:div w:id="1056928028">
      <w:bodyDiv w:val="1"/>
      <w:marLeft w:val="0"/>
      <w:marRight w:val="0"/>
      <w:marTop w:val="0"/>
      <w:marBottom w:val="0"/>
      <w:divBdr>
        <w:top w:val="none" w:sz="0" w:space="0" w:color="auto"/>
        <w:left w:val="none" w:sz="0" w:space="0" w:color="auto"/>
        <w:bottom w:val="none" w:sz="0" w:space="0" w:color="auto"/>
        <w:right w:val="none" w:sz="0" w:space="0" w:color="auto"/>
      </w:divBdr>
    </w:div>
    <w:div w:id="1058749323">
      <w:bodyDiv w:val="1"/>
      <w:marLeft w:val="0"/>
      <w:marRight w:val="0"/>
      <w:marTop w:val="0"/>
      <w:marBottom w:val="0"/>
      <w:divBdr>
        <w:top w:val="none" w:sz="0" w:space="0" w:color="auto"/>
        <w:left w:val="none" w:sz="0" w:space="0" w:color="auto"/>
        <w:bottom w:val="none" w:sz="0" w:space="0" w:color="auto"/>
        <w:right w:val="none" w:sz="0" w:space="0" w:color="auto"/>
      </w:divBdr>
    </w:div>
    <w:div w:id="1069114496">
      <w:bodyDiv w:val="1"/>
      <w:marLeft w:val="0"/>
      <w:marRight w:val="0"/>
      <w:marTop w:val="0"/>
      <w:marBottom w:val="0"/>
      <w:divBdr>
        <w:top w:val="none" w:sz="0" w:space="0" w:color="auto"/>
        <w:left w:val="none" w:sz="0" w:space="0" w:color="auto"/>
        <w:bottom w:val="none" w:sz="0" w:space="0" w:color="auto"/>
        <w:right w:val="none" w:sz="0" w:space="0" w:color="auto"/>
      </w:divBdr>
    </w:div>
    <w:div w:id="1071275987">
      <w:bodyDiv w:val="1"/>
      <w:marLeft w:val="0"/>
      <w:marRight w:val="0"/>
      <w:marTop w:val="0"/>
      <w:marBottom w:val="0"/>
      <w:divBdr>
        <w:top w:val="none" w:sz="0" w:space="0" w:color="auto"/>
        <w:left w:val="none" w:sz="0" w:space="0" w:color="auto"/>
        <w:bottom w:val="none" w:sz="0" w:space="0" w:color="auto"/>
        <w:right w:val="none" w:sz="0" w:space="0" w:color="auto"/>
      </w:divBdr>
    </w:div>
    <w:div w:id="1077746427">
      <w:bodyDiv w:val="1"/>
      <w:marLeft w:val="0"/>
      <w:marRight w:val="0"/>
      <w:marTop w:val="0"/>
      <w:marBottom w:val="0"/>
      <w:divBdr>
        <w:top w:val="none" w:sz="0" w:space="0" w:color="auto"/>
        <w:left w:val="none" w:sz="0" w:space="0" w:color="auto"/>
        <w:bottom w:val="none" w:sz="0" w:space="0" w:color="auto"/>
        <w:right w:val="none" w:sz="0" w:space="0" w:color="auto"/>
      </w:divBdr>
    </w:div>
    <w:div w:id="1077824900">
      <w:bodyDiv w:val="1"/>
      <w:marLeft w:val="0"/>
      <w:marRight w:val="0"/>
      <w:marTop w:val="0"/>
      <w:marBottom w:val="0"/>
      <w:divBdr>
        <w:top w:val="none" w:sz="0" w:space="0" w:color="auto"/>
        <w:left w:val="none" w:sz="0" w:space="0" w:color="auto"/>
        <w:bottom w:val="none" w:sz="0" w:space="0" w:color="auto"/>
        <w:right w:val="none" w:sz="0" w:space="0" w:color="auto"/>
      </w:divBdr>
    </w:div>
    <w:div w:id="1081803573">
      <w:bodyDiv w:val="1"/>
      <w:marLeft w:val="0"/>
      <w:marRight w:val="0"/>
      <w:marTop w:val="0"/>
      <w:marBottom w:val="0"/>
      <w:divBdr>
        <w:top w:val="none" w:sz="0" w:space="0" w:color="auto"/>
        <w:left w:val="none" w:sz="0" w:space="0" w:color="auto"/>
        <w:bottom w:val="none" w:sz="0" w:space="0" w:color="auto"/>
        <w:right w:val="none" w:sz="0" w:space="0" w:color="auto"/>
      </w:divBdr>
    </w:div>
    <w:div w:id="1083260100">
      <w:bodyDiv w:val="1"/>
      <w:marLeft w:val="0"/>
      <w:marRight w:val="0"/>
      <w:marTop w:val="0"/>
      <w:marBottom w:val="0"/>
      <w:divBdr>
        <w:top w:val="none" w:sz="0" w:space="0" w:color="auto"/>
        <w:left w:val="none" w:sz="0" w:space="0" w:color="auto"/>
        <w:bottom w:val="none" w:sz="0" w:space="0" w:color="auto"/>
        <w:right w:val="none" w:sz="0" w:space="0" w:color="auto"/>
      </w:divBdr>
    </w:div>
    <w:div w:id="1086151149">
      <w:bodyDiv w:val="1"/>
      <w:marLeft w:val="0"/>
      <w:marRight w:val="0"/>
      <w:marTop w:val="0"/>
      <w:marBottom w:val="0"/>
      <w:divBdr>
        <w:top w:val="none" w:sz="0" w:space="0" w:color="auto"/>
        <w:left w:val="none" w:sz="0" w:space="0" w:color="auto"/>
        <w:bottom w:val="none" w:sz="0" w:space="0" w:color="auto"/>
        <w:right w:val="none" w:sz="0" w:space="0" w:color="auto"/>
      </w:divBdr>
    </w:div>
    <w:div w:id="1100956149">
      <w:bodyDiv w:val="1"/>
      <w:marLeft w:val="0"/>
      <w:marRight w:val="0"/>
      <w:marTop w:val="0"/>
      <w:marBottom w:val="0"/>
      <w:divBdr>
        <w:top w:val="none" w:sz="0" w:space="0" w:color="auto"/>
        <w:left w:val="none" w:sz="0" w:space="0" w:color="auto"/>
        <w:bottom w:val="none" w:sz="0" w:space="0" w:color="auto"/>
        <w:right w:val="none" w:sz="0" w:space="0" w:color="auto"/>
      </w:divBdr>
    </w:div>
    <w:div w:id="1101268071">
      <w:bodyDiv w:val="1"/>
      <w:marLeft w:val="0"/>
      <w:marRight w:val="0"/>
      <w:marTop w:val="0"/>
      <w:marBottom w:val="0"/>
      <w:divBdr>
        <w:top w:val="none" w:sz="0" w:space="0" w:color="auto"/>
        <w:left w:val="none" w:sz="0" w:space="0" w:color="auto"/>
        <w:bottom w:val="none" w:sz="0" w:space="0" w:color="auto"/>
        <w:right w:val="none" w:sz="0" w:space="0" w:color="auto"/>
      </w:divBdr>
    </w:div>
    <w:div w:id="1108819490">
      <w:bodyDiv w:val="1"/>
      <w:marLeft w:val="0"/>
      <w:marRight w:val="0"/>
      <w:marTop w:val="0"/>
      <w:marBottom w:val="0"/>
      <w:divBdr>
        <w:top w:val="none" w:sz="0" w:space="0" w:color="auto"/>
        <w:left w:val="none" w:sz="0" w:space="0" w:color="auto"/>
        <w:bottom w:val="none" w:sz="0" w:space="0" w:color="auto"/>
        <w:right w:val="none" w:sz="0" w:space="0" w:color="auto"/>
      </w:divBdr>
    </w:div>
    <w:div w:id="1110199546">
      <w:bodyDiv w:val="1"/>
      <w:marLeft w:val="0"/>
      <w:marRight w:val="0"/>
      <w:marTop w:val="0"/>
      <w:marBottom w:val="0"/>
      <w:divBdr>
        <w:top w:val="none" w:sz="0" w:space="0" w:color="auto"/>
        <w:left w:val="none" w:sz="0" w:space="0" w:color="auto"/>
        <w:bottom w:val="none" w:sz="0" w:space="0" w:color="auto"/>
        <w:right w:val="none" w:sz="0" w:space="0" w:color="auto"/>
      </w:divBdr>
    </w:div>
    <w:div w:id="1110977560">
      <w:bodyDiv w:val="1"/>
      <w:marLeft w:val="0"/>
      <w:marRight w:val="0"/>
      <w:marTop w:val="0"/>
      <w:marBottom w:val="0"/>
      <w:divBdr>
        <w:top w:val="none" w:sz="0" w:space="0" w:color="auto"/>
        <w:left w:val="none" w:sz="0" w:space="0" w:color="auto"/>
        <w:bottom w:val="none" w:sz="0" w:space="0" w:color="auto"/>
        <w:right w:val="none" w:sz="0" w:space="0" w:color="auto"/>
      </w:divBdr>
    </w:div>
    <w:div w:id="1114591158">
      <w:bodyDiv w:val="1"/>
      <w:marLeft w:val="0"/>
      <w:marRight w:val="0"/>
      <w:marTop w:val="0"/>
      <w:marBottom w:val="0"/>
      <w:divBdr>
        <w:top w:val="none" w:sz="0" w:space="0" w:color="auto"/>
        <w:left w:val="none" w:sz="0" w:space="0" w:color="auto"/>
        <w:bottom w:val="none" w:sz="0" w:space="0" w:color="auto"/>
        <w:right w:val="none" w:sz="0" w:space="0" w:color="auto"/>
      </w:divBdr>
    </w:div>
    <w:div w:id="1118333867">
      <w:bodyDiv w:val="1"/>
      <w:marLeft w:val="0"/>
      <w:marRight w:val="0"/>
      <w:marTop w:val="0"/>
      <w:marBottom w:val="0"/>
      <w:divBdr>
        <w:top w:val="none" w:sz="0" w:space="0" w:color="auto"/>
        <w:left w:val="none" w:sz="0" w:space="0" w:color="auto"/>
        <w:bottom w:val="none" w:sz="0" w:space="0" w:color="auto"/>
        <w:right w:val="none" w:sz="0" w:space="0" w:color="auto"/>
      </w:divBdr>
    </w:div>
    <w:div w:id="1118337346">
      <w:bodyDiv w:val="1"/>
      <w:marLeft w:val="0"/>
      <w:marRight w:val="0"/>
      <w:marTop w:val="0"/>
      <w:marBottom w:val="0"/>
      <w:divBdr>
        <w:top w:val="none" w:sz="0" w:space="0" w:color="auto"/>
        <w:left w:val="none" w:sz="0" w:space="0" w:color="auto"/>
        <w:bottom w:val="none" w:sz="0" w:space="0" w:color="auto"/>
        <w:right w:val="none" w:sz="0" w:space="0" w:color="auto"/>
      </w:divBdr>
    </w:div>
    <w:div w:id="1119032571">
      <w:bodyDiv w:val="1"/>
      <w:marLeft w:val="0"/>
      <w:marRight w:val="0"/>
      <w:marTop w:val="0"/>
      <w:marBottom w:val="0"/>
      <w:divBdr>
        <w:top w:val="none" w:sz="0" w:space="0" w:color="auto"/>
        <w:left w:val="none" w:sz="0" w:space="0" w:color="auto"/>
        <w:bottom w:val="none" w:sz="0" w:space="0" w:color="auto"/>
        <w:right w:val="none" w:sz="0" w:space="0" w:color="auto"/>
      </w:divBdr>
    </w:div>
    <w:div w:id="1130124034">
      <w:bodyDiv w:val="1"/>
      <w:marLeft w:val="0"/>
      <w:marRight w:val="0"/>
      <w:marTop w:val="0"/>
      <w:marBottom w:val="0"/>
      <w:divBdr>
        <w:top w:val="none" w:sz="0" w:space="0" w:color="auto"/>
        <w:left w:val="none" w:sz="0" w:space="0" w:color="auto"/>
        <w:bottom w:val="none" w:sz="0" w:space="0" w:color="auto"/>
        <w:right w:val="none" w:sz="0" w:space="0" w:color="auto"/>
      </w:divBdr>
    </w:div>
    <w:div w:id="1137380934">
      <w:bodyDiv w:val="1"/>
      <w:marLeft w:val="0"/>
      <w:marRight w:val="0"/>
      <w:marTop w:val="0"/>
      <w:marBottom w:val="0"/>
      <w:divBdr>
        <w:top w:val="none" w:sz="0" w:space="0" w:color="auto"/>
        <w:left w:val="none" w:sz="0" w:space="0" w:color="auto"/>
        <w:bottom w:val="none" w:sz="0" w:space="0" w:color="auto"/>
        <w:right w:val="none" w:sz="0" w:space="0" w:color="auto"/>
      </w:divBdr>
    </w:div>
    <w:div w:id="1139417425">
      <w:bodyDiv w:val="1"/>
      <w:marLeft w:val="0"/>
      <w:marRight w:val="0"/>
      <w:marTop w:val="0"/>
      <w:marBottom w:val="0"/>
      <w:divBdr>
        <w:top w:val="none" w:sz="0" w:space="0" w:color="auto"/>
        <w:left w:val="none" w:sz="0" w:space="0" w:color="auto"/>
        <w:bottom w:val="none" w:sz="0" w:space="0" w:color="auto"/>
        <w:right w:val="none" w:sz="0" w:space="0" w:color="auto"/>
      </w:divBdr>
    </w:div>
    <w:div w:id="1141075580">
      <w:bodyDiv w:val="1"/>
      <w:marLeft w:val="0"/>
      <w:marRight w:val="0"/>
      <w:marTop w:val="0"/>
      <w:marBottom w:val="0"/>
      <w:divBdr>
        <w:top w:val="none" w:sz="0" w:space="0" w:color="auto"/>
        <w:left w:val="none" w:sz="0" w:space="0" w:color="auto"/>
        <w:bottom w:val="none" w:sz="0" w:space="0" w:color="auto"/>
        <w:right w:val="none" w:sz="0" w:space="0" w:color="auto"/>
      </w:divBdr>
    </w:div>
    <w:div w:id="1146435914">
      <w:bodyDiv w:val="1"/>
      <w:marLeft w:val="0"/>
      <w:marRight w:val="0"/>
      <w:marTop w:val="0"/>
      <w:marBottom w:val="0"/>
      <w:divBdr>
        <w:top w:val="none" w:sz="0" w:space="0" w:color="auto"/>
        <w:left w:val="none" w:sz="0" w:space="0" w:color="auto"/>
        <w:bottom w:val="none" w:sz="0" w:space="0" w:color="auto"/>
        <w:right w:val="none" w:sz="0" w:space="0" w:color="auto"/>
      </w:divBdr>
    </w:div>
    <w:div w:id="1148518695">
      <w:bodyDiv w:val="1"/>
      <w:marLeft w:val="0"/>
      <w:marRight w:val="0"/>
      <w:marTop w:val="0"/>
      <w:marBottom w:val="0"/>
      <w:divBdr>
        <w:top w:val="none" w:sz="0" w:space="0" w:color="auto"/>
        <w:left w:val="none" w:sz="0" w:space="0" w:color="auto"/>
        <w:bottom w:val="none" w:sz="0" w:space="0" w:color="auto"/>
        <w:right w:val="none" w:sz="0" w:space="0" w:color="auto"/>
      </w:divBdr>
    </w:div>
    <w:div w:id="1151212154">
      <w:bodyDiv w:val="1"/>
      <w:marLeft w:val="0"/>
      <w:marRight w:val="0"/>
      <w:marTop w:val="0"/>
      <w:marBottom w:val="0"/>
      <w:divBdr>
        <w:top w:val="none" w:sz="0" w:space="0" w:color="auto"/>
        <w:left w:val="none" w:sz="0" w:space="0" w:color="auto"/>
        <w:bottom w:val="none" w:sz="0" w:space="0" w:color="auto"/>
        <w:right w:val="none" w:sz="0" w:space="0" w:color="auto"/>
      </w:divBdr>
    </w:div>
    <w:div w:id="1151556482">
      <w:bodyDiv w:val="1"/>
      <w:marLeft w:val="0"/>
      <w:marRight w:val="0"/>
      <w:marTop w:val="0"/>
      <w:marBottom w:val="0"/>
      <w:divBdr>
        <w:top w:val="none" w:sz="0" w:space="0" w:color="auto"/>
        <w:left w:val="none" w:sz="0" w:space="0" w:color="auto"/>
        <w:bottom w:val="none" w:sz="0" w:space="0" w:color="auto"/>
        <w:right w:val="none" w:sz="0" w:space="0" w:color="auto"/>
      </w:divBdr>
    </w:div>
    <w:div w:id="1155492031">
      <w:bodyDiv w:val="1"/>
      <w:marLeft w:val="0"/>
      <w:marRight w:val="0"/>
      <w:marTop w:val="0"/>
      <w:marBottom w:val="0"/>
      <w:divBdr>
        <w:top w:val="none" w:sz="0" w:space="0" w:color="auto"/>
        <w:left w:val="none" w:sz="0" w:space="0" w:color="auto"/>
        <w:bottom w:val="none" w:sz="0" w:space="0" w:color="auto"/>
        <w:right w:val="none" w:sz="0" w:space="0" w:color="auto"/>
      </w:divBdr>
    </w:div>
    <w:div w:id="1158961843">
      <w:bodyDiv w:val="1"/>
      <w:marLeft w:val="0"/>
      <w:marRight w:val="0"/>
      <w:marTop w:val="0"/>
      <w:marBottom w:val="0"/>
      <w:divBdr>
        <w:top w:val="none" w:sz="0" w:space="0" w:color="auto"/>
        <w:left w:val="none" w:sz="0" w:space="0" w:color="auto"/>
        <w:bottom w:val="none" w:sz="0" w:space="0" w:color="auto"/>
        <w:right w:val="none" w:sz="0" w:space="0" w:color="auto"/>
      </w:divBdr>
    </w:div>
    <w:div w:id="1160928919">
      <w:bodyDiv w:val="1"/>
      <w:marLeft w:val="0"/>
      <w:marRight w:val="0"/>
      <w:marTop w:val="0"/>
      <w:marBottom w:val="0"/>
      <w:divBdr>
        <w:top w:val="none" w:sz="0" w:space="0" w:color="auto"/>
        <w:left w:val="none" w:sz="0" w:space="0" w:color="auto"/>
        <w:bottom w:val="none" w:sz="0" w:space="0" w:color="auto"/>
        <w:right w:val="none" w:sz="0" w:space="0" w:color="auto"/>
      </w:divBdr>
    </w:div>
    <w:div w:id="1172062699">
      <w:bodyDiv w:val="1"/>
      <w:marLeft w:val="0"/>
      <w:marRight w:val="0"/>
      <w:marTop w:val="0"/>
      <w:marBottom w:val="0"/>
      <w:divBdr>
        <w:top w:val="none" w:sz="0" w:space="0" w:color="auto"/>
        <w:left w:val="none" w:sz="0" w:space="0" w:color="auto"/>
        <w:bottom w:val="none" w:sz="0" w:space="0" w:color="auto"/>
        <w:right w:val="none" w:sz="0" w:space="0" w:color="auto"/>
      </w:divBdr>
    </w:div>
    <w:div w:id="1193617596">
      <w:bodyDiv w:val="1"/>
      <w:marLeft w:val="0"/>
      <w:marRight w:val="0"/>
      <w:marTop w:val="0"/>
      <w:marBottom w:val="0"/>
      <w:divBdr>
        <w:top w:val="none" w:sz="0" w:space="0" w:color="auto"/>
        <w:left w:val="none" w:sz="0" w:space="0" w:color="auto"/>
        <w:bottom w:val="none" w:sz="0" w:space="0" w:color="auto"/>
        <w:right w:val="none" w:sz="0" w:space="0" w:color="auto"/>
      </w:divBdr>
    </w:div>
    <w:div w:id="1200437737">
      <w:bodyDiv w:val="1"/>
      <w:marLeft w:val="0"/>
      <w:marRight w:val="0"/>
      <w:marTop w:val="0"/>
      <w:marBottom w:val="0"/>
      <w:divBdr>
        <w:top w:val="none" w:sz="0" w:space="0" w:color="auto"/>
        <w:left w:val="none" w:sz="0" w:space="0" w:color="auto"/>
        <w:bottom w:val="none" w:sz="0" w:space="0" w:color="auto"/>
        <w:right w:val="none" w:sz="0" w:space="0" w:color="auto"/>
      </w:divBdr>
    </w:div>
    <w:div w:id="1201935421">
      <w:bodyDiv w:val="1"/>
      <w:marLeft w:val="0"/>
      <w:marRight w:val="0"/>
      <w:marTop w:val="0"/>
      <w:marBottom w:val="0"/>
      <w:divBdr>
        <w:top w:val="none" w:sz="0" w:space="0" w:color="auto"/>
        <w:left w:val="none" w:sz="0" w:space="0" w:color="auto"/>
        <w:bottom w:val="none" w:sz="0" w:space="0" w:color="auto"/>
        <w:right w:val="none" w:sz="0" w:space="0" w:color="auto"/>
      </w:divBdr>
    </w:div>
    <w:div w:id="1204369477">
      <w:bodyDiv w:val="1"/>
      <w:marLeft w:val="0"/>
      <w:marRight w:val="0"/>
      <w:marTop w:val="0"/>
      <w:marBottom w:val="0"/>
      <w:divBdr>
        <w:top w:val="none" w:sz="0" w:space="0" w:color="auto"/>
        <w:left w:val="none" w:sz="0" w:space="0" w:color="auto"/>
        <w:bottom w:val="none" w:sz="0" w:space="0" w:color="auto"/>
        <w:right w:val="none" w:sz="0" w:space="0" w:color="auto"/>
      </w:divBdr>
    </w:div>
    <w:div w:id="1210535219">
      <w:bodyDiv w:val="1"/>
      <w:marLeft w:val="0"/>
      <w:marRight w:val="0"/>
      <w:marTop w:val="0"/>
      <w:marBottom w:val="0"/>
      <w:divBdr>
        <w:top w:val="none" w:sz="0" w:space="0" w:color="auto"/>
        <w:left w:val="none" w:sz="0" w:space="0" w:color="auto"/>
        <w:bottom w:val="none" w:sz="0" w:space="0" w:color="auto"/>
        <w:right w:val="none" w:sz="0" w:space="0" w:color="auto"/>
      </w:divBdr>
    </w:div>
    <w:div w:id="1212618351">
      <w:bodyDiv w:val="1"/>
      <w:marLeft w:val="0"/>
      <w:marRight w:val="0"/>
      <w:marTop w:val="0"/>
      <w:marBottom w:val="0"/>
      <w:divBdr>
        <w:top w:val="none" w:sz="0" w:space="0" w:color="auto"/>
        <w:left w:val="none" w:sz="0" w:space="0" w:color="auto"/>
        <w:bottom w:val="none" w:sz="0" w:space="0" w:color="auto"/>
        <w:right w:val="none" w:sz="0" w:space="0" w:color="auto"/>
      </w:divBdr>
    </w:div>
    <w:div w:id="1213347322">
      <w:bodyDiv w:val="1"/>
      <w:marLeft w:val="0"/>
      <w:marRight w:val="0"/>
      <w:marTop w:val="0"/>
      <w:marBottom w:val="0"/>
      <w:divBdr>
        <w:top w:val="none" w:sz="0" w:space="0" w:color="auto"/>
        <w:left w:val="none" w:sz="0" w:space="0" w:color="auto"/>
        <w:bottom w:val="none" w:sz="0" w:space="0" w:color="auto"/>
        <w:right w:val="none" w:sz="0" w:space="0" w:color="auto"/>
      </w:divBdr>
    </w:div>
    <w:div w:id="1218515642">
      <w:bodyDiv w:val="1"/>
      <w:marLeft w:val="0"/>
      <w:marRight w:val="0"/>
      <w:marTop w:val="0"/>
      <w:marBottom w:val="0"/>
      <w:divBdr>
        <w:top w:val="none" w:sz="0" w:space="0" w:color="auto"/>
        <w:left w:val="none" w:sz="0" w:space="0" w:color="auto"/>
        <w:bottom w:val="none" w:sz="0" w:space="0" w:color="auto"/>
        <w:right w:val="none" w:sz="0" w:space="0" w:color="auto"/>
      </w:divBdr>
    </w:div>
    <w:div w:id="1226186662">
      <w:bodyDiv w:val="1"/>
      <w:marLeft w:val="0"/>
      <w:marRight w:val="0"/>
      <w:marTop w:val="0"/>
      <w:marBottom w:val="0"/>
      <w:divBdr>
        <w:top w:val="none" w:sz="0" w:space="0" w:color="auto"/>
        <w:left w:val="none" w:sz="0" w:space="0" w:color="auto"/>
        <w:bottom w:val="none" w:sz="0" w:space="0" w:color="auto"/>
        <w:right w:val="none" w:sz="0" w:space="0" w:color="auto"/>
      </w:divBdr>
    </w:div>
    <w:div w:id="1238907193">
      <w:bodyDiv w:val="1"/>
      <w:marLeft w:val="0"/>
      <w:marRight w:val="0"/>
      <w:marTop w:val="0"/>
      <w:marBottom w:val="0"/>
      <w:divBdr>
        <w:top w:val="none" w:sz="0" w:space="0" w:color="auto"/>
        <w:left w:val="none" w:sz="0" w:space="0" w:color="auto"/>
        <w:bottom w:val="none" w:sz="0" w:space="0" w:color="auto"/>
        <w:right w:val="none" w:sz="0" w:space="0" w:color="auto"/>
      </w:divBdr>
    </w:div>
    <w:div w:id="1245921715">
      <w:bodyDiv w:val="1"/>
      <w:marLeft w:val="0"/>
      <w:marRight w:val="0"/>
      <w:marTop w:val="0"/>
      <w:marBottom w:val="0"/>
      <w:divBdr>
        <w:top w:val="none" w:sz="0" w:space="0" w:color="auto"/>
        <w:left w:val="none" w:sz="0" w:space="0" w:color="auto"/>
        <w:bottom w:val="none" w:sz="0" w:space="0" w:color="auto"/>
        <w:right w:val="none" w:sz="0" w:space="0" w:color="auto"/>
      </w:divBdr>
    </w:div>
    <w:div w:id="1264418363">
      <w:bodyDiv w:val="1"/>
      <w:marLeft w:val="0"/>
      <w:marRight w:val="0"/>
      <w:marTop w:val="0"/>
      <w:marBottom w:val="0"/>
      <w:divBdr>
        <w:top w:val="none" w:sz="0" w:space="0" w:color="auto"/>
        <w:left w:val="none" w:sz="0" w:space="0" w:color="auto"/>
        <w:bottom w:val="none" w:sz="0" w:space="0" w:color="auto"/>
        <w:right w:val="none" w:sz="0" w:space="0" w:color="auto"/>
      </w:divBdr>
    </w:div>
    <w:div w:id="1280867991">
      <w:bodyDiv w:val="1"/>
      <w:marLeft w:val="0"/>
      <w:marRight w:val="0"/>
      <w:marTop w:val="0"/>
      <w:marBottom w:val="0"/>
      <w:divBdr>
        <w:top w:val="none" w:sz="0" w:space="0" w:color="auto"/>
        <w:left w:val="none" w:sz="0" w:space="0" w:color="auto"/>
        <w:bottom w:val="none" w:sz="0" w:space="0" w:color="auto"/>
        <w:right w:val="none" w:sz="0" w:space="0" w:color="auto"/>
      </w:divBdr>
    </w:div>
    <w:div w:id="1284731405">
      <w:bodyDiv w:val="1"/>
      <w:marLeft w:val="0"/>
      <w:marRight w:val="0"/>
      <w:marTop w:val="0"/>
      <w:marBottom w:val="0"/>
      <w:divBdr>
        <w:top w:val="none" w:sz="0" w:space="0" w:color="auto"/>
        <w:left w:val="none" w:sz="0" w:space="0" w:color="auto"/>
        <w:bottom w:val="none" w:sz="0" w:space="0" w:color="auto"/>
        <w:right w:val="none" w:sz="0" w:space="0" w:color="auto"/>
      </w:divBdr>
    </w:div>
    <w:div w:id="1290430111">
      <w:bodyDiv w:val="1"/>
      <w:marLeft w:val="0"/>
      <w:marRight w:val="0"/>
      <w:marTop w:val="0"/>
      <w:marBottom w:val="0"/>
      <w:divBdr>
        <w:top w:val="none" w:sz="0" w:space="0" w:color="auto"/>
        <w:left w:val="none" w:sz="0" w:space="0" w:color="auto"/>
        <w:bottom w:val="none" w:sz="0" w:space="0" w:color="auto"/>
        <w:right w:val="none" w:sz="0" w:space="0" w:color="auto"/>
      </w:divBdr>
    </w:div>
    <w:div w:id="1295405229">
      <w:bodyDiv w:val="1"/>
      <w:marLeft w:val="0"/>
      <w:marRight w:val="0"/>
      <w:marTop w:val="0"/>
      <w:marBottom w:val="0"/>
      <w:divBdr>
        <w:top w:val="none" w:sz="0" w:space="0" w:color="auto"/>
        <w:left w:val="none" w:sz="0" w:space="0" w:color="auto"/>
        <w:bottom w:val="none" w:sz="0" w:space="0" w:color="auto"/>
        <w:right w:val="none" w:sz="0" w:space="0" w:color="auto"/>
      </w:divBdr>
    </w:div>
    <w:div w:id="1295909504">
      <w:bodyDiv w:val="1"/>
      <w:marLeft w:val="0"/>
      <w:marRight w:val="0"/>
      <w:marTop w:val="0"/>
      <w:marBottom w:val="0"/>
      <w:divBdr>
        <w:top w:val="none" w:sz="0" w:space="0" w:color="auto"/>
        <w:left w:val="none" w:sz="0" w:space="0" w:color="auto"/>
        <w:bottom w:val="none" w:sz="0" w:space="0" w:color="auto"/>
        <w:right w:val="none" w:sz="0" w:space="0" w:color="auto"/>
      </w:divBdr>
    </w:div>
    <w:div w:id="1303581703">
      <w:bodyDiv w:val="1"/>
      <w:marLeft w:val="0"/>
      <w:marRight w:val="0"/>
      <w:marTop w:val="0"/>
      <w:marBottom w:val="0"/>
      <w:divBdr>
        <w:top w:val="none" w:sz="0" w:space="0" w:color="auto"/>
        <w:left w:val="none" w:sz="0" w:space="0" w:color="auto"/>
        <w:bottom w:val="none" w:sz="0" w:space="0" w:color="auto"/>
        <w:right w:val="none" w:sz="0" w:space="0" w:color="auto"/>
      </w:divBdr>
    </w:div>
    <w:div w:id="1306011058">
      <w:bodyDiv w:val="1"/>
      <w:marLeft w:val="0"/>
      <w:marRight w:val="0"/>
      <w:marTop w:val="0"/>
      <w:marBottom w:val="0"/>
      <w:divBdr>
        <w:top w:val="none" w:sz="0" w:space="0" w:color="auto"/>
        <w:left w:val="none" w:sz="0" w:space="0" w:color="auto"/>
        <w:bottom w:val="none" w:sz="0" w:space="0" w:color="auto"/>
        <w:right w:val="none" w:sz="0" w:space="0" w:color="auto"/>
      </w:divBdr>
    </w:div>
    <w:div w:id="1310012660">
      <w:bodyDiv w:val="1"/>
      <w:marLeft w:val="0"/>
      <w:marRight w:val="0"/>
      <w:marTop w:val="0"/>
      <w:marBottom w:val="0"/>
      <w:divBdr>
        <w:top w:val="none" w:sz="0" w:space="0" w:color="auto"/>
        <w:left w:val="none" w:sz="0" w:space="0" w:color="auto"/>
        <w:bottom w:val="none" w:sz="0" w:space="0" w:color="auto"/>
        <w:right w:val="none" w:sz="0" w:space="0" w:color="auto"/>
      </w:divBdr>
    </w:div>
    <w:div w:id="1311253374">
      <w:bodyDiv w:val="1"/>
      <w:marLeft w:val="0"/>
      <w:marRight w:val="0"/>
      <w:marTop w:val="0"/>
      <w:marBottom w:val="0"/>
      <w:divBdr>
        <w:top w:val="none" w:sz="0" w:space="0" w:color="auto"/>
        <w:left w:val="none" w:sz="0" w:space="0" w:color="auto"/>
        <w:bottom w:val="none" w:sz="0" w:space="0" w:color="auto"/>
        <w:right w:val="none" w:sz="0" w:space="0" w:color="auto"/>
      </w:divBdr>
    </w:div>
    <w:div w:id="1323777093">
      <w:bodyDiv w:val="1"/>
      <w:marLeft w:val="0"/>
      <w:marRight w:val="0"/>
      <w:marTop w:val="0"/>
      <w:marBottom w:val="0"/>
      <w:divBdr>
        <w:top w:val="none" w:sz="0" w:space="0" w:color="auto"/>
        <w:left w:val="none" w:sz="0" w:space="0" w:color="auto"/>
        <w:bottom w:val="none" w:sz="0" w:space="0" w:color="auto"/>
        <w:right w:val="none" w:sz="0" w:space="0" w:color="auto"/>
      </w:divBdr>
    </w:div>
    <w:div w:id="1325888308">
      <w:bodyDiv w:val="1"/>
      <w:marLeft w:val="0"/>
      <w:marRight w:val="0"/>
      <w:marTop w:val="0"/>
      <w:marBottom w:val="0"/>
      <w:divBdr>
        <w:top w:val="none" w:sz="0" w:space="0" w:color="auto"/>
        <w:left w:val="none" w:sz="0" w:space="0" w:color="auto"/>
        <w:bottom w:val="none" w:sz="0" w:space="0" w:color="auto"/>
        <w:right w:val="none" w:sz="0" w:space="0" w:color="auto"/>
      </w:divBdr>
    </w:div>
    <w:div w:id="1339381740">
      <w:bodyDiv w:val="1"/>
      <w:marLeft w:val="0"/>
      <w:marRight w:val="0"/>
      <w:marTop w:val="0"/>
      <w:marBottom w:val="0"/>
      <w:divBdr>
        <w:top w:val="none" w:sz="0" w:space="0" w:color="auto"/>
        <w:left w:val="none" w:sz="0" w:space="0" w:color="auto"/>
        <w:bottom w:val="none" w:sz="0" w:space="0" w:color="auto"/>
        <w:right w:val="none" w:sz="0" w:space="0" w:color="auto"/>
      </w:divBdr>
    </w:div>
    <w:div w:id="1340235051">
      <w:bodyDiv w:val="1"/>
      <w:marLeft w:val="0"/>
      <w:marRight w:val="0"/>
      <w:marTop w:val="0"/>
      <w:marBottom w:val="0"/>
      <w:divBdr>
        <w:top w:val="none" w:sz="0" w:space="0" w:color="auto"/>
        <w:left w:val="none" w:sz="0" w:space="0" w:color="auto"/>
        <w:bottom w:val="none" w:sz="0" w:space="0" w:color="auto"/>
        <w:right w:val="none" w:sz="0" w:space="0" w:color="auto"/>
      </w:divBdr>
    </w:div>
    <w:div w:id="1346127850">
      <w:bodyDiv w:val="1"/>
      <w:marLeft w:val="0"/>
      <w:marRight w:val="0"/>
      <w:marTop w:val="0"/>
      <w:marBottom w:val="0"/>
      <w:divBdr>
        <w:top w:val="none" w:sz="0" w:space="0" w:color="auto"/>
        <w:left w:val="none" w:sz="0" w:space="0" w:color="auto"/>
        <w:bottom w:val="none" w:sz="0" w:space="0" w:color="auto"/>
        <w:right w:val="none" w:sz="0" w:space="0" w:color="auto"/>
      </w:divBdr>
    </w:div>
    <w:div w:id="1348605117">
      <w:bodyDiv w:val="1"/>
      <w:marLeft w:val="0"/>
      <w:marRight w:val="0"/>
      <w:marTop w:val="0"/>
      <w:marBottom w:val="0"/>
      <w:divBdr>
        <w:top w:val="none" w:sz="0" w:space="0" w:color="auto"/>
        <w:left w:val="none" w:sz="0" w:space="0" w:color="auto"/>
        <w:bottom w:val="none" w:sz="0" w:space="0" w:color="auto"/>
        <w:right w:val="none" w:sz="0" w:space="0" w:color="auto"/>
      </w:divBdr>
    </w:div>
    <w:div w:id="1357580811">
      <w:bodyDiv w:val="1"/>
      <w:marLeft w:val="0"/>
      <w:marRight w:val="0"/>
      <w:marTop w:val="0"/>
      <w:marBottom w:val="0"/>
      <w:divBdr>
        <w:top w:val="none" w:sz="0" w:space="0" w:color="auto"/>
        <w:left w:val="none" w:sz="0" w:space="0" w:color="auto"/>
        <w:bottom w:val="none" w:sz="0" w:space="0" w:color="auto"/>
        <w:right w:val="none" w:sz="0" w:space="0" w:color="auto"/>
      </w:divBdr>
    </w:div>
    <w:div w:id="1359548255">
      <w:bodyDiv w:val="1"/>
      <w:marLeft w:val="0"/>
      <w:marRight w:val="0"/>
      <w:marTop w:val="0"/>
      <w:marBottom w:val="0"/>
      <w:divBdr>
        <w:top w:val="none" w:sz="0" w:space="0" w:color="auto"/>
        <w:left w:val="none" w:sz="0" w:space="0" w:color="auto"/>
        <w:bottom w:val="none" w:sz="0" w:space="0" w:color="auto"/>
        <w:right w:val="none" w:sz="0" w:space="0" w:color="auto"/>
      </w:divBdr>
    </w:div>
    <w:div w:id="1361127984">
      <w:bodyDiv w:val="1"/>
      <w:marLeft w:val="0"/>
      <w:marRight w:val="0"/>
      <w:marTop w:val="0"/>
      <w:marBottom w:val="0"/>
      <w:divBdr>
        <w:top w:val="none" w:sz="0" w:space="0" w:color="auto"/>
        <w:left w:val="none" w:sz="0" w:space="0" w:color="auto"/>
        <w:bottom w:val="none" w:sz="0" w:space="0" w:color="auto"/>
        <w:right w:val="none" w:sz="0" w:space="0" w:color="auto"/>
      </w:divBdr>
    </w:div>
    <w:div w:id="1364282030">
      <w:bodyDiv w:val="1"/>
      <w:marLeft w:val="0"/>
      <w:marRight w:val="0"/>
      <w:marTop w:val="0"/>
      <w:marBottom w:val="0"/>
      <w:divBdr>
        <w:top w:val="none" w:sz="0" w:space="0" w:color="auto"/>
        <w:left w:val="none" w:sz="0" w:space="0" w:color="auto"/>
        <w:bottom w:val="none" w:sz="0" w:space="0" w:color="auto"/>
        <w:right w:val="none" w:sz="0" w:space="0" w:color="auto"/>
      </w:divBdr>
    </w:div>
    <w:div w:id="1367173257">
      <w:bodyDiv w:val="1"/>
      <w:marLeft w:val="0"/>
      <w:marRight w:val="0"/>
      <w:marTop w:val="0"/>
      <w:marBottom w:val="0"/>
      <w:divBdr>
        <w:top w:val="none" w:sz="0" w:space="0" w:color="auto"/>
        <w:left w:val="none" w:sz="0" w:space="0" w:color="auto"/>
        <w:bottom w:val="none" w:sz="0" w:space="0" w:color="auto"/>
        <w:right w:val="none" w:sz="0" w:space="0" w:color="auto"/>
      </w:divBdr>
    </w:div>
    <w:div w:id="1375231402">
      <w:bodyDiv w:val="1"/>
      <w:marLeft w:val="0"/>
      <w:marRight w:val="0"/>
      <w:marTop w:val="0"/>
      <w:marBottom w:val="0"/>
      <w:divBdr>
        <w:top w:val="none" w:sz="0" w:space="0" w:color="auto"/>
        <w:left w:val="none" w:sz="0" w:space="0" w:color="auto"/>
        <w:bottom w:val="none" w:sz="0" w:space="0" w:color="auto"/>
        <w:right w:val="none" w:sz="0" w:space="0" w:color="auto"/>
      </w:divBdr>
    </w:div>
    <w:div w:id="1376388623">
      <w:bodyDiv w:val="1"/>
      <w:marLeft w:val="0"/>
      <w:marRight w:val="0"/>
      <w:marTop w:val="0"/>
      <w:marBottom w:val="0"/>
      <w:divBdr>
        <w:top w:val="none" w:sz="0" w:space="0" w:color="auto"/>
        <w:left w:val="none" w:sz="0" w:space="0" w:color="auto"/>
        <w:bottom w:val="none" w:sz="0" w:space="0" w:color="auto"/>
        <w:right w:val="none" w:sz="0" w:space="0" w:color="auto"/>
      </w:divBdr>
    </w:div>
    <w:div w:id="1376739200">
      <w:bodyDiv w:val="1"/>
      <w:marLeft w:val="0"/>
      <w:marRight w:val="0"/>
      <w:marTop w:val="0"/>
      <w:marBottom w:val="0"/>
      <w:divBdr>
        <w:top w:val="none" w:sz="0" w:space="0" w:color="auto"/>
        <w:left w:val="none" w:sz="0" w:space="0" w:color="auto"/>
        <w:bottom w:val="none" w:sz="0" w:space="0" w:color="auto"/>
        <w:right w:val="none" w:sz="0" w:space="0" w:color="auto"/>
      </w:divBdr>
    </w:div>
    <w:div w:id="1378779081">
      <w:bodyDiv w:val="1"/>
      <w:marLeft w:val="0"/>
      <w:marRight w:val="0"/>
      <w:marTop w:val="0"/>
      <w:marBottom w:val="0"/>
      <w:divBdr>
        <w:top w:val="none" w:sz="0" w:space="0" w:color="auto"/>
        <w:left w:val="none" w:sz="0" w:space="0" w:color="auto"/>
        <w:bottom w:val="none" w:sz="0" w:space="0" w:color="auto"/>
        <w:right w:val="none" w:sz="0" w:space="0" w:color="auto"/>
      </w:divBdr>
    </w:div>
    <w:div w:id="1382368082">
      <w:bodyDiv w:val="1"/>
      <w:marLeft w:val="0"/>
      <w:marRight w:val="0"/>
      <w:marTop w:val="0"/>
      <w:marBottom w:val="0"/>
      <w:divBdr>
        <w:top w:val="none" w:sz="0" w:space="0" w:color="auto"/>
        <w:left w:val="none" w:sz="0" w:space="0" w:color="auto"/>
        <w:bottom w:val="none" w:sz="0" w:space="0" w:color="auto"/>
        <w:right w:val="none" w:sz="0" w:space="0" w:color="auto"/>
      </w:divBdr>
    </w:div>
    <w:div w:id="1384452578">
      <w:bodyDiv w:val="1"/>
      <w:marLeft w:val="0"/>
      <w:marRight w:val="0"/>
      <w:marTop w:val="0"/>
      <w:marBottom w:val="0"/>
      <w:divBdr>
        <w:top w:val="none" w:sz="0" w:space="0" w:color="auto"/>
        <w:left w:val="none" w:sz="0" w:space="0" w:color="auto"/>
        <w:bottom w:val="none" w:sz="0" w:space="0" w:color="auto"/>
        <w:right w:val="none" w:sz="0" w:space="0" w:color="auto"/>
      </w:divBdr>
    </w:div>
    <w:div w:id="1389692930">
      <w:bodyDiv w:val="1"/>
      <w:marLeft w:val="0"/>
      <w:marRight w:val="0"/>
      <w:marTop w:val="0"/>
      <w:marBottom w:val="0"/>
      <w:divBdr>
        <w:top w:val="none" w:sz="0" w:space="0" w:color="auto"/>
        <w:left w:val="none" w:sz="0" w:space="0" w:color="auto"/>
        <w:bottom w:val="none" w:sz="0" w:space="0" w:color="auto"/>
        <w:right w:val="none" w:sz="0" w:space="0" w:color="auto"/>
      </w:divBdr>
    </w:div>
    <w:div w:id="1390155901">
      <w:bodyDiv w:val="1"/>
      <w:marLeft w:val="0"/>
      <w:marRight w:val="0"/>
      <w:marTop w:val="0"/>
      <w:marBottom w:val="0"/>
      <w:divBdr>
        <w:top w:val="none" w:sz="0" w:space="0" w:color="auto"/>
        <w:left w:val="none" w:sz="0" w:space="0" w:color="auto"/>
        <w:bottom w:val="none" w:sz="0" w:space="0" w:color="auto"/>
        <w:right w:val="none" w:sz="0" w:space="0" w:color="auto"/>
      </w:divBdr>
    </w:div>
    <w:div w:id="1392848086">
      <w:bodyDiv w:val="1"/>
      <w:marLeft w:val="0"/>
      <w:marRight w:val="0"/>
      <w:marTop w:val="0"/>
      <w:marBottom w:val="0"/>
      <w:divBdr>
        <w:top w:val="none" w:sz="0" w:space="0" w:color="auto"/>
        <w:left w:val="none" w:sz="0" w:space="0" w:color="auto"/>
        <w:bottom w:val="none" w:sz="0" w:space="0" w:color="auto"/>
        <w:right w:val="none" w:sz="0" w:space="0" w:color="auto"/>
      </w:divBdr>
    </w:div>
    <w:div w:id="1406029492">
      <w:bodyDiv w:val="1"/>
      <w:marLeft w:val="0"/>
      <w:marRight w:val="0"/>
      <w:marTop w:val="0"/>
      <w:marBottom w:val="0"/>
      <w:divBdr>
        <w:top w:val="none" w:sz="0" w:space="0" w:color="auto"/>
        <w:left w:val="none" w:sz="0" w:space="0" w:color="auto"/>
        <w:bottom w:val="none" w:sz="0" w:space="0" w:color="auto"/>
        <w:right w:val="none" w:sz="0" w:space="0" w:color="auto"/>
      </w:divBdr>
    </w:div>
    <w:div w:id="1413624882">
      <w:bodyDiv w:val="1"/>
      <w:marLeft w:val="0"/>
      <w:marRight w:val="0"/>
      <w:marTop w:val="0"/>
      <w:marBottom w:val="0"/>
      <w:divBdr>
        <w:top w:val="none" w:sz="0" w:space="0" w:color="auto"/>
        <w:left w:val="none" w:sz="0" w:space="0" w:color="auto"/>
        <w:bottom w:val="none" w:sz="0" w:space="0" w:color="auto"/>
        <w:right w:val="none" w:sz="0" w:space="0" w:color="auto"/>
      </w:divBdr>
    </w:div>
    <w:div w:id="1415589015">
      <w:bodyDiv w:val="1"/>
      <w:marLeft w:val="0"/>
      <w:marRight w:val="0"/>
      <w:marTop w:val="0"/>
      <w:marBottom w:val="0"/>
      <w:divBdr>
        <w:top w:val="none" w:sz="0" w:space="0" w:color="auto"/>
        <w:left w:val="none" w:sz="0" w:space="0" w:color="auto"/>
        <w:bottom w:val="none" w:sz="0" w:space="0" w:color="auto"/>
        <w:right w:val="none" w:sz="0" w:space="0" w:color="auto"/>
      </w:divBdr>
    </w:div>
    <w:div w:id="1418866430">
      <w:bodyDiv w:val="1"/>
      <w:marLeft w:val="0"/>
      <w:marRight w:val="0"/>
      <w:marTop w:val="0"/>
      <w:marBottom w:val="0"/>
      <w:divBdr>
        <w:top w:val="none" w:sz="0" w:space="0" w:color="auto"/>
        <w:left w:val="none" w:sz="0" w:space="0" w:color="auto"/>
        <w:bottom w:val="none" w:sz="0" w:space="0" w:color="auto"/>
        <w:right w:val="none" w:sz="0" w:space="0" w:color="auto"/>
      </w:divBdr>
    </w:div>
    <w:div w:id="1423070116">
      <w:bodyDiv w:val="1"/>
      <w:marLeft w:val="0"/>
      <w:marRight w:val="0"/>
      <w:marTop w:val="0"/>
      <w:marBottom w:val="0"/>
      <w:divBdr>
        <w:top w:val="none" w:sz="0" w:space="0" w:color="auto"/>
        <w:left w:val="none" w:sz="0" w:space="0" w:color="auto"/>
        <w:bottom w:val="none" w:sz="0" w:space="0" w:color="auto"/>
        <w:right w:val="none" w:sz="0" w:space="0" w:color="auto"/>
      </w:divBdr>
    </w:div>
    <w:div w:id="1423723631">
      <w:bodyDiv w:val="1"/>
      <w:marLeft w:val="0"/>
      <w:marRight w:val="0"/>
      <w:marTop w:val="0"/>
      <w:marBottom w:val="0"/>
      <w:divBdr>
        <w:top w:val="none" w:sz="0" w:space="0" w:color="auto"/>
        <w:left w:val="none" w:sz="0" w:space="0" w:color="auto"/>
        <w:bottom w:val="none" w:sz="0" w:space="0" w:color="auto"/>
        <w:right w:val="none" w:sz="0" w:space="0" w:color="auto"/>
      </w:divBdr>
    </w:div>
    <w:div w:id="1437482888">
      <w:bodyDiv w:val="1"/>
      <w:marLeft w:val="0"/>
      <w:marRight w:val="0"/>
      <w:marTop w:val="0"/>
      <w:marBottom w:val="0"/>
      <w:divBdr>
        <w:top w:val="none" w:sz="0" w:space="0" w:color="auto"/>
        <w:left w:val="none" w:sz="0" w:space="0" w:color="auto"/>
        <w:bottom w:val="none" w:sz="0" w:space="0" w:color="auto"/>
        <w:right w:val="none" w:sz="0" w:space="0" w:color="auto"/>
      </w:divBdr>
    </w:div>
    <w:div w:id="1441610889">
      <w:bodyDiv w:val="1"/>
      <w:marLeft w:val="0"/>
      <w:marRight w:val="0"/>
      <w:marTop w:val="0"/>
      <w:marBottom w:val="0"/>
      <w:divBdr>
        <w:top w:val="none" w:sz="0" w:space="0" w:color="auto"/>
        <w:left w:val="none" w:sz="0" w:space="0" w:color="auto"/>
        <w:bottom w:val="none" w:sz="0" w:space="0" w:color="auto"/>
        <w:right w:val="none" w:sz="0" w:space="0" w:color="auto"/>
      </w:divBdr>
    </w:div>
    <w:div w:id="1441757546">
      <w:bodyDiv w:val="1"/>
      <w:marLeft w:val="0"/>
      <w:marRight w:val="0"/>
      <w:marTop w:val="0"/>
      <w:marBottom w:val="0"/>
      <w:divBdr>
        <w:top w:val="none" w:sz="0" w:space="0" w:color="auto"/>
        <w:left w:val="none" w:sz="0" w:space="0" w:color="auto"/>
        <w:bottom w:val="none" w:sz="0" w:space="0" w:color="auto"/>
        <w:right w:val="none" w:sz="0" w:space="0" w:color="auto"/>
      </w:divBdr>
    </w:div>
    <w:div w:id="1455521516">
      <w:bodyDiv w:val="1"/>
      <w:marLeft w:val="0"/>
      <w:marRight w:val="0"/>
      <w:marTop w:val="0"/>
      <w:marBottom w:val="0"/>
      <w:divBdr>
        <w:top w:val="none" w:sz="0" w:space="0" w:color="auto"/>
        <w:left w:val="none" w:sz="0" w:space="0" w:color="auto"/>
        <w:bottom w:val="none" w:sz="0" w:space="0" w:color="auto"/>
        <w:right w:val="none" w:sz="0" w:space="0" w:color="auto"/>
      </w:divBdr>
    </w:div>
    <w:div w:id="1455830694">
      <w:bodyDiv w:val="1"/>
      <w:marLeft w:val="0"/>
      <w:marRight w:val="0"/>
      <w:marTop w:val="0"/>
      <w:marBottom w:val="0"/>
      <w:divBdr>
        <w:top w:val="none" w:sz="0" w:space="0" w:color="auto"/>
        <w:left w:val="none" w:sz="0" w:space="0" w:color="auto"/>
        <w:bottom w:val="none" w:sz="0" w:space="0" w:color="auto"/>
        <w:right w:val="none" w:sz="0" w:space="0" w:color="auto"/>
      </w:divBdr>
    </w:div>
    <w:div w:id="1457455150">
      <w:bodyDiv w:val="1"/>
      <w:marLeft w:val="0"/>
      <w:marRight w:val="0"/>
      <w:marTop w:val="0"/>
      <w:marBottom w:val="0"/>
      <w:divBdr>
        <w:top w:val="none" w:sz="0" w:space="0" w:color="auto"/>
        <w:left w:val="none" w:sz="0" w:space="0" w:color="auto"/>
        <w:bottom w:val="none" w:sz="0" w:space="0" w:color="auto"/>
        <w:right w:val="none" w:sz="0" w:space="0" w:color="auto"/>
      </w:divBdr>
    </w:div>
    <w:div w:id="1459448146">
      <w:bodyDiv w:val="1"/>
      <w:marLeft w:val="0"/>
      <w:marRight w:val="0"/>
      <w:marTop w:val="0"/>
      <w:marBottom w:val="0"/>
      <w:divBdr>
        <w:top w:val="none" w:sz="0" w:space="0" w:color="auto"/>
        <w:left w:val="none" w:sz="0" w:space="0" w:color="auto"/>
        <w:bottom w:val="none" w:sz="0" w:space="0" w:color="auto"/>
        <w:right w:val="none" w:sz="0" w:space="0" w:color="auto"/>
      </w:divBdr>
    </w:div>
    <w:div w:id="1461191169">
      <w:bodyDiv w:val="1"/>
      <w:marLeft w:val="0"/>
      <w:marRight w:val="0"/>
      <w:marTop w:val="0"/>
      <w:marBottom w:val="0"/>
      <w:divBdr>
        <w:top w:val="none" w:sz="0" w:space="0" w:color="auto"/>
        <w:left w:val="none" w:sz="0" w:space="0" w:color="auto"/>
        <w:bottom w:val="none" w:sz="0" w:space="0" w:color="auto"/>
        <w:right w:val="none" w:sz="0" w:space="0" w:color="auto"/>
      </w:divBdr>
    </w:div>
    <w:div w:id="1463957155">
      <w:bodyDiv w:val="1"/>
      <w:marLeft w:val="0"/>
      <w:marRight w:val="0"/>
      <w:marTop w:val="0"/>
      <w:marBottom w:val="0"/>
      <w:divBdr>
        <w:top w:val="none" w:sz="0" w:space="0" w:color="auto"/>
        <w:left w:val="none" w:sz="0" w:space="0" w:color="auto"/>
        <w:bottom w:val="none" w:sz="0" w:space="0" w:color="auto"/>
        <w:right w:val="none" w:sz="0" w:space="0" w:color="auto"/>
      </w:divBdr>
    </w:div>
    <w:div w:id="1466048640">
      <w:bodyDiv w:val="1"/>
      <w:marLeft w:val="0"/>
      <w:marRight w:val="0"/>
      <w:marTop w:val="0"/>
      <w:marBottom w:val="0"/>
      <w:divBdr>
        <w:top w:val="none" w:sz="0" w:space="0" w:color="auto"/>
        <w:left w:val="none" w:sz="0" w:space="0" w:color="auto"/>
        <w:bottom w:val="none" w:sz="0" w:space="0" w:color="auto"/>
        <w:right w:val="none" w:sz="0" w:space="0" w:color="auto"/>
      </w:divBdr>
    </w:div>
    <w:div w:id="1467773107">
      <w:bodyDiv w:val="1"/>
      <w:marLeft w:val="0"/>
      <w:marRight w:val="0"/>
      <w:marTop w:val="0"/>
      <w:marBottom w:val="0"/>
      <w:divBdr>
        <w:top w:val="none" w:sz="0" w:space="0" w:color="auto"/>
        <w:left w:val="none" w:sz="0" w:space="0" w:color="auto"/>
        <w:bottom w:val="none" w:sz="0" w:space="0" w:color="auto"/>
        <w:right w:val="none" w:sz="0" w:space="0" w:color="auto"/>
      </w:divBdr>
    </w:div>
    <w:div w:id="1469976329">
      <w:bodyDiv w:val="1"/>
      <w:marLeft w:val="0"/>
      <w:marRight w:val="0"/>
      <w:marTop w:val="0"/>
      <w:marBottom w:val="0"/>
      <w:divBdr>
        <w:top w:val="none" w:sz="0" w:space="0" w:color="auto"/>
        <w:left w:val="none" w:sz="0" w:space="0" w:color="auto"/>
        <w:bottom w:val="none" w:sz="0" w:space="0" w:color="auto"/>
        <w:right w:val="none" w:sz="0" w:space="0" w:color="auto"/>
      </w:divBdr>
    </w:div>
    <w:div w:id="1478649147">
      <w:bodyDiv w:val="1"/>
      <w:marLeft w:val="0"/>
      <w:marRight w:val="0"/>
      <w:marTop w:val="0"/>
      <w:marBottom w:val="0"/>
      <w:divBdr>
        <w:top w:val="none" w:sz="0" w:space="0" w:color="auto"/>
        <w:left w:val="none" w:sz="0" w:space="0" w:color="auto"/>
        <w:bottom w:val="none" w:sz="0" w:space="0" w:color="auto"/>
        <w:right w:val="none" w:sz="0" w:space="0" w:color="auto"/>
      </w:divBdr>
    </w:div>
    <w:div w:id="1480418220">
      <w:bodyDiv w:val="1"/>
      <w:marLeft w:val="0"/>
      <w:marRight w:val="0"/>
      <w:marTop w:val="0"/>
      <w:marBottom w:val="0"/>
      <w:divBdr>
        <w:top w:val="none" w:sz="0" w:space="0" w:color="auto"/>
        <w:left w:val="none" w:sz="0" w:space="0" w:color="auto"/>
        <w:bottom w:val="none" w:sz="0" w:space="0" w:color="auto"/>
        <w:right w:val="none" w:sz="0" w:space="0" w:color="auto"/>
      </w:divBdr>
    </w:div>
    <w:div w:id="1482499689">
      <w:bodyDiv w:val="1"/>
      <w:marLeft w:val="0"/>
      <w:marRight w:val="0"/>
      <w:marTop w:val="0"/>
      <w:marBottom w:val="0"/>
      <w:divBdr>
        <w:top w:val="none" w:sz="0" w:space="0" w:color="auto"/>
        <w:left w:val="none" w:sz="0" w:space="0" w:color="auto"/>
        <w:bottom w:val="none" w:sz="0" w:space="0" w:color="auto"/>
        <w:right w:val="none" w:sz="0" w:space="0" w:color="auto"/>
      </w:divBdr>
    </w:div>
    <w:div w:id="1482575502">
      <w:bodyDiv w:val="1"/>
      <w:marLeft w:val="0"/>
      <w:marRight w:val="0"/>
      <w:marTop w:val="0"/>
      <w:marBottom w:val="0"/>
      <w:divBdr>
        <w:top w:val="none" w:sz="0" w:space="0" w:color="auto"/>
        <w:left w:val="none" w:sz="0" w:space="0" w:color="auto"/>
        <w:bottom w:val="none" w:sz="0" w:space="0" w:color="auto"/>
        <w:right w:val="none" w:sz="0" w:space="0" w:color="auto"/>
      </w:divBdr>
    </w:div>
    <w:div w:id="1485900224">
      <w:bodyDiv w:val="1"/>
      <w:marLeft w:val="0"/>
      <w:marRight w:val="0"/>
      <w:marTop w:val="0"/>
      <w:marBottom w:val="0"/>
      <w:divBdr>
        <w:top w:val="none" w:sz="0" w:space="0" w:color="auto"/>
        <w:left w:val="none" w:sz="0" w:space="0" w:color="auto"/>
        <w:bottom w:val="none" w:sz="0" w:space="0" w:color="auto"/>
        <w:right w:val="none" w:sz="0" w:space="0" w:color="auto"/>
      </w:divBdr>
    </w:div>
    <w:div w:id="1496073479">
      <w:bodyDiv w:val="1"/>
      <w:marLeft w:val="0"/>
      <w:marRight w:val="0"/>
      <w:marTop w:val="0"/>
      <w:marBottom w:val="0"/>
      <w:divBdr>
        <w:top w:val="none" w:sz="0" w:space="0" w:color="auto"/>
        <w:left w:val="none" w:sz="0" w:space="0" w:color="auto"/>
        <w:bottom w:val="none" w:sz="0" w:space="0" w:color="auto"/>
        <w:right w:val="none" w:sz="0" w:space="0" w:color="auto"/>
      </w:divBdr>
    </w:div>
    <w:div w:id="1496914807">
      <w:bodyDiv w:val="1"/>
      <w:marLeft w:val="0"/>
      <w:marRight w:val="0"/>
      <w:marTop w:val="0"/>
      <w:marBottom w:val="0"/>
      <w:divBdr>
        <w:top w:val="none" w:sz="0" w:space="0" w:color="auto"/>
        <w:left w:val="none" w:sz="0" w:space="0" w:color="auto"/>
        <w:bottom w:val="none" w:sz="0" w:space="0" w:color="auto"/>
        <w:right w:val="none" w:sz="0" w:space="0" w:color="auto"/>
      </w:divBdr>
    </w:div>
    <w:div w:id="1497988870">
      <w:bodyDiv w:val="1"/>
      <w:marLeft w:val="0"/>
      <w:marRight w:val="0"/>
      <w:marTop w:val="0"/>
      <w:marBottom w:val="0"/>
      <w:divBdr>
        <w:top w:val="none" w:sz="0" w:space="0" w:color="auto"/>
        <w:left w:val="none" w:sz="0" w:space="0" w:color="auto"/>
        <w:bottom w:val="none" w:sz="0" w:space="0" w:color="auto"/>
        <w:right w:val="none" w:sz="0" w:space="0" w:color="auto"/>
      </w:divBdr>
    </w:div>
    <w:div w:id="1501893649">
      <w:bodyDiv w:val="1"/>
      <w:marLeft w:val="0"/>
      <w:marRight w:val="0"/>
      <w:marTop w:val="0"/>
      <w:marBottom w:val="0"/>
      <w:divBdr>
        <w:top w:val="none" w:sz="0" w:space="0" w:color="auto"/>
        <w:left w:val="none" w:sz="0" w:space="0" w:color="auto"/>
        <w:bottom w:val="none" w:sz="0" w:space="0" w:color="auto"/>
        <w:right w:val="none" w:sz="0" w:space="0" w:color="auto"/>
      </w:divBdr>
    </w:div>
    <w:div w:id="1506825655">
      <w:bodyDiv w:val="1"/>
      <w:marLeft w:val="0"/>
      <w:marRight w:val="0"/>
      <w:marTop w:val="0"/>
      <w:marBottom w:val="0"/>
      <w:divBdr>
        <w:top w:val="none" w:sz="0" w:space="0" w:color="auto"/>
        <w:left w:val="none" w:sz="0" w:space="0" w:color="auto"/>
        <w:bottom w:val="none" w:sz="0" w:space="0" w:color="auto"/>
        <w:right w:val="none" w:sz="0" w:space="0" w:color="auto"/>
      </w:divBdr>
    </w:div>
    <w:div w:id="1510483904">
      <w:bodyDiv w:val="1"/>
      <w:marLeft w:val="0"/>
      <w:marRight w:val="0"/>
      <w:marTop w:val="0"/>
      <w:marBottom w:val="0"/>
      <w:divBdr>
        <w:top w:val="none" w:sz="0" w:space="0" w:color="auto"/>
        <w:left w:val="none" w:sz="0" w:space="0" w:color="auto"/>
        <w:bottom w:val="none" w:sz="0" w:space="0" w:color="auto"/>
        <w:right w:val="none" w:sz="0" w:space="0" w:color="auto"/>
      </w:divBdr>
    </w:div>
    <w:div w:id="1513957360">
      <w:bodyDiv w:val="1"/>
      <w:marLeft w:val="0"/>
      <w:marRight w:val="0"/>
      <w:marTop w:val="0"/>
      <w:marBottom w:val="0"/>
      <w:divBdr>
        <w:top w:val="none" w:sz="0" w:space="0" w:color="auto"/>
        <w:left w:val="none" w:sz="0" w:space="0" w:color="auto"/>
        <w:bottom w:val="none" w:sz="0" w:space="0" w:color="auto"/>
        <w:right w:val="none" w:sz="0" w:space="0" w:color="auto"/>
      </w:divBdr>
    </w:div>
    <w:div w:id="1515070434">
      <w:bodyDiv w:val="1"/>
      <w:marLeft w:val="0"/>
      <w:marRight w:val="0"/>
      <w:marTop w:val="0"/>
      <w:marBottom w:val="0"/>
      <w:divBdr>
        <w:top w:val="none" w:sz="0" w:space="0" w:color="auto"/>
        <w:left w:val="none" w:sz="0" w:space="0" w:color="auto"/>
        <w:bottom w:val="none" w:sz="0" w:space="0" w:color="auto"/>
        <w:right w:val="none" w:sz="0" w:space="0" w:color="auto"/>
      </w:divBdr>
    </w:div>
    <w:div w:id="1516308353">
      <w:bodyDiv w:val="1"/>
      <w:marLeft w:val="0"/>
      <w:marRight w:val="0"/>
      <w:marTop w:val="0"/>
      <w:marBottom w:val="0"/>
      <w:divBdr>
        <w:top w:val="none" w:sz="0" w:space="0" w:color="auto"/>
        <w:left w:val="none" w:sz="0" w:space="0" w:color="auto"/>
        <w:bottom w:val="none" w:sz="0" w:space="0" w:color="auto"/>
        <w:right w:val="none" w:sz="0" w:space="0" w:color="auto"/>
      </w:divBdr>
    </w:div>
    <w:div w:id="1526403546">
      <w:bodyDiv w:val="1"/>
      <w:marLeft w:val="0"/>
      <w:marRight w:val="0"/>
      <w:marTop w:val="0"/>
      <w:marBottom w:val="0"/>
      <w:divBdr>
        <w:top w:val="none" w:sz="0" w:space="0" w:color="auto"/>
        <w:left w:val="none" w:sz="0" w:space="0" w:color="auto"/>
        <w:bottom w:val="none" w:sz="0" w:space="0" w:color="auto"/>
        <w:right w:val="none" w:sz="0" w:space="0" w:color="auto"/>
      </w:divBdr>
    </w:div>
    <w:div w:id="1529220842">
      <w:bodyDiv w:val="1"/>
      <w:marLeft w:val="0"/>
      <w:marRight w:val="0"/>
      <w:marTop w:val="0"/>
      <w:marBottom w:val="0"/>
      <w:divBdr>
        <w:top w:val="none" w:sz="0" w:space="0" w:color="auto"/>
        <w:left w:val="none" w:sz="0" w:space="0" w:color="auto"/>
        <w:bottom w:val="none" w:sz="0" w:space="0" w:color="auto"/>
        <w:right w:val="none" w:sz="0" w:space="0" w:color="auto"/>
      </w:divBdr>
    </w:div>
    <w:div w:id="1531915303">
      <w:bodyDiv w:val="1"/>
      <w:marLeft w:val="0"/>
      <w:marRight w:val="0"/>
      <w:marTop w:val="0"/>
      <w:marBottom w:val="0"/>
      <w:divBdr>
        <w:top w:val="none" w:sz="0" w:space="0" w:color="auto"/>
        <w:left w:val="none" w:sz="0" w:space="0" w:color="auto"/>
        <w:bottom w:val="none" w:sz="0" w:space="0" w:color="auto"/>
        <w:right w:val="none" w:sz="0" w:space="0" w:color="auto"/>
      </w:divBdr>
    </w:div>
    <w:div w:id="1535343053">
      <w:bodyDiv w:val="1"/>
      <w:marLeft w:val="0"/>
      <w:marRight w:val="0"/>
      <w:marTop w:val="0"/>
      <w:marBottom w:val="0"/>
      <w:divBdr>
        <w:top w:val="none" w:sz="0" w:space="0" w:color="auto"/>
        <w:left w:val="none" w:sz="0" w:space="0" w:color="auto"/>
        <w:bottom w:val="none" w:sz="0" w:space="0" w:color="auto"/>
        <w:right w:val="none" w:sz="0" w:space="0" w:color="auto"/>
      </w:divBdr>
    </w:div>
    <w:div w:id="1536188757">
      <w:bodyDiv w:val="1"/>
      <w:marLeft w:val="0"/>
      <w:marRight w:val="0"/>
      <w:marTop w:val="0"/>
      <w:marBottom w:val="0"/>
      <w:divBdr>
        <w:top w:val="none" w:sz="0" w:space="0" w:color="auto"/>
        <w:left w:val="none" w:sz="0" w:space="0" w:color="auto"/>
        <w:bottom w:val="none" w:sz="0" w:space="0" w:color="auto"/>
        <w:right w:val="none" w:sz="0" w:space="0" w:color="auto"/>
      </w:divBdr>
    </w:div>
    <w:div w:id="1539079711">
      <w:bodyDiv w:val="1"/>
      <w:marLeft w:val="0"/>
      <w:marRight w:val="0"/>
      <w:marTop w:val="0"/>
      <w:marBottom w:val="0"/>
      <w:divBdr>
        <w:top w:val="none" w:sz="0" w:space="0" w:color="auto"/>
        <w:left w:val="none" w:sz="0" w:space="0" w:color="auto"/>
        <w:bottom w:val="none" w:sz="0" w:space="0" w:color="auto"/>
        <w:right w:val="none" w:sz="0" w:space="0" w:color="auto"/>
      </w:divBdr>
    </w:div>
    <w:div w:id="1540629569">
      <w:bodyDiv w:val="1"/>
      <w:marLeft w:val="0"/>
      <w:marRight w:val="0"/>
      <w:marTop w:val="0"/>
      <w:marBottom w:val="0"/>
      <w:divBdr>
        <w:top w:val="none" w:sz="0" w:space="0" w:color="auto"/>
        <w:left w:val="none" w:sz="0" w:space="0" w:color="auto"/>
        <w:bottom w:val="none" w:sz="0" w:space="0" w:color="auto"/>
        <w:right w:val="none" w:sz="0" w:space="0" w:color="auto"/>
      </w:divBdr>
    </w:div>
    <w:div w:id="1543054418">
      <w:bodyDiv w:val="1"/>
      <w:marLeft w:val="0"/>
      <w:marRight w:val="0"/>
      <w:marTop w:val="0"/>
      <w:marBottom w:val="0"/>
      <w:divBdr>
        <w:top w:val="none" w:sz="0" w:space="0" w:color="auto"/>
        <w:left w:val="none" w:sz="0" w:space="0" w:color="auto"/>
        <w:bottom w:val="none" w:sz="0" w:space="0" w:color="auto"/>
        <w:right w:val="none" w:sz="0" w:space="0" w:color="auto"/>
      </w:divBdr>
    </w:div>
    <w:div w:id="1543513286">
      <w:bodyDiv w:val="1"/>
      <w:marLeft w:val="0"/>
      <w:marRight w:val="0"/>
      <w:marTop w:val="0"/>
      <w:marBottom w:val="0"/>
      <w:divBdr>
        <w:top w:val="none" w:sz="0" w:space="0" w:color="auto"/>
        <w:left w:val="none" w:sz="0" w:space="0" w:color="auto"/>
        <w:bottom w:val="none" w:sz="0" w:space="0" w:color="auto"/>
        <w:right w:val="none" w:sz="0" w:space="0" w:color="auto"/>
      </w:divBdr>
    </w:div>
    <w:div w:id="1552695580">
      <w:bodyDiv w:val="1"/>
      <w:marLeft w:val="0"/>
      <w:marRight w:val="0"/>
      <w:marTop w:val="0"/>
      <w:marBottom w:val="0"/>
      <w:divBdr>
        <w:top w:val="none" w:sz="0" w:space="0" w:color="auto"/>
        <w:left w:val="none" w:sz="0" w:space="0" w:color="auto"/>
        <w:bottom w:val="none" w:sz="0" w:space="0" w:color="auto"/>
        <w:right w:val="none" w:sz="0" w:space="0" w:color="auto"/>
      </w:divBdr>
    </w:div>
    <w:div w:id="1554120732">
      <w:bodyDiv w:val="1"/>
      <w:marLeft w:val="0"/>
      <w:marRight w:val="0"/>
      <w:marTop w:val="0"/>
      <w:marBottom w:val="0"/>
      <w:divBdr>
        <w:top w:val="none" w:sz="0" w:space="0" w:color="auto"/>
        <w:left w:val="none" w:sz="0" w:space="0" w:color="auto"/>
        <w:bottom w:val="none" w:sz="0" w:space="0" w:color="auto"/>
        <w:right w:val="none" w:sz="0" w:space="0" w:color="auto"/>
      </w:divBdr>
    </w:div>
    <w:div w:id="1559319436">
      <w:bodyDiv w:val="1"/>
      <w:marLeft w:val="0"/>
      <w:marRight w:val="0"/>
      <w:marTop w:val="0"/>
      <w:marBottom w:val="0"/>
      <w:divBdr>
        <w:top w:val="none" w:sz="0" w:space="0" w:color="auto"/>
        <w:left w:val="none" w:sz="0" w:space="0" w:color="auto"/>
        <w:bottom w:val="none" w:sz="0" w:space="0" w:color="auto"/>
        <w:right w:val="none" w:sz="0" w:space="0" w:color="auto"/>
      </w:divBdr>
    </w:div>
    <w:div w:id="1560241353">
      <w:bodyDiv w:val="1"/>
      <w:marLeft w:val="0"/>
      <w:marRight w:val="0"/>
      <w:marTop w:val="0"/>
      <w:marBottom w:val="0"/>
      <w:divBdr>
        <w:top w:val="none" w:sz="0" w:space="0" w:color="auto"/>
        <w:left w:val="none" w:sz="0" w:space="0" w:color="auto"/>
        <w:bottom w:val="none" w:sz="0" w:space="0" w:color="auto"/>
        <w:right w:val="none" w:sz="0" w:space="0" w:color="auto"/>
      </w:divBdr>
    </w:div>
    <w:div w:id="1562866510">
      <w:bodyDiv w:val="1"/>
      <w:marLeft w:val="0"/>
      <w:marRight w:val="0"/>
      <w:marTop w:val="0"/>
      <w:marBottom w:val="0"/>
      <w:divBdr>
        <w:top w:val="none" w:sz="0" w:space="0" w:color="auto"/>
        <w:left w:val="none" w:sz="0" w:space="0" w:color="auto"/>
        <w:bottom w:val="none" w:sz="0" w:space="0" w:color="auto"/>
        <w:right w:val="none" w:sz="0" w:space="0" w:color="auto"/>
      </w:divBdr>
    </w:div>
    <w:div w:id="1564289689">
      <w:bodyDiv w:val="1"/>
      <w:marLeft w:val="0"/>
      <w:marRight w:val="0"/>
      <w:marTop w:val="0"/>
      <w:marBottom w:val="0"/>
      <w:divBdr>
        <w:top w:val="none" w:sz="0" w:space="0" w:color="auto"/>
        <w:left w:val="none" w:sz="0" w:space="0" w:color="auto"/>
        <w:bottom w:val="none" w:sz="0" w:space="0" w:color="auto"/>
        <w:right w:val="none" w:sz="0" w:space="0" w:color="auto"/>
      </w:divBdr>
    </w:div>
    <w:div w:id="1565332879">
      <w:bodyDiv w:val="1"/>
      <w:marLeft w:val="0"/>
      <w:marRight w:val="0"/>
      <w:marTop w:val="0"/>
      <w:marBottom w:val="0"/>
      <w:divBdr>
        <w:top w:val="none" w:sz="0" w:space="0" w:color="auto"/>
        <w:left w:val="none" w:sz="0" w:space="0" w:color="auto"/>
        <w:bottom w:val="none" w:sz="0" w:space="0" w:color="auto"/>
        <w:right w:val="none" w:sz="0" w:space="0" w:color="auto"/>
      </w:divBdr>
    </w:div>
    <w:div w:id="1567446993">
      <w:bodyDiv w:val="1"/>
      <w:marLeft w:val="0"/>
      <w:marRight w:val="0"/>
      <w:marTop w:val="0"/>
      <w:marBottom w:val="0"/>
      <w:divBdr>
        <w:top w:val="none" w:sz="0" w:space="0" w:color="auto"/>
        <w:left w:val="none" w:sz="0" w:space="0" w:color="auto"/>
        <w:bottom w:val="none" w:sz="0" w:space="0" w:color="auto"/>
        <w:right w:val="none" w:sz="0" w:space="0" w:color="auto"/>
      </w:divBdr>
    </w:div>
    <w:div w:id="1575817837">
      <w:bodyDiv w:val="1"/>
      <w:marLeft w:val="0"/>
      <w:marRight w:val="0"/>
      <w:marTop w:val="0"/>
      <w:marBottom w:val="0"/>
      <w:divBdr>
        <w:top w:val="none" w:sz="0" w:space="0" w:color="auto"/>
        <w:left w:val="none" w:sz="0" w:space="0" w:color="auto"/>
        <w:bottom w:val="none" w:sz="0" w:space="0" w:color="auto"/>
        <w:right w:val="none" w:sz="0" w:space="0" w:color="auto"/>
      </w:divBdr>
    </w:div>
    <w:div w:id="1582713933">
      <w:bodyDiv w:val="1"/>
      <w:marLeft w:val="0"/>
      <w:marRight w:val="0"/>
      <w:marTop w:val="0"/>
      <w:marBottom w:val="0"/>
      <w:divBdr>
        <w:top w:val="none" w:sz="0" w:space="0" w:color="auto"/>
        <w:left w:val="none" w:sz="0" w:space="0" w:color="auto"/>
        <w:bottom w:val="none" w:sz="0" w:space="0" w:color="auto"/>
        <w:right w:val="none" w:sz="0" w:space="0" w:color="auto"/>
      </w:divBdr>
    </w:div>
    <w:div w:id="1583105608">
      <w:bodyDiv w:val="1"/>
      <w:marLeft w:val="0"/>
      <w:marRight w:val="0"/>
      <w:marTop w:val="0"/>
      <w:marBottom w:val="0"/>
      <w:divBdr>
        <w:top w:val="none" w:sz="0" w:space="0" w:color="auto"/>
        <w:left w:val="none" w:sz="0" w:space="0" w:color="auto"/>
        <w:bottom w:val="none" w:sz="0" w:space="0" w:color="auto"/>
        <w:right w:val="none" w:sz="0" w:space="0" w:color="auto"/>
      </w:divBdr>
    </w:div>
    <w:div w:id="1584140432">
      <w:bodyDiv w:val="1"/>
      <w:marLeft w:val="0"/>
      <w:marRight w:val="0"/>
      <w:marTop w:val="0"/>
      <w:marBottom w:val="0"/>
      <w:divBdr>
        <w:top w:val="none" w:sz="0" w:space="0" w:color="auto"/>
        <w:left w:val="none" w:sz="0" w:space="0" w:color="auto"/>
        <w:bottom w:val="none" w:sz="0" w:space="0" w:color="auto"/>
        <w:right w:val="none" w:sz="0" w:space="0" w:color="auto"/>
      </w:divBdr>
    </w:div>
    <w:div w:id="1588881601">
      <w:bodyDiv w:val="1"/>
      <w:marLeft w:val="0"/>
      <w:marRight w:val="0"/>
      <w:marTop w:val="0"/>
      <w:marBottom w:val="0"/>
      <w:divBdr>
        <w:top w:val="none" w:sz="0" w:space="0" w:color="auto"/>
        <w:left w:val="none" w:sz="0" w:space="0" w:color="auto"/>
        <w:bottom w:val="none" w:sz="0" w:space="0" w:color="auto"/>
        <w:right w:val="none" w:sz="0" w:space="0" w:color="auto"/>
      </w:divBdr>
    </w:div>
    <w:div w:id="1595088716">
      <w:bodyDiv w:val="1"/>
      <w:marLeft w:val="0"/>
      <w:marRight w:val="0"/>
      <w:marTop w:val="0"/>
      <w:marBottom w:val="0"/>
      <w:divBdr>
        <w:top w:val="none" w:sz="0" w:space="0" w:color="auto"/>
        <w:left w:val="none" w:sz="0" w:space="0" w:color="auto"/>
        <w:bottom w:val="none" w:sz="0" w:space="0" w:color="auto"/>
        <w:right w:val="none" w:sz="0" w:space="0" w:color="auto"/>
      </w:divBdr>
    </w:div>
    <w:div w:id="1595244318">
      <w:bodyDiv w:val="1"/>
      <w:marLeft w:val="0"/>
      <w:marRight w:val="0"/>
      <w:marTop w:val="0"/>
      <w:marBottom w:val="0"/>
      <w:divBdr>
        <w:top w:val="none" w:sz="0" w:space="0" w:color="auto"/>
        <w:left w:val="none" w:sz="0" w:space="0" w:color="auto"/>
        <w:bottom w:val="none" w:sz="0" w:space="0" w:color="auto"/>
        <w:right w:val="none" w:sz="0" w:space="0" w:color="auto"/>
      </w:divBdr>
    </w:div>
    <w:div w:id="1596136266">
      <w:bodyDiv w:val="1"/>
      <w:marLeft w:val="0"/>
      <w:marRight w:val="0"/>
      <w:marTop w:val="0"/>
      <w:marBottom w:val="0"/>
      <w:divBdr>
        <w:top w:val="none" w:sz="0" w:space="0" w:color="auto"/>
        <w:left w:val="none" w:sz="0" w:space="0" w:color="auto"/>
        <w:bottom w:val="none" w:sz="0" w:space="0" w:color="auto"/>
        <w:right w:val="none" w:sz="0" w:space="0" w:color="auto"/>
      </w:divBdr>
    </w:div>
    <w:div w:id="1598563918">
      <w:bodyDiv w:val="1"/>
      <w:marLeft w:val="0"/>
      <w:marRight w:val="0"/>
      <w:marTop w:val="0"/>
      <w:marBottom w:val="0"/>
      <w:divBdr>
        <w:top w:val="none" w:sz="0" w:space="0" w:color="auto"/>
        <w:left w:val="none" w:sz="0" w:space="0" w:color="auto"/>
        <w:bottom w:val="none" w:sz="0" w:space="0" w:color="auto"/>
        <w:right w:val="none" w:sz="0" w:space="0" w:color="auto"/>
      </w:divBdr>
    </w:div>
    <w:div w:id="1599829192">
      <w:bodyDiv w:val="1"/>
      <w:marLeft w:val="0"/>
      <w:marRight w:val="0"/>
      <w:marTop w:val="0"/>
      <w:marBottom w:val="0"/>
      <w:divBdr>
        <w:top w:val="none" w:sz="0" w:space="0" w:color="auto"/>
        <w:left w:val="none" w:sz="0" w:space="0" w:color="auto"/>
        <w:bottom w:val="none" w:sz="0" w:space="0" w:color="auto"/>
        <w:right w:val="none" w:sz="0" w:space="0" w:color="auto"/>
      </w:divBdr>
    </w:div>
    <w:div w:id="1601449101">
      <w:bodyDiv w:val="1"/>
      <w:marLeft w:val="0"/>
      <w:marRight w:val="0"/>
      <w:marTop w:val="0"/>
      <w:marBottom w:val="0"/>
      <w:divBdr>
        <w:top w:val="none" w:sz="0" w:space="0" w:color="auto"/>
        <w:left w:val="none" w:sz="0" w:space="0" w:color="auto"/>
        <w:bottom w:val="none" w:sz="0" w:space="0" w:color="auto"/>
        <w:right w:val="none" w:sz="0" w:space="0" w:color="auto"/>
      </w:divBdr>
    </w:div>
    <w:div w:id="1602640831">
      <w:bodyDiv w:val="1"/>
      <w:marLeft w:val="0"/>
      <w:marRight w:val="0"/>
      <w:marTop w:val="0"/>
      <w:marBottom w:val="0"/>
      <w:divBdr>
        <w:top w:val="none" w:sz="0" w:space="0" w:color="auto"/>
        <w:left w:val="none" w:sz="0" w:space="0" w:color="auto"/>
        <w:bottom w:val="none" w:sz="0" w:space="0" w:color="auto"/>
        <w:right w:val="none" w:sz="0" w:space="0" w:color="auto"/>
      </w:divBdr>
    </w:div>
    <w:div w:id="1605307645">
      <w:bodyDiv w:val="1"/>
      <w:marLeft w:val="0"/>
      <w:marRight w:val="0"/>
      <w:marTop w:val="0"/>
      <w:marBottom w:val="0"/>
      <w:divBdr>
        <w:top w:val="none" w:sz="0" w:space="0" w:color="auto"/>
        <w:left w:val="none" w:sz="0" w:space="0" w:color="auto"/>
        <w:bottom w:val="none" w:sz="0" w:space="0" w:color="auto"/>
        <w:right w:val="none" w:sz="0" w:space="0" w:color="auto"/>
      </w:divBdr>
    </w:div>
    <w:div w:id="1610240419">
      <w:bodyDiv w:val="1"/>
      <w:marLeft w:val="0"/>
      <w:marRight w:val="0"/>
      <w:marTop w:val="0"/>
      <w:marBottom w:val="0"/>
      <w:divBdr>
        <w:top w:val="none" w:sz="0" w:space="0" w:color="auto"/>
        <w:left w:val="none" w:sz="0" w:space="0" w:color="auto"/>
        <w:bottom w:val="none" w:sz="0" w:space="0" w:color="auto"/>
        <w:right w:val="none" w:sz="0" w:space="0" w:color="auto"/>
      </w:divBdr>
    </w:div>
    <w:div w:id="1617055697">
      <w:bodyDiv w:val="1"/>
      <w:marLeft w:val="0"/>
      <w:marRight w:val="0"/>
      <w:marTop w:val="0"/>
      <w:marBottom w:val="0"/>
      <w:divBdr>
        <w:top w:val="none" w:sz="0" w:space="0" w:color="auto"/>
        <w:left w:val="none" w:sz="0" w:space="0" w:color="auto"/>
        <w:bottom w:val="none" w:sz="0" w:space="0" w:color="auto"/>
        <w:right w:val="none" w:sz="0" w:space="0" w:color="auto"/>
      </w:divBdr>
    </w:div>
    <w:div w:id="1618634900">
      <w:bodyDiv w:val="1"/>
      <w:marLeft w:val="0"/>
      <w:marRight w:val="0"/>
      <w:marTop w:val="0"/>
      <w:marBottom w:val="0"/>
      <w:divBdr>
        <w:top w:val="none" w:sz="0" w:space="0" w:color="auto"/>
        <w:left w:val="none" w:sz="0" w:space="0" w:color="auto"/>
        <w:bottom w:val="none" w:sz="0" w:space="0" w:color="auto"/>
        <w:right w:val="none" w:sz="0" w:space="0" w:color="auto"/>
      </w:divBdr>
    </w:div>
    <w:div w:id="1623800901">
      <w:bodyDiv w:val="1"/>
      <w:marLeft w:val="0"/>
      <w:marRight w:val="0"/>
      <w:marTop w:val="0"/>
      <w:marBottom w:val="0"/>
      <w:divBdr>
        <w:top w:val="none" w:sz="0" w:space="0" w:color="auto"/>
        <w:left w:val="none" w:sz="0" w:space="0" w:color="auto"/>
        <w:bottom w:val="none" w:sz="0" w:space="0" w:color="auto"/>
        <w:right w:val="none" w:sz="0" w:space="0" w:color="auto"/>
      </w:divBdr>
    </w:div>
    <w:div w:id="1635137794">
      <w:bodyDiv w:val="1"/>
      <w:marLeft w:val="0"/>
      <w:marRight w:val="0"/>
      <w:marTop w:val="0"/>
      <w:marBottom w:val="0"/>
      <w:divBdr>
        <w:top w:val="none" w:sz="0" w:space="0" w:color="auto"/>
        <w:left w:val="none" w:sz="0" w:space="0" w:color="auto"/>
        <w:bottom w:val="none" w:sz="0" w:space="0" w:color="auto"/>
        <w:right w:val="none" w:sz="0" w:space="0" w:color="auto"/>
      </w:divBdr>
    </w:div>
    <w:div w:id="1640302976">
      <w:bodyDiv w:val="1"/>
      <w:marLeft w:val="0"/>
      <w:marRight w:val="0"/>
      <w:marTop w:val="0"/>
      <w:marBottom w:val="0"/>
      <w:divBdr>
        <w:top w:val="none" w:sz="0" w:space="0" w:color="auto"/>
        <w:left w:val="none" w:sz="0" w:space="0" w:color="auto"/>
        <w:bottom w:val="none" w:sz="0" w:space="0" w:color="auto"/>
        <w:right w:val="none" w:sz="0" w:space="0" w:color="auto"/>
      </w:divBdr>
    </w:div>
    <w:div w:id="1643802104">
      <w:bodyDiv w:val="1"/>
      <w:marLeft w:val="0"/>
      <w:marRight w:val="0"/>
      <w:marTop w:val="0"/>
      <w:marBottom w:val="0"/>
      <w:divBdr>
        <w:top w:val="none" w:sz="0" w:space="0" w:color="auto"/>
        <w:left w:val="none" w:sz="0" w:space="0" w:color="auto"/>
        <w:bottom w:val="none" w:sz="0" w:space="0" w:color="auto"/>
        <w:right w:val="none" w:sz="0" w:space="0" w:color="auto"/>
      </w:divBdr>
    </w:div>
    <w:div w:id="1655798537">
      <w:bodyDiv w:val="1"/>
      <w:marLeft w:val="0"/>
      <w:marRight w:val="0"/>
      <w:marTop w:val="0"/>
      <w:marBottom w:val="0"/>
      <w:divBdr>
        <w:top w:val="none" w:sz="0" w:space="0" w:color="auto"/>
        <w:left w:val="none" w:sz="0" w:space="0" w:color="auto"/>
        <w:bottom w:val="none" w:sz="0" w:space="0" w:color="auto"/>
        <w:right w:val="none" w:sz="0" w:space="0" w:color="auto"/>
      </w:divBdr>
    </w:div>
    <w:div w:id="1657755987">
      <w:bodyDiv w:val="1"/>
      <w:marLeft w:val="0"/>
      <w:marRight w:val="0"/>
      <w:marTop w:val="0"/>
      <w:marBottom w:val="0"/>
      <w:divBdr>
        <w:top w:val="none" w:sz="0" w:space="0" w:color="auto"/>
        <w:left w:val="none" w:sz="0" w:space="0" w:color="auto"/>
        <w:bottom w:val="none" w:sz="0" w:space="0" w:color="auto"/>
        <w:right w:val="none" w:sz="0" w:space="0" w:color="auto"/>
      </w:divBdr>
    </w:div>
    <w:div w:id="1657803478">
      <w:bodyDiv w:val="1"/>
      <w:marLeft w:val="0"/>
      <w:marRight w:val="0"/>
      <w:marTop w:val="0"/>
      <w:marBottom w:val="0"/>
      <w:divBdr>
        <w:top w:val="none" w:sz="0" w:space="0" w:color="auto"/>
        <w:left w:val="none" w:sz="0" w:space="0" w:color="auto"/>
        <w:bottom w:val="none" w:sz="0" w:space="0" w:color="auto"/>
        <w:right w:val="none" w:sz="0" w:space="0" w:color="auto"/>
      </w:divBdr>
    </w:div>
    <w:div w:id="1658995521">
      <w:bodyDiv w:val="1"/>
      <w:marLeft w:val="0"/>
      <w:marRight w:val="0"/>
      <w:marTop w:val="0"/>
      <w:marBottom w:val="0"/>
      <w:divBdr>
        <w:top w:val="none" w:sz="0" w:space="0" w:color="auto"/>
        <w:left w:val="none" w:sz="0" w:space="0" w:color="auto"/>
        <w:bottom w:val="none" w:sz="0" w:space="0" w:color="auto"/>
        <w:right w:val="none" w:sz="0" w:space="0" w:color="auto"/>
      </w:divBdr>
    </w:div>
    <w:div w:id="1659535357">
      <w:bodyDiv w:val="1"/>
      <w:marLeft w:val="0"/>
      <w:marRight w:val="0"/>
      <w:marTop w:val="0"/>
      <w:marBottom w:val="0"/>
      <w:divBdr>
        <w:top w:val="none" w:sz="0" w:space="0" w:color="auto"/>
        <w:left w:val="none" w:sz="0" w:space="0" w:color="auto"/>
        <w:bottom w:val="none" w:sz="0" w:space="0" w:color="auto"/>
        <w:right w:val="none" w:sz="0" w:space="0" w:color="auto"/>
      </w:divBdr>
    </w:div>
    <w:div w:id="1662193592">
      <w:bodyDiv w:val="1"/>
      <w:marLeft w:val="0"/>
      <w:marRight w:val="0"/>
      <w:marTop w:val="0"/>
      <w:marBottom w:val="0"/>
      <w:divBdr>
        <w:top w:val="none" w:sz="0" w:space="0" w:color="auto"/>
        <w:left w:val="none" w:sz="0" w:space="0" w:color="auto"/>
        <w:bottom w:val="none" w:sz="0" w:space="0" w:color="auto"/>
        <w:right w:val="none" w:sz="0" w:space="0" w:color="auto"/>
      </w:divBdr>
    </w:div>
    <w:div w:id="1663697549">
      <w:bodyDiv w:val="1"/>
      <w:marLeft w:val="0"/>
      <w:marRight w:val="0"/>
      <w:marTop w:val="0"/>
      <w:marBottom w:val="0"/>
      <w:divBdr>
        <w:top w:val="none" w:sz="0" w:space="0" w:color="auto"/>
        <w:left w:val="none" w:sz="0" w:space="0" w:color="auto"/>
        <w:bottom w:val="none" w:sz="0" w:space="0" w:color="auto"/>
        <w:right w:val="none" w:sz="0" w:space="0" w:color="auto"/>
      </w:divBdr>
    </w:div>
    <w:div w:id="1664317338">
      <w:bodyDiv w:val="1"/>
      <w:marLeft w:val="0"/>
      <w:marRight w:val="0"/>
      <w:marTop w:val="0"/>
      <w:marBottom w:val="0"/>
      <w:divBdr>
        <w:top w:val="none" w:sz="0" w:space="0" w:color="auto"/>
        <w:left w:val="none" w:sz="0" w:space="0" w:color="auto"/>
        <w:bottom w:val="none" w:sz="0" w:space="0" w:color="auto"/>
        <w:right w:val="none" w:sz="0" w:space="0" w:color="auto"/>
      </w:divBdr>
    </w:div>
    <w:div w:id="1669167507">
      <w:bodyDiv w:val="1"/>
      <w:marLeft w:val="0"/>
      <w:marRight w:val="0"/>
      <w:marTop w:val="0"/>
      <w:marBottom w:val="0"/>
      <w:divBdr>
        <w:top w:val="none" w:sz="0" w:space="0" w:color="auto"/>
        <w:left w:val="none" w:sz="0" w:space="0" w:color="auto"/>
        <w:bottom w:val="none" w:sz="0" w:space="0" w:color="auto"/>
        <w:right w:val="none" w:sz="0" w:space="0" w:color="auto"/>
      </w:divBdr>
    </w:div>
    <w:div w:id="1674410624">
      <w:bodyDiv w:val="1"/>
      <w:marLeft w:val="0"/>
      <w:marRight w:val="0"/>
      <w:marTop w:val="0"/>
      <w:marBottom w:val="0"/>
      <w:divBdr>
        <w:top w:val="none" w:sz="0" w:space="0" w:color="auto"/>
        <w:left w:val="none" w:sz="0" w:space="0" w:color="auto"/>
        <w:bottom w:val="none" w:sz="0" w:space="0" w:color="auto"/>
        <w:right w:val="none" w:sz="0" w:space="0" w:color="auto"/>
      </w:divBdr>
    </w:div>
    <w:div w:id="1678073467">
      <w:bodyDiv w:val="1"/>
      <w:marLeft w:val="0"/>
      <w:marRight w:val="0"/>
      <w:marTop w:val="0"/>
      <w:marBottom w:val="0"/>
      <w:divBdr>
        <w:top w:val="none" w:sz="0" w:space="0" w:color="auto"/>
        <w:left w:val="none" w:sz="0" w:space="0" w:color="auto"/>
        <w:bottom w:val="none" w:sz="0" w:space="0" w:color="auto"/>
        <w:right w:val="none" w:sz="0" w:space="0" w:color="auto"/>
      </w:divBdr>
    </w:div>
    <w:div w:id="1680506124">
      <w:bodyDiv w:val="1"/>
      <w:marLeft w:val="0"/>
      <w:marRight w:val="0"/>
      <w:marTop w:val="0"/>
      <w:marBottom w:val="0"/>
      <w:divBdr>
        <w:top w:val="none" w:sz="0" w:space="0" w:color="auto"/>
        <w:left w:val="none" w:sz="0" w:space="0" w:color="auto"/>
        <w:bottom w:val="none" w:sz="0" w:space="0" w:color="auto"/>
        <w:right w:val="none" w:sz="0" w:space="0" w:color="auto"/>
      </w:divBdr>
    </w:div>
    <w:div w:id="1680892396">
      <w:bodyDiv w:val="1"/>
      <w:marLeft w:val="0"/>
      <w:marRight w:val="0"/>
      <w:marTop w:val="0"/>
      <w:marBottom w:val="0"/>
      <w:divBdr>
        <w:top w:val="none" w:sz="0" w:space="0" w:color="auto"/>
        <w:left w:val="none" w:sz="0" w:space="0" w:color="auto"/>
        <w:bottom w:val="none" w:sz="0" w:space="0" w:color="auto"/>
        <w:right w:val="none" w:sz="0" w:space="0" w:color="auto"/>
      </w:divBdr>
    </w:div>
    <w:div w:id="1683245017">
      <w:bodyDiv w:val="1"/>
      <w:marLeft w:val="0"/>
      <w:marRight w:val="0"/>
      <w:marTop w:val="0"/>
      <w:marBottom w:val="0"/>
      <w:divBdr>
        <w:top w:val="none" w:sz="0" w:space="0" w:color="auto"/>
        <w:left w:val="none" w:sz="0" w:space="0" w:color="auto"/>
        <w:bottom w:val="none" w:sz="0" w:space="0" w:color="auto"/>
        <w:right w:val="none" w:sz="0" w:space="0" w:color="auto"/>
      </w:divBdr>
    </w:div>
    <w:div w:id="1689327182">
      <w:bodyDiv w:val="1"/>
      <w:marLeft w:val="0"/>
      <w:marRight w:val="0"/>
      <w:marTop w:val="0"/>
      <w:marBottom w:val="0"/>
      <w:divBdr>
        <w:top w:val="none" w:sz="0" w:space="0" w:color="auto"/>
        <w:left w:val="none" w:sz="0" w:space="0" w:color="auto"/>
        <w:bottom w:val="none" w:sz="0" w:space="0" w:color="auto"/>
        <w:right w:val="none" w:sz="0" w:space="0" w:color="auto"/>
      </w:divBdr>
    </w:div>
    <w:div w:id="1696344943">
      <w:bodyDiv w:val="1"/>
      <w:marLeft w:val="0"/>
      <w:marRight w:val="0"/>
      <w:marTop w:val="0"/>
      <w:marBottom w:val="0"/>
      <w:divBdr>
        <w:top w:val="none" w:sz="0" w:space="0" w:color="auto"/>
        <w:left w:val="none" w:sz="0" w:space="0" w:color="auto"/>
        <w:bottom w:val="none" w:sz="0" w:space="0" w:color="auto"/>
        <w:right w:val="none" w:sz="0" w:space="0" w:color="auto"/>
      </w:divBdr>
    </w:div>
    <w:div w:id="1697611425">
      <w:bodyDiv w:val="1"/>
      <w:marLeft w:val="0"/>
      <w:marRight w:val="0"/>
      <w:marTop w:val="0"/>
      <w:marBottom w:val="0"/>
      <w:divBdr>
        <w:top w:val="none" w:sz="0" w:space="0" w:color="auto"/>
        <w:left w:val="none" w:sz="0" w:space="0" w:color="auto"/>
        <w:bottom w:val="none" w:sz="0" w:space="0" w:color="auto"/>
        <w:right w:val="none" w:sz="0" w:space="0" w:color="auto"/>
      </w:divBdr>
    </w:div>
    <w:div w:id="1699433434">
      <w:bodyDiv w:val="1"/>
      <w:marLeft w:val="0"/>
      <w:marRight w:val="0"/>
      <w:marTop w:val="0"/>
      <w:marBottom w:val="0"/>
      <w:divBdr>
        <w:top w:val="none" w:sz="0" w:space="0" w:color="auto"/>
        <w:left w:val="none" w:sz="0" w:space="0" w:color="auto"/>
        <w:bottom w:val="none" w:sz="0" w:space="0" w:color="auto"/>
        <w:right w:val="none" w:sz="0" w:space="0" w:color="auto"/>
      </w:divBdr>
    </w:div>
    <w:div w:id="1699696997">
      <w:bodyDiv w:val="1"/>
      <w:marLeft w:val="0"/>
      <w:marRight w:val="0"/>
      <w:marTop w:val="0"/>
      <w:marBottom w:val="0"/>
      <w:divBdr>
        <w:top w:val="none" w:sz="0" w:space="0" w:color="auto"/>
        <w:left w:val="none" w:sz="0" w:space="0" w:color="auto"/>
        <w:bottom w:val="none" w:sz="0" w:space="0" w:color="auto"/>
        <w:right w:val="none" w:sz="0" w:space="0" w:color="auto"/>
      </w:divBdr>
    </w:div>
    <w:div w:id="1707094707">
      <w:bodyDiv w:val="1"/>
      <w:marLeft w:val="0"/>
      <w:marRight w:val="0"/>
      <w:marTop w:val="0"/>
      <w:marBottom w:val="0"/>
      <w:divBdr>
        <w:top w:val="none" w:sz="0" w:space="0" w:color="auto"/>
        <w:left w:val="none" w:sz="0" w:space="0" w:color="auto"/>
        <w:bottom w:val="none" w:sz="0" w:space="0" w:color="auto"/>
        <w:right w:val="none" w:sz="0" w:space="0" w:color="auto"/>
      </w:divBdr>
    </w:div>
    <w:div w:id="1709524820">
      <w:bodyDiv w:val="1"/>
      <w:marLeft w:val="0"/>
      <w:marRight w:val="0"/>
      <w:marTop w:val="0"/>
      <w:marBottom w:val="0"/>
      <w:divBdr>
        <w:top w:val="none" w:sz="0" w:space="0" w:color="auto"/>
        <w:left w:val="none" w:sz="0" w:space="0" w:color="auto"/>
        <w:bottom w:val="none" w:sz="0" w:space="0" w:color="auto"/>
        <w:right w:val="none" w:sz="0" w:space="0" w:color="auto"/>
      </w:divBdr>
    </w:div>
    <w:div w:id="1710228228">
      <w:bodyDiv w:val="1"/>
      <w:marLeft w:val="0"/>
      <w:marRight w:val="0"/>
      <w:marTop w:val="0"/>
      <w:marBottom w:val="0"/>
      <w:divBdr>
        <w:top w:val="none" w:sz="0" w:space="0" w:color="auto"/>
        <w:left w:val="none" w:sz="0" w:space="0" w:color="auto"/>
        <w:bottom w:val="none" w:sz="0" w:space="0" w:color="auto"/>
        <w:right w:val="none" w:sz="0" w:space="0" w:color="auto"/>
      </w:divBdr>
    </w:div>
    <w:div w:id="1710641397">
      <w:bodyDiv w:val="1"/>
      <w:marLeft w:val="0"/>
      <w:marRight w:val="0"/>
      <w:marTop w:val="0"/>
      <w:marBottom w:val="0"/>
      <w:divBdr>
        <w:top w:val="none" w:sz="0" w:space="0" w:color="auto"/>
        <w:left w:val="none" w:sz="0" w:space="0" w:color="auto"/>
        <w:bottom w:val="none" w:sz="0" w:space="0" w:color="auto"/>
        <w:right w:val="none" w:sz="0" w:space="0" w:color="auto"/>
      </w:divBdr>
    </w:div>
    <w:div w:id="1715226587">
      <w:bodyDiv w:val="1"/>
      <w:marLeft w:val="0"/>
      <w:marRight w:val="0"/>
      <w:marTop w:val="0"/>
      <w:marBottom w:val="0"/>
      <w:divBdr>
        <w:top w:val="none" w:sz="0" w:space="0" w:color="auto"/>
        <w:left w:val="none" w:sz="0" w:space="0" w:color="auto"/>
        <w:bottom w:val="none" w:sz="0" w:space="0" w:color="auto"/>
        <w:right w:val="none" w:sz="0" w:space="0" w:color="auto"/>
      </w:divBdr>
    </w:div>
    <w:div w:id="1717505518">
      <w:bodyDiv w:val="1"/>
      <w:marLeft w:val="0"/>
      <w:marRight w:val="0"/>
      <w:marTop w:val="0"/>
      <w:marBottom w:val="0"/>
      <w:divBdr>
        <w:top w:val="none" w:sz="0" w:space="0" w:color="auto"/>
        <w:left w:val="none" w:sz="0" w:space="0" w:color="auto"/>
        <w:bottom w:val="none" w:sz="0" w:space="0" w:color="auto"/>
        <w:right w:val="none" w:sz="0" w:space="0" w:color="auto"/>
      </w:divBdr>
    </w:div>
    <w:div w:id="1720321736">
      <w:bodyDiv w:val="1"/>
      <w:marLeft w:val="0"/>
      <w:marRight w:val="0"/>
      <w:marTop w:val="0"/>
      <w:marBottom w:val="0"/>
      <w:divBdr>
        <w:top w:val="none" w:sz="0" w:space="0" w:color="auto"/>
        <w:left w:val="none" w:sz="0" w:space="0" w:color="auto"/>
        <w:bottom w:val="none" w:sz="0" w:space="0" w:color="auto"/>
        <w:right w:val="none" w:sz="0" w:space="0" w:color="auto"/>
      </w:divBdr>
    </w:div>
    <w:div w:id="1722627817">
      <w:bodyDiv w:val="1"/>
      <w:marLeft w:val="0"/>
      <w:marRight w:val="0"/>
      <w:marTop w:val="0"/>
      <w:marBottom w:val="0"/>
      <w:divBdr>
        <w:top w:val="none" w:sz="0" w:space="0" w:color="auto"/>
        <w:left w:val="none" w:sz="0" w:space="0" w:color="auto"/>
        <w:bottom w:val="none" w:sz="0" w:space="0" w:color="auto"/>
        <w:right w:val="none" w:sz="0" w:space="0" w:color="auto"/>
      </w:divBdr>
    </w:div>
    <w:div w:id="1723211335">
      <w:bodyDiv w:val="1"/>
      <w:marLeft w:val="0"/>
      <w:marRight w:val="0"/>
      <w:marTop w:val="0"/>
      <w:marBottom w:val="0"/>
      <w:divBdr>
        <w:top w:val="none" w:sz="0" w:space="0" w:color="auto"/>
        <w:left w:val="none" w:sz="0" w:space="0" w:color="auto"/>
        <w:bottom w:val="none" w:sz="0" w:space="0" w:color="auto"/>
        <w:right w:val="none" w:sz="0" w:space="0" w:color="auto"/>
      </w:divBdr>
    </w:div>
    <w:div w:id="1723555191">
      <w:bodyDiv w:val="1"/>
      <w:marLeft w:val="0"/>
      <w:marRight w:val="0"/>
      <w:marTop w:val="0"/>
      <w:marBottom w:val="0"/>
      <w:divBdr>
        <w:top w:val="none" w:sz="0" w:space="0" w:color="auto"/>
        <w:left w:val="none" w:sz="0" w:space="0" w:color="auto"/>
        <w:bottom w:val="none" w:sz="0" w:space="0" w:color="auto"/>
        <w:right w:val="none" w:sz="0" w:space="0" w:color="auto"/>
      </w:divBdr>
    </w:div>
    <w:div w:id="1724255624">
      <w:bodyDiv w:val="1"/>
      <w:marLeft w:val="0"/>
      <w:marRight w:val="0"/>
      <w:marTop w:val="0"/>
      <w:marBottom w:val="0"/>
      <w:divBdr>
        <w:top w:val="none" w:sz="0" w:space="0" w:color="auto"/>
        <w:left w:val="none" w:sz="0" w:space="0" w:color="auto"/>
        <w:bottom w:val="none" w:sz="0" w:space="0" w:color="auto"/>
        <w:right w:val="none" w:sz="0" w:space="0" w:color="auto"/>
      </w:divBdr>
    </w:div>
    <w:div w:id="1737513159">
      <w:bodyDiv w:val="1"/>
      <w:marLeft w:val="0"/>
      <w:marRight w:val="0"/>
      <w:marTop w:val="0"/>
      <w:marBottom w:val="0"/>
      <w:divBdr>
        <w:top w:val="none" w:sz="0" w:space="0" w:color="auto"/>
        <w:left w:val="none" w:sz="0" w:space="0" w:color="auto"/>
        <w:bottom w:val="none" w:sz="0" w:space="0" w:color="auto"/>
        <w:right w:val="none" w:sz="0" w:space="0" w:color="auto"/>
      </w:divBdr>
    </w:div>
    <w:div w:id="1739866964">
      <w:bodyDiv w:val="1"/>
      <w:marLeft w:val="0"/>
      <w:marRight w:val="0"/>
      <w:marTop w:val="0"/>
      <w:marBottom w:val="0"/>
      <w:divBdr>
        <w:top w:val="none" w:sz="0" w:space="0" w:color="auto"/>
        <w:left w:val="none" w:sz="0" w:space="0" w:color="auto"/>
        <w:bottom w:val="none" w:sz="0" w:space="0" w:color="auto"/>
        <w:right w:val="none" w:sz="0" w:space="0" w:color="auto"/>
      </w:divBdr>
    </w:div>
    <w:div w:id="1741899173">
      <w:bodyDiv w:val="1"/>
      <w:marLeft w:val="0"/>
      <w:marRight w:val="0"/>
      <w:marTop w:val="0"/>
      <w:marBottom w:val="0"/>
      <w:divBdr>
        <w:top w:val="none" w:sz="0" w:space="0" w:color="auto"/>
        <w:left w:val="none" w:sz="0" w:space="0" w:color="auto"/>
        <w:bottom w:val="none" w:sz="0" w:space="0" w:color="auto"/>
        <w:right w:val="none" w:sz="0" w:space="0" w:color="auto"/>
      </w:divBdr>
    </w:div>
    <w:div w:id="1743678745">
      <w:bodyDiv w:val="1"/>
      <w:marLeft w:val="0"/>
      <w:marRight w:val="0"/>
      <w:marTop w:val="0"/>
      <w:marBottom w:val="0"/>
      <w:divBdr>
        <w:top w:val="none" w:sz="0" w:space="0" w:color="auto"/>
        <w:left w:val="none" w:sz="0" w:space="0" w:color="auto"/>
        <w:bottom w:val="none" w:sz="0" w:space="0" w:color="auto"/>
        <w:right w:val="none" w:sz="0" w:space="0" w:color="auto"/>
      </w:divBdr>
    </w:div>
    <w:div w:id="1746954006">
      <w:bodyDiv w:val="1"/>
      <w:marLeft w:val="0"/>
      <w:marRight w:val="0"/>
      <w:marTop w:val="0"/>
      <w:marBottom w:val="0"/>
      <w:divBdr>
        <w:top w:val="none" w:sz="0" w:space="0" w:color="auto"/>
        <w:left w:val="none" w:sz="0" w:space="0" w:color="auto"/>
        <w:bottom w:val="none" w:sz="0" w:space="0" w:color="auto"/>
        <w:right w:val="none" w:sz="0" w:space="0" w:color="auto"/>
      </w:divBdr>
    </w:div>
    <w:div w:id="1753432259">
      <w:bodyDiv w:val="1"/>
      <w:marLeft w:val="0"/>
      <w:marRight w:val="0"/>
      <w:marTop w:val="0"/>
      <w:marBottom w:val="0"/>
      <w:divBdr>
        <w:top w:val="none" w:sz="0" w:space="0" w:color="auto"/>
        <w:left w:val="none" w:sz="0" w:space="0" w:color="auto"/>
        <w:bottom w:val="none" w:sz="0" w:space="0" w:color="auto"/>
        <w:right w:val="none" w:sz="0" w:space="0" w:color="auto"/>
      </w:divBdr>
    </w:div>
    <w:div w:id="1754744281">
      <w:bodyDiv w:val="1"/>
      <w:marLeft w:val="0"/>
      <w:marRight w:val="0"/>
      <w:marTop w:val="0"/>
      <w:marBottom w:val="0"/>
      <w:divBdr>
        <w:top w:val="none" w:sz="0" w:space="0" w:color="auto"/>
        <w:left w:val="none" w:sz="0" w:space="0" w:color="auto"/>
        <w:bottom w:val="none" w:sz="0" w:space="0" w:color="auto"/>
        <w:right w:val="none" w:sz="0" w:space="0" w:color="auto"/>
      </w:divBdr>
    </w:div>
    <w:div w:id="1758286939">
      <w:bodyDiv w:val="1"/>
      <w:marLeft w:val="0"/>
      <w:marRight w:val="0"/>
      <w:marTop w:val="0"/>
      <w:marBottom w:val="0"/>
      <w:divBdr>
        <w:top w:val="none" w:sz="0" w:space="0" w:color="auto"/>
        <w:left w:val="none" w:sz="0" w:space="0" w:color="auto"/>
        <w:bottom w:val="none" w:sz="0" w:space="0" w:color="auto"/>
        <w:right w:val="none" w:sz="0" w:space="0" w:color="auto"/>
      </w:divBdr>
    </w:div>
    <w:div w:id="1761564361">
      <w:bodyDiv w:val="1"/>
      <w:marLeft w:val="0"/>
      <w:marRight w:val="0"/>
      <w:marTop w:val="0"/>
      <w:marBottom w:val="0"/>
      <w:divBdr>
        <w:top w:val="none" w:sz="0" w:space="0" w:color="auto"/>
        <w:left w:val="none" w:sz="0" w:space="0" w:color="auto"/>
        <w:bottom w:val="none" w:sz="0" w:space="0" w:color="auto"/>
        <w:right w:val="none" w:sz="0" w:space="0" w:color="auto"/>
      </w:divBdr>
    </w:div>
    <w:div w:id="1768961915">
      <w:bodyDiv w:val="1"/>
      <w:marLeft w:val="0"/>
      <w:marRight w:val="0"/>
      <w:marTop w:val="0"/>
      <w:marBottom w:val="0"/>
      <w:divBdr>
        <w:top w:val="none" w:sz="0" w:space="0" w:color="auto"/>
        <w:left w:val="none" w:sz="0" w:space="0" w:color="auto"/>
        <w:bottom w:val="none" w:sz="0" w:space="0" w:color="auto"/>
        <w:right w:val="none" w:sz="0" w:space="0" w:color="auto"/>
      </w:divBdr>
    </w:div>
    <w:div w:id="1769350709">
      <w:bodyDiv w:val="1"/>
      <w:marLeft w:val="0"/>
      <w:marRight w:val="0"/>
      <w:marTop w:val="0"/>
      <w:marBottom w:val="0"/>
      <w:divBdr>
        <w:top w:val="none" w:sz="0" w:space="0" w:color="auto"/>
        <w:left w:val="none" w:sz="0" w:space="0" w:color="auto"/>
        <w:bottom w:val="none" w:sz="0" w:space="0" w:color="auto"/>
        <w:right w:val="none" w:sz="0" w:space="0" w:color="auto"/>
      </w:divBdr>
    </w:div>
    <w:div w:id="1771971537">
      <w:bodyDiv w:val="1"/>
      <w:marLeft w:val="0"/>
      <w:marRight w:val="0"/>
      <w:marTop w:val="0"/>
      <w:marBottom w:val="0"/>
      <w:divBdr>
        <w:top w:val="none" w:sz="0" w:space="0" w:color="auto"/>
        <w:left w:val="none" w:sz="0" w:space="0" w:color="auto"/>
        <w:bottom w:val="none" w:sz="0" w:space="0" w:color="auto"/>
        <w:right w:val="none" w:sz="0" w:space="0" w:color="auto"/>
      </w:divBdr>
    </w:div>
    <w:div w:id="1774786815">
      <w:bodyDiv w:val="1"/>
      <w:marLeft w:val="0"/>
      <w:marRight w:val="0"/>
      <w:marTop w:val="0"/>
      <w:marBottom w:val="0"/>
      <w:divBdr>
        <w:top w:val="none" w:sz="0" w:space="0" w:color="auto"/>
        <w:left w:val="none" w:sz="0" w:space="0" w:color="auto"/>
        <w:bottom w:val="none" w:sz="0" w:space="0" w:color="auto"/>
        <w:right w:val="none" w:sz="0" w:space="0" w:color="auto"/>
      </w:divBdr>
    </w:div>
    <w:div w:id="1774864413">
      <w:bodyDiv w:val="1"/>
      <w:marLeft w:val="0"/>
      <w:marRight w:val="0"/>
      <w:marTop w:val="0"/>
      <w:marBottom w:val="0"/>
      <w:divBdr>
        <w:top w:val="none" w:sz="0" w:space="0" w:color="auto"/>
        <w:left w:val="none" w:sz="0" w:space="0" w:color="auto"/>
        <w:bottom w:val="none" w:sz="0" w:space="0" w:color="auto"/>
        <w:right w:val="none" w:sz="0" w:space="0" w:color="auto"/>
      </w:divBdr>
    </w:div>
    <w:div w:id="1776943481">
      <w:bodyDiv w:val="1"/>
      <w:marLeft w:val="0"/>
      <w:marRight w:val="0"/>
      <w:marTop w:val="0"/>
      <w:marBottom w:val="0"/>
      <w:divBdr>
        <w:top w:val="none" w:sz="0" w:space="0" w:color="auto"/>
        <w:left w:val="none" w:sz="0" w:space="0" w:color="auto"/>
        <w:bottom w:val="none" w:sz="0" w:space="0" w:color="auto"/>
        <w:right w:val="none" w:sz="0" w:space="0" w:color="auto"/>
      </w:divBdr>
    </w:div>
    <w:div w:id="1779521991">
      <w:bodyDiv w:val="1"/>
      <w:marLeft w:val="0"/>
      <w:marRight w:val="0"/>
      <w:marTop w:val="0"/>
      <w:marBottom w:val="0"/>
      <w:divBdr>
        <w:top w:val="none" w:sz="0" w:space="0" w:color="auto"/>
        <w:left w:val="none" w:sz="0" w:space="0" w:color="auto"/>
        <w:bottom w:val="none" w:sz="0" w:space="0" w:color="auto"/>
        <w:right w:val="none" w:sz="0" w:space="0" w:color="auto"/>
      </w:divBdr>
    </w:div>
    <w:div w:id="1781607496">
      <w:bodyDiv w:val="1"/>
      <w:marLeft w:val="0"/>
      <w:marRight w:val="0"/>
      <w:marTop w:val="0"/>
      <w:marBottom w:val="0"/>
      <w:divBdr>
        <w:top w:val="none" w:sz="0" w:space="0" w:color="auto"/>
        <w:left w:val="none" w:sz="0" w:space="0" w:color="auto"/>
        <w:bottom w:val="none" w:sz="0" w:space="0" w:color="auto"/>
        <w:right w:val="none" w:sz="0" w:space="0" w:color="auto"/>
      </w:divBdr>
    </w:div>
    <w:div w:id="1795251972">
      <w:bodyDiv w:val="1"/>
      <w:marLeft w:val="0"/>
      <w:marRight w:val="0"/>
      <w:marTop w:val="0"/>
      <w:marBottom w:val="0"/>
      <w:divBdr>
        <w:top w:val="none" w:sz="0" w:space="0" w:color="auto"/>
        <w:left w:val="none" w:sz="0" w:space="0" w:color="auto"/>
        <w:bottom w:val="none" w:sz="0" w:space="0" w:color="auto"/>
        <w:right w:val="none" w:sz="0" w:space="0" w:color="auto"/>
      </w:divBdr>
    </w:div>
    <w:div w:id="1797605666">
      <w:bodyDiv w:val="1"/>
      <w:marLeft w:val="0"/>
      <w:marRight w:val="0"/>
      <w:marTop w:val="0"/>
      <w:marBottom w:val="0"/>
      <w:divBdr>
        <w:top w:val="none" w:sz="0" w:space="0" w:color="auto"/>
        <w:left w:val="none" w:sz="0" w:space="0" w:color="auto"/>
        <w:bottom w:val="none" w:sz="0" w:space="0" w:color="auto"/>
        <w:right w:val="none" w:sz="0" w:space="0" w:color="auto"/>
      </w:divBdr>
    </w:div>
    <w:div w:id="1800608364">
      <w:bodyDiv w:val="1"/>
      <w:marLeft w:val="0"/>
      <w:marRight w:val="0"/>
      <w:marTop w:val="0"/>
      <w:marBottom w:val="0"/>
      <w:divBdr>
        <w:top w:val="none" w:sz="0" w:space="0" w:color="auto"/>
        <w:left w:val="none" w:sz="0" w:space="0" w:color="auto"/>
        <w:bottom w:val="none" w:sz="0" w:space="0" w:color="auto"/>
        <w:right w:val="none" w:sz="0" w:space="0" w:color="auto"/>
      </w:divBdr>
    </w:div>
    <w:div w:id="1800955718">
      <w:bodyDiv w:val="1"/>
      <w:marLeft w:val="0"/>
      <w:marRight w:val="0"/>
      <w:marTop w:val="0"/>
      <w:marBottom w:val="0"/>
      <w:divBdr>
        <w:top w:val="none" w:sz="0" w:space="0" w:color="auto"/>
        <w:left w:val="none" w:sz="0" w:space="0" w:color="auto"/>
        <w:bottom w:val="none" w:sz="0" w:space="0" w:color="auto"/>
        <w:right w:val="none" w:sz="0" w:space="0" w:color="auto"/>
      </w:divBdr>
    </w:div>
    <w:div w:id="1816410056">
      <w:bodyDiv w:val="1"/>
      <w:marLeft w:val="0"/>
      <w:marRight w:val="0"/>
      <w:marTop w:val="0"/>
      <w:marBottom w:val="0"/>
      <w:divBdr>
        <w:top w:val="none" w:sz="0" w:space="0" w:color="auto"/>
        <w:left w:val="none" w:sz="0" w:space="0" w:color="auto"/>
        <w:bottom w:val="none" w:sz="0" w:space="0" w:color="auto"/>
        <w:right w:val="none" w:sz="0" w:space="0" w:color="auto"/>
      </w:divBdr>
    </w:div>
    <w:div w:id="1816992549">
      <w:bodyDiv w:val="1"/>
      <w:marLeft w:val="0"/>
      <w:marRight w:val="0"/>
      <w:marTop w:val="0"/>
      <w:marBottom w:val="0"/>
      <w:divBdr>
        <w:top w:val="none" w:sz="0" w:space="0" w:color="auto"/>
        <w:left w:val="none" w:sz="0" w:space="0" w:color="auto"/>
        <w:bottom w:val="none" w:sz="0" w:space="0" w:color="auto"/>
        <w:right w:val="none" w:sz="0" w:space="0" w:color="auto"/>
      </w:divBdr>
    </w:div>
    <w:div w:id="1821649018">
      <w:bodyDiv w:val="1"/>
      <w:marLeft w:val="0"/>
      <w:marRight w:val="0"/>
      <w:marTop w:val="0"/>
      <w:marBottom w:val="0"/>
      <w:divBdr>
        <w:top w:val="none" w:sz="0" w:space="0" w:color="auto"/>
        <w:left w:val="none" w:sz="0" w:space="0" w:color="auto"/>
        <w:bottom w:val="none" w:sz="0" w:space="0" w:color="auto"/>
        <w:right w:val="none" w:sz="0" w:space="0" w:color="auto"/>
      </w:divBdr>
    </w:div>
    <w:div w:id="1833985831">
      <w:bodyDiv w:val="1"/>
      <w:marLeft w:val="0"/>
      <w:marRight w:val="0"/>
      <w:marTop w:val="0"/>
      <w:marBottom w:val="0"/>
      <w:divBdr>
        <w:top w:val="none" w:sz="0" w:space="0" w:color="auto"/>
        <w:left w:val="none" w:sz="0" w:space="0" w:color="auto"/>
        <w:bottom w:val="none" w:sz="0" w:space="0" w:color="auto"/>
        <w:right w:val="none" w:sz="0" w:space="0" w:color="auto"/>
      </w:divBdr>
    </w:div>
    <w:div w:id="1835029500">
      <w:bodyDiv w:val="1"/>
      <w:marLeft w:val="0"/>
      <w:marRight w:val="0"/>
      <w:marTop w:val="0"/>
      <w:marBottom w:val="0"/>
      <w:divBdr>
        <w:top w:val="none" w:sz="0" w:space="0" w:color="auto"/>
        <w:left w:val="none" w:sz="0" w:space="0" w:color="auto"/>
        <w:bottom w:val="none" w:sz="0" w:space="0" w:color="auto"/>
        <w:right w:val="none" w:sz="0" w:space="0" w:color="auto"/>
      </w:divBdr>
    </w:div>
    <w:div w:id="1849170943">
      <w:bodyDiv w:val="1"/>
      <w:marLeft w:val="0"/>
      <w:marRight w:val="0"/>
      <w:marTop w:val="0"/>
      <w:marBottom w:val="0"/>
      <w:divBdr>
        <w:top w:val="none" w:sz="0" w:space="0" w:color="auto"/>
        <w:left w:val="none" w:sz="0" w:space="0" w:color="auto"/>
        <w:bottom w:val="none" w:sz="0" w:space="0" w:color="auto"/>
        <w:right w:val="none" w:sz="0" w:space="0" w:color="auto"/>
      </w:divBdr>
    </w:div>
    <w:div w:id="1849320516">
      <w:bodyDiv w:val="1"/>
      <w:marLeft w:val="0"/>
      <w:marRight w:val="0"/>
      <w:marTop w:val="0"/>
      <w:marBottom w:val="0"/>
      <w:divBdr>
        <w:top w:val="none" w:sz="0" w:space="0" w:color="auto"/>
        <w:left w:val="none" w:sz="0" w:space="0" w:color="auto"/>
        <w:bottom w:val="none" w:sz="0" w:space="0" w:color="auto"/>
        <w:right w:val="none" w:sz="0" w:space="0" w:color="auto"/>
      </w:divBdr>
    </w:div>
    <w:div w:id="1859586626">
      <w:bodyDiv w:val="1"/>
      <w:marLeft w:val="0"/>
      <w:marRight w:val="0"/>
      <w:marTop w:val="0"/>
      <w:marBottom w:val="0"/>
      <w:divBdr>
        <w:top w:val="none" w:sz="0" w:space="0" w:color="auto"/>
        <w:left w:val="none" w:sz="0" w:space="0" w:color="auto"/>
        <w:bottom w:val="none" w:sz="0" w:space="0" w:color="auto"/>
        <w:right w:val="none" w:sz="0" w:space="0" w:color="auto"/>
      </w:divBdr>
    </w:div>
    <w:div w:id="1860512088">
      <w:bodyDiv w:val="1"/>
      <w:marLeft w:val="0"/>
      <w:marRight w:val="0"/>
      <w:marTop w:val="0"/>
      <w:marBottom w:val="0"/>
      <w:divBdr>
        <w:top w:val="none" w:sz="0" w:space="0" w:color="auto"/>
        <w:left w:val="none" w:sz="0" w:space="0" w:color="auto"/>
        <w:bottom w:val="none" w:sz="0" w:space="0" w:color="auto"/>
        <w:right w:val="none" w:sz="0" w:space="0" w:color="auto"/>
      </w:divBdr>
    </w:div>
    <w:div w:id="1861164051">
      <w:bodyDiv w:val="1"/>
      <w:marLeft w:val="0"/>
      <w:marRight w:val="0"/>
      <w:marTop w:val="0"/>
      <w:marBottom w:val="0"/>
      <w:divBdr>
        <w:top w:val="none" w:sz="0" w:space="0" w:color="auto"/>
        <w:left w:val="none" w:sz="0" w:space="0" w:color="auto"/>
        <w:bottom w:val="none" w:sz="0" w:space="0" w:color="auto"/>
        <w:right w:val="none" w:sz="0" w:space="0" w:color="auto"/>
      </w:divBdr>
    </w:div>
    <w:div w:id="1861385877">
      <w:bodyDiv w:val="1"/>
      <w:marLeft w:val="0"/>
      <w:marRight w:val="0"/>
      <w:marTop w:val="0"/>
      <w:marBottom w:val="0"/>
      <w:divBdr>
        <w:top w:val="none" w:sz="0" w:space="0" w:color="auto"/>
        <w:left w:val="none" w:sz="0" w:space="0" w:color="auto"/>
        <w:bottom w:val="none" w:sz="0" w:space="0" w:color="auto"/>
        <w:right w:val="none" w:sz="0" w:space="0" w:color="auto"/>
      </w:divBdr>
    </w:div>
    <w:div w:id="1866793099">
      <w:bodyDiv w:val="1"/>
      <w:marLeft w:val="0"/>
      <w:marRight w:val="0"/>
      <w:marTop w:val="0"/>
      <w:marBottom w:val="0"/>
      <w:divBdr>
        <w:top w:val="none" w:sz="0" w:space="0" w:color="auto"/>
        <w:left w:val="none" w:sz="0" w:space="0" w:color="auto"/>
        <w:bottom w:val="none" w:sz="0" w:space="0" w:color="auto"/>
        <w:right w:val="none" w:sz="0" w:space="0" w:color="auto"/>
      </w:divBdr>
    </w:div>
    <w:div w:id="1868911534">
      <w:bodyDiv w:val="1"/>
      <w:marLeft w:val="0"/>
      <w:marRight w:val="0"/>
      <w:marTop w:val="0"/>
      <w:marBottom w:val="0"/>
      <w:divBdr>
        <w:top w:val="none" w:sz="0" w:space="0" w:color="auto"/>
        <w:left w:val="none" w:sz="0" w:space="0" w:color="auto"/>
        <w:bottom w:val="none" w:sz="0" w:space="0" w:color="auto"/>
        <w:right w:val="none" w:sz="0" w:space="0" w:color="auto"/>
      </w:divBdr>
    </w:div>
    <w:div w:id="1871067589">
      <w:bodyDiv w:val="1"/>
      <w:marLeft w:val="0"/>
      <w:marRight w:val="0"/>
      <w:marTop w:val="0"/>
      <w:marBottom w:val="0"/>
      <w:divBdr>
        <w:top w:val="none" w:sz="0" w:space="0" w:color="auto"/>
        <w:left w:val="none" w:sz="0" w:space="0" w:color="auto"/>
        <w:bottom w:val="none" w:sz="0" w:space="0" w:color="auto"/>
        <w:right w:val="none" w:sz="0" w:space="0" w:color="auto"/>
      </w:divBdr>
    </w:div>
    <w:div w:id="1873419819">
      <w:bodyDiv w:val="1"/>
      <w:marLeft w:val="0"/>
      <w:marRight w:val="0"/>
      <w:marTop w:val="0"/>
      <w:marBottom w:val="0"/>
      <w:divBdr>
        <w:top w:val="none" w:sz="0" w:space="0" w:color="auto"/>
        <w:left w:val="none" w:sz="0" w:space="0" w:color="auto"/>
        <w:bottom w:val="none" w:sz="0" w:space="0" w:color="auto"/>
        <w:right w:val="none" w:sz="0" w:space="0" w:color="auto"/>
      </w:divBdr>
    </w:div>
    <w:div w:id="1873765911">
      <w:bodyDiv w:val="1"/>
      <w:marLeft w:val="0"/>
      <w:marRight w:val="0"/>
      <w:marTop w:val="0"/>
      <w:marBottom w:val="0"/>
      <w:divBdr>
        <w:top w:val="none" w:sz="0" w:space="0" w:color="auto"/>
        <w:left w:val="none" w:sz="0" w:space="0" w:color="auto"/>
        <w:bottom w:val="none" w:sz="0" w:space="0" w:color="auto"/>
        <w:right w:val="none" w:sz="0" w:space="0" w:color="auto"/>
      </w:divBdr>
    </w:div>
    <w:div w:id="1874146797">
      <w:bodyDiv w:val="1"/>
      <w:marLeft w:val="0"/>
      <w:marRight w:val="0"/>
      <w:marTop w:val="0"/>
      <w:marBottom w:val="0"/>
      <w:divBdr>
        <w:top w:val="none" w:sz="0" w:space="0" w:color="auto"/>
        <w:left w:val="none" w:sz="0" w:space="0" w:color="auto"/>
        <w:bottom w:val="none" w:sz="0" w:space="0" w:color="auto"/>
        <w:right w:val="none" w:sz="0" w:space="0" w:color="auto"/>
      </w:divBdr>
    </w:div>
    <w:div w:id="1879001170">
      <w:bodyDiv w:val="1"/>
      <w:marLeft w:val="0"/>
      <w:marRight w:val="0"/>
      <w:marTop w:val="0"/>
      <w:marBottom w:val="0"/>
      <w:divBdr>
        <w:top w:val="none" w:sz="0" w:space="0" w:color="auto"/>
        <w:left w:val="none" w:sz="0" w:space="0" w:color="auto"/>
        <w:bottom w:val="none" w:sz="0" w:space="0" w:color="auto"/>
        <w:right w:val="none" w:sz="0" w:space="0" w:color="auto"/>
      </w:divBdr>
    </w:div>
    <w:div w:id="1881938033">
      <w:bodyDiv w:val="1"/>
      <w:marLeft w:val="0"/>
      <w:marRight w:val="0"/>
      <w:marTop w:val="0"/>
      <w:marBottom w:val="0"/>
      <w:divBdr>
        <w:top w:val="none" w:sz="0" w:space="0" w:color="auto"/>
        <w:left w:val="none" w:sz="0" w:space="0" w:color="auto"/>
        <w:bottom w:val="none" w:sz="0" w:space="0" w:color="auto"/>
        <w:right w:val="none" w:sz="0" w:space="0" w:color="auto"/>
      </w:divBdr>
    </w:div>
    <w:div w:id="1885210192">
      <w:bodyDiv w:val="1"/>
      <w:marLeft w:val="0"/>
      <w:marRight w:val="0"/>
      <w:marTop w:val="0"/>
      <w:marBottom w:val="0"/>
      <w:divBdr>
        <w:top w:val="none" w:sz="0" w:space="0" w:color="auto"/>
        <w:left w:val="none" w:sz="0" w:space="0" w:color="auto"/>
        <w:bottom w:val="none" w:sz="0" w:space="0" w:color="auto"/>
        <w:right w:val="none" w:sz="0" w:space="0" w:color="auto"/>
      </w:divBdr>
    </w:div>
    <w:div w:id="1885750583">
      <w:bodyDiv w:val="1"/>
      <w:marLeft w:val="0"/>
      <w:marRight w:val="0"/>
      <w:marTop w:val="0"/>
      <w:marBottom w:val="0"/>
      <w:divBdr>
        <w:top w:val="none" w:sz="0" w:space="0" w:color="auto"/>
        <w:left w:val="none" w:sz="0" w:space="0" w:color="auto"/>
        <w:bottom w:val="none" w:sz="0" w:space="0" w:color="auto"/>
        <w:right w:val="none" w:sz="0" w:space="0" w:color="auto"/>
      </w:divBdr>
    </w:div>
    <w:div w:id="1886795454">
      <w:bodyDiv w:val="1"/>
      <w:marLeft w:val="0"/>
      <w:marRight w:val="0"/>
      <w:marTop w:val="0"/>
      <w:marBottom w:val="0"/>
      <w:divBdr>
        <w:top w:val="none" w:sz="0" w:space="0" w:color="auto"/>
        <w:left w:val="none" w:sz="0" w:space="0" w:color="auto"/>
        <w:bottom w:val="none" w:sz="0" w:space="0" w:color="auto"/>
        <w:right w:val="none" w:sz="0" w:space="0" w:color="auto"/>
      </w:divBdr>
    </w:div>
    <w:div w:id="1887330229">
      <w:bodyDiv w:val="1"/>
      <w:marLeft w:val="0"/>
      <w:marRight w:val="0"/>
      <w:marTop w:val="0"/>
      <w:marBottom w:val="0"/>
      <w:divBdr>
        <w:top w:val="none" w:sz="0" w:space="0" w:color="auto"/>
        <w:left w:val="none" w:sz="0" w:space="0" w:color="auto"/>
        <w:bottom w:val="none" w:sz="0" w:space="0" w:color="auto"/>
        <w:right w:val="none" w:sz="0" w:space="0" w:color="auto"/>
      </w:divBdr>
    </w:div>
    <w:div w:id="1894342575">
      <w:bodyDiv w:val="1"/>
      <w:marLeft w:val="0"/>
      <w:marRight w:val="0"/>
      <w:marTop w:val="0"/>
      <w:marBottom w:val="0"/>
      <w:divBdr>
        <w:top w:val="none" w:sz="0" w:space="0" w:color="auto"/>
        <w:left w:val="none" w:sz="0" w:space="0" w:color="auto"/>
        <w:bottom w:val="none" w:sz="0" w:space="0" w:color="auto"/>
        <w:right w:val="none" w:sz="0" w:space="0" w:color="auto"/>
      </w:divBdr>
    </w:div>
    <w:div w:id="1896233051">
      <w:bodyDiv w:val="1"/>
      <w:marLeft w:val="0"/>
      <w:marRight w:val="0"/>
      <w:marTop w:val="0"/>
      <w:marBottom w:val="0"/>
      <w:divBdr>
        <w:top w:val="none" w:sz="0" w:space="0" w:color="auto"/>
        <w:left w:val="none" w:sz="0" w:space="0" w:color="auto"/>
        <w:bottom w:val="none" w:sz="0" w:space="0" w:color="auto"/>
        <w:right w:val="none" w:sz="0" w:space="0" w:color="auto"/>
      </w:divBdr>
    </w:div>
    <w:div w:id="1905332844">
      <w:bodyDiv w:val="1"/>
      <w:marLeft w:val="0"/>
      <w:marRight w:val="0"/>
      <w:marTop w:val="0"/>
      <w:marBottom w:val="0"/>
      <w:divBdr>
        <w:top w:val="none" w:sz="0" w:space="0" w:color="auto"/>
        <w:left w:val="none" w:sz="0" w:space="0" w:color="auto"/>
        <w:bottom w:val="none" w:sz="0" w:space="0" w:color="auto"/>
        <w:right w:val="none" w:sz="0" w:space="0" w:color="auto"/>
      </w:divBdr>
    </w:div>
    <w:div w:id="1917091222">
      <w:bodyDiv w:val="1"/>
      <w:marLeft w:val="0"/>
      <w:marRight w:val="0"/>
      <w:marTop w:val="0"/>
      <w:marBottom w:val="0"/>
      <w:divBdr>
        <w:top w:val="none" w:sz="0" w:space="0" w:color="auto"/>
        <w:left w:val="none" w:sz="0" w:space="0" w:color="auto"/>
        <w:bottom w:val="none" w:sz="0" w:space="0" w:color="auto"/>
        <w:right w:val="none" w:sz="0" w:space="0" w:color="auto"/>
      </w:divBdr>
    </w:div>
    <w:div w:id="1921478246">
      <w:bodyDiv w:val="1"/>
      <w:marLeft w:val="0"/>
      <w:marRight w:val="0"/>
      <w:marTop w:val="0"/>
      <w:marBottom w:val="0"/>
      <w:divBdr>
        <w:top w:val="none" w:sz="0" w:space="0" w:color="auto"/>
        <w:left w:val="none" w:sz="0" w:space="0" w:color="auto"/>
        <w:bottom w:val="none" w:sz="0" w:space="0" w:color="auto"/>
        <w:right w:val="none" w:sz="0" w:space="0" w:color="auto"/>
      </w:divBdr>
    </w:div>
    <w:div w:id="1921794760">
      <w:bodyDiv w:val="1"/>
      <w:marLeft w:val="0"/>
      <w:marRight w:val="0"/>
      <w:marTop w:val="0"/>
      <w:marBottom w:val="0"/>
      <w:divBdr>
        <w:top w:val="none" w:sz="0" w:space="0" w:color="auto"/>
        <w:left w:val="none" w:sz="0" w:space="0" w:color="auto"/>
        <w:bottom w:val="none" w:sz="0" w:space="0" w:color="auto"/>
        <w:right w:val="none" w:sz="0" w:space="0" w:color="auto"/>
      </w:divBdr>
    </w:div>
    <w:div w:id="1928608212">
      <w:bodyDiv w:val="1"/>
      <w:marLeft w:val="0"/>
      <w:marRight w:val="0"/>
      <w:marTop w:val="0"/>
      <w:marBottom w:val="0"/>
      <w:divBdr>
        <w:top w:val="none" w:sz="0" w:space="0" w:color="auto"/>
        <w:left w:val="none" w:sz="0" w:space="0" w:color="auto"/>
        <w:bottom w:val="none" w:sz="0" w:space="0" w:color="auto"/>
        <w:right w:val="none" w:sz="0" w:space="0" w:color="auto"/>
      </w:divBdr>
    </w:div>
    <w:div w:id="1928688652">
      <w:bodyDiv w:val="1"/>
      <w:marLeft w:val="0"/>
      <w:marRight w:val="0"/>
      <w:marTop w:val="0"/>
      <w:marBottom w:val="0"/>
      <w:divBdr>
        <w:top w:val="none" w:sz="0" w:space="0" w:color="auto"/>
        <w:left w:val="none" w:sz="0" w:space="0" w:color="auto"/>
        <w:bottom w:val="none" w:sz="0" w:space="0" w:color="auto"/>
        <w:right w:val="none" w:sz="0" w:space="0" w:color="auto"/>
      </w:divBdr>
    </w:div>
    <w:div w:id="1931156541">
      <w:bodyDiv w:val="1"/>
      <w:marLeft w:val="0"/>
      <w:marRight w:val="0"/>
      <w:marTop w:val="0"/>
      <w:marBottom w:val="0"/>
      <w:divBdr>
        <w:top w:val="none" w:sz="0" w:space="0" w:color="auto"/>
        <w:left w:val="none" w:sz="0" w:space="0" w:color="auto"/>
        <w:bottom w:val="none" w:sz="0" w:space="0" w:color="auto"/>
        <w:right w:val="none" w:sz="0" w:space="0" w:color="auto"/>
      </w:divBdr>
    </w:div>
    <w:div w:id="1932540751">
      <w:bodyDiv w:val="1"/>
      <w:marLeft w:val="0"/>
      <w:marRight w:val="0"/>
      <w:marTop w:val="0"/>
      <w:marBottom w:val="0"/>
      <w:divBdr>
        <w:top w:val="none" w:sz="0" w:space="0" w:color="auto"/>
        <w:left w:val="none" w:sz="0" w:space="0" w:color="auto"/>
        <w:bottom w:val="none" w:sz="0" w:space="0" w:color="auto"/>
        <w:right w:val="none" w:sz="0" w:space="0" w:color="auto"/>
      </w:divBdr>
    </w:div>
    <w:div w:id="1936553071">
      <w:bodyDiv w:val="1"/>
      <w:marLeft w:val="0"/>
      <w:marRight w:val="0"/>
      <w:marTop w:val="0"/>
      <w:marBottom w:val="0"/>
      <w:divBdr>
        <w:top w:val="none" w:sz="0" w:space="0" w:color="auto"/>
        <w:left w:val="none" w:sz="0" w:space="0" w:color="auto"/>
        <w:bottom w:val="none" w:sz="0" w:space="0" w:color="auto"/>
        <w:right w:val="none" w:sz="0" w:space="0" w:color="auto"/>
      </w:divBdr>
    </w:div>
    <w:div w:id="1939025242">
      <w:bodyDiv w:val="1"/>
      <w:marLeft w:val="0"/>
      <w:marRight w:val="0"/>
      <w:marTop w:val="0"/>
      <w:marBottom w:val="0"/>
      <w:divBdr>
        <w:top w:val="none" w:sz="0" w:space="0" w:color="auto"/>
        <w:left w:val="none" w:sz="0" w:space="0" w:color="auto"/>
        <w:bottom w:val="none" w:sz="0" w:space="0" w:color="auto"/>
        <w:right w:val="none" w:sz="0" w:space="0" w:color="auto"/>
      </w:divBdr>
    </w:div>
    <w:div w:id="1939100591">
      <w:bodyDiv w:val="1"/>
      <w:marLeft w:val="0"/>
      <w:marRight w:val="0"/>
      <w:marTop w:val="0"/>
      <w:marBottom w:val="0"/>
      <w:divBdr>
        <w:top w:val="none" w:sz="0" w:space="0" w:color="auto"/>
        <w:left w:val="none" w:sz="0" w:space="0" w:color="auto"/>
        <w:bottom w:val="none" w:sz="0" w:space="0" w:color="auto"/>
        <w:right w:val="none" w:sz="0" w:space="0" w:color="auto"/>
      </w:divBdr>
    </w:div>
    <w:div w:id="1944337914">
      <w:bodyDiv w:val="1"/>
      <w:marLeft w:val="0"/>
      <w:marRight w:val="0"/>
      <w:marTop w:val="0"/>
      <w:marBottom w:val="0"/>
      <w:divBdr>
        <w:top w:val="none" w:sz="0" w:space="0" w:color="auto"/>
        <w:left w:val="none" w:sz="0" w:space="0" w:color="auto"/>
        <w:bottom w:val="none" w:sz="0" w:space="0" w:color="auto"/>
        <w:right w:val="none" w:sz="0" w:space="0" w:color="auto"/>
      </w:divBdr>
    </w:div>
    <w:div w:id="1949585275">
      <w:bodyDiv w:val="1"/>
      <w:marLeft w:val="0"/>
      <w:marRight w:val="0"/>
      <w:marTop w:val="0"/>
      <w:marBottom w:val="0"/>
      <w:divBdr>
        <w:top w:val="none" w:sz="0" w:space="0" w:color="auto"/>
        <w:left w:val="none" w:sz="0" w:space="0" w:color="auto"/>
        <w:bottom w:val="none" w:sz="0" w:space="0" w:color="auto"/>
        <w:right w:val="none" w:sz="0" w:space="0" w:color="auto"/>
      </w:divBdr>
    </w:div>
    <w:div w:id="1951545673">
      <w:bodyDiv w:val="1"/>
      <w:marLeft w:val="0"/>
      <w:marRight w:val="0"/>
      <w:marTop w:val="0"/>
      <w:marBottom w:val="0"/>
      <w:divBdr>
        <w:top w:val="none" w:sz="0" w:space="0" w:color="auto"/>
        <w:left w:val="none" w:sz="0" w:space="0" w:color="auto"/>
        <w:bottom w:val="none" w:sz="0" w:space="0" w:color="auto"/>
        <w:right w:val="none" w:sz="0" w:space="0" w:color="auto"/>
      </w:divBdr>
    </w:div>
    <w:div w:id="1960454741">
      <w:bodyDiv w:val="1"/>
      <w:marLeft w:val="0"/>
      <w:marRight w:val="0"/>
      <w:marTop w:val="0"/>
      <w:marBottom w:val="0"/>
      <w:divBdr>
        <w:top w:val="none" w:sz="0" w:space="0" w:color="auto"/>
        <w:left w:val="none" w:sz="0" w:space="0" w:color="auto"/>
        <w:bottom w:val="none" w:sz="0" w:space="0" w:color="auto"/>
        <w:right w:val="none" w:sz="0" w:space="0" w:color="auto"/>
      </w:divBdr>
    </w:div>
    <w:div w:id="1962763018">
      <w:bodyDiv w:val="1"/>
      <w:marLeft w:val="0"/>
      <w:marRight w:val="0"/>
      <w:marTop w:val="0"/>
      <w:marBottom w:val="0"/>
      <w:divBdr>
        <w:top w:val="none" w:sz="0" w:space="0" w:color="auto"/>
        <w:left w:val="none" w:sz="0" w:space="0" w:color="auto"/>
        <w:bottom w:val="none" w:sz="0" w:space="0" w:color="auto"/>
        <w:right w:val="none" w:sz="0" w:space="0" w:color="auto"/>
      </w:divBdr>
    </w:div>
    <w:div w:id="1971741402">
      <w:bodyDiv w:val="1"/>
      <w:marLeft w:val="0"/>
      <w:marRight w:val="0"/>
      <w:marTop w:val="0"/>
      <w:marBottom w:val="0"/>
      <w:divBdr>
        <w:top w:val="none" w:sz="0" w:space="0" w:color="auto"/>
        <w:left w:val="none" w:sz="0" w:space="0" w:color="auto"/>
        <w:bottom w:val="none" w:sz="0" w:space="0" w:color="auto"/>
        <w:right w:val="none" w:sz="0" w:space="0" w:color="auto"/>
      </w:divBdr>
    </w:div>
    <w:div w:id="1974094600">
      <w:bodyDiv w:val="1"/>
      <w:marLeft w:val="0"/>
      <w:marRight w:val="0"/>
      <w:marTop w:val="0"/>
      <w:marBottom w:val="0"/>
      <w:divBdr>
        <w:top w:val="none" w:sz="0" w:space="0" w:color="auto"/>
        <w:left w:val="none" w:sz="0" w:space="0" w:color="auto"/>
        <w:bottom w:val="none" w:sz="0" w:space="0" w:color="auto"/>
        <w:right w:val="none" w:sz="0" w:space="0" w:color="auto"/>
      </w:divBdr>
    </w:div>
    <w:div w:id="1975942030">
      <w:bodyDiv w:val="1"/>
      <w:marLeft w:val="0"/>
      <w:marRight w:val="0"/>
      <w:marTop w:val="0"/>
      <w:marBottom w:val="0"/>
      <w:divBdr>
        <w:top w:val="none" w:sz="0" w:space="0" w:color="auto"/>
        <w:left w:val="none" w:sz="0" w:space="0" w:color="auto"/>
        <w:bottom w:val="none" w:sz="0" w:space="0" w:color="auto"/>
        <w:right w:val="none" w:sz="0" w:space="0" w:color="auto"/>
      </w:divBdr>
    </w:div>
    <w:div w:id="1976327332">
      <w:bodyDiv w:val="1"/>
      <w:marLeft w:val="0"/>
      <w:marRight w:val="0"/>
      <w:marTop w:val="0"/>
      <w:marBottom w:val="0"/>
      <w:divBdr>
        <w:top w:val="none" w:sz="0" w:space="0" w:color="auto"/>
        <w:left w:val="none" w:sz="0" w:space="0" w:color="auto"/>
        <w:bottom w:val="none" w:sz="0" w:space="0" w:color="auto"/>
        <w:right w:val="none" w:sz="0" w:space="0" w:color="auto"/>
      </w:divBdr>
    </w:div>
    <w:div w:id="1980182343">
      <w:bodyDiv w:val="1"/>
      <w:marLeft w:val="0"/>
      <w:marRight w:val="0"/>
      <w:marTop w:val="0"/>
      <w:marBottom w:val="0"/>
      <w:divBdr>
        <w:top w:val="none" w:sz="0" w:space="0" w:color="auto"/>
        <w:left w:val="none" w:sz="0" w:space="0" w:color="auto"/>
        <w:bottom w:val="none" w:sz="0" w:space="0" w:color="auto"/>
        <w:right w:val="none" w:sz="0" w:space="0" w:color="auto"/>
      </w:divBdr>
    </w:div>
    <w:div w:id="2006399578">
      <w:bodyDiv w:val="1"/>
      <w:marLeft w:val="0"/>
      <w:marRight w:val="0"/>
      <w:marTop w:val="0"/>
      <w:marBottom w:val="0"/>
      <w:divBdr>
        <w:top w:val="none" w:sz="0" w:space="0" w:color="auto"/>
        <w:left w:val="none" w:sz="0" w:space="0" w:color="auto"/>
        <w:bottom w:val="none" w:sz="0" w:space="0" w:color="auto"/>
        <w:right w:val="none" w:sz="0" w:space="0" w:color="auto"/>
      </w:divBdr>
    </w:div>
    <w:div w:id="2008239954">
      <w:bodyDiv w:val="1"/>
      <w:marLeft w:val="0"/>
      <w:marRight w:val="0"/>
      <w:marTop w:val="0"/>
      <w:marBottom w:val="0"/>
      <w:divBdr>
        <w:top w:val="none" w:sz="0" w:space="0" w:color="auto"/>
        <w:left w:val="none" w:sz="0" w:space="0" w:color="auto"/>
        <w:bottom w:val="none" w:sz="0" w:space="0" w:color="auto"/>
        <w:right w:val="none" w:sz="0" w:space="0" w:color="auto"/>
      </w:divBdr>
    </w:div>
    <w:div w:id="2009169806">
      <w:bodyDiv w:val="1"/>
      <w:marLeft w:val="0"/>
      <w:marRight w:val="0"/>
      <w:marTop w:val="0"/>
      <w:marBottom w:val="0"/>
      <w:divBdr>
        <w:top w:val="none" w:sz="0" w:space="0" w:color="auto"/>
        <w:left w:val="none" w:sz="0" w:space="0" w:color="auto"/>
        <w:bottom w:val="none" w:sz="0" w:space="0" w:color="auto"/>
        <w:right w:val="none" w:sz="0" w:space="0" w:color="auto"/>
      </w:divBdr>
    </w:div>
    <w:div w:id="2012482675">
      <w:bodyDiv w:val="1"/>
      <w:marLeft w:val="0"/>
      <w:marRight w:val="0"/>
      <w:marTop w:val="0"/>
      <w:marBottom w:val="0"/>
      <w:divBdr>
        <w:top w:val="none" w:sz="0" w:space="0" w:color="auto"/>
        <w:left w:val="none" w:sz="0" w:space="0" w:color="auto"/>
        <w:bottom w:val="none" w:sz="0" w:space="0" w:color="auto"/>
        <w:right w:val="none" w:sz="0" w:space="0" w:color="auto"/>
      </w:divBdr>
    </w:div>
    <w:div w:id="2018849981">
      <w:bodyDiv w:val="1"/>
      <w:marLeft w:val="0"/>
      <w:marRight w:val="0"/>
      <w:marTop w:val="0"/>
      <w:marBottom w:val="0"/>
      <w:divBdr>
        <w:top w:val="none" w:sz="0" w:space="0" w:color="auto"/>
        <w:left w:val="none" w:sz="0" w:space="0" w:color="auto"/>
        <w:bottom w:val="none" w:sz="0" w:space="0" w:color="auto"/>
        <w:right w:val="none" w:sz="0" w:space="0" w:color="auto"/>
      </w:divBdr>
    </w:div>
    <w:div w:id="2021812670">
      <w:bodyDiv w:val="1"/>
      <w:marLeft w:val="0"/>
      <w:marRight w:val="0"/>
      <w:marTop w:val="0"/>
      <w:marBottom w:val="0"/>
      <w:divBdr>
        <w:top w:val="none" w:sz="0" w:space="0" w:color="auto"/>
        <w:left w:val="none" w:sz="0" w:space="0" w:color="auto"/>
        <w:bottom w:val="none" w:sz="0" w:space="0" w:color="auto"/>
        <w:right w:val="none" w:sz="0" w:space="0" w:color="auto"/>
      </w:divBdr>
    </w:div>
    <w:div w:id="2025009070">
      <w:bodyDiv w:val="1"/>
      <w:marLeft w:val="0"/>
      <w:marRight w:val="0"/>
      <w:marTop w:val="0"/>
      <w:marBottom w:val="0"/>
      <w:divBdr>
        <w:top w:val="none" w:sz="0" w:space="0" w:color="auto"/>
        <w:left w:val="none" w:sz="0" w:space="0" w:color="auto"/>
        <w:bottom w:val="none" w:sz="0" w:space="0" w:color="auto"/>
        <w:right w:val="none" w:sz="0" w:space="0" w:color="auto"/>
      </w:divBdr>
    </w:div>
    <w:div w:id="2029257791">
      <w:bodyDiv w:val="1"/>
      <w:marLeft w:val="0"/>
      <w:marRight w:val="0"/>
      <w:marTop w:val="0"/>
      <w:marBottom w:val="0"/>
      <w:divBdr>
        <w:top w:val="none" w:sz="0" w:space="0" w:color="auto"/>
        <w:left w:val="none" w:sz="0" w:space="0" w:color="auto"/>
        <w:bottom w:val="none" w:sz="0" w:space="0" w:color="auto"/>
        <w:right w:val="none" w:sz="0" w:space="0" w:color="auto"/>
      </w:divBdr>
    </w:div>
    <w:div w:id="2029405905">
      <w:bodyDiv w:val="1"/>
      <w:marLeft w:val="0"/>
      <w:marRight w:val="0"/>
      <w:marTop w:val="0"/>
      <w:marBottom w:val="0"/>
      <w:divBdr>
        <w:top w:val="none" w:sz="0" w:space="0" w:color="auto"/>
        <w:left w:val="none" w:sz="0" w:space="0" w:color="auto"/>
        <w:bottom w:val="none" w:sz="0" w:space="0" w:color="auto"/>
        <w:right w:val="none" w:sz="0" w:space="0" w:color="auto"/>
      </w:divBdr>
    </w:div>
    <w:div w:id="2031026452">
      <w:bodyDiv w:val="1"/>
      <w:marLeft w:val="0"/>
      <w:marRight w:val="0"/>
      <w:marTop w:val="0"/>
      <w:marBottom w:val="0"/>
      <w:divBdr>
        <w:top w:val="none" w:sz="0" w:space="0" w:color="auto"/>
        <w:left w:val="none" w:sz="0" w:space="0" w:color="auto"/>
        <w:bottom w:val="none" w:sz="0" w:space="0" w:color="auto"/>
        <w:right w:val="none" w:sz="0" w:space="0" w:color="auto"/>
      </w:divBdr>
    </w:div>
    <w:div w:id="2035766996">
      <w:bodyDiv w:val="1"/>
      <w:marLeft w:val="0"/>
      <w:marRight w:val="0"/>
      <w:marTop w:val="0"/>
      <w:marBottom w:val="0"/>
      <w:divBdr>
        <w:top w:val="none" w:sz="0" w:space="0" w:color="auto"/>
        <w:left w:val="none" w:sz="0" w:space="0" w:color="auto"/>
        <w:bottom w:val="none" w:sz="0" w:space="0" w:color="auto"/>
        <w:right w:val="none" w:sz="0" w:space="0" w:color="auto"/>
      </w:divBdr>
    </w:div>
    <w:div w:id="2039424841">
      <w:bodyDiv w:val="1"/>
      <w:marLeft w:val="0"/>
      <w:marRight w:val="0"/>
      <w:marTop w:val="0"/>
      <w:marBottom w:val="0"/>
      <w:divBdr>
        <w:top w:val="none" w:sz="0" w:space="0" w:color="auto"/>
        <w:left w:val="none" w:sz="0" w:space="0" w:color="auto"/>
        <w:bottom w:val="none" w:sz="0" w:space="0" w:color="auto"/>
        <w:right w:val="none" w:sz="0" w:space="0" w:color="auto"/>
      </w:divBdr>
    </w:div>
    <w:div w:id="2044161447">
      <w:bodyDiv w:val="1"/>
      <w:marLeft w:val="0"/>
      <w:marRight w:val="0"/>
      <w:marTop w:val="0"/>
      <w:marBottom w:val="0"/>
      <w:divBdr>
        <w:top w:val="none" w:sz="0" w:space="0" w:color="auto"/>
        <w:left w:val="none" w:sz="0" w:space="0" w:color="auto"/>
        <w:bottom w:val="none" w:sz="0" w:space="0" w:color="auto"/>
        <w:right w:val="none" w:sz="0" w:space="0" w:color="auto"/>
      </w:divBdr>
    </w:div>
    <w:div w:id="2048872671">
      <w:bodyDiv w:val="1"/>
      <w:marLeft w:val="0"/>
      <w:marRight w:val="0"/>
      <w:marTop w:val="0"/>
      <w:marBottom w:val="0"/>
      <w:divBdr>
        <w:top w:val="none" w:sz="0" w:space="0" w:color="auto"/>
        <w:left w:val="none" w:sz="0" w:space="0" w:color="auto"/>
        <w:bottom w:val="none" w:sz="0" w:space="0" w:color="auto"/>
        <w:right w:val="none" w:sz="0" w:space="0" w:color="auto"/>
      </w:divBdr>
    </w:div>
    <w:div w:id="2049867507">
      <w:bodyDiv w:val="1"/>
      <w:marLeft w:val="0"/>
      <w:marRight w:val="0"/>
      <w:marTop w:val="0"/>
      <w:marBottom w:val="0"/>
      <w:divBdr>
        <w:top w:val="none" w:sz="0" w:space="0" w:color="auto"/>
        <w:left w:val="none" w:sz="0" w:space="0" w:color="auto"/>
        <w:bottom w:val="none" w:sz="0" w:space="0" w:color="auto"/>
        <w:right w:val="none" w:sz="0" w:space="0" w:color="auto"/>
      </w:divBdr>
    </w:div>
    <w:div w:id="2052991757">
      <w:bodyDiv w:val="1"/>
      <w:marLeft w:val="0"/>
      <w:marRight w:val="0"/>
      <w:marTop w:val="0"/>
      <w:marBottom w:val="0"/>
      <w:divBdr>
        <w:top w:val="none" w:sz="0" w:space="0" w:color="auto"/>
        <w:left w:val="none" w:sz="0" w:space="0" w:color="auto"/>
        <w:bottom w:val="none" w:sz="0" w:space="0" w:color="auto"/>
        <w:right w:val="none" w:sz="0" w:space="0" w:color="auto"/>
      </w:divBdr>
    </w:div>
    <w:div w:id="2053184742">
      <w:bodyDiv w:val="1"/>
      <w:marLeft w:val="0"/>
      <w:marRight w:val="0"/>
      <w:marTop w:val="0"/>
      <w:marBottom w:val="0"/>
      <w:divBdr>
        <w:top w:val="none" w:sz="0" w:space="0" w:color="auto"/>
        <w:left w:val="none" w:sz="0" w:space="0" w:color="auto"/>
        <w:bottom w:val="none" w:sz="0" w:space="0" w:color="auto"/>
        <w:right w:val="none" w:sz="0" w:space="0" w:color="auto"/>
      </w:divBdr>
    </w:div>
    <w:div w:id="2057000551">
      <w:bodyDiv w:val="1"/>
      <w:marLeft w:val="0"/>
      <w:marRight w:val="0"/>
      <w:marTop w:val="0"/>
      <w:marBottom w:val="0"/>
      <w:divBdr>
        <w:top w:val="none" w:sz="0" w:space="0" w:color="auto"/>
        <w:left w:val="none" w:sz="0" w:space="0" w:color="auto"/>
        <w:bottom w:val="none" w:sz="0" w:space="0" w:color="auto"/>
        <w:right w:val="none" w:sz="0" w:space="0" w:color="auto"/>
      </w:divBdr>
    </w:div>
    <w:div w:id="2058772650">
      <w:bodyDiv w:val="1"/>
      <w:marLeft w:val="0"/>
      <w:marRight w:val="0"/>
      <w:marTop w:val="0"/>
      <w:marBottom w:val="0"/>
      <w:divBdr>
        <w:top w:val="none" w:sz="0" w:space="0" w:color="auto"/>
        <w:left w:val="none" w:sz="0" w:space="0" w:color="auto"/>
        <w:bottom w:val="none" w:sz="0" w:space="0" w:color="auto"/>
        <w:right w:val="none" w:sz="0" w:space="0" w:color="auto"/>
      </w:divBdr>
    </w:div>
    <w:div w:id="2061438107">
      <w:bodyDiv w:val="1"/>
      <w:marLeft w:val="0"/>
      <w:marRight w:val="0"/>
      <w:marTop w:val="0"/>
      <w:marBottom w:val="0"/>
      <w:divBdr>
        <w:top w:val="none" w:sz="0" w:space="0" w:color="auto"/>
        <w:left w:val="none" w:sz="0" w:space="0" w:color="auto"/>
        <w:bottom w:val="none" w:sz="0" w:space="0" w:color="auto"/>
        <w:right w:val="none" w:sz="0" w:space="0" w:color="auto"/>
      </w:divBdr>
    </w:div>
    <w:div w:id="2064667987">
      <w:bodyDiv w:val="1"/>
      <w:marLeft w:val="0"/>
      <w:marRight w:val="0"/>
      <w:marTop w:val="0"/>
      <w:marBottom w:val="0"/>
      <w:divBdr>
        <w:top w:val="none" w:sz="0" w:space="0" w:color="auto"/>
        <w:left w:val="none" w:sz="0" w:space="0" w:color="auto"/>
        <w:bottom w:val="none" w:sz="0" w:space="0" w:color="auto"/>
        <w:right w:val="none" w:sz="0" w:space="0" w:color="auto"/>
      </w:divBdr>
    </w:div>
    <w:div w:id="2071689044">
      <w:bodyDiv w:val="1"/>
      <w:marLeft w:val="0"/>
      <w:marRight w:val="0"/>
      <w:marTop w:val="0"/>
      <w:marBottom w:val="0"/>
      <w:divBdr>
        <w:top w:val="none" w:sz="0" w:space="0" w:color="auto"/>
        <w:left w:val="none" w:sz="0" w:space="0" w:color="auto"/>
        <w:bottom w:val="none" w:sz="0" w:space="0" w:color="auto"/>
        <w:right w:val="none" w:sz="0" w:space="0" w:color="auto"/>
      </w:divBdr>
    </w:div>
    <w:div w:id="2072924001">
      <w:bodyDiv w:val="1"/>
      <w:marLeft w:val="0"/>
      <w:marRight w:val="0"/>
      <w:marTop w:val="0"/>
      <w:marBottom w:val="0"/>
      <w:divBdr>
        <w:top w:val="none" w:sz="0" w:space="0" w:color="auto"/>
        <w:left w:val="none" w:sz="0" w:space="0" w:color="auto"/>
        <w:bottom w:val="none" w:sz="0" w:space="0" w:color="auto"/>
        <w:right w:val="none" w:sz="0" w:space="0" w:color="auto"/>
      </w:divBdr>
    </w:div>
    <w:div w:id="2073114365">
      <w:bodyDiv w:val="1"/>
      <w:marLeft w:val="0"/>
      <w:marRight w:val="0"/>
      <w:marTop w:val="0"/>
      <w:marBottom w:val="0"/>
      <w:divBdr>
        <w:top w:val="none" w:sz="0" w:space="0" w:color="auto"/>
        <w:left w:val="none" w:sz="0" w:space="0" w:color="auto"/>
        <w:bottom w:val="none" w:sz="0" w:space="0" w:color="auto"/>
        <w:right w:val="none" w:sz="0" w:space="0" w:color="auto"/>
      </w:divBdr>
    </w:div>
    <w:div w:id="2075546022">
      <w:bodyDiv w:val="1"/>
      <w:marLeft w:val="0"/>
      <w:marRight w:val="0"/>
      <w:marTop w:val="0"/>
      <w:marBottom w:val="0"/>
      <w:divBdr>
        <w:top w:val="none" w:sz="0" w:space="0" w:color="auto"/>
        <w:left w:val="none" w:sz="0" w:space="0" w:color="auto"/>
        <w:bottom w:val="none" w:sz="0" w:space="0" w:color="auto"/>
        <w:right w:val="none" w:sz="0" w:space="0" w:color="auto"/>
      </w:divBdr>
    </w:div>
    <w:div w:id="2077168910">
      <w:bodyDiv w:val="1"/>
      <w:marLeft w:val="0"/>
      <w:marRight w:val="0"/>
      <w:marTop w:val="0"/>
      <w:marBottom w:val="0"/>
      <w:divBdr>
        <w:top w:val="none" w:sz="0" w:space="0" w:color="auto"/>
        <w:left w:val="none" w:sz="0" w:space="0" w:color="auto"/>
        <w:bottom w:val="none" w:sz="0" w:space="0" w:color="auto"/>
        <w:right w:val="none" w:sz="0" w:space="0" w:color="auto"/>
      </w:divBdr>
    </w:div>
    <w:div w:id="2078504857">
      <w:bodyDiv w:val="1"/>
      <w:marLeft w:val="0"/>
      <w:marRight w:val="0"/>
      <w:marTop w:val="0"/>
      <w:marBottom w:val="0"/>
      <w:divBdr>
        <w:top w:val="none" w:sz="0" w:space="0" w:color="auto"/>
        <w:left w:val="none" w:sz="0" w:space="0" w:color="auto"/>
        <w:bottom w:val="none" w:sz="0" w:space="0" w:color="auto"/>
        <w:right w:val="none" w:sz="0" w:space="0" w:color="auto"/>
      </w:divBdr>
    </w:div>
    <w:div w:id="2078740342">
      <w:bodyDiv w:val="1"/>
      <w:marLeft w:val="0"/>
      <w:marRight w:val="0"/>
      <w:marTop w:val="0"/>
      <w:marBottom w:val="0"/>
      <w:divBdr>
        <w:top w:val="none" w:sz="0" w:space="0" w:color="auto"/>
        <w:left w:val="none" w:sz="0" w:space="0" w:color="auto"/>
        <w:bottom w:val="none" w:sz="0" w:space="0" w:color="auto"/>
        <w:right w:val="none" w:sz="0" w:space="0" w:color="auto"/>
      </w:divBdr>
    </w:div>
    <w:div w:id="2081828432">
      <w:bodyDiv w:val="1"/>
      <w:marLeft w:val="0"/>
      <w:marRight w:val="0"/>
      <w:marTop w:val="0"/>
      <w:marBottom w:val="0"/>
      <w:divBdr>
        <w:top w:val="none" w:sz="0" w:space="0" w:color="auto"/>
        <w:left w:val="none" w:sz="0" w:space="0" w:color="auto"/>
        <w:bottom w:val="none" w:sz="0" w:space="0" w:color="auto"/>
        <w:right w:val="none" w:sz="0" w:space="0" w:color="auto"/>
      </w:divBdr>
    </w:div>
    <w:div w:id="2087258575">
      <w:bodyDiv w:val="1"/>
      <w:marLeft w:val="0"/>
      <w:marRight w:val="0"/>
      <w:marTop w:val="0"/>
      <w:marBottom w:val="0"/>
      <w:divBdr>
        <w:top w:val="none" w:sz="0" w:space="0" w:color="auto"/>
        <w:left w:val="none" w:sz="0" w:space="0" w:color="auto"/>
        <w:bottom w:val="none" w:sz="0" w:space="0" w:color="auto"/>
        <w:right w:val="none" w:sz="0" w:space="0" w:color="auto"/>
      </w:divBdr>
    </w:div>
    <w:div w:id="2090885539">
      <w:bodyDiv w:val="1"/>
      <w:marLeft w:val="0"/>
      <w:marRight w:val="0"/>
      <w:marTop w:val="0"/>
      <w:marBottom w:val="0"/>
      <w:divBdr>
        <w:top w:val="none" w:sz="0" w:space="0" w:color="auto"/>
        <w:left w:val="none" w:sz="0" w:space="0" w:color="auto"/>
        <w:bottom w:val="none" w:sz="0" w:space="0" w:color="auto"/>
        <w:right w:val="none" w:sz="0" w:space="0" w:color="auto"/>
      </w:divBdr>
    </w:div>
    <w:div w:id="2094933812">
      <w:bodyDiv w:val="1"/>
      <w:marLeft w:val="0"/>
      <w:marRight w:val="0"/>
      <w:marTop w:val="0"/>
      <w:marBottom w:val="0"/>
      <w:divBdr>
        <w:top w:val="none" w:sz="0" w:space="0" w:color="auto"/>
        <w:left w:val="none" w:sz="0" w:space="0" w:color="auto"/>
        <w:bottom w:val="none" w:sz="0" w:space="0" w:color="auto"/>
        <w:right w:val="none" w:sz="0" w:space="0" w:color="auto"/>
      </w:divBdr>
    </w:div>
    <w:div w:id="2099522655">
      <w:bodyDiv w:val="1"/>
      <w:marLeft w:val="0"/>
      <w:marRight w:val="0"/>
      <w:marTop w:val="0"/>
      <w:marBottom w:val="0"/>
      <w:divBdr>
        <w:top w:val="none" w:sz="0" w:space="0" w:color="auto"/>
        <w:left w:val="none" w:sz="0" w:space="0" w:color="auto"/>
        <w:bottom w:val="none" w:sz="0" w:space="0" w:color="auto"/>
        <w:right w:val="none" w:sz="0" w:space="0" w:color="auto"/>
      </w:divBdr>
    </w:div>
    <w:div w:id="2115125146">
      <w:bodyDiv w:val="1"/>
      <w:marLeft w:val="0"/>
      <w:marRight w:val="0"/>
      <w:marTop w:val="0"/>
      <w:marBottom w:val="0"/>
      <w:divBdr>
        <w:top w:val="none" w:sz="0" w:space="0" w:color="auto"/>
        <w:left w:val="none" w:sz="0" w:space="0" w:color="auto"/>
        <w:bottom w:val="none" w:sz="0" w:space="0" w:color="auto"/>
        <w:right w:val="none" w:sz="0" w:space="0" w:color="auto"/>
      </w:divBdr>
    </w:div>
    <w:div w:id="2127195761">
      <w:bodyDiv w:val="1"/>
      <w:marLeft w:val="0"/>
      <w:marRight w:val="0"/>
      <w:marTop w:val="0"/>
      <w:marBottom w:val="0"/>
      <w:divBdr>
        <w:top w:val="none" w:sz="0" w:space="0" w:color="auto"/>
        <w:left w:val="none" w:sz="0" w:space="0" w:color="auto"/>
        <w:bottom w:val="none" w:sz="0" w:space="0" w:color="auto"/>
        <w:right w:val="none" w:sz="0" w:space="0" w:color="auto"/>
      </w:divBdr>
    </w:div>
    <w:div w:id="2131391817">
      <w:bodyDiv w:val="1"/>
      <w:marLeft w:val="0"/>
      <w:marRight w:val="0"/>
      <w:marTop w:val="0"/>
      <w:marBottom w:val="0"/>
      <w:divBdr>
        <w:top w:val="none" w:sz="0" w:space="0" w:color="auto"/>
        <w:left w:val="none" w:sz="0" w:space="0" w:color="auto"/>
        <w:bottom w:val="none" w:sz="0" w:space="0" w:color="auto"/>
        <w:right w:val="none" w:sz="0" w:space="0" w:color="auto"/>
      </w:divBdr>
    </w:div>
    <w:div w:id="2132673555">
      <w:bodyDiv w:val="1"/>
      <w:marLeft w:val="0"/>
      <w:marRight w:val="0"/>
      <w:marTop w:val="0"/>
      <w:marBottom w:val="0"/>
      <w:divBdr>
        <w:top w:val="none" w:sz="0" w:space="0" w:color="auto"/>
        <w:left w:val="none" w:sz="0" w:space="0" w:color="auto"/>
        <w:bottom w:val="none" w:sz="0" w:space="0" w:color="auto"/>
        <w:right w:val="none" w:sz="0" w:space="0" w:color="auto"/>
      </w:divBdr>
    </w:div>
    <w:div w:id="2136676704">
      <w:bodyDiv w:val="1"/>
      <w:marLeft w:val="0"/>
      <w:marRight w:val="0"/>
      <w:marTop w:val="0"/>
      <w:marBottom w:val="0"/>
      <w:divBdr>
        <w:top w:val="none" w:sz="0" w:space="0" w:color="auto"/>
        <w:left w:val="none" w:sz="0" w:space="0" w:color="auto"/>
        <w:bottom w:val="none" w:sz="0" w:space="0" w:color="auto"/>
        <w:right w:val="none" w:sz="0" w:space="0" w:color="auto"/>
      </w:divBdr>
    </w:div>
    <w:div w:id="2137598372">
      <w:bodyDiv w:val="1"/>
      <w:marLeft w:val="0"/>
      <w:marRight w:val="0"/>
      <w:marTop w:val="0"/>
      <w:marBottom w:val="0"/>
      <w:divBdr>
        <w:top w:val="none" w:sz="0" w:space="0" w:color="auto"/>
        <w:left w:val="none" w:sz="0" w:space="0" w:color="auto"/>
        <w:bottom w:val="none" w:sz="0" w:space="0" w:color="auto"/>
        <w:right w:val="none" w:sz="0" w:space="0" w:color="auto"/>
      </w:divBdr>
    </w:div>
    <w:div w:id="2138717330">
      <w:bodyDiv w:val="1"/>
      <w:marLeft w:val="0"/>
      <w:marRight w:val="0"/>
      <w:marTop w:val="0"/>
      <w:marBottom w:val="0"/>
      <w:divBdr>
        <w:top w:val="none" w:sz="0" w:space="0" w:color="auto"/>
        <w:left w:val="none" w:sz="0" w:space="0" w:color="auto"/>
        <w:bottom w:val="none" w:sz="0" w:space="0" w:color="auto"/>
        <w:right w:val="none" w:sz="0" w:space="0" w:color="auto"/>
      </w:divBdr>
    </w:div>
    <w:div w:id="2140757551">
      <w:bodyDiv w:val="1"/>
      <w:marLeft w:val="0"/>
      <w:marRight w:val="0"/>
      <w:marTop w:val="0"/>
      <w:marBottom w:val="0"/>
      <w:divBdr>
        <w:top w:val="none" w:sz="0" w:space="0" w:color="auto"/>
        <w:left w:val="none" w:sz="0" w:space="0" w:color="auto"/>
        <w:bottom w:val="none" w:sz="0" w:space="0" w:color="auto"/>
        <w:right w:val="none" w:sz="0" w:space="0" w:color="auto"/>
      </w:divBdr>
    </w:div>
    <w:div w:id="2141069771">
      <w:bodyDiv w:val="1"/>
      <w:marLeft w:val="0"/>
      <w:marRight w:val="0"/>
      <w:marTop w:val="0"/>
      <w:marBottom w:val="0"/>
      <w:divBdr>
        <w:top w:val="none" w:sz="0" w:space="0" w:color="auto"/>
        <w:left w:val="none" w:sz="0" w:space="0" w:color="auto"/>
        <w:bottom w:val="none" w:sz="0" w:space="0" w:color="auto"/>
        <w:right w:val="none" w:sz="0" w:space="0" w:color="auto"/>
      </w:divBdr>
    </w:div>
    <w:div w:id="2141223906">
      <w:bodyDiv w:val="1"/>
      <w:marLeft w:val="0"/>
      <w:marRight w:val="0"/>
      <w:marTop w:val="0"/>
      <w:marBottom w:val="0"/>
      <w:divBdr>
        <w:top w:val="none" w:sz="0" w:space="0" w:color="auto"/>
        <w:left w:val="none" w:sz="0" w:space="0" w:color="auto"/>
        <w:bottom w:val="none" w:sz="0" w:space="0" w:color="auto"/>
        <w:right w:val="none" w:sz="0" w:space="0" w:color="auto"/>
      </w:divBdr>
    </w:div>
    <w:div w:id="2142961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EB55BB-A253-484A-8105-3B5C7EC76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4743</Words>
  <Characters>27039</Characters>
  <Application>Microsoft Office Word</Application>
  <DocSecurity>0</DocSecurity>
  <Lines>225</Lines>
  <Paragraphs>63</Paragraphs>
  <ScaleCrop>false</ScaleCrop>
  <HeadingPairs>
    <vt:vector size="2" baseType="variant">
      <vt:variant>
        <vt:lpstr>Konu Başlığı</vt:lpstr>
      </vt:variant>
      <vt:variant>
        <vt:i4>1</vt:i4>
      </vt:variant>
    </vt:vector>
  </HeadingPairs>
  <TitlesOfParts>
    <vt:vector size="1" baseType="lpstr">
      <vt:lpstr>Soruşturma Raporu</vt:lpstr>
    </vt:vector>
  </TitlesOfParts>
  <Company>DTM</Company>
  <LinksUpToDate>false</LinksUpToDate>
  <CharactersWithSpaces>31719</CharactersWithSpaces>
  <SharedDoc>false</SharedDoc>
  <HLinks>
    <vt:vector size="12" baseType="variant">
      <vt:variant>
        <vt:i4>5242910</vt:i4>
      </vt:variant>
      <vt:variant>
        <vt:i4>3</vt:i4>
      </vt:variant>
      <vt:variant>
        <vt:i4>0</vt:i4>
      </vt:variant>
      <vt:variant>
        <vt:i4>5</vt:i4>
      </vt:variant>
      <vt:variant>
        <vt:lpwstr>http://www.mevzuat.net/ithalat/gozetim/gzttbl200909.aspx</vt:lpwstr>
      </vt:variant>
      <vt:variant>
        <vt:lpwstr/>
      </vt:variant>
      <vt:variant>
        <vt:i4>3801166</vt:i4>
      </vt:variant>
      <vt:variant>
        <vt:i4>0</vt:i4>
      </vt:variant>
      <vt:variant>
        <vt:i4>0</vt:i4>
      </vt:variant>
      <vt:variant>
        <vt:i4>5</vt:i4>
      </vt:variant>
      <vt:variant>
        <vt:lpwstr>mailto:zimasas@hs01.kep.tr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Soruşturma Raporu</dc:title>
  <dc:subject/>
  <dc:creator>Mevzuat Bilgi Sistemi</dc:creator>
  <cp:keywords/>
  <dc:description/>
  <cp:lastModifiedBy>Efsun Güneri</cp:lastModifiedBy>
  <cp:revision>2</cp:revision>
  <cp:lastPrinted>2026-05-06T12:34:00Z</cp:lastPrinted>
  <dcterms:created xsi:type="dcterms:W3CDTF">2026-06-01T07:19:00Z</dcterms:created>
  <dcterms:modified xsi:type="dcterms:W3CDTF">2026-06-01T07:19:00Z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user=20956687834</vt:lpwstr>
  </property>
  <property fmtid="{D5CDD505-2E9C-101B-9397-08002B2CF9AE}" pid="4" name="geodilabeltime">
    <vt:lpwstr>datetime=2024-08-05T07:15:18.720Z</vt:lpwstr>
  </property>
</Properties>
</file>